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0AED3" w14:textId="21CC9684" w:rsidR="00AB77E7" w:rsidRPr="00AF73D3" w:rsidRDefault="00AB77E7" w:rsidP="00AB77E7">
      <w:pPr>
        <w:pStyle w:val="Title"/>
        <w:rPr>
          <w:color w:val="000000" w:themeColor="text1"/>
        </w:rPr>
      </w:pPr>
      <w:r w:rsidRPr="00AF73D3">
        <w:rPr>
          <w:color w:val="000000" w:themeColor="text1"/>
        </w:rPr>
        <w:t>Non-vascular interventional radiology in the paediatric alimentary tract</w:t>
      </w:r>
    </w:p>
    <w:p w14:paraId="40B6FA67" w14:textId="77777777" w:rsidR="00AB77E7" w:rsidRPr="00AF73D3" w:rsidRDefault="00AB77E7" w:rsidP="00AB77E7">
      <w:pPr>
        <w:rPr>
          <w:color w:val="000000" w:themeColor="text1"/>
        </w:rPr>
      </w:pPr>
    </w:p>
    <w:p w14:paraId="588054A8" w14:textId="67716EA7" w:rsidR="00AB77E7" w:rsidRDefault="00AB77E7" w:rsidP="00AB77E7">
      <w:pPr>
        <w:rPr>
          <w:color w:val="000000" w:themeColor="text1"/>
          <w:vertAlign w:val="superscript"/>
        </w:rPr>
      </w:pPr>
      <w:r w:rsidRPr="00AF73D3">
        <w:rPr>
          <w:color w:val="000000" w:themeColor="text1"/>
        </w:rPr>
        <w:t xml:space="preserve">Premal A. </w:t>
      </w:r>
      <w:proofErr w:type="spellStart"/>
      <w:r w:rsidRPr="00AF73D3">
        <w:rPr>
          <w:color w:val="000000" w:themeColor="text1"/>
        </w:rPr>
        <w:t>Patel</w:t>
      </w:r>
      <w:r w:rsidRPr="00AF73D3">
        <w:rPr>
          <w:color w:val="000000" w:themeColor="text1"/>
          <w:vertAlign w:val="superscript"/>
        </w:rPr>
        <w:t>a</w:t>
      </w:r>
      <w:proofErr w:type="spellEnd"/>
      <w:r w:rsidRPr="00AF73D3">
        <w:rPr>
          <w:color w:val="000000" w:themeColor="text1"/>
        </w:rPr>
        <w:t xml:space="preserve">, Kishore </w:t>
      </w:r>
      <w:proofErr w:type="spellStart"/>
      <w:r w:rsidRPr="00AF73D3">
        <w:rPr>
          <w:color w:val="000000" w:themeColor="text1"/>
        </w:rPr>
        <w:t>Minhas</w:t>
      </w:r>
      <w:r w:rsidRPr="00AF73D3">
        <w:rPr>
          <w:color w:val="000000" w:themeColor="text1"/>
          <w:vertAlign w:val="superscript"/>
        </w:rPr>
        <w:t>a</w:t>
      </w:r>
      <w:proofErr w:type="spellEnd"/>
      <w:r w:rsidRPr="00AF73D3">
        <w:rPr>
          <w:color w:val="000000" w:themeColor="text1"/>
        </w:rPr>
        <w:t xml:space="preserve">, Jestine </w:t>
      </w:r>
      <w:proofErr w:type="spellStart"/>
      <w:r w:rsidRPr="00AF73D3">
        <w:rPr>
          <w:color w:val="000000" w:themeColor="text1"/>
        </w:rPr>
        <w:t>Ang</w:t>
      </w:r>
      <w:r w:rsidRPr="00AF73D3">
        <w:rPr>
          <w:color w:val="000000" w:themeColor="text1"/>
          <w:vertAlign w:val="superscript"/>
        </w:rPr>
        <w:t>a</w:t>
      </w:r>
      <w:proofErr w:type="spellEnd"/>
      <w:r w:rsidRPr="00AF73D3">
        <w:rPr>
          <w:color w:val="000000" w:themeColor="text1"/>
        </w:rPr>
        <w:t xml:space="preserve">, Sam </w:t>
      </w:r>
      <w:proofErr w:type="spellStart"/>
      <w:r w:rsidRPr="00AF73D3">
        <w:rPr>
          <w:color w:val="000000" w:themeColor="text1"/>
        </w:rPr>
        <w:t>Stuart</w:t>
      </w:r>
      <w:r w:rsidRPr="00AF73D3">
        <w:rPr>
          <w:color w:val="000000" w:themeColor="text1"/>
          <w:vertAlign w:val="superscript"/>
        </w:rPr>
        <w:t>a</w:t>
      </w:r>
      <w:proofErr w:type="spellEnd"/>
      <w:r w:rsidRPr="00AF73D3">
        <w:rPr>
          <w:color w:val="000000" w:themeColor="text1"/>
        </w:rPr>
        <w:t xml:space="preserve">, Paolo De </w:t>
      </w:r>
      <w:proofErr w:type="spellStart"/>
      <w:r w:rsidRPr="00AF73D3">
        <w:rPr>
          <w:color w:val="000000" w:themeColor="text1"/>
        </w:rPr>
        <w:t>Coppi</w:t>
      </w:r>
      <w:r w:rsidRPr="00AF73D3">
        <w:rPr>
          <w:color w:val="000000" w:themeColor="text1"/>
          <w:vertAlign w:val="superscript"/>
        </w:rPr>
        <w:t>b</w:t>
      </w:r>
      <w:proofErr w:type="spellEnd"/>
      <w:r w:rsidRPr="00AF73D3">
        <w:rPr>
          <w:color w:val="000000" w:themeColor="text1"/>
        </w:rPr>
        <w:t xml:space="preserve">, Ralph </w:t>
      </w:r>
      <w:proofErr w:type="spellStart"/>
      <w:r w:rsidRPr="00AF73D3">
        <w:rPr>
          <w:color w:val="000000" w:themeColor="text1"/>
        </w:rPr>
        <w:t>Gnannt</w:t>
      </w:r>
      <w:r w:rsidRPr="00AF73D3">
        <w:rPr>
          <w:color w:val="000000" w:themeColor="text1"/>
          <w:vertAlign w:val="superscript"/>
        </w:rPr>
        <w:t>c</w:t>
      </w:r>
      <w:proofErr w:type="spellEnd"/>
    </w:p>
    <w:p w14:paraId="05AEE7AB" w14:textId="21FA4D49" w:rsidR="00AF73D3" w:rsidRDefault="00AF73D3" w:rsidP="00AB77E7">
      <w:pPr>
        <w:rPr>
          <w:color w:val="000000" w:themeColor="text1"/>
        </w:rPr>
      </w:pPr>
    </w:p>
    <w:p w14:paraId="2DFB86AB" w14:textId="77777777" w:rsidR="00AF73D3" w:rsidRDefault="00AF73D3" w:rsidP="00AF73D3">
      <w:pPr>
        <w:rPr>
          <w:color w:val="000000" w:themeColor="text1"/>
        </w:rPr>
      </w:pPr>
      <w:r>
        <w:rPr>
          <w:color w:val="000000" w:themeColor="text1"/>
        </w:rPr>
        <w:t xml:space="preserve">a. </w:t>
      </w:r>
      <w:r w:rsidRPr="00AF73D3">
        <w:rPr>
          <w:color w:val="000000" w:themeColor="text1"/>
        </w:rPr>
        <w:t>Interventional Radiology, Radiology Department, Great Ormond Street Hospital, Great Ormond Street, London, WC1N 3JH</w:t>
      </w:r>
    </w:p>
    <w:p w14:paraId="56EC06F3" w14:textId="7BF2D5A8" w:rsidR="00AF73D3" w:rsidRDefault="00AF73D3" w:rsidP="00AF73D3">
      <w:pPr>
        <w:rPr>
          <w:color w:val="000000" w:themeColor="text1"/>
        </w:rPr>
      </w:pPr>
      <w:r>
        <w:rPr>
          <w:color w:val="000000" w:themeColor="text1"/>
        </w:rPr>
        <w:t xml:space="preserve">b. </w:t>
      </w:r>
      <w:r w:rsidRPr="00AF73D3">
        <w:rPr>
          <w:color w:val="000000" w:themeColor="text1"/>
        </w:rPr>
        <w:t>Specialist Neonatal and Paediatric Surgery Department, Great Ormond Street Hospital, Great Ormond Street, London, WC1N 3JH</w:t>
      </w:r>
    </w:p>
    <w:p w14:paraId="1A73ABE9" w14:textId="256A12AF" w:rsidR="00AF73D3" w:rsidRPr="00AF73D3" w:rsidRDefault="00AF73D3" w:rsidP="00AF73D3">
      <w:pPr>
        <w:rPr>
          <w:color w:val="000000" w:themeColor="text1"/>
        </w:rPr>
      </w:pPr>
      <w:r>
        <w:rPr>
          <w:color w:val="000000" w:themeColor="text1"/>
        </w:rPr>
        <w:t xml:space="preserve">c. </w:t>
      </w:r>
      <w:proofErr w:type="spellStart"/>
      <w:r w:rsidRPr="00AF73D3">
        <w:rPr>
          <w:color w:val="000000" w:themeColor="text1"/>
        </w:rPr>
        <w:t>Bilddiagnostik</w:t>
      </w:r>
      <w:proofErr w:type="spellEnd"/>
      <w:r w:rsidRPr="00AF73D3">
        <w:rPr>
          <w:color w:val="000000" w:themeColor="text1"/>
        </w:rPr>
        <w:t xml:space="preserve">, </w:t>
      </w:r>
      <w:proofErr w:type="spellStart"/>
      <w:r w:rsidRPr="00AF73D3">
        <w:rPr>
          <w:color w:val="000000" w:themeColor="text1"/>
        </w:rPr>
        <w:t>Bilddiagnostik</w:t>
      </w:r>
      <w:proofErr w:type="spellEnd"/>
      <w:r w:rsidRPr="00AF73D3">
        <w:rPr>
          <w:color w:val="000000" w:themeColor="text1"/>
        </w:rPr>
        <w:t xml:space="preserve">, Paediatric Interventional Radiology, University Children’s Hospital, </w:t>
      </w:r>
      <w:proofErr w:type="spellStart"/>
      <w:r w:rsidRPr="00AF73D3">
        <w:rPr>
          <w:color w:val="000000" w:themeColor="text1"/>
        </w:rPr>
        <w:t>Steinwiesstrasse</w:t>
      </w:r>
      <w:proofErr w:type="spellEnd"/>
      <w:r w:rsidRPr="00AF73D3">
        <w:rPr>
          <w:color w:val="000000" w:themeColor="text1"/>
        </w:rPr>
        <w:t xml:space="preserve"> 75, CH-8032 Zürich.</w:t>
      </w:r>
      <w:r>
        <w:rPr>
          <w:color w:val="000000" w:themeColor="text1"/>
        </w:rPr>
        <w:br/>
      </w:r>
    </w:p>
    <w:p w14:paraId="48DE4005" w14:textId="53888691" w:rsidR="00AB77E7" w:rsidRPr="00AF73D3" w:rsidRDefault="00AB77E7" w:rsidP="00AB77E7">
      <w:pPr>
        <w:pStyle w:val="Heading2"/>
        <w:rPr>
          <w:color w:val="000000" w:themeColor="text1"/>
        </w:rPr>
      </w:pPr>
      <w:r w:rsidRPr="00AF73D3">
        <w:rPr>
          <w:color w:val="000000" w:themeColor="text1"/>
        </w:rPr>
        <w:t>Highlights</w:t>
      </w:r>
    </w:p>
    <w:p w14:paraId="61001862" w14:textId="77777777" w:rsidR="00AB77E7" w:rsidRPr="00AF73D3" w:rsidRDefault="00AB77E7" w:rsidP="00AB77E7">
      <w:pPr>
        <w:pStyle w:val="ListParagraph"/>
        <w:numPr>
          <w:ilvl w:val="0"/>
          <w:numId w:val="2"/>
        </w:numPr>
        <w:spacing w:before="100" w:beforeAutospacing="1" w:after="100" w:afterAutospacing="1"/>
        <w:rPr>
          <w:color w:val="000000" w:themeColor="text1"/>
        </w:rPr>
      </w:pPr>
      <w:r w:rsidRPr="00AF73D3">
        <w:rPr>
          <w:color w:val="000000" w:themeColor="text1"/>
        </w:rPr>
        <w:t xml:space="preserve">Paediatric interventional radiology </w:t>
      </w:r>
      <w:proofErr w:type="gramStart"/>
      <w:r w:rsidRPr="00AF73D3">
        <w:rPr>
          <w:color w:val="000000" w:themeColor="text1"/>
        </w:rPr>
        <w:t>offer</w:t>
      </w:r>
      <w:proofErr w:type="gramEnd"/>
      <w:r w:rsidRPr="00AF73D3">
        <w:rPr>
          <w:color w:val="000000" w:themeColor="text1"/>
        </w:rPr>
        <w:t xml:space="preserve"> minimally invasive treatments.</w:t>
      </w:r>
    </w:p>
    <w:p w14:paraId="4AFF155B" w14:textId="77777777" w:rsidR="00AB77E7" w:rsidRPr="00AF73D3" w:rsidRDefault="00AB77E7" w:rsidP="00AB77E7">
      <w:pPr>
        <w:pStyle w:val="ListParagraph"/>
        <w:numPr>
          <w:ilvl w:val="0"/>
          <w:numId w:val="2"/>
        </w:numPr>
        <w:spacing w:before="100" w:beforeAutospacing="1" w:after="100" w:afterAutospacing="1"/>
        <w:rPr>
          <w:color w:val="000000" w:themeColor="text1"/>
        </w:rPr>
      </w:pPr>
      <w:r w:rsidRPr="00AF73D3">
        <w:rPr>
          <w:color w:val="000000" w:themeColor="text1"/>
        </w:rPr>
        <w:t>IR treatment in the GI tract is a safe and effective alternative to more invasive procedures.</w:t>
      </w:r>
    </w:p>
    <w:p w14:paraId="1C674B4A" w14:textId="51E7F717" w:rsidR="00AB77E7" w:rsidRPr="00AF73D3" w:rsidRDefault="00AB77E7" w:rsidP="00AB77E7">
      <w:pPr>
        <w:pStyle w:val="ListParagraph"/>
        <w:numPr>
          <w:ilvl w:val="0"/>
          <w:numId w:val="2"/>
        </w:numPr>
        <w:spacing w:before="100" w:beforeAutospacing="1" w:after="100" w:afterAutospacing="1"/>
        <w:rPr>
          <w:color w:val="000000" w:themeColor="text1"/>
        </w:rPr>
      </w:pPr>
      <w:r w:rsidRPr="00AF73D3">
        <w:rPr>
          <w:color w:val="000000" w:themeColor="text1"/>
        </w:rPr>
        <w:t>Sclerotherapy, stricture management, stenting, and enteral access are discussed.</w:t>
      </w:r>
    </w:p>
    <w:p w14:paraId="41C00CF5" w14:textId="77777777" w:rsidR="00AB77E7" w:rsidRPr="00AF73D3" w:rsidRDefault="00AB77E7" w:rsidP="00AB77E7">
      <w:pPr>
        <w:pStyle w:val="Heading2"/>
        <w:rPr>
          <w:color w:val="000000" w:themeColor="text1"/>
        </w:rPr>
      </w:pPr>
      <w:r w:rsidRPr="00AF73D3">
        <w:rPr>
          <w:color w:val="000000" w:themeColor="text1"/>
        </w:rPr>
        <w:t>Abstract</w:t>
      </w:r>
    </w:p>
    <w:p w14:paraId="7FBDD9E2" w14:textId="77777777" w:rsidR="00AB77E7" w:rsidRPr="00AF73D3" w:rsidRDefault="00AB77E7" w:rsidP="00AB77E7">
      <w:pPr>
        <w:pStyle w:val="NormalWeb"/>
        <w:rPr>
          <w:color w:val="000000" w:themeColor="text1"/>
        </w:rPr>
      </w:pPr>
      <w:r w:rsidRPr="00AF73D3">
        <w:rPr>
          <w:color w:val="000000" w:themeColor="text1"/>
        </w:rPr>
        <w:t>Paediatric interventional radiology is an evolving speciality which is able to offer numerous minimally invasive treatments for gastrointestinal tract pathologies. Here we describe interventions performed by paediatric interventional radiologists on the alimentary tract from the mouth to the rectum. The interventions include sclerotherapy, stricture management by dilation, stenting and adjunctive therapies such as Mitomycin C administration and enteral access for feeding, motility assessment and administration of enemas.</w:t>
      </w:r>
    </w:p>
    <w:p w14:paraId="315CACDC" w14:textId="77777777" w:rsidR="00AB77E7" w:rsidRPr="00AF73D3" w:rsidRDefault="00AB77E7" w:rsidP="00AB77E7">
      <w:pPr>
        <w:pStyle w:val="Heading4"/>
        <w:rPr>
          <w:color w:val="000000" w:themeColor="text1"/>
        </w:rPr>
      </w:pPr>
      <w:r w:rsidRPr="00AF73D3">
        <w:rPr>
          <w:color w:val="000000" w:themeColor="text1"/>
        </w:rPr>
        <w:t xml:space="preserve">Abbreviations: </w:t>
      </w:r>
    </w:p>
    <w:p w14:paraId="4B605434" w14:textId="0239B0D0" w:rsidR="00AB77E7" w:rsidRPr="00AF73D3" w:rsidRDefault="00AB77E7" w:rsidP="00AB77E7">
      <w:pPr>
        <w:rPr>
          <w:color w:val="000000" w:themeColor="text1"/>
        </w:rPr>
      </w:pPr>
      <w:r w:rsidRPr="00AF73D3">
        <w:rPr>
          <w:color w:val="000000" w:themeColor="text1"/>
        </w:rPr>
        <w:t>ACE (antegrade colonic enema), ADM (</w:t>
      </w:r>
      <w:proofErr w:type="spellStart"/>
      <w:r w:rsidRPr="00AF73D3">
        <w:rPr>
          <w:color w:val="000000" w:themeColor="text1"/>
        </w:rPr>
        <w:t>antroduodenal</w:t>
      </w:r>
      <w:proofErr w:type="spellEnd"/>
      <w:r w:rsidRPr="00AF73D3">
        <w:rPr>
          <w:color w:val="000000" w:themeColor="text1"/>
        </w:rPr>
        <w:t xml:space="preserve"> manometry), CM (colonic manometry), BTX-A (botulinum toxin A), GI (gastrointestinal), GJ tube (</w:t>
      </w:r>
      <w:proofErr w:type="spellStart"/>
      <w:r w:rsidRPr="00AF73D3">
        <w:rPr>
          <w:color w:val="000000" w:themeColor="text1"/>
        </w:rPr>
        <w:t>gastrojejunal</w:t>
      </w:r>
      <w:proofErr w:type="spellEnd"/>
      <w:r w:rsidRPr="00AF73D3">
        <w:rPr>
          <w:color w:val="000000" w:themeColor="text1"/>
        </w:rPr>
        <w:t xml:space="preserve"> tube), IR (interventional radiology), PTFE (polytetrafluoroethylene), STS (sodium tetradecyl sulphate), US (ultrasound)</w:t>
      </w:r>
    </w:p>
    <w:p w14:paraId="498B3864" w14:textId="77777777" w:rsidR="00AB77E7" w:rsidRPr="00AF73D3" w:rsidRDefault="00AB77E7" w:rsidP="00AB77E7">
      <w:pPr>
        <w:pStyle w:val="Heading4"/>
        <w:rPr>
          <w:color w:val="000000" w:themeColor="text1"/>
        </w:rPr>
      </w:pPr>
      <w:r w:rsidRPr="00AF73D3">
        <w:rPr>
          <w:color w:val="000000" w:themeColor="text1"/>
        </w:rPr>
        <w:t xml:space="preserve">Keywords: </w:t>
      </w:r>
    </w:p>
    <w:p w14:paraId="7CFF2493" w14:textId="6722E61E" w:rsidR="00AB77E7" w:rsidRPr="00AF73D3" w:rsidRDefault="00AB77E7" w:rsidP="00AB77E7">
      <w:pPr>
        <w:rPr>
          <w:color w:val="000000" w:themeColor="text1"/>
        </w:rPr>
      </w:pPr>
      <w:r w:rsidRPr="00AF73D3">
        <w:rPr>
          <w:color w:val="000000" w:themeColor="text1"/>
        </w:rPr>
        <w:t xml:space="preserve">Paediatric interventional radiology, Gastrointestinal, Gastrostomy, </w:t>
      </w:r>
      <w:proofErr w:type="spellStart"/>
      <w:r w:rsidRPr="00AF73D3">
        <w:rPr>
          <w:color w:val="000000" w:themeColor="text1"/>
        </w:rPr>
        <w:t>Gastrojejunal</w:t>
      </w:r>
      <w:proofErr w:type="spellEnd"/>
      <w:r w:rsidRPr="00AF73D3">
        <w:rPr>
          <w:color w:val="000000" w:themeColor="text1"/>
        </w:rPr>
        <w:t xml:space="preserve">, Oesophageal dilation, Caecostomy, </w:t>
      </w:r>
      <w:proofErr w:type="spellStart"/>
      <w:r w:rsidRPr="00AF73D3">
        <w:rPr>
          <w:color w:val="000000" w:themeColor="text1"/>
        </w:rPr>
        <w:t>Antroduodenal</w:t>
      </w:r>
      <w:proofErr w:type="spellEnd"/>
      <w:r w:rsidRPr="00AF73D3">
        <w:rPr>
          <w:color w:val="000000" w:themeColor="text1"/>
        </w:rPr>
        <w:t xml:space="preserve"> manometry, Colonic manometry, Mitomycin C</w:t>
      </w:r>
    </w:p>
    <w:p w14:paraId="08D68718" w14:textId="77777777" w:rsidR="00C5282B" w:rsidRDefault="00C5282B" w:rsidP="00AB77E7">
      <w:pPr>
        <w:spacing w:before="100" w:beforeAutospacing="1" w:after="100" w:afterAutospacing="1"/>
        <w:outlineLvl w:val="1"/>
        <w:rPr>
          <w:b/>
          <w:bCs/>
          <w:color w:val="000000" w:themeColor="text1"/>
          <w:sz w:val="36"/>
          <w:szCs w:val="36"/>
        </w:rPr>
      </w:pPr>
    </w:p>
    <w:p w14:paraId="1FDC0D87" w14:textId="35FB6821" w:rsidR="00AB77E7" w:rsidRPr="00AF73D3" w:rsidRDefault="00AB77E7" w:rsidP="00AB77E7">
      <w:pPr>
        <w:spacing w:before="100" w:beforeAutospacing="1" w:after="100" w:afterAutospacing="1"/>
        <w:outlineLvl w:val="1"/>
        <w:rPr>
          <w:b/>
          <w:bCs/>
          <w:color w:val="000000" w:themeColor="text1"/>
          <w:sz w:val="36"/>
          <w:szCs w:val="36"/>
        </w:rPr>
      </w:pPr>
      <w:r w:rsidRPr="00AF73D3">
        <w:rPr>
          <w:b/>
          <w:bCs/>
          <w:color w:val="000000" w:themeColor="text1"/>
          <w:sz w:val="36"/>
          <w:szCs w:val="36"/>
        </w:rPr>
        <w:lastRenderedPageBreak/>
        <w:t>1. Introduction</w:t>
      </w:r>
    </w:p>
    <w:p w14:paraId="57FFAB1D" w14:textId="57C5E351" w:rsidR="00AB77E7" w:rsidRPr="00AF73D3" w:rsidRDefault="00AB77E7" w:rsidP="00AB77E7">
      <w:pPr>
        <w:spacing w:before="100" w:beforeAutospacing="1" w:after="100" w:afterAutospacing="1"/>
        <w:rPr>
          <w:color w:val="000000" w:themeColor="text1"/>
        </w:rPr>
      </w:pPr>
      <w:r w:rsidRPr="00AF73D3">
        <w:rPr>
          <w:color w:val="000000" w:themeColor="text1"/>
        </w:rPr>
        <w:t>Minimally invasive surgery is becoming the gold standard for the treatment of many diseases in children. In parallel, the recent, fast development of paediatric interventional radiology (IR) offers the opportunity of minimise treatment for children who would normally undergo more extensive surgery. Paediatric IR procedures are performed throughout the body on a range of pathologies. Interventions on the gastrointestinal (GI) tract are often performed in children with complex multi-pathology conditions. To optimize patient preparation and longitudinal patient care, before undertaking interventions, specialists from relevant fields should to be consulted, either in joint clinics or in multi-disciplinary meetings [1, 2, 3]. Additionally, the approach to patient care in Paediatric IR should to be family-centred, as the family is integral to the paediatric patient's well-being and recovery [1].</w:t>
      </w:r>
    </w:p>
    <w:p w14:paraId="065464C9" w14:textId="77777777" w:rsidR="00AB77E7" w:rsidRPr="00AF73D3" w:rsidRDefault="00AB77E7" w:rsidP="00AB77E7">
      <w:pPr>
        <w:spacing w:before="100" w:beforeAutospacing="1" w:after="100" w:afterAutospacing="1"/>
        <w:rPr>
          <w:color w:val="000000" w:themeColor="text1"/>
        </w:rPr>
      </w:pPr>
      <w:r w:rsidRPr="00AF73D3">
        <w:rPr>
          <w:color w:val="000000" w:themeColor="text1"/>
        </w:rPr>
        <w:t>We describe interventions performed by paediatric IR on the alimentary tract from the oropharynx to the rectum. The interventions include sclerotherapy, stricture management by dilation, stenting and adjunctive therapies such as Mitomycin C administration and enteral access for feeding, motility assessment and administration of enemas. Hepatobiliary interventions and endovascular treatment of gastro-intestinal haemorrhage are not discussed.</w:t>
      </w:r>
    </w:p>
    <w:p w14:paraId="6EAB200D" w14:textId="77777777" w:rsidR="00AB77E7" w:rsidRPr="00AF73D3" w:rsidRDefault="00AB77E7" w:rsidP="00AB77E7">
      <w:pPr>
        <w:spacing w:before="100" w:beforeAutospacing="1" w:after="100" w:afterAutospacing="1"/>
        <w:outlineLvl w:val="1"/>
        <w:rPr>
          <w:b/>
          <w:bCs/>
          <w:color w:val="000000" w:themeColor="text1"/>
          <w:sz w:val="36"/>
          <w:szCs w:val="36"/>
        </w:rPr>
      </w:pPr>
      <w:r w:rsidRPr="00AF73D3">
        <w:rPr>
          <w:b/>
          <w:bCs/>
          <w:color w:val="000000" w:themeColor="text1"/>
          <w:sz w:val="36"/>
          <w:szCs w:val="36"/>
        </w:rPr>
        <w:t>2. Salivary gland intervention</w:t>
      </w:r>
    </w:p>
    <w:p w14:paraId="35F972EE" w14:textId="07C02BD5" w:rsidR="00AB77E7" w:rsidRPr="00AF73D3" w:rsidRDefault="00AB77E7" w:rsidP="00AB77E7">
      <w:pPr>
        <w:spacing w:before="100" w:beforeAutospacing="1" w:after="100" w:afterAutospacing="1"/>
        <w:rPr>
          <w:color w:val="000000" w:themeColor="text1"/>
        </w:rPr>
      </w:pPr>
      <w:r w:rsidRPr="00AF73D3">
        <w:rPr>
          <w:color w:val="000000" w:themeColor="text1"/>
        </w:rPr>
        <w:t xml:space="preserve">Drooling in neurologically impaired children is often due to impaired swallowing. This can be treated by ultrasound-guided (US-guided) injection of Botulinum Toxin A (BTX-A) into both submandibular glands (and in some institutions into both parotid glands also) usually under general anaesthesia. This is an off-label use. The glands are identified with US, and then injected with a fine needle. Dosage and frequency of injections are not established and a range of doses are reported [4, 5, 6, 7, 8]. The amount of toxin injected depends on the preparation. We use </w:t>
      </w:r>
      <w:proofErr w:type="spellStart"/>
      <w:r w:rsidRPr="00AF73D3">
        <w:rPr>
          <w:color w:val="000000" w:themeColor="text1"/>
        </w:rPr>
        <w:t>Dysport</w:t>
      </w:r>
      <w:proofErr w:type="spellEnd"/>
      <w:r w:rsidRPr="00AF73D3">
        <w:rPr>
          <w:color w:val="000000" w:themeColor="text1"/>
        </w:rPr>
        <w:t xml:space="preserve"> (Ipsen </w:t>
      </w:r>
      <w:proofErr w:type="spellStart"/>
      <w:r w:rsidRPr="00AF73D3">
        <w:rPr>
          <w:color w:val="000000" w:themeColor="text1"/>
        </w:rPr>
        <w:t>Biopharm</w:t>
      </w:r>
      <w:proofErr w:type="spellEnd"/>
      <w:r w:rsidRPr="00AF73D3">
        <w:rPr>
          <w:color w:val="000000" w:themeColor="text1"/>
        </w:rPr>
        <w:t>, Wrexham, UK), and inject 3 U/kg, up to a maximum of 150 U, into each submandibular gland. Treatment has been reported effective in 68% of patients in a recent large series [6]. Children with severe neurological dysfunction, as measured by the Gross Motor Function Classification System score, have been found to respond to BTX-A injections as effectively as those with less severe neurological dysfunction. From this, it appears that the degree of response to treatment is not associated with the severity of neurological disability [7]. Treatment effect is most favourable between 1 and 6 months [4]. Children form antibodies to Botox more readily than adults, and this can affect efficacy [9]. Patients who undergo repeated injections do not have improved outcomes beyond that of the first procedure [6]. Repeat injection because of symptom recurrence results in symptom improvement; however, repeat injection because of failure is associated with a poor prognosis, frequently resulting in treatment failure [4]. In such cases, consideration can be given to injection of Botulinum Toxin B. Adverse effects are rare. In a series of 144 procedures, three complications occurred (&lt;2%). [6]. The most significant reported adverse effects are over-drying of salivary secretions, dysphagia, requiring nasogastric feeding, and pneumonia.</w:t>
      </w:r>
    </w:p>
    <w:p w14:paraId="3DBAF6FE" w14:textId="77777777" w:rsidR="00AB77E7" w:rsidRPr="00AF73D3" w:rsidRDefault="00AB77E7" w:rsidP="00AB77E7">
      <w:pPr>
        <w:spacing w:before="100" w:beforeAutospacing="1" w:after="100" w:afterAutospacing="1"/>
        <w:outlineLvl w:val="1"/>
        <w:rPr>
          <w:b/>
          <w:bCs/>
          <w:color w:val="000000" w:themeColor="text1"/>
          <w:sz w:val="36"/>
          <w:szCs w:val="36"/>
        </w:rPr>
      </w:pPr>
      <w:r w:rsidRPr="00AF73D3">
        <w:rPr>
          <w:b/>
          <w:bCs/>
          <w:color w:val="000000" w:themeColor="text1"/>
          <w:sz w:val="36"/>
          <w:szCs w:val="36"/>
        </w:rPr>
        <w:t>3. Sclerotherapy in the mouth and oropharynx</w:t>
      </w:r>
    </w:p>
    <w:p w14:paraId="48A242A4" w14:textId="093689EB" w:rsidR="00AB77E7" w:rsidRPr="00AF73D3" w:rsidRDefault="00AB77E7" w:rsidP="00AB77E7">
      <w:pPr>
        <w:spacing w:before="100" w:beforeAutospacing="1" w:after="100" w:afterAutospacing="1"/>
        <w:rPr>
          <w:color w:val="000000" w:themeColor="text1"/>
        </w:rPr>
      </w:pPr>
      <w:r w:rsidRPr="00AF73D3">
        <w:rPr>
          <w:color w:val="000000" w:themeColor="text1"/>
        </w:rPr>
        <w:t xml:space="preserve">Low flow vascular malformations are congenital vascular anomalies. They often affect the head and neck region and can be effectively treated by sclerotherapy. Venous malformations </w:t>
      </w:r>
      <w:r w:rsidRPr="00AF73D3">
        <w:rPr>
          <w:color w:val="000000" w:themeColor="text1"/>
        </w:rPr>
        <w:lastRenderedPageBreak/>
        <w:t>are a type of low flow vascular malformation involving veins. Venous malformations affecting the tongue, buccal and pharyngeal mucosa respond particularly well to sclerotherapy. Surgery for such lesions is often difficult when there is diffuse involvement of critical structures, and may be dangerous due to the risk of severe haemorrhage [10]. For intra-oral venous malformations, our sclerotherapy agent of choice is now Bleomycin as it causes minimal post-procedural swelling and risk of ulceration [11], when compared to Sodium Tetradecyl Sulphate (STS) or Ethanol. However, sclerotherapy agent choice remains an area of contention [12]. In a retrospective review on the use of 3% STS foam injection sclerotherapy to treat 12 children with venous malformations of the oral and pharyngeal region, the overall response rate was 83%. Complete resolution was achieved in 4 cases (33%), with a significant reduction in size in a further 6 cases (50%). There was an average of 3 treatments per patient, with 4 patients requiring only one treatment. Only one patient suffered minor bleeding following transcutaneous injection in this cohort [10].</w:t>
      </w:r>
    </w:p>
    <w:p w14:paraId="13E37BA7" w14:textId="77777777" w:rsidR="00AB77E7" w:rsidRPr="00AF73D3" w:rsidRDefault="00AB77E7" w:rsidP="00AB77E7">
      <w:pPr>
        <w:spacing w:before="100" w:beforeAutospacing="1" w:after="100" w:afterAutospacing="1"/>
        <w:rPr>
          <w:color w:val="000000" w:themeColor="text1"/>
        </w:rPr>
      </w:pPr>
      <w:r w:rsidRPr="00AF73D3">
        <w:rPr>
          <w:color w:val="000000" w:themeColor="text1"/>
        </w:rPr>
        <w:t>To perform sclerotherapy, multiple needles are initially used to access the lesion usually under US-guidance either trans-orally or percutaneously. Under DSA, contrast injection is then performed through each needle to confirm their intra-lesion positions, as well as to assess the distribution of any subsequent sclerosant injection, venous outflow and reflux into arteries supplying the area. Following this, the sclerosant of choice is injected.</w:t>
      </w:r>
    </w:p>
    <w:p w14:paraId="190B62A1" w14:textId="416409C3" w:rsidR="00AB77E7" w:rsidRPr="00AF73D3" w:rsidRDefault="00AB77E7" w:rsidP="00AB77E7">
      <w:pPr>
        <w:spacing w:before="100" w:beforeAutospacing="1" w:after="100" w:afterAutospacing="1"/>
        <w:rPr>
          <w:color w:val="000000" w:themeColor="text1"/>
        </w:rPr>
      </w:pPr>
      <w:r w:rsidRPr="00AF73D3">
        <w:rPr>
          <w:color w:val="000000" w:themeColor="text1"/>
        </w:rPr>
        <w:t>When performing sclerotherapy in the oropharynx, we routinely administer Dexamethasone and prophylactic antibiotics, to reduce swelling and minimise infection. The potential impact of post-procedural swelling on breathing and feeding must be considered prior to treatment. Sclerotherapy has also been shown to be effective for the treatment of lymphatic malformations in the oral cavity [13,14].</w:t>
      </w:r>
    </w:p>
    <w:p w14:paraId="64D36D5D" w14:textId="44D6B68F" w:rsidR="00AB77E7" w:rsidRPr="00AF73D3" w:rsidRDefault="00AB77E7" w:rsidP="00AB77E7">
      <w:pPr>
        <w:spacing w:before="100" w:beforeAutospacing="1" w:after="100" w:afterAutospacing="1"/>
        <w:rPr>
          <w:color w:val="000000" w:themeColor="text1"/>
        </w:rPr>
      </w:pPr>
      <w:r w:rsidRPr="00AF73D3">
        <w:rPr>
          <w:color w:val="000000" w:themeColor="text1"/>
        </w:rPr>
        <w:t xml:space="preserve">In addition to treating low flow vascular malformations, sclerotherapy can be successfully performed for plunging </w:t>
      </w:r>
      <w:proofErr w:type="spellStart"/>
      <w:r w:rsidRPr="00AF73D3">
        <w:rPr>
          <w:color w:val="000000" w:themeColor="text1"/>
        </w:rPr>
        <w:t>ranulas</w:t>
      </w:r>
      <w:proofErr w:type="spellEnd"/>
      <w:r w:rsidRPr="00AF73D3">
        <w:rPr>
          <w:color w:val="000000" w:themeColor="text1"/>
        </w:rPr>
        <w:t xml:space="preserve">. </w:t>
      </w:r>
      <w:proofErr w:type="spellStart"/>
      <w:r w:rsidRPr="00AF73D3">
        <w:rPr>
          <w:color w:val="000000" w:themeColor="text1"/>
        </w:rPr>
        <w:t>Ranulas</w:t>
      </w:r>
      <w:proofErr w:type="spellEnd"/>
      <w:r w:rsidRPr="00AF73D3">
        <w:rPr>
          <w:color w:val="000000" w:themeColor="text1"/>
        </w:rPr>
        <w:t xml:space="preserve"> are acquired, minor, benign salivary gland retention cysts that occur at the floor of mouth. They elevate the mucosa, and often have a 'bluish' tinge. Surgery has traditionally been the treatment for </w:t>
      </w:r>
      <w:proofErr w:type="spellStart"/>
      <w:r w:rsidRPr="00AF73D3">
        <w:rPr>
          <w:color w:val="000000" w:themeColor="text1"/>
        </w:rPr>
        <w:t>ranulas</w:t>
      </w:r>
      <w:proofErr w:type="spellEnd"/>
      <w:r w:rsidRPr="00AF73D3">
        <w:rPr>
          <w:color w:val="000000" w:themeColor="text1"/>
        </w:rPr>
        <w:t>; however, sclerotherapy has been recently advocated as a less invasive and extremely effective alternative. This has been performed successfully by injection of various agents, including OK-432 and ethanol, under US-guidance [15].</w:t>
      </w:r>
    </w:p>
    <w:p w14:paraId="1E176F70" w14:textId="77777777" w:rsidR="00AB77E7" w:rsidRPr="00AF73D3" w:rsidRDefault="00AB77E7" w:rsidP="00AB77E7">
      <w:pPr>
        <w:spacing w:before="100" w:beforeAutospacing="1" w:after="100" w:afterAutospacing="1"/>
        <w:outlineLvl w:val="1"/>
        <w:rPr>
          <w:b/>
          <w:bCs/>
          <w:color w:val="000000" w:themeColor="text1"/>
          <w:sz w:val="36"/>
          <w:szCs w:val="36"/>
        </w:rPr>
      </w:pPr>
      <w:r w:rsidRPr="00AF73D3">
        <w:rPr>
          <w:b/>
          <w:bCs/>
          <w:color w:val="000000" w:themeColor="text1"/>
          <w:sz w:val="36"/>
          <w:szCs w:val="36"/>
        </w:rPr>
        <w:t>4. Management of oesophageal strictures</w:t>
      </w:r>
    </w:p>
    <w:p w14:paraId="041AEFB0" w14:textId="77777777" w:rsidR="00AB77E7" w:rsidRPr="00AF73D3" w:rsidRDefault="00AB77E7" w:rsidP="00AB77E7">
      <w:pPr>
        <w:spacing w:before="100" w:beforeAutospacing="1" w:after="100" w:afterAutospacing="1"/>
        <w:outlineLvl w:val="2"/>
        <w:rPr>
          <w:b/>
          <w:bCs/>
          <w:color w:val="000000" w:themeColor="text1"/>
          <w:sz w:val="27"/>
          <w:szCs w:val="27"/>
        </w:rPr>
      </w:pPr>
      <w:r w:rsidRPr="00AF73D3">
        <w:rPr>
          <w:b/>
          <w:bCs/>
          <w:color w:val="000000" w:themeColor="text1"/>
          <w:sz w:val="27"/>
          <w:szCs w:val="27"/>
        </w:rPr>
        <w:t>4.1. Oesophageal dilation</w:t>
      </w:r>
    </w:p>
    <w:p w14:paraId="1869D7CE" w14:textId="25FEF589" w:rsidR="00AB77E7" w:rsidRPr="00AF73D3" w:rsidRDefault="00AB77E7" w:rsidP="00AB77E7">
      <w:pPr>
        <w:spacing w:before="100" w:beforeAutospacing="1" w:after="100" w:afterAutospacing="1"/>
        <w:rPr>
          <w:color w:val="000000" w:themeColor="text1"/>
        </w:rPr>
      </w:pPr>
      <w:r w:rsidRPr="00AF73D3">
        <w:rPr>
          <w:color w:val="000000" w:themeColor="text1"/>
        </w:rPr>
        <w:t xml:space="preserve">The most common paediatric IR procedure in the oesophagus is the dilation of oesophageal strictures. Oesophageal strictures in children may occur as a result of congenital anomalies, complications secondary to either caustic injury, gastro-oesophageal reflux or surgical correction of oesophageal atresia, or in patients with epidermolysis bullosa. Following oesophageal atresia repairs, 18–30% of oesophageal anastomoses develop strictures [16]. Those strictures usually respond well to multiple dilations, however in case of failure of multiple dilations alternative treatment such as steroids injections, mitomycin applications or stents leads to poor outcome [17]. In children with epidermolysis bullosa, a heterogeneous group of inherited congenital disorders characterised by blistering and scarring of skin and mucosa after minor trauma, GI involvement can represent a serious, difficult to manage, complication. Mouth blistering, fusion of the tongue to the floor of the mouth, oesophageal </w:t>
      </w:r>
      <w:r w:rsidRPr="00AF73D3">
        <w:rPr>
          <w:color w:val="000000" w:themeColor="text1"/>
        </w:rPr>
        <w:lastRenderedPageBreak/>
        <w:t>webs, strictures, and scarring can all occur, and they can cause severe dysphagia [18]. Oesophageal strictures occur most often (74%) in the upper third of the oesophagus [18]. Caustic injury to the oesophagus, which occurs when a strong alkali is ingested, is an injury to the mucosal surface that occurs within seconds and can result in severe and extensive stricture formation which can become evident only following weeks after the initial injury [19].</w:t>
      </w:r>
    </w:p>
    <w:p w14:paraId="5BEAFBBF" w14:textId="0689370A" w:rsidR="00AF73D3" w:rsidRPr="00AF73D3" w:rsidRDefault="00AB77E7" w:rsidP="00AF73D3">
      <w:pPr>
        <w:spacing w:before="100" w:beforeAutospacing="1" w:after="100" w:afterAutospacing="1"/>
        <w:rPr>
          <w:color w:val="000000" w:themeColor="text1"/>
        </w:rPr>
      </w:pPr>
      <w:r w:rsidRPr="00AF73D3">
        <w:rPr>
          <w:color w:val="000000" w:themeColor="text1"/>
        </w:rPr>
        <w:t>Oesophageal dilations are performed under general anaesthesia with endotracheal intubation. The oesophagus is initially visualised via fluoroscopy, with a water-soluble contrast medium injected through a curved-tip angiographic catheter. A flexible guidewire is then used to cross the oesophageal stricture, and an angioplasty balloon catheter is inserted into the oesophagus over the guidewire and placed across the stricture. Balloon inflation is performed under fluoroscopy to confirm successful abolishment of the “waist” (Fi</w:t>
      </w:r>
      <w:r w:rsidRPr="00AF73D3">
        <w:rPr>
          <w:color w:val="000000" w:themeColor="text1"/>
        </w:rPr>
        <w:t>g</w:t>
      </w:r>
      <w:r w:rsidRPr="00AF73D3">
        <w:rPr>
          <w:color w:val="000000" w:themeColor="text1"/>
        </w:rPr>
        <w:t xml:space="preserve">. 1). Balloon size selection </w:t>
      </w:r>
      <w:proofErr w:type="gramStart"/>
      <w:r w:rsidRPr="00AF73D3">
        <w:rPr>
          <w:color w:val="000000" w:themeColor="text1"/>
        </w:rPr>
        <w:t>takes into account</w:t>
      </w:r>
      <w:proofErr w:type="gramEnd"/>
      <w:r w:rsidRPr="00AF73D3">
        <w:rPr>
          <w:color w:val="000000" w:themeColor="text1"/>
        </w:rPr>
        <w:t xml:space="preserve"> the size of the patient, size of the ‘normal’ non-</w:t>
      </w:r>
      <w:proofErr w:type="spellStart"/>
      <w:r w:rsidRPr="00AF73D3">
        <w:rPr>
          <w:color w:val="000000" w:themeColor="text1"/>
        </w:rPr>
        <w:t>strictured</w:t>
      </w:r>
      <w:proofErr w:type="spellEnd"/>
      <w:r w:rsidRPr="00AF73D3">
        <w:rPr>
          <w:color w:val="000000" w:themeColor="text1"/>
        </w:rPr>
        <w:t xml:space="preserve"> oesophagus and degree of stricture. Following balloon inflation, a repeat contrast injection into the oesophagus is performed to check whether perforation has occurred. Balloon dilation allows for the application of uniform axial forces for radial stricture dilation. This avoids the abrupt shearing forces that are inevitable with endoscopic bougienage [20], thereby decreasing the risk of oesophageal perforation. Following recovery from anaesthesia, there is gradual introduction of oral intake. Numerous dilations are often required to achieve a lasting benefit. There remains a role for combined endoscopic and IR dilations when further diagnostic investigations such as oesophageal biopsies are required. A systematic review of balloon dilation of anastomotic strictures secondary to surgical repair of oesophageal atresia including five studies and 139 children found that approximately three dilations were required per child [16]. In another single centre study, 103 consecutive patients underwent 378 oesophageal dilations, with clinical success in 90% of patients. 43% of successful cases were achieved with just one dilation [21]. The most important adverse event is oesophageal perforation. This occurs following oesophageal dilation of anastomotic strictures in 1.0–1.8% of cases [16,21]</w:t>
      </w:r>
      <w:r w:rsidR="00AF73D3" w:rsidRPr="00AF73D3">
        <w:rPr>
          <w:color w:val="000000" w:themeColor="text1"/>
        </w:rPr>
        <w:t>.</w:t>
      </w:r>
    </w:p>
    <w:p w14:paraId="62B3646F" w14:textId="77777777" w:rsidR="00AF73D3" w:rsidRPr="00AF73D3" w:rsidRDefault="00AF73D3" w:rsidP="00AF73D3">
      <w:pPr>
        <w:spacing w:before="100" w:beforeAutospacing="1" w:after="100" w:afterAutospacing="1"/>
        <w:rPr>
          <w:b/>
          <w:bCs/>
          <w:color w:val="000000" w:themeColor="text1"/>
          <w:sz w:val="27"/>
          <w:szCs w:val="27"/>
        </w:rPr>
      </w:pPr>
      <w:r w:rsidRPr="00AF73D3">
        <w:rPr>
          <w:b/>
          <w:bCs/>
          <w:color w:val="000000" w:themeColor="text1"/>
          <w:sz w:val="27"/>
          <w:szCs w:val="27"/>
        </w:rPr>
        <w:t>4.2. Dilation in achalasia</w:t>
      </w:r>
    </w:p>
    <w:p w14:paraId="1720ECA4" w14:textId="77777777" w:rsidR="00AF73D3" w:rsidRPr="00AF73D3" w:rsidRDefault="00AF73D3" w:rsidP="00AF73D3">
      <w:pPr>
        <w:spacing w:before="100" w:beforeAutospacing="1" w:after="100" w:afterAutospacing="1"/>
        <w:rPr>
          <w:color w:val="000000" w:themeColor="text1"/>
        </w:rPr>
      </w:pPr>
      <w:r w:rsidRPr="00AF73D3">
        <w:rPr>
          <w:color w:val="000000" w:themeColor="text1"/>
        </w:rPr>
        <w:t>Balloon dilation of the lower oesophageal sphincter can also be used safely and effectively to manage children with achalasia. However, since balloon dilation achieves short-term symptomatic improvement, there is a high requirement for subsequent interventions compared to Heller’s myotomy. In a study of 48 children, 85% of balloon dilation cases vs 46.4% of Heller’s myotomy required subsequent interventions [22]. A history of previous balloon dilation has been suggested to negatively affect the success of a future Heller’s myotomy. Some authors thus recommend that balloon dilation be used as a second-line intervention in symptomatic patients following Heller’s myotomy, to further widen the already divided oesophageal musculature, as well as to distract any fibrotic tissue or adhesions which may have formed post-surgery [22]. Balloon dilation can also be useful in cases where gastric fundoplication wraps which are symptomatic due to being too tight.</w:t>
      </w:r>
    </w:p>
    <w:p w14:paraId="6522FBC9" w14:textId="77777777" w:rsidR="00AF73D3" w:rsidRPr="00AF73D3" w:rsidRDefault="00AF73D3" w:rsidP="00AF73D3">
      <w:pPr>
        <w:spacing w:before="100" w:beforeAutospacing="1" w:after="100" w:afterAutospacing="1"/>
        <w:outlineLvl w:val="2"/>
        <w:rPr>
          <w:b/>
          <w:bCs/>
          <w:color w:val="000000" w:themeColor="text1"/>
          <w:sz w:val="27"/>
          <w:szCs w:val="27"/>
        </w:rPr>
      </w:pPr>
      <w:r w:rsidRPr="00AF73D3">
        <w:rPr>
          <w:b/>
          <w:bCs/>
          <w:color w:val="000000" w:themeColor="text1"/>
          <w:sz w:val="27"/>
          <w:szCs w:val="27"/>
        </w:rPr>
        <w:t>4.3. Mitomycin-C application</w:t>
      </w:r>
    </w:p>
    <w:p w14:paraId="0A222E4E" w14:textId="77777777" w:rsidR="00AF73D3" w:rsidRPr="00AF73D3" w:rsidRDefault="00AF73D3" w:rsidP="00AF73D3">
      <w:pPr>
        <w:spacing w:before="100" w:beforeAutospacing="1" w:after="100" w:afterAutospacing="1"/>
        <w:rPr>
          <w:color w:val="000000" w:themeColor="text1"/>
        </w:rPr>
      </w:pPr>
      <w:r w:rsidRPr="00AF73D3">
        <w:rPr>
          <w:color w:val="000000" w:themeColor="text1"/>
        </w:rPr>
        <w:t xml:space="preserve">When oesophageal strictures are recalcitrant to repeated dilation, consideration can be given to application of mitomycin-C or stent placement. Mitomycin-C is an alkylating agent that inhibits DNA and protein synthesis. It inhibits fibroblast proliferation and collagen synthesis and is thought to prevent stricture recurrence by interfering with normal wound healing </w:t>
      </w:r>
      <w:r w:rsidRPr="00AF73D3">
        <w:rPr>
          <w:color w:val="000000" w:themeColor="text1"/>
        </w:rPr>
        <w:lastRenderedPageBreak/>
        <w:t xml:space="preserve">processes [23]. The evidence for Mitomycin-C is mixed; there are a number of studies which report its use at 0.1–1 mg/ml as an adjunct to dilation of benign oesophageal strictures. This resulted in improved outcomes in terms of resolution of symptoms and reduced number of dilations, without an increase in morbidity [24]. In contrast, there is at least one study which found no benefit in the resolution of the stricture when adding mitomycin-C treatment, compared with repeated oesophageal dilations alone [25]. Moreover, it has been recently shown that only 6 of 11 patients (55%) achieved a resolution of their strictures following a median number of 3 ± 2.5 dilations with Mitomycin C application per patient (range, 1–9). Five patients (45%) did not respond to Mitomycin C therapy, of which two needed </w:t>
      </w:r>
      <w:proofErr w:type="spellStart"/>
      <w:r w:rsidRPr="00AF73D3">
        <w:rPr>
          <w:color w:val="000000" w:themeColor="text1"/>
        </w:rPr>
        <w:t>esophageal</w:t>
      </w:r>
      <w:proofErr w:type="spellEnd"/>
      <w:r w:rsidRPr="00AF73D3">
        <w:rPr>
          <w:color w:val="000000" w:themeColor="text1"/>
        </w:rPr>
        <w:t xml:space="preserve"> redo-surgery [17]. Care must be taken to deliver mitomycin C to only the stricture mucosa, because mitomycin C interferes with collagen synthesis and may have local and/or systemic toxicities associated with inadvertent application to normal mucosa [23,26]. There are a number of mechanisms described for delivery whilst minimising non-target tissue contact. A large bore (12 F–16 F) vascular sheath placed into the oesophagus via existing gastrostomy with mitomycin-C–soaked pledgets delivered through the sheath [26] can be used. More recently a technique using a microporous polytetrafluoroethylene (PTFE) balloon (Clear-Way; Atrium Medical Corporation, Hudson, NH) has been described [23]. However, this device is no longer available.</w:t>
      </w:r>
    </w:p>
    <w:p w14:paraId="5C572978" w14:textId="77777777" w:rsidR="00AF73D3" w:rsidRPr="00AF73D3" w:rsidRDefault="00AF73D3" w:rsidP="00AF73D3">
      <w:pPr>
        <w:spacing w:before="100" w:beforeAutospacing="1" w:after="100" w:afterAutospacing="1"/>
        <w:outlineLvl w:val="2"/>
        <w:rPr>
          <w:b/>
          <w:bCs/>
          <w:color w:val="000000" w:themeColor="text1"/>
          <w:sz w:val="27"/>
          <w:szCs w:val="27"/>
        </w:rPr>
      </w:pPr>
      <w:r w:rsidRPr="00AF73D3">
        <w:rPr>
          <w:b/>
          <w:bCs/>
          <w:color w:val="000000" w:themeColor="text1"/>
          <w:sz w:val="27"/>
          <w:szCs w:val="27"/>
        </w:rPr>
        <w:t>4.4. Oesophageal stenting</w:t>
      </w:r>
    </w:p>
    <w:p w14:paraId="16DED735" w14:textId="77777777" w:rsidR="00AF73D3" w:rsidRPr="00AF73D3" w:rsidRDefault="00AF73D3" w:rsidP="00AF73D3">
      <w:pPr>
        <w:spacing w:before="100" w:beforeAutospacing="1" w:after="100" w:afterAutospacing="1"/>
        <w:rPr>
          <w:color w:val="000000" w:themeColor="text1"/>
        </w:rPr>
      </w:pPr>
      <w:r w:rsidRPr="00AF73D3">
        <w:rPr>
          <w:color w:val="000000" w:themeColor="text1"/>
        </w:rPr>
        <w:t xml:space="preserve">Oesophageal stents are regularly used in adults for the palliative treatment of malignant dysphagia. Self-expanding metal stents, self-expanding plastic stents, and biodegradable stents are available (Fig. 1). Their use in children is not well-established, and an ideal stenting strategy has yet to be determined. In a systematic review of balloon dilation of anastomotic strictures secondary to the surgical repair of oesophageal atresia, two of the 139 patients received a stent [16]. In another large series of 103 patients receiving balloon dilation, stents were inserted in three patients [21]. Use of covered oesophageal stents as also been reported for the successful management of caustic strictures [27] and iatrogenic oesophageal perforation [28]. Stent placement in strictures unresponsive to serial dilation have been successful. Reported rates of stricture resolution following stenting ranges from 26 to 86% [29]. Oesophageal stents apply continuous radial pressure over a sustained period, thereby conferring luminal patency. This allows oral feeding, as well as simultaneously stretching of the stricture. The consequent remodelling of scar tissue also reduces risk of recurrent stricture formation [29]. Oesophageal stents should be placed only after discussion with a multidisciplinary team. Ideally the stent should extend beyond the stricture by 1–2 cm at both ends, should not cross the gastro-oesophageal junction, and should not be too close to the upper oesophageal sphincter [30]. However, this is not always possible in a paediatric population. The ideal duration of stenting is not established, although 4–6 weeks is a typical time-scale [29,30]. Although stent migration may be the most frequent complication, occurring in 5–29% of children [30], perforation haemorrhage and airway compression are also possible complications [29]. Patients may also not tolerate stents due to vomiting or discomfort which may necessitate early removal of the stent. In the future this problem may be addressed by development of 3D printed polymer stents which will have the ability to adapt to </w:t>
      </w:r>
      <w:proofErr w:type="gramStart"/>
      <w:r w:rsidRPr="00AF73D3">
        <w:rPr>
          <w:color w:val="000000" w:themeColor="text1"/>
        </w:rPr>
        <w:t>patients</w:t>
      </w:r>
      <w:proofErr w:type="gramEnd"/>
      <w:r w:rsidRPr="00AF73D3">
        <w:rPr>
          <w:color w:val="000000" w:themeColor="text1"/>
        </w:rPr>
        <w:t xml:space="preserve"> variability, and at the same time serve as a drug delivery systems [31].</w:t>
      </w:r>
    </w:p>
    <w:p w14:paraId="7DF2D455" w14:textId="77777777" w:rsidR="00AF73D3" w:rsidRPr="00AF73D3" w:rsidRDefault="00AF73D3" w:rsidP="00AF73D3">
      <w:pPr>
        <w:spacing w:before="100" w:beforeAutospacing="1" w:after="100" w:afterAutospacing="1"/>
        <w:outlineLvl w:val="1"/>
        <w:rPr>
          <w:b/>
          <w:bCs/>
          <w:color w:val="000000" w:themeColor="text1"/>
          <w:sz w:val="36"/>
          <w:szCs w:val="36"/>
        </w:rPr>
      </w:pPr>
      <w:r w:rsidRPr="00AF73D3">
        <w:rPr>
          <w:b/>
          <w:bCs/>
          <w:color w:val="000000" w:themeColor="text1"/>
          <w:sz w:val="36"/>
          <w:szCs w:val="36"/>
        </w:rPr>
        <w:t>5. Bowel dilation</w:t>
      </w:r>
    </w:p>
    <w:p w14:paraId="47D319E2" w14:textId="6680D0AF" w:rsidR="00AF73D3" w:rsidRPr="00AF73D3" w:rsidRDefault="00AF73D3" w:rsidP="00AF73D3">
      <w:pPr>
        <w:spacing w:before="100" w:beforeAutospacing="1" w:after="100" w:afterAutospacing="1"/>
        <w:rPr>
          <w:color w:val="000000" w:themeColor="text1"/>
        </w:rPr>
      </w:pPr>
      <w:r w:rsidRPr="00AF73D3">
        <w:rPr>
          <w:color w:val="000000" w:themeColor="text1"/>
        </w:rPr>
        <w:lastRenderedPageBreak/>
        <w:t>In addition to oesophageal dilation, over-the-wire image-guided balloon dilation can be used for strictures elsewhere in the gastro-intestinal tract. In patients who have had a gastric pull-up, the pylorus may cause a functional obstruction. In such cases, dilation of the pylorus can help. Balloon dilation has also been used successfully in cases of caustic injury of the pylorus (Fig. 2) [32]. Successful dilation of the pylorus has also been used to avoid re-operation following post-surgical failure of pyloromyotomy secondary to recurrent pyloric stenosis [33]. Balloon dilation of congenital duodenal stenosis during the neonatal period, other small bowel strictures and colonic and rectal strictures secondary to necrotising enterocolitis, or previous surgery have all been reported to be safely performed [34,35]. In one series, 10 of 11 children younger than 2 years of age who underwent balloon dilation of small and large intestinal stenosis avoided surgery [35]. Balloon dilation is advantageous because, unlike stricture resection, it preserves bowel length [35]. Small and large bowel dilation is best performed over a stiff wire; this preserves access across the stricture and provides the necessary support to pass a balloon along what is often a tortuous approach.</w:t>
      </w:r>
    </w:p>
    <w:p w14:paraId="695DBB96" w14:textId="77777777" w:rsidR="00AF73D3" w:rsidRPr="00AF73D3" w:rsidRDefault="00AF73D3" w:rsidP="00AF73D3">
      <w:pPr>
        <w:spacing w:before="100" w:beforeAutospacing="1" w:after="100" w:afterAutospacing="1"/>
        <w:outlineLvl w:val="1"/>
        <w:rPr>
          <w:b/>
          <w:bCs/>
          <w:color w:val="000000" w:themeColor="text1"/>
          <w:sz w:val="36"/>
          <w:szCs w:val="36"/>
        </w:rPr>
      </w:pPr>
      <w:r w:rsidRPr="00AF73D3">
        <w:rPr>
          <w:b/>
          <w:bCs/>
          <w:color w:val="000000" w:themeColor="text1"/>
          <w:sz w:val="36"/>
          <w:szCs w:val="36"/>
        </w:rPr>
        <w:t>6. Enteral access for nutrition</w:t>
      </w:r>
    </w:p>
    <w:p w14:paraId="4BF24EA5" w14:textId="77777777" w:rsidR="00AF73D3" w:rsidRPr="00AF73D3" w:rsidRDefault="00AF73D3" w:rsidP="00AF73D3">
      <w:pPr>
        <w:spacing w:before="100" w:beforeAutospacing="1" w:after="100" w:afterAutospacing="1"/>
        <w:rPr>
          <w:color w:val="000000" w:themeColor="text1"/>
        </w:rPr>
      </w:pPr>
      <w:r w:rsidRPr="00AF73D3">
        <w:rPr>
          <w:color w:val="000000" w:themeColor="text1"/>
        </w:rPr>
        <w:t xml:space="preserve">Enteral access procedures range from simple </w:t>
      </w:r>
      <w:proofErr w:type="spellStart"/>
      <w:r w:rsidRPr="00AF73D3">
        <w:rPr>
          <w:color w:val="000000" w:themeColor="text1"/>
        </w:rPr>
        <w:t>nasojejunal</w:t>
      </w:r>
      <w:proofErr w:type="spellEnd"/>
      <w:r w:rsidRPr="00AF73D3">
        <w:rPr>
          <w:color w:val="000000" w:themeColor="text1"/>
        </w:rPr>
        <w:t xml:space="preserve"> tube placements for temporary nutritional support, to gastrostomy formation and </w:t>
      </w:r>
      <w:proofErr w:type="spellStart"/>
      <w:r w:rsidRPr="00AF73D3">
        <w:rPr>
          <w:color w:val="000000" w:themeColor="text1"/>
        </w:rPr>
        <w:t>gastrojejunal</w:t>
      </w:r>
      <w:proofErr w:type="spellEnd"/>
      <w:r w:rsidRPr="00AF73D3">
        <w:rPr>
          <w:color w:val="000000" w:themeColor="text1"/>
        </w:rPr>
        <w:t xml:space="preserve"> (GJ) tube placements for long term nutritional support. </w:t>
      </w:r>
      <w:proofErr w:type="spellStart"/>
      <w:r w:rsidRPr="00AF73D3">
        <w:rPr>
          <w:color w:val="000000" w:themeColor="text1"/>
        </w:rPr>
        <w:t>Naso</w:t>
      </w:r>
      <w:proofErr w:type="spellEnd"/>
      <w:r w:rsidRPr="00AF73D3">
        <w:rPr>
          <w:color w:val="000000" w:themeColor="text1"/>
        </w:rPr>
        <w:t>-jejunal tube placement will not discussed further here. The main indications for placement of a gastrostomy tube or a gastro-jejunal tube in a child are: gastric feeding, small bowel feeding, decompression of the GI tract, and diversion of intestinal contents to aid healing of intestinal fistulas [36,37].</w:t>
      </w:r>
    </w:p>
    <w:p w14:paraId="29BFF206" w14:textId="77777777" w:rsidR="00AF73D3" w:rsidRPr="00AF73D3" w:rsidRDefault="00AF73D3" w:rsidP="00AF73D3">
      <w:pPr>
        <w:spacing w:before="100" w:beforeAutospacing="1" w:after="100" w:afterAutospacing="1"/>
        <w:outlineLvl w:val="2"/>
        <w:rPr>
          <w:b/>
          <w:bCs/>
          <w:color w:val="000000" w:themeColor="text1"/>
          <w:sz w:val="27"/>
          <w:szCs w:val="27"/>
        </w:rPr>
      </w:pPr>
      <w:r w:rsidRPr="00AF73D3">
        <w:rPr>
          <w:b/>
          <w:bCs/>
          <w:color w:val="000000" w:themeColor="text1"/>
          <w:sz w:val="27"/>
          <w:szCs w:val="27"/>
        </w:rPr>
        <w:t>6.1. Gastrostomy insertion and removal</w:t>
      </w:r>
    </w:p>
    <w:p w14:paraId="6555EDC4" w14:textId="1258C9F8" w:rsidR="00AF73D3" w:rsidRPr="00AF73D3" w:rsidRDefault="00AF73D3" w:rsidP="00AF73D3">
      <w:pPr>
        <w:spacing w:before="100" w:beforeAutospacing="1" w:after="100" w:afterAutospacing="1"/>
        <w:rPr>
          <w:color w:val="000000" w:themeColor="text1"/>
        </w:rPr>
      </w:pPr>
      <w:r w:rsidRPr="00AF73D3">
        <w:rPr>
          <w:color w:val="000000" w:themeColor="text1"/>
        </w:rPr>
        <w:t>A gastrostomy tube traverses the abdominal wall to reach the stomach. Traditionally gastrostomy tubes have been sited laparoscopically or endoscopically but placement by IR is increasing. Reported technical success rates for image-guided percutaneous gastrostomy range from 94.7 to 100% [36]. Superiority of radiologic gastrostomy over surgical and endoscopic approaches is established in adults. A large study of 5752 patients and meta-analysis of 5680 additional cases found radiologic gastrostomy insertion to be associated with a higher success rate than the endoscopic approach. There is also less morbidity than either the endoscopic or the surgical approach in adults [38]. In children, although retrospective studies have suggested that complications are more frequent following radiologically placed gastrostomy [39], a double-blind randomized clinical trial of percutaneous endoscopic gastrostomy versus radiologically inserted gastrostomy in 214 children found no significant difference in the number or severity of complications between percutaneous endoscopic and radiologically placed gastrostomies [40]. One of the advantages of insertion by IR is that the imaging allows the stomach to be accessed at an angle and position more favourable for subsequent conversion to GJ tube than the other methods. Additionally, the technique can be applied in children where there is no anatomical connection between the oral cavity and the stomach. There are two approaches to radiological placement of gastrostomies in children: the retrograde (push) and the antegrade (pull) approach (Fig. 3).</w:t>
      </w:r>
    </w:p>
    <w:p w14:paraId="2C8F605B" w14:textId="77777777" w:rsidR="00AF73D3" w:rsidRPr="00AF73D3" w:rsidRDefault="00AF73D3" w:rsidP="00AF73D3">
      <w:pPr>
        <w:spacing w:before="100" w:beforeAutospacing="1" w:after="100" w:afterAutospacing="1"/>
        <w:outlineLvl w:val="3"/>
        <w:rPr>
          <w:b/>
          <w:bCs/>
          <w:color w:val="000000" w:themeColor="text1"/>
        </w:rPr>
      </w:pPr>
      <w:r w:rsidRPr="00AF73D3">
        <w:rPr>
          <w:b/>
          <w:bCs/>
          <w:color w:val="000000" w:themeColor="text1"/>
        </w:rPr>
        <w:t>6.1.1. Small children</w:t>
      </w:r>
    </w:p>
    <w:p w14:paraId="137048F8" w14:textId="77777777" w:rsidR="00AF73D3" w:rsidRPr="00AF73D3" w:rsidRDefault="00AF73D3" w:rsidP="00AF73D3">
      <w:pPr>
        <w:spacing w:before="100" w:beforeAutospacing="1" w:after="100" w:afterAutospacing="1"/>
        <w:rPr>
          <w:color w:val="000000" w:themeColor="text1"/>
        </w:rPr>
      </w:pPr>
      <w:r w:rsidRPr="00AF73D3">
        <w:rPr>
          <w:color w:val="000000" w:themeColor="text1"/>
        </w:rPr>
        <w:lastRenderedPageBreak/>
        <w:t xml:space="preserve">Some </w:t>
      </w:r>
      <w:proofErr w:type="spellStart"/>
      <w:r w:rsidRPr="00AF73D3">
        <w:rPr>
          <w:color w:val="000000" w:themeColor="text1"/>
        </w:rPr>
        <w:t>endoscopists</w:t>
      </w:r>
      <w:proofErr w:type="spellEnd"/>
      <w:r w:rsidRPr="00AF73D3">
        <w:rPr>
          <w:color w:val="000000" w:themeColor="text1"/>
        </w:rPr>
        <w:t xml:space="preserve"> and surgeons consider the lower limit of body weight for gastrostomy insertion to be 10 kg [41]. However, gastrostomies can be inserted safely into smaller children. The endoscopic antegrade technique has recently been reported to be safe and feasible in infants &lt; 5kg recently [42,43]. Similar use of image-guided gastrostomy in low weight children has been investigated by Aziz et al. in a small cohort of 14 neonates with oesophageal atresia. The mean patient weight was 2.5 kg. The image-guided retrograde gastrostomy placement was found to be safe with no major complications encountered [44]. In our experience, antegrade gastrostomy insertion in infants less than 5 kg is technically feasible and safe, with comparable technical success and complication rates to radiological or endoscopic gastrostomy insertion in larger children [45].</w:t>
      </w:r>
    </w:p>
    <w:p w14:paraId="55AC17A0" w14:textId="77777777" w:rsidR="00AF73D3" w:rsidRPr="00AF73D3" w:rsidRDefault="00AF73D3" w:rsidP="00AF73D3">
      <w:pPr>
        <w:spacing w:before="100" w:beforeAutospacing="1" w:after="100" w:afterAutospacing="1"/>
        <w:outlineLvl w:val="3"/>
        <w:rPr>
          <w:b/>
          <w:bCs/>
          <w:color w:val="000000" w:themeColor="text1"/>
        </w:rPr>
      </w:pPr>
      <w:r w:rsidRPr="00AF73D3">
        <w:rPr>
          <w:b/>
          <w:bCs/>
          <w:color w:val="000000" w:themeColor="text1"/>
        </w:rPr>
        <w:t>6.1.2. Technique</w:t>
      </w:r>
    </w:p>
    <w:p w14:paraId="4613448B" w14:textId="77777777" w:rsidR="00AF73D3" w:rsidRPr="00AF73D3" w:rsidRDefault="00AF73D3" w:rsidP="00AF73D3">
      <w:pPr>
        <w:spacing w:before="100" w:beforeAutospacing="1" w:after="100" w:afterAutospacing="1"/>
        <w:rPr>
          <w:color w:val="000000" w:themeColor="text1"/>
        </w:rPr>
      </w:pPr>
      <w:r w:rsidRPr="00AF73D3">
        <w:rPr>
          <w:color w:val="000000" w:themeColor="text1"/>
        </w:rPr>
        <w:t xml:space="preserve">Patients should receive prophylactic antibiotics prior to the procedure. To reduce the risk of trans-colonic passage of the needle and subsequently the gastrostomy, the transverse colon can be opacified, either by oral barium taken the evening prior to the procedure, or by performing a contrast enema at the time of gastrostomy insertion. However, radiological gastrostomy tube insertion without barium has recently been shown to significantly reduce patient radiation dose [46]. The stomach is inflated through a nasogastric tube. To identify the stomach, it can be helpful to observe the initial inflating of the stomach under US and fluoroscopy guidance. If escape of air in the duodenum is seen, intravenous glucagon (0.1–1 mg) can be administered to constrict the pylorus and prevent further loss of air [36]. If glucagon is given, blood glucose level should be monitored after tube insertion. An insertion site is chosen at least two finger breadths below costal margin. US is used to choose the optimal access site to the stomach. A tube position too close to ribs can lead to pain, tube kinking and tube malfunction in the future. A </w:t>
      </w:r>
      <w:proofErr w:type="spellStart"/>
      <w:r w:rsidRPr="00AF73D3">
        <w:rPr>
          <w:color w:val="000000" w:themeColor="text1"/>
        </w:rPr>
        <w:t>transmuscular</w:t>
      </w:r>
      <w:proofErr w:type="spellEnd"/>
      <w:r w:rsidRPr="00AF73D3">
        <w:rPr>
          <w:color w:val="000000" w:themeColor="text1"/>
        </w:rPr>
        <w:t xml:space="preserve"> approach through the rectus abdominis should be avoided as it increases discomfort and carries risk of injury of the superior epigastric artery. If there is uncertainty regarding the anatomy, a 27 G needle with a contrast syringe can be advanced into the stomach, and then slowly retracted during contrast injection to evaluate the planned puncture tract. For a retrograde approach a gastropexy should be performed. There are different systems available for gastropexy. An elegant option is to preload </w:t>
      </w:r>
      <w:proofErr w:type="gramStart"/>
      <w:r w:rsidRPr="00AF73D3">
        <w:rPr>
          <w:color w:val="000000" w:themeColor="text1"/>
        </w:rPr>
        <w:t>a</w:t>
      </w:r>
      <w:proofErr w:type="gramEnd"/>
      <w:r w:rsidRPr="00AF73D3">
        <w:rPr>
          <w:color w:val="000000" w:themeColor="text1"/>
        </w:rPr>
        <w:t xml:space="preserve"> 18 G one-part access needle with a pediatric retention suture. This needle is advanced, and the stomach is accessed pointing towards the pylorus and intragastric position of the needle confirmed with a small amount of contrast. A 0.035-inch guidewire is inserted through the needle deploying the retention suture at the same time. The wire should be observed carefully under fluoroscopy to prevent coiling of the wire in the intraperitoneal cavity between the stomach and the skin. The access is then dilated, and a gastrostomy tube is subsequently inserted and secured in place. Gentle tension on the retention suture during this whole process keeps the stomach close to the skin and prevents air leaking into the peritoneal cavity. The retention suture is secured in place on the skin and dressing applied. The gastrostomy and the nasogastric tube are open to drainage and venting at the end of the procedure.</w:t>
      </w:r>
    </w:p>
    <w:p w14:paraId="6C396627" w14:textId="77777777" w:rsidR="00AF73D3" w:rsidRPr="00AF73D3" w:rsidRDefault="00AF73D3" w:rsidP="00AF73D3">
      <w:pPr>
        <w:spacing w:before="100" w:beforeAutospacing="1" w:after="100" w:afterAutospacing="1"/>
        <w:rPr>
          <w:color w:val="000000" w:themeColor="text1"/>
        </w:rPr>
      </w:pPr>
      <w:r w:rsidRPr="00AF73D3">
        <w:rPr>
          <w:color w:val="000000" w:themeColor="text1"/>
        </w:rPr>
        <w:t xml:space="preserve">For the antegrade technique a gooseneck or trefoil snare is inserted through the mouth and into the stomach (Fig. 3). The needle puncture site for accessing the stomach percutaneously is chosen in the same way as described above. A guide wire is then inserted through the needle and captured with the snare and pulled up through the mouth. The snare is passed over the wire in a retrograde fashion, a pull type gastrostomy tube is attached to the snare, and this tube is pulled into the stomach through the abdominal wall until it is met with resistance. At </w:t>
      </w:r>
      <w:r w:rsidRPr="00AF73D3">
        <w:rPr>
          <w:color w:val="000000" w:themeColor="text1"/>
        </w:rPr>
        <w:lastRenderedPageBreak/>
        <w:t xml:space="preserve">that point, the retention disc is up against the gastric wall. A friction lock is slid over the tube close to the skin to help </w:t>
      </w:r>
      <w:proofErr w:type="spellStart"/>
      <w:r w:rsidRPr="00AF73D3">
        <w:rPr>
          <w:color w:val="000000" w:themeColor="text1"/>
        </w:rPr>
        <w:t>pexy</w:t>
      </w:r>
      <w:proofErr w:type="spellEnd"/>
      <w:r w:rsidRPr="00AF73D3">
        <w:rPr>
          <w:color w:val="000000" w:themeColor="text1"/>
        </w:rPr>
        <w:t xml:space="preserve"> the stomach to the anterior abdominal wall.</w:t>
      </w:r>
    </w:p>
    <w:p w14:paraId="7110E851" w14:textId="77777777" w:rsidR="00AF73D3" w:rsidRPr="00AF73D3" w:rsidRDefault="00AF73D3" w:rsidP="00AF73D3">
      <w:pPr>
        <w:spacing w:before="100" w:beforeAutospacing="1" w:after="100" w:afterAutospacing="1"/>
        <w:rPr>
          <w:color w:val="000000" w:themeColor="text1"/>
        </w:rPr>
      </w:pPr>
      <w:r w:rsidRPr="00AF73D3">
        <w:rPr>
          <w:color w:val="000000" w:themeColor="text1"/>
        </w:rPr>
        <w:t>The combination of US and fluoroscopy is the most frequently used imaging modality used to guide gastrostomy insertion. Use of reduced-dose C-arm CT to assist gastrostomy placement has also been reported in cases with challenging anatomy is challenging (for example superimposition of the transverse colon or situs inversus) [47]. A purely US-guided gastrostomy insertion technique has been reported in twelve patients with one complication [48]. Reported advantages include better visualization of other upper abdominal organs and radiation avoidance [48]. To aid visualisation by US, this technique involves gastric distension with warmed saline rather than air, which may increase aspiration risk [48].</w:t>
      </w:r>
    </w:p>
    <w:p w14:paraId="30AD58E6" w14:textId="77777777" w:rsidR="00AF73D3" w:rsidRPr="00AF73D3" w:rsidRDefault="00AF73D3" w:rsidP="00AF73D3">
      <w:pPr>
        <w:spacing w:before="100" w:beforeAutospacing="1" w:after="100" w:afterAutospacing="1"/>
        <w:outlineLvl w:val="3"/>
        <w:rPr>
          <w:b/>
          <w:bCs/>
          <w:color w:val="000000" w:themeColor="text1"/>
        </w:rPr>
      </w:pPr>
      <w:r w:rsidRPr="00AF73D3">
        <w:rPr>
          <w:b/>
          <w:bCs/>
          <w:color w:val="000000" w:themeColor="text1"/>
        </w:rPr>
        <w:t>6.1.3. Antegrade vs retrograde gastrostomy</w:t>
      </w:r>
    </w:p>
    <w:p w14:paraId="05383192" w14:textId="77777777" w:rsidR="00AF73D3" w:rsidRPr="00AF73D3" w:rsidRDefault="00AF73D3" w:rsidP="00AF73D3">
      <w:pPr>
        <w:spacing w:before="100" w:beforeAutospacing="1" w:after="100" w:afterAutospacing="1"/>
        <w:rPr>
          <w:color w:val="000000" w:themeColor="text1"/>
        </w:rPr>
      </w:pPr>
      <w:r w:rsidRPr="00AF73D3">
        <w:rPr>
          <w:color w:val="000000" w:themeColor="text1"/>
        </w:rPr>
        <w:t>An advantage of the retrograde approach is that it can be performed under local anaesthesia or light sedation. It can also be used to place a gastrostomy when access to the stomach is not possible via the oesophagus (such as in patients with long gap oesophageal atresia), in which case a small needle is used to puncture the stomach under US-guidance and the needle is used to inflate the stomach allowing for subsequent puncture with a larger gauge needle, placement of the gastropexy sutures and the gastrostomy tube. Another advantage is that with the retrograde approach, the gastrostomy tract is not exposed to oral flora [36]. The advantage of the antegrade approach is the that the disc retained devices are inherently more secure than the retrograde placed pigtail or balloon retained devices, and gastropexy sutures are not required.</w:t>
      </w:r>
    </w:p>
    <w:p w14:paraId="57D2627D" w14:textId="77777777" w:rsidR="00AF73D3" w:rsidRPr="00AF73D3" w:rsidRDefault="00AF73D3" w:rsidP="00AF73D3">
      <w:pPr>
        <w:spacing w:before="100" w:beforeAutospacing="1" w:after="100" w:afterAutospacing="1"/>
        <w:outlineLvl w:val="3"/>
        <w:rPr>
          <w:b/>
          <w:bCs/>
          <w:color w:val="000000" w:themeColor="text1"/>
        </w:rPr>
      </w:pPr>
      <w:r w:rsidRPr="00AF73D3">
        <w:rPr>
          <w:b/>
          <w:bCs/>
          <w:color w:val="000000" w:themeColor="text1"/>
        </w:rPr>
        <w:t>6.1.4. Complications</w:t>
      </w:r>
    </w:p>
    <w:p w14:paraId="3D1934F2" w14:textId="77777777" w:rsidR="00AF73D3" w:rsidRPr="00AF73D3" w:rsidRDefault="00AF73D3" w:rsidP="00AF73D3">
      <w:pPr>
        <w:spacing w:before="100" w:beforeAutospacing="1" w:after="100" w:afterAutospacing="1"/>
        <w:rPr>
          <w:color w:val="000000" w:themeColor="text1"/>
        </w:rPr>
      </w:pPr>
      <w:r w:rsidRPr="00AF73D3">
        <w:rPr>
          <w:color w:val="000000" w:themeColor="text1"/>
        </w:rPr>
        <w:t>Major complications of IR gastrostomy placement are reported to be between 0 and 5% [36]. Peritonitis following percutaneous gastrostomy in children has been reported to occur in up to 3% of cases [36,49]. This can usually be managed medically with a good outcome. However, patients who develop peritonitis generally have a delay in starting feeds and have a hospital stay that is an average of 5 days longer than those without [49]. Other infective complications include subcutaneous abscess (2%) and septicaemia (1%) [36]. Bowel transgression and extra-luminal tube placement are each reported to occur in 0.2% of cases [36]. GI bleeding and death are extremely rare [36,50]. If there is any discomfort of the child after tube insertion and signs of a peritonitis, the tube should be checked under fluoroscopy. A “buried bumper” is a rare complication of antegrade disc-retained gastrostomy. The internal disc becomes buried into the wall of the stomach which occurs in 1% of gastrostomies [51]. In one study, removal of gastrostomies with buried bumpers was attempted by IR in nine children. This was successful in only one case, demonstrating that endoscopy or laparoscopic surgery may be required [51].</w:t>
      </w:r>
    </w:p>
    <w:p w14:paraId="0B10F219" w14:textId="77777777" w:rsidR="00AF73D3" w:rsidRPr="00AF73D3" w:rsidRDefault="00AF73D3" w:rsidP="00AF73D3">
      <w:pPr>
        <w:spacing w:before="100" w:beforeAutospacing="1" w:after="100" w:afterAutospacing="1"/>
        <w:outlineLvl w:val="2"/>
        <w:rPr>
          <w:b/>
          <w:bCs/>
          <w:color w:val="000000" w:themeColor="text1"/>
          <w:sz w:val="27"/>
          <w:szCs w:val="27"/>
        </w:rPr>
      </w:pPr>
      <w:r w:rsidRPr="00AF73D3">
        <w:rPr>
          <w:b/>
          <w:bCs/>
          <w:color w:val="000000" w:themeColor="text1"/>
          <w:sz w:val="27"/>
          <w:szCs w:val="27"/>
        </w:rPr>
        <w:t>6.2. Gastrostomy removal and exchange</w:t>
      </w:r>
    </w:p>
    <w:p w14:paraId="242455D1" w14:textId="77777777" w:rsidR="00AF73D3" w:rsidRPr="00AF73D3" w:rsidRDefault="00AF73D3" w:rsidP="00AF73D3">
      <w:pPr>
        <w:spacing w:before="100" w:beforeAutospacing="1" w:after="100" w:afterAutospacing="1"/>
        <w:rPr>
          <w:color w:val="000000" w:themeColor="text1"/>
        </w:rPr>
      </w:pPr>
      <w:r w:rsidRPr="00AF73D3">
        <w:rPr>
          <w:color w:val="000000" w:themeColor="text1"/>
        </w:rPr>
        <w:t xml:space="preserve">In addition to insertion of gastrostomy tubes, IR can provide ongoing care for gastrostomy tubes by performing tube exchanges and gastrostomy removal. Removal of disc retained gastrostomy tubes is performed using a non-endoscopic fluoroscopically guided technique, either by pushing over a wire with a long dilator, or by pulling over a wire with an angioplasty balloon [52]. Some disc retained devices can be pulled antegrade through the tract in the abdominal wall. Balloon-retained devices are generally easy to replace, but </w:t>
      </w:r>
      <w:r w:rsidRPr="00AF73D3">
        <w:rPr>
          <w:color w:val="000000" w:themeColor="text1"/>
        </w:rPr>
        <w:lastRenderedPageBreak/>
        <w:t>caution should be exercised. If any difficulty is encountered, contrast injection to check device position is suggested, as misplaced tubes can result in peritoneal spill of feed with fatal consequences [53].</w:t>
      </w:r>
    </w:p>
    <w:p w14:paraId="20FCF743" w14:textId="77777777" w:rsidR="00AF73D3" w:rsidRPr="00AF73D3" w:rsidRDefault="00AF73D3" w:rsidP="00AF73D3">
      <w:pPr>
        <w:spacing w:before="100" w:beforeAutospacing="1" w:after="100" w:afterAutospacing="1"/>
        <w:outlineLvl w:val="2"/>
        <w:rPr>
          <w:b/>
          <w:bCs/>
          <w:color w:val="000000" w:themeColor="text1"/>
          <w:sz w:val="27"/>
          <w:szCs w:val="27"/>
        </w:rPr>
      </w:pPr>
      <w:r w:rsidRPr="00AF73D3">
        <w:rPr>
          <w:b/>
          <w:bCs/>
          <w:color w:val="000000" w:themeColor="text1"/>
          <w:sz w:val="27"/>
          <w:szCs w:val="27"/>
        </w:rPr>
        <w:t xml:space="preserve">6.3. </w:t>
      </w:r>
      <w:proofErr w:type="spellStart"/>
      <w:r w:rsidRPr="00AF73D3">
        <w:rPr>
          <w:b/>
          <w:bCs/>
          <w:color w:val="000000" w:themeColor="text1"/>
          <w:sz w:val="27"/>
          <w:szCs w:val="27"/>
        </w:rPr>
        <w:t>Gastrojejunal</w:t>
      </w:r>
      <w:proofErr w:type="spellEnd"/>
      <w:r w:rsidRPr="00AF73D3">
        <w:rPr>
          <w:b/>
          <w:bCs/>
          <w:color w:val="000000" w:themeColor="text1"/>
          <w:sz w:val="27"/>
          <w:szCs w:val="27"/>
        </w:rPr>
        <w:t xml:space="preserve"> tube insertion and maintenance</w:t>
      </w:r>
    </w:p>
    <w:p w14:paraId="23A691FE" w14:textId="77777777" w:rsidR="00AF73D3" w:rsidRPr="00AF73D3" w:rsidRDefault="00AF73D3" w:rsidP="00AF73D3">
      <w:pPr>
        <w:spacing w:before="100" w:beforeAutospacing="1" w:after="100" w:afterAutospacing="1"/>
        <w:rPr>
          <w:color w:val="000000" w:themeColor="text1"/>
        </w:rPr>
      </w:pPr>
      <w:r w:rsidRPr="00AF73D3">
        <w:rPr>
          <w:color w:val="000000" w:themeColor="text1"/>
        </w:rPr>
        <w:t>When children cannot tolerate gastric feeds, such as those with severe gastro-oesophageal reflux or foregut dysmotility, there is a need to deliver feed to the small bowel. This can be performed either by a surgically created jejunostomy, or more commonly, using a GJ tube. There are multiple gastro-jejunal devices available, such as combination tubes with gastric and jejunal access ports which allow venting of the stomach, drug delivery to the stomach and feed delivery to the small bowel. There are also jejunal tubes designed to pass through existing gastrostomy tubes to provide access to the stomach and small bowel. Lastly, there are tubes which provide only access to the small bowel for feed and medication delivery [54]. The choice of device will depend on the requirements of the child, parents, requesting clinician and institutional preference.</w:t>
      </w:r>
    </w:p>
    <w:p w14:paraId="483B9025" w14:textId="77777777" w:rsidR="00AF73D3" w:rsidRPr="00AF73D3" w:rsidRDefault="00AF73D3" w:rsidP="00AF73D3">
      <w:pPr>
        <w:spacing w:before="100" w:beforeAutospacing="1" w:after="100" w:afterAutospacing="1"/>
        <w:rPr>
          <w:color w:val="000000" w:themeColor="text1"/>
        </w:rPr>
      </w:pPr>
      <w:r w:rsidRPr="00AF73D3">
        <w:rPr>
          <w:color w:val="000000" w:themeColor="text1"/>
        </w:rPr>
        <w:t xml:space="preserve">Gastro-jejunal tubes can be placed de novo by IR, in much the same way as a gastrostomy insertion. An existing gastrostomy can also be converted to gastro-jejunal access. De novo antegrade low-profile GJ tube placement has been recently reported in a series of 34 children from 2 months – 11.8 years to be technically feasible and safe [55]. The exact steps required to place a gastro-jejunal tube depend on the type of device; in general, a wire and catheter are usually passed through a gastrostomy tract and manipulated through the pylorus and duodenum to just beyond the duodenal-jejunal flexure. The catheter is then removed and the device is advanced over the wire. Any wire and catheter combination can be used. We routinely use a combination of an 0.035-inch angled tip hydrophilic wire (Roadrunner® </w:t>
      </w:r>
      <w:proofErr w:type="spellStart"/>
      <w:r w:rsidRPr="00AF73D3">
        <w:rPr>
          <w:color w:val="000000" w:themeColor="text1"/>
        </w:rPr>
        <w:t>UniGlide</w:t>
      </w:r>
      <w:proofErr w:type="spellEnd"/>
      <w:r w:rsidRPr="00AF73D3">
        <w:rPr>
          <w:color w:val="000000" w:themeColor="text1"/>
        </w:rPr>
        <w:t>® Hydrophilic Wire, Cook Medical LLC, Bloomington, IN) with a 5-French 45 cm biliary manipulation catheter (BMC). Sometimes an 0.035-inch floppy tipped coiled stainless-steel stiff guidewire (</w:t>
      </w:r>
      <w:proofErr w:type="spellStart"/>
      <w:r w:rsidRPr="00AF73D3">
        <w:rPr>
          <w:color w:val="000000" w:themeColor="text1"/>
        </w:rPr>
        <w:t>Amplatz</w:t>
      </w:r>
      <w:proofErr w:type="spellEnd"/>
      <w:r w:rsidRPr="00AF73D3">
        <w:rPr>
          <w:color w:val="000000" w:themeColor="text1"/>
        </w:rPr>
        <w:t xml:space="preserve"> Extra-Stiff Wire Guide, Cook Medical LLC, Bloomington, IN) will help provide a more stable wire for tube exchange over a wire. When performing the procedure de novo, passing a wire and catheter through the pylorus may be difficult if the patient is under general anaesthesia, or if an agent to inhibit gastric emptying has been administered to facilitate initial gastric puncture. In addition to the initial placement of GJ tubes, tube replacement is a frequent necessity.</w:t>
      </w:r>
    </w:p>
    <w:p w14:paraId="3015B13C" w14:textId="77777777" w:rsidR="00AF73D3" w:rsidRPr="00AF73D3" w:rsidRDefault="00AF73D3" w:rsidP="00AF73D3">
      <w:pPr>
        <w:spacing w:before="100" w:beforeAutospacing="1" w:after="100" w:afterAutospacing="1"/>
        <w:rPr>
          <w:color w:val="000000" w:themeColor="text1"/>
        </w:rPr>
      </w:pPr>
      <w:r w:rsidRPr="00AF73D3">
        <w:rPr>
          <w:color w:val="000000" w:themeColor="text1"/>
        </w:rPr>
        <w:t xml:space="preserve">Complications encountered with GJ tubes include breakage, jejunal limb dislodgement and device migration. Intestinal perforation and intussusception have also been reported in relation to GJ tubes [56]. Mechanical complications of jejunal tubes, such as tube blockage and tube migration, are regular occurrences [54]. Tube migration can result in the tip flipping into the stomach – this can present with vomiting, aspiration or feeding intolerance. Changing the tube is often required to resolve these problems; in fact, regular changes of the jejunal tube can help prevent these complications [54]. In many centres, the most common method for tube change is fluoroscopy-guided change over a guidewire by a radiologist. This usually needs no sedation. The main limitation is the ionizing radiation burden on the paediatric patient. As a result, one must optimise imaging while minimising this radiation burden. Good technique to minimise radiation exposure would include appropriate collimation and exposure parameter optimisation [36]. Other methods have further limitations, for instance, using a guidewire without imaging is often unsuccessful. </w:t>
      </w:r>
      <w:proofErr w:type="spellStart"/>
      <w:r w:rsidRPr="00AF73D3">
        <w:rPr>
          <w:color w:val="000000" w:themeColor="text1"/>
        </w:rPr>
        <w:t>Gastroduodenoscopic</w:t>
      </w:r>
      <w:proofErr w:type="spellEnd"/>
      <w:r w:rsidRPr="00AF73D3">
        <w:rPr>
          <w:color w:val="000000" w:themeColor="text1"/>
        </w:rPr>
        <w:t xml:space="preserve"> placement requires special equipment and requires sedation or anaesthesia [54]. Studies report </w:t>
      </w:r>
      <w:r w:rsidRPr="00AF73D3">
        <w:rPr>
          <w:color w:val="000000" w:themeColor="text1"/>
        </w:rPr>
        <w:lastRenderedPageBreak/>
        <w:t>replacement of GJ tubes replacement due to complications can occur as frequently as 1.7–3.6 times per year [56, 57, 58].</w:t>
      </w:r>
    </w:p>
    <w:p w14:paraId="4B3D23D0" w14:textId="77777777" w:rsidR="00AF73D3" w:rsidRPr="00AF73D3" w:rsidRDefault="00AF73D3" w:rsidP="00AF73D3">
      <w:pPr>
        <w:spacing w:before="100" w:beforeAutospacing="1" w:after="100" w:afterAutospacing="1"/>
        <w:rPr>
          <w:color w:val="000000" w:themeColor="text1"/>
        </w:rPr>
      </w:pPr>
      <w:r w:rsidRPr="00AF73D3">
        <w:rPr>
          <w:color w:val="000000" w:themeColor="text1"/>
        </w:rPr>
        <w:t>The occurrence of mechanical complications in tubes (blockage or tube coiling) has been associated with increased radiation exposure during exchange [59]. This strengthens the role of routine changes to prevent mechanical complications. Tube length has also been associated with increased mechanical complications [59].</w:t>
      </w:r>
    </w:p>
    <w:p w14:paraId="0393B450" w14:textId="77777777" w:rsidR="00AF73D3" w:rsidRPr="00AF73D3" w:rsidRDefault="00AF73D3" w:rsidP="00AF73D3">
      <w:pPr>
        <w:spacing w:before="100" w:beforeAutospacing="1" w:after="100" w:afterAutospacing="1"/>
        <w:rPr>
          <w:color w:val="000000" w:themeColor="text1"/>
        </w:rPr>
      </w:pPr>
      <w:r w:rsidRPr="00AF73D3">
        <w:rPr>
          <w:color w:val="000000" w:themeColor="text1"/>
        </w:rPr>
        <w:t>Changing a tube may be extremely straightforward if a routine procedure by exchange of the device over a guidewire. Blocked or migrated tubes may be more challenging to replace. The preferred tip position may have been lost or may be impossible to obtain by advancing a guidewire through the existing device. As a result, the guidewire may need to be manipulated through the pylorus. Positioning the patient in a right-side-down lateral position may help facilitate gastric emptying and passage of guidewire into the duodenum. Providing patients and carers with a patient-specific plan to manage tube dysfunction has been shown to decrease the need for “out of hours” emergency procedures [60].</w:t>
      </w:r>
    </w:p>
    <w:p w14:paraId="54791B0E" w14:textId="77777777" w:rsidR="00AF73D3" w:rsidRPr="00AF73D3" w:rsidRDefault="00AF73D3" w:rsidP="00AF73D3">
      <w:pPr>
        <w:spacing w:before="100" w:beforeAutospacing="1" w:after="100" w:afterAutospacing="1"/>
        <w:outlineLvl w:val="1"/>
        <w:rPr>
          <w:b/>
          <w:bCs/>
          <w:color w:val="000000" w:themeColor="text1"/>
          <w:sz w:val="36"/>
          <w:szCs w:val="36"/>
        </w:rPr>
      </w:pPr>
      <w:r w:rsidRPr="00AF73D3">
        <w:rPr>
          <w:b/>
          <w:bCs/>
          <w:color w:val="000000" w:themeColor="text1"/>
          <w:sz w:val="36"/>
          <w:szCs w:val="36"/>
        </w:rPr>
        <w:t>7. Enteral access for motility assessment</w:t>
      </w:r>
    </w:p>
    <w:p w14:paraId="450FD88E" w14:textId="77777777" w:rsidR="00AF73D3" w:rsidRPr="00AF73D3" w:rsidRDefault="00AF73D3" w:rsidP="00AF73D3">
      <w:pPr>
        <w:spacing w:before="100" w:beforeAutospacing="1" w:after="100" w:afterAutospacing="1"/>
        <w:rPr>
          <w:color w:val="000000" w:themeColor="text1"/>
        </w:rPr>
      </w:pPr>
      <w:r w:rsidRPr="00AF73D3">
        <w:rPr>
          <w:color w:val="000000" w:themeColor="text1"/>
        </w:rPr>
        <w:t xml:space="preserve">Children with suspected intestinal dysmotility chronic intestinal pseudo-obstruction undergo numerous investigations including </w:t>
      </w:r>
      <w:proofErr w:type="spellStart"/>
      <w:r w:rsidRPr="00AF73D3">
        <w:rPr>
          <w:color w:val="000000" w:themeColor="text1"/>
        </w:rPr>
        <w:t>antroduodenal</w:t>
      </w:r>
      <w:proofErr w:type="spellEnd"/>
      <w:r w:rsidRPr="00AF73D3">
        <w:rPr>
          <w:color w:val="000000" w:themeColor="text1"/>
        </w:rPr>
        <w:t xml:space="preserve"> manometry (ADM) and colonic manometry (CM). These manometry assessments are performed using specially designed catheters which are often placed by IR as alternative to endoscopic placement.</w:t>
      </w:r>
    </w:p>
    <w:p w14:paraId="5C03F8BD" w14:textId="2D170527" w:rsidR="003E0A72" w:rsidRPr="00AF73D3" w:rsidRDefault="00AF73D3" w:rsidP="00AF73D3">
      <w:pPr>
        <w:spacing w:before="100" w:beforeAutospacing="1" w:after="100" w:afterAutospacing="1"/>
        <w:rPr>
          <w:color w:val="000000" w:themeColor="text1"/>
        </w:rPr>
      </w:pPr>
      <w:r w:rsidRPr="00AF73D3">
        <w:rPr>
          <w:color w:val="000000" w:themeColor="text1"/>
        </w:rPr>
        <w:t xml:space="preserve">ADM is used in the diagnosis and classification of pseudo-obstruction, as well as the evaluation of patients with severe nausea and retching, inability to tolerate enteral feedings. It can also be used to distinguish between rumination and vomiting, and to determine gastric and small bowel responsiveness to medications [61]. ADM requires the placement of a special manometry catheter beyond the ligament of </w:t>
      </w:r>
      <w:proofErr w:type="spellStart"/>
      <w:r w:rsidRPr="00AF73D3">
        <w:rPr>
          <w:color w:val="000000" w:themeColor="text1"/>
        </w:rPr>
        <w:t>Treitz</w:t>
      </w:r>
      <w:proofErr w:type="spellEnd"/>
      <w:r w:rsidRPr="00AF73D3">
        <w:rPr>
          <w:color w:val="000000" w:themeColor="text1"/>
        </w:rPr>
        <w:t xml:space="preserve"> using either </w:t>
      </w:r>
      <w:proofErr w:type="spellStart"/>
      <w:r w:rsidRPr="00AF73D3">
        <w:rPr>
          <w:color w:val="000000" w:themeColor="text1"/>
        </w:rPr>
        <w:t>transnasal</w:t>
      </w:r>
      <w:proofErr w:type="spellEnd"/>
      <w:r w:rsidRPr="00AF73D3">
        <w:rPr>
          <w:color w:val="000000" w:themeColor="text1"/>
        </w:rPr>
        <w:t xml:space="preserve"> or through gastrostomy or jejunostomy stomas. There should be at least one recording port in the gastric antrum and three in small bowel for a successful study [61]. Placement of the ADM catheter by IR requires manipulation of a wire and catheter to the proximal jejunum, followed by the advancement of the ADM catheter over the wire. Navigation can be difficult due to a capacious stomach, or a dilated and tortuous duodenum (Fig. 4). The use of a long large (7-10-French) sheath passed trans-nasally to the gastric antrum can help prevent redundant loops forming in the stomach during catheter and wire advancement through the small bowel (Fig. 4). In a patient with a GJ feeding tube in place, the tube can simply be exchanged over wire for the ADM catheter. When placing an ADM catheter through a gastrostomy stoma, a small Foley catheter can be placed in the gastrostomy stoma alongside the ADM catheter. This allows for gastric venting, gastric drainage, medication administration and feed administration [61].</w:t>
      </w:r>
      <w:r w:rsidRPr="00AF73D3">
        <w:rPr>
          <w:color w:val="000000" w:themeColor="text1"/>
        </w:rPr>
        <w:t xml:space="preserve"> </w:t>
      </w:r>
    </w:p>
    <w:p w14:paraId="4AC7C819" w14:textId="7AF97D2B" w:rsidR="00AB77E7" w:rsidRPr="00AF73D3" w:rsidRDefault="00AB77E7" w:rsidP="00AB77E7">
      <w:pPr>
        <w:spacing w:before="100" w:beforeAutospacing="1" w:after="100" w:afterAutospacing="1"/>
        <w:rPr>
          <w:color w:val="000000" w:themeColor="text1"/>
        </w:rPr>
      </w:pPr>
      <w:r w:rsidRPr="00AF73D3">
        <w:rPr>
          <w:color w:val="000000" w:themeColor="text1"/>
        </w:rPr>
        <w:t xml:space="preserve">The CM catheter is used to assess colonic function in children. It helps to differentiate between functional constipation and intrinsic colonic dysmotility, helps plan surgical interventions such as placement of an appendicostomy or a cecostomy for the administration on of antegrade colonic enemas (ACE), or creation of a diverting ileostomy [62,63]. It has been shown to be helpful in predicting the outcome after caecostomy [64]. CM catheters are often placed under general anaesthesia during colonoscopy [62]. CM catheters can also be placed in IR using a retrograde approach through the anus or </w:t>
      </w:r>
      <w:proofErr w:type="gramStart"/>
      <w:r w:rsidRPr="00AF73D3">
        <w:rPr>
          <w:color w:val="000000" w:themeColor="text1"/>
        </w:rPr>
        <w:t>a</w:t>
      </w:r>
      <w:proofErr w:type="gramEnd"/>
      <w:r w:rsidRPr="00AF73D3">
        <w:rPr>
          <w:color w:val="000000" w:themeColor="text1"/>
        </w:rPr>
        <w:t xml:space="preserve"> antegrade approach through a </w:t>
      </w:r>
      <w:r w:rsidRPr="00AF73D3">
        <w:rPr>
          <w:color w:val="000000" w:themeColor="text1"/>
        </w:rPr>
        <w:lastRenderedPageBreak/>
        <w:t xml:space="preserve">caecostomy. As in the foregut, passage of the wire and catheter through dilated and tortuous colon can be difficult. Placement by IR avoids colonoscopy. There is no significant difference between </w:t>
      </w:r>
      <w:proofErr w:type="spellStart"/>
      <w:r w:rsidRPr="00AF73D3">
        <w:rPr>
          <w:color w:val="000000" w:themeColor="text1"/>
        </w:rPr>
        <w:t>colonoscopic</w:t>
      </w:r>
      <w:proofErr w:type="spellEnd"/>
      <w:r w:rsidRPr="00AF73D3">
        <w:rPr>
          <w:color w:val="000000" w:themeColor="text1"/>
        </w:rPr>
        <w:t xml:space="preserve"> and IR placement in the rate of successful placement of the CM catheter tip beyond the hepatic flexure [63]. In some circumstances, placement by IR may be safer than </w:t>
      </w:r>
      <w:proofErr w:type="spellStart"/>
      <w:r w:rsidRPr="00AF73D3">
        <w:rPr>
          <w:color w:val="000000" w:themeColor="text1"/>
        </w:rPr>
        <w:t>colonoscopic</w:t>
      </w:r>
      <w:proofErr w:type="spellEnd"/>
      <w:r w:rsidRPr="00AF73D3">
        <w:rPr>
          <w:color w:val="000000" w:themeColor="text1"/>
        </w:rPr>
        <w:t xml:space="preserve"> placement. For instance, colons that have been diverted are often inflamed. When colonoscopies are performed on such colons, there is a higher risk of bleeding and perforation [63]. Additionally, in children with a stoma, the ostomy may not accommodate the colonoscope, thus making IR placement favourable [63]. The disadvantage of IR placement is the lack of visual mucosal assessment.</w:t>
      </w:r>
    </w:p>
    <w:p w14:paraId="6D543C33" w14:textId="77777777" w:rsidR="00AB77E7" w:rsidRPr="00AF73D3" w:rsidRDefault="00AB77E7" w:rsidP="00AB77E7">
      <w:pPr>
        <w:spacing w:before="100" w:beforeAutospacing="1" w:after="100" w:afterAutospacing="1"/>
        <w:outlineLvl w:val="1"/>
        <w:rPr>
          <w:b/>
          <w:bCs/>
          <w:color w:val="000000" w:themeColor="text1"/>
          <w:sz w:val="36"/>
          <w:szCs w:val="36"/>
        </w:rPr>
      </w:pPr>
      <w:r w:rsidRPr="00AF73D3">
        <w:rPr>
          <w:b/>
          <w:bCs/>
          <w:color w:val="000000" w:themeColor="text1"/>
          <w:sz w:val="36"/>
          <w:szCs w:val="36"/>
        </w:rPr>
        <w:t>8. Caecostomy formation</w:t>
      </w:r>
    </w:p>
    <w:p w14:paraId="5396578E" w14:textId="3EE4AD81" w:rsidR="00AB77E7" w:rsidRPr="00AF73D3" w:rsidRDefault="00AB77E7" w:rsidP="00AB77E7">
      <w:pPr>
        <w:spacing w:before="100" w:beforeAutospacing="1" w:after="100" w:afterAutospacing="1"/>
        <w:rPr>
          <w:color w:val="000000" w:themeColor="text1"/>
        </w:rPr>
      </w:pPr>
      <w:r w:rsidRPr="00AF73D3">
        <w:rPr>
          <w:color w:val="000000" w:themeColor="text1"/>
        </w:rPr>
        <w:t>Faecal incontinence is an incapacitating condition, with significant psychosocial implications, for children and their families. The causes are numerous and include chronic constipation, spina bifida, imperforate anus, Klippel-Feil deformity, cerebral palsy, Hirschsprung disease and the sequela of previous surgery and trauma [65]. Historically, the most commonly used treatment strategy was the use of large volume enemas in an attempt to empty the colon but this is challenging and results in poor compliance. Antegrade colonic irrigation through a caecostomy tube is now considered the mainstay of management for this cohort of children.</w:t>
      </w:r>
    </w:p>
    <w:p w14:paraId="49A9B322" w14:textId="77777777" w:rsidR="00AB77E7" w:rsidRPr="00AF73D3" w:rsidRDefault="00AB77E7" w:rsidP="00AB77E7">
      <w:pPr>
        <w:spacing w:before="100" w:beforeAutospacing="1" w:after="100" w:afterAutospacing="1"/>
        <w:rPr>
          <w:color w:val="000000" w:themeColor="text1"/>
        </w:rPr>
      </w:pPr>
      <w:r w:rsidRPr="00AF73D3">
        <w:rPr>
          <w:color w:val="000000" w:themeColor="text1"/>
        </w:rPr>
        <w:t>Formation of a caecostomy involves bringing the caecum, the most proximal part of the large bowel, up to the abdominal wall and creating a stoma, or opening, so that the caecum can be irrigated, drained or decompressed. In the paediatric setting, the most common indication for creating a caecostomy is for the management of chronic constipation in which colonic lavage is necessary for children with overflow faecal incontinence. Once the stoma is created an appropriate agent can be injected through the caecostomy to encourage passage of faeces per rectum. In addition, a caecostomy can also be used to allow irrigation of the colon in an unprepared, obstructed colon prior to resection of an obstructing lesion, or to allow decompression of an obstructed colon, or for temporary protection of a downstream colonic or rectal anastomosis.</w:t>
      </w:r>
    </w:p>
    <w:p w14:paraId="0E4A034F" w14:textId="77777777" w:rsidR="00AB77E7" w:rsidRPr="00AF73D3" w:rsidRDefault="00AB77E7" w:rsidP="00AB77E7">
      <w:pPr>
        <w:spacing w:before="100" w:beforeAutospacing="1" w:after="100" w:afterAutospacing="1"/>
        <w:rPr>
          <w:color w:val="000000" w:themeColor="text1"/>
        </w:rPr>
      </w:pPr>
      <w:r w:rsidRPr="00AF73D3">
        <w:rPr>
          <w:color w:val="000000" w:themeColor="text1"/>
        </w:rPr>
        <w:t>Traditionally the caecostomy has been created through an invasive surgical procedure but percutaneous caecostomy formation can now be performed by the Interventional Radiologist as a minimally invasive alternative.</w:t>
      </w:r>
    </w:p>
    <w:p w14:paraId="486DAD03" w14:textId="4F9B32F6" w:rsidR="00AB77E7" w:rsidRPr="00AF73D3" w:rsidRDefault="00AB77E7" w:rsidP="00AB77E7">
      <w:pPr>
        <w:spacing w:before="100" w:beforeAutospacing="1" w:after="100" w:afterAutospacing="1"/>
        <w:rPr>
          <w:color w:val="000000" w:themeColor="text1"/>
        </w:rPr>
      </w:pPr>
      <w:r w:rsidRPr="00AF73D3">
        <w:rPr>
          <w:color w:val="000000" w:themeColor="text1"/>
        </w:rPr>
        <w:t>In most circumstances, the paediatric patient would already have had contrast imaging of their colon, but if this has not been obtained and if the history or imaging performed before the procedure indicates variant or complex anatomy, a barium enema should be performed as part of the work up to delineate the position of the caecum [65].</w:t>
      </w:r>
    </w:p>
    <w:p w14:paraId="32933896" w14:textId="77777777" w:rsidR="00AB77E7" w:rsidRPr="00AF73D3" w:rsidRDefault="00AB77E7" w:rsidP="00AB77E7">
      <w:pPr>
        <w:spacing w:before="100" w:beforeAutospacing="1" w:after="100" w:afterAutospacing="1"/>
        <w:rPr>
          <w:color w:val="000000" w:themeColor="text1"/>
        </w:rPr>
      </w:pPr>
      <w:r w:rsidRPr="00AF73D3">
        <w:rPr>
          <w:color w:val="000000" w:themeColor="text1"/>
        </w:rPr>
        <w:t xml:space="preserve">Children undertake a pre-operative regimen of bowel preparation in an effort to evacuate the </w:t>
      </w:r>
      <w:proofErr w:type="spellStart"/>
      <w:r w:rsidRPr="00AF73D3">
        <w:rPr>
          <w:color w:val="000000" w:themeColor="text1"/>
        </w:rPr>
        <w:t>caecal</w:t>
      </w:r>
      <w:proofErr w:type="spellEnd"/>
      <w:r w:rsidRPr="00AF73D3">
        <w:rPr>
          <w:color w:val="000000" w:themeColor="text1"/>
        </w:rPr>
        <w:t xml:space="preserve"> contents. This typically consists of pre-admission for oral laxatives and a liquid diet for 48 h prior to the procedure. Immediately prior to the procedure, an abdominal radiograph can be performed to ensure adequate preparation of the large bowel and, if unsatisfactory, further oral laxatives can be given.</w:t>
      </w:r>
    </w:p>
    <w:p w14:paraId="54EEACEE" w14:textId="6BAE697D" w:rsidR="00AB77E7" w:rsidRPr="00AF73D3" w:rsidRDefault="00AB77E7" w:rsidP="00AB77E7">
      <w:pPr>
        <w:spacing w:before="100" w:beforeAutospacing="1" w:after="100" w:afterAutospacing="1"/>
        <w:rPr>
          <w:color w:val="000000" w:themeColor="text1"/>
        </w:rPr>
      </w:pPr>
      <w:r w:rsidRPr="00AF73D3">
        <w:rPr>
          <w:color w:val="000000" w:themeColor="text1"/>
        </w:rPr>
        <w:t xml:space="preserve">The procedure itself can be performed with local anaesthesia, conscious sedation or, more commonly in this age group, with general anaesthesia depending on what the individual child can tolerate. An intravenous dose of glucagon is administered to reduce bowel peristalsis, </w:t>
      </w:r>
      <w:r w:rsidRPr="00AF73D3">
        <w:rPr>
          <w:color w:val="000000" w:themeColor="text1"/>
        </w:rPr>
        <w:lastRenderedPageBreak/>
        <w:t>together with an intravenous dose of broad-spectrum antibiotics. Various regimens have been described. Some centres use a single dose of IV Cefoxitin (30 mg/kg) or triple antibiotics if the insertion is complicated has been suggested [66]. Other centres, in view of likely inevitable faecal contamination, continue antibiotics for 48 h [67].</w:t>
      </w:r>
    </w:p>
    <w:p w14:paraId="636D0984" w14:textId="69113E00" w:rsidR="00AB77E7" w:rsidRPr="00AF73D3" w:rsidRDefault="00AB77E7" w:rsidP="00AB77E7">
      <w:pPr>
        <w:spacing w:before="100" w:beforeAutospacing="1" w:after="100" w:afterAutospacing="1"/>
        <w:rPr>
          <w:color w:val="000000" w:themeColor="text1"/>
        </w:rPr>
      </w:pPr>
      <w:r w:rsidRPr="00AF73D3">
        <w:rPr>
          <w:color w:val="000000" w:themeColor="text1"/>
        </w:rPr>
        <w:t>The procedure is performed on a C-arm fluoroscopic table. Single-plane fluoroscopy is usually adequate to visualise the relevant anatomy, but in cases of difficult percutaneous access, such as redundant bowel loops of overlapping bowel or poor bowel preparation, C-arm computed tomography can be used to acquire real-time 3D images. For the latter, there are dose-reduction techniques which can be employed to limit the radiation dose to the patient whilst preserving image quality [47]. A focused US is performed to delineate the abdominal viscera and mark structures to be avoided such as the liver, gallbladder and urinary bladder.</w:t>
      </w:r>
    </w:p>
    <w:p w14:paraId="6912EBBC" w14:textId="51551AF4" w:rsidR="00AB77E7" w:rsidRPr="00AF73D3" w:rsidRDefault="00AB77E7" w:rsidP="00AB77E7">
      <w:pPr>
        <w:spacing w:before="100" w:beforeAutospacing="1" w:after="100" w:afterAutospacing="1"/>
        <w:rPr>
          <w:color w:val="000000" w:themeColor="text1"/>
        </w:rPr>
      </w:pPr>
      <w:r w:rsidRPr="00AF73D3">
        <w:rPr>
          <w:color w:val="000000" w:themeColor="text1"/>
        </w:rPr>
        <w:t>A large bore Foley catheter is placed per rectum, the balloon is then inflated and the colon is insufflated with air under fluoroscopic guidance. After administering local anaesthetic to the skin and abdominal wall, while using a combination of US and fluoroscopic guidance, the air-filled caecum is punctured using an 18 G trocar needle pre-loaded with retention sutures. Injection of radio opaque contrast can be used to confirm correct endoluminal position. Each retention suture can then be deployed from the needle using an 0.035-inch guidewire to push the sutures out through the access needle. The needle can then be removed leaving the two retention sutures, anchored with an artery forceps, and the 0.035-inch guidewire in place. The tract is then dilated over the guidewire, with the confidence that the retention sutures are anchoring the caecum to the anterior abdominal wall, and an appropriately sized (e.g. 8.5 French) pigtail drain can be placed over the guidewire and the guidewire removed [67].</w:t>
      </w:r>
    </w:p>
    <w:p w14:paraId="15EA82E3" w14:textId="77777777" w:rsidR="00AB77E7" w:rsidRPr="00AF73D3" w:rsidRDefault="00AB77E7" w:rsidP="00AB77E7">
      <w:pPr>
        <w:spacing w:before="100" w:beforeAutospacing="1" w:after="100" w:afterAutospacing="1"/>
        <w:rPr>
          <w:color w:val="000000" w:themeColor="text1"/>
        </w:rPr>
      </w:pPr>
      <w:r w:rsidRPr="00AF73D3">
        <w:rPr>
          <w:color w:val="000000" w:themeColor="text1"/>
        </w:rPr>
        <w:t xml:space="preserve">The retention sutures can be tied over a dental roll and cut at approximately day 14, by which time the tract has matured to some degree. The pigtail drain can also be secured externally with a non-absorbable suture to prevent accidental dislodgement. The drain can be attached to a drainage bag to allow the caecum to decompress and minimise the risk of faecal contents leaking around the </w:t>
      </w:r>
      <w:proofErr w:type="spellStart"/>
      <w:r w:rsidRPr="00AF73D3">
        <w:rPr>
          <w:color w:val="000000" w:themeColor="text1"/>
        </w:rPr>
        <w:t>caeceostomy</w:t>
      </w:r>
      <w:proofErr w:type="spellEnd"/>
      <w:r w:rsidRPr="00AF73D3">
        <w:rPr>
          <w:color w:val="000000" w:themeColor="text1"/>
        </w:rPr>
        <w:t xml:space="preserve"> tube. Post-operative analgesia is administered as required.</w:t>
      </w:r>
    </w:p>
    <w:p w14:paraId="60ABEE0B" w14:textId="6DE2B270" w:rsidR="00AB77E7" w:rsidRPr="00AF73D3" w:rsidRDefault="00AB77E7" w:rsidP="00AB77E7">
      <w:pPr>
        <w:spacing w:before="100" w:beforeAutospacing="1" w:after="100" w:afterAutospacing="1"/>
        <w:rPr>
          <w:color w:val="000000" w:themeColor="text1"/>
        </w:rPr>
      </w:pPr>
      <w:r w:rsidRPr="00AF73D3">
        <w:rPr>
          <w:color w:val="000000" w:themeColor="text1"/>
        </w:rPr>
        <w:t>After approximately six to eight weeks, further maturation of the stoma tract would have occurred, and the pigtail drain can be exchanged for a Chait button (Chait Percutaneous Cecostomy Catheter, Cook Medical LLC, Bloomington, IN) over a guidewire [67]. A Chait button consists of an external access device and an internal coiled tube which sits in the lumen of the caecum. The external access device, which can be hidden discretely under the child’s clothing, can be easily accessed to attach an extension tube connected to an irrigation bag. After appropriate education, the patient and their family can perform colonic irrigation at home, by administering an enema through the Chait button.</w:t>
      </w:r>
    </w:p>
    <w:p w14:paraId="3ED802F3" w14:textId="4044529C" w:rsidR="00AB77E7" w:rsidRPr="00AF73D3" w:rsidRDefault="00AB77E7" w:rsidP="00AB77E7">
      <w:pPr>
        <w:spacing w:before="100" w:beforeAutospacing="1" w:after="100" w:afterAutospacing="1"/>
        <w:rPr>
          <w:color w:val="000000" w:themeColor="text1"/>
        </w:rPr>
      </w:pPr>
      <w:r w:rsidRPr="00AF73D3">
        <w:rPr>
          <w:color w:val="000000" w:themeColor="text1"/>
        </w:rPr>
        <w:t>Potential long-term complications include granulation tissue forming around the stoma and accidental dislodgement of the caecostomy tube. In cases of lost access, image guided re-establishment of access can be effectively performed without general anaesthesia, which can obviate the need for surgical re-establishment of the stoma tract [68].</w:t>
      </w:r>
    </w:p>
    <w:p w14:paraId="7FF5EDC7" w14:textId="2D1863CF" w:rsidR="00AB77E7" w:rsidRPr="00AF73D3" w:rsidRDefault="00AB77E7" w:rsidP="00AB77E7">
      <w:pPr>
        <w:spacing w:before="100" w:beforeAutospacing="1" w:after="100" w:afterAutospacing="1"/>
        <w:rPr>
          <w:color w:val="000000" w:themeColor="text1"/>
        </w:rPr>
      </w:pPr>
      <w:r w:rsidRPr="00AF73D3">
        <w:rPr>
          <w:color w:val="000000" w:themeColor="text1"/>
        </w:rPr>
        <w:t xml:space="preserve">Percutaneous placement of a caecostomy tube under image guidance by an Interventional Radiologist can be performed with a high success and low complication rates and patients have been shown to experience a significant decrease in the frequency of faecal incontinence [65, 66, 67]. There have also been cases where colonic irrigation performed through a </w:t>
      </w:r>
      <w:r w:rsidRPr="00AF73D3">
        <w:rPr>
          <w:color w:val="000000" w:themeColor="text1"/>
        </w:rPr>
        <w:lastRenderedPageBreak/>
        <w:t>percutaneous caecostomy has conferred functional improvement in large bowel motility to the extent that some children no longer require colonic irrigation [65].</w:t>
      </w:r>
    </w:p>
    <w:p w14:paraId="18AFF2C4" w14:textId="77777777" w:rsidR="00AB77E7" w:rsidRPr="00AF73D3" w:rsidRDefault="00AB77E7" w:rsidP="00AB77E7">
      <w:pPr>
        <w:spacing w:before="100" w:beforeAutospacing="1" w:after="100" w:afterAutospacing="1"/>
        <w:outlineLvl w:val="1"/>
        <w:rPr>
          <w:b/>
          <w:bCs/>
          <w:color w:val="000000" w:themeColor="text1"/>
          <w:sz w:val="36"/>
          <w:szCs w:val="36"/>
        </w:rPr>
      </w:pPr>
      <w:r w:rsidRPr="00AF73D3">
        <w:rPr>
          <w:b/>
          <w:bCs/>
          <w:color w:val="000000" w:themeColor="text1"/>
          <w:sz w:val="36"/>
          <w:szCs w:val="36"/>
        </w:rPr>
        <w:t>9. Biopsy</w:t>
      </w:r>
    </w:p>
    <w:p w14:paraId="31010C44" w14:textId="47607471" w:rsidR="00AB77E7" w:rsidRPr="00AF73D3" w:rsidRDefault="00AB77E7" w:rsidP="00AB77E7">
      <w:pPr>
        <w:spacing w:before="100" w:beforeAutospacing="1" w:after="100" w:afterAutospacing="1"/>
        <w:rPr>
          <w:color w:val="000000" w:themeColor="text1"/>
        </w:rPr>
      </w:pPr>
      <w:r w:rsidRPr="00AF73D3">
        <w:rPr>
          <w:color w:val="000000" w:themeColor="text1"/>
        </w:rPr>
        <w:t>US-guided biopsy is a widely-utilised procedure in diagnosing lesions occupying the abdominal and retroperitoneal space. It has high diagnostic accuracy, a low complication rate and a very low mortality rate [69]. For masses involving the bowel, percutaneous image-guided bowel mass biopsy has traditionally been avoided in favour of endoscopic or laparoscopic biopsy. The limitation of endoscopy is that the section of bowel between the duodenal-jejunal flexure and the terminal ilium is not easily accessible. Furthermore, masses which do not involve the mucosa may not be amenable to endoscopic biopsy. Performing the biopsy via the surgical approach is more invasive. An US-guided approach is an alternative method for obtaining samples of bowel wall lesions. Percutaneous bowel biopsy has been described in adults and demonstrated to be both safe and effective [69,70]. In our experience, masses stemming from the bowel wall and mesentery, which occur in conditions such as Burkitt’s lymphoma, have been easily and safely biopsied under US-guidance using percutaneous and transrectal approaches. Even when mucosa had been included in the histopathology sample, there has been no subsequent clinically significant symptomatic peritoneal spillage of bowel contents.</w:t>
      </w:r>
    </w:p>
    <w:p w14:paraId="104055FC" w14:textId="77777777" w:rsidR="00AB77E7" w:rsidRPr="00AF73D3" w:rsidRDefault="00AB77E7" w:rsidP="00AB77E7">
      <w:pPr>
        <w:spacing w:before="100" w:beforeAutospacing="1" w:after="100" w:afterAutospacing="1"/>
        <w:outlineLvl w:val="1"/>
        <w:rPr>
          <w:b/>
          <w:bCs/>
          <w:color w:val="000000" w:themeColor="text1"/>
          <w:sz w:val="36"/>
          <w:szCs w:val="36"/>
        </w:rPr>
      </w:pPr>
      <w:r w:rsidRPr="00AF73D3">
        <w:rPr>
          <w:b/>
          <w:bCs/>
          <w:color w:val="000000" w:themeColor="text1"/>
          <w:sz w:val="36"/>
          <w:szCs w:val="36"/>
        </w:rPr>
        <w:t>10. Drainage</w:t>
      </w:r>
    </w:p>
    <w:p w14:paraId="0F2F70C1" w14:textId="649D876A" w:rsidR="00AB77E7" w:rsidRPr="00AF73D3" w:rsidRDefault="00AB77E7" w:rsidP="00AB77E7">
      <w:pPr>
        <w:spacing w:before="100" w:beforeAutospacing="1" w:after="100" w:afterAutospacing="1"/>
        <w:rPr>
          <w:color w:val="000000" w:themeColor="text1"/>
        </w:rPr>
      </w:pPr>
      <w:r w:rsidRPr="00AF73D3">
        <w:rPr>
          <w:color w:val="000000" w:themeColor="text1"/>
        </w:rPr>
        <w:t>Abscesses in the peritoneal space often occur secondary to gastro-intestinal pathology or after bowel surgery. Fluid collections associated with bowel inflammation or infection often need to be surgically or percutaneously drained. Clinical investigations and imaging studies can give hints as to whether a fluid collection is infected [71,72]. There is no absolute contraindication for fluid aspiration or drain placement. The vast majority of such procedures are performed by US, and fluoroscopy can be helpful during wire placement and catheter placement. Access is percutaneous or transrectal, and is dependent upon the collection’s location. Drain size is chosen based upon the quality of fluid during aspiration: for clear serous fluid collections, a 6 or 8.5 French drain is adequate. If the collection contains thicker fluid, a minimum of 10Fr drain should be placed.</w:t>
      </w:r>
    </w:p>
    <w:p w14:paraId="2A05452D" w14:textId="77777777" w:rsidR="00AB77E7" w:rsidRPr="00AF73D3" w:rsidRDefault="00AB77E7" w:rsidP="00AB77E7">
      <w:pPr>
        <w:spacing w:before="100" w:beforeAutospacing="1" w:after="100" w:afterAutospacing="1"/>
        <w:outlineLvl w:val="1"/>
        <w:rPr>
          <w:b/>
          <w:bCs/>
          <w:color w:val="000000" w:themeColor="text1"/>
          <w:sz w:val="36"/>
          <w:szCs w:val="36"/>
        </w:rPr>
      </w:pPr>
      <w:r w:rsidRPr="00AF73D3">
        <w:rPr>
          <w:b/>
          <w:bCs/>
          <w:color w:val="000000" w:themeColor="text1"/>
          <w:sz w:val="36"/>
          <w:szCs w:val="36"/>
        </w:rPr>
        <w:t>11. Conclusion</w:t>
      </w:r>
    </w:p>
    <w:p w14:paraId="273B9781" w14:textId="5CFA2B44" w:rsidR="00AB77E7" w:rsidRDefault="00AB77E7" w:rsidP="00AB77E7">
      <w:pPr>
        <w:spacing w:before="100" w:beforeAutospacing="1" w:after="100" w:afterAutospacing="1"/>
        <w:rPr>
          <w:color w:val="000000" w:themeColor="text1"/>
        </w:rPr>
      </w:pPr>
      <w:r w:rsidRPr="00AF73D3">
        <w:rPr>
          <w:color w:val="000000" w:themeColor="text1"/>
        </w:rPr>
        <w:t xml:space="preserve">We have described the successful application of various modalities of interventional procedures in the paediatric alimentary tract. The mainstay in children includes facilitating enteral feeding via gastrostomy and </w:t>
      </w:r>
      <w:proofErr w:type="spellStart"/>
      <w:r w:rsidRPr="00AF73D3">
        <w:rPr>
          <w:color w:val="000000" w:themeColor="text1"/>
        </w:rPr>
        <w:t>gastrojejunal</w:t>
      </w:r>
      <w:proofErr w:type="spellEnd"/>
      <w:r w:rsidRPr="00AF73D3">
        <w:rPr>
          <w:color w:val="000000" w:themeColor="text1"/>
        </w:rPr>
        <w:t xml:space="preserve"> tube insertion and dilation of alimentary strictures via balloon to alleviate symptoms while preserving bowel length. The review presented suggests that Interventional Radiology procedures on the alimentary tract in children can be considered a safe and effective alternative to more invasive treatment options. To be safely delivered to infants and small children, it requires careful case selection, MDT discussions and a dedicated paediatric IR team.</w:t>
      </w:r>
    </w:p>
    <w:p w14:paraId="045AC652" w14:textId="2976D982" w:rsidR="000073D1" w:rsidRDefault="000073D1" w:rsidP="00AB77E7">
      <w:pPr>
        <w:spacing w:before="100" w:beforeAutospacing="1" w:after="100" w:afterAutospacing="1"/>
        <w:rPr>
          <w:color w:val="000000" w:themeColor="text1"/>
        </w:rPr>
      </w:pPr>
    </w:p>
    <w:p w14:paraId="4F832006" w14:textId="77777777" w:rsidR="000073D1" w:rsidRPr="00AF73D3" w:rsidRDefault="000073D1" w:rsidP="00AB77E7">
      <w:pPr>
        <w:spacing w:before="100" w:beforeAutospacing="1" w:after="100" w:afterAutospacing="1"/>
        <w:rPr>
          <w:color w:val="000000" w:themeColor="text1"/>
        </w:rPr>
      </w:pPr>
      <w:bookmarkStart w:id="0" w:name="_GoBack"/>
      <w:bookmarkEnd w:id="0"/>
    </w:p>
    <w:p w14:paraId="0A126191" w14:textId="77777777" w:rsidR="003E0A72" w:rsidRPr="00AF73D3" w:rsidRDefault="003E0A72" w:rsidP="003E0A72">
      <w:pPr>
        <w:pStyle w:val="Heading2"/>
        <w:rPr>
          <w:color w:val="000000" w:themeColor="text1"/>
        </w:rPr>
      </w:pPr>
      <w:r w:rsidRPr="00AF73D3">
        <w:rPr>
          <w:color w:val="000000" w:themeColor="text1"/>
        </w:rPr>
        <w:lastRenderedPageBreak/>
        <w:t>References</w:t>
      </w:r>
    </w:p>
    <w:p w14:paraId="7E35B8B6"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Baskin, K.M., Hogan, M.J., Sidhu, M.K., Connolly, B.L., </w:t>
      </w:r>
      <w:proofErr w:type="spellStart"/>
      <w:r w:rsidRPr="00AF73D3">
        <w:rPr>
          <w:rStyle w:val="refauthors"/>
          <w:color w:val="000000" w:themeColor="text1"/>
        </w:rPr>
        <w:t>Towbin</w:t>
      </w:r>
      <w:proofErr w:type="spellEnd"/>
      <w:r w:rsidRPr="00AF73D3">
        <w:rPr>
          <w:rStyle w:val="refauthors"/>
          <w:color w:val="000000" w:themeColor="text1"/>
        </w:rPr>
        <w:t xml:space="preserve">, R.B., Saad, W.E.A., Dubois, J., </w:t>
      </w:r>
      <w:proofErr w:type="spellStart"/>
      <w:r w:rsidRPr="00AF73D3">
        <w:rPr>
          <w:rStyle w:val="refauthors"/>
          <w:color w:val="000000" w:themeColor="text1"/>
        </w:rPr>
        <w:t>Heran</w:t>
      </w:r>
      <w:proofErr w:type="spellEnd"/>
      <w:r w:rsidRPr="00AF73D3">
        <w:rPr>
          <w:rStyle w:val="refauthors"/>
          <w:color w:val="000000" w:themeColor="text1"/>
        </w:rPr>
        <w:t xml:space="preserve">, M.K.S., </w:t>
      </w:r>
      <w:proofErr w:type="spellStart"/>
      <w:r w:rsidRPr="00AF73D3">
        <w:rPr>
          <w:rStyle w:val="refauthors"/>
          <w:color w:val="000000" w:themeColor="text1"/>
        </w:rPr>
        <w:t>Marshalleck</w:t>
      </w:r>
      <w:proofErr w:type="spellEnd"/>
      <w:r w:rsidRPr="00AF73D3">
        <w:rPr>
          <w:rStyle w:val="refauthors"/>
          <w:color w:val="000000" w:themeColor="text1"/>
        </w:rPr>
        <w:t xml:space="preserve">, F.E., Miller, D.L., Roebuck, D., Temple, M.J., Walker, T.G., </w:t>
      </w:r>
      <w:proofErr w:type="spellStart"/>
      <w:r w:rsidRPr="00AF73D3">
        <w:rPr>
          <w:rStyle w:val="refauthors"/>
          <w:color w:val="000000" w:themeColor="text1"/>
        </w:rPr>
        <w:t>Cardella</w:t>
      </w:r>
      <w:proofErr w:type="spellEnd"/>
      <w:r w:rsidRPr="00AF73D3">
        <w:rPr>
          <w:rStyle w:val="refauthors"/>
          <w:color w:val="000000" w:themeColor="text1"/>
        </w:rPr>
        <w:t xml:space="preserve">, J.F. </w:t>
      </w:r>
      <w:r w:rsidRPr="00AF73D3">
        <w:rPr>
          <w:rStyle w:val="reftitle"/>
          <w:color w:val="000000" w:themeColor="text1"/>
        </w:rPr>
        <w:t xml:space="preserve">Developing a clinical pediatric interventional practice: a joint clinical practice guideline from the society of interventional radiology and the society for pediatric radiology. </w:t>
      </w:r>
      <w:r w:rsidRPr="00AF73D3">
        <w:rPr>
          <w:rStyle w:val="refseriestitle"/>
          <w:color w:val="000000" w:themeColor="text1"/>
        </w:rPr>
        <w:t>J. Vasc. Interv. Radiol.</w:t>
      </w:r>
      <w:r w:rsidRPr="00AF73D3">
        <w:rPr>
          <w:rStyle w:val="reference"/>
          <w:color w:val="000000" w:themeColor="text1"/>
        </w:rPr>
        <w:t xml:space="preserve"> </w:t>
      </w:r>
      <w:proofErr w:type="gramStart"/>
      <w:r w:rsidRPr="00AF73D3">
        <w:rPr>
          <w:rStyle w:val="refseriesdate"/>
          <w:color w:val="000000" w:themeColor="text1"/>
        </w:rPr>
        <w:t>2011</w:t>
      </w:r>
      <w:r w:rsidRPr="00AF73D3">
        <w:rPr>
          <w:rStyle w:val="reference"/>
          <w:color w:val="000000" w:themeColor="text1"/>
        </w:rPr>
        <w:t>;</w:t>
      </w:r>
      <w:r w:rsidRPr="00AF73D3">
        <w:rPr>
          <w:rStyle w:val="refseriesvolume"/>
          <w:color w:val="000000" w:themeColor="text1"/>
        </w:rPr>
        <w:t>22</w:t>
      </w:r>
      <w:r w:rsidRPr="00AF73D3">
        <w:rPr>
          <w:rStyle w:val="reference"/>
          <w:color w:val="000000" w:themeColor="text1"/>
        </w:rPr>
        <w:t>:</w:t>
      </w:r>
      <w:r w:rsidRPr="00AF73D3">
        <w:rPr>
          <w:rStyle w:val="refpages"/>
          <w:color w:val="000000" w:themeColor="text1"/>
        </w:rPr>
        <w:t>1647</w:t>
      </w:r>
      <w:proofErr w:type="gramEnd"/>
      <w:r w:rsidRPr="00AF73D3">
        <w:rPr>
          <w:rStyle w:val="refpages"/>
          <w:color w:val="000000" w:themeColor="text1"/>
        </w:rPr>
        <w:t>–1655</w:t>
      </w:r>
    </w:p>
    <w:p w14:paraId="7A3597C7" w14:textId="20F57407"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 w:history="1">
        <w:r w:rsidR="00C5282B" w:rsidRPr="002C3C39">
          <w:rPr>
            <w:rStyle w:val="Hyperlink"/>
          </w:rPr>
          <w:t>https://doi.org/10.1016/j.jvir.2011.07.010</w:t>
        </w:r>
      </w:hyperlink>
    </w:p>
    <w:p w14:paraId="477B0282" w14:textId="77777777" w:rsidR="00C5282B" w:rsidRPr="00AF73D3" w:rsidRDefault="00C5282B" w:rsidP="00C5282B">
      <w:pPr>
        <w:spacing w:before="100" w:beforeAutospacing="1" w:after="100" w:afterAutospacing="1"/>
        <w:ind w:left="720"/>
        <w:rPr>
          <w:color w:val="000000" w:themeColor="text1"/>
        </w:rPr>
      </w:pPr>
    </w:p>
    <w:p w14:paraId="750CA001"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Connolly, B., Mahant, S. </w:t>
      </w:r>
      <w:r w:rsidRPr="00AF73D3">
        <w:rPr>
          <w:rStyle w:val="reftitle"/>
          <w:color w:val="000000" w:themeColor="text1"/>
        </w:rPr>
        <w:t xml:space="preserve">The pediatric hospitalist and interventional radiologist: a model for clinical care in pediatric interventional radiology. </w:t>
      </w:r>
      <w:r w:rsidRPr="00AF73D3">
        <w:rPr>
          <w:rStyle w:val="refseriestitle"/>
          <w:color w:val="000000" w:themeColor="text1"/>
        </w:rPr>
        <w:t>J. Vasc. Interv. Radiol.</w:t>
      </w:r>
      <w:r w:rsidRPr="00AF73D3">
        <w:rPr>
          <w:rStyle w:val="reference"/>
          <w:color w:val="000000" w:themeColor="text1"/>
        </w:rPr>
        <w:t xml:space="preserve"> </w:t>
      </w:r>
      <w:proofErr w:type="gramStart"/>
      <w:r w:rsidRPr="00AF73D3">
        <w:rPr>
          <w:rStyle w:val="refseriesdate"/>
          <w:color w:val="000000" w:themeColor="text1"/>
        </w:rPr>
        <w:t>2006</w:t>
      </w:r>
      <w:r w:rsidRPr="00AF73D3">
        <w:rPr>
          <w:rStyle w:val="reference"/>
          <w:color w:val="000000" w:themeColor="text1"/>
        </w:rPr>
        <w:t>;</w:t>
      </w:r>
      <w:r w:rsidRPr="00AF73D3">
        <w:rPr>
          <w:rStyle w:val="refseriesvolume"/>
          <w:color w:val="000000" w:themeColor="text1"/>
        </w:rPr>
        <w:t>17</w:t>
      </w:r>
      <w:r w:rsidRPr="00AF73D3">
        <w:rPr>
          <w:rStyle w:val="reference"/>
          <w:color w:val="000000" w:themeColor="text1"/>
        </w:rPr>
        <w:t>:</w:t>
      </w:r>
      <w:r w:rsidRPr="00AF73D3">
        <w:rPr>
          <w:rStyle w:val="refpages"/>
          <w:color w:val="000000" w:themeColor="text1"/>
        </w:rPr>
        <w:t>1733</w:t>
      </w:r>
      <w:proofErr w:type="gramEnd"/>
      <w:r w:rsidRPr="00AF73D3">
        <w:rPr>
          <w:rStyle w:val="refpages"/>
          <w:color w:val="000000" w:themeColor="text1"/>
        </w:rPr>
        <w:t>–1738</w:t>
      </w:r>
    </w:p>
    <w:p w14:paraId="7C20F436" w14:textId="6708D313"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6" w:history="1">
        <w:r w:rsidR="00C5282B" w:rsidRPr="002C3C39">
          <w:rPr>
            <w:rStyle w:val="Hyperlink"/>
          </w:rPr>
          <w:t>https://doi.org/10.1097/01.RVI.0000240728.63147.F0</w:t>
        </w:r>
      </w:hyperlink>
    </w:p>
    <w:p w14:paraId="21D92C96" w14:textId="77777777" w:rsidR="00C5282B" w:rsidRPr="00AF73D3" w:rsidRDefault="00C5282B" w:rsidP="00C5282B">
      <w:pPr>
        <w:spacing w:before="100" w:beforeAutospacing="1" w:after="100" w:afterAutospacing="1"/>
        <w:ind w:left="720"/>
        <w:rPr>
          <w:color w:val="000000" w:themeColor="text1"/>
        </w:rPr>
      </w:pPr>
    </w:p>
    <w:p w14:paraId="1745BC59"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Rubenstein, J., </w:t>
      </w:r>
      <w:proofErr w:type="spellStart"/>
      <w:r w:rsidRPr="00AF73D3">
        <w:rPr>
          <w:rStyle w:val="refauthors"/>
          <w:color w:val="000000" w:themeColor="text1"/>
        </w:rPr>
        <w:t>Zettel</w:t>
      </w:r>
      <w:proofErr w:type="spellEnd"/>
      <w:r w:rsidRPr="00AF73D3">
        <w:rPr>
          <w:rStyle w:val="refauthors"/>
          <w:color w:val="000000" w:themeColor="text1"/>
        </w:rPr>
        <w:t xml:space="preserve">, J.C., Lee, E., Cote, M., Aziza, A., Connolly, B.L. </w:t>
      </w:r>
      <w:r w:rsidRPr="00AF73D3">
        <w:rPr>
          <w:rStyle w:val="reftitle"/>
          <w:color w:val="000000" w:themeColor="text1"/>
        </w:rPr>
        <w:t xml:space="preserve">Pediatric interventional radiology clinic – how are we </w:t>
      </w:r>
      <w:proofErr w:type="gramStart"/>
      <w:r w:rsidRPr="00AF73D3">
        <w:rPr>
          <w:rStyle w:val="reftitle"/>
          <w:color w:val="000000" w:themeColor="text1"/>
        </w:rPr>
        <w:t>doing?.</w:t>
      </w:r>
      <w:proofErr w:type="gramEnd"/>
      <w:r w:rsidRPr="00AF73D3">
        <w:rPr>
          <w:rStyle w:val="reftitle"/>
          <w:color w:val="000000" w:themeColor="text1"/>
        </w:rPr>
        <w:t xml:space="preserve"> </w:t>
      </w:r>
      <w:r w:rsidRPr="00AF73D3">
        <w:rPr>
          <w:rStyle w:val="refseriestitle"/>
          <w:color w:val="000000" w:themeColor="text1"/>
        </w:rPr>
        <w:t>Pediatr. Radiol.</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r w:rsidRPr="00AF73D3">
        <w:rPr>
          <w:rStyle w:val="refseriesvolume"/>
          <w:color w:val="000000" w:themeColor="text1"/>
        </w:rPr>
        <w:t>46</w:t>
      </w:r>
      <w:r w:rsidRPr="00AF73D3">
        <w:rPr>
          <w:rStyle w:val="reference"/>
          <w:color w:val="000000" w:themeColor="text1"/>
        </w:rPr>
        <w:t>:</w:t>
      </w:r>
      <w:r w:rsidRPr="00AF73D3">
        <w:rPr>
          <w:rStyle w:val="refpages"/>
          <w:color w:val="000000" w:themeColor="text1"/>
        </w:rPr>
        <w:t>1165</w:t>
      </w:r>
      <w:proofErr w:type="gramEnd"/>
      <w:r w:rsidRPr="00AF73D3">
        <w:rPr>
          <w:rStyle w:val="refpages"/>
          <w:color w:val="000000" w:themeColor="text1"/>
        </w:rPr>
        <w:t>–1172</w:t>
      </w:r>
    </w:p>
    <w:p w14:paraId="5901DB29" w14:textId="297D3050"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7" w:history="1">
        <w:r w:rsidR="00C5282B" w:rsidRPr="002C3C39">
          <w:rPr>
            <w:rStyle w:val="Hyperlink"/>
          </w:rPr>
          <w:t>https://doi.org/10.1007/s00247-016-3593-z</w:t>
        </w:r>
      </w:hyperlink>
    </w:p>
    <w:p w14:paraId="1C9B988A" w14:textId="77777777" w:rsidR="00C5282B" w:rsidRPr="00AF73D3" w:rsidRDefault="00C5282B" w:rsidP="00C5282B">
      <w:pPr>
        <w:spacing w:before="100" w:beforeAutospacing="1" w:after="100" w:afterAutospacing="1"/>
        <w:ind w:left="720"/>
        <w:rPr>
          <w:color w:val="000000" w:themeColor="text1"/>
        </w:rPr>
      </w:pPr>
    </w:p>
    <w:p w14:paraId="37419321"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Alvarenga</w:t>
      </w:r>
      <w:proofErr w:type="spellEnd"/>
      <w:r w:rsidRPr="00AF73D3">
        <w:rPr>
          <w:rStyle w:val="refauthors"/>
          <w:color w:val="000000" w:themeColor="text1"/>
        </w:rPr>
        <w:t xml:space="preserve">, A., Campos, M., Dias, M., </w:t>
      </w:r>
      <w:proofErr w:type="spellStart"/>
      <w:r w:rsidRPr="00AF73D3">
        <w:rPr>
          <w:rStyle w:val="refauthors"/>
          <w:color w:val="000000" w:themeColor="text1"/>
        </w:rPr>
        <w:t>Melão</w:t>
      </w:r>
      <w:proofErr w:type="spellEnd"/>
      <w:r w:rsidRPr="00AF73D3">
        <w:rPr>
          <w:rStyle w:val="refauthors"/>
          <w:color w:val="000000" w:themeColor="text1"/>
        </w:rPr>
        <w:t xml:space="preserve">, L., </w:t>
      </w:r>
      <w:proofErr w:type="spellStart"/>
      <w:r w:rsidRPr="00AF73D3">
        <w:rPr>
          <w:rStyle w:val="refauthors"/>
          <w:color w:val="000000" w:themeColor="text1"/>
        </w:rPr>
        <w:t>Estevão</w:t>
      </w:r>
      <w:proofErr w:type="spellEnd"/>
      <w:r w:rsidRPr="00AF73D3">
        <w:rPr>
          <w:rStyle w:val="refauthors"/>
          <w:color w:val="000000" w:themeColor="text1"/>
        </w:rPr>
        <w:t xml:space="preserve">-Costa, J. </w:t>
      </w:r>
      <w:r w:rsidRPr="00AF73D3">
        <w:rPr>
          <w:rStyle w:val="reftitle"/>
          <w:color w:val="000000" w:themeColor="text1"/>
        </w:rPr>
        <w:t xml:space="preserve">BOTOX-A injection of salivary glands for drooling.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2017</w:t>
      </w:r>
      <w:r w:rsidRPr="00AF73D3">
        <w:rPr>
          <w:rStyle w:val="reference"/>
          <w:color w:val="000000" w:themeColor="text1"/>
        </w:rPr>
        <w:t>;</w:t>
      </w:r>
      <w:r w:rsidRPr="00AF73D3">
        <w:rPr>
          <w:rStyle w:val="refseriesvolume"/>
          <w:color w:val="000000" w:themeColor="text1"/>
        </w:rPr>
        <w:t>52</w:t>
      </w:r>
      <w:r w:rsidRPr="00AF73D3">
        <w:rPr>
          <w:rStyle w:val="reference"/>
          <w:color w:val="000000" w:themeColor="text1"/>
        </w:rPr>
        <w:t>:</w:t>
      </w:r>
      <w:r w:rsidRPr="00AF73D3">
        <w:rPr>
          <w:rStyle w:val="refpages"/>
          <w:color w:val="000000" w:themeColor="text1"/>
        </w:rPr>
        <w:t>1283</w:t>
      </w:r>
      <w:proofErr w:type="gramEnd"/>
      <w:r w:rsidRPr="00AF73D3">
        <w:rPr>
          <w:rStyle w:val="refpages"/>
          <w:color w:val="000000" w:themeColor="text1"/>
        </w:rPr>
        <w:t>–1286</w:t>
      </w:r>
    </w:p>
    <w:p w14:paraId="0D02699D" w14:textId="06BCF161"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8" w:history="1">
        <w:r w:rsidR="00C5282B" w:rsidRPr="002C3C39">
          <w:rPr>
            <w:rStyle w:val="Hyperlink"/>
          </w:rPr>
          <w:t>https://doi.org/10.1016/j.jpedsurg.2016.09.074</w:t>
        </w:r>
      </w:hyperlink>
    </w:p>
    <w:p w14:paraId="6F4A04E7" w14:textId="77777777" w:rsidR="00C5282B" w:rsidRPr="00AF73D3" w:rsidRDefault="00C5282B" w:rsidP="00C5282B">
      <w:pPr>
        <w:spacing w:before="100" w:beforeAutospacing="1" w:after="100" w:afterAutospacing="1"/>
        <w:ind w:left="720"/>
        <w:rPr>
          <w:color w:val="000000" w:themeColor="text1"/>
        </w:rPr>
      </w:pPr>
    </w:p>
    <w:p w14:paraId="309A6EDF"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Formeister</w:t>
      </w:r>
      <w:proofErr w:type="spellEnd"/>
      <w:r w:rsidRPr="00AF73D3">
        <w:rPr>
          <w:rStyle w:val="refauthors"/>
          <w:color w:val="000000" w:themeColor="text1"/>
        </w:rPr>
        <w:t xml:space="preserve">, E.J., Dahl, J.P., Rose, A.S. </w:t>
      </w:r>
      <w:r w:rsidRPr="00AF73D3">
        <w:rPr>
          <w:rStyle w:val="reftitle"/>
          <w:color w:val="000000" w:themeColor="text1"/>
        </w:rPr>
        <w:t xml:space="preserve">Surgical management of chronic sialorrhea in pediatric patients: 10-year experience from one tertiary care institution. </w:t>
      </w:r>
      <w:r w:rsidRPr="00AF73D3">
        <w:rPr>
          <w:rStyle w:val="refseriestitle"/>
          <w:color w:val="000000" w:themeColor="text1"/>
        </w:rPr>
        <w:t xml:space="preserve">Int. J. Pediatr. </w:t>
      </w:r>
      <w:proofErr w:type="spellStart"/>
      <w:r w:rsidRPr="00AF73D3">
        <w:rPr>
          <w:rStyle w:val="refseriestitle"/>
          <w:color w:val="000000" w:themeColor="text1"/>
        </w:rPr>
        <w:t>Otorhinolaryngol</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2014</w:t>
      </w:r>
      <w:r w:rsidRPr="00AF73D3">
        <w:rPr>
          <w:rStyle w:val="reference"/>
          <w:color w:val="000000" w:themeColor="text1"/>
        </w:rPr>
        <w:t>;</w:t>
      </w:r>
      <w:r w:rsidRPr="00AF73D3">
        <w:rPr>
          <w:rStyle w:val="refseriesvolume"/>
          <w:color w:val="000000" w:themeColor="text1"/>
        </w:rPr>
        <w:t>78</w:t>
      </w:r>
      <w:r w:rsidRPr="00AF73D3">
        <w:rPr>
          <w:rStyle w:val="reference"/>
          <w:color w:val="000000" w:themeColor="text1"/>
        </w:rPr>
        <w:t>:</w:t>
      </w:r>
      <w:r w:rsidRPr="00AF73D3">
        <w:rPr>
          <w:rStyle w:val="refpages"/>
          <w:color w:val="000000" w:themeColor="text1"/>
        </w:rPr>
        <w:t>1387</w:t>
      </w:r>
      <w:proofErr w:type="gramEnd"/>
      <w:r w:rsidRPr="00AF73D3">
        <w:rPr>
          <w:rStyle w:val="refpages"/>
          <w:color w:val="000000" w:themeColor="text1"/>
        </w:rPr>
        <w:t>–1392</w:t>
      </w:r>
    </w:p>
    <w:p w14:paraId="17AD0D51" w14:textId="287E46B1"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9" w:history="1">
        <w:r w:rsidR="00C5282B" w:rsidRPr="002C3C39">
          <w:rPr>
            <w:rStyle w:val="Hyperlink"/>
          </w:rPr>
          <w:t>https://doi.org/10.1016/j.ijporl.2014.06.005</w:t>
        </w:r>
      </w:hyperlink>
    </w:p>
    <w:p w14:paraId="180CEE34" w14:textId="77777777" w:rsidR="00C5282B" w:rsidRPr="00AF73D3" w:rsidRDefault="00C5282B" w:rsidP="00C5282B">
      <w:pPr>
        <w:spacing w:before="100" w:beforeAutospacing="1" w:after="100" w:afterAutospacing="1"/>
        <w:ind w:left="720"/>
        <w:rPr>
          <w:color w:val="000000" w:themeColor="text1"/>
        </w:rPr>
      </w:pPr>
    </w:p>
    <w:p w14:paraId="64E4AAB9"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Lungren</w:t>
      </w:r>
      <w:proofErr w:type="spellEnd"/>
      <w:r w:rsidRPr="00AF73D3">
        <w:rPr>
          <w:rStyle w:val="refauthors"/>
          <w:color w:val="000000" w:themeColor="text1"/>
        </w:rPr>
        <w:t xml:space="preserve">, M.P., </w:t>
      </w:r>
      <w:proofErr w:type="spellStart"/>
      <w:r w:rsidRPr="00AF73D3">
        <w:rPr>
          <w:rStyle w:val="refauthors"/>
          <w:color w:val="000000" w:themeColor="text1"/>
        </w:rPr>
        <w:t>Halula</w:t>
      </w:r>
      <w:proofErr w:type="spellEnd"/>
      <w:r w:rsidRPr="00AF73D3">
        <w:rPr>
          <w:rStyle w:val="refauthors"/>
          <w:color w:val="000000" w:themeColor="text1"/>
        </w:rPr>
        <w:t xml:space="preserve">, S., Coyne, S., </w:t>
      </w:r>
      <w:proofErr w:type="spellStart"/>
      <w:r w:rsidRPr="00AF73D3">
        <w:rPr>
          <w:rStyle w:val="refauthors"/>
          <w:color w:val="000000" w:themeColor="text1"/>
        </w:rPr>
        <w:t>Sidell</w:t>
      </w:r>
      <w:proofErr w:type="spellEnd"/>
      <w:r w:rsidRPr="00AF73D3">
        <w:rPr>
          <w:rStyle w:val="refauthors"/>
          <w:color w:val="000000" w:themeColor="text1"/>
        </w:rPr>
        <w:t xml:space="preserve">, D., </w:t>
      </w:r>
      <w:proofErr w:type="spellStart"/>
      <w:r w:rsidRPr="00AF73D3">
        <w:rPr>
          <w:rStyle w:val="refauthors"/>
          <w:color w:val="000000" w:themeColor="text1"/>
        </w:rPr>
        <w:t>Racadio</w:t>
      </w:r>
      <w:proofErr w:type="spellEnd"/>
      <w:r w:rsidRPr="00AF73D3">
        <w:rPr>
          <w:rStyle w:val="refauthors"/>
          <w:color w:val="000000" w:themeColor="text1"/>
        </w:rPr>
        <w:t xml:space="preserve">, J.M., Patel, M.N. </w:t>
      </w:r>
      <w:r w:rsidRPr="00AF73D3">
        <w:rPr>
          <w:rStyle w:val="reftitle"/>
          <w:color w:val="000000" w:themeColor="text1"/>
        </w:rPr>
        <w:t xml:space="preserve">Ultrasound-guided botulinum toxin type a salivary gland injection in children for refractory sialorrhea: 10-year experience at a large tertiary children’s hospital. </w:t>
      </w:r>
      <w:r w:rsidRPr="00AF73D3">
        <w:rPr>
          <w:rStyle w:val="refseriestitle"/>
          <w:color w:val="000000" w:themeColor="text1"/>
        </w:rPr>
        <w:t>Pediatr. Neurol.</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r w:rsidRPr="00AF73D3">
        <w:rPr>
          <w:rStyle w:val="refseriesvolume"/>
          <w:color w:val="000000" w:themeColor="text1"/>
        </w:rPr>
        <w:t>54</w:t>
      </w:r>
      <w:r w:rsidRPr="00AF73D3">
        <w:rPr>
          <w:rStyle w:val="reference"/>
          <w:color w:val="000000" w:themeColor="text1"/>
        </w:rPr>
        <w:t>:</w:t>
      </w:r>
      <w:r w:rsidRPr="00AF73D3">
        <w:rPr>
          <w:rStyle w:val="refpages"/>
          <w:color w:val="000000" w:themeColor="text1"/>
        </w:rPr>
        <w:t>70</w:t>
      </w:r>
      <w:proofErr w:type="gramEnd"/>
      <w:r w:rsidRPr="00AF73D3">
        <w:rPr>
          <w:rStyle w:val="refpages"/>
          <w:color w:val="000000" w:themeColor="text1"/>
        </w:rPr>
        <w:t>–75</w:t>
      </w:r>
    </w:p>
    <w:p w14:paraId="6258291A" w14:textId="3D3D68BA" w:rsidR="003E0A72" w:rsidRDefault="003E0A72" w:rsidP="00C5282B">
      <w:pPr>
        <w:spacing w:before="100" w:beforeAutospacing="1" w:after="100" w:afterAutospacing="1"/>
        <w:ind w:left="720"/>
        <w:rPr>
          <w:color w:val="000000" w:themeColor="text1"/>
        </w:rPr>
      </w:pPr>
      <w:r w:rsidRPr="00AF73D3">
        <w:rPr>
          <w:color w:val="000000" w:themeColor="text1"/>
        </w:rPr>
        <w:lastRenderedPageBreak/>
        <w:t xml:space="preserve">DOI: </w:t>
      </w:r>
      <w:hyperlink r:id="rId10" w:history="1">
        <w:r w:rsidR="00C5282B" w:rsidRPr="002C3C39">
          <w:rPr>
            <w:rStyle w:val="Hyperlink"/>
          </w:rPr>
          <w:t>https://doi.org/10.1016/j.pediatrneurol.2015.09.014</w:t>
        </w:r>
      </w:hyperlink>
    </w:p>
    <w:p w14:paraId="0AF8205B" w14:textId="77777777" w:rsidR="00C5282B" w:rsidRPr="00AF73D3" w:rsidRDefault="00C5282B" w:rsidP="00C5282B">
      <w:pPr>
        <w:spacing w:before="100" w:beforeAutospacing="1" w:after="100" w:afterAutospacing="1"/>
        <w:ind w:left="720"/>
        <w:rPr>
          <w:color w:val="000000" w:themeColor="text1"/>
        </w:rPr>
      </w:pPr>
    </w:p>
    <w:p w14:paraId="6B2DABB3"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Mahadevan, M., Gruber, M., </w:t>
      </w:r>
      <w:proofErr w:type="spellStart"/>
      <w:r w:rsidRPr="00AF73D3">
        <w:rPr>
          <w:rStyle w:val="refauthors"/>
          <w:color w:val="000000" w:themeColor="text1"/>
        </w:rPr>
        <w:t>Bilish</w:t>
      </w:r>
      <w:proofErr w:type="spellEnd"/>
      <w:r w:rsidRPr="00AF73D3">
        <w:rPr>
          <w:rStyle w:val="refauthors"/>
          <w:color w:val="000000" w:themeColor="text1"/>
        </w:rPr>
        <w:t xml:space="preserve">, D., Edwards, K., Davies-Payne, D., van der Meer, G. </w:t>
      </w:r>
      <w:r w:rsidRPr="00AF73D3">
        <w:rPr>
          <w:rStyle w:val="reftitle"/>
          <w:color w:val="000000" w:themeColor="text1"/>
        </w:rPr>
        <w:t xml:space="preserve">Botulinum toxin injections for chronic </w:t>
      </w:r>
      <w:proofErr w:type="spellStart"/>
      <w:r w:rsidRPr="00AF73D3">
        <w:rPr>
          <w:rStyle w:val="reftitle"/>
          <w:color w:val="000000" w:themeColor="text1"/>
        </w:rPr>
        <w:t>sialorrhoea</w:t>
      </w:r>
      <w:proofErr w:type="spellEnd"/>
      <w:r w:rsidRPr="00AF73D3">
        <w:rPr>
          <w:rStyle w:val="reftitle"/>
          <w:color w:val="000000" w:themeColor="text1"/>
        </w:rPr>
        <w:t xml:space="preserve"> in children are effective regardless of the degree of neurological dysfunction: a single tertiary institution experience. </w:t>
      </w:r>
      <w:r w:rsidRPr="00AF73D3">
        <w:rPr>
          <w:rStyle w:val="refseriestitle"/>
          <w:color w:val="000000" w:themeColor="text1"/>
        </w:rPr>
        <w:t xml:space="preserve">Int. J. Pediatr. </w:t>
      </w:r>
      <w:proofErr w:type="spellStart"/>
      <w:r w:rsidRPr="00AF73D3">
        <w:rPr>
          <w:rStyle w:val="refseriestitle"/>
          <w:color w:val="000000" w:themeColor="text1"/>
        </w:rPr>
        <w:t>Otorhinolaryngol</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r w:rsidRPr="00AF73D3">
        <w:rPr>
          <w:rStyle w:val="refseriesvolume"/>
          <w:color w:val="000000" w:themeColor="text1"/>
        </w:rPr>
        <w:t>88</w:t>
      </w:r>
      <w:r w:rsidRPr="00AF73D3">
        <w:rPr>
          <w:rStyle w:val="reference"/>
          <w:color w:val="000000" w:themeColor="text1"/>
        </w:rPr>
        <w:t>:</w:t>
      </w:r>
      <w:r w:rsidRPr="00AF73D3">
        <w:rPr>
          <w:rStyle w:val="refpages"/>
          <w:color w:val="000000" w:themeColor="text1"/>
        </w:rPr>
        <w:t>142</w:t>
      </w:r>
      <w:proofErr w:type="gramEnd"/>
      <w:r w:rsidRPr="00AF73D3">
        <w:rPr>
          <w:rStyle w:val="refpages"/>
          <w:color w:val="000000" w:themeColor="text1"/>
        </w:rPr>
        <w:t>–145</w:t>
      </w:r>
    </w:p>
    <w:p w14:paraId="53A66271" w14:textId="634BD40C"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11" w:history="1">
        <w:r w:rsidR="00C5282B" w:rsidRPr="002C3C39">
          <w:rPr>
            <w:rStyle w:val="Hyperlink"/>
          </w:rPr>
          <w:t>https://doi.org/10.1016/j.ijporl.2016.06.031</w:t>
        </w:r>
      </w:hyperlink>
    </w:p>
    <w:p w14:paraId="07B866AF" w14:textId="77777777" w:rsidR="00C5282B" w:rsidRPr="00AF73D3" w:rsidRDefault="00C5282B" w:rsidP="00C5282B">
      <w:pPr>
        <w:spacing w:before="100" w:beforeAutospacing="1" w:after="100" w:afterAutospacing="1"/>
        <w:ind w:left="720"/>
        <w:rPr>
          <w:color w:val="000000" w:themeColor="text1"/>
        </w:rPr>
      </w:pPr>
    </w:p>
    <w:p w14:paraId="311B5CF9"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Roebuck, D.J., McLaren, C.A. </w:t>
      </w:r>
      <w:r w:rsidRPr="00AF73D3">
        <w:rPr>
          <w:rStyle w:val="reftitle"/>
          <w:color w:val="000000" w:themeColor="text1"/>
        </w:rPr>
        <w:t xml:space="preserve">Gastrointestinal intervention in children. </w:t>
      </w:r>
      <w:r w:rsidRPr="00AF73D3">
        <w:rPr>
          <w:rStyle w:val="refseriestitle"/>
          <w:color w:val="000000" w:themeColor="text1"/>
        </w:rPr>
        <w:t>Pediatr. Radiol.</w:t>
      </w:r>
      <w:r w:rsidRPr="00AF73D3">
        <w:rPr>
          <w:rStyle w:val="reference"/>
          <w:color w:val="000000" w:themeColor="text1"/>
        </w:rPr>
        <w:t xml:space="preserve"> </w:t>
      </w:r>
      <w:proofErr w:type="gramStart"/>
      <w:r w:rsidRPr="00AF73D3">
        <w:rPr>
          <w:rStyle w:val="refseriesdate"/>
          <w:color w:val="000000" w:themeColor="text1"/>
        </w:rPr>
        <w:t>2011</w:t>
      </w:r>
      <w:r w:rsidRPr="00AF73D3">
        <w:rPr>
          <w:rStyle w:val="reference"/>
          <w:color w:val="000000" w:themeColor="text1"/>
        </w:rPr>
        <w:t>;</w:t>
      </w:r>
      <w:r w:rsidRPr="00AF73D3">
        <w:rPr>
          <w:rStyle w:val="refseriesvolume"/>
          <w:color w:val="000000" w:themeColor="text1"/>
        </w:rPr>
        <w:t>41</w:t>
      </w:r>
      <w:r w:rsidRPr="00AF73D3">
        <w:rPr>
          <w:rStyle w:val="reference"/>
          <w:color w:val="000000" w:themeColor="text1"/>
        </w:rPr>
        <w:t>:</w:t>
      </w:r>
      <w:r w:rsidRPr="00AF73D3">
        <w:rPr>
          <w:rStyle w:val="refpages"/>
          <w:color w:val="000000" w:themeColor="text1"/>
        </w:rPr>
        <w:t>27</w:t>
      </w:r>
      <w:proofErr w:type="gramEnd"/>
      <w:r w:rsidRPr="00AF73D3">
        <w:rPr>
          <w:rStyle w:val="refpages"/>
          <w:color w:val="000000" w:themeColor="text1"/>
        </w:rPr>
        <w:t>–41</w:t>
      </w:r>
    </w:p>
    <w:p w14:paraId="50B8D887" w14:textId="6B047DD4"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12" w:history="1">
        <w:r w:rsidR="00C5282B" w:rsidRPr="002C3C39">
          <w:rPr>
            <w:rStyle w:val="Hyperlink"/>
          </w:rPr>
          <w:t>https://doi.org/10.1007/s00247-010-1699-2</w:t>
        </w:r>
      </w:hyperlink>
    </w:p>
    <w:p w14:paraId="6AD7500E" w14:textId="77777777" w:rsidR="00C5282B" w:rsidRPr="00AF73D3" w:rsidRDefault="00C5282B" w:rsidP="00C5282B">
      <w:pPr>
        <w:spacing w:before="100" w:beforeAutospacing="1" w:after="100" w:afterAutospacing="1"/>
        <w:ind w:left="720"/>
        <w:rPr>
          <w:color w:val="000000" w:themeColor="text1"/>
        </w:rPr>
      </w:pPr>
    </w:p>
    <w:p w14:paraId="5E578A09"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Herrmann, J., </w:t>
      </w:r>
      <w:proofErr w:type="spellStart"/>
      <w:r w:rsidRPr="00AF73D3">
        <w:rPr>
          <w:rStyle w:val="refauthors"/>
          <w:color w:val="000000" w:themeColor="text1"/>
        </w:rPr>
        <w:t>Geth</w:t>
      </w:r>
      <w:proofErr w:type="spellEnd"/>
      <w:r w:rsidRPr="00AF73D3">
        <w:rPr>
          <w:rStyle w:val="refauthors"/>
          <w:color w:val="000000" w:themeColor="text1"/>
        </w:rPr>
        <w:t xml:space="preserve">, K., Mall, V., </w:t>
      </w:r>
      <w:proofErr w:type="spellStart"/>
      <w:r w:rsidRPr="00AF73D3">
        <w:rPr>
          <w:rStyle w:val="refauthors"/>
          <w:color w:val="000000" w:themeColor="text1"/>
        </w:rPr>
        <w:t>Bigalke</w:t>
      </w:r>
      <w:proofErr w:type="spellEnd"/>
      <w:r w:rsidRPr="00AF73D3">
        <w:rPr>
          <w:rStyle w:val="refauthors"/>
          <w:color w:val="000000" w:themeColor="text1"/>
        </w:rPr>
        <w:t xml:space="preserve">, H., Schulte </w:t>
      </w:r>
      <w:proofErr w:type="spellStart"/>
      <w:r w:rsidRPr="00AF73D3">
        <w:rPr>
          <w:rStyle w:val="refauthors"/>
          <w:color w:val="000000" w:themeColor="text1"/>
        </w:rPr>
        <w:t>Mönting</w:t>
      </w:r>
      <w:proofErr w:type="spellEnd"/>
      <w:r w:rsidRPr="00AF73D3">
        <w:rPr>
          <w:rStyle w:val="refauthors"/>
          <w:color w:val="000000" w:themeColor="text1"/>
        </w:rPr>
        <w:t xml:space="preserve">, J., Linder, M., Kirschner, J., </w:t>
      </w:r>
      <w:proofErr w:type="spellStart"/>
      <w:r w:rsidRPr="00AF73D3">
        <w:rPr>
          <w:rStyle w:val="refauthors"/>
          <w:color w:val="000000" w:themeColor="text1"/>
        </w:rPr>
        <w:t>Berweck</w:t>
      </w:r>
      <w:proofErr w:type="spellEnd"/>
      <w:r w:rsidRPr="00AF73D3">
        <w:rPr>
          <w:rStyle w:val="refauthors"/>
          <w:color w:val="000000" w:themeColor="text1"/>
        </w:rPr>
        <w:t xml:space="preserve">, S., </w:t>
      </w:r>
      <w:proofErr w:type="spellStart"/>
      <w:r w:rsidRPr="00AF73D3">
        <w:rPr>
          <w:rStyle w:val="refauthors"/>
          <w:color w:val="000000" w:themeColor="text1"/>
        </w:rPr>
        <w:t>Korinthenberg</w:t>
      </w:r>
      <w:proofErr w:type="spellEnd"/>
      <w:r w:rsidRPr="00AF73D3">
        <w:rPr>
          <w:rStyle w:val="refauthors"/>
          <w:color w:val="000000" w:themeColor="text1"/>
        </w:rPr>
        <w:t xml:space="preserve">, R., Heinen, F., </w:t>
      </w:r>
      <w:proofErr w:type="spellStart"/>
      <w:r w:rsidRPr="00AF73D3">
        <w:rPr>
          <w:rStyle w:val="refauthors"/>
          <w:color w:val="000000" w:themeColor="text1"/>
        </w:rPr>
        <w:t>Fietzek</w:t>
      </w:r>
      <w:proofErr w:type="spellEnd"/>
      <w:r w:rsidRPr="00AF73D3">
        <w:rPr>
          <w:rStyle w:val="refauthors"/>
          <w:color w:val="000000" w:themeColor="text1"/>
        </w:rPr>
        <w:t xml:space="preserve">, U.M. </w:t>
      </w:r>
      <w:r w:rsidRPr="00AF73D3">
        <w:rPr>
          <w:rStyle w:val="reftitle"/>
          <w:color w:val="000000" w:themeColor="text1"/>
        </w:rPr>
        <w:t xml:space="preserve">Clinical impact of antibody formation to botulinum toxin A in children. </w:t>
      </w:r>
      <w:r w:rsidRPr="00AF73D3">
        <w:rPr>
          <w:rStyle w:val="refseriestitle"/>
          <w:color w:val="000000" w:themeColor="text1"/>
        </w:rPr>
        <w:t>Ann. Neurol.</w:t>
      </w:r>
      <w:r w:rsidRPr="00AF73D3">
        <w:rPr>
          <w:rStyle w:val="reference"/>
          <w:color w:val="000000" w:themeColor="text1"/>
        </w:rPr>
        <w:t xml:space="preserve"> </w:t>
      </w:r>
      <w:proofErr w:type="gramStart"/>
      <w:r w:rsidRPr="00AF73D3">
        <w:rPr>
          <w:rStyle w:val="refseriesdate"/>
          <w:color w:val="000000" w:themeColor="text1"/>
        </w:rPr>
        <w:t>2004</w:t>
      </w:r>
      <w:r w:rsidRPr="00AF73D3">
        <w:rPr>
          <w:rStyle w:val="reference"/>
          <w:color w:val="000000" w:themeColor="text1"/>
        </w:rPr>
        <w:t>;</w:t>
      </w:r>
      <w:r w:rsidRPr="00AF73D3">
        <w:rPr>
          <w:rStyle w:val="refseriesvolume"/>
          <w:color w:val="000000" w:themeColor="text1"/>
        </w:rPr>
        <w:t>55</w:t>
      </w:r>
      <w:r w:rsidRPr="00AF73D3">
        <w:rPr>
          <w:rStyle w:val="reference"/>
          <w:color w:val="000000" w:themeColor="text1"/>
        </w:rPr>
        <w:t>:</w:t>
      </w:r>
      <w:r w:rsidRPr="00AF73D3">
        <w:rPr>
          <w:rStyle w:val="refpages"/>
          <w:color w:val="000000" w:themeColor="text1"/>
        </w:rPr>
        <w:t>732</w:t>
      </w:r>
      <w:proofErr w:type="gramEnd"/>
      <w:r w:rsidRPr="00AF73D3">
        <w:rPr>
          <w:rStyle w:val="refpages"/>
          <w:color w:val="000000" w:themeColor="text1"/>
        </w:rPr>
        <w:t>–735</w:t>
      </w:r>
    </w:p>
    <w:p w14:paraId="3731C4C6" w14:textId="2780DDFD"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13" w:history="1">
        <w:r w:rsidR="00C5282B" w:rsidRPr="002C3C39">
          <w:rPr>
            <w:rStyle w:val="Hyperlink"/>
          </w:rPr>
          <w:t>https://doi.org/10.1002/ana.20098</w:t>
        </w:r>
      </w:hyperlink>
    </w:p>
    <w:p w14:paraId="33C15181" w14:textId="77777777" w:rsidR="00C5282B" w:rsidRPr="00AF73D3" w:rsidRDefault="00C5282B" w:rsidP="00C5282B">
      <w:pPr>
        <w:spacing w:before="100" w:beforeAutospacing="1" w:after="100" w:afterAutospacing="1"/>
        <w:ind w:left="720"/>
        <w:rPr>
          <w:color w:val="000000" w:themeColor="text1"/>
        </w:rPr>
      </w:pPr>
    </w:p>
    <w:p w14:paraId="0B56A0BF"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Stimpson, P., Hewitt, R., Barnacle, A., Roebuck, D.J., Hartley, B. </w:t>
      </w:r>
      <w:r w:rsidRPr="00AF73D3">
        <w:rPr>
          <w:rStyle w:val="reftitle"/>
          <w:color w:val="000000" w:themeColor="text1"/>
        </w:rPr>
        <w:t xml:space="preserve">Sodium tetradecyl sulphate sclerotherapy for treating venous malformations of the oral and pharyngeal regions in children. </w:t>
      </w:r>
      <w:r w:rsidRPr="00AF73D3">
        <w:rPr>
          <w:rStyle w:val="refseriestitle"/>
          <w:color w:val="000000" w:themeColor="text1"/>
        </w:rPr>
        <w:t xml:space="preserve">Int. J. Pediatr. </w:t>
      </w:r>
      <w:proofErr w:type="spellStart"/>
      <w:r w:rsidRPr="00AF73D3">
        <w:rPr>
          <w:rStyle w:val="refseriestitle"/>
          <w:color w:val="000000" w:themeColor="text1"/>
        </w:rPr>
        <w:t>Otorhinolaryngol</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2012</w:t>
      </w:r>
      <w:r w:rsidRPr="00AF73D3">
        <w:rPr>
          <w:rStyle w:val="reference"/>
          <w:color w:val="000000" w:themeColor="text1"/>
        </w:rPr>
        <w:t>;</w:t>
      </w:r>
      <w:r w:rsidRPr="00AF73D3">
        <w:rPr>
          <w:rStyle w:val="refseriesvolume"/>
          <w:color w:val="000000" w:themeColor="text1"/>
        </w:rPr>
        <w:t>76</w:t>
      </w:r>
      <w:r w:rsidRPr="00AF73D3">
        <w:rPr>
          <w:rStyle w:val="reference"/>
          <w:color w:val="000000" w:themeColor="text1"/>
        </w:rPr>
        <w:t>:</w:t>
      </w:r>
      <w:r w:rsidRPr="00AF73D3">
        <w:rPr>
          <w:rStyle w:val="refpages"/>
          <w:color w:val="000000" w:themeColor="text1"/>
        </w:rPr>
        <w:t>569</w:t>
      </w:r>
      <w:proofErr w:type="gramEnd"/>
      <w:r w:rsidRPr="00AF73D3">
        <w:rPr>
          <w:rStyle w:val="refpages"/>
          <w:color w:val="000000" w:themeColor="text1"/>
        </w:rPr>
        <w:t>–573</w:t>
      </w:r>
    </w:p>
    <w:p w14:paraId="572FB211" w14:textId="04398DDF"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14" w:history="1">
        <w:r w:rsidR="00C5282B" w:rsidRPr="002C3C39">
          <w:rPr>
            <w:rStyle w:val="Hyperlink"/>
          </w:rPr>
          <w:t>https://doi.org/10.1016/j.ijporl.2012.01.019</w:t>
        </w:r>
      </w:hyperlink>
    </w:p>
    <w:p w14:paraId="322D97C8" w14:textId="77777777" w:rsidR="00C5282B" w:rsidRPr="00AF73D3" w:rsidRDefault="00C5282B" w:rsidP="00C5282B">
      <w:pPr>
        <w:spacing w:before="100" w:beforeAutospacing="1" w:after="100" w:afterAutospacing="1"/>
        <w:ind w:left="720"/>
        <w:rPr>
          <w:color w:val="000000" w:themeColor="text1"/>
        </w:rPr>
      </w:pPr>
    </w:p>
    <w:p w14:paraId="5BCF20B9"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Ul</w:t>
      </w:r>
      <w:proofErr w:type="spellEnd"/>
      <w:r w:rsidRPr="00AF73D3">
        <w:rPr>
          <w:rStyle w:val="refauthors"/>
          <w:color w:val="000000" w:themeColor="text1"/>
        </w:rPr>
        <w:t xml:space="preserve"> </w:t>
      </w:r>
      <w:proofErr w:type="spellStart"/>
      <w:r w:rsidRPr="00AF73D3">
        <w:rPr>
          <w:rStyle w:val="refauthors"/>
          <w:color w:val="000000" w:themeColor="text1"/>
        </w:rPr>
        <w:t>Haq</w:t>
      </w:r>
      <w:proofErr w:type="spellEnd"/>
      <w:r w:rsidRPr="00AF73D3">
        <w:rPr>
          <w:rStyle w:val="refauthors"/>
          <w:color w:val="000000" w:themeColor="text1"/>
        </w:rPr>
        <w:t xml:space="preserve">, F., Mitchell, S.E., </w:t>
      </w:r>
      <w:proofErr w:type="spellStart"/>
      <w:r w:rsidRPr="00AF73D3">
        <w:rPr>
          <w:rStyle w:val="refauthors"/>
          <w:color w:val="000000" w:themeColor="text1"/>
        </w:rPr>
        <w:t>Tekes</w:t>
      </w:r>
      <w:proofErr w:type="spellEnd"/>
      <w:r w:rsidRPr="00AF73D3">
        <w:rPr>
          <w:rStyle w:val="refauthors"/>
          <w:color w:val="000000" w:themeColor="text1"/>
        </w:rPr>
        <w:t xml:space="preserve">, A., Weiss, C.R. </w:t>
      </w:r>
      <w:r w:rsidRPr="00AF73D3">
        <w:rPr>
          <w:rStyle w:val="reftitle"/>
          <w:color w:val="000000" w:themeColor="text1"/>
        </w:rPr>
        <w:t xml:space="preserve">Bleomycin foam treatment of venous malformations: a promising agent for effective treatment with minimal swelling. </w:t>
      </w:r>
      <w:r w:rsidRPr="00AF73D3">
        <w:rPr>
          <w:rStyle w:val="refseriestitle"/>
          <w:color w:val="000000" w:themeColor="text1"/>
        </w:rPr>
        <w:t>J. Vasc. Interv. Radiol.</w:t>
      </w:r>
      <w:r w:rsidRPr="00AF73D3">
        <w:rPr>
          <w:rStyle w:val="reference"/>
          <w:color w:val="000000" w:themeColor="text1"/>
        </w:rPr>
        <w:t xml:space="preserve"> </w:t>
      </w:r>
      <w:proofErr w:type="gramStart"/>
      <w:r w:rsidRPr="00AF73D3">
        <w:rPr>
          <w:rStyle w:val="refseriesdate"/>
          <w:color w:val="000000" w:themeColor="text1"/>
        </w:rPr>
        <w:t>2015</w:t>
      </w:r>
      <w:r w:rsidRPr="00AF73D3">
        <w:rPr>
          <w:rStyle w:val="reference"/>
          <w:color w:val="000000" w:themeColor="text1"/>
        </w:rPr>
        <w:t>;</w:t>
      </w:r>
      <w:r w:rsidRPr="00AF73D3">
        <w:rPr>
          <w:rStyle w:val="refseriesvolume"/>
          <w:color w:val="000000" w:themeColor="text1"/>
        </w:rPr>
        <w:t>26</w:t>
      </w:r>
      <w:r w:rsidRPr="00AF73D3">
        <w:rPr>
          <w:rStyle w:val="reference"/>
          <w:color w:val="000000" w:themeColor="text1"/>
        </w:rPr>
        <w:t>:</w:t>
      </w:r>
      <w:r w:rsidRPr="00AF73D3">
        <w:rPr>
          <w:rStyle w:val="refpages"/>
          <w:color w:val="000000" w:themeColor="text1"/>
        </w:rPr>
        <w:t>1484</w:t>
      </w:r>
      <w:proofErr w:type="gramEnd"/>
      <w:r w:rsidRPr="00AF73D3">
        <w:rPr>
          <w:rStyle w:val="refpages"/>
          <w:color w:val="000000" w:themeColor="text1"/>
        </w:rPr>
        <w:t>–1493</w:t>
      </w:r>
    </w:p>
    <w:p w14:paraId="608D51A1" w14:textId="1181EDB1"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15" w:history="1">
        <w:r w:rsidR="00C5282B" w:rsidRPr="002C3C39">
          <w:rPr>
            <w:rStyle w:val="Hyperlink"/>
          </w:rPr>
          <w:t>https://doi.org/10.1016/j.jvir.2015.05.007</w:t>
        </w:r>
      </w:hyperlink>
    </w:p>
    <w:p w14:paraId="5EF1DA72" w14:textId="77777777" w:rsidR="00C5282B" w:rsidRPr="00AF73D3" w:rsidRDefault="00C5282B" w:rsidP="00C5282B">
      <w:pPr>
        <w:spacing w:before="100" w:beforeAutospacing="1" w:after="100" w:afterAutospacing="1"/>
        <w:ind w:left="720"/>
        <w:rPr>
          <w:color w:val="000000" w:themeColor="text1"/>
        </w:rPr>
      </w:pPr>
    </w:p>
    <w:p w14:paraId="288188E6"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Yakes</w:t>
      </w:r>
      <w:proofErr w:type="spellEnd"/>
      <w:r w:rsidRPr="00AF73D3">
        <w:rPr>
          <w:rStyle w:val="refauthors"/>
          <w:color w:val="000000" w:themeColor="text1"/>
        </w:rPr>
        <w:t xml:space="preserve">, W.F. </w:t>
      </w:r>
      <w:r w:rsidRPr="00AF73D3">
        <w:rPr>
          <w:rStyle w:val="reftitle"/>
          <w:color w:val="000000" w:themeColor="text1"/>
        </w:rPr>
        <w:t xml:space="preserve">Use of multiple sclerosant agents in vascular malformation management: a world in endovascular confusion and chaos. </w:t>
      </w:r>
      <w:r w:rsidRPr="00AF73D3">
        <w:rPr>
          <w:rStyle w:val="refseriestitle"/>
          <w:color w:val="000000" w:themeColor="text1"/>
        </w:rPr>
        <w:t>J. Vasc. Interv. Radiol. JVIR</w:t>
      </w:r>
      <w:r w:rsidRPr="00AF73D3">
        <w:rPr>
          <w:rStyle w:val="reference"/>
          <w:color w:val="000000" w:themeColor="text1"/>
        </w:rPr>
        <w:t xml:space="preserve">. </w:t>
      </w:r>
      <w:proofErr w:type="gramStart"/>
      <w:r w:rsidRPr="00AF73D3">
        <w:rPr>
          <w:rStyle w:val="refseriesdate"/>
          <w:color w:val="000000" w:themeColor="text1"/>
        </w:rPr>
        <w:t>2015</w:t>
      </w:r>
      <w:r w:rsidRPr="00AF73D3">
        <w:rPr>
          <w:rStyle w:val="reference"/>
          <w:color w:val="000000" w:themeColor="text1"/>
        </w:rPr>
        <w:t>;</w:t>
      </w:r>
      <w:r w:rsidRPr="00AF73D3">
        <w:rPr>
          <w:rStyle w:val="refseriesvolume"/>
          <w:color w:val="000000" w:themeColor="text1"/>
        </w:rPr>
        <w:t>26</w:t>
      </w:r>
      <w:r w:rsidRPr="00AF73D3">
        <w:rPr>
          <w:rStyle w:val="reference"/>
          <w:color w:val="000000" w:themeColor="text1"/>
        </w:rPr>
        <w:t>:</w:t>
      </w:r>
      <w:r w:rsidRPr="00AF73D3">
        <w:rPr>
          <w:rStyle w:val="refpages"/>
          <w:color w:val="000000" w:themeColor="text1"/>
        </w:rPr>
        <w:t>1494</w:t>
      </w:r>
      <w:proofErr w:type="gramEnd"/>
      <w:r w:rsidRPr="00AF73D3">
        <w:rPr>
          <w:rStyle w:val="refpages"/>
          <w:color w:val="000000" w:themeColor="text1"/>
        </w:rPr>
        <w:t>–1496</w:t>
      </w:r>
    </w:p>
    <w:p w14:paraId="639D00D8" w14:textId="693F6C02"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16" w:history="1">
        <w:r w:rsidR="00C5282B" w:rsidRPr="002C3C39">
          <w:rPr>
            <w:rStyle w:val="Hyperlink"/>
          </w:rPr>
          <w:t>https://doi.org/10.1016/j.jvir.2015.06.002</w:t>
        </w:r>
      </w:hyperlink>
    </w:p>
    <w:p w14:paraId="5F522A81" w14:textId="77777777" w:rsidR="00C5282B" w:rsidRPr="00AF73D3" w:rsidRDefault="00C5282B" w:rsidP="00C5282B">
      <w:pPr>
        <w:spacing w:before="100" w:beforeAutospacing="1" w:after="100" w:afterAutospacing="1"/>
        <w:ind w:left="720"/>
        <w:rPr>
          <w:color w:val="000000" w:themeColor="text1"/>
        </w:rPr>
      </w:pPr>
    </w:p>
    <w:p w14:paraId="19363B15"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Chakravarti</w:t>
      </w:r>
      <w:proofErr w:type="spellEnd"/>
      <w:r w:rsidRPr="00AF73D3">
        <w:rPr>
          <w:rStyle w:val="refauthors"/>
          <w:color w:val="000000" w:themeColor="text1"/>
        </w:rPr>
        <w:t xml:space="preserve">, A., Bhargava, R. </w:t>
      </w:r>
      <w:r w:rsidRPr="00AF73D3">
        <w:rPr>
          <w:rStyle w:val="reftitle"/>
          <w:color w:val="000000" w:themeColor="text1"/>
        </w:rPr>
        <w:t xml:space="preserve">Lymphangioma </w:t>
      </w:r>
      <w:proofErr w:type="spellStart"/>
      <w:r w:rsidRPr="00AF73D3">
        <w:rPr>
          <w:rStyle w:val="reftitle"/>
          <w:color w:val="000000" w:themeColor="text1"/>
        </w:rPr>
        <w:t>circumscriptum</w:t>
      </w:r>
      <w:proofErr w:type="spellEnd"/>
      <w:r w:rsidRPr="00AF73D3">
        <w:rPr>
          <w:rStyle w:val="reftitle"/>
          <w:color w:val="000000" w:themeColor="text1"/>
        </w:rPr>
        <w:t xml:space="preserve"> of the tongue in children: successful treatment using intralesional bleomycin. </w:t>
      </w:r>
      <w:r w:rsidRPr="00AF73D3">
        <w:rPr>
          <w:rStyle w:val="refseriestitle"/>
          <w:color w:val="000000" w:themeColor="text1"/>
        </w:rPr>
        <w:t xml:space="preserve">Int. J. Pediatr. </w:t>
      </w:r>
      <w:proofErr w:type="spellStart"/>
      <w:r w:rsidRPr="00AF73D3">
        <w:rPr>
          <w:rStyle w:val="refseriestitle"/>
          <w:color w:val="000000" w:themeColor="text1"/>
        </w:rPr>
        <w:t>Otorhinolaryngol</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2013</w:t>
      </w:r>
      <w:r w:rsidRPr="00AF73D3">
        <w:rPr>
          <w:rStyle w:val="reference"/>
          <w:color w:val="000000" w:themeColor="text1"/>
        </w:rPr>
        <w:t>;</w:t>
      </w:r>
      <w:r w:rsidRPr="00AF73D3">
        <w:rPr>
          <w:rStyle w:val="refseriesvolume"/>
          <w:color w:val="000000" w:themeColor="text1"/>
        </w:rPr>
        <w:t>77</w:t>
      </w:r>
      <w:r w:rsidRPr="00AF73D3">
        <w:rPr>
          <w:rStyle w:val="reference"/>
          <w:color w:val="000000" w:themeColor="text1"/>
        </w:rPr>
        <w:t>:</w:t>
      </w:r>
      <w:r w:rsidRPr="00AF73D3">
        <w:rPr>
          <w:rStyle w:val="refpages"/>
          <w:color w:val="000000" w:themeColor="text1"/>
        </w:rPr>
        <w:t>1367</w:t>
      </w:r>
      <w:proofErr w:type="gramEnd"/>
      <w:r w:rsidRPr="00AF73D3">
        <w:rPr>
          <w:rStyle w:val="refpages"/>
          <w:color w:val="000000" w:themeColor="text1"/>
        </w:rPr>
        <w:t>–1369</w:t>
      </w:r>
    </w:p>
    <w:p w14:paraId="271763DC" w14:textId="1051B834"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17" w:history="1">
        <w:r w:rsidR="00C5282B" w:rsidRPr="002C3C39">
          <w:rPr>
            <w:rStyle w:val="Hyperlink"/>
          </w:rPr>
          <w:t>https://doi.org/10.1016/j.ijporl.2013.05.009</w:t>
        </w:r>
      </w:hyperlink>
    </w:p>
    <w:p w14:paraId="75EB9F60" w14:textId="77777777" w:rsidR="00C5282B" w:rsidRPr="00AF73D3" w:rsidRDefault="00C5282B" w:rsidP="00C5282B">
      <w:pPr>
        <w:spacing w:before="100" w:beforeAutospacing="1" w:after="100" w:afterAutospacing="1"/>
        <w:ind w:left="720"/>
        <w:rPr>
          <w:color w:val="000000" w:themeColor="text1"/>
        </w:rPr>
      </w:pPr>
    </w:p>
    <w:p w14:paraId="475EA4A5"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Lerat</w:t>
      </w:r>
      <w:proofErr w:type="spellEnd"/>
      <w:r w:rsidRPr="00AF73D3">
        <w:rPr>
          <w:rStyle w:val="refauthors"/>
          <w:color w:val="000000" w:themeColor="text1"/>
        </w:rPr>
        <w:t xml:space="preserve">, J., </w:t>
      </w:r>
      <w:proofErr w:type="spellStart"/>
      <w:r w:rsidRPr="00AF73D3">
        <w:rPr>
          <w:rStyle w:val="refauthors"/>
          <w:color w:val="000000" w:themeColor="text1"/>
        </w:rPr>
        <w:t>Mounayer</w:t>
      </w:r>
      <w:proofErr w:type="spellEnd"/>
      <w:r w:rsidRPr="00AF73D3">
        <w:rPr>
          <w:rStyle w:val="refauthors"/>
          <w:color w:val="000000" w:themeColor="text1"/>
        </w:rPr>
        <w:t xml:space="preserve">, C., </w:t>
      </w:r>
      <w:proofErr w:type="spellStart"/>
      <w:r w:rsidRPr="00AF73D3">
        <w:rPr>
          <w:rStyle w:val="refauthors"/>
          <w:color w:val="000000" w:themeColor="text1"/>
        </w:rPr>
        <w:t>Scomparin</w:t>
      </w:r>
      <w:proofErr w:type="spellEnd"/>
      <w:r w:rsidRPr="00AF73D3">
        <w:rPr>
          <w:rStyle w:val="refauthors"/>
          <w:color w:val="000000" w:themeColor="text1"/>
        </w:rPr>
        <w:t xml:space="preserve">, A., </w:t>
      </w:r>
      <w:proofErr w:type="spellStart"/>
      <w:r w:rsidRPr="00AF73D3">
        <w:rPr>
          <w:rStyle w:val="refauthors"/>
          <w:color w:val="000000" w:themeColor="text1"/>
        </w:rPr>
        <w:t>Orsel</w:t>
      </w:r>
      <w:proofErr w:type="spellEnd"/>
      <w:r w:rsidRPr="00AF73D3">
        <w:rPr>
          <w:rStyle w:val="refauthors"/>
          <w:color w:val="000000" w:themeColor="text1"/>
        </w:rPr>
        <w:t xml:space="preserve">, S., </w:t>
      </w:r>
      <w:proofErr w:type="spellStart"/>
      <w:r w:rsidRPr="00AF73D3">
        <w:rPr>
          <w:rStyle w:val="refauthors"/>
          <w:color w:val="000000" w:themeColor="text1"/>
        </w:rPr>
        <w:t>Bessede</w:t>
      </w:r>
      <w:proofErr w:type="spellEnd"/>
      <w:r w:rsidRPr="00AF73D3">
        <w:rPr>
          <w:rStyle w:val="refauthors"/>
          <w:color w:val="000000" w:themeColor="text1"/>
        </w:rPr>
        <w:t xml:space="preserve">, J.-P., </w:t>
      </w:r>
      <w:proofErr w:type="spellStart"/>
      <w:r w:rsidRPr="00AF73D3">
        <w:rPr>
          <w:rStyle w:val="refauthors"/>
          <w:color w:val="000000" w:themeColor="text1"/>
        </w:rPr>
        <w:t>Aubry</w:t>
      </w:r>
      <w:proofErr w:type="spellEnd"/>
      <w:r w:rsidRPr="00AF73D3">
        <w:rPr>
          <w:rStyle w:val="refauthors"/>
          <w:color w:val="000000" w:themeColor="text1"/>
        </w:rPr>
        <w:t xml:space="preserve">, K. </w:t>
      </w:r>
      <w:r w:rsidRPr="00AF73D3">
        <w:rPr>
          <w:rStyle w:val="reftitle"/>
          <w:color w:val="000000" w:themeColor="text1"/>
        </w:rPr>
        <w:t xml:space="preserve">Head and neck lymphatic malformation and treatment: clinical study of 23 cases. </w:t>
      </w:r>
      <w:r w:rsidRPr="00AF73D3">
        <w:rPr>
          <w:rStyle w:val="refseriestitle"/>
          <w:color w:val="000000" w:themeColor="text1"/>
        </w:rPr>
        <w:t xml:space="preserve">Eur. Ann. </w:t>
      </w:r>
      <w:proofErr w:type="spellStart"/>
      <w:r w:rsidRPr="00AF73D3">
        <w:rPr>
          <w:rStyle w:val="refseriestitle"/>
          <w:color w:val="000000" w:themeColor="text1"/>
        </w:rPr>
        <w:t>Otorhinolaryngol</w:t>
      </w:r>
      <w:proofErr w:type="spellEnd"/>
      <w:r w:rsidRPr="00AF73D3">
        <w:rPr>
          <w:rStyle w:val="refseriestitle"/>
          <w:color w:val="000000" w:themeColor="text1"/>
        </w:rPr>
        <w:t>. Head Neck Dis.</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r w:rsidRPr="00AF73D3">
        <w:rPr>
          <w:rStyle w:val="refseriesvolume"/>
          <w:color w:val="000000" w:themeColor="text1"/>
        </w:rPr>
        <w:t>133</w:t>
      </w:r>
      <w:r w:rsidRPr="00AF73D3">
        <w:rPr>
          <w:rStyle w:val="reference"/>
          <w:color w:val="000000" w:themeColor="text1"/>
        </w:rPr>
        <w:t>:</w:t>
      </w:r>
      <w:r w:rsidRPr="00AF73D3">
        <w:rPr>
          <w:rStyle w:val="refpages"/>
          <w:color w:val="000000" w:themeColor="text1"/>
        </w:rPr>
        <w:t>393</w:t>
      </w:r>
      <w:proofErr w:type="gramEnd"/>
      <w:r w:rsidRPr="00AF73D3">
        <w:rPr>
          <w:rStyle w:val="refpages"/>
          <w:color w:val="000000" w:themeColor="text1"/>
        </w:rPr>
        <w:t>–396</w:t>
      </w:r>
    </w:p>
    <w:p w14:paraId="5161C5AE" w14:textId="7A21BD22"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18" w:history="1">
        <w:r w:rsidR="00C5282B" w:rsidRPr="002C3C39">
          <w:rPr>
            <w:rStyle w:val="Hyperlink"/>
          </w:rPr>
          <w:t>https://doi.org/10.1016/j.anorl.2016.07.004</w:t>
        </w:r>
      </w:hyperlink>
    </w:p>
    <w:p w14:paraId="79FB7253" w14:textId="77777777" w:rsidR="00C5282B" w:rsidRPr="00AF73D3" w:rsidRDefault="00C5282B" w:rsidP="00C5282B">
      <w:pPr>
        <w:spacing w:before="100" w:beforeAutospacing="1" w:after="100" w:afterAutospacing="1"/>
        <w:ind w:left="720"/>
        <w:rPr>
          <w:color w:val="000000" w:themeColor="text1"/>
        </w:rPr>
      </w:pPr>
    </w:p>
    <w:p w14:paraId="2EE97DAD"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Nguyen, M.-L.T., Orloff, L.A. </w:t>
      </w:r>
      <w:r w:rsidRPr="00AF73D3">
        <w:rPr>
          <w:rStyle w:val="reftitle"/>
          <w:color w:val="000000" w:themeColor="text1"/>
        </w:rPr>
        <w:t xml:space="preserve">Successful ablation of plunging </w:t>
      </w:r>
      <w:proofErr w:type="spellStart"/>
      <w:r w:rsidRPr="00AF73D3">
        <w:rPr>
          <w:rStyle w:val="reftitle"/>
          <w:color w:val="000000" w:themeColor="text1"/>
        </w:rPr>
        <w:t>ranula</w:t>
      </w:r>
      <w:proofErr w:type="spellEnd"/>
      <w:r w:rsidRPr="00AF73D3">
        <w:rPr>
          <w:rStyle w:val="reftitle"/>
          <w:color w:val="000000" w:themeColor="text1"/>
        </w:rPr>
        <w:t xml:space="preserve"> by ultrasound-guided percutaneous ethanol injection. </w:t>
      </w:r>
      <w:r w:rsidRPr="00AF73D3">
        <w:rPr>
          <w:rStyle w:val="refseriestitle"/>
          <w:color w:val="000000" w:themeColor="text1"/>
        </w:rPr>
        <w:t>Laryngoscope</w:t>
      </w:r>
      <w:r w:rsidRPr="00AF73D3">
        <w:rPr>
          <w:rStyle w:val="reference"/>
          <w:color w:val="000000" w:themeColor="text1"/>
        </w:rPr>
        <w:t xml:space="preserve">. </w:t>
      </w:r>
      <w:proofErr w:type="gramStart"/>
      <w:r w:rsidRPr="00AF73D3">
        <w:rPr>
          <w:rStyle w:val="refseriesdate"/>
          <w:color w:val="000000" w:themeColor="text1"/>
        </w:rPr>
        <w:t>2017</w:t>
      </w:r>
      <w:r w:rsidRPr="00AF73D3">
        <w:rPr>
          <w:rStyle w:val="reference"/>
          <w:color w:val="000000" w:themeColor="text1"/>
        </w:rPr>
        <w:t>;</w:t>
      </w:r>
      <w:r w:rsidRPr="00AF73D3">
        <w:rPr>
          <w:rStyle w:val="refseriesvolume"/>
          <w:color w:val="000000" w:themeColor="text1"/>
        </w:rPr>
        <w:t>127</w:t>
      </w:r>
      <w:r w:rsidRPr="00AF73D3">
        <w:rPr>
          <w:rStyle w:val="reference"/>
          <w:color w:val="000000" w:themeColor="text1"/>
        </w:rPr>
        <w:t>:</w:t>
      </w:r>
      <w:r w:rsidRPr="00AF73D3">
        <w:rPr>
          <w:rStyle w:val="refpages"/>
          <w:color w:val="000000" w:themeColor="text1"/>
        </w:rPr>
        <w:t>2239</w:t>
      </w:r>
      <w:proofErr w:type="gramEnd"/>
      <w:r w:rsidRPr="00AF73D3">
        <w:rPr>
          <w:rStyle w:val="refpages"/>
          <w:color w:val="000000" w:themeColor="text1"/>
        </w:rPr>
        <w:t>–2241</w:t>
      </w:r>
    </w:p>
    <w:p w14:paraId="328B0CA1" w14:textId="52DFEEDC"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19" w:history="1">
        <w:r w:rsidR="00C5282B" w:rsidRPr="002C3C39">
          <w:rPr>
            <w:rStyle w:val="Hyperlink"/>
          </w:rPr>
          <w:t>https://doi.org/10.1002/lary.26505</w:t>
        </w:r>
      </w:hyperlink>
    </w:p>
    <w:p w14:paraId="10AE7587" w14:textId="77777777" w:rsidR="00C5282B" w:rsidRPr="00AF73D3" w:rsidRDefault="00C5282B" w:rsidP="00C5282B">
      <w:pPr>
        <w:spacing w:before="100" w:beforeAutospacing="1" w:after="100" w:afterAutospacing="1"/>
        <w:ind w:left="720"/>
        <w:rPr>
          <w:color w:val="000000" w:themeColor="text1"/>
        </w:rPr>
      </w:pPr>
    </w:p>
    <w:p w14:paraId="1B7048D8"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Thyoka</w:t>
      </w:r>
      <w:proofErr w:type="spellEnd"/>
      <w:r w:rsidRPr="00AF73D3">
        <w:rPr>
          <w:rStyle w:val="refauthors"/>
          <w:color w:val="000000" w:themeColor="text1"/>
        </w:rPr>
        <w:t xml:space="preserve">, M., </w:t>
      </w:r>
      <w:proofErr w:type="spellStart"/>
      <w:r w:rsidRPr="00AF73D3">
        <w:rPr>
          <w:rStyle w:val="refauthors"/>
          <w:color w:val="000000" w:themeColor="text1"/>
        </w:rPr>
        <w:t>Timmis</w:t>
      </w:r>
      <w:proofErr w:type="spellEnd"/>
      <w:r w:rsidRPr="00AF73D3">
        <w:rPr>
          <w:rStyle w:val="refauthors"/>
          <w:color w:val="000000" w:themeColor="text1"/>
        </w:rPr>
        <w:t xml:space="preserve">, A., Mhango, T., Roebuck, D.J. </w:t>
      </w:r>
      <w:r w:rsidRPr="00AF73D3">
        <w:rPr>
          <w:rStyle w:val="reftitle"/>
          <w:color w:val="000000" w:themeColor="text1"/>
        </w:rPr>
        <w:t xml:space="preserve">Balloon dilatation of anastomotic strictures secondary to surgical repair of oesophageal atresia: a systematic review. </w:t>
      </w:r>
      <w:r w:rsidRPr="00AF73D3">
        <w:rPr>
          <w:rStyle w:val="refseriestitle"/>
          <w:color w:val="000000" w:themeColor="text1"/>
        </w:rPr>
        <w:t>Pediatr. Radiol.</w:t>
      </w:r>
      <w:r w:rsidRPr="00AF73D3">
        <w:rPr>
          <w:rStyle w:val="reference"/>
          <w:color w:val="000000" w:themeColor="text1"/>
        </w:rPr>
        <w:t xml:space="preserve"> </w:t>
      </w:r>
      <w:proofErr w:type="gramStart"/>
      <w:r w:rsidRPr="00AF73D3">
        <w:rPr>
          <w:rStyle w:val="refseriesdate"/>
          <w:color w:val="000000" w:themeColor="text1"/>
        </w:rPr>
        <w:t>2013</w:t>
      </w:r>
      <w:r w:rsidRPr="00AF73D3">
        <w:rPr>
          <w:rStyle w:val="reference"/>
          <w:color w:val="000000" w:themeColor="text1"/>
        </w:rPr>
        <w:t>;</w:t>
      </w:r>
      <w:r w:rsidRPr="00AF73D3">
        <w:rPr>
          <w:rStyle w:val="refseriesvolume"/>
          <w:color w:val="000000" w:themeColor="text1"/>
        </w:rPr>
        <w:t>43</w:t>
      </w:r>
      <w:r w:rsidRPr="00AF73D3">
        <w:rPr>
          <w:rStyle w:val="reference"/>
          <w:color w:val="000000" w:themeColor="text1"/>
        </w:rPr>
        <w:t>:</w:t>
      </w:r>
      <w:r w:rsidRPr="00AF73D3">
        <w:rPr>
          <w:rStyle w:val="refpages"/>
          <w:color w:val="000000" w:themeColor="text1"/>
        </w:rPr>
        <w:t>898</w:t>
      </w:r>
      <w:proofErr w:type="gramEnd"/>
      <w:r w:rsidRPr="00AF73D3">
        <w:rPr>
          <w:rStyle w:val="refpages"/>
          <w:color w:val="000000" w:themeColor="text1"/>
        </w:rPr>
        <w:t>–901</w:t>
      </w:r>
    </w:p>
    <w:p w14:paraId="3DA73D77" w14:textId="351C5A23" w:rsidR="003E0A72" w:rsidRDefault="003E0A72" w:rsidP="003E0A72">
      <w:pPr>
        <w:spacing w:before="100" w:beforeAutospacing="1" w:after="100" w:afterAutospacing="1"/>
        <w:ind w:left="720"/>
        <w:rPr>
          <w:color w:val="000000" w:themeColor="text1"/>
        </w:rPr>
      </w:pPr>
      <w:r w:rsidRPr="00AF73D3">
        <w:rPr>
          <w:color w:val="000000" w:themeColor="text1"/>
        </w:rPr>
        <w:t xml:space="preserve">DOI: </w:t>
      </w:r>
      <w:hyperlink r:id="rId20" w:history="1">
        <w:r w:rsidR="00C5282B" w:rsidRPr="002C3C39">
          <w:rPr>
            <w:rStyle w:val="Hyperlink"/>
          </w:rPr>
          <w:t>https://doi.org/10.1007/s00247-013-2693-2</w:t>
        </w:r>
      </w:hyperlink>
    </w:p>
    <w:p w14:paraId="3FE6A3CB" w14:textId="77777777" w:rsidR="00C5282B" w:rsidRPr="00AF73D3" w:rsidRDefault="00C5282B" w:rsidP="003E0A72">
      <w:pPr>
        <w:spacing w:before="100" w:beforeAutospacing="1" w:after="100" w:afterAutospacing="1"/>
        <w:ind w:left="720"/>
        <w:rPr>
          <w:color w:val="000000" w:themeColor="text1"/>
        </w:rPr>
      </w:pPr>
    </w:p>
    <w:p w14:paraId="652F26DB"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Madadi-Sanjani</w:t>
      </w:r>
      <w:proofErr w:type="spellEnd"/>
      <w:r w:rsidRPr="00AF73D3">
        <w:rPr>
          <w:rStyle w:val="refauthors"/>
          <w:color w:val="000000" w:themeColor="text1"/>
        </w:rPr>
        <w:t xml:space="preserve">, O., Zimmer, J., </w:t>
      </w:r>
      <w:proofErr w:type="spellStart"/>
      <w:r w:rsidRPr="00AF73D3">
        <w:rPr>
          <w:rStyle w:val="refauthors"/>
          <w:color w:val="000000" w:themeColor="text1"/>
        </w:rPr>
        <w:t>Gosemann</w:t>
      </w:r>
      <w:proofErr w:type="spellEnd"/>
      <w:r w:rsidRPr="00AF73D3">
        <w:rPr>
          <w:rStyle w:val="refauthors"/>
          <w:color w:val="000000" w:themeColor="text1"/>
        </w:rPr>
        <w:t xml:space="preserve">, J.-H., </w:t>
      </w:r>
      <w:proofErr w:type="spellStart"/>
      <w:r w:rsidRPr="00AF73D3">
        <w:rPr>
          <w:rStyle w:val="refauthors"/>
          <w:color w:val="000000" w:themeColor="text1"/>
        </w:rPr>
        <w:t>Ure</w:t>
      </w:r>
      <w:proofErr w:type="spellEnd"/>
      <w:r w:rsidRPr="00AF73D3">
        <w:rPr>
          <w:rStyle w:val="refauthors"/>
          <w:color w:val="000000" w:themeColor="text1"/>
        </w:rPr>
        <w:t xml:space="preserve">, B.M., </w:t>
      </w:r>
      <w:proofErr w:type="spellStart"/>
      <w:r w:rsidRPr="00AF73D3">
        <w:rPr>
          <w:rStyle w:val="refauthors"/>
          <w:color w:val="000000" w:themeColor="text1"/>
        </w:rPr>
        <w:t>Lacher</w:t>
      </w:r>
      <w:proofErr w:type="spellEnd"/>
      <w:r w:rsidRPr="00AF73D3">
        <w:rPr>
          <w:rStyle w:val="refauthors"/>
          <w:color w:val="000000" w:themeColor="text1"/>
        </w:rPr>
        <w:t xml:space="preserve">, M., Boehm, R. </w:t>
      </w:r>
      <w:r w:rsidRPr="00AF73D3">
        <w:rPr>
          <w:rStyle w:val="reftitle"/>
          <w:color w:val="000000" w:themeColor="text1"/>
        </w:rPr>
        <w:t xml:space="preserve">Topical mitomycin C application in pediatric patients with recurrent </w:t>
      </w:r>
      <w:proofErr w:type="spellStart"/>
      <w:r w:rsidRPr="00AF73D3">
        <w:rPr>
          <w:rStyle w:val="reftitle"/>
          <w:color w:val="000000" w:themeColor="text1"/>
        </w:rPr>
        <w:t>esophageal</w:t>
      </w:r>
      <w:proofErr w:type="spellEnd"/>
      <w:r w:rsidRPr="00AF73D3">
        <w:rPr>
          <w:rStyle w:val="reftitle"/>
          <w:color w:val="000000" w:themeColor="text1"/>
        </w:rPr>
        <w:t xml:space="preserve"> strictures-report on </w:t>
      </w:r>
      <w:proofErr w:type="spellStart"/>
      <w:r w:rsidRPr="00AF73D3">
        <w:rPr>
          <w:rStyle w:val="reftitle"/>
          <w:color w:val="000000" w:themeColor="text1"/>
        </w:rPr>
        <w:t>unfavorable</w:t>
      </w:r>
      <w:proofErr w:type="spellEnd"/>
      <w:r w:rsidRPr="00AF73D3">
        <w:rPr>
          <w:rStyle w:val="reftitle"/>
          <w:color w:val="000000" w:themeColor="text1"/>
        </w:rPr>
        <w:t xml:space="preserve"> results. </w:t>
      </w:r>
      <w:r w:rsidRPr="00AF73D3">
        <w:rPr>
          <w:rStyle w:val="refseriestitle"/>
          <w:color w:val="000000" w:themeColor="text1"/>
        </w:rPr>
        <w:t>Eur. J. Pediatr. Surg.</w:t>
      </w:r>
      <w:r w:rsidRPr="00AF73D3">
        <w:rPr>
          <w:rStyle w:val="reference"/>
          <w:color w:val="000000" w:themeColor="text1"/>
        </w:rPr>
        <w:t xml:space="preserve"> </w:t>
      </w:r>
      <w:proofErr w:type="gramStart"/>
      <w:r w:rsidRPr="00AF73D3">
        <w:rPr>
          <w:rStyle w:val="refseriesdate"/>
          <w:color w:val="000000" w:themeColor="text1"/>
        </w:rPr>
        <w:t>2018</w:t>
      </w:r>
      <w:r w:rsidRPr="00AF73D3">
        <w:rPr>
          <w:rStyle w:val="reference"/>
          <w:color w:val="000000" w:themeColor="text1"/>
        </w:rPr>
        <w:t>;</w:t>
      </w:r>
      <w:r w:rsidRPr="00AF73D3">
        <w:rPr>
          <w:rStyle w:val="refseriesvolume"/>
          <w:color w:val="000000" w:themeColor="text1"/>
        </w:rPr>
        <w:t>28</w:t>
      </w:r>
      <w:r w:rsidRPr="00AF73D3">
        <w:rPr>
          <w:rStyle w:val="reference"/>
          <w:color w:val="000000" w:themeColor="text1"/>
        </w:rPr>
        <w:t>:</w:t>
      </w:r>
      <w:r w:rsidRPr="00AF73D3">
        <w:rPr>
          <w:rStyle w:val="refpages"/>
          <w:color w:val="000000" w:themeColor="text1"/>
        </w:rPr>
        <w:t>539</w:t>
      </w:r>
      <w:proofErr w:type="gramEnd"/>
      <w:r w:rsidRPr="00AF73D3">
        <w:rPr>
          <w:rStyle w:val="refpages"/>
          <w:color w:val="000000" w:themeColor="text1"/>
        </w:rPr>
        <w:t>–546</w:t>
      </w:r>
    </w:p>
    <w:p w14:paraId="1BC59824" w14:textId="27D5B5ED"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21" w:history="1">
        <w:r w:rsidR="00C5282B" w:rsidRPr="002C3C39">
          <w:rPr>
            <w:rStyle w:val="Hyperlink"/>
          </w:rPr>
          <w:t>https://doi.org/10.1055/s-0037-1615278</w:t>
        </w:r>
      </w:hyperlink>
    </w:p>
    <w:p w14:paraId="4CB0FF04" w14:textId="77777777" w:rsidR="00C5282B" w:rsidRPr="00AF73D3" w:rsidRDefault="00C5282B" w:rsidP="00C5282B">
      <w:pPr>
        <w:spacing w:before="100" w:beforeAutospacing="1" w:after="100" w:afterAutospacing="1"/>
        <w:ind w:left="720"/>
        <w:rPr>
          <w:color w:val="000000" w:themeColor="text1"/>
        </w:rPr>
      </w:pPr>
    </w:p>
    <w:p w14:paraId="066A5BA6"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Guerra-Leal, J.D., </w:t>
      </w:r>
      <w:proofErr w:type="spellStart"/>
      <w:r w:rsidRPr="00AF73D3">
        <w:rPr>
          <w:rStyle w:val="refauthors"/>
          <w:color w:val="000000" w:themeColor="text1"/>
        </w:rPr>
        <w:t>Meester</w:t>
      </w:r>
      <w:proofErr w:type="spellEnd"/>
      <w:r w:rsidRPr="00AF73D3">
        <w:rPr>
          <w:rStyle w:val="refauthors"/>
          <w:color w:val="000000" w:themeColor="text1"/>
        </w:rPr>
        <w:t>, I., Cantu-Gonzalez, J.R., Ornelas-</w:t>
      </w:r>
      <w:proofErr w:type="spellStart"/>
      <w:r w:rsidRPr="00AF73D3">
        <w:rPr>
          <w:rStyle w:val="refauthors"/>
          <w:color w:val="000000" w:themeColor="text1"/>
        </w:rPr>
        <w:t>Cortinas</w:t>
      </w:r>
      <w:proofErr w:type="spellEnd"/>
      <w:r w:rsidRPr="00AF73D3">
        <w:rPr>
          <w:rStyle w:val="refauthors"/>
          <w:color w:val="000000" w:themeColor="text1"/>
        </w:rPr>
        <w:t xml:space="preserve">, G., Montemayor-Martinez, A., Salas-Alanis, J.C. </w:t>
      </w:r>
      <w:r w:rsidRPr="00AF73D3">
        <w:rPr>
          <w:rStyle w:val="reftitle"/>
          <w:color w:val="000000" w:themeColor="text1"/>
        </w:rPr>
        <w:t xml:space="preserve">The importance of </w:t>
      </w:r>
      <w:proofErr w:type="spellStart"/>
      <w:r w:rsidRPr="00AF73D3">
        <w:rPr>
          <w:rStyle w:val="reftitle"/>
          <w:color w:val="000000" w:themeColor="text1"/>
        </w:rPr>
        <w:t>esophagography</w:t>
      </w:r>
      <w:proofErr w:type="spellEnd"/>
      <w:r w:rsidRPr="00AF73D3">
        <w:rPr>
          <w:rStyle w:val="reftitle"/>
          <w:color w:val="000000" w:themeColor="text1"/>
        </w:rPr>
        <w:t xml:space="preserve"> in patients with recessive dystrophic epidermolysis bullosa. </w:t>
      </w:r>
      <w:r w:rsidRPr="00AF73D3">
        <w:rPr>
          <w:rStyle w:val="refseriestitle"/>
          <w:color w:val="000000" w:themeColor="text1"/>
        </w:rPr>
        <w:t xml:space="preserve">AJR Am. J. </w:t>
      </w:r>
      <w:proofErr w:type="spellStart"/>
      <w:r w:rsidRPr="00AF73D3">
        <w:rPr>
          <w:rStyle w:val="refseriestitle"/>
          <w:color w:val="000000" w:themeColor="text1"/>
        </w:rPr>
        <w:t>Roentgenol</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proofErr w:type="gramEnd"/>
      <w:r w:rsidRPr="00AF73D3">
        <w:rPr>
          <w:rStyle w:val="refpages"/>
          <w:color w:val="000000" w:themeColor="text1"/>
        </w:rPr>
        <w:t>1–4</w:t>
      </w:r>
    </w:p>
    <w:p w14:paraId="7D6DDA2E" w14:textId="3B9374B6"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22" w:history="1">
        <w:r w:rsidR="00C5282B" w:rsidRPr="002C3C39">
          <w:rPr>
            <w:rStyle w:val="Hyperlink"/>
          </w:rPr>
          <w:t>https://doi.org/10.2214/AJR.16.16115</w:t>
        </w:r>
      </w:hyperlink>
    </w:p>
    <w:p w14:paraId="14A0D1E4" w14:textId="77777777" w:rsidR="00C5282B" w:rsidRPr="00AF73D3" w:rsidRDefault="00C5282B" w:rsidP="00C5282B">
      <w:pPr>
        <w:spacing w:before="100" w:beforeAutospacing="1" w:after="100" w:afterAutospacing="1"/>
        <w:ind w:left="720"/>
        <w:rPr>
          <w:color w:val="000000" w:themeColor="text1"/>
        </w:rPr>
      </w:pPr>
    </w:p>
    <w:p w14:paraId="7A581C61"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lastRenderedPageBreak/>
        <w:t xml:space="preserve">Spitz, L. </w:t>
      </w:r>
      <w:proofErr w:type="spellStart"/>
      <w:r w:rsidRPr="00AF73D3">
        <w:rPr>
          <w:rStyle w:val="reftitle"/>
          <w:color w:val="000000" w:themeColor="text1"/>
        </w:rPr>
        <w:t>Esophageal</w:t>
      </w:r>
      <w:proofErr w:type="spellEnd"/>
      <w:r w:rsidRPr="00AF73D3">
        <w:rPr>
          <w:rStyle w:val="reftitle"/>
          <w:color w:val="000000" w:themeColor="text1"/>
        </w:rPr>
        <w:t xml:space="preserve"> replacement: overcoming the need.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2014</w:t>
      </w:r>
      <w:r w:rsidRPr="00AF73D3">
        <w:rPr>
          <w:rStyle w:val="reference"/>
          <w:color w:val="000000" w:themeColor="text1"/>
        </w:rPr>
        <w:t>;</w:t>
      </w:r>
      <w:r w:rsidRPr="00AF73D3">
        <w:rPr>
          <w:rStyle w:val="refseriesvolume"/>
          <w:color w:val="000000" w:themeColor="text1"/>
        </w:rPr>
        <w:t>49</w:t>
      </w:r>
      <w:r w:rsidRPr="00AF73D3">
        <w:rPr>
          <w:rStyle w:val="reference"/>
          <w:color w:val="000000" w:themeColor="text1"/>
        </w:rPr>
        <w:t>:</w:t>
      </w:r>
      <w:r w:rsidRPr="00AF73D3">
        <w:rPr>
          <w:rStyle w:val="refpages"/>
          <w:color w:val="000000" w:themeColor="text1"/>
        </w:rPr>
        <w:t>849</w:t>
      </w:r>
      <w:proofErr w:type="gramEnd"/>
      <w:r w:rsidRPr="00AF73D3">
        <w:rPr>
          <w:rStyle w:val="refpages"/>
          <w:color w:val="000000" w:themeColor="text1"/>
        </w:rPr>
        <w:t>–852</w:t>
      </w:r>
    </w:p>
    <w:p w14:paraId="0A937EB3" w14:textId="6067E246"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23" w:history="1">
        <w:r w:rsidR="00C5282B" w:rsidRPr="002C3C39">
          <w:rPr>
            <w:rStyle w:val="Hyperlink"/>
          </w:rPr>
          <w:t>https://doi.org/10.1016/j.jpedsurg.2014.01.011</w:t>
        </w:r>
      </w:hyperlink>
    </w:p>
    <w:p w14:paraId="19B5431D" w14:textId="77777777" w:rsidR="00C5282B" w:rsidRPr="00AF73D3" w:rsidRDefault="00C5282B" w:rsidP="00C5282B">
      <w:pPr>
        <w:spacing w:before="100" w:beforeAutospacing="1" w:after="100" w:afterAutospacing="1"/>
        <w:ind w:left="720"/>
        <w:rPr>
          <w:color w:val="000000" w:themeColor="text1"/>
        </w:rPr>
      </w:pPr>
    </w:p>
    <w:p w14:paraId="57703CD8"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Lang, T., </w:t>
      </w:r>
      <w:proofErr w:type="spellStart"/>
      <w:r w:rsidRPr="00AF73D3">
        <w:rPr>
          <w:rStyle w:val="refauthors"/>
          <w:color w:val="000000" w:themeColor="text1"/>
        </w:rPr>
        <w:t>Hümmer</w:t>
      </w:r>
      <w:proofErr w:type="spellEnd"/>
      <w:r w:rsidRPr="00AF73D3">
        <w:rPr>
          <w:rStyle w:val="refauthors"/>
          <w:color w:val="000000" w:themeColor="text1"/>
        </w:rPr>
        <w:t xml:space="preserve">, H.-P., Behrens, R. </w:t>
      </w:r>
      <w:r w:rsidRPr="00AF73D3">
        <w:rPr>
          <w:rStyle w:val="reftitle"/>
          <w:color w:val="000000" w:themeColor="text1"/>
        </w:rPr>
        <w:t xml:space="preserve">Balloon dilation is preferable to bougienage in children with </w:t>
      </w:r>
      <w:proofErr w:type="spellStart"/>
      <w:r w:rsidRPr="00AF73D3">
        <w:rPr>
          <w:rStyle w:val="reftitle"/>
          <w:color w:val="000000" w:themeColor="text1"/>
        </w:rPr>
        <w:t>esophageal</w:t>
      </w:r>
      <w:proofErr w:type="spellEnd"/>
      <w:r w:rsidRPr="00AF73D3">
        <w:rPr>
          <w:rStyle w:val="reftitle"/>
          <w:color w:val="000000" w:themeColor="text1"/>
        </w:rPr>
        <w:t xml:space="preserve"> atresia. </w:t>
      </w:r>
      <w:r w:rsidRPr="00AF73D3">
        <w:rPr>
          <w:rStyle w:val="refseriestitle"/>
          <w:color w:val="000000" w:themeColor="text1"/>
        </w:rPr>
        <w:t>Endoscopy</w:t>
      </w:r>
      <w:r w:rsidRPr="00AF73D3">
        <w:rPr>
          <w:rStyle w:val="reference"/>
          <w:color w:val="000000" w:themeColor="text1"/>
        </w:rPr>
        <w:t xml:space="preserve">. </w:t>
      </w:r>
      <w:proofErr w:type="gramStart"/>
      <w:r w:rsidRPr="00AF73D3">
        <w:rPr>
          <w:rStyle w:val="refseriesdate"/>
          <w:color w:val="000000" w:themeColor="text1"/>
        </w:rPr>
        <w:t>2001</w:t>
      </w:r>
      <w:r w:rsidRPr="00AF73D3">
        <w:rPr>
          <w:rStyle w:val="reference"/>
          <w:color w:val="000000" w:themeColor="text1"/>
        </w:rPr>
        <w:t>;</w:t>
      </w:r>
      <w:r w:rsidRPr="00AF73D3">
        <w:rPr>
          <w:rStyle w:val="refseriesvolume"/>
          <w:color w:val="000000" w:themeColor="text1"/>
        </w:rPr>
        <w:t>33</w:t>
      </w:r>
      <w:r w:rsidRPr="00AF73D3">
        <w:rPr>
          <w:rStyle w:val="reference"/>
          <w:color w:val="000000" w:themeColor="text1"/>
        </w:rPr>
        <w:t>:</w:t>
      </w:r>
      <w:r w:rsidRPr="00AF73D3">
        <w:rPr>
          <w:rStyle w:val="refpages"/>
          <w:color w:val="000000" w:themeColor="text1"/>
        </w:rPr>
        <w:t>329</w:t>
      </w:r>
      <w:proofErr w:type="gramEnd"/>
      <w:r w:rsidRPr="00AF73D3">
        <w:rPr>
          <w:rStyle w:val="refpages"/>
          <w:color w:val="000000" w:themeColor="text1"/>
        </w:rPr>
        <w:t>–335</w:t>
      </w:r>
    </w:p>
    <w:p w14:paraId="773E6802" w14:textId="4A2C1AAC"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24" w:history="1">
        <w:r w:rsidR="00C5282B" w:rsidRPr="002C3C39">
          <w:rPr>
            <w:rStyle w:val="Hyperlink"/>
          </w:rPr>
          <w:t>https://doi.org/10.1055/s-2001-13691</w:t>
        </w:r>
      </w:hyperlink>
    </w:p>
    <w:p w14:paraId="6AEBF57A" w14:textId="77777777" w:rsidR="00C5282B" w:rsidRPr="00AF73D3" w:rsidRDefault="00C5282B" w:rsidP="00C5282B">
      <w:pPr>
        <w:spacing w:before="100" w:beforeAutospacing="1" w:after="100" w:afterAutospacing="1"/>
        <w:ind w:left="720"/>
        <w:rPr>
          <w:color w:val="000000" w:themeColor="text1"/>
        </w:rPr>
      </w:pPr>
    </w:p>
    <w:p w14:paraId="302907BE"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Thyoka</w:t>
      </w:r>
      <w:proofErr w:type="spellEnd"/>
      <w:r w:rsidRPr="00AF73D3">
        <w:rPr>
          <w:rStyle w:val="refauthors"/>
          <w:color w:val="000000" w:themeColor="text1"/>
        </w:rPr>
        <w:t xml:space="preserve">, M., Barnacle, A., Chippington, S., Eaton, S., Drake, D.P., Cross, K.M.K., De Coppi, P., Kiely, E.M., Pierro, A., Curry, J.I., Roebuck, D.J. </w:t>
      </w:r>
      <w:r w:rsidRPr="00AF73D3">
        <w:rPr>
          <w:rStyle w:val="reftitle"/>
          <w:color w:val="000000" w:themeColor="text1"/>
        </w:rPr>
        <w:t xml:space="preserve">Fluoroscopic balloon dilation of </w:t>
      </w:r>
      <w:proofErr w:type="spellStart"/>
      <w:r w:rsidRPr="00AF73D3">
        <w:rPr>
          <w:rStyle w:val="reftitle"/>
          <w:color w:val="000000" w:themeColor="text1"/>
        </w:rPr>
        <w:t>esophageal</w:t>
      </w:r>
      <w:proofErr w:type="spellEnd"/>
      <w:r w:rsidRPr="00AF73D3">
        <w:rPr>
          <w:rStyle w:val="reftitle"/>
          <w:color w:val="000000" w:themeColor="text1"/>
        </w:rPr>
        <w:t xml:space="preserve"> atresia anastomotic strictures in children and young adults: single-</w:t>
      </w:r>
      <w:proofErr w:type="spellStart"/>
      <w:r w:rsidRPr="00AF73D3">
        <w:rPr>
          <w:rStyle w:val="reftitle"/>
          <w:color w:val="000000" w:themeColor="text1"/>
        </w:rPr>
        <w:t>center</w:t>
      </w:r>
      <w:proofErr w:type="spellEnd"/>
      <w:r w:rsidRPr="00AF73D3">
        <w:rPr>
          <w:rStyle w:val="reftitle"/>
          <w:color w:val="000000" w:themeColor="text1"/>
        </w:rPr>
        <w:t xml:space="preserve"> study of 103 consecutive patients from 1999 to 2011. </w:t>
      </w:r>
      <w:r w:rsidRPr="00AF73D3">
        <w:rPr>
          <w:rStyle w:val="refseriestitle"/>
          <w:color w:val="000000" w:themeColor="text1"/>
        </w:rPr>
        <w:t>Radiology</w:t>
      </w:r>
      <w:r w:rsidRPr="00AF73D3">
        <w:rPr>
          <w:rStyle w:val="reference"/>
          <w:color w:val="000000" w:themeColor="text1"/>
        </w:rPr>
        <w:t xml:space="preserve">. </w:t>
      </w:r>
      <w:proofErr w:type="gramStart"/>
      <w:r w:rsidRPr="00AF73D3">
        <w:rPr>
          <w:rStyle w:val="refseriesdate"/>
          <w:color w:val="000000" w:themeColor="text1"/>
        </w:rPr>
        <w:t>2014</w:t>
      </w:r>
      <w:r w:rsidRPr="00AF73D3">
        <w:rPr>
          <w:rStyle w:val="reference"/>
          <w:color w:val="000000" w:themeColor="text1"/>
        </w:rPr>
        <w:t>;</w:t>
      </w:r>
      <w:r w:rsidRPr="00AF73D3">
        <w:rPr>
          <w:rStyle w:val="refseriesvolume"/>
          <w:color w:val="000000" w:themeColor="text1"/>
        </w:rPr>
        <w:t>271</w:t>
      </w:r>
      <w:r w:rsidRPr="00AF73D3">
        <w:rPr>
          <w:rStyle w:val="reference"/>
          <w:color w:val="000000" w:themeColor="text1"/>
        </w:rPr>
        <w:t>:</w:t>
      </w:r>
      <w:r w:rsidRPr="00AF73D3">
        <w:rPr>
          <w:rStyle w:val="refpages"/>
          <w:color w:val="000000" w:themeColor="text1"/>
        </w:rPr>
        <w:t>596</w:t>
      </w:r>
      <w:proofErr w:type="gramEnd"/>
      <w:r w:rsidRPr="00AF73D3">
        <w:rPr>
          <w:rStyle w:val="refpages"/>
          <w:color w:val="000000" w:themeColor="text1"/>
        </w:rPr>
        <w:t>–601</w:t>
      </w:r>
    </w:p>
    <w:p w14:paraId="6DB5C4DA" w14:textId="3537F28B"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25" w:history="1">
        <w:r w:rsidR="00C5282B" w:rsidRPr="002C3C39">
          <w:rPr>
            <w:rStyle w:val="Hyperlink"/>
          </w:rPr>
          <w:t>https://doi.org/10.1148/radiol.13122184</w:t>
        </w:r>
      </w:hyperlink>
    </w:p>
    <w:p w14:paraId="637AA56E" w14:textId="77777777" w:rsidR="00C5282B" w:rsidRPr="00AF73D3" w:rsidRDefault="00C5282B" w:rsidP="00C5282B">
      <w:pPr>
        <w:spacing w:before="100" w:beforeAutospacing="1" w:after="100" w:afterAutospacing="1"/>
        <w:ind w:left="720"/>
        <w:rPr>
          <w:color w:val="000000" w:themeColor="text1"/>
        </w:rPr>
      </w:pPr>
    </w:p>
    <w:p w14:paraId="714DDA73"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Saliakellis</w:t>
      </w:r>
      <w:proofErr w:type="spellEnd"/>
      <w:r w:rsidRPr="00AF73D3">
        <w:rPr>
          <w:rStyle w:val="refauthors"/>
          <w:color w:val="000000" w:themeColor="text1"/>
        </w:rPr>
        <w:t xml:space="preserve">, E., Thapar, N., Roebuck, D., Cristofori, F., Cross, K., Kiely, E., Curry, J., Lindley, K., Borrelli, O. </w:t>
      </w:r>
      <w:r w:rsidRPr="00AF73D3">
        <w:rPr>
          <w:rStyle w:val="reftitle"/>
          <w:color w:val="000000" w:themeColor="text1"/>
        </w:rPr>
        <w:t xml:space="preserve">Long-term outcomes of Heller’s myotomy and balloon dilatation in childhood achalasia. </w:t>
      </w:r>
      <w:r w:rsidRPr="00AF73D3">
        <w:rPr>
          <w:rStyle w:val="refseriestitle"/>
          <w:color w:val="000000" w:themeColor="text1"/>
        </w:rPr>
        <w:t>Eur. J. Pediatr.</w:t>
      </w:r>
      <w:r w:rsidRPr="00AF73D3">
        <w:rPr>
          <w:rStyle w:val="reference"/>
          <w:color w:val="000000" w:themeColor="text1"/>
        </w:rPr>
        <w:t xml:space="preserve"> </w:t>
      </w:r>
      <w:proofErr w:type="gramStart"/>
      <w:r w:rsidRPr="00AF73D3">
        <w:rPr>
          <w:rStyle w:val="refseriesdate"/>
          <w:color w:val="000000" w:themeColor="text1"/>
        </w:rPr>
        <w:t>2017</w:t>
      </w:r>
      <w:r w:rsidRPr="00AF73D3">
        <w:rPr>
          <w:rStyle w:val="reference"/>
          <w:color w:val="000000" w:themeColor="text1"/>
        </w:rPr>
        <w:t>;</w:t>
      </w:r>
      <w:r w:rsidRPr="00AF73D3">
        <w:rPr>
          <w:rStyle w:val="refseriesvolume"/>
          <w:color w:val="000000" w:themeColor="text1"/>
        </w:rPr>
        <w:t>176</w:t>
      </w:r>
      <w:r w:rsidRPr="00AF73D3">
        <w:rPr>
          <w:rStyle w:val="reference"/>
          <w:color w:val="000000" w:themeColor="text1"/>
        </w:rPr>
        <w:t>:</w:t>
      </w:r>
      <w:r w:rsidRPr="00AF73D3">
        <w:rPr>
          <w:rStyle w:val="refpages"/>
          <w:color w:val="000000" w:themeColor="text1"/>
        </w:rPr>
        <w:t>899</w:t>
      </w:r>
      <w:proofErr w:type="gramEnd"/>
      <w:r w:rsidRPr="00AF73D3">
        <w:rPr>
          <w:rStyle w:val="refpages"/>
          <w:color w:val="000000" w:themeColor="text1"/>
        </w:rPr>
        <w:t>–907</w:t>
      </w:r>
    </w:p>
    <w:p w14:paraId="06DCD520" w14:textId="7B5DA33E"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26" w:history="1">
        <w:r w:rsidR="00C5282B" w:rsidRPr="002C3C39">
          <w:rPr>
            <w:rStyle w:val="Hyperlink"/>
          </w:rPr>
          <w:t>https://doi.org/10.1007/s00431-017-2924-x</w:t>
        </w:r>
      </w:hyperlink>
    </w:p>
    <w:p w14:paraId="1923168B" w14:textId="77777777" w:rsidR="00C5282B" w:rsidRPr="00AF73D3" w:rsidRDefault="00C5282B" w:rsidP="00C5282B">
      <w:pPr>
        <w:spacing w:before="100" w:beforeAutospacing="1" w:after="100" w:afterAutospacing="1"/>
        <w:ind w:left="720"/>
        <w:rPr>
          <w:color w:val="000000" w:themeColor="text1"/>
        </w:rPr>
      </w:pPr>
    </w:p>
    <w:p w14:paraId="60E8E4F8"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Heran</w:t>
      </w:r>
      <w:proofErr w:type="spellEnd"/>
      <w:r w:rsidRPr="00AF73D3">
        <w:rPr>
          <w:rStyle w:val="refauthors"/>
          <w:color w:val="000000" w:themeColor="text1"/>
        </w:rPr>
        <w:t xml:space="preserve">, M.K.S., Pham, T.H., Butterworth, S., Robinson, A. </w:t>
      </w:r>
      <w:r w:rsidRPr="00AF73D3">
        <w:rPr>
          <w:rStyle w:val="reftitle"/>
          <w:color w:val="000000" w:themeColor="text1"/>
        </w:rPr>
        <w:t xml:space="preserve">Use of a microporous polytetrafluoroethylene catheter balloon to treat refractory </w:t>
      </w:r>
      <w:proofErr w:type="spellStart"/>
      <w:r w:rsidRPr="00AF73D3">
        <w:rPr>
          <w:rStyle w:val="reftitle"/>
          <w:color w:val="000000" w:themeColor="text1"/>
        </w:rPr>
        <w:t>esophageal</w:t>
      </w:r>
      <w:proofErr w:type="spellEnd"/>
      <w:r w:rsidRPr="00AF73D3">
        <w:rPr>
          <w:rStyle w:val="reftitle"/>
          <w:color w:val="000000" w:themeColor="text1"/>
        </w:rPr>
        <w:t xml:space="preserve"> stricture: a novel technique for delivery of mitomycin C.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2011</w:t>
      </w:r>
      <w:r w:rsidRPr="00AF73D3">
        <w:rPr>
          <w:rStyle w:val="reference"/>
          <w:color w:val="000000" w:themeColor="text1"/>
        </w:rPr>
        <w:t>;</w:t>
      </w:r>
      <w:r w:rsidRPr="00AF73D3">
        <w:rPr>
          <w:rStyle w:val="refseriesvolume"/>
          <w:color w:val="000000" w:themeColor="text1"/>
        </w:rPr>
        <w:t>46</w:t>
      </w:r>
      <w:r w:rsidRPr="00AF73D3">
        <w:rPr>
          <w:rStyle w:val="reference"/>
          <w:color w:val="000000" w:themeColor="text1"/>
        </w:rPr>
        <w:t>:</w:t>
      </w:r>
      <w:r w:rsidRPr="00AF73D3">
        <w:rPr>
          <w:rStyle w:val="refpages"/>
          <w:color w:val="000000" w:themeColor="text1"/>
        </w:rPr>
        <w:t>776</w:t>
      </w:r>
      <w:proofErr w:type="gramEnd"/>
      <w:r w:rsidRPr="00AF73D3">
        <w:rPr>
          <w:rStyle w:val="refpages"/>
          <w:color w:val="000000" w:themeColor="text1"/>
        </w:rPr>
        <w:t>–779</w:t>
      </w:r>
    </w:p>
    <w:p w14:paraId="0F66962F" w14:textId="0B8450B3"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27" w:history="1">
        <w:r w:rsidR="00C5282B" w:rsidRPr="002C3C39">
          <w:rPr>
            <w:rStyle w:val="Hyperlink"/>
          </w:rPr>
          <w:t>https://doi.org/10.1016/j.jpedsurg.2010.11.030</w:t>
        </w:r>
      </w:hyperlink>
    </w:p>
    <w:p w14:paraId="5BF20E36" w14:textId="77777777" w:rsidR="00C5282B" w:rsidRPr="00AF73D3" w:rsidRDefault="00C5282B" w:rsidP="00C5282B">
      <w:pPr>
        <w:spacing w:before="100" w:beforeAutospacing="1" w:after="100" w:afterAutospacing="1"/>
        <w:ind w:left="720"/>
        <w:rPr>
          <w:color w:val="000000" w:themeColor="text1"/>
        </w:rPr>
      </w:pPr>
    </w:p>
    <w:p w14:paraId="6D9C4949"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Deng, H.-Y., Wang, W.-P., Lin, Y.-D., Chen, L.-Q. </w:t>
      </w:r>
      <w:r w:rsidRPr="00AF73D3">
        <w:rPr>
          <w:rStyle w:val="reftitle"/>
          <w:color w:val="000000" w:themeColor="text1"/>
        </w:rPr>
        <w:t xml:space="preserve">Can mitomycin facilitate endoscopic dilatation treatment of benign oesophageal </w:t>
      </w:r>
      <w:proofErr w:type="gramStart"/>
      <w:r w:rsidRPr="00AF73D3">
        <w:rPr>
          <w:rStyle w:val="reftitle"/>
          <w:color w:val="000000" w:themeColor="text1"/>
        </w:rPr>
        <w:t>stricture?.</w:t>
      </w:r>
      <w:proofErr w:type="gramEnd"/>
      <w:r w:rsidRPr="00AF73D3">
        <w:rPr>
          <w:rStyle w:val="reftitle"/>
          <w:color w:val="000000" w:themeColor="text1"/>
        </w:rPr>
        <w:t xml:space="preserve"> </w:t>
      </w:r>
      <w:r w:rsidRPr="00AF73D3">
        <w:rPr>
          <w:rStyle w:val="refseriestitle"/>
          <w:color w:val="000000" w:themeColor="text1"/>
        </w:rPr>
        <w:t xml:space="preserve">Interact. Cardiovasc. </w:t>
      </w:r>
      <w:proofErr w:type="spellStart"/>
      <w:r w:rsidRPr="00AF73D3">
        <w:rPr>
          <w:rStyle w:val="refseriestitle"/>
          <w:color w:val="000000" w:themeColor="text1"/>
        </w:rPr>
        <w:t>Thorac</w:t>
      </w:r>
      <w:proofErr w:type="spellEnd"/>
      <w:r w:rsidRPr="00AF73D3">
        <w:rPr>
          <w:rStyle w:val="refseriestitle"/>
          <w:color w:val="000000" w:themeColor="text1"/>
        </w:rPr>
        <w:t>. Surg.</w:t>
      </w:r>
      <w:r w:rsidRPr="00AF73D3">
        <w:rPr>
          <w:rStyle w:val="reference"/>
          <w:color w:val="000000" w:themeColor="text1"/>
        </w:rPr>
        <w:t xml:space="preserve"> </w:t>
      </w:r>
      <w:proofErr w:type="gramStart"/>
      <w:r w:rsidRPr="00AF73D3">
        <w:rPr>
          <w:rStyle w:val="refseriesdate"/>
          <w:color w:val="000000" w:themeColor="text1"/>
        </w:rPr>
        <w:t>2017</w:t>
      </w:r>
      <w:r w:rsidRPr="00AF73D3">
        <w:rPr>
          <w:rStyle w:val="reference"/>
          <w:color w:val="000000" w:themeColor="text1"/>
        </w:rPr>
        <w:t>;</w:t>
      </w:r>
      <w:r w:rsidRPr="00AF73D3">
        <w:rPr>
          <w:rStyle w:val="refseriesvolume"/>
          <w:color w:val="000000" w:themeColor="text1"/>
        </w:rPr>
        <w:t>24</w:t>
      </w:r>
      <w:r w:rsidRPr="00AF73D3">
        <w:rPr>
          <w:rStyle w:val="reference"/>
          <w:color w:val="000000" w:themeColor="text1"/>
        </w:rPr>
        <w:t>:</w:t>
      </w:r>
      <w:r w:rsidRPr="00AF73D3">
        <w:rPr>
          <w:rStyle w:val="refpages"/>
          <w:color w:val="000000" w:themeColor="text1"/>
        </w:rPr>
        <w:t>112</w:t>
      </w:r>
      <w:proofErr w:type="gramEnd"/>
      <w:r w:rsidRPr="00AF73D3">
        <w:rPr>
          <w:rStyle w:val="refpages"/>
          <w:color w:val="000000" w:themeColor="text1"/>
        </w:rPr>
        <w:t>–114</w:t>
      </w:r>
    </w:p>
    <w:p w14:paraId="1FB468E9" w14:textId="0ED84EB6" w:rsidR="003E0A72" w:rsidRDefault="003E0A72" w:rsidP="003E0A72">
      <w:pPr>
        <w:spacing w:before="100" w:beforeAutospacing="1" w:after="100" w:afterAutospacing="1"/>
        <w:ind w:left="720"/>
        <w:rPr>
          <w:color w:val="000000" w:themeColor="text1"/>
        </w:rPr>
      </w:pPr>
      <w:r w:rsidRPr="00AF73D3">
        <w:rPr>
          <w:color w:val="000000" w:themeColor="text1"/>
        </w:rPr>
        <w:t xml:space="preserve">DOI: </w:t>
      </w:r>
      <w:hyperlink r:id="rId28" w:history="1">
        <w:r w:rsidR="00C5282B" w:rsidRPr="002C3C39">
          <w:rPr>
            <w:rStyle w:val="Hyperlink"/>
          </w:rPr>
          <w:t>https://doi.org/10.1093/icvts/ivw318</w:t>
        </w:r>
      </w:hyperlink>
    </w:p>
    <w:p w14:paraId="3E6CD4D3" w14:textId="1FCC4C3E" w:rsidR="003E0A72" w:rsidRPr="00AF73D3" w:rsidRDefault="003E0A72" w:rsidP="00C5282B">
      <w:pPr>
        <w:spacing w:before="100" w:beforeAutospacing="1" w:after="100" w:afterAutospacing="1"/>
        <w:rPr>
          <w:color w:val="000000" w:themeColor="text1"/>
        </w:rPr>
      </w:pPr>
    </w:p>
    <w:p w14:paraId="702D7D8A"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lastRenderedPageBreak/>
        <w:t>Chapuy</w:t>
      </w:r>
      <w:proofErr w:type="spellEnd"/>
      <w:r w:rsidRPr="00AF73D3">
        <w:rPr>
          <w:rStyle w:val="refauthors"/>
          <w:color w:val="000000" w:themeColor="text1"/>
        </w:rPr>
        <w:t xml:space="preserve">, L., </w:t>
      </w:r>
      <w:proofErr w:type="spellStart"/>
      <w:r w:rsidRPr="00AF73D3">
        <w:rPr>
          <w:rStyle w:val="refauthors"/>
          <w:color w:val="000000" w:themeColor="text1"/>
        </w:rPr>
        <w:t>Pomerleau</w:t>
      </w:r>
      <w:proofErr w:type="spellEnd"/>
      <w:r w:rsidRPr="00AF73D3">
        <w:rPr>
          <w:rStyle w:val="refauthors"/>
          <w:color w:val="000000" w:themeColor="text1"/>
        </w:rPr>
        <w:t xml:space="preserve">, M., Faure, C. </w:t>
      </w:r>
      <w:r w:rsidRPr="00AF73D3">
        <w:rPr>
          <w:rStyle w:val="reftitle"/>
          <w:color w:val="000000" w:themeColor="text1"/>
        </w:rPr>
        <w:t xml:space="preserve">Topical mitomycin-C application in recurrent </w:t>
      </w:r>
      <w:proofErr w:type="spellStart"/>
      <w:r w:rsidRPr="00AF73D3">
        <w:rPr>
          <w:rStyle w:val="reftitle"/>
          <w:color w:val="000000" w:themeColor="text1"/>
        </w:rPr>
        <w:t>esophageal</w:t>
      </w:r>
      <w:proofErr w:type="spellEnd"/>
      <w:r w:rsidRPr="00AF73D3">
        <w:rPr>
          <w:rStyle w:val="reftitle"/>
          <w:color w:val="000000" w:themeColor="text1"/>
        </w:rPr>
        <w:t xml:space="preserve"> strictures after surgical repair of </w:t>
      </w:r>
      <w:proofErr w:type="spellStart"/>
      <w:r w:rsidRPr="00AF73D3">
        <w:rPr>
          <w:rStyle w:val="reftitle"/>
          <w:color w:val="000000" w:themeColor="text1"/>
        </w:rPr>
        <w:t>esophageal</w:t>
      </w:r>
      <w:proofErr w:type="spellEnd"/>
      <w:r w:rsidRPr="00AF73D3">
        <w:rPr>
          <w:rStyle w:val="reftitle"/>
          <w:color w:val="000000" w:themeColor="text1"/>
        </w:rPr>
        <w:t xml:space="preserve"> atresia. </w:t>
      </w:r>
      <w:r w:rsidRPr="00AF73D3">
        <w:rPr>
          <w:rStyle w:val="refseriestitle"/>
          <w:color w:val="000000" w:themeColor="text1"/>
        </w:rPr>
        <w:t xml:space="preserve">J. Pediatr. Gastroenterol. </w:t>
      </w:r>
      <w:proofErr w:type="spellStart"/>
      <w:r w:rsidRPr="00AF73D3">
        <w:rPr>
          <w:rStyle w:val="refseriestitle"/>
          <w:color w:val="000000" w:themeColor="text1"/>
        </w:rPr>
        <w:t>Nutr</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2014</w:t>
      </w:r>
      <w:r w:rsidRPr="00AF73D3">
        <w:rPr>
          <w:rStyle w:val="reference"/>
          <w:color w:val="000000" w:themeColor="text1"/>
        </w:rPr>
        <w:t>;</w:t>
      </w:r>
      <w:r w:rsidRPr="00AF73D3">
        <w:rPr>
          <w:rStyle w:val="refseriesvolume"/>
          <w:color w:val="000000" w:themeColor="text1"/>
        </w:rPr>
        <w:t>59</w:t>
      </w:r>
      <w:r w:rsidRPr="00AF73D3">
        <w:rPr>
          <w:rStyle w:val="reference"/>
          <w:color w:val="000000" w:themeColor="text1"/>
        </w:rPr>
        <w:t>:</w:t>
      </w:r>
      <w:r w:rsidRPr="00AF73D3">
        <w:rPr>
          <w:rStyle w:val="refpages"/>
          <w:color w:val="000000" w:themeColor="text1"/>
        </w:rPr>
        <w:t>608</w:t>
      </w:r>
      <w:proofErr w:type="gramEnd"/>
      <w:r w:rsidRPr="00AF73D3">
        <w:rPr>
          <w:rStyle w:val="refpages"/>
          <w:color w:val="000000" w:themeColor="text1"/>
        </w:rPr>
        <w:t>–611</w:t>
      </w:r>
    </w:p>
    <w:p w14:paraId="5E501C45" w14:textId="6A1A8A88"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29" w:history="1">
        <w:r w:rsidR="00C5282B" w:rsidRPr="002C3C39">
          <w:rPr>
            <w:rStyle w:val="Hyperlink"/>
          </w:rPr>
          <w:t>https://doi.org/10.1097/MPG.0000000000000352</w:t>
        </w:r>
      </w:hyperlink>
    </w:p>
    <w:p w14:paraId="79711B7C" w14:textId="77777777" w:rsidR="00C5282B" w:rsidRPr="00AF73D3" w:rsidRDefault="00C5282B" w:rsidP="00C5282B">
      <w:pPr>
        <w:spacing w:before="100" w:beforeAutospacing="1" w:after="100" w:afterAutospacing="1"/>
        <w:ind w:left="720"/>
        <w:rPr>
          <w:color w:val="000000" w:themeColor="text1"/>
        </w:rPr>
      </w:pPr>
    </w:p>
    <w:p w14:paraId="42597CE6"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Heran</w:t>
      </w:r>
      <w:proofErr w:type="spellEnd"/>
      <w:r w:rsidRPr="00AF73D3">
        <w:rPr>
          <w:rStyle w:val="refauthors"/>
          <w:color w:val="000000" w:themeColor="text1"/>
        </w:rPr>
        <w:t xml:space="preserve">, M.K.S., Baird, R., Blair, G.K., </w:t>
      </w:r>
      <w:proofErr w:type="spellStart"/>
      <w:r w:rsidRPr="00AF73D3">
        <w:rPr>
          <w:rStyle w:val="refauthors"/>
          <w:color w:val="000000" w:themeColor="text1"/>
        </w:rPr>
        <w:t>Skarsgard</w:t>
      </w:r>
      <w:proofErr w:type="spellEnd"/>
      <w:r w:rsidRPr="00AF73D3">
        <w:rPr>
          <w:rStyle w:val="refauthors"/>
          <w:color w:val="000000" w:themeColor="text1"/>
        </w:rPr>
        <w:t xml:space="preserve">, E.D. </w:t>
      </w:r>
      <w:r w:rsidRPr="00AF73D3">
        <w:rPr>
          <w:rStyle w:val="reftitle"/>
          <w:color w:val="000000" w:themeColor="text1"/>
        </w:rPr>
        <w:t xml:space="preserve">Topical mitomycin-C for recalcitrant </w:t>
      </w:r>
      <w:proofErr w:type="spellStart"/>
      <w:r w:rsidRPr="00AF73D3">
        <w:rPr>
          <w:rStyle w:val="reftitle"/>
          <w:color w:val="000000" w:themeColor="text1"/>
        </w:rPr>
        <w:t>esophageal</w:t>
      </w:r>
      <w:proofErr w:type="spellEnd"/>
      <w:r w:rsidRPr="00AF73D3">
        <w:rPr>
          <w:rStyle w:val="reftitle"/>
          <w:color w:val="000000" w:themeColor="text1"/>
        </w:rPr>
        <w:t xml:space="preserve"> strictures: a novel endoscopic/fluoroscopic technique for safe endoluminal delivery.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2008</w:t>
      </w:r>
      <w:r w:rsidRPr="00AF73D3">
        <w:rPr>
          <w:rStyle w:val="reference"/>
          <w:color w:val="000000" w:themeColor="text1"/>
        </w:rPr>
        <w:t>;</w:t>
      </w:r>
      <w:r w:rsidRPr="00AF73D3">
        <w:rPr>
          <w:rStyle w:val="refseriesvolume"/>
          <w:color w:val="000000" w:themeColor="text1"/>
        </w:rPr>
        <w:t>43</w:t>
      </w:r>
      <w:r w:rsidRPr="00AF73D3">
        <w:rPr>
          <w:rStyle w:val="reference"/>
          <w:color w:val="000000" w:themeColor="text1"/>
        </w:rPr>
        <w:t>:</w:t>
      </w:r>
      <w:r w:rsidRPr="00AF73D3">
        <w:rPr>
          <w:rStyle w:val="refpages"/>
          <w:color w:val="000000" w:themeColor="text1"/>
        </w:rPr>
        <w:t>815</w:t>
      </w:r>
      <w:proofErr w:type="gramEnd"/>
      <w:r w:rsidRPr="00AF73D3">
        <w:rPr>
          <w:rStyle w:val="refpages"/>
          <w:color w:val="000000" w:themeColor="text1"/>
        </w:rPr>
        <w:t>–818</w:t>
      </w:r>
    </w:p>
    <w:p w14:paraId="30206658" w14:textId="5E849E12"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30" w:history="1">
        <w:r w:rsidR="00C5282B" w:rsidRPr="002C3C39">
          <w:rPr>
            <w:rStyle w:val="Hyperlink"/>
          </w:rPr>
          <w:t>https://doi.org/10.1016/j.jpedsurg.2007.12.017</w:t>
        </w:r>
      </w:hyperlink>
    </w:p>
    <w:p w14:paraId="5BEDCE74" w14:textId="77777777" w:rsidR="00C5282B" w:rsidRPr="00AF73D3" w:rsidRDefault="00C5282B" w:rsidP="00C5282B">
      <w:pPr>
        <w:spacing w:before="100" w:beforeAutospacing="1" w:after="100" w:afterAutospacing="1"/>
        <w:ind w:left="720"/>
        <w:rPr>
          <w:color w:val="000000" w:themeColor="text1"/>
        </w:rPr>
      </w:pPr>
    </w:p>
    <w:p w14:paraId="660312B6"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Alonso, V., Ojha, D., </w:t>
      </w:r>
      <w:proofErr w:type="spellStart"/>
      <w:r w:rsidRPr="00AF73D3">
        <w:rPr>
          <w:rStyle w:val="refauthors"/>
          <w:color w:val="000000" w:themeColor="text1"/>
        </w:rPr>
        <w:t>Nalluri</w:t>
      </w:r>
      <w:proofErr w:type="spellEnd"/>
      <w:r w:rsidRPr="00AF73D3">
        <w:rPr>
          <w:rStyle w:val="refauthors"/>
          <w:color w:val="000000" w:themeColor="text1"/>
        </w:rPr>
        <w:t xml:space="preserve">, H., de </w:t>
      </w:r>
      <w:proofErr w:type="spellStart"/>
      <w:r w:rsidRPr="00AF73D3">
        <w:rPr>
          <w:rStyle w:val="refauthors"/>
          <w:color w:val="000000" w:themeColor="text1"/>
        </w:rPr>
        <w:t>Agustín</w:t>
      </w:r>
      <w:proofErr w:type="spellEnd"/>
      <w:r w:rsidRPr="00AF73D3">
        <w:rPr>
          <w:rStyle w:val="refauthors"/>
          <w:color w:val="000000" w:themeColor="text1"/>
        </w:rPr>
        <w:t xml:space="preserve">, J.C. </w:t>
      </w:r>
      <w:r w:rsidRPr="00AF73D3">
        <w:rPr>
          <w:rStyle w:val="reftitle"/>
          <w:color w:val="000000" w:themeColor="text1"/>
        </w:rPr>
        <w:t xml:space="preserve">Use of self-expanding nitinol stents in the pediatric management of refractory </w:t>
      </w:r>
      <w:proofErr w:type="spellStart"/>
      <w:r w:rsidRPr="00AF73D3">
        <w:rPr>
          <w:rStyle w:val="reftitle"/>
          <w:color w:val="000000" w:themeColor="text1"/>
        </w:rPr>
        <w:t>esophageal</w:t>
      </w:r>
      <w:proofErr w:type="spellEnd"/>
      <w:r w:rsidRPr="00AF73D3">
        <w:rPr>
          <w:rStyle w:val="reftitle"/>
          <w:color w:val="000000" w:themeColor="text1"/>
        </w:rPr>
        <w:t xml:space="preserve"> caustic stenosis. </w:t>
      </w:r>
      <w:r w:rsidRPr="00AF73D3">
        <w:rPr>
          <w:rStyle w:val="refseriestitle"/>
          <w:color w:val="000000" w:themeColor="text1"/>
        </w:rPr>
        <w:t xml:space="preserve">Rev. Esp. </w:t>
      </w:r>
      <w:proofErr w:type="spellStart"/>
      <w:r w:rsidRPr="00AF73D3">
        <w:rPr>
          <w:rStyle w:val="refseriestitle"/>
          <w:color w:val="000000" w:themeColor="text1"/>
        </w:rPr>
        <w:t>Enferm</w:t>
      </w:r>
      <w:proofErr w:type="spellEnd"/>
      <w:r w:rsidRPr="00AF73D3">
        <w:rPr>
          <w:rStyle w:val="refseriestitle"/>
          <w:color w:val="000000" w:themeColor="text1"/>
        </w:rPr>
        <w:t>. Dig.</w:t>
      </w:r>
      <w:r w:rsidRPr="00AF73D3">
        <w:rPr>
          <w:rStyle w:val="reference"/>
          <w:color w:val="000000" w:themeColor="text1"/>
        </w:rPr>
        <w:t xml:space="preserve"> </w:t>
      </w:r>
      <w:proofErr w:type="gramStart"/>
      <w:r w:rsidRPr="00AF73D3">
        <w:rPr>
          <w:rStyle w:val="refseriesdate"/>
          <w:color w:val="000000" w:themeColor="text1"/>
        </w:rPr>
        <w:t>2017</w:t>
      </w:r>
      <w:r w:rsidRPr="00AF73D3">
        <w:rPr>
          <w:rStyle w:val="reference"/>
          <w:color w:val="000000" w:themeColor="text1"/>
        </w:rPr>
        <w:t>;</w:t>
      </w:r>
      <w:r w:rsidRPr="00AF73D3">
        <w:rPr>
          <w:rStyle w:val="refseriesvolume"/>
          <w:color w:val="000000" w:themeColor="text1"/>
        </w:rPr>
        <w:t>109</w:t>
      </w:r>
      <w:r w:rsidRPr="00AF73D3">
        <w:rPr>
          <w:rStyle w:val="reference"/>
          <w:color w:val="000000" w:themeColor="text1"/>
        </w:rPr>
        <w:t>:</w:t>
      </w:r>
      <w:r w:rsidRPr="00AF73D3">
        <w:rPr>
          <w:rStyle w:val="refpages"/>
          <w:color w:val="000000" w:themeColor="text1"/>
        </w:rPr>
        <w:t>728</w:t>
      </w:r>
      <w:proofErr w:type="gramEnd"/>
      <w:r w:rsidRPr="00AF73D3">
        <w:rPr>
          <w:rStyle w:val="refpages"/>
          <w:color w:val="000000" w:themeColor="text1"/>
        </w:rPr>
        <w:t>–730</w:t>
      </w:r>
    </w:p>
    <w:p w14:paraId="1EF1BAAB" w14:textId="78D14ECD" w:rsidR="003E0A72" w:rsidRDefault="003E0A72" w:rsidP="003E0A72">
      <w:pPr>
        <w:spacing w:before="100" w:beforeAutospacing="1" w:after="100" w:afterAutospacing="1"/>
        <w:ind w:left="720"/>
        <w:rPr>
          <w:color w:val="000000" w:themeColor="text1"/>
        </w:rPr>
      </w:pPr>
      <w:r w:rsidRPr="00AF73D3">
        <w:rPr>
          <w:color w:val="000000" w:themeColor="text1"/>
        </w:rPr>
        <w:t xml:space="preserve">DOI: </w:t>
      </w:r>
      <w:hyperlink r:id="rId31" w:history="1">
        <w:r w:rsidR="00C5282B" w:rsidRPr="002C3C39">
          <w:rPr>
            <w:rStyle w:val="Hyperlink"/>
          </w:rPr>
          <w:t>https://doi.org/10.17235/reed.2017.4959/2017</w:t>
        </w:r>
      </w:hyperlink>
    </w:p>
    <w:p w14:paraId="3A92F0D6" w14:textId="1A45E347" w:rsidR="003E0A72" w:rsidRPr="00AF73D3" w:rsidRDefault="003E0A72" w:rsidP="00C5282B">
      <w:pPr>
        <w:spacing w:before="100" w:beforeAutospacing="1" w:after="100" w:afterAutospacing="1"/>
        <w:rPr>
          <w:color w:val="000000" w:themeColor="text1"/>
        </w:rPr>
      </w:pPr>
    </w:p>
    <w:p w14:paraId="322E1CDB"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Ahmad, A., Wong </w:t>
      </w:r>
      <w:proofErr w:type="spellStart"/>
      <w:r w:rsidRPr="00AF73D3">
        <w:rPr>
          <w:rStyle w:val="refauthors"/>
          <w:color w:val="000000" w:themeColor="text1"/>
        </w:rPr>
        <w:t>Kee</w:t>
      </w:r>
      <w:proofErr w:type="spellEnd"/>
      <w:r w:rsidRPr="00AF73D3">
        <w:rPr>
          <w:rStyle w:val="refauthors"/>
          <w:color w:val="000000" w:themeColor="text1"/>
        </w:rPr>
        <w:t xml:space="preserve"> Song, L.M., </w:t>
      </w:r>
      <w:proofErr w:type="spellStart"/>
      <w:r w:rsidRPr="00AF73D3">
        <w:rPr>
          <w:rStyle w:val="refauthors"/>
          <w:color w:val="000000" w:themeColor="text1"/>
        </w:rPr>
        <w:t>Absah</w:t>
      </w:r>
      <w:proofErr w:type="spellEnd"/>
      <w:r w:rsidRPr="00AF73D3">
        <w:rPr>
          <w:rStyle w:val="refauthors"/>
          <w:color w:val="000000" w:themeColor="text1"/>
        </w:rPr>
        <w:t xml:space="preserve">, I. </w:t>
      </w:r>
      <w:proofErr w:type="spellStart"/>
      <w:r w:rsidRPr="00AF73D3">
        <w:rPr>
          <w:rStyle w:val="reftitle"/>
          <w:color w:val="000000" w:themeColor="text1"/>
        </w:rPr>
        <w:t>Esophageal</w:t>
      </w:r>
      <w:proofErr w:type="spellEnd"/>
      <w:r w:rsidRPr="00AF73D3">
        <w:rPr>
          <w:rStyle w:val="reftitle"/>
          <w:color w:val="000000" w:themeColor="text1"/>
        </w:rPr>
        <w:t xml:space="preserve"> stent placement as a therapeutic option for iatrogenic </w:t>
      </w:r>
      <w:proofErr w:type="spellStart"/>
      <w:r w:rsidRPr="00AF73D3">
        <w:rPr>
          <w:rStyle w:val="reftitle"/>
          <w:color w:val="000000" w:themeColor="text1"/>
        </w:rPr>
        <w:t>esophageal</w:t>
      </w:r>
      <w:proofErr w:type="spellEnd"/>
      <w:r w:rsidRPr="00AF73D3">
        <w:rPr>
          <w:rStyle w:val="reftitle"/>
          <w:color w:val="000000" w:themeColor="text1"/>
        </w:rPr>
        <w:t xml:space="preserve"> perforation in children. </w:t>
      </w:r>
      <w:r w:rsidRPr="00AF73D3">
        <w:rPr>
          <w:rStyle w:val="refseriestitle"/>
          <w:color w:val="000000" w:themeColor="text1"/>
        </w:rPr>
        <w:t>Avicenna J. Med.</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r w:rsidRPr="00AF73D3">
        <w:rPr>
          <w:rStyle w:val="refseriesvolume"/>
          <w:color w:val="000000" w:themeColor="text1"/>
        </w:rPr>
        <w:t>6</w:t>
      </w:r>
      <w:r w:rsidRPr="00AF73D3">
        <w:rPr>
          <w:rStyle w:val="reference"/>
          <w:color w:val="000000" w:themeColor="text1"/>
        </w:rPr>
        <w:t>:</w:t>
      </w:r>
      <w:r w:rsidRPr="00AF73D3">
        <w:rPr>
          <w:rStyle w:val="refpages"/>
          <w:color w:val="000000" w:themeColor="text1"/>
        </w:rPr>
        <w:t>51</w:t>
      </w:r>
      <w:proofErr w:type="gramEnd"/>
      <w:r w:rsidRPr="00AF73D3">
        <w:rPr>
          <w:rStyle w:val="refpages"/>
          <w:color w:val="000000" w:themeColor="text1"/>
        </w:rPr>
        <w:t>–53</w:t>
      </w:r>
    </w:p>
    <w:p w14:paraId="163D3E02" w14:textId="060CA1D6"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32" w:history="1">
        <w:r w:rsidR="00C5282B" w:rsidRPr="002C3C39">
          <w:rPr>
            <w:rStyle w:val="Hyperlink"/>
          </w:rPr>
          <w:t>https://doi.org/10.4103/2231-0770.179552</w:t>
        </w:r>
      </w:hyperlink>
    </w:p>
    <w:p w14:paraId="793CBFDC" w14:textId="77777777" w:rsidR="00C5282B" w:rsidRPr="00AF73D3" w:rsidRDefault="00C5282B" w:rsidP="00C5282B">
      <w:pPr>
        <w:spacing w:before="100" w:beforeAutospacing="1" w:after="100" w:afterAutospacing="1"/>
        <w:ind w:left="720"/>
        <w:rPr>
          <w:color w:val="000000" w:themeColor="text1"/>
        </w:rPr>
      </w:pPr>
    </w:p>
    <w:p w14:paraId="468080F5"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Tambucci</w:t>
      </w:r>
      <w:proofErr w:type="spellEnd"/>
      <w:r w:rsidRPr="00AF73D3">
        <w:rPr>
          <w:rStyle w:val="refauthors"/>
          <w:color w:val="000000" w:themeColor="text1"/>
        </w:rPr>
        <w:t xml:space="preserve">, R., Angelino, G., De Angelis, P., </w:t>
      </w:r>
      <w:proofErr w:type="spellStart"/>
      <w:r w:rsidRPr="00AF73D3">
        <w:rPr>
          <w:rStyle w:val="refauthors"/>
          <w:color w:val="000000" w:themeColor="text1"/>
        </w:rPr>
        <w:t>Torroni</w:t>
      </w:r>
      <w:proofErr w:type="spellEnd"/>
      <w:r w:rsidRPr="00AF73D3">
        <w:rPr>
          <w:rStyle w:val="refauthors"/>
          <w:color w:val="000000" w:themeColor="text1"/>
        </w:rPr>
        <w:t xml:space="preserve">, F., </w:t>
      </w:r>
      <w:proofErr w:type="spellStart"/>
      <w:r w:rsidRPr="00AF73D3">
        <w:rPr>
          <w:rStyle w:val="refauthors"/>
          <w:color w:val="000000" w:themeColor="text1"/>
        </w:rPr>
        <w:t>Caldaro</w:t>
      </w:r>
      <w:proofErr w:type="spellEnd"/>
      <w:r w:rsidRPr="00AF73D3">
        <w:rPr>
          <w:rStyle w:val="refauthors"/>
          <w:color w:val="000000" w:themeColor="text1"/>
        </w:rPr>
        <w:t xml:space="preserve">, T., </w:t>
      </w:r>
      <w:proofErr w:type="spellStart"/>
      <w:r w:rsidRPr="00AF73D3">
        <w:rPr>
          <w:rStyle w:val="refauthors"/>
          <w:color w:val="000000" w:themeColor="text1"/>
        </w:rPr>
        <w:t>Balassone</w:t>
      </w:r>
      <w:proofErr w:type="spellEnd"/>
      <w:r w:rsidRPr="00AF73D3">
        <w:rPr>
          <w:rStyle w:val="refauthors"/>
          <w:color w:val="000000" w:themeColor="text1"/>
        </w:rPr>
        <w:t xml:space="preserve">, V., </w:t>
      </w:r>
      <w:proofErr w:type="spellStart"/>
      <w:r w:rsidRPr="00AF73D3">
        <w:rPr>
          <w:rStyle w:val="refauthors"/>
          <w:color w:val="000000" w:themeColor="text1"/>
        </w:rPr>
        <w:t>Contini</w:t>
      </w:r>
      <w:proofErr w:type="spellEnd"/>
      <w:r w:rsidRPr="00AF73D3">
        <w:rPr>
          <w:rStyle w:val="refauthors"/>
          <w:color w:val="000000" w:themeColor="text1"/>
        </w:rPr>
        <w:t xml:space="preserve">, A.C., Romeo, E., Rea, F., </w:t>
      </w:r>
      <w:proofErr w:type="spellStart"/>
      <w:r w:rsidRPr="00AF73D3">
        <w:rPr>
          <w:rStyle w:val="refauthors"/>
          <w:color w:val="000000" w:themeColor="text1"/>
        </w:rPr>
        <w:t>Faraci</w:t>
      </w:r>
      <w:proofErr w:type="spellEnd"/>
      <w:r w:rsidRPr="00AF73D3">
        <w:rPr>
          <w:rStyle w:val="refauthors"/>
          <w:color w:val="000000" w:themeColor="text1"/>
        </w:rPr>
        <w:t xml:space="preserve">, S., Federici di </w:t>
      </w:r>
      <w:proofErr w:type="spellStart"/>
      <w:r w:rsidRPr="00AF73D3">
        <w:rPr>
          <w:rStyle w:val="refauthors"/>
          <w:color w:val="000000" w:themeColor="text1"/>
        </w:rPr>
        <w:t>Abriola</w:t>
      </w:r>
      <w:proofErr w:type="spellEnd"/>
      <w:r w:rsidRPr="00AF73D3">
        <w:rPr>
          <w:rStyle w:val="refauthors"/>
          <w:color w:val="000000" w:themeColor="text1"/>
        </w:rPr>
        <w:t xml:space="preserve">, G., </w:t>
      </w:r>
      <w:proofErr w:type="spellStart"/>
      <w:r w:rsidRPr="00AF73D3">
        <w:rPr>
          <w:rStyle w:val="refauthors"/>
          <w:color w:val="000000" w:themeColor="text1"/>
        </w:rPr>
        <w:t>Dall’Oglio</w:t>
      </w:r>
      <w:proofErr w:type="spellEnd"/>
      <w:r w:rsidRPr="00AF73D3">
        <w:rPr>
          <w:rStyle w:val="refauthors"/>
          <w:color w:val="000000" w:themeColor="text1"/>
        </w:rPr>
        <w:t xml:space="preserve">, L. </w:t>
      </w:r>
      <w:r w:rsidRPr="00AF73D3">
        <w:rPr>
          <w:rStyle w:val="reftitle"/>
          <w:color w:val="000000" w:themeColor="text1"/>
        </w:rPr>
        <w:t xml:space="preserve">Anastomotic strictures after </w:t>
      </w:r>
      <w:proofErr w:type="spellStart"/>
      <w:r w:rsidRPr="00AF73D3">
        <w:rPr>
          <w:rStyle w:val="reftitle"/>
          <w:color w:val="000000" w:themeColor="text1"/>
        </w:rPr>
        <w:t>esophageal</w:t>
      </w:r>
      <w:proofErr w:type="spellEnd"/>
      <w:r w:rsidRPr="00AF73D3">
        <w:rPr>
          <w:rStyle w:val="reftitle"/>
          <w:color w:val="000000" w:themeColor="text1"/>
        </w:rPr>
        <w:t xml:space="preserve"> atresia repair: incidence, investigations, and management, including treatment of refractory and recurrent strictures. </w:t>
      </w:r>
      <w:r w:rsidRPr="00AF73D3">
        <w:rPr>
          <w:rStyle w:val="refseriestitle"/>
          <w:color w:val="000000" w:themeColor="text1"/>
        </w:rPr>
        <w:t>Front. Pediatr.</w:t>
      </w:r>
      <w:r w:rsidRPr="00AF73D3">
        <w:rPr>
          <w:rStyle w:val="reference"/>
          <w:color w:val="000000" w:themeColor="text1"/>
        </w:rPr>
        <w:t xml:space="preserve"> </w:t>
      </w:r>
      <w:r w:rsidRPr="00AF73D3">
        <w:rPr>
          <w:rStyle w:val="refseriesdate"/>
          <w:color w:val="000000" w:themeColor="text1"/>
        </w:rPr>
        <w:t>2017</w:t>
      </w:r>
      <w:r w:rsidRPr="00AF73D3">
        <w:rPr>
          <w:rStyle w:val="reference"/>
          <w:color w:val="000000" w:themeColor="text1"/>
        </w:rPr>
        <w:t>;</w:t>
      </w:r>
      <w:r w:rsidRPr="00AF73D3">
        <w:rPr>
          <w:rStyle w:val="refseriesvolume"/>
          <w:color w:val="000000" w:themeColor="text1"/>
        </w:rPr>
        <w:t>5</w:t>
      </w:r>
    </w:p>
    <w:p w14:paraId="115D5B5C" w14:textId="47689180"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33" w:history="1">
        <w:r w:rsidR="00C5282B" w:rsidRPr="002C3C39">
          <w:rPr>
            <w:rStyle w:val="Hyperlink"/>
          </w:rPr>
          <w:t>https://doi.org/10.3389/fped.2017.00120</w:t>
        </w:r>
      </w:hyperlink>
    </w:p>
    <w:p w14:paraId="233FC491" w14:textId="77777777" w:rsidR="00C5282B" w:rsidRPr="00AF73D3" w:rsidRDefault="00C5282B" w:rsidP="00C5282B">
      <w:pPr>
        <w:spacing w:before="100" w:beforeAutospacing="1" w:after="100" w:afterAutospacing="1"/>
        <w:ind w:left="720"/>
        <w:rPr>
          <w:color w:val="000000" w:themeColor="text1"/>
        </w:rPr>
      </w:pPr>
    </w:p>
    <w:p w14:paraId="45868C6C"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Lévesque, D., Baird, R., </w:t>
      </w:r>
      <w:proofErr w:type="spellStart"/>
      <w:r w:rsidRPr="00AF73D3">
        <w:rPr>
          <w:rStyle w:val="refauthors"/>
          <w:color w:val="000000" w:themeColor="text1"/>
        </w:rPr>
        <w:t>Laberge</w:t>
      </w:r>
      <w:proofErr w:type="spellEnd"/>
      <w:r w:rsidRPr="00AF73D3">
        <w:rPr>
          <w:rStyle w:val="refauthors"/>
          <w:color w:val="000000" w:themeColor="text1"/>
        </w:rPr>
        <w:t xml:space="preserve">, J.-M. </w:t>
      </w:r>
      <w:r w:rsidRPr="00AF73D3">
        <w:rPr>
          <w:rStyle w:val="reftitle"/>
          <w:color w:val="000000" w:themeColor="text1"/>
        </w:rPr>
        <w:t>Refractory strictures post-</w:t>
      </w:r>
      <w:proofErr w:type="spellStart"/>
      <w:r w:rsidRPr="00AF73D3">
        <w:rPr>
          <w:rStyle w:val="reftitle"/>
          <w:color w:val="000000" w:themeColor="text1"/>
        </w:rPr>
        <w:t>esophageal</w:t>
      </w:r>
      <w:proofErr w:type="spellEnd"/>
      <w:r w:rsidRPr="00AF73D3">
        <w:rPr>
          <w:rStyle w:val="reftitle"/>
          <w:color w:val="000000" w:themeColor="text1"/>
        </w:rPr>
        <w:t xml:space="preserve"> atresia repair: what are the </w:t>
      </w:r>
      <w:proofErr w:type="gramStart"/>
      <w:r w:rsidRPr="00AF73D3">
        <w:rPr>
          <w:rStyle w:val="reftitle"/>
          <w:color w:val="000000" w:themeColor="text1"/>
        </w:rPr>
        <w:t>alternatives?.</w:t>
      </w:r>
      <w:proofErr w:type="gramEnd"/>
      <w:r w:rsidRPr="00AF73D3">
        <w:rPr>
          <w:rStyle w:val="reftitle"/>
          <w:color w:val="000000" w:themeColor="text1"/>
        </w:rPr>
        <w:t xml:space="preserve"> </w:t>
      </w:r>
      <w:r w:rsidRPr="00AF73D3">
        <w:rPr>
          <w:rStyle w:val="refseriestitle"/>
          <w:color w:val="000000" w:themeColor="text1"/>
        </w:rPr>
        <w:t xml:space="preserve">Dis. </w:t>
      </w:r>
      <w:proofErr w:type="spellStart"/>
      <w:r w:rsidRPr="00AF73D3">
        <w:rPr>
          <w:rStyle w:val="refseriestitle"/>
          <w:color w:val="000000" w:themeColor="text1"/>
        </w:rPr>
        <w:t>Esophagus</w:t>
      </w:r>
      <w:proofErr w:type="spellEnd"/>
      <w:r w:rsidRPr="00AF73D3">
        <w:rPr>
          <w:rStyle w:val="reference"/>
          <w:color w:val="000000" w:themeColor="text1"/>
        </w:rPr>
        <w:t xml:space="preserve">. </w:t>
      </w:r>
      <w:proofErr w:type="gramStart"/>
      <w:r w:rsidRPr="00AF73D3">
        <w:rPr>
          <w:rStyle w:val="refseriesdate"/>
          <w:color w:val="000000" w:themeColor="text1"/>
        </w:rPr>
        <w:t>2013</w:t>
      </w:r>
      <w:r w:rsidRPr="00AF73D3">
        <w:rPr>
          <w:rStyle w:val="reference"/>
          <w:color w:val="000000" w:themeColor="text1"/>
        </w:rPr>
        <w:t>;</w:t>
      </w:r>
      <w:r w:rsidRPr="00AF73D3">
        <w:rPr>
          <w:rStyle w:val="refseriesvolume"/>
          <w:color w:val="000000" w:themeColor="text1"/>
        </w:rPr>
        <w:t>26</w:t>
      </w:r>
      <w:r w:rsidRPr="00AF73D3">
        <w:rPr>
          <w:rStyle w:val="reference"/>
          <w:color w:val="000000" w:themeColor="text1"/>
        </w:rPr>
        <w:t>:</w:t>
      </w:r>
      <w:r w:rsidRPr="00AF73D3">
        <w:rPr>
          <w:rStyle w:val="refpages"/>
          <w:color w:val="000000" w:themeColor="text1"/>
        </w:rPr>
        <w:t>382</w:t>
      </w:r>
      <w:proofErr w:type="gramEnd"/>
      <w:r w:rsidRPr="00AF73D3">
        <w:rPr>
          <w:rStyle w:val="refpages"/>
          <w:color w:val="000000" w:themeColor="text1"/>
        </w:rPr>
        <w:t>–387</w:t>
      </w:r>
    </w:p>
    <w:p w14:paraId="244817B2" w14:textId="00480BBF"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34" w:history="1">
        <w:r w:rsidR="00C5282B" w:rsidRPr="002C3C39">
          <w:rPr>
            <w:rStyle w:val="Hyperlink"/>
          </w:rPr>
          <w:t>https://doi.org/10.1111/dote.12047</w:t>
        </w:r>
      </w:hyperlink>
    </w:p>
    <w:p w14:paraId="5D701571" w14:textId="77777777" w:rsidR="00C5282B" w:rsidRPr="00AF73D3" w:rsidRDefault="00C5282B" w:rsidP="00C5282B">
      <w:pPr>
        <w:spacing w:before="100" w:beforeAutospacing="1" w:after="100" w:afterAutospacing="1"/>
        <w:ind w:left="720"/>
        <w:rPr>
          <w:color w:val="000000" w:themeColor="text1"/>
        </w:rPr>
      </w:pPr>
    </w:p>
    <w:p w14:paraId="7CC1D882"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lastRenderedPageBreak/>
        <w:t xml:space="preserve">Hoang, D., Perrault, D., </w:t>
      </w:r>
      <w:proofErr w:type="spellStart"/>
      <w:r w:rsidRPr="00AF73D3">
        <w:rPr>
          <w:rStyle w:val="refauthors"/>
          <w:color w:val="000000" w:themeColor="text1"/>
        </w:rPr>
        <w:t>Stevanovic</w:t>
      </w:r>
      <w:proofErr w:type="spellEnd"/>
      <w:r w:rsidRPr="00AF73D3">
        <w:rPr>
          <w:rStyle w:val="refauthors"/>
          <w:color w:val="000000" w:themeColor="text1"/>
        </w:rPr>
        <w:t xml:space="preserve">, M., </w:t>
      </w:r>
      <w:proofErr w:type="spellStart"/>
      <w:r w:rsidRPr="00AF73D3">
        <w:rPr>
          <w:rStyle w:val="refauthors"/>
          <w:color w:val="000000" w:themeColor="text1"/>
        </w:rPr>
        <w:t>Ghiassi</w:t>
      </w:r>
      <w:proofErr w:type="spellEnd"/>
      <w:r w:rsidRPr="00AF73D3">
        <w:rPr>
          <w:rStyle w:val="refauthors"/>
          <w:color w:val="000000" w:themeColor="text1"/>
        </w:rPr>
        <w:t xml:space="preserve">, A. </w:t>
      </w:r>
      <w:r w:rsidRPr="00AF73D3">
        <w:rPr>
          <w:rStyle w:val="reftitle"/>
          <w:color w:val="000000" w:themeColor="text1"/>
        </w:rPr>
        <w:t xml:space="preserve">Surgical applications of three-dimensional printing: a review of the current literature &amp; how to get started. </w:t>
      </w:r>
      <w:r w:rsidRPr="00AF73D3">
        <w:rPr>
          <w:rStyle w:val="refseriestitle"/>
          <w:color w:val="000000" w:themeColor="text1"/>
        </w:rPr>
        <w:t>Ann. Transl. Med.</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r w:rsidRPr="00AF73D3">
        <w:rPr>
          <w:rStyle w:val="refseriesvolume"/>
          <w:color w:val="000000" w:themeColor="text1"/>
        </w:rPr>
        <w:t>4</w:t>
      </w:r>
      <w:r w:rsidRPr="00AF73D3">
        <w:rPr>
          <w:rStyle w:val="reference"/>
          <w:color w:val="000000" w:themeColor="text1"/>
        </w:rPr>
        <w:t>:</w:t>
      </w:r>
      <w:r w:rsidRPr="00AF73D3">
        <w:rPr>
          <w:rStyle w:val="refpages"/>
          <w:color w:val="000000" w:themeColor="text1"/>
        </w:rPr>
        <w:t>456</w:t>
      </w:r>
      <w:proofErr w:type="gramEnd"/>
    </w:p>
    <w:p w14:paraId="00C8356F" w14:textId="496F739A"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35" w:history="1">
        <w:r w:rsidR="00C5282B" w:rsidRPr="002C3C39">
          <w:rPr>
            <w:rStyle w:val="Hyperlink"/>
          </w:rPr>
          <w:t>https://doi.org/10.21037/atm.2016.12.18</w:t>
        </w:r>
      </w:hyperlink>
    </w:p>
    <w:p w14:paraId="5214738E" w14:textId="77777777" w:rsidR="00C5282B" w:rsidRPr="00AF73D3" w:rsidRDefault="00C5282B" w:rsidP="00C5282B">
      <w:pPr>
        <w:spacing w:before="100" w:beforeAutospacing="1" w:after="100" w:afterAutospacing="1"/>
        <w:ind w:left="720"/>
        <w:rPr>
          <w:color w:val="000000" w:themeColor="text1"/>
        </w:rPr>
      </w:pPr>
    </w:p>
    <w:p w14:paraId="1BB69288"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Temiz</w:t>
      </w:r>
      <w:proofErr w:type="spellEnd"/>
      <w:r w:rsidRPr="00AF73D3">
        <w:rPr>
          <w:rStyle w:val="refauthors"/>
          <w:color w:val="000000" w:themeColor="text1"/>
        </w:rPr>
        <w:t xml:space="preserve">, A., </w:t>
      </w:r>
      <w:proofErr w:type="spellStart"/>
      <w:r w:rsidRPr="00AF73D3">
        <w:rPr>
          <w:rStyle w:val="refauthors"/>
          <w:color w:val="000000" w:themeColor="text1"/>
        </w:rPr>
        <w:t>Oguzkurt</w:t>
      </w:r>
      <w:proofErr w:type="spellEnd"/>
      <w:r w:rsidRPr="00AF73D3">
        <w:rPr>
          <w:rStyle w:val="refauthors"/>
          <w:color w:val="000000" w:themeColor="text1"/>
        </w:rPr>
        <w:t xml:space="preserve">, P., </w:t>
      </w:r>
      <w:proofErr w:type="spellStart"/>
      <w:r w:rsidRPr="00AF73D3">
        <w:rPr>
          <w:rStyle w:val="refauthors"/>
          <w:color w:val="000000" w:themeColor="text1"/>
        </w:rPr>
        <w:t>Ezer</w:t>
      </w:r>
      <w:proofErr w:type="spellEnd"/>
      <w:r w:rsidRPr="00AF73D3">
        <w:rPr>
          <w:rStyle w:val="refauthors"/>
          <w:color w:val="000000" w:themeColor="text1"/>
        </w:rPr>
        <w:t xml:space="preserve">, S.S., </w:t>
      </w:r>
      <w:proofErr w:type="spellStart"/>
      <w:r w:rsidRPr="00AF73D3">
        <w:rPr>
          <w:rStyle w:val="refauthors"/>
          <w:color w:val="000000" w:themeColor="text1"/>
        </w:rPr>
        <w:t>Ince</w:t>
      </w:r>
      <w:proofErr w:type="spellEnd"/>
      <w:r w:rsidRPr="00AF73D3">
        <w:rPr>
          <w:rStyle w:val="refauthors"/>
          <w:color w:val="000000" w:themeColor="text1"/>
        </w:rPr>
        <w:t xml:space="preserve">, E., Gezer, H.O., </w:t>
      </w:r>
      <w:proofErr w:type="spellStart"/>
      <w:r w:rsidRPr="00AF73D3">
        <w:rPr>
          <w:rStyle w:val="refauthors"/>
          <w:color w:val="000000" w:themeColor="text1"/>
        </w:rPr>
        <w:t>Hicsonmez</w:t>
      </w:r>
      <w:proofErr w:type="spellEnd"/>
      <w:r w:rsidRPr="00AF73D3">
        <w:rPr>
          <w:rStyle w:val="refauthors"/>
          <w:color w:val="000000" w:themeColor="text1"/>
        </w:rPr>
        <w:t xml:space="preserve">, A. </w:t>
      </w:r>
      <w:r w:rsidRPr="00AF73D3">
        <w:rPr>
          <w:rStyle w:val="reftitle"/>
          <w:color w:val="000000" w:themeColor="text1"/>
        </w:rPr>
        <w:t xml:space="preserve">Management of pyloric stricture in children: endoscopic balloon dilatation and surgery. </w:t>
      </w:r>
      <w:r w:rsidRPr="00AF73D3">
        <w:rPr>
          <w:rStyle w:val="refseriestitle"/>
          <w:color w:val="000000" w:themeColor="text1"/>
        </w:rPr>
        <w:t xml:space="preserve">Surg. </w:t>
      </w:r>
      <w:proofErr w:type="spellStart"/>
      <w:r w:rsidRPr="00AF73D3">
        <w:rPr>
          <w:rStyle w:val="refseriestitle"/>
          <w:color w:val="000000" w:themeColor="text1"/>
        </w:rPr>
        <w:t>Endosc</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2012</w:t>
      </w:r>
      <w:r w:rsidRPr="00AF73D3">
        <w:rPr>
          <w:rStyle w:val="reference"/>
          <w:color w:val="000000" w:themeColor="text1"/>
        </w:rPr>
        <w:t>;</w:t>
      </w:r>
      <w:r w:rsidRPr="00AF73D3">
        <w:rPr>
          <w:rStyle w:val="refseriesvolume"/>
          <w:color w:val="000000" w:themeColor="text1"/>
        </w:rPr>
        <w:t>26</w:t>
      </w:r>
      <w:r w:rsidRPr="00AF73D3">
        <w:rPr>
          <w:rStyle w:val="reference"/>
          <w:color w:val="000000" w:themeColor="text1"/>
        </w:rPr>
        <w:t>:</w:t>
      </w:r>
      <w:r w:rsidRPr="00AF73D3">
        <w:rPr>
          <w:rStyle w:val="refpages"/>
          <w:color w:val="000000" w:themeColor="text1"/>
        </w:rPr>
        <w:t>1903</w:t>
      </w:r>
      <w:proofErr w:type="gramEnd"/>
      <w:r w:rsidRPr="00AF73D3">
        <w:rPr>
          <w:rStyle w:val="refpages"/>
          <w:color w:val="000000" w:themeColor="text1"/>
        </w:rPr>
        <w:t>–1908</w:t>
      </w:r>
    </w:p>
    <w:p w14:paraId="5BCBC490" w14:textId="43CC4F82"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36" w:history="1">
        <w:r w:rsidR="00C5282B" w:rsidRPr="002C3C39">
          <w:rPr>
            <w:rStyle w:val="Hyperlink"/>
          </w:rPr>
          <w:t>https://doi.org/10.1007/s00464-011-2124-0</w:t>
        </w:r>
      </w:hyperlink>
    </w:p>
    <w:p w14:paraId="1C5A07C5" w14:textId="77777777" w:rsidR="00C5282B" w:rsidRPr="00AF73D3" w:rsidRDefault="00C5282B" w:rsidP="00C5282B">
      <w:pPr>
        <w:spacing w:before="100" w:beforeAutospacing="1" w:after="100" w:afterAutospacing="1"/>
        <w:ind w:left="720"/>
        <w:rPr>
          <w:color w:val="000000" w:themeColor="text1"/>
        </w:rPr>
      </w:pPr>
    </w:p>
    <w:p w14:paraId="3340B629"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Nasr, A., Ein, S.H., Connolly, B. </w:t>
      </w:r>
      <w:r w:rsidRPr="00AF73D3">
        <w:rPr>
          <w:rStyle w:val="reftitle"/>
          <w:color w:val="000000" w:themeColor="text1"/>
        </w:rPr>
        <w:t xml:space="preserve">Recurrent pyloric stenosis: to dilate or operate? A preliminary report. </w:t>
      </w:r>
      <w:r w:rsidRPr="00AF73D3">
        <w:rPr>
          <w:rStyle w:val="refseriestitle"/>
          <w:color w:val="000000" w:themeColor="text1"/>
        </w:rPr>
        <w:t>J. Pediatr. Surg.</w:t>
      </w:r>
      <w:r w:rsidRPr="00AF73D3">
        <w:rPr>
          <w:rStyle w:val="reference"/>
          <w:color w:val="000000" w:themeColor="text1"/>
        </w:rPr>
        <w:t xml:space="preserve"> </w:t>
      </w:r>
      <w:r w:rsidRPr="00AF73D3">
        <w:rPr>
          <w:rStyle w:val="refseriesdate"/>
          <w:color w:val="000000" w:themeColor="text1"/>
        </w:rPr>
        <w:t>2008</w:t>
      </w:r>
      <w:r w:rsidRPr="00AF73D3">
        <w:rPr>
          <w:rStyle w:val="reference"/>
          <w:color w:val="000000" w:themeColor="text1"/>
        </w:rPr>
        <w:t>;</w:t>
      </w:r>
      <w:proofErr w:type="gramStart"/>
      <w:r w:rsidRPr="00AF73D3">
        <w:rPr>
          <w:rStyle w:val="refseriesvolume"/>
          <w:color w:val="000000" w:themeColor="text1"/>
        </w:rPr>
        <w:t>43</w:t>
      </w:r>
      <w:r w:rsidRPr="00AF73D3">
        <w:rPr>
          <w:rStyle w:val="reference"/>
          <w:color w:val="000000" w:themeColor="text1"/>
        </w:rPr>
        <w:t>:</w:t>
      </w:r>
      <w:r w:rsidRPr="00AF73D3">
        <w:rPr>
          <w:rStyle w:val="refpages"/>
          <w:color w:val="000000" w:themeColor="text1"/>
        </w:rPr>
        <w:t>e</w:t>
      </w:r>
      <w:proofErr w:type="gramEnd"/>
      <w:r w:rsidRPr="00AF73D3">
        <w:rPr>
          <w:rStyle w:val="refpages"/>
          <w:color w:val="000000" w:themeColor="text1"/>
        </w:rPr>
        <w:t>17–20</w:t>
      </w:r>
    </w:p>
    <w:p w14:paraId="0CD4194E" w14:textId="7F9ECFCC"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37" w:history="1">
        <w:r w:rsidR="00C5282B" w:rsidRPr="002C3C39">
          <w:rPr>
            <w:rStyle w:val="Hyperlink"/>
          </w:rPr>
          <w:t>https://doi.org/10.1016/j.jpedsurg.2007.10.039</w:t>
        </w:r>
      </w:hyperlink>
    </w:p>
    <w:p w14:paraId="65493ADC" w14:textId="77777777" w:rsidR="00C5282B" w:rsidRPr="00AF73D3" w:rsidRDefault="00C5282B" w:rsidP="00C5282B">
      <w:pPr>
        <w:spacing w:before="100" w:beforeAutospacing="1" w:after="100" w:afterAutospacing="1"/>
        <w:ind w:left="720"/>
        <w:rPr>
          <w:color w:val="000000" w:themeColor="text1"/>
        </w:rPr>
      </w:pPr>
    </w:p>
    <w:p w14:paraId="3FDB8480"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van Rijn, R.R., van </w:t>
      </w:r>
      <w:proofErr w:type="spellStart"/>
      <w:r w:rsidRPr="00AF73D3">
        <w:rPr>
          <w:rStyle w:val="refauthors"/>
          <w:color w:val="000000" w:themeColor="text1"/>
        </w:rPr>
        <w:t>Lienden</w:t>
      </w:r>
      <w:proofErr w:type="spellEnd"/>
      <w:r w:rsidRPr="00AF73D3">
        <w:rPr>
          <w:rStyle w:val="refauthors"/>
          <w:color w:val="000000" w:themeColor="text1"/>
        </w:rPr>
        <w:t xml:space="preserve">, K.P., Fortuna, T.L., D’Alessandro, L.C.A., Connolly, B., Chait, P.G. </w:t>
      </w:r>
      <w:r w:rsidRPr="00AF73D3">
        <w:rPr>
          <w:rStyle w:val="reftitle"/>
          <w:color w:val="000000" w:themeColor="text1"/>
        </w:rPr>
        <w:t xml:space="preserve">Membranous duodenal stenosis: initial experience with balloon dilatation in four children. </w:t>
      </w:r>
      <w:r w:rsidRPr="00AF73D3">
        <w:rPr>
          <w:rStyle w:val="refseriestitle"/>
          <w:color w:val="000000" w:themeColor="text1"/>
        </w:rPr>
        <w:t>Eur. J. Radiol.</w:t>
      </w:r>
      <w:r w:rsidRPr="00AF73D3">
        <w:rPr>
          <w:rStyle w:val="reference"/>
          <w:color w:val="000000" w:themeColor="text1"/>
        </w:rPr>
        <w:t xml:space="preserve"> </w:t>
      </w:r>
      <w:proofErr w:type="gramStart"/>
      <w:r w:rsidRPr="00AF73D3">
        <w:rPr>
          <w:rStyle w:val="refseriesdate"/>
          <w:color w:val="000000" w:themeColor="text1"/>
        </w:rPr>
        <w:t>2006</w:t>
      </w:r>
      <w:r w:rsidRPr="00AF73D3">
        <w:rPr>
          <w:rStyle w:val="reference"/>
          <w:color w:val="000000" w:themeColor="text1"/>
        </w:rPr>
        <w:t>;</w:t>
      </w:r>
      <w:r w:rsidRPr="00AF73D3">
        <w:rPr>
          <w:rStyle w:val="refseriesvolume"/>
          <w:color w:val="000000" w:themeColor="text1"/>
        </w:rPr>
        <w:t>59</w:t>
      </w:r>
      <w:r w:rsidRPr="00AF73D3">
        <w:rPr>
          <w:rStyle w:val="reference"/>
          <w:color w:val="000000" w:themeColor="text1"/>
        </w:rPr>
        <w:t>:</w:t>
      </w:r>
      <w:r w:rsidRPr="00AF73D3">
        <w:rPr>
          <w:rStyle w:val="refpages"/>
          <w:color w:val="000000" w:themeColor="text1"/>
        </w:rPr>
        <w:t>29</w:t>
      </w:r>
      <w:proofErr w:type="gramEnd"/>
      <w:r w:rsidRPr="00AF73D3">
        <w:rPr>
          <w:rStyle w:val="refpages"/>
          <w:color w:val="000000" w:themeColor="text1"/>
        </w:rPr>
        <w:t>–32</w:t>
      </w:r>
    </w:p>
    <w:p w14:paraId="67707F21" w14:textId="1229DE5B"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38" w:history="1">
        <w:r w:rsidR="00C5282B" w:rsidRPr="002C3C39">
          <w:rPr>
            <w:rStyle w:val="Hyperlink"/>
          </w:rPr>
          <w:t>https://doi.org/10.1016/j.ejrad.2006.03.015</w:t>
        </w:r>
      </w:hyperlink>
    </w:p>
    <w:p w14:paraId="386C28FB" w14:textId="77777777" w:rsidR="00C5282B" w:rsidRPr="00AF73D3" w:rsidRDefault="00C5282B" w:rsidP="00C5282B">
      <w:pPr>
        <w:spacing w:before="100" w:beforeAutospacing="1" w:after="100" w:afterAutospacing="1"/>
        <w:ind w:left="720"/>
        <w:rPr>
          <w:color w:val="000000" w:themeColor="text1"/>
        </w:rPr>
      </w:pPr>
    </w:p>
    <w:p w14:paraId="61C9F74B"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Diamond, I.R., Hayes-Jordan, A., Chait, P., Temple, M., Kim, P.C.W. </w:t>
      </w:r>
      <w:r w:rsidRPr="00AF73D3">
        <w:rPr>
          <w:rStyle w:val="reftitle"/>
          <w:color w:val="000000" w:themeColor="text1"/>
        </w:rPr>
        <w:t xml:space="preserve">A novel treatment of congenital duodenal stenosis: image-guided treatment of congenital and acquired bowel strictures in children. </w:t>
      </w:r>
      <w:r w:rsidRPr="00AF73D3">
        <w:rPr>
          <w:rStyle w:val="refseriestitle"/>
          <w:color w:val="000000" w:themeColor="text1"/>
        </w:rPr>
        <w:t xml:space="preserve">J. </w:t>
      </w:r>
      <w:proofErr w:type="spellStart"/>
      <w:r w:rsidRPr="00AF73D3">
        <w:rPr>
          <w:rStyle w:val="refseriestitle"/>
          <w:color w:val="000000" w:themeColor="text1"/>
        </w:rPr>
        <w:t>Laparoendosc</w:t>
      </w:r>
      <w:proofErr w:type="spellEnd"/>
      <w:r w:rsidRPr="00AF73D3">
        <w:rPr>
          <w:rStyle w:val="refseriestitle"/>
          <w:color w:val="000000" w:themeColor="text1"/>
        </w:rPr>
        <w:t>. Adv. Surg. Tech. A</w:t>
      </w:r>
      <w:r w:rsidRPr="00AF73D3">
        <w:rPr>
          <w:rStyle w:val="reference"/>
          <w:color w:val="000000" w:themeColor="text1"/>
        </w:rPr>
        <w:t xml:space="preserve">. </w:t>
      </w:r>
      <w:proofErr w:type="gramStart"/>
      <w:r w:rsidRPr="00AF73D3">
        <w:rPr>
          <w:rStyle w:val="refseriesdate"/>
          <w:color w:val="000000" w:themeColor="text1"/>
        </w:rPr>
        <w:t>2006</w:t>
      </w:r>
      <w:r w:rsidRPr="00AF73D3">
        <w:rPr>
          <w:rStyle w:val="reference"/>
          <w:color w:val="000000" w:themeColor="text1"/>
        </w:rPr>
        <w:t>;</w:t>
      </w:r>
      <w:r w:rsidRPr="00AF73D3">
        <w:rPr>
          <w:rStyle w:val="refseriesvolume"/>
          <w:color w:val="000000" w:themeColor="text1"/>
        </w:rPr>
        <w:t>16</w:t>
      </w:r>
      <w:r w:rsidRPr="00AF73D3">
        <w:rPr>
          <w:rStyle w:val="reference"/>
          <w:color w:val="000000" w:themeColor="text1"/>
        </w:rPr>
        <w:t>:</w:t>
      </w:r>
      <w:r w:rsidRPr="00AF73D3">
        <w:rPr>
          <w:rStyle w:val="refpages"/>
          <w:color w:val="000000" w:themeColor="text1"/>
        </w:rPr>
        <w:t>317</w:t>
      </w:r>
      <w:proofErr w:type="gramEnd"/>
      <w:r w:rsidRPr="00AF73D3">
        <w:rPr>
          <w:rStyle w:val="refpages"/>
          <w:color w:val="000000" w:themeColor="text1"/>
        </w:rPr>
        <w:t>–320</w:t>
      </w:r>
    </w:p>
    <w:p w14:paraId="33F452F9" w14:textId="08B500D4"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39" w:history="1">
        <w:r w:rsidR="00C5282B" w:rsidRPr="002C3C39">
          <w:rPr>
            <w:rStyle w:val="Hyperlink"/>
          </w:rPr>
          <w:t>https://doi.org/10.1089/lap.2006.16.317</w:t>
        </w:r>
      </w:hyperlink>
    </w:p>
    <w:p w14:paraId="6653542A" w14:textId="77777777" w:rsidR="00C5282B" w:rsidRPr="00AF73D3" w:rsidRDefault="00C5282B" w:rsidP="00C5282B">
      <w:pPr>
        <w:spacing w:before="100" w:beforeAutospacing="1" w:after="100" w:afterAutospacing="1"/>
        <w:ind w:left="720"/>
        <w:rPr>
          <w:color w:val="000000" w:themeColor="text1"/>
        </w:rPr>
      </w:pPr>
    </w:p>
    <w:p w14:paraId="3F1FECA7"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Crowley, J.J., Hogan, M.J., </w:t>
      </w:r>
      <w:proofErr w:type="spellStart"/>
      <w:r w:rsidRPr="00AF73D3">
        <w:rPr>
          <w:rStyle w:val="refauthors"/>
          <w:color w:val="000000" w:themeColor="text1"/>
        </w:rPr>
        <w:t>Towbin</w:t>
      </w:r>
      <w:proofErr w:type="spellEnd"/>
      <w:r w:rsidRPr="00AF73D3">
        <w:rPr>
          <w:rStyle w:val="refauthors"/>
          <w:color w:val="000000" w:themeColor="text1"/>
        </w:rPr>
        <w:t xml:space="preserve">, R.B., Saad, W.E., Baskin, K.M., Marie Cahill, A., </w:t>
      </w:r>
      <w:proofErr w:type="spellStart"/>
      <w:r w:rsidRPr="00AF73D3">
        <w:rPr>
          <w:rStyle w:val="refauthors"/>
          <w:color w:val="000000" w:themeColor="text1"/>
        </w:rPr>
        <w:t>Caplin</w:t>
      </w:r>
      <w:proofErr w:type="spellEnd"/>
      <w:r w:rsidRPr="00AF73D3">
        <w:rPr>
          <w:rStyle w:val="refauthors"/>
          <w:color w:val="000000" w:themeColor="text1"/>
        </w:rPr>
        <w:t xml:space="preserve">, D.M., Connolly, B.L., </w:t>
      </w:r>
      <w:proofErr w:type="spellStart"/>
      <w:r w:rsidRPr="00AF73D3">
        <w:rPr>
          <w:rStyle w:val="refauthors"/>
          <w:color w:val="000000" w:themeColor="text1"/>
        </w:rPr>
        <w:t>Kalva</w:t>
      </w:r>
      <w:proofErr w:type="spellEnd"/>
      <w:r w:rsidRPr="00AF73D3">
        <w:rPr>
          <w:rStyle w:val="refauthors"/>
          <w:color w:val="000000" w:themeColor="text1"/>
        </w:rPr>
        <w:t xml:space="preserve">, S.P., Krishnamurthy, V., </w:t>
      </w:r>
      <w:proofErr w:type="spellStart"/>
      <w:r w:rsidRPr="00AF73D3">
        <w:rPr>
          <w:rStyle w:val="refauthors"/>
          <w:color w:val="000000" w:themeColor="text1"/>
        </w:rPr>
        <w:t>Marshalleck</w:t>
      </w:r>
      <w:proofErr w:type="spellEnd"/>
      <w:r w:rsidRPr="00AF73D3">
        <w:rPr>
          <w:rStyle w:val="refauthors"/>
          <w:color w:val="000000" w:themeColor="text1"/>
        </w:rPr>
        <w:t xml:space="preserve">, F.E., Roebuck, D.J., Saad, N.E., Salazar, G.M., Stokes, L.S., Temple, M.J., Gregory Walker, T., Nikolic, B. </w:t>
      </w:r>
      <w:r w:rsidRPr="00AF73D3">
        <w:rPr>
          <w:rStyle w:val="reftitle"/>
          <w:color w:val="000000" w:themeColor="text1"/>
        </w:rPr>
        <w:t xml:space="preserve">Quality improvement guidelines for pediatric gastrostomy and gastrojejunostomy tube placement. </w:t>
      </w:r>
      <w:r w:rsidRPr="00AF73D3">
        <w:rPr>
          <w:rStyle w:val="refseriestitle"/>
          <w:color w:val="000000" w:themeColor="text1"/>
        </w:rPr>
        <w:t>J. Vasc. Interv. Radiol.</w:t>
      </w:r>
      <w:r w:rsidRPr="00AF73D3">
        <w:rPr>
          <w:rStyle w:val="reference"/>
          <w:color w:val="000000" w:themeColor="text1"/>
        </w:rPr>
        <w:t xml:space="preserve"> </w:t>
      </w:r>
      <w:proofErr w:type="gramStart"/>
      <w:r w:rsidRPr="00AF73D3">
        <w:rPr>
          <w:rStyle w:val="refseriesdate"/>
          <w:color w:val="000000" w:themeColor="text1"/>
        </w:rPr>
        <w:t>2014</w:t>
      </w:r>
      <w:r w:rsidRPr="00AF73D3">
        <w:rPr>
          <w:rStyle w:val="reference"/>
          <w:color w:val="000000" w:themeColor="text1"/>
        </w:rPr>
        <w:t>;</w:t>
      </w:r>
      <w:r w:rsidRPr="00AF73D3">
        <w:rPr>
          <w:rStyle w:val="refseriesvolume"/>
          <w:color w:val="000000" w:themeColor="text1"/>
        </w:rPr>
        <w:t>25</w:t>
      </w:r>
      <w:r w:rsidRPr="00AF73D3">
        <w:rPr>
          <w:rStyle w:val="reference"/>
          <w:color w:val="000000" w:themeColor="text1"/>
        </w:rPr>
        <w:t>:</w:t>
      </w:r>
      <w:r w:rsidRPr="00AF73D3">
        <w:rPr>
          <w:rStyle w:val="refpages"/>
          <w:color w:val="000000" w:themeColor="text1"/>
        </w:rPr>
        <w:t>1983</w:t>
      </w:r>
      <w:proofErr w:type="gramEnd"/>
      <w:r w:rsidRPr="00AF73D3">
        <w:rPr>
          <w:rStyle w:val="refpages"/>
          <w:color w:val="000000" w:themeColor="text1"/>
        </w:rPr>
        <w:t>–1991</w:t>
      </w:r>
    </w:p>
    <w:p w14:paraId="4DED47B3" w14:textId="57774CAD"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40" w:history="1">
        <w:r w:rsidR="00C5282B" w:rsidRPr="002C3C39">
          <w:rPr>
            <w:rStyle w:val="Hyperlink"/>
          </w:rPr>
          <w:t>https://doi.org/10.1016/j.jvir.2014.08.002</w:t>
        </w:r>
      </w:hyperlink>
    </w:p>
    <w:p w14:paraId="608B98DD" w14:textId="77777777" w:rsidR="00C5282B" w:rsidRPr="00AF73D3" w:rsidRDefault="00C5282B" w:rsidP="00C5282B">
      <w:pPr>
        <w:spacing w:before="100" w:beforeAutospacing="1" w:after="100" w:afterAutospacing="1"/>
        <w:ind w:left="720"/>
        <w:rPr>
          <w:color w:val="000000" w:themeColor="text1"/>
        </w:rPr>
      </w:pPr>
    </w:p>
    <w:p w14:paraId="22E46C68"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lastRenderedPageBreak/>
        <w:t>Abdelhadi</w:t>
      </w:r>
      <w:proofErr w:type="spellEnd"/>
      <w:r w:rsidRPr="00AF73D3">
        <w:rPr>
          <w:rStyle w:val="refauthors"/>
          <w:color w:val="000000" w:themeColor="text1"/>
        </w:rPr>
        <w:t xml:space="preserve">, R.A., Rahe, K., Lyman, B. </w:t>
      </w:r>
      <w:r w:rsidRPr="00AF73D3">
        <w:rPr>
          <w:rStyle w:val="reftitle"/>
          <w:color w:val="000000" w:themeColor="text1"/>
        </w:rPr>
        <w:t xml:space="preserve">Pediatric enteral access device management. </w:t>
      </w:r>
      <w:proofErr w:type="spellStart"/>
      <w:r w:rsidRPr="00AF73D3">
        <w:rPr>
          <w:rStyle w:val="refseriestitle"/>
          <w:color w:val="000000" w:themeColor="text1"/>
        </w:rPr>
        <w:t>Nutr</w:t>
      </w:r>
      <w:proofErr w:type="spellEnd"/>
      <w:r w:rsidRPr="00AF73D3">
        <w:rPr>
          <w:rStyle w:val="refseriestitle"/>
          <w:color w:val="000000" w:themeColor="text1"/>
        </w:rPr>
        <w:t xml:space="preserve">. </w:t>
      </w:r>
      <w:proofErr w:type="spellStart"/>
      <w:r w:rsidRPr="00AF73D3">
        <w:rPr>
          <w:rStyle w:val="refseriestitle"/>
          <w:color w:val="000000" w:themeColor="text1"/>
        </w:rPr>
        <w:t>Clin</w:t>
      </w:r>
      <w:proofErr w:type="spellEnd"/>
      <w:r w:rsidRPr="00AF73D3">
        <w:rPr>
          <w:rStyle w:val="refseriestitle"/>
          <w:color w:val="000000" w:themeColor="text1"/>
        </w:rPr>
        <w:t xml:space="preserve">. </w:t>
      </w:r>
      <w:proofErr w:type="spellStart"/>
      <w:r w:rsidRPr="00AF73D3">
        <w:rPr>
          <w:rStyle w:val="refseriestitle"/>
          <w:color w:val="000000" w:themeColor="text1"/>
        </w:rPr>
        <w:t>Pract</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r w:rsidRPr="00AF73D3">
        <w:rPr>
          <w:rStyle w:val="refseriesvolume"/>
          <w:color w:val="000000" w:themeColor="text1"/>
        </w:rPr>
        <w:t>31</w:t>
      </w:r>
      <w:r w:rsidRPr="00AF73D3">
        <w:rPr>
          <w:rStyle w:val="reference"/>
          <w:color w:val="000000" w:themeColor="text1"/>
        </w:rPr>
        <w:t>:</w:t>
      </w:r>
      <w:r w:rsidRPr="00AF73D3">
        <w:rPr>
          <w:rStyle w:val="refpages"/>
          <w:color w:val="000000" w:themeColor="text1"/>
        </w:rPr>
        <w:t>748</w:t>
      </w:r>
      <w:proofErr w:type="gramEnd"/>
      <w:r w:rsidRPr="00AF73D3">
        <w:rPr>
          <w:rStyle w:val="refpages"/>
          <w:color w:val="000000" w:themeColor="text1"/>
        </w:rPr>
        <w:t>–761</w:t>
      </w:r>
    </w:p>
    <w:p w14:paraId="444246E8" w14:textId="1CED8C1F"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41" w:history="1">
        <w:r w:rsidR="00C5282B" w:rsidRPr="002C3C39">
          <w:rPr>
            <w:rStyle w:val="Hyperlink"/>
          </w:rPr>
          <w:t>https://doi.org/10.1177/0884533616670640</w:t>
        </w:r>
      </w:hyperlink>
    </w:p>
    <w:p w14:paraId="31951B80" w14:textId="77777777" w:rsidR="00C5282B" w:rsidRPr="00AF73D3" w:rsidRDefault="00C5282B" w:rsidP="00C5282B">
      <w:pPr>
        <w:spacing w:before="100" w:beforeAutospacing="1" w:after="100" w:afterAutospacing="1"/>
        <w:ind w:left="720"/>
        <w:rPr>
          <w:color w:val="000000" w:themeColor="text1"/>
        </w:rPr>
      </w:pPr>
    </w:p>
    <w:p w14:paraId="3DA713EA"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Wollman, B., D’Agostino, H.B., </w:t>
      </w:r>
      <w:proofErr w:type="spellStart"/>
      <w:r w:rsidRPr="00AF73D3">
        <w:rPr>
          <w:rStyle w:val="refauthors"/>
          <w:color w:val="000000" w:themeColor="text1"/>
        </w:rPr>
        <w:t>Walus-Wigle</w:t>
      </w:r>
      <w:proofErr w:type="spellEnd"/>
      <w:r w:rsidRPr="00AF73D3">
        <w:rPr>
          <w:rStyle w:val="refauthors"/>
          <w:color w:val="000000" w:themeColor="text1"/>
        </w:rPr>
        <w:t xml:space="preserve">, J.R., Easter, D.W., Beale, A. </w:t>
      </w:r>
      <w:r w:rsidRPr="00AF73D3">
        <w:rPr>
          <w:rStyle w:val="reftitle"/>
          <w:color w:val="000000" w:themeColor="text1"/>
        </w:rPr>
        <w:t xml:space="preserve">Radiologic, endoscopic, and surgical gastrostomy: an institutional evaluation and meta-analysis of the literature. </w:t>
      </w:r>
      <w:r w:rsidRPr="00AF73D3">
        <w:rPr>
          <w:rStyle w:val="refseriestitle"/>
          <w:color w:val="000000" w:themeColor="text1"/>
        </w:rPr>
        <w:t>Radiology</w:t>
      </w:r>
      <w:r w:rsidRPr="00AF73D3">
        <w:rPr>
          <w:rStyle w:val="reference"/>
          <w:color w:val="000000" w:themeColor="text1"/>
        </w:rPr>
        <w:t xml:space="preserve">. </w:t>
      </w:r>
      <w:proofErr w:type="gramStart"/>
      <w:r w:rsidRPr="00AF73D3">
        <w:rPr>
          <w:rStyle w:val="refseriesdate"/>
          <w:color w:val="000000" w:themeColor="text1"/>
        </w:rPr>
        <w:t>1995</w:t>
      </w:r>
      <w:r w:rsidRPr="00AF73D3">
        <w:rPr>
          <w:rStyle w:val="reference"/>
          <w:color w:val="000000" w:themeColor="text1"/>
        </w:rPr>
        <w:t>;</w:t>
      </w:r>
      <w:r w:rsidRPr="00AF73D3">
        <w:rPr>
          <w:rStyle w:val="refseriesvolume"/>
          <w:color w:val="000000" w:themeColor="text1"/>
        </w:rPr>
        <w:t>197</w:t>
      </w:r>
      <w:r w:rsidRPr="00AF73D3">
        <w:rPr>
          <w:rStyle w:val="reference"/>
          <w:color w:val="000000" w:themeColor="text1"/>
        </w:rPr>
        <w:t>:</w:t>
      </w:r>
      <w:r w:rsidRPr="00AF73D3">
        <w:rPr>
          <w:rStyle w:val="refpages"/>
          <w:color w:val="000000" w:themeColor="text1"/>
        </w:rPr>
        <w:t>699</w:t>
      </w:r>
      <w:proofErr w:type="gramEnd"/>
      <w:r w:rsidRPr="00AF73D3">
        <w:rPr>
          <w:rStyle w:val="refpages"/>
          <w:color w:val="000000" w:themeColor="text1"/>
        </w:rPr>
        <w:t>–704</w:t>
      </w:r>
    </w:p>
    <w:p w14:paraId="04ABF8D9" w14:textId="2875E6D2"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42" w:history="1">
        <w:r w:rsidR="00C5282B" w:rsidRPr="002C3C39">
          <w:rPr>
            <w:rStyle w:val="Hyperlink"/>
          </w:rPr>
          <w:t>https://doi.org/10.1148/radiology.197.3.7480742</w:t>
        </w:r>
      </w:hyperlink>
    </w:p>
    <w:p w14:paraId="11BAC1ED" w14:textId="77777777" w:rsidR="00C5282B" w:rsidRPr="00AF73D3" w:rsidRDefault="00C5282B" w:rsidP="00C5282B">
      <w:pPr>
        <w:spacing w:before="100" w:beforeAutospacing="1" w:after="100" w:afterAutospacing="1"/>
        <w:ind w:left="720"/>
        <w:rPr>
          <w:color w:val="000000" w:themeColor="text1"/>
        </w:rPr>
      </w:pPr>
    </w:p>
    <w:p w14:paraId="5476454B"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Nah, S.A., </w:t>
      </w:r>
      <w:proofErr w:type="spellStart"/>
      <w:r w:rsidRPr="00AF73D3">
        <w:rPr>
          <w:rStyle w:val="refauthors"/>
          <w:color w:val="000000" w:themeColor="text1"/>
        </w:rPr>
        <w:t>Narayanaswamy</w:t>
      </w:r>
      <w:proofErr w:type="spellEnd"/>
      <w:r w:rsidRPr="00AF73D3">
        <w:rPr>
          <w:rStyle w:val="refauthors"/>
          <w:color w:val="000000" w:themeColor="text1"/>
        </w:rPr>
        <w:t xml:space="preserve">, B., Eaton, S., De Coppi, P., Kiely, E.M., Curry, J.I., Drake, D.P., Barnacle, A.M., Roebuck, D.J., Pierro, A. </w:t>
      </w:r>
      <w:r w:rsidRPr="00AF73D3">
        <w:rPr>
          <w:rStyle w:val="reftitle"/>
          <w:color w:val="000000" w:themeColor="text1"/>
        </w:rPr>
        <w:t>Gastrostomy insertion in children: percutaneous endoscopic or percutaneous image-</w:t>
      </w:r>
      <w:proofErr w:type="gramStart"/>
      <w:r w:rsidRPr="00AF73D3">
        <w:rPr>
          <w:rStyle w:val="reftitle"/>
          <w:color w:val="000000" w:themeColor="text1"/>
        </w:rPr>
        <w:t>guided?.</w:t>
      </w:r>
      <w:proofErr w:type="gramEnd"/>
      <w:r w:rsidRPr="00AF73D3">
        <w:rPr>
          <w:rStyle w:val="reftitle"/>
          <w:color w:val="000000" w:themeColor="text1"/>
        </w:rPr>
        <w:t xml:space="preserve">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2010</w:t>
      </w:r>
      <w:r w:rsidRPr="00AF73D3">
        <w:rPr>
          <w:rStyle w:val="reference"/>
          <w:color w:val="000000" w:themeColor="text1"/>
        </w:rPr>
        <w:t>;</w:t>
      </w:r>
      <w:r w:rsidRPr="00AF73D3">
        <w:rPr>
          <w:rStyle w:val="refseriesvolume"/>
          <w:color w:val="000000" w:themeColor="text1"/>
        </w:rPr>
        <w:t>45</w:t>
      </w:r>
      <w:r w:rsidRPr="00AF73D3">
        <w:rPr>
          <w:rStyle w:val="reference"/>
          <w:color w:val="000000" w:themeColor="text1"/>
        </w:rPr>
        <w:t>:</w:t>
      </w:r>
      <w:r w:rsidRPr="00AF73D3">
        <w:rPr>
          <w:rStyle w:val="refpages"/>
          <w:color w:val="000000" w:themeColor="text1"/>
        </w:rPr>
        <w:t>1153</w:t>
      </w:r>
      <w:proofErr w:type="gramEnd"/>
      <w:r w:rsidRPr="00AF73D3">
        <w:rPr>
          <w:rStyle w:val="refpages"/>
          <w:color w:val="000000" w:themeColor="text1"/>
        </w:rPr>
        <w:t>–1158</w:t>
      </w:r>
    </w:p>
    <w:p w14:paraId="23861FFA" w14:textId="5B506924"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43" w:history="1">
        <w:r w:rsidR="00C5282B" w:rsidRPr="002C3C39">
          <w:rPr>
            <w:rStyle w:val="Hyperlink"/>
          </w:rPr>
          <w:t>https://doi.org/10.1016/j.jpedsurg.2010.02.081</w:t>
        </w:r>
      </w:hyperlink>
    </w:p>
    <w:p w14:paraId="756CBE0A" w14:textId="77777777" w:rsidR="00C5282B" w:rsidRPr="00AF73D3" w:rsidRDefault="00C5282B" w:rsidP="00C5282B">
      <w:pPr>
        <w:spacing w:before="100" w:beforeAutospacing="1" w:after="100" w:afterAutospacing="1"/>
        <w:ind w:left="720"/>
        <w:rPr>
          <w:color w:val="000000" w:themeColor="text1"/>
        </w:rPr>
      </w:pPr>
    </w:p>
    <w:p w14:paraId="6B857756"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Singh, R.R., Nah, S.A., Roebuck, D.J., Eaton, S., Pierro, A., Curry, J.I. </w:t>
      </w:r>
      <w:r w:rsidRPr="00AF73D3">
        <w:rPr>
          <w:rStyle w:val="reftitle"/>
          <w:color w:val="000000" w:themeColor="text1"/>
        </w:rPr>
        <w:t xml:space="preserve">PEG-RIG trial collaborators, double-blind randomized clinical trial of percutaneous endoscopic gastrostomy versus radiologically inserted gastrostomy in children. </w:t>
      </w:r>
      <w:r w:rsidRPr="00AF73D3">
        <w:rPr>
          <w:rStyle w:val="refseriestitle"/>
          <w:color w:val="000000" w:themeColor="text1"/>
        </w:rPr>
        <w:t>Br. J. Surg.</w:t>
      </w:r>
      <w:r w:rsidRPr="00AF73D3">
        <w:rPr>
          <w:rStyle w:val="reference"/>
          <w:color w:val="000000" w:themeColor="text1"/>
        </w:rPr>
        <w:t xml:space="preserve"> </w:t>
      </w:r>
      <w:proofErr w:type="gramStart"/>
      <w:r w:rsidRPr="00AF73D3">
        <w:rPr>
          <w:rStyle w:val="refseriesdate"/>
          <w:color w:val="000000" w:themeColor="text1"/>
        </w:rPr>
        <w:t>2017</w:t>
      </w:r>
      <w:r w:rsidRPr="00AF73D3">
        <w:rPr>
          <w:rStyle w:val="reference"/>
          <w:color w:val="000000" w:themeColor="text1"/>
        </w:rPr>
        <w:t>;</w:t>
      </w:r>
      <w:r w:rsidRPr="00AF73D3">
        <w:rPr>
          <w:rStyle w:val="refseriesvolume"/>
          <w:color w:val="000000" w:themeColor="text1"/>
        </w:rPr>
        <w:t>104</w:t>
      </w:r>
      <w:r w:rsidRPr="00AF73D3">
        <w:rPr>
          <w:rStyle w:val="reference"/>
          <w:color w:val="000000" w:themeColor="text1"/>
        </w:rPr>
        <w:t>:</w:t>
      </w:r>
      <w:r w:rsidRPr="00AF73D3">
        <w:rPr>
          <w:rStyle w:val="refpages"/>
          <w:color w:val="000000" w:themeColor="text1"/>
        </w:rPr>
        <w:t>1620</w:t>
      </w:r>
      <w:proofErr w:type="gramEnd"/>
      <w:r w:rsidRPr="00AF73D3">
        <w:rPr>
          <w:rStyle w:val="refpages"/>
          <w:color w:val="000000" w:themeColor="text1"/>
        </w:rPr>
        <w:t>–1627</w:t>
      </w:r>
    </w:p>
    <w:p w14:paraId="03D7E6E6" w14:textId="1B4F226B"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44" w:history="1">
        <w:r w:rsidR="00C5282B" w:rsidRPr="002C3C39">
          <w:rPr>
            <w:rStyle w:val="Hyperlink"/>
          </w:rPr>
          <w:t>https://doi.org/10.1002/bjs.10687</w:t>
        </w:r>
      </w:hyperlink>
    </w:p>
    <w:p w14:paraId="0DDF9235" w14:textId="77777777" w:rsidR="00C5282B" w:rsidRPr="00AF73D3" w:rsidRDefault="00C5282B" w:rsidP="00C5282B">
      <w:pPr>
        <w:spacing w:before="100" w:beforeAutospacing="1" w:after="100" w:afterAutospacing="1"/>
        <w:ind w:left="720"/>
        <w:rPr>
          <w:color w:val="000000" w:themeColor="text1"/>
        </w:rPr>
      </w:pPr>
    </w:p>
    <w:p w14:paraId="2ADA6297" w14:textId="533B56FD" w:rsidR="00C5282B" w:rsidRDefault="003E0A72" w:rsidP="00C5282B">
      <w:pPr>
        <w:numPr>
          <w:ilvl w:val="0"/>
          <w:numId w:val="3"/>
        </w:numPr>
        <w:spacing w:before="100" w:beforeAutospacing="1" w:after="100" w:afterAutospacing="1"/>
        <w:rPr>
          <w:rStyle w:val="refpages"/>
          <w:color w:val="000000" w:themeColor="text1"/>
        </w:rPr>
      </w:pPr>
      <w:r w:rsidRPr="00AF73D3">
        <w:rPr>
          <w:rStyle w:val="refauthors"/>
          <w:color w:val="000000" w:themeColor="text1"/>
        </w:rPr>
        <w:t>El-</w:t>
      </w:r>
      <w:proofErr w:type="spellStart"/>
      <w:r w:rsidRPr="00AF73D3">
        <w:rPr>
          <w:rStyle w:val="refauthors"/>
          <w:color w:val="000000" w:themeColor="text1"/>
        </w:rPr>
        <w:t>Matary</w:t>
      </w:r>
      <w:proofErr w:type="spellEnd"/>
      <w:r w:rsidRPr="00AF73D3">
        <w:rPr>
          <w:rStyle w:val="refauthors"/>
          <w:color w:val="000000" w:themeColor="text1"/>
        </w:rPr>
        <w:t xml:space="preserve">, W. </w:t>
      </w:r>
      <w:r w:rsidRPr="00AF73D3">
        <w:rPr>
          <w:rStyle w:val="reftitle"/>
          <w:color w:val="000000" w:themeColor="text1"/>
        </w:rPr>
        <w:t xml:space="preserve">Percutaneous endoscopic gastrostomy in children. </w:t>
      </w:r>
      <w:r w:rsidRPr="00AF73D3">
        <w:rPr>
          <w:rStyle w:val="refseriestitle"/>
          <w:color w:val="000000" w:themeColor="text1"/>
        </w:rPr>
        <w:t>Can. J. Gastroenterol.</w:t>
      </w:r>
      <w:r w:rsidRPr="00AF73D3">
        <w:rPr>
          <w:rStyle w:val="reference"/>
          <w:color w:val="000000" w:themeColor="text1"/>
        </w:rPr>
        <w:t xml:space="preserve"> </w:t>
      </w:r>
      <w:proofErr w:type="gramStart"/>
      <w:r w:rsidRPr="00AF73D3">
        <w:rPr>
          <w:rStyle w:val="refseriesdate"/>
          <w:color w:val="000000" w:themeColor="text1"/>
        </w:rPr>
        <w:t>2008</w:t>
      </w:r>
      <w:r w:rsidRPr="00AF73D3">
        <w:rPr>
          <w:rStyle w:val="reference"/>
          <w:color w:val="000000" w:themeColor="text1"/>
        </w:rPr>
        <w:t>;</w:t>
      </w:r>
      <w:r w:rsidRPr="00AF73D3">
        <w:rPr>
          <w:rStyle w:val="refseriesvolume"/>
          <w:color w:val="000000" w:themeColor="text1"/>
        </w:rPr>
        <w:t>22</w:t>
      </w:r>
      <w:r w:rsidRPr="00AF73D3">
        <w:rPr>
          <w:rStyle w:val="reference"/>
          <w:color w:val="000000" w:themeColor="text1"/>
        </w:rPr>
        <w:t>:</w:t>
      </w:r>
      <w:r w:rsidRPr="00AF73D3">
        <w:rPr>
          <w:rStyle w:val="refpages"/>
          <w:color w:val="000000" w:themeColor="text1"/>
        </w:rPr>
        <w:t>993</w:t>
      </w:r>
      <w:proofErr w:type="gramEnd"/>
    </w:p>
    <w:p w14:paraId="2685117C" w14:textId="77777777" w:rsidR="00C5282B" w:rsidRPr="00C5282B" w:rsidRDefault="00C5282B" w:rsidP="00C5282B">
      <w:pPr>
        <w:spacing w:before="100" w:beforeAutospacing="1" w:after="100" w:afterAutospacing="1"/>
        <w:ind w:left="360"/>
        <w:rPr>
          <w:color w:val="000000" w:themeColor="text1"/>
        </w:rPr>
      </w:pPr>
    </w:p>
    <w:p w14:paraId="4D9B63B8"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Macchini</w:t>
      </w:r>
      <w:proofErr w:type="spellEnd"/>
      <w:r w:rsidRPr="00AF73D3">
        <w:rPr>
          <w:rStyle w:val="refauthors"/>
          <w:color w:val="000000" w:themeColor="text1"/>
        </w:rPr>
        <w:t xml:space="preserve">, F., </w:t>
      </w:r>
      <w:proofErr w:type="spellStart"/>
      <w:r w:rsidRPr="00AF73D3">
        <w:rPr>
          <w:rStyle w:val="refauthors"/>
          <w:color w:val="000000" w:themeColor="text1"/>
        </w:rPr>
        <w:t>Zanini</w:t>
      </w:r>
      <w:proofErr w:type="spellEnd"/>
      <w:r w:rsidRPr="00AF73D3">
        <w:rPr>
          <w:rStyle w:val="refauthors"/>
          <w:color w:val="000000" w:themeColor="text1"/>
        </w:rPr>
        <w:t xml:space="preserve">, A., Farris, G., </w:t>
      </w:r>
      <w:proofErr w:type="spellStart"/>
      <w:r w:rsidRPr="00AF73D3">
        <w:rPr>
          <w:rStyle w:val="refauthors"/>
          <w:color w:val="000000" w:themeColor="text1"/>
        </w:rPr>
        <w:t>Morandi</w:t>
      </w:r>
      <w:proofErr w:type="spellEnd"/>
      <w:r w:rsidRPr="00AF73D3">
        <w:rPr>
          <w:rStyle w:val="refauthors"/>
          <w:color w:val="000000" w:themeColor="text1"/>
        </w:rPr>
        <w:t xml:space="preserve">, A., </w:t>
      </w:r>
      <w:proofErr w:type="spellStart"/>
      <w:r w:rsidRPr="00AF73D3">
        <w:rPr>
          <w:rStyle w:val="refauthors"/>
          <w:color w:val="000000" w:themeColor="text1"/>
        </w:rPr>
        <w:t>Brisighelli</w:t>
      </w:r>
      <w:proofErr w:type="spellEnd"/>
      <w:r w:rsidRPr="00AF73D3">
        <w:rPr>
          <w:rStyle w:val="refauthors"/>
          <w:color w:val="000000" w:themeColor="text1"/>
        </w:rPr>
        <w:t xml:space="preserve">, G., </w:t>
      </w:r>
      <w:proofErr w:type="spellStart"/>
      <w:r w:rsidRPr="00AF73D3">
        <w:rPr>
          <w:rStyle w:val="refauthors"/>
          <w:color w:val="000000" w:themeColor="text1"/>
        </w:rPr>
        <w:t>Gentilino</w:t>
      </w:r>
      <w:proofErr w:type="spellEnd"/>
      <w:r w:rsidRPr="00AF73D3">
        <w:rPr>
          <w:rStyle w:val="refauthors"/>
          <w:color w:val="000000" w:themeColor="text1"/>
        </w:rPr>
        <w:t xml:space="preserve">, V., Fava, G., Leva, E. </w:t>
      </w:r>
      <w:r w:rsidRPr="00AF73D3">
        <w:rPr>
          <w:rStyle w:val="reftitle"/>
          <w:color w:val="000000" w:themeColor="text1"/>
        </w:rPr>
        <w:t xml:space="preserve">Infant percutaneous endoscopic gastrostomy: risks or </w:t>
      </w:r>
      <w:proofErr w:type="gramStart"/>
      <w:r w:rsidRPr="00AF73D3">
        <w:rPr>
          <w:rStyle w:val="reftitle"/>
          <w:color w:val="000000" w:themeColor="text1"/>
        </w:rPr>
        <w:t>benefits?.</w:t>
      </w:r>
      <w:proofErr w:type="gramEnd"/>
      <w:r w:rsidRPr="00AF73D3">
        <w:rPr>
          <w:rStyle w:val="reftitle"/>
          <w:color w:val="000000" w:themeColor="text1"/>
        </w:rPr>
        <w:t xml:space="preserve"> </w:t>
      </w:r>
      <w:proofErr w:type="spellStart"/>
      <w:r w:rsidRPr="00AF73D3">
        <w:rPr>
          <w:rStyle w:val="refseriestitle"/>
          <w:color w:val="000000" w:themeColor="text1"/>
        </w:rPr>
        <w:t>Clin</w:t>
      </w:r>
      <w:proofErr w:type="spellEnd"/>
      <w:r w:rsidRPr="00AF73D3">
        <w:rPr>
          <w:rStyle w:val="refseriestitle"/>
          <w:color w:val="000000" w:themeColor="text1"/>
        </w:rPr>
        <w:t xml:space="preserve">. </w:t>
      </w:r>
      <w:proofErr w:type="spellStart"/>
      <w:r w:rsidRPr="00AF73D3">
        <w:rPr>
          <w:rStyle w:val="refseriestitle"/>
          <w:color w:val="000000" w:themeColor="text1"/>
        </w:rPr>
        <w:t>Endosc</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2018</w:t>
      </w:r>
      <w:r w:rsidRPr="00AF73D3">
        <w:rPr>
          <w:rStyle w:val="reference"/>
          <w:color w:val="000000" w:themeColor="text1"/>
        </w:rPr>
        <w:t>;</w:t>
      </w:r>
      <w:r w:rsidRPr="00AF73D3">
        <w:rPr>
          <w:rStyle w:val="refseriesvolume"/>
          <w:color w:val="000000" w:themeColor="text1"/>
        </w:rPr>
        <w:t>51</w:t>
      </w:r>
      <w:r w:rsidRPr="00AF73D3">
        <w:rPr>
          <w:rStyle w:val="reference"/>
          <w:color w:val="000000" w:themeColor="text1"/>
        </w:rPr>
        <w:t>:</w:t>
      </w:r>
      <w:r w:rsidRPr="00AF73D3">
        <w:rPr>
          <w:rStyle w:val="refpages"/>
          <w:color w:val="000000" w:themeColor="text1"/>
        </w:rPr>
        <w:t>260</w:t>
      </w:r>
      <w:proofErr w:type="gramEnd"/>
      <w:r w:rsidRPr="00AF73D3">
        <w:rPr>
          <w:rStyle w:val="refpages"/>
          <w:color w:val="000000" w:themeColor="text1"/>
        </w:rPr>
        <w:t>–265</w:t>
      </w:r>
    </w:p>
    <w:p w14:paraId="5D4D59A4" w14:textId="32ED5A9E" w:rsidR="003E0A72" w:rsidRDefault="003E0A72" w:rsidP="003E0A72">
      <w:pPr>
        <w:spacing w:before="100" w:beforeAutospacing="1" w:after="100" w:afterAutospacing="1"/>
        <w:ind w:left="720"/>
        <w:rPr>
          <w:color w:val="000000" w:themeColor="text1"/>
        </w:rPr>
      </w:pPr>
      <w:r w:rsidRPr="00AF73D3">
        <w:rPr>
          <w:color w:val="000000" w:themeColor="text1"/>
        </w:rPr>
        <w:t xml:space="preserve">DOI: </w:t>
      </w:r>
      <w:hyperlink r:id="rId45" w:history="1">
        <w:r w:rsidR="00C5282B" w:rsidRPr="002C3C39">
          <w:rPr>
            <w:rStyle w:val="Hyperlink"/>
          </w:rPr>
          <w:t>https://doi.org/10.5946/ce.2017.137</w:t>
        </w:r>
      </w:hyperlink>
    </w:p>
    <w:p w14:paraId="061A85C3" w14:textId="56BA1D10" w:rsidR="00C5282B" w:rsidRPr="00AF73D3" w:rsidRDefault="00C5282B" w:rsidP="00C5282B">
      <w:pPr>
        <w:spacing w:before="100" w:beforeAutospacing="1" w:after="100" w:afterAutospacing="1"/>
        <w:rPr>
          <w:color w:val="000000" w:themeColor="text1"/>
        </w:rPr>
      </w:pPr>
    </w:p>
    <w:p w14:paraId="41DBEAEC"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Fernandes, A.R., Elliott, T., McInnis, C., Easterbrook, B., Walton, J.M. </w:t>
      </w:r>
      <w:r w:rsidRPr="00AF73D3">
        <w:rPr>
          <w:rStyle w:val="reftitle"/>
          <w:color w:val="000000" w:themeColor="text1"/>
        </w:rPr>
        <w:t xml:space="preserve">Evaluating complication rates and outcomes among infants less than 5 kg undergoing traditional percutaneous endoscopic gastrostomy insertion: a retrospective chart review.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2018</w:t>
      </w:r>
      <w:r w:rsidRPr="00AF73D3">
        <w:rPr>
          <w:rStyle w:val="reference"/>
          <w:color w:val="000000" w:themeColor="text1"/>
        </w:rPr>
        <w:t>;</w:t>
      </w:r>
      <w:r w:rsidRPr="00AF73D3">
        <w:rPr>
          <w:rStyle w:val="refseriesvolume"/>
          <w:color w:val="000000" w:themeColor="text1"/>
        </w:rPr>
        <w:t>53</w:t>
      </w:r>
      <w:r w:rsidRPr="00AF73D3">
        <w:rPr>
          <w:rStyle w:val="reference"/>
          <w:color w:val="000000" w:themeColor="text1"/>
        </w:rPr>
        <w:t>:</w:t>
      </w:r>
      <w:r w:rsidRPr="00AF73D3">
        <w:rPr>
          <w:rStyle w:val="refpages"/>
          <w:color w:val="000000" w:themeColor="text1"/>
        </w:rPr>
        <w:t>933</w:t>
      </w:r>
      <w:proofErr w:type="gramEnd"/>
      <w:r w:rsidRPr="00AF73D3">
        <w:rPr>
          <w:rStyle w:val="refpages"/>
          <w:color w:val="000000" w:themeColor="text1"/>
        </w:rPr>
        <w:t>–936</w:t>
      </w:r>
    </w:p>
    <w:p w14:paraId="2CD03DFF" w14:textId="60E3BB92" w:rsidR="003E0A72" w:rsidRDefault="003E0A72" w:rsidP="003E0A72">
      <w:pPr>
        <w:spacing w:before="100" w:beforeAutospacing="1" w:after="100" w:afterAutospacing="1"/>
        <w:ind w:left="720"/>
        <w:rPr>
          <w:color w:val="000000" w:themeColor="text1"/>
        </w:rPr>
      </w:pPr>
      <w:r w:rsidRPr="00AF73D3">
        <w:rPr>
          <w:color w:val="000000" w:themeColor="text1"/>
        </w:rPr>
        <w:lastRenderedPageBreak/>
        <w:t xml:space="preserve">DOI: </w:t>
      </w:r>
      <w:hyperlink r:id="rId46" w:history="1">
        <w:r w:rsidR="00C5282B" w:rsidRPr="002C3C39">
          <w:rPr>
            <w:rStyle w:val="Hyperlink"/>
          </w:rPr>
          <w:t>https://doi.org/10.1016/j.jpedsurg.2018.02.017</w:t>
        </w:r>
      </w:hyperlink>
    </w:p>
    <w:p w14:paraId="6E26FB24" w14:textId="77777777" w:rsidR="00C5282B" w:rsidRPr="00AF73D3" w:rsidRDefault="00C5282B" w:rsidP="00C5282B">
      <w:pPr>
        <w:spacing w:before="100" w:beforeAutospacing="1" w:after="100" w:afterAutospacing="1"/>
        <w:ind w:left="720"/>
        <w:rPr>
          <w:color w:val="000000" w:themeColor="text1"/>
        </w:rPr>
      </w:pPr>
    </w:p>
    <w:p w14:paraId="486F178E" w14:textId="391F5FB8" w:rsidR="003E0A72" w:rsidRDefault="003E0A72" w:rsidP="00C5282B">
      <w:pPr>
        <w:numPr>
          <w:ilvl w:val="0"/>
          <w:numId w:val="3"/>
        </w:numPr>
        <w:spacing w:before="100" w:beforeAutospacing="1" w:after="100" w:afterAutospacing="1"/>
        <w:rPr>
          <w:color w:val="000000" w:themeColor="text1"/>
        </w:rPr>
      </w:pPr>
      <w:r w:rsidRPr="00AF73D3">
        <w:rPr>
          <w:rStyle w:val="refauthors"/>
          <w:color w:val="000000" w:themeColor="text1"/>
        </w:rPr>
        <w:t xml:space="preserve">Aziz, D., Chait, P., </w:t>
      </w:r>
      <w:proofErr w:type="spellStart"/>
      <w:r w:rsidRPr="00AF73D3">
        <w:rPr>
          <w:rStyle w:val="refauthors"/>
          <w:color w:val="000000" w:themeColor="text1"/>
        </w:rPr>
        <w:t>Kreichman</w:t>
      </w:r>
      <w:proofErr w:type="spellEnd"/>
      <w:r w:rsidRPr="00AF73D3">
        <w:rPr>
          <w:rStyle w:val="refauthors"/>
          <w:color w:val="000000" w:themeColor="text1"/>
        </w:rPr>
        <w:t xml:space="preserve">, F., Langer, J.C. </w:t>
      </w:r>
      <w:r w:rsidRPr="00AF73D3">
        <w:rPr>
          <w:rStyle w:val="reftitle"/>
          <w:color w:val="000000" w:themeColor="text1"/>
        </w:rPr>
        <w:t xml:space="preserve">Image-guided percutaneous gastrostomy in neonates with </w:t>
      </w:r>
      <w:proofErr w:type="spellStart"/>
      <w:r w:rsidRPr="00AF73D3">
        <w:rPr>
          <w:rStyle w:val="reftitle"/>
          <w:color w:val="000000" w:themeColor="text1"/>
        </w:rPr>
        <w:t>esophageal</w:t>
      </w:r>
      <w:proofErr w:type="spellEnd"/>
      <w:r w:rsidRPr="00AF73D3">
        <w:rPr>
          <w:rStyle w:val="reftitle"/>
          <w:color w:val="000000" w:themeColor="text1"/>
        </w:rPr>
        <w:t xml:space="preserve"> atresia.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2004</w:t>
      </w:r>
      <w:r w:rsidRPr="00AF73D3">
        <w:rPr>
          <w:rStyle w:val="reference"/>
          <w:color w:val="000000" w:themeColor="text1"/>
        </w:rPr>
        <w:t>;</w:t>
      </w:r>
      <w:r w:rsidRPr="00AF73D3">
        <w:rPr>
          <w:rStyle w:val="refseriesvolume"/>
          <w:color w:val="000000" w:themeColor="text1"/>
        </w:rPr>
        <w:t>39</w:t>
      </w:r>
      <w:r w:rsidRPr="00AF73D3">
        <w:rPr>
          <w:rStyle w:val="reference"/>
          <w:color w:val="000000" w:themeColor="text1"/>
        </w:rPr>
        <w:t>:</w:t>
      </w:r>
      <w:r w:rsidRPr="00AF73D3">
        <w:rPr>
          <w:rStyle w:val="refpages"/>
          <w:color w:val="000000" w:themeColor="text1"/>
        </w:rPr>
        <w:t>1648</w:t>
      </w:r>
      <w:proofErr w:type="gramEnd"/>
      <w:r w:rsidRPr="00AF73D3">
        <w:rPr>
          <w:rStyle w:val="refpages"/>
          <w:color w:val="000000" w:themeColor="text1"/>
        </w:rPr>
        <w:t>–1650</w:t>
      </w:r>
    </w:p>
    <w:p w14:paraId="03A7EB44" w14:textId="77777777" w:rsidR="00C5282B" w:rsidRPr="00C5282B" w:rsidRDefault="00C5282B" w:rsidP="00C5282B">
      <w:pPr>
        <w:spacing w:before="100" w:beforeAutospacing="1" w:after="100" w:afterAutospacing="1"/>
        <w:ind w:left="720"/>
        <w:rPr>
          <w:color w:val="000000" w:themeColor="text1"/>
        </w:rPr>
      </w:pPr>
    </w:p>
    <w:p w14:paraId="68E78185"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Stuart, S., Patel, P.A., Chippington, S., Gibson, C., Barnacle, A., Roebuck, D. </w:t>
      </w:r>
      <w:r w:rsidRPr="00AF73D3">
        <w:rPr>
          <w:rStyle w:val="reftitle"/>
          <w:color w:val="000000" w:themeColor="text1"/>
        </w:rPr>
        <w:t xml:space="preserve">Antegrade gastrostomy insertion in very low weight infants – is it </w:t>
      </w:r>
      <w:proofErr w:type="gramStart"/>
      <w:r w:rsidRPr="00AF73D3">
        <w:rPr>
          <w:rStyle w:val="reftitle"/>
          <w:color w:val="000000" w:themeColor="text1"/>
        </w:rPr>
        <w:t>safe?.</w:t>
      </w:r>
      <w:proofErr w:type="gramEnd"/>
      <w:r w:rsidRPr="00AF73D3">
        <w:rPr>
          <w:rStyle w:val="reftitle"/>
          <w:color w:val="000000" w:themeColor="text1"/>
        </w:rPr>
        <w:t xml:space="preserve"> </w:t>
      </w:r>
      <w:r w:rsidRPr="00AF73D3">
        <w:rPr>
          <w:rStyle w:val="reference"/>
          <w:color w:val="000000" w:themeColor="text1"/>
        </w:rPr>
        <w:t>(</w:t>
      </w:r>
      <w:r w:rsidRPr="00AF73D3">
        <w:rPr>
          <w:rStyle w:val="refcomment"/>
          <w:rFonts w:eastAsiaTheme="majorEastAsia"/>
          <w:color w:val="000000" w:themeColor="text1"/>
        </w:rPr>
        <w:t xml:space="preserve">FEATURED </w:t>
      </w:r>
      <w:proofErr w:type="gramStart"/>
      <w:r w:rsidRPr="00AF73D3">
        <w:rPr>
          <w:rStyle w:val="refcomment"/>
          <w:rFonts w:eastAsiaTheme="majorEastAsia"/>
          <w:color w:val="000000" w:themeColor="text1"/>
        </w:rPr>
        <w:t>ABSTRACT</w:t>
      </w:r>
      <w:r w:rsidRPr="00AF73D3">
        <w:rPr>
          <w:rStyle w:val="reference"/>
          <w:color w:val="000000" w:themeColor="text1"/>
        </w:rPr>
        <w:t>)</w:t>
      </w:r>
      <w:r w:rsidRPr="00AF73D3">
        <w:rPr>
          <w:rStyle w:val="refseriestitle"/>
          <w:color w:val="000000" w:themeColor="text1"/>
        </w:rPr>
        <w:t>J.</w:t>
      </w:r>
      <w:proofErr w:type="gramEnd"/>
      <w:r w:rsidRPr="00AF73D3">
        <w:rPr>
          <w:rStyle w:val="refseriestitle"/>
          <w:color w:val="000000" w:themeColor="text1"/>
        </w:rPr>
        <w:t xml:space="preserve"> Vasc. Interv. Radiol.</w:t>
      </w:r>
      <w:r w:rsidRPr="00AF73D3">
        <w:rPr>
          <w:rStyle w:val="reference"/>
          <w:color w:val="000000" w:themeColor="text1"/>
        </w:rPr>
        <w:t xml:space="preserve"> </w:t>
      </w:r>
      <w:r w:rsidRPr="00AF73D3">
        <w:rPr>
          <w:rStyle w:val="refseriesdate"/>
          <w:color w:val="000000" w:themeColor="text1"/>
        </w:rPr>
        <w:t>2014</w:t>
      </w:r>
      <w:r w:rsidRPr="00AF73D3">
        <w:rPr>
          <w:rStyle w:val="reference"/>
          <w:color w:val="000000" w:themeColor="text1"/>
        </w:rPr>
        <w:t>;</w:t>
      </w:r>
      <w:proofErr w:type="gramStart"/>
      <w:r w:rsidRPr="00AF73D3">
        <w:rPr>
          <w:rStyle w:val="refseriesvolume"/>
          <w:color w:val="000000" w:themeColor="text1"/>
        </w:rPr>
        <w:t>25</w:t>
      </w:r>
      <w:r w:rsidRPr="00AF73D3">
        <w:rPr>
          <w:rStyle w:val="reference"/>
          <w:color w:val="000000" w:themeColor="text1"/>
        </w:rPr>
        <w:t>:</w:t>
      </w:r>
      <w:r w:rsidRPr="00AF73D3">
        <w:rPr>
          <w:rStyle w:val="refpages"/>
          <w:color w:val="000000" w:themeColor="text1"/>
        </w:rPr>
        <w:t>S</w:t>
      </w:r>
      <w:proofErr w:type="gramEnd"/>
      <w:r w:rsidRPr="00AF73D3">
        <w:rPr>
          <w:rStyle w:val="refpages"/>
          <w:color w:val="000000" w:themeColor="text1"/>
        </w:rPr>
        <w:t>131</w:t>
      </w:r>
    </w:p>
    <w:p w14:paraId="5B78D805" w14:textId="78379FFD"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47" w:history="1">
        <w:r w:rsidR="00C5282B" w:rsidRPr="002C3C39">
          <w:rPr>
            <w:rStyle w:val="Hyperlink"/>
          </w:rPr>
          <w:t>https://doi.org/10.1016/j.jvir.2013.12.355</w:t>
        </w:r>
      </w:hyperlink>
    </w:p>
    <w:p w14:paraId="1A5C260F" w14:textId="77777777" w:rsidR="00C5282B" w:rsidRPr="00AF73D3" w:rsidRDefault="00C5282B" w:rsidP="00C5282B">
      <w:pPr>
        <w:spacing w:before="100" w:beforeAutospacing="1" w:after="100" w:afterAutospacing="1"/>
        <w:rPr>
          <w:color w:val="000000" w:themeColor="text1"/>
        </w:rPr>
      </w:pPr>
    </w:p>
    <w:p w14:paraId="46041F84"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Kelly, B., Mullen, E., Connolly, B. </w:t>
      </w:r>
      <w:r w:rsidRPr="00AF73D3">
        <w:rPr>
          <w:rStyle w:val="reftitle"/>
          <w:color w:val="000000" w:themeColor="text1"/>
        </w:rPr>
        <w:t xml:space="preserve">Radiologic retrograde gastrostomy tube insertions without the use of barium: implications for radiation dose in children. </w:t>
      </w:r>
      <w:r w:rsidRPr="00AF73D3">
        <w:rPr>
          <w:rStyle w:val="refseriestitle"/>
          <w:color w:val="000000" w:themeColor="text1"/>
        </w:rPr>
        <w:t xml:space="preserve">Am. J. </w:t>
      </w:r>
      <w:proofErr w:type="spellStart"/>
      <w:r w:rsidRPr="00AF73D3">
        <w:rPr>
          <w:rStyle w:val="refseriestitle"/>
          <w:color w:val="000000" w:themeColor="text1"/>
        </w:rPr>
        <w:t>Roentgenol</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2015</w:t>
      </w:r>
      <w:r w:rsidRPr="00AF73D3">
        <w:rPr>
          <w:rStyle w:val="reference"/>
          <w:color w:val="000000" w:themeColor="text1"/>
        </w:rPr>
        <w:t>;</w:t>
      </w:r>
      <w:r w:rsidRPr="00AF73D3">
        <w:rPr>
          <w:rStyle w:val="refseriesvolume"/>
          <w:color w:val="000000" w:themeColor="text1"/>
        </w:rPr>
        <w:t>205</w:t>
      </w:r>
      <w:r w:rsidRPr="00AF73D3">
        <w:rPr>
          <w:rStyle w:val="reference"/>
          <w:color w:val="000000" w:themeColor="text1"/>
        </w:rPr>
        <w:t>:</w:t>
      </w:r>
      <w:r w:rsidRPr="00AF73D3">
        <w:rPr>
          <w:rStyle w:val="refpages"/>
          <w:color w:val="000000" w:themeColor="text1"/>
        </w:rPr>
        <w:t>1135</w:t>
      </w:r>
      <w:proofErr w:type="gramEnd"/>
      <w:r w:rsidRPr="00AF73D3">
        <w:rPr>
          <w:rStyle w:val="refpages"/>
          <w:color w:val="000000" w:themeColor="text1"/>
        </w:rPr>
        <w:t>–1138</w:t>
      </w:r>
    </w:p>
    <w:p w14:paraId="7549F78D" w14:textId="2F66A73C"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48" w:history="1">
        <w:r w:rsidR="00C5282B" w:rsidRPr="002C3C39">
          <w:rPr>
            <w:rStyle w:val="Hyperlink"/>
          </w:rPr>
          <w:t>https://doi.org/10.2214/AJR.14.13859</w:t>
        </w:r>
      </w:hyperlink>
    </w:p>
    <w:p w14:paraId="0618F014" w14:textId="77777777" w:rsidR="00C5282B" w:rsidRPr="00AF73D3" w:rsidRDefault="00C5282B" w:rsidP="00C5282B">
      <w:pPr>
        <w:spacing w:before="100" w:beforeAutospacing="1" w:after="100" w:afterAutospacing="1"/>
        <w:ind w:left="720"/>
        <w:rPr>
          <w:color w:val="000000" w:themeColor="text1"/>
        </w:rPr>
      </w:pPr>
    </w:p>
    <w:p w14:paraId="31AAC965"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Acord, M., </w:t>
      </w:r>
      <w:proofErr w:type="spellStart"/>
      <w:r w:rsidRPr="00AF73D3">
        <w:rPr>
          <w:rStyle w:val="refauthors"/>
          <w:color w:val="000000" w:themeColor="text1"/>
        </w:rPr>
        <w:t>Shellikeri</w:t>
      </w:r>
      <w:proofErr w:type="spellEnd"/>
      <w:r w:rsidRPr="00AF73D3">
        <w:rPr>
          <w:rStyle w:val="refauthors"/>
          <w:color w:val="000000" w:themeColor="text1"/>
        </w:rPr>
        <w:t xml:space="preserve">, S., </w:t>
      </w:r>
      <w:proofErr w:type="spellStart"/>
      <w:r w:rsidRPr="00AF73D3">
        <w:rPr>
          <w:rStyle w:val="refauthors"/>
          <w:color w:val="000000" w:themeColor="text1"/>
        </w:rPr>
        <w:t>Vatsky</w:t>
      </w:r>
      <w:proofErr w:type="spellEnd"/>
      <w:r w:rsidRPr="00AF73D3">
        <w:rPr>
          <w:rStyle w:val="refauthors"/>
          <w:color w:val="000000" w:themeColor="text1"/>
        </w:rPr>
        <w:t xml:space="preserve">, S., Srinivasan, A., Krishnamurthy, G., Keller, M.S., Cahill, A.M. </w:t>
      </w:r>
      <w:r w:rsidRPr="00AF73D3">
        <w:rPr>
          <w:rStyle w:val="reftitle"/>
          <w:color w:val="000000" w:themeColor="text1"/>
        </w:rPr>
        <w:t xml:space="preserve">Reduced-dose C-arm computed tomography applications at a pediatric institution. </w:t>
      </w:r>
      <w:r w:rsidRPr="00AF73D3">
        <w:rPr>
          <w:rStyle w:val="refseriestitle"/>
          <w:color w:val="000000" w:themeColor="text1"/>
        </w:rPr>
        <w:t>Pediatr. Radiol.</w:t>
      </w:r>
      <w:r w:rsidRPr="00AF73D3">
        <w:rPr>
          <w:rStyle w:val="reference"/>
          <w:color w:val="000000" w:themeColor="text1"/>
        </w:rPr>
        <w:t xml:space="preserve"> </w:t>
      </w:r>
      <w:proofErr w:type="gramStart"/>
      <w:r w:rsidRPr="00AF73D3">
        <w:rPr>
          <w:rStyle w:val="refseriesdate"/>
          <w:color w:val="000000" w:themeColor="text1"/>
        </w:rPr>
        <w:t>2017</w:t>
      </w:r>
      <w:r w:rsidRPr="00AF73D3">
        <w:rPr>
          <w:rStyle w:val="reference"/>
          <w:color w:val="000000" w:themeColor="text1"/>
        </w:rPr>
        <w:t>;</w:t>
      </w:r>
      <w:r w:rsidRPr="00AF73D3">
        <w:rPr>
          <w:rStyle w:val="refseriesvolume"/>
          <w:color w:val="000000" w:themeColor="text1"/>
        </w:rPr>
        <w:t>47</w:t>
      </w:r>
      <w:r w:rsidRPr="00AF73D3">
        <w:rPr>
          <w:rStyle w:val="reference"/>
          <w:color w:val="000000" w:themeColor="text1"/>
        </w:rPr>
        <w:t>:</w:t>
      </w:r>
      <w:r w:rsidRPr="00AF73D3">
        <w:rPr>
          <w:rStyle w:val="refpages"/>
          <w:color w:val="000000" w:themeColor="text1"/>
        </w:rPr>
        <w:t>1817</w:t>
      </w:r>
      <w:proofErr w:type="gramEnd"/>
      <w:r w:rsidRPr="00AF73D3">
        <w:rPr>
          <w:rStyle w:val="refpages"/>
          <w:color w:val="000000" w:themeColor="text1"/>
        </w:rPr>
        <w:t>–1824</w:t>
      </w:r>
    </w:p>
    <w:p w14:paraId="3D1E881E" w14:textId="0E1102A6"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49" w:history="1">
        <w:r w:rsidR="00C5282B" w:rsidRPr="002C3C39">
          <w:rPr>
            <w:rStyle w:val="Hyperlink"/>
          </w:rPr>
          <w:t>https://doi.org/10.1007/s00247-017-3964-0</w:t>
        </w:r>
      </w:hyperlink>
    </w:p>
    <w:p w14:paraId="6F158505" w14:textId="77777777" w:rsidR="00C5282B" w:rsidRPr="00AF73D3" w:rsidRDefault="00C5282B" w:rsidP="00C5282B">
      <w:pPr>
        <w:spacing w:before="100" w:beforeAutospacing="1" w:after="100" w:afterAutospacing="1"/>
        <w:rPr>
          <w:color w:val="000000" w:themeColor="text1"/>
        </w:rPr>
      </w:pPr>
    </w:p>
    <w:p w14:paraId="5758BF2A"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Church, J.T., Speck, K.E., </w:t>
      </w:r>
      <w:proofErr w:type="spellStart"/>
      <w:r w:rsidRPr="00AF73D3">
        <w:rPr>
          <w:rStyle w:val="refauthors"/>
          <w:color w:val="000000" w:themeColor="text1"/>
        </w:rPr>
        <w:t>Jarboe</w:t>
      </w:r>
      <w:proofErr w:type="spellEnd"/>
      <w:r w:rsidRPr="00AF73D3">
        <w:rPr>
          <w:rStyle w:val="refauthors"/>
          <w:color w:val="000000" w:themeColor="text1"/>
        </w:rPr>
        <w:t xml:space="preserve">, M.D. </w:t>
      </w:r>
      <w:r w:rsidRPr="00AF73D3">
        <w:rPr>
          <w:rStyle w:val="reftitle"/>
          <w:color w:val="000000" w:themeColor="text1"/>
        </w:rPr>
        <w:t xml:space="preserve">Ultrasound-guided gastrostomy tube placement: a case series.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2017</w:t>
      </w:r>
      <w:r w:rsidRPr="00AF73D3">
        <w:rPr>
          <w:rStyle w:val="reference"/>
          <w:color w:val="000000" w:themeColor="text1"/>
        </w:rPr>
        <w:t>;</w:t>
      </w:r>
      <w:r w:rsidRPr="00AF73D3">
        <w:rPr>
          <w:rStyle w:val="refseriesvolume"/>
          <w:color w:val="000000" w:themeColor="text1"/>
        </w:rPr>
        <w:t>52</w:t>
      </w:r>
      <w:r w:rsidRPr="00AF73D3">
        <w:rPr>
          <w:rStyle w:val="reference"/>
          <w:color w:val="000000" w:themeColor="text1"/>
        </w:rPr>
        <w:t>:</w:t>
      </w:r>
      <w:r w:rsidRPr="00AF73D3">
        <w:rPr>
          <w:rStyle w:val="refpages"/>
          <w:color w:val="000000" w:themeColor="text1"/>
        </w:rPr>
        <w:t>1210</w:t>
      </w:r>
      <w:proofErr w:type="gramEnd"/>
      <w:r w:rsidRPr="00AF73D3">
        <w:rPr>
          <w:rStyle w:val="refpages"/>
          <w:color w:val="000000" w:themeColor="text1"/>
        </w:rPr>
        <w:t>–1214</w:t>
      </w:r>
    </w:p>
    <w:p w14:paraId="630BBA90" w14:textId="5E1DF52C"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0" w:history="1">
        <w:r w:rsidR="00C5282B" w:rsidRPr="002C3C39">
          <w:rPr>
            <w:rStyle w:val="Hyperlink"/>
          </w:rPr>
          <w:t>https://doi.org/10.1016/j.jpedsurg.2017.03.061</w:t>
        </w:r>
      </w:hyperlink>
    </w:p>
    <w:p w14:paraId="53BC7177" w14:textId="77777777" w:rsidR="00C5282B" w:rsidRPr="00AF73D3" w:rsidRDefault="00C5282B" w:rsidP="00C5282B">
      <w:pPr>
        <w:spacing w:before="100" w:beforeAutospacing="1" w:after="100" w:afterAutospacing="1"/>
        <w:ind w:left="720"/>
        <w:rPr>
          <w:color w:val="000000" w:themeColor="text1"/>
        </w:rPr>
      </w:pPr>
    </w:p>
    <w:p w14:paraId="54011309"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Dookhoo</w:t>
      </w:r>
      <w:proofErr w:type="spellEnd"/>
      <w:r w:rsidRPr="00AF73D3">
        <w:rPr>
          <w:rStyle w:val="refauthors"/>
          <w:color w:val="000000" w:themeColor="text1"/>
        </w:rPr>
        <w:t xml:space="preserve">, L., Mahant, S., Parra, D.A., John, P.R., Amaral, J.G., Connolly, B.L. </w:t>
      </w:r>
      <w:r w:rsidRPr="00AF73D3">
        <w:rPr>
          <w:rStyle w:val="reftitle"/>
          <w:color w:val="000000" w:themeColor="text1"/>
        </w:rPr>
        <w:t xml:space="preserve">Peritonitis following percutaneous gastrostomy tube insertions in children. </w:t>
      </w:r>
      <w:r w:rsidRPr="00AF73D3">
        <w:rPr>
          <w:rStyle w:val="refseriestitle"/>
          <w:color w:val="000000" w:themeColor="text1"/>
        </w:rPr>
        <w:t>Pediatr. Radiol.</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r w:rsidRPr="00AF73D3">
        <w:rPr>
          <w:rStyle w:val="refseriesvolume"/>
          <w:color w:val="000000" w:themeColor="text1"/>
        </w:rPr>
        <w:t>46</w:t>
      </w:r>
      <w:r w:rsidRPr="00AF73D3">
        <w:rPr>
          <w:rStyle w:val="reference"/>
          <w:color w:val="000000" w:themeColor="text1"/>
        </w:rPr>
        <w:t>:</w:t>
      </w:r>
      <w:r w:rsidRPr="00AF73D3">
        <w:rPr>
          <w:rStyle w:val="refpages"/>
          <w:color w:val="000000" w:themeColor="text1"/>
        </w:rPr>
        <w:t>1444</w:t>
      </w:r>
      <w:proofErr w:type="gramEnd"/>
      <w:r w:rsidRPr="00AF73D3">
        <w:rPr>
          <w:rStyle w:val="refpages"/>
          <w:color w:val="000000" w:themeColor="text1"/>
        </w:rPr>
        <w:t>–1450</w:t>
      </w:r>
    </w:p>
    <w:p w14:paraId="78962B3C" w14:textId="484AC12A"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1" w:history="1">
        <w:r w:rsidR="00C5282B" w:rsidRPr="002C3C39">
          <w:rPr>
            <w:rStyle w:val="Hyperlink"/>
          </w:rPr>
          <w:t>https://doi.org/10.1007/s00247-016-3628-5</w:t>
        </w:r>
      </w:hyperlink>
    </w:p>
    <w:p w14:paraId="162A073A" w14:textId="77777777" w:rsidR="00C5282B" w:rsidRPr="00AF73D3" w:rsidRDefault="00C5282B" w:rsidP="00C5282B">
      <w:pPr>
        <w:spacing w:before="100" w:beforeAutospacing="1" w:after="100" w:afterAutospacing="1"/>
        <w:ind w:left="720"/>
        <w:rPr>
          <w:color w:val="000000" w:themeColor="text1"/>
        </w:rPr>
      </w:pPr>
    </w:p>
    <w:p w14:paraId="3405A3E5" w14:textId="77777777" w:rsidR="003E0A72" w:rsidRPr="00AF73D3" w:rsidRDefault="003E0A72" w:rsidP="003E0A72">
      <w:pPr>
        <w:numPr>
          <w:ilvl w:val="0"/>
          <w:numId w:val="3"/>
        </w:numPr>
        <w:spacing w:before="100" w:beforeAutospacing="1" w:after="100" w:afterAutospacing="1"/>
        <w:rPr>
          <w:color w:val="000000" w:themeColor="text1"/>
        </w:rPr>
      </w:pPr>
      <w:r w:rsidRPr="00AF73D3">
        <w:rPr>
          <w:rStyle w:val="refauthors"/>
          <w:color w:val="000000" w:themeColor="text1"/>
        </w:rPr>
        <w:lastRenderedPageBreak/>
        <w:t xml:space="preserve">Friedman, J.N., Ahmed, S., Connolly, B., Chait, P., Mahant, S. </w:t>
      </w:r>
      <w:r w:rsidRPr="00AF73D3">
        <w:rPr>
          <w:rStyle w:val="reftitle"/>
          <w:color w:val="000000" w:themeColor="text1"/>
        </w:rPr>
        <w:t xml:space="preserve">Complications associated with image-guided gastrostomy and gastrojejunostomy tubes in children. </w:t>
      </w:r>
      <w:r w:rsidRPr="00AF73D3">
        <w:rPr>
          <w:rStyle w:val="refseriestitle"/>
          <w:color w:val="000000" w:themeColor="text1"/>
        </w:rPr>
        <w:t>Pediatrics</w:t>
      </w:r>
      <w:r w:rsidRPr="00AF73D3">
        <w:rPr>
          <w:rStyle w:val="reference"/>
          <w:color w:val="000000" w:themeColor="text1"/>
        </w:rPr>
        <w:t xml:space="preserve">. </w:t>
      </w:r>
      <w:proofErr w:type="gramStart"/>
      <w:r w:rsidRPr="00AF73D3">
        <w:rPr>
          <w:rStyle w:val="refseriesdate"/>
          <w:color w:val="000000" w:themeColor="text1"/>
        </w:rPr>
        <w:t>2004</w:t>
      </w:r>
      <w:r w:rsidRPr="00AF73D3">
        <w:rPr>
          <w:rStyle w:val="reference"/>
          <w:color w:val="000000" w:themeColor="text1"/>
        </w:rPr>
        <w:t>;</w:t>
      </w:r>
      <w:r w:rsidRPr="00AF73D3">
        <w:rPr>
          <w:rStyle w:val="refseriesvolume"/>
          <w:color w:val="000000" w:themeColor="text1"/>
        </w:rPr>
        <w:t>114</w:t>
      </w:r>
      <w:r w:rsidRPr="00AF73D3">
        <w:rPr>
          <w:rStyle w:val="reference"/>
          <w:color w:val="000000" w:themeColor="text1"/>
        </w:rPr>
        <w:t>:</w:t>
      </w:r>
      <w:r w:rsidRPr="00AF73D3">
        <w:rPr>
          <w:rStyle w:val="refpages"/>
          <w:color w:val="000000" w:themeColor="text1"/>
        </w:rPr>
        <w:t>458</w:t>
      </w:r>
      <w:proofErr w:type="gramEnd"/>
      <w:r w:rsidRPr="00AF73D3">
        <w:rPr>
          <w:rStyle w:val="refpages"/>
          <w:color w:val="000000" w:themeColor="text1"/>
        </w:rPr>
        <w:t>–461</w:t>
      </w:r>
    </w:p>
    <w:p w14:paraId="576D4ED9" w14:textId="5F38E6F6" w:rsidR="003E0A72" w:rsidRPr="00AF73D3" w:rsidRDefault="003E0A72" w:rsidP="00C5282B">
      <w:pPr>
        <w:spacing w:before="100" w:beforeAutospacing="1" w:after="100" w:afterAutospacing="1"/>
        <w:rPr>
          <w:color w:val="000000" w:themeColor="text1"/>
        </w:rPr>
      </w:pPr>
    </w:p>
    <w:p w14:paraId="1776BFB0"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Singh, R.R., Eaton, S., Cross, K.M., Curry, J.I., De Coppi, P., Kiely, E.M., Roebuck, D.J., Pierro, A. </w:t>
      </w:r>
      <w:r w:rsidRPr="00AF73D3">
        <w:rPr>
          <w:rStyle w:val="reftitle"/>
          <w:color w:val="000000" w:themeColor="text1"/>
        </w:rPr>
        <w:t xml:space="preserve">Management of a complication of percutaneous gastrostomy in children. </w:t>
      </w:r>
      <w:r w:rsidRPr="00AF73D3">
        <w:rPr>
          <w:rStyle w:val="refseriestitle"/>
          <w:color w:val="000000" w:themeColor="text1"/>
        </w:rPr>
        <w:t>Eur. J. Pediatr. Surg.</w:t>
      </w:r>
      <w:r w:rsidRPr="00AF73D3">
        <w:rPr>
          <w:rStyle w:val="reference"/>
          <w:color w:val="000000" w:themeColor="text1"/>
        </w:rPr>
        <w:t xml:space="preserve"> </w:t>
      </w:r>
      <w:proofErr w:type="gramStart"/>
      <w:r w:rsidRPr="00AF73D3">
        <w:rPr>
          <w:rStyle w:val="refseriesdate"/>
          <w:color w:val="000000" w:themeColor="text1"/>
        </w:rPr>
        <w:t>2013</w:t>
      </w:r>
      <w:r w:rsidRPr="00AF73D3">
        <w:rPr>
          <w:rStyle w:val="reference"/>
          <w:color w:val="000000" w:themeColor="text1"/>
        </w:rPr>
        <w:t>;</w:t>
      </w:r>
      <w:r w:rsidRPr="00AF73D3">
        <w:rPr>
          <w:rStyle w:val="refseriesvolume"/>
          <w:color w:val="000000" w:themeColor="text1"/>
        </w:rPr>
        <w:t>23</w:t>
      </w:r>
      <w:r w:rsidRPr="00AF73D3">
        <w:rPr>
          <w:rStyle w:val="reference"/>
          <w:color w:val="000000" w:themeColor="text1"/>
        </w:rPr>
        <w:t>:</w:t>
      </w:r>
      <w:r w:rsidRPr="00AF73D3">
        <w:rPr>
          <w:rStyle w:val="refpages"/>
          <w:color w:val="000000" w:themeColor="text1"/>
        </w:rPr>
        <w:t>76</w:t>
      </w:r>
      <w:proofErr w:type="gramEnd"/>
      <w:r w:rsidRPr="00AF73D3">
        <w:rPr>
          <w:rStyle w:val="refpages"/>
          <w:color w:val="000000" w:themeColor="text1"/>
        </w:rPr>
        <w:t>–79</w:t>
      </w:r>
    </w:p>
    <w:p w14:paraId="602E31D9" w14:textId="0670E83A"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2" w:history="1">
        <w:r w:rsidR="00C5282B" w:rsidRPr="002C3C39">
          <w:rPr>
            <w:rStyle w:val="Hyperlink"/>
          </w:rPr>
          <w:t>https://doi.org/10.1055/s-0032-1330844</w:t>
        </w:r>
      </w:hyperlink>
    </w:p>
    <w:p w14:paraId="1E9FB7D9" w14:textId="77777777" w:rsidR="00C5282B" w:rsidRPr="00AF73D3" w:rsidRDefault="00C5282B" w:rsidP="00C5282B">
      <w:pPr>
        <w:spacing w:before="100" w:beforeAutospacing="1" w:after="100" w:afterAutospacing="1"/>
        <w:ind w:left="720"/>
        <w:rPr>
          <w:color w:val="000000" w:themeColor="text1"/>
        </w:rPr>
      </w:pPr>
    </w:p>
    <w:p w14:paraId="64CAAE5C" w14:textId="0A616FB9" w:rsidR="003E0A72" w:rsidRDefault="003E0A72" w:rsidP="00C5282B">
      <w:pPr>
        <w:numPr>
          <w:ilvl w:val="0"/>
          <w:numId w:val="3"/>
        </w:numPr>
        <w:spacing w:before="100" w:beforeAutospacing="1" w:after="100" w:afterAutospacing="1"/>
        <w:rPr>
          <w:color w:val="000000" w:themeColor="text1"/>
        </w:rPr>
      </w:pPr>
      <w:r w:rsidRPr="00AF73D3">
        <w:rPr>
          <w:rStyle w:val="refauthors"/>
          <w:color w:val="000000" w:themeColor="text1"/>
        </w:rPr>
        <w:t xml:space="preserve">Cahill, A.M., Kaye, R.D., Fitz, C.R., </w:t>
      </w:r>
      <w:proofErr w:type="spellStart"/>
      <w:r w:rsidRPr="00AF73D3">
        <w:rPr>
          <w:rStyle w:val="refauthors"/>
          <w:color w:val="000000" w:themeColor="text1"/>
        </w:rPr>
        <w:t>Towbin</w:t>
      </w:r>
      <w:proofErr w:type="spellEnd"/>
      <w:r w:rsidRPr="00AF73D3">
        <w:rPr>
          <w:rStyle w:val="refauthors"/>
          <w:color w:val="000000" w:themeColor="text1"/>
        </w:rPr>
        <w:t xml:space="preserve">, R.B. </w:t>
      </w:r>
      <w:r w:rsidRPr="00AF73D3">
        <w:rPr>
          <w:rStyle w:val="reftitle"/>
          <w:color w:val="000000" w:themeColor="text1"/>
        </w:rPr>
        <w:t xml:space="preserve">Non-endoscopic removal of radiologically placed percutaneous primary gastrostomy tubes: a new technique. </w:t>
      </w:r>
      <w:r w:rsidRPr="00AF73D3">
        <w:rPr>
          <w:rStyle w:val="refseriestitle"/>
          <w:color w:val="000000" w:themeColor="text1"/>
        </w:rPr>
        <w:t>Pediatr. Radiol.</w:t>
      </w:r>
      <w:r w:rsidRPr="00AF73D3">
        <w:rPr>
          <w:rStyle w:val="reference"/>
          <w:color w:val="000000" w:themeColor="text1"/>
        </w:rPr>
        <w:t xml:space="preserve"> </w:t>
      </w:r>
      <w:proofErr w:type="gramStart"/>
      <w:r w:rsidRPr="00AF73D3">
        <w:rPr>
          <w:rStyle w:val="refseriesdate"/>
          <w:color w:val="000000" w:themeColor="text1"/>
        </w:rPr>
        <w:t>2001</w:t>
      </w:r>
      <w:r w:rsidRPr="00AF73D3">
        <w:rPr>
          <w:rStyle w:val="reference"/>
          <w:color w:val="000000" w:themeColor="text1"/>
        </w:rPr>
        <w:t>;</w:t>
      </w:r>
      <w:r w:rsidRPr="00AF73D3">
        <w:rPr>
          <w:rStyle w:val="refseriesvolume"/>
          <w:color w:val="000000" w:themeColor="text1"/>
        </w:rPr>
        <w:t>31</w:t>
      </w:r>
      <w:r w:rsidRPr="00AF73D3">
        <w:rPr>
          <w:rStyle w:val="reference"/>
          <w:color w:val="000000" w:themeColor="text1"/>
        </w:rPr>
        <w:t>:</w:t>
      </w:r>
      <w:r w:rsidRPr="00AF73D3">
        <w:rPr>
          <w:rStyle w:val="refpages"/>
          <w:color w:val="000000" w:themeColor="text1"/>
        </w:rPr>
        <w:t>546</w:t>
      </w:r>
      <w:proofErr w:type="gramEnd"/>
      <w:r w:rsidRPr="00AF73D3">
        <w:rPr>
          <w:rStyle w:val="refpages"/>
          <w:color w:val="000000" w:themeColor="text1"/>
        </w:rPr>
        <w:t>–549</w:t>
      </w:r>
    </w:p>
    <w:p w14:paraId="5707BD49" w14:textId="77777777" w:rsidR="00C5282B" w:rsidRPr="00C5282B" w:rsidRDefault="00C5282B" w:rsidP="00C5282B">
      <w:pPr>
        <w:spacing w:before="100" w:beforeAutospacing="1" w:after="100" w:afterAutospacing="1"/>
        <w:ind w:left="720"/>
        <w:rPr>
          <w:color w:val="000000" w:themeColor="text1"/>
        </w:rPr>
      </w:pPr>
    </w:p>
    <w:p w14:paraId="4E8FF37C"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Klein, W.M., der </w:t>
      </w:r>
      <w:proofErr w:type="spellStart"/>
      <w:r w:rsidRPr="00AF73D3">
        <w:rPr>
          <w:rStyle w:val="refauthors"/>
          <w:color w:val="000000" w:themeColor="text1"/>
        </w:rPr>
        <w:t>Putten</w:t>
      </w:r>
      <w:proofErr w:type="spellEnd"/>
      <w:r w:rsidRPr="00AF73D3">
        <w:rPr>
          <w:rStyle w:val="refauthors"/>
          <w:color w:val="000000" w:themeColor="text1"/>
        </w:rPr>
        <w:t xml:space="preserve">, M.E.V., Kusters, B., Verhoeven, B.H. </w:t>
      </w:r>
      <w:r w:rsidRPr="00AF73D3">
        <w:rPr>
          <w:rStyle w:val="reftitle"/>
          <w:color w:val="000000" w:themeColor="text1"/>
        </w:rPr>
        <w:t xml:space="preserve">Fatal complications after pediatric surgical interventions: lessons learned. </w:t>
      </w:r>
      <w:r w:rsidRPr="00AF73D3">
        <w:rPr>
          <w:rStyle w:val="refseriestitle"/>
          <w:color w:val="000000" w:themeColor="text1"/>
        </w:rPr>
        <w:t>Eur. J. Pediatr. Surg. Rep.</w:t>
      </w:r>
      <w:r w:rsidRPr="00AF73D3">
        <w:rPr>
          <w:rStyle w:val="reference"/>
          <w:color w:val="000000" w:themeColor="text1"/>
        </w:rPr>
        <w:t xml:space="preserve"> </w:t>
      </w:r>
      <w:r w:rsidRPr="00AF73D3">
        <w:rPr>
          <w:rStyle w:val="refseriesdate"/>
          <w:color w:val="000000" w:themeColor="text1"/>
        </w:rPr>
        <w:t>2017</w:t>
      </w:r>
      <w:r w:rsidRPr="00AF73D3">
        <w:rPr>
          <w:rStyle w:val="reference"/>
          <w:color w:val="000000" w:themeColor="text1"/>
        </w:rPr>
        <w:t>;</w:t>
      </w:r>
      <w:proofErr w:type="gramStart"/>
      <w:r w:rsidRPr="00AF73D3">
        <w:rPr>
          <w:rStyle w:val="refseriesvolume"/>
          <w:color w:val="000000" w:themeColor="text1"/>
        </w:rPr>
        <w:t>05</w:t>
      </w:r>
      <w:r w:rsidRPr="00AF73D3">
        <w:rPr>
          <w:rStyle w:val="reference"/>
          <w:color w:val="000000" w:themeColor="text1"/>
        </w:rPr>
        <w:t>:</w:t>
      </w:r>
      <w:r w:rsidRPr="00AF73D3">
        <w:rPr>
          <w:rStyle w:val="refpages"/>
          <w:color w:val="000000" w:themeColor="text1"/>
        </w:rPr>
        <w:t>e</w:t>
      </w:r>
      <w:proofErr w:type="gramEnd"/>
      <w:r w:rsidRPr="00AF73D3">
        <w:rPr>
          <w:rStyle w:val="refpages"/>
          <w:color w:val="000000" w:themeColor="text1"/>
        </w:rPr>
        <w:t>12–e16</w:t>
      </w:r>
    </w:p>
    <w:p w14:paraId="646E5F36" w14:textId="7C68BC33"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3" w:history="1">
        <w:r w:rsidR="00C5282B" w:rsidRPr="002C3C39">
          <w:rPr>
            <w:rStyle w:val="Hyperlink"/>
          </w:rPr>
          <w:t>https://doi.org/10.1055/s-0037-1599795</w:t>
        </w:r>
      </w:hyperlink>
    </w:p>
    <w:p w14:paraId="1E79E1E2" w14:textId="77777777" w:rsidR="00C5282B" w:rsidRPr="00AF73D3" w:rsidRDefault="00C5282B" w:rsidP="00C5282B">
      <w:pPr>
        <w:spacing w:before="100" w:beforeAutospacing="1" w:after="100" w:afterAutospacing="1"/>
        <w:ind w:left="720"/>
        <w:rPr>
          <w:color w:val="000000" w:themeColor="text1"/>
        </w:rPr>
      </w:pPr>
    </w:p>
    <w:p w14:paraId="794778E0"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Shah, M., </w:t>
      </w:r>
      <w:proofErr w:type="spellStart"/>
      <w:r w:rsidRPr="00AF73D3">
        <w:rPr>
          <w:rStyle w:val="refauthors"/>
          <w:color w:val="000000" w:themeColor="text1"/>
        </w:rPr>
        <w:t>Klooster</w:t>
      </w:r>
      <w:proofErr w:type="spellEnd"/>
      <w:r w:rsidRPr="00AF73D3">
        <w:rPr>
          <w:rStyle w:val="refauthors"/>
          <w:color w:val="000000" w:themeColor="text1"/>
        </w:rPr>
        <w:t xml:space="preserve">, M., Yanni, G., Shah, A. </w:t>
      </w:r>
      <w:r w:rsidRPr="00AF73D3">
        <w:rPr>
          <w:rStyle w:val="reftitle"/>
          <w:color w:val="000000" w:themeColor="text1"/>
        </w:rPr>
        <w:t xml:space="preserve">Frequency and methods of </w:t>
      </w:r>
      <w:proofErr w:type="spellStart"/>
      <w:r w:rsidRPr="00AF73D3">
        <w:rPr>
          <w:rStyle w:val="reftitle"/>
          <w:color w:val="000000" w:themeColor="text1"/>
        </w:rPr>
        <w:t>gastrojejunal</w:t>
      </w:r>
      <w:proofErr w:type="spellEnd"/>
      <w:r w:rsidRPr="00AF73D3">
        <w:rPr>
          <w:rStyle w:val="reftitle"/>
          <w:color w:val="000000" w:themeColor="text1"/>
        </w:rPr>
        <w:t xml:space="preserve"> tube replacement in children. </w:t>
      </w:r>
      <w:proofErr w:type="spellStart"/>
      <w:r w:rsidRPr="00AF73D3">
        <w:rPr>
          <w:rStyle w:val="refseriestitle"/>
          <w:color w:val="000000" w:themeColor="text1"/>
        </w:rPr>
        <w:t>Curr</w:t>
      </w:r>
      <w:proofErr w:type="spellEnd"/>
      <w:r w:rsidRPr="00AF73D3">
        <w:rPr>
          <w:rStyle w:val="refseriestitle"/>
          <w:color w:val="000000" w:themeColor="text1"/>
        </w:rPr>
        <w:t>. Gastroenterol. Rep.</w:t>
      </w:r>
      <w:r w:rsidRPr="00AF73D3">
        <w:rPr>
          <w:rStyle w:val="reference"/>
          <w:color w:val="000000" w:themeColor="text1"/>
        </w:rPr>
        <w:t xml:space="preserve"> </w:t>
      </w:r>
      <w:proofErr w:type="gramStart"/>
      <w:r w:rsidRPr="00AF73D3">
        <w:rPr>
          <w:rStyle w:val="refseriesdate"/>
          <w:color w:val="000000" w:themeColor="text1"/>
        </w:rPr>
        <w:t>2010</w:t>
      </w:r>
      <w:r w:rsidRPr="00AF73D3">
        <w:rPr>
          <w:rStyle w:val="reference"/>
          <w:color w:val="000000" w:themeColor="text1"/>
        </w:rPr>
        <w:t>;</w:t>
      </w:r>
      <w:r w:rsidRPr="00AF73D3">
        <w:rPr>
          <w:rStyle w:val="refseriesvolume"/>
          <w:color w:val="000000" w:themeColor="text1"/>
        </w:rPr>
        <w:t>12</w:t>
      </w:r>
      <w:r w:rsidRPr="00AF73D3">
        <w:rPr>
          <w:rStyle w:val="reference"/>
          <w:color w:val="000000" w:themeColor="text1"/>
        </w:rPr>
        <w:t>:</w:t>
      </w:r>
      <w:r w:rsidRPr="00AF73D3">
        <w:rPr>
          <w:rStyle w:val="refpages"/>
          <w:color w:val="000000" w:themeColor="text1"/>
        </w:rPr>
        <w:t>223</w:t>
      </w:r>
      <w:proofErr w:type="gramEnd"/>
      <w:r w:rsidRPr="00AF73D3">
        <w:rPr>
          <w:rStyle w:val="refpages"/>
          <w:color w:val="000000" w:themeColor="text1"/>
        </w:rPr>
        <w:t>–227</w:t>
      </w:r>
    </w:p>
    <w:p w14:paraId="666EC55C" w14:textId="465CF033"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4" w:history="1">
        <w:r w:rsidR="00C5282B" w:rsidRPr="002C3C39">
          <w:rPr>
            <w:rStyle w:val="Hyperlink"/>
          </w:rPr>
          <w:t>https://doi.org/10.1007/s11894-010-0107-2</w:t>
        </w:r>
      </w:hyperlink>
    </w:p>
    <w:p w14:paraId="21DCB5D3" w14:textId="77777777" w:rsidR="00C5282B" w:rsidRPr="00AF73D3" w:rsidRDefault="00C5282B" w:rsidP="00C5282B">
      <w:pPr>
        <w:spacing w:before="100" w:beforeAutospacing="1" w:after="100" w:afterAutospacing="1"/>
        <w:ind w:left="720"/>
        <w:rPr>
          <w:color w:val="000000" w:themeColor="text1"/>
        </w:rPr>
      </w:pPr>
    </w:p>
    <w:p w14:paraId="429645B8"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Gill, A.E., Gallagher, N., </w:t>
      </w:r>
      <w:proofErr w:type="spellStart"/>
      <w:r w:rsidRPr="00AF73D3">
        <w:rPr>
          <w:rStyle w:val="refauthors"/>
          <w:color w:val="000000" w:themeColor="text1"/>
        </w:rPr>
        <w:t>McElhanon</w:t>
      </w:r>
      <w:proofErr w:type="spellEnd"/>
      <w:r w:rsidRPr="00AF73D3">
        <w:rPr>
          <w:rStyle w:val="refauthors"/>
          <w:color w:val="000000" w:themeColor="text1"/>
        </w:rPr>
        <w:t xml:space="preserve">, B.O., Painter, A.R., Gold, B.D., Hawkins, C.M. </w:t>
      </w:r>
      <w:r w:rsidRPr="00AF73D3">
        <w:rPr>
          <w:rStyle w:val="reftitle"/>
          <w:color w:val="000000" w:themeColor="text1"/>
        </w:rPr>
        <w:t xml:space="preserve">Image-guided placement of percutaneous de novo low-profile gastrojejunostomy tubes in the pediatric population: a study of feasibility and efficacy. </w:t>
      </w:r>
      <w:r w:rsidRPr="00AF73D3">
        <w:rPr>
          <w:rStyle w:val="refseriestitle"/>
          <w:color w:val="000000" w:themeColor="text1"/>
        </w:rPr>
        <w:t>Pediatr. Radiol.</w:t>
      </w:r>
      <w:r w:rsidRPr="00AF73D3">
        <w:rPr>
          <w:rStyle w:val="reference"/>
          <w:color w:val="000000" w:themeColor="text1"/>
        </w:rPr>
        <w:t xml:space="preserve"> </w:t>
      </w:r>
      <w:proofErr w:type="gramStart"/>
      <w:r w:rsidRPr="00AF73D3">
        <w:rPr>
          <w:rStyle w:val="refseriesdate"/>
          <w:color w:val="000000" w:themeColor="text1"/>
        </w:rPr>
        <w:t>2018</w:t>
      </w:r>
      <w:r w:rsidRPr="00AF73D3">
        <w:rPr>
          <w:rStyle w:val="reference"/>
          <w:color w:val="000000" w:themeColor="text1"/>
        </w:rPr>
        <w:t>;</w:t>
      </w:r>
      <w:r w:rsidRPr="00AF73D3">
        <w:rPr>
          <w:rStyle w:val="refseriesvolume"/>
          <w:color w:val="000000" w:themeColor="text1"/>
        </w:rPr>
        <w:t>48</w:t>
      </w:r>
      <w:r w:rsidRPr="00AF73D3">
        <w:rPr>
          <w:rStyle w:val="reference"/>
          <w:color w:val="000000" w:themeColor="text1"/>
        </w:rPr>
        <w:t>:</w:t>
      </w:r>
      <w:r w:rsidRPr="00AF73D3">
        <w:rPr>
          <w:rStyle w:val="refpages"/>
          <w:color w:val="000000" w:themeColor="text1"/>
        </w:rPr>
        <w:t>882</w:t>
      </w:r>
      <w:proofErr w:type="gramEnd"/>
      <w:r w:rsidRPr="00AF73D3">
        <w:rPr>
          <w:rStyle w:val="refpages"/>
          <w:color w:val="000000" w:themeColor="text1"/>
        </w:rPr>
        <w:t>–888</w:t>
      </w:r>
    </w:p>
    <w:p w14:paraId="19FD81E2" w14:textId="06F90DBE" w:rsidR="003E0A72" w:rsidRDefault="003E0A72" w:rsidP="003E0A72">
      <w:pPr>
        <w:spacing w:before="100" w:beforeAutospacing="1" w:after="100" w:afterAutospacing="1"/>
        <w:ind w:left="720"/>
        <w:rPr>
          <w:color w:val="000000" w:themeColor="text1"/>
        </w:rPr>
      </w:pPr>
      <w:r w:rsidRPr="00AF73D3">
        <w:rPr>
          <w:color w:val="000000" w:themeColor="text1"/>
        </w:rPr>
        <w:t xml:space="preserve">DOI: </w:t>
      </w:r>
      <w:hyperlink r:id="rId55" w:history="1">
        <w:r w:rsidR="00C5282B" w:rsidRPr="002C3C39">
          <w:rPr>
            <w:rStyle w:val="Hyperlink"/>
          </w:rPr>
          <w:t>https://doi.org/10.1007/s00247-018-4082-3</w:t>
        </w:r>
      </w:hyperlink>
    </w:p>
    <w:p w14:paraId="339E9828" w14:textId="1B90F610" w:rsidR="003E0A72" w:rsidRPr="00AF73D3" w:rsidRDefault="003E0A72" w:rsidP="00C5282B">
      <w:pPr>
        <w:spacing w:before="100" w:beforeAutospacing="1" w:after="100" w:afterAutospacing="1"/>
        <w:rPr>
          <w:color w:val="000000" w:themeColor="text1"/>
        </w:rPr>
      </w:pPr>
    </w:p>
    <w:p w14:paraId="663FF35F"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Campwala</w:t>
      </w:r>
      <w:proofErr w:type="spellEnd"/>
      <w:r w:rsidRPr="00AF73D3">
        <w:rPr>
          <w:rStyle w:val="refauthors"/>
          <w:color w:val="000000" w:themeColor="text1"/>
        </w:rPr>
        <w:t xml:space="preserve">, I., Perrone, E., Yanni, G., Shah, M., </w:t>
      </w:r>
      <w:proofErr w:type="spellStart"/>
      <w:r w:rsidRPr="00AF73D3">
        <w:rPr>
          <w:rStyle w:val="refauthors"/>
          <w:color w:val="000000" w:themeColor="text1"/>
        </w:rPr>
        <w:t>Gollin</w:t>
      </w:r>
      <w:proofErr w:type="spellEnd"/>
      <w:r w:rsidRPr="00AF73D3">
        <w:rPr>
          <w:rStyle w:val="refauthors"/>
          <w:color w:val="000000" w:themeColor="text1"/>
        </w:rPr>
        <w:t xml:space="preserve">, G. </w:t>
      </w:r>
      <w:r w:rsidRPr="00AF73D3">
        <w:rPr>
          <w:rStyle w:val="reftitle"/>
          <w:color w:val="000000" w:themeColor="text1"/>
        </w:rPr>
        <w:t xml:space="preserve">Complications of </w:t>
      </w:r>
      <w:proofErr w:type="spellStart"/>
      <w:r w:rsidRPr="00AF73D3">
        <w:rPr>
          <w:rStyle w:val="reftitle"/>
          <w:color w:val="000000" w:themeColor="text1"/>
        </w:rPr>
        <w:t>gastrojejunal</w:t>
      </w:r>
      <w:proofErr w:type="spellEnd"/>
      <w:r w:rsidRPr="00AF73D3">
        <w:rPr>
          <w:rStyle w:val="reftitle"/>
          <w:color w:val="000000" w:themeColor="text1"/>
        </w:rPr>
        <w:t xml:space="preserve"> feeding tubes in children. </w:t>
      </w:r>
      <w:r w:rsidRPr="00AF73D3">
        <w:rPr>
          <w:rStyle w:val="refseriestitle"/>
          <w:color w:val="000000" w:themeColor="text1"/>
        </w:rPr>
        <w:t>J. Surg. Res.</w:t>
      </w:r>
      <w:r w:rsidRPr="00AF73D3">
        <w:rPr>
          <w:rStyle w:val="reference"/>
          <w:color w:val="000000" w:themeColor="text1"/>
        </w:rPr>
        <w:t xml:space="preserve"> </w:t>
      </w:r>
      <w:proofErr w:type="gramStart"/>
      <w:r w:rsidRPr="00AF73D3">
        <w:rPr>
          <w:rStyle w:val="refseriesdate"/>
          <w:color w:val="000000" w:themeColor="text1"/>
        </w:rPr>
        <w:t>2015</w:t>
      </w:r>
      <w:r w:rsidRPr="00AF73D3">
        <w:rPr>
          <w:rStyle w:val="reference"/>
          <w:color w:val="000000" w:themeColor="text1"/>
        </w:rPr>
        <w:t>;</w:t>
      </w:r>
      <w:r w:rsidRPr="00AF73D3">
        <w:rPr>
          <w:rStyle w:val="refseriesvolume"/>
          <w:color w:val="000000" w:themeColor="text1"/>
        </w:rPr>
        <w:t>199</w:t>
      </w:r>
      <w:r w:rsidRPr="00AF73D3">
        <w:rPr>
          <w:rStyle w:val="reference"/>
          <w:color w:val="000000" w:themeColor="text1"/>
        </w:rPr>
        <w:t>:</w:t>
      </w:r>
      <w:r w:rsidRPr="00AF73D3">
        <w:rPr>
          <w:rStyle w:val="refpages"/>
          <w:color w:val="000000" w:themeColor="text1"/>
        </w:rPr>
        <w:t>67</w:t>
      </w:r>
      <w:proofErr w:type="gramEnd"/>
      <w:r w:rsidRPr="00AF73D3">
        <w:rPr>
          <w:rStyle w:val="refpages"/>
          <w:color w:val="000000" w:themeColor="text1"/>
        </w:rPr>
        <w:t>–71</w:t>
      </w:r>
    </w:p>
    <w:p w14:paraId="47A676C7" w14:textId="5518696E"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6" w:history="1">
        <w:r w:rsidR="00C5282B" w:rsidRPr="002C3C39">
          <w:rPr>
            <w:rStyle w:val="Hyperlink"/>
          </w:rPr>
          <w:t>https://doi.org/10.1016/j.jss.2015.06.058</w:t>
        </w:r>
      </w:hyperlink>
    </w:p>
    <w:p w14:paraId="6151A835" w14:textId="77777777" w:rsidR="00C5282B" w:rsidRPr="00AF73D3" w:rsidRDefault="00C5282B" w:rsidP="00C5282B">
      <w:pPr>
        <w:spacing w:before="100" w:beforeAutospacing="1" w:after="100" w:afterAutospacing="1"/>
        <w:ind w:left="720"/>
        <w:rPr>
          <w:color w:val="000000" w:themeColor="text1"/>
        </w:rPr>
      </w:pPr>
    </w:p>
    <w:p w14:paraId="582786FC"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lastRenderedPageBreak/>
        <w:t xml:space="preserve">Wales, P.W., Diamond, I.R., Dutta, S., </w:t>
      </w:r>
      <w:proofErr w:type="spellStart"/>
      <w:r w:rsidRPr="00AF73D3">
        <w:rPr>
          <w:rStyle w:val="refauthors"/>
          <w:color w:val="000000" w:themeColor="text1"/>
        </w:rPr>
        <w:t>Muraca</w:t>
      </w:r>
      <w:proofErr w:type="spellEnd"/>
      <w:r w:rsidRPr="00AF73D3">
        <w:rPr>
          <w:rStyle w:val="refauthors"/>
          <w:color w:val="000000" w:themeColor="text1"/>
        </w:rPr>
        <w:t xml:space="preserve">, S., Chait, P., Connolly, B., Langer, J.C. </w:t>
      </w:r>
      <w:r w:rsidRPr="00AF73D3">
        <w:rPr>
          <w:rStyle w:val="reftitle"/>
          <w:color w:val="000000" w:themeColor="text1"/>
        </w:rPr>
        <w:t xml:space="preserve">Fundoplication and gastrostomy versus image-guided </w:t>
      </w:r>
      <w:proofErr w:type="spellStart"/>
      <w:r w:rsidRPr="00AF73D3">
        <w:rPr>
          <w:rStyle w:val="reftitle"/>
          <w:color w:val="000000" w:themeColor="text1"/>
        </w:rPr>
        <w:t>gastrojejunal</w:t>
      </w:r>
      <w:proofErr w:type="spellEnd"/>
      <w:r w:rsidRPr="00AF73D3">
        <w:rPr>
          <w:rStyle w:val="reftitle"/>
          <w:color w:val="000000" w:themeColor="text1"/>
        </w:rPr>
        <w:t xml:space="preserve"> tube for enteral feeding in neurologically impaired children with gastroesophageal reflux.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2002</w:t>
      </w:r>
      <w:r w:rsidRPr="00AF73D3">
        <w:rPr>
          <w:rStyle w:val="reference"/>
          <w:color w:val="000000" w:themeColor="text1"/>
        </w:rPr>
        <w:t>;</w:t>
      </w:r>
      <w:r w:rsidRPr="00AF73D3">
        <w:rPr>
          <w:rStyle w:val="refseriesvolume"/>
          <w:color w:val="000000" w:themeColor="text1"/>
        </w:rPr>
        <w:t>37</w:t>
      </w:r>
      <w:r w:rsidRPr="00AF73D3">
        <w:rPr>
          <w:rStyle w:val="reference"/>
          <w:color w:val="000000" w:themeColor="text1"/>
        </w:rPr>
        <w:t>:</w:t>
      </w:r>
      <w:r w:rsidRPr="00AF73D3">
        <w:rPr>
          <w:rStyle w:val="refpages"/>
          <w:color w:val="000000" w:themeColor="text1"/>
        </w:rPr>
        <w:t>407</w:t>
      </w:r>
      <w:proofErr w:type="gramEnd"/>
      <w:r w:rsidRPr="00AF73D3">
        <w:rPr>
          <w:rStyle w:val="refpages"/>
          <w:color w:val="000000" w:themeColor="text1"/>
        </w:rPr>
        <w:t>–412</w:t>
      </w:r>
    </w:p>
    <w:p w14:paraId="5FABBC29" w14:textId="246DFEF0"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7" w:history="1">
        <w:r w:rsidR="00C5282B" w:rsidRPr="002C3C39">
          <w:rPr>
            <w:rStyle w:val="Hyperlink"/>
          </w:rPr>
          <w:t>https://doi.org/10.1053/jpsu.2002.30849</w:t>
        </w:r>
      </w:hyperlink>
    </w:p>
    <w:p w14:paraId="7B3246E0" w14:textId="77777777" w:rsidR="00C5282B" w:rsidRPr="00AF73D3" w:rsidRDefault="00C5282B" w:rsidP="00C5282B">
      <w:pPr>
        <w:spacing w:before="100" w:beforeAutospacing="1" w:after="100" w:afterAutospacing="1"/>
        <w:ind w:left="720"/>
        <w:rPr>
          <w:color w:val="000000" w:themeColor="text1"/>
        </w:rPr>
      </w:pPr>
    </w:p>
    <w:p w14:paraId="5A5E55D2"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King, M., Barnhart, D.C., O’Gorman, M., Downey, E.C., Jackson, D., </w:t>
      </w:r>
      <w:proofErr w:type="spellStart"/>
      <w:r w:rsidRPr="00AF73D3">
        <w:rPr>
          <w:rStyle w:val="refauthors"/>
          <w:color w:val="000000" w:themeColor="text1"/>
        </w:rPr>
        <w:t>Mundorff</w:t>
      </w:r>
      <w:proofErr w:type="spellEnd"/>
      <w:r w:rsidRPr="00AF73D3">
        <w:rPr>
          <w:rStyle w:val="refauthors"/>
          <w:color w:val="000000" w:themeColor="text1"/>
        </w:rPr>
        <w:t xml:space="preserve">, M., </w:t>
      </w:r>
      <w:proofErr w:type="spellStart"/>
      <w:r w:rsidRPr="00AF73D3">
        <w:rPr>
          <w:rStyle w:val="refauthors"/>
          <w:color w:val="000000" w:themeColor="text1"/>
        </w:rPr>
        <w:t>Holubkov</w:t>
      </w:r>
      <w:proofErr w:type="spellEnd"/>
      <w:r w:rsidRPr="00AF73D3">
        <w:rPr>
          <w:rStyle w:val="refauthors"/>
          <w:color w:val="000000" w:themeColor="text1"/>
        </w:rPr>
        <w:t xml:space="preserve">, R., </w:t>
      </w:r>
      <w:proofErr w:type="spellStart"/>
      <w:r w:rsidRPr="00AF73D3">
        <w:rPr>
          <w:rStyle w:val="refauthors"/>
          <w:color w:val="000000" w:themeColor="text1"/>
        </w:rPr>
        <w:t>Feola</w:t>
      </w:r>
      <w:proofErr w:type="spellEnd"/>
      <w:r w:rsidRPr="00AF73D3">
        <w:rPr>
          <w:rStyle w:val="refauthors"/>
          <w:color w:val="000000" w:themeColor="text1"/>
        </w:rPr>
        <w:t xml:space="preserve">, P., Srivastava, R. </w:t>
      </w:r>
      <w:r w:rsidRPr="00AF73D3">
        <w:rPr>
          <w:rStyle w:val="reftitle"/>
          <w:color w:val="000000" w:themeColor="text1"/>
        </w:rPr>
        <w:t xml:space="preserve">Effect of </w:t>
      </w:r>
      <w:proofErr w:type="spellStart"/>
      <w:r w:rsidRPr="00AF73D3">
        <w:rPr>
          <w:rStyle w:val="reftitle"/>
          <w:color w:val="000000" w:themeColor="text1"/>
        </w:rPr>
        <w:t>gastrojejunal</w:t>
      </w:r>
      <w:proofErr w:type="spellEnd"/>
      <w:r w:rsidRPr="00AF73D3">
        <w:rPr>
          <w:rStyle w:val="reftitle"/>
          <w:color w:val="000000" w:themeColor="text1"/>
        </w:rPr>
        <w:t xml:space="preserve"> feedings on visits and costs in children with neurologic impairment. </w:t>
      </w:r>
      <w:r w:rsidRPr="00AF73D3">
        <w:rPr>
          <w:rStyle w:val="refseriestitle"/>
          <w:color w:val="000000" w:themeColor="text1"/>
        </w:rPr>
        <w:t xml:space="preserve">J. Pediatr. Gastroenterol. </w:t>
      </w:r>
      <w:proofErr w:type="spellStart"/>
      <w:r w:rsidRPr="00AF73D3">
        <w:rPr>
          <w:rStyle w:val="refseriestitle"/>
          <w:color w:val="000000" w:themeColor="text1"/>
        </w:rPr>
        <w:t>Nutr</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2014</w:t>
      </w:r>
      <w:r w:rsidRPr="00AF73D3">
        <w:rPr>
          <w:rStyle w:val="reference"/>
          <w:color w:val="000000" w:themeColor="text1"/>
        </w:rPr>
        <w:t>;</w:t>
      </w:r>
      <w:r w:rsidRPr="00AF73D3">
        <w:rPr>
          <w:rStyle w:val="refseriesvolume"/>
          <w:color w:val="000000" w:themeColor="text1"/>
        </w:rPr>
        <w:t>58</w:t>
      </w:r>
      <w:r w:rsidRPr="00AF73D3">
        <w:rPr>
          <w:rStyle w:val="reference"/>
          <w:color w:val="000000" w:themeColor="text1"/>
        </w:rPr>
        <w:t>:</w:t>
      </w:r>
      <w:r w:rsidRPr="00AF73D3">
        <w:rPr>
          <w:rStyle w:val="refpages"/>
          <w:color w:val="000000" w:themeColor="text1"/>
        </w:rPr>
        <w:t>518</w:t>
      </w:r>
      <w:proofErr w:type="gramEnd"/>
      <w:r w:rsidRPr="00AF73D3">
        <w:rPr>
          <w:rStyle w:val="refpages"/>
          <w:color w:val="000000" w:themeColor="text1"/>
        </w:rPr>
        <w:t>–524</w:t>
      </w:r>
    </w:p>
    <w:p w14:paraId="16033E4E" w14:textId="5B46F8E3"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8" w:history="1">
        <w:r w:rsidR="00C5282B" w:rsidRPr="002C3C39">
          <w:rPr>
            <w:rStyle w:val="Hyperlink"/>
          </w:rPr>
          <w:t>https://doi.org/10.1097/MPG.0000000000000227</w:t>
        </w:r>
      </w:hyperlink>
    </w:p>
    <w:p w14:paraId="0998B167" w14:textId="77777777" w:rsidR="00C5282B" w:rsidRPr="00AF73D3" w:rsidRDefault="00C5282B" w:rsidP="00C5282B">
      <w:pPr>
        <w:spacing w:before="100" w:beforeAutospacing="1" w:after="100" w:afterAutospacing="1"/>
        <w:ind w:left="720"/>
        <w:rPr>
          <w:color w:val="000000" w:themeColor="text1"/>
        </w:rPr>
      </w:pPr>
    </w:p>
    <w:p w14:paraId="1579EF5C"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Koo, K.S.H., Reis, J., Manchester, J., Chaudry, G., Dillon, B. </w:t>
      </w:r>
      <w:r w:rsidRPr="00AF73D3">
        <w:rPr>
          <w:rStyle w:val="reftitle"/>
          <w:color w:val="000000" w:themeColor="text1"/>
        </w:rPr>
        <w:t xml:space="preserve">Effects of mechanical complications on radiation exposure during fluoroscopically guided gastrojejunostomy exchange in the pediatric population. </w:t>
      </w:r>
      <w:r w:rsidRPr="00AF73D3">
        <w:rPr>
          <w:rStyle w:val="refseriestitle"/>
          <w:color w:val="000000" w:themeColor="text1"/>
        </w:rPr>
        <w:t>Dysphagia</w:t>
      </w:r>
      <w:r w:rsidRPr="00AF73D3">
        <w:rPr>
          <w:rStyle w:val="reference"/>
          <w:color w:val="000000" w:themeColor="text1"/>
        </w:rPr>
        <w:t xml:space="preserve">. </w:t>
      </w:r>
      <w:proofErr w:type="gramStart"/>
      <w:r w:rsidRPr="00AF73D3">
        <w:rPr>
          <w:rStyle w:val="refseriesdate"/>
          <w:color w:val="000000" w:themeColor="text1"/>
        </w:rPr>
        <w:t>2017</w:t>
      </w:r>
      <w:r w:rsidRPr="00AF73D3">
        <w:rPr>
          <w:rStyle w:val="reference"/>
          <w:color w:val="000000" w:themeColor="text1"/>
        </w:rPr>
        <w:t>;:</w:t>
      </w:r>
      <w:proofErr w:type="gramEnd"/>
      <w:r w:rsidRPr="00AF73D3">
        <w:rPr>
          <w:rStyle w:val="refpages"/>
          <w:color w:val="000000" w:themeColor="text1"/>
        </w:rPr>
        <w:t>1–7</w:t>
      </w:r>
    </w:p>
    <w:p w14:paraId="16B64D19" w14:textId="6D19501D"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59" w:history="1">
        <w:r w:rsidR="00C5282B" w:rsidRPr="002C3C39">
          <w:rPr>
            <w:rStyle w:val="Hyperlink"/>
          </w:rPr>
          <w:t>https://doi.org/10.1007/s00455-017-9854-7</w:t>
        </w:r>
      </w:hyperlink>
    </w:p>
    <w:p w14:paraId="0BDA925C" w14:textId="77777777" w:rsidR="00C5282B" w:rsidRPr="00AF73D3" w:rsidRDefault="00C5282B" w:rsidP="00C5282B">
      <w:pPr>
        <w:spacing w:before="100" w:beforeAutospacing="1" w:after="100" w:afterAutospacing="1"/>
        <w:ind w:left="720"/>
        <w:rPr>
          <w:color w:val="000000" w:themeColor="text1"/>
        </w:rPr>
      </w:pPr>
    </w:p>
    <w:p w14:paraId="6AB87BAB"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Sharafinski</w:t>
      </w:r>
      <w:proofErr w:type="spellEnd"/>
      <w:r w:rsidRPr="00AF73D3">
        <w:rPr>
          <w:rStyle w:val="refauthors"/>
          <w:color w:val="000000" w:themeColor="text1"/>
        </w:rPr>
        <w:t xml:space="preserve">, M.E., </w:t>
      </w:r>
      <w:proofErr w:type="spellStart"/>
      <w:r w:rsidRPr="00AF73D3">
        <w:rPr>
          <w:rStyle w:val="refauthors"/>
          <w:color w:val="000000" w:themeColor="text1"/>
        </w:rPr>
        <w:t>Sehnert</w:t>
      </w:r>
      <w:proofErr w:type="spellEnd"/>
      <w:r w:rsidRPr="00AF73D3">
        <w:rPr>
          <w:rStyle w:val="refauthors"/>
          <w:color w:val="000000" w:themeColor="text1"/>
        </w:rPr>
        <w:t xml:space="preserve">, E., Moe, D., Zhang, L., Simpson, P., Vo, N.J. </w:t>
      </w:r>
      <w:r w:rsidRPr="00AF73D3">
        <w:rPr>
          <w:rStyle w:val="reftitle"/>
          <w:color w:val="000000" w:themeColor="text1"/>
        </w:rPr>
        <w:t xml:space="preserve">Pediatric gastrojejunostomy tube replacement: effects of communication on the need for after-hours procedures. </w:t>
      </w:r>
      <w:r w:rsidRPr="00AF73D3">
        <w:rPr>
          <w:rStyle w:val="refseriestitle"/>
          <w:color w:val="000000" w:themeColor="text1"/>
        </w:rPr>
        <w:t xml:space="preserve">J. Pediatr. Gastroenterol. </w:t>
      </w:r>
      <w:proofErr w:type="spellStart"/>
      <w:r w:rsidRPr="00AF73D3">
        <w:rPr>
          <w:rStyle w:val="refseriestitle"/>
          <w:color w:val="000000" w:themeColor="text1"/>
        </w:rPr>
        <w:t>Nutr</w:t>
      </w:r>
      <w:proofErr w:type="spellEnd"/>
      <w:r w:rsidRPr="00AF73D3">
        <w:rPr>
          <w:rStyle w:val="refseriestitle"/>
          <w:color w:val="000000" w:themeColor="text1"/>
        </w:rPr>
        <w:t>.</w:t>
      </w:r>
      <w:r w:rsidRPr="00AF73D3">
        <w:rPr>
          <w:rStyle w:val="reference"/>
          <w:color w:val="000000" w:themeColor="text1"/>
        </w:rPr>
        <w:t xml:space="preserve"> </w:t>
      </w:r>
      <w:r w:rsidRPr="00AF73D3">
        <w:rPr>
          <w:rStyle w:val="refseriesdate"/>
          <w:color w:val="000000" w:themeColor="text1"/>
        </w:rPr>
        <w:t>2016</w:t>
      </w:r>
      <w:r w:rsidRPr="00AF73D3">
        <w:rPr>
          <w:rStyle w:val="reference"/>
          <w:color w:val="000000" w:themeColor="text1"/>
        </w:rPr>
        <w:t>;</w:t>
      </w:r>
      <w:proofErr w:type="gramStart"/>
      <w:r w:rsidRPr="00AF73D3">
        <w:rPr>
          <w:rStyle w:val="refseriesvolume"/>
          <w:color w:val="000000" w:themeColor="text1"/>
        </w:rPr>
        <w:t>63</w:t>
      </w:r>
      <w:r w:rsidRPr="00AF73D3">
        <w:rPr>
          <w:rStyle w:val="reference"/>
          <w:color w:val="000000" w:themeColor="text1"/>
        </w:rPr>
        <w:t>:</w:t>
      </w:r>
      <w:r w:rsidRPr="00AF73D3">
        <w:rPr>
          <w:rStyle w:val="refpages"/>
          <w:color w:val="000000" w:themeColor="text1"/>
        </w:rPr>
        <w:t>e</w:t>
      </w:r>
      <w:proofErr w:type="gramEnd"/>
      <w:r w:rsidRPr="00AF73D3">
        <w:rPr>
          <w:rStyle w:val="refpages"/>
          <w:color w:val="000000" w:themeColor="text1"/>
        </w:rPr>
        <w:t>27–e30</w:t>
      </w:r>
    </w:p>
    <w:p w14:paraId="734FF9F0" w14:textId="21F18E0D"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60" w:history="1">
        <w:r w:rsidR="00C5282B" w:rsidRPr="002C3C39">
          <w:rPr>
            <w:rStyle w:val="Hyperlink"/>
          </w:rPr>
          <w:t>https://doi.org/10.1097/MPG.0000000000001267</w:t>
        </w:r>
      </w:hyperlink>
    </w:p>
    <w:p w14:paraId="0887D9AD" w14:textId="77777777" w:rsidR="00C5282B" w:rsidRPr="00AF73D3" w:rsidRDefault="00C5282B" w:rsidP="00C5282B">
      <w:pPr>
        <w:spacing w:before="100" w:beforeAutospacing="1" w:after="100" w:afterAutospacing="1"/>
        <w:ind w:left="720"/>
        <w:rPr>
          <w:color w:val="000000" w:themeColor="text1"/>
        </w:rPr>
      </w:pPr>
    </w:p>
    <w:p w14:paraId="5E34656C"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Rosen, R., Garza, J.M., </w:t>
      </w:r>
      <w:proofErr w:type="spellStart"/>
      <w:r w:rsidRPr="00AF73D3">
        <w:rPr>
          <w:rStyle w:val="refauthors"/>
          <w:color w:val="000000" w:themeColor="text1"/>
        </w:rPr>
        <w:t>Tipnis</w:t>
      </w:r>
      <w:proofErr w:type="spellEnd"/>
      <w:r w:rsidRPr="00AF73D3">
        <w:rPr>
          <w:rStyle w:val="refauthors"/>
          <w:color w:val="000000" w:themeColor="text1"/>
        </w:rPr>
        <w:t xml:space="preserve">, N., </w:t>
      </w:r>
      <w:proofErr w:type="spellStart"/>
      <w:r w:rsidRPr="00AF73D3">
        <w:rPr>
          <w:rStyle w:val="refauthors"/>
          <w:color w:val="000000" w:themeColor="text1"/>
        </w:rPr>
        <w:t>Nurko</w:t>
      </w:r>
      <w:proofErr w:type="spellEnd"/>
      <w:r w:rsidRPr="00AF73D3">
        <w:rPr>
          <w:rStyle w:val="refauthors"/>
          <w:color w:val="000000" w:themeColor="text1"/>
        </w:rPr>
        <w:t xml:space="preserve">, S. </w:t>
      </w:r>
      <w:r w:rsidRPr="00AF73D3">
        <w:rPr>
          <w:rStyle w:val="reftitle"/>
          <w:color w:val="000000" w:themeColor="text1"/>
        </w:rPr>
        <w:t xml:space="preserve">An ANMS-NASPGHAN consensus document on </w:t>
      </w:r>
      <w:proofErr w:type="spellStart"/>
      <w:r w:rsidRPr="00AF73D3">
        <w:rPr>
          <w:rStyle w:val="reftitle"/>
          <w:color w:val="000000" w:themeColor="text1"/>
        </w:rPr>
        <w:t>esophageal</w:t>
      </w:r>
      <w:proofErr w:type="spellEnd"/>
      <w:r w:rsidRPr="00AF73D3">
        <w:rPr>
          <w:rStyle w:val="reftitle"/>
          <w:color w:val="000000" w:themeColor="text1"/>
        </w:rPr>
        <w:t xml:space="preserve"> and </w:t>
      </w:r>
      <w:proofErr w:type="spellStart"/>
      <w:r w:rsidRPr="00AF73D3">
        <w:rPr>
          <w:rStyle w:val="reftitle"/>
          <w:color w:val="000000" w:themeColor="text1"/>
        </w:rPr>
        <w:t>antroduodenal</w:t>
      </w:r>
      <w:proofErr w:type="spellEnd"/>
      <w:r w:rsidRPr="00AF73D3">
        <w:rPr>
          <w:rStyle w:val="reftitle"/>
          <w:color w:val="000000" w:themeColor="text1"/>
        </w:rPr>
        <w:t xml:space="preserve"> manometry in children. </w:t>
      </w:r>
      <w:proofErr w:type="spellStart"/>
      <w:r w:rsidRPr="00AF73D3">
        <w:rPr>
          <w:rStyle w:val="refseriestitle"/>
          <w:color w:val="000000" w:themeColor="text1"/>
        </w:rPr>
        <w:t>Neurogastroenterol</w:t>
      </w:r>
      <w:proofErr w:type="spellEnd"/>
      <w:r w:rsidRPr="00AF73D3">
        <w:rPr>
          <w:rStyle w:val="refseriestitle"/>
          <w:color w:val="000000" w:themeColor="text1"/>
        </w:rPr>
        <w:t xml:space="preserve">. </w:t>
      </w:r>
      <w:proofErr w:type="spellStart"/>
      <w:r w:rsidRPr="00AF73D3">
        <w:rPr>
          <w:rStyle w:val="refseriestitle"/>
          <w:color w:val="000000" w:themeColor="text1"/>
        </w:rPr>
        <w:t>Motil</w:t>
      </w:r>
      <w:proofErr w:type="spellEnd"/>
      <w:r w:rsidRPr="00AF73D3">
        <w:rPr>
          <w:rStyle w:val="refseriestitle"/>
          <w:color w:val="000000" w:themeColor="text1"/>
        </w:rPr>
        <w:t>.</w:t>
      </w:r>
      <w:r w:rsidRPr="00AF73D3">
        <w:rPr>
          <w:rStyle w:val="reference"/>
          <w:color w:val="000000" w:themeColor="text1"/>
        </w:rPr>
        <w:t xml:space="preserve"> </w:t>
      </w:r>
      <w:r w:rsidRPr="00AF73D3">
        <w:rPr>
          <w:rStyle w:val="refseriesdate"/>
          <w:color w:val="000000" w:themeColor="text1"/>
        </w:rPr>
        <w:t>2018</w:t>
      </w:r>
      <w:r w:rsidRPr="00AF73D3">
        <w:rPr>
          <w:rStyle w:val="reference"/>
          <w:color w:val="000000" w:themeColor="text1"/>
        </w:rPr>
        <w:t>;</w:t>
      </w:r>
      <w:r w:rsidRPr="00AF73D3">
        <w:rPr>
          <w:rStyle w:val="refseriesvolume"/>
          <w:color w:val="000000" w:themeColor="text1"/>
        </w:rPr>
        <w:t>30</w:t>
      </w:r>
    </w:p>
    <w:p w14:paraId="1B23B62E" w14:textId="50B23EEA" w:rsidR="003E0A72" w:rsidRDefault="003E0A72" w:rsidP="003E0A72">
      <w:pPr>
        <w:spacing w:before="100" w:beforeAutospacing="1" w:after="100" w:afterAutospacing="1"/>
        <w:ind w:left="720"/>
        <w:rPr>
          <w:color w:val="000000" w:themeColor="text1"/>
        </w:rPr>
      </w:pPr>
      <w:r w:rsidRPr="00AF73D3">
        <w:rPr>
          <w:color w:val="000000" w:themeColor="text1"/>
        </w:rPr>
        <w:t xml:space="preserve">DOI: </w:t>
      </w:r>
      <w:hyperlink r:id="rId61" w:history="1">
        <w:r w:rsidR="00C5282B" w:rsidRPr="002C3C39">
          <w:rPr>
            <w:rStyle w:val="Hyperlink"/>
          </w:rPr>
          <w:t>https://doi.org/10.1111/nmo.13239</w:t>
        </w:r>
      </w:hyperlink>
    </w:p>
    <w:p w14:paraId="0EF5CF40" w14:textId="77777777" w:rsidR="00C5282B" w:rsidRPr="00AF73D3" w:rsidRDefault="00C5282B" w:rsidP="003E0A72">
      <w:pPr>
        <w:spacing w:before="100" w:beforeAutospacing="1" w:after="100" w:afterAutospacing="1"/>
        <w:ind w:left="720"/>
        <w:rPr>
          <w:color w:val="000000" w:themeColor="text1"/>
        </w:rPr>
      </w:pPr>
    </w:p>
    <w:p w14:paraId="5D676B6D" w14:textId="61247E08" w:rsidR="003E0A72" w:rsidRPr="00C5282B" w:rsidRDefault="003E0A72" w:rsidP="00C5282B">
      <w:pPr>
        <w:numPr>
          <w:ilvl w:val="0"/>
          <w:numId w:val="3"/>
        </w:numPr>
        <w:spacing w:before="100" w:beforeAutospacing="1" w:after="100" w:afterAutospacing="1"/>
        <w:rPr>
          <w:rStyle w:val="reference"/>
          <w:color w:val="000000" w:themeColor="text1"/>
        </w:rPr>
      </w:pPr>
      <w:r w:rsidRPr="00C5282B">
        <w:rPr>
          <w:rStyle w:val="refauthors"/>
          <w:color w:val="000000" w:themeColor="text1"/>
        </w:rPr>
        <w:t xml:space="preserve">Rodriguez, L., </w:t>
      </w:r>
      <w:proofErr w:type="spellStart"/>
      <w:r w:rsidRPr="00C5282B">
        <w:rPr>
          <w:rStyle w:val="refauthors"/>
          <w:color w:val="000000" w:themeColor="text1"/>
        </w:rPr>
        <w:t>Sood</w:t>
      </w:r>
      <w:proofErr w:type="spellEnd"/>
      <w:r w:rsidRPr="00C5282B">
        <w:rPr>
          <w:rStyle w:val="refauthors"/>
          <w:color w:val="000000" w:themeColor="text1"/>
        </w:rPr>
        <w:t xml:space="preserve">, M., Di Lorenzo, C., Saps, M. </w:t>
      </w:r>
      <w:r w:rsidRPr="00C5282B">
        <w:rPr>
          <w:rStyle w:val="reftitle"/>
          <w:color w:val="000000" w:themeColor="text1"/>
        </w:rPr>
        <w:t xml:space="preserve">An ANMS-NASPGHAN consensus document on anorectal and colonic manometry in children. </w:t>
      </w:r>
      <w:proofErr w:type="spellStart"/>
      <w:r w:rsidRPr="00C5282B">
        <w:rPr>
          <w:rStyle w:val="refseriestitle"/>
          <w:color w:val="000000" w:themeColor="text1"/>
        </w:rPr>
        <w:t>Neurogastroenterol</w:t>
      </w:r>
      <w:proofErr w:type="spellEnd"/>
      <w:r w:rsidRPr="00C5282B">
        <w:rPr>
          <w:rStyle w:val="refseriestitle"/>
          <w:color w:val="000000" w:themeColor="text1"/>
        </w:rPr>
        <w:t xml:space="preserve">. </w:t>
      </w:r>
      <w:proofErr w:type="spellStart"/>
      <w:r w:rsidRPr="00C5282B">
        <w:rPr>
          <w:rStyle w:val="refseriestitle"/>
          <w:color w:val="000000" w:themeColor="text1"/>
        </w:rPr>
        <w:t>Motil</w:t>
      </w:r>
      <w:proofErr w:type="spellEnd"/>
      <w:r w:rsidRPr="00C5282B">
        <w:rPr>
          <w:rStyle w:val="refseriestitle"/>
          <w:color w:val="000000" w:themeColor="text1"/>
        </w:rPr>
        <w:t>.</w:t>
      </w:r>
      <w:r w:rsidRPr="00C5282B">
        <w:rPr>
          <w:rStyle w:val="reference"/>
          <w:color w:val="000000" w:themeColor="text1"/>
        </w:rPr>
        <w:t xml:space="preserve"> </w:t>
      </w:r>
      <w:r w:rsidRPr="00C5282B">
        <w:rPr>
          <w:rStyle w:val="refseriesdate"/>
          <w:color w:val="000000" w:themeColor="text1"/>
        </w:rPr>
        <w:t>2017</w:t>
      </w:r>
      <w:r w:rsidRPr="00C5282B">
        <w:rPr>
          <w:rStyle w:val="reference"/>
          <w:color w:val="000000" w:themeColor="text1"/>
        </w:rPr>
        <w:t>;</w:t>
      </w:r>
      <w:r w:rsidRPr="00C5282B">
        <w:rPr>
          <w:rStyle w:val="refseriesvolume"/>
          <w:color w:val="000000" w:themeColor="text1"/>
        </w:rPr>
        <w:t>29</w:t>
      </w:r>
    </w:p>
    <w:p w14:paraId="63911E05" w14:textId="506C6156" w:rsidR="003E0A72" w:rsidRDefault="003E0A72" w:rsidP="003E0A72">
      <w:pPr>
        <w:spacing w:before="100" w:beforeAutospacing="1" w:after="100" w:afterAutospacing="1"/>
        <w:ind w:left="720"/>
        <w:rPr>
          <w:color w:val="000000" w:themeColor="text1"/>
        </w:rPr>
      </w:pPr>
      <w:r w:rsidRPr="00AF73D3">
        <w:rPr>
          <w:color w:val="000000" w:themeColor="text1"/>
        </w:rPr>
        <w:t xml:space="preserve">DOI: </w:t>
      </w:r>
      <w:hyperlink r:id="rId62" w:history="1">
        <w:r w:rsidR="00C5282B" w:rsidRPr="002C3C39">
          <w:rPr>
            <w:rStyle w:val="Hyperlink"/>
          </w:rPr>
          <w:t>https://doi.org/10.1111/nmo.12944</w:t>
        </w:r>
      </w:hyperlink>
    </w:p>
    <w:p w14:paraId="6EE84B82" w14:textId="77777777" w:rsidR="00C5282B" w:rsidRPr="00AF73D3" w:rsidRDefault="00C5282B" w:rsidP="003E0A72">
      <w:pPr>
        <w:spacing w:before="100" w:beforeAutospacing="1" w:after="100" w:afterAutospacing="1"/>
        <w:ind w:left="720"/>
        <w:rPr>
          <w:color w:val="000000" w:themeColor="text1"/>
        </w:rPr>
      </w:pPr>
    </w:p>
    <w:p w14:paraId="6F9B2DF6"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lastRenderedPageBreak/>
        <w:t xml:space="preserve">van den Berg, M.M., Hogan, M., Mousa, H.M., Di Lorenzo, C. </w:t>
      </w:r>
      <w:r w:rsidRPr="00AF73D3">
        <w:rPr>
          <w:rStyle w:val="reftitle"/>
          <w:color w:val="000000" w:themeColor="text1"/>
        </w:rPr>
        <w:t xml:space="preserve">Colonic manometry catheter placement with primary fluoroscopic guidance. </w:t>
      </w:r>
      <w:r w:rsidRPr="00AF73D3">
        <w:rPr>
          <w:rStyle w:val="refseriestitle"/>
          <w:color w:val="000000" w:themeColor="text1"/>
        </w:rPr>
        <w:t>Dig. Dis. Sci.</w:t>
      </w:r>
      <w:r w:rsidRPr="00AF73D3">
        <w:rPr>
          <w:rStyle w:val="reference"/>
          <w:color w:val="000000" w:themeColor="text1"/>
        </w:rPr>
        <w:t xml:space="preserve"> </w:t>
      </w:r>
      <w:proofErr w:type="gramStart"/>
      <w:r w:rsidRPr="00AF73D3">
        <w:rPr>
          <w:rStyle w:val="refseriesdate"/>
          <w:color w:val="000000" w:themeColor="text1"/>
        </w:rPr>
        <w:t>2007</w:t>
      </w:r>
      <w:r w:rsidRPr="00AF73D3">
        <w:rPr>
          <w:rStyle w:val="reference"/>
          <w:color w:val="000000" w:themeColor="text1"/>
        </w:rPr>
        <w:t>;</w:t>
      </w:r>
      <w:r w:rsidRPr="00AF73D3">
        <w:rPr>
          <w:rStyle w:val="refseriesvolume"/>
          <w:color w:val="000000" w:themeColor="text1"/>
        </w:rPr>
        <w:t>52</w:t>
      </w:r>
      <w:r w:rsidRPr="00AF73D3">
        <w:rPr>
          <w:rStyle w:val="reference"/>
          <w:color w:val="000000" w:themeColor="text1"/>
        </w:rPr>
        <w:t>:</w:t>
      </w:r>
      <w:r w:rsidRPr="00AF73D3">
        <w:rPr>
          <w:rStyle w:val="refpages"/>
          <w:color w:val="000000" w:themeColor="text1"/>
        </w:rPr>
        <w:t>2282</w:t>
      </w:r>
      <w:proofErr w:type="gramEnd"/>
      <w:r w:rsidRPr="00AF73D3">
        <w:rPr>
          <w:rStyle w:val="refpages"/>
          <w:color w:val="000000" w:themeColor="text1"/>
        </w:rPr>
        <w:t>–2286</w:t>
      </w:r>
    </w:p>
    <w:p w14:paraId="2476EF4F" w14:textId="59FCF14C"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63" w:history="1">
        <w:r w:rsidR="00C5282B" w:rsidRPr="002C3C39">
          <w:rPr>
            <w:rStyle w:val="Hyperlink"/>
          </w:rPr>
          <w:t>https://doi.org/10.1007/s10620-007-9745-0</w:t>
        </w:r>
      </w:hyperlink>
    </w:p>
    <w:p w14:paraId="4F7CEEA9" w14:textId="77777777" w:rsidR="00C5282B" w:rsidRPr="00AF73D3" w:rsidRDefault="00C5282B" w:rsidP="00C5282B">
      <w:pPr>
        <w:spacing w:before="100" w:beforeAutospacing="1" w:after="100" w:afterAutospacing="1"/>
        <w:ind w:left="720"/>
        <w:rPr>
          <w:color w:val="000000" w:themeColor="text1"/>
        </w:rPr>
      </w:pPr>
    </w:p>
    <w:p w14:paraId="01C7712F"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van den Berg, M.M., Hogan, M., </w:t>
      </w:r>
      <w:proofErr w:type="spellStart"/>
      <w:r w:rsidRPr="00AF73D3">
        <w:rPr>
          <w:rStyle w:val="refauthors"/>
          <w:color w:val="000000" w:themeColor="text1"/>
        </w:rPr>
        <w:t>Caniano</w:t>
      </w:r>
      <w:proofErr w:type="spellEnd"/>
      <w:r w:rsidRPr="00AF73D3">
        <w:rPr>
          <w:rStyle w:val="refauthors"/>
          <w:color w:val="000000" w:themeColor="text1"/>
        </w:rPr>
        <w:t xml:space="preserve">, D.A., Di Lorenzo, C., </w:t>
      </w:r>
      <w:proofErr w:type="spellStart"/>
      <w:r w:rsidRPr="00AF73D3">
        <w:rPr>
          <w:rStyle w:val="refauthors"/>
          <w:color w:val="000000" w:themeColor="text1"/>
        </w:rPr>
        <w:t>Benninga</w:t>
      </w:r>
      <w:proofErr w:type="spellEnd"/>
      <w:r w:rsidRPr="00AF73D3">
        <w:rPr>
          <w:rStyle w:val="refauthors"/>
          <w:color w:val="000000" w:themeColor="text1"/>
        </w:rPr>
        <w:t xml:space="preserve">, M.A., Mousa, H.M. </w:t>
      </w:r>
      <w:r w:rsidRPr="00AF73D3">
        <w:rPr>
          <w:rStyle w:val="reftitle"/>
          <w:color w:val="000000" w:themeColor="text1"/>
        </w:rPr>
        <w:t xml:space="preserve">Colonic manometry as predictor of cecostomy success in children with defecation disorders. </w:t>
      </w:r>
      <w:r w:rsidRPr="00AF73D3">
        <w:rPr>
          <w:rStyle w:val="refseriestitle"/>
          <w:color w:val="000000" w:themeColor="text1"/>
        </w:rPr>
        <w:t>J. Pediatr. Surg.</w:t>
      </w:r>
      <w:r w:rsidRPr="00AF73D3">
        <w:rPr>
          <w:rStyle w:val="reference"/>
          <w:color w:val="000000" w:themeColor="text1"/>
        </w:rPr>
        <w:t xml:space="preserve"> </w:t>
      </w:r>
      <w:proofErr w:type="gramStart"/>
      <w:r w:rsidRPr="00AF73D3">
        <w:rPr>
          <w:rStyle w:val="refseriesdate"/>
          <w:color w:val="000000" w:themeColor="text1"/>
        </w:rPr>
        <w:t>2006</w:t>
      </w:r>
      <w:r w:rsidRPr="00AF73D3">
        <w:rPr>
          <w:rStyle w:val="reference"/>
          <w:color w:val="000000" w:themeColor="text1"/>
        </w:rPr>
        <w:t>;</w:t>
      </w:r>
      <w:r w:rsidRPr="00AF73D3">
        <w:rPr>
          <w:rStyle w:val="refseriesvolume"/>
          <w:color w:val="000000" w:themeColor="text1"/>
        </w:rPr>
        <w:t>41</w:t>
      </w:r>
      <w:r w:rsidRPr="00AF73D3">
        <w:rPr>
          <w:rStyle w:val="reference"/>
          <w:color w:val="000000" w:themeColor="text1"/>
        </w:rPr>
        <w:t>:</w:t>
      </w:r>
      <w:r w:rsidRPr="00AF73D3">
        <w:rPr>
          <w:rStyle w:val="refpages"/>
          <w:color w:val="000000" w:themeColor="text1"/>
        </w:rPr>
        <w:t>730</w:t>
      </w:r>
      <w:proofErr w:type="gramEnd"/>
      <w:r w:rsidRPr="00AF73D3">
        <w:rPr>
          <w:rStyle w:val="refpages"/>
          <w:color w:val="000000" w:themeColor="text1"/>
        </w:rPr>
        <w:t>–736</w:t>
      </w:r>
    </w:p>
    <w:p w14:paraId="5B4DD67D" w14:textId="7760D7B7" w:rsidR="003E0A72" w:rsidRDefault="003E0A72" w:rsidP="003E0A72">
      <w:pPr>
        <w:spacing w:before="100" w:beforeAutospacing="1" w:after="100" w:afterAutospacing="1"/>
        <w:ind w:left="720"/>
        <w:rPr>
          <w:color w:val="000000" w:themeColor="text1"/>
        </w:rPr>
      </w:pPr>
      <w:r w:rsidRPr="00AF73D3">
        <w:rPr>
          <w:color w:val="000000" w:themeColor="text1"/>
        </w:rPr>
        <w:t xml:space="preserve">DOI: </w:t>
      </w:r>
      <w:hyperlink r:id="rId64" w:history="1">
        <w:r w:rsidR="00C5282B" w:rsidRPr="002C3C39">
          <w:rPr>
            <w:rStyle w:val="Hyperlink"/>
          </w:rPr>
          <w:t>https://doi.org/10.1016/j.jpedsurg.2005.12.018</w:t>
        </w:r>
      </w:hyperlink>
    </w:p>
    <w:p w14:paraId="788BF29E" w14:textId="59409265" w:rsidR="003E0A72" w:rsidRPr="00AF73D3" w:rsidRDefault="003E0A72" w:rsidP="00C5282B">
      <w:pPr>
        <w:spacing w:before="100" w:beforeAutospacing="1" w:after="100" w:afterAutospacing="1"/>
        <w:rPr>
          <w:color w:val="000000" w:themeColor="text1"/>
        </w:rPr>
      </w:pPr>
    </w:p>
    <w:p w14:paraId="2BE79342"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Chait, P.G., </w:t>
      </w:r>
      <w:proofErr w:type="spellStart"/>
      <w:r w:rsidRPr="00AF73D3">
        <w:rPr>
          <w:rStyle w:val="refauthors"/>
          <w:color w:val="000000" w:themeColor="text1"/>
        </w:rPr>
        <w:t>Shlomovitz</w:t>
      </w:r>
      <w:proofErr w:type="spellEnd"/>
      <w:r w:rsidRPr="00AF73D3">
        <w:rPr>
          <w:rStyle w:val="refauthors"/>
          <w:color w:val="000000" w:themeColor="text1"/>
        </w:rPr>
        <w:t xml:space="preserve">, E., Connolly, B.L., Temple, M.J., Restrepo, R., Amaral, J.G., </w:t>
      </w:r>
      <w:proofErr w:type="spellStart"/>
      <w:r w:rsidRPr="00AF73D3">
        <w:rPr>
          <w:rStyle w:val="refauthors"/>
          <w:color w:val="000000" w:themeColor="text1"/>
        </w:rPr>
        <w:t>Muraca</w:t>
      </w:r>
      <w:proofErr w:type="spellEnd"/>
      <w:r w:rsidRPr="00AF73D3">
        <w:rPr>
          <w:rStyle w:val="refauthors"/>
          <w:color w:val="000000" w:themeColor="text1"/>
        </w:rPr>
        <w:t xml:space="preserve">, S., Richards, H.F., Ein, S.H. </w:t>
      </w:r>
      <w:r w:rsidRPr="00AF73D3">
        <w:rPr>
          <w:rStyle w:val="reftitle"/>
          <w:color w:val="000000" w:themeColor="text1"/>
        </w:rPr>
        <w:t xml:space="preserve">Percutaneous cecostomy: updates in technique and patient care. </w:t>
      </w:r>
      <w:r w:rsidRPr="00AF73D3">
        <w:rPr>
          <w:rStyle w:val="refseriestitle"/>
          <w:color w:val="000000" w:themeColor="text1"/>
        </w:rPr>
        <w:t>Radiology</w:t>
      </w:r>
      <w:r w:rsidRPr="00AF73D3">
        <w:rPr>
          <w:rStyle w:val="reference"/>
          <w:color w:val="000000" w:themeColor="text1"/>
        </w:rPr>
        <w:t xml:space="preserve">. </w:t>
      </w:r>
      <w:proofErr w:type="gramStart"/>
      <w:r w:rsidRPr="00AF73D3">
        <w:rPr>
          <w:rStyle w:val="refseriesdate"/>
          <w:color w:val="000000" w:themeColor="text1"/>
        </w:rPr>
        <w:t>2003</w:t>
      </w:r>
      <w:r w:rsidRPr="00AF73D3">
        <w:rPr>
          <w:rStyle w:val="reference"/>
          <w:color w:val="000000" w:themeColor="text1"/>
        </w:rPr>
        <w:t>;</w:t>
      </w:r>
      <w:r w:rsidRPr="00AF73D3">
        <w:rPr>
          <w:rStyle w:val="refseriesvolume"/>
          <w:color w:val="000000" w:themeColor="text1"/>
        </w:rPr>
        <w:t>227</w:t>
      </w:r>
      <w:r w:rsidRPr="00AF73D3">
        <w:rPr>
          <w:rStyle w:val="reference"/>
          <w:color w:val="000000" w:themeColor="text1"/>
        </w:rPr>
        <w:t>:</w:t>
      </w:r>
      <w:r w:rsidRPr="00AF73D3">
        <w:rPr>
          <w:rStyle w:val="refpages"/>
          <w:color w:val="000000" w:themeColor="text1"/>
        </w:rPr>
        <w:t>246</w:t>
      </w:r>
      <w:proofErr w:type="gramEnd"/>
      <w:r w:rsidRPr="00AF73D3">
        <w:rPr>
          <w:rStyle w:val="refpages"/>
          <w:color w:val="000000" w:themeColor="text1"/>
        </w:rPr>
        <w:t>–250</w:t>
      </w:r>
    </w:p>
    <w:p w14:paraId="6B8C28FF" w14:textId="0422F088"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65" w:history="1">
        <w:r w:rsidR="00C5282B" w:rsidRPr="002C3C39">
          <w:rPr>
            <w:rStyle w:val="Hyperlink"/>
          </w:rPr>
          <w:t>https://doi.org/10.1148/radiol.2271020574</w:t>
        </w:r>
      </w:hyperlink>
    </w:p>
    <w:p w14:paraId="4D972E62" w14:textId="77777777" w:rsidR="00C5282B" w:rsidRPr="00AF73D3" w:rsidRDefault="00C5282B" w:rsidP="00C5282B">
      <w:pPr>
        <w:spacing w:before="100" w:beforeAutospacing="1" w:after="100" w:afterAutospacing="1"/>
        <w:ind w:left="720"/>
        <w:rPr>
          <w:color w:val="000000" w:themeColor="text1"/>
        </w:rPr>
      </w:pPr>
    </w:p>
    <w:p w14:paraId="7B0DBFBC"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Khan, W.U., </w:t>
      </w:r>
      <w:proofErr w:type="spellStart"/>
      <w:r w:rsidRPr="00AF73D3">
        <w:rPr>
          <w:rStyle w:val="refauthors"/>
          <w:color w:val="000000" w:themeColor="text1"/>
        </w:rPr>
        <w:t>Satkunasingham</w:t>
      </w:r>
      <w:proofErr w:type="spellEnd"/>
      <w:r w:rsidRPr="00AF73D3">
        <w:rPr>
          <w:rStyle w:val="refauthors"/>
          <w:color w:val="000000" w:themeColor="text1"/>
        </w:rPr>
        <w:t xml:space="preserve">, J., </w:t>
      </w:r>
      <w:proofErr w:type="spellStart"/>
      <w:r w:rsidRPr="00AF73D3">
        <w:rPr>
          <w:rStyle w:val="refauthors"/>
          <w:color w:val="000000" w:themeColor="text1"/>
        </w:rPr>
        <w:t>Moineddin</w:t>
      </w:r>
      <w:proofErr w:type="spellEnd"/>
      <w:r w:rsidRPr="00AF73D3">
        <w:rPr>
          <w:rStyle w:val="refauthors"/>
          <w:color w:val="000000" w:themeColor="text1"/>
        </w:rPr>
        <w:t xml:space="preserve">, R., Jamal, I., Afzal, S., Chait, P., Parra, D., Amaral, J.G., Temple, M.J., Connolly, B.L. </w:t>
      </w:r>
      <w:r w:rsidRPr="00AF73D3">
        <w:rPr>
          <w:rStyle w:val="reftitle"/>
          <w:color w:val="000000" w:themeColor="text1"/>
        </w:rPr>
        <w:t xml:space="preserve">The percutaneous cecostomy tube in the management of </w:t>
      </w:r>
      <w:proofErr w:type="spellStart"/>
      <w:r w:rsidRPr="00AF73D3">
        <w:rPr>
          <w:rStyle w:val="reftitle"/>
          <w:color w:val="000000" w:themeColor="text1"/>
        </w:rPr>
        <w:t>fecal</w:t>
      </w:r>
      <w:proofErr w:type="spellEnd"/>
      <w:r w:rsidRPr="00AF73D3">
        <w:rPr>
          <w:rStyle w:val="reftitle"/>
          <w:color w:val="000000" w:themeColor="text1"/>
        </w:rPr>
        <w:t xml:space="preserve"> incontinence in children. </w:t>
      </w:r>
      <w:r w:rsidRPr="00AF73D3">
        <w:rPr>
          <w:rStyle w:val="refseriestitle"/>
          <w:color w:val="000000" w:themeColor="text1"/>
        </w:rPr>
        <w:t>J. Vasc. Interv. Radiol. JVIR</w:t>
      </w:r>
      <w:r w:rsidRPr="00AF73D3">
        <w:rPr>
          <w:rStyle w:val="reference"/>
          <w:color w:val="000000" w:themeColor="text1"/>
        </w:rPr>
        <w:t xml:space="preserve">. </w:t>
      </w:r>
      <w:proofErr w:type="gramStart"/>
      <w:r w:rsidRPr="00AF73D3">
        <w:rPr>
          <w:rStyle w:val="refseriesdate"/>
          <w:color w:val="000000" w:themeColor="text1"/>
        </w:rPr>
        <w:t>2015</w:t>
      </w:r>
      <w:r w:rsidRPr="00AF73D3">
        <w:rPr>
          <w:rStyle w:val="reference"/>
          <w:color w:val="000000" w:themeColor="text1"/>
        </w:rPr>
        <w:t>;</w:t>
      </w:r>
      <w:r w:rsidRPr="00AF73D3">
        <w:rPr>
          <w:rStyle w:val="refseriesvolume"/>
          <w:color w:val="000000" w:themeColor="text1"/>
        </w:rPr>
        <w:t>26</w:t>
      </w:r>
      <w:r w:rsidRPr="00AF73D3">
        <w:rPr>
          <w:rStyle w:val="reference"/>
          <w:color w:val="000000" w:themeColor="text1"/>
        </w:rPr>
        <w:t>:</w:t>
      </w:r>
      <w:r w:rsidRPr="00AF73D3">
        <w:rPr>
          <w:rStyle w:val="refpages"/>
          <w:color w:val="000000" w:themeColor="text1"/>
        </w:rPr>
        <w:t>189</w:t>
      </w:r>
      <w:proofErr w:type="gramEnd"/>
      <w:r w:rsidRPr="00AF73D3">
        <w:rPr>
          <w:rStyle w:val="refpages"/>
          <w:color w:val="000000" w:themeColor="text1"/>
        </w:rPr>
        <w:t>–195</w:t>
      </w:r>
    </w:p>
    <w:p w14:paraId="5A3CF551" w14:textId="6DB960E9"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66" w:history="1">
        <w:r w:rsidR="00C5282B" w:rsidRPr="002C3C39">
          <w:rPr>
            <w:rStyle w:val="Hyperlink"/>
          </w:rPr>
          <w:t>https://doi.org/10.1016/j.jvir.2014.10.015</w:t>
        </w:r>
      </w:hyperlink>
    </w:p>
    <w:p w14:paraId="76F2247D" w14:textId="77777777" w:rsidR="00C5282B" w:rsidRPr="00AF73D3" w:rsidRDefault="00C5282B" w:rsidP="00C5282B">
      <w:pPr>
        <w:spacing w:before="100" w:beforeAutospacing="1" w:after="100" w:afterAutospacing="1"/>
        <w:ind w:left="720"/>
        <w:rPr>
          <w:color w:val="000000" w:themeColor="text1"/>
        </w:rPr>
      </w:pPr>
    </w:p>
    <w:p w14:paraId="6F9BF9FE"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Sierre</w:t>
      </w:r>
      <w:proofErr w:type="spellEnd"/>
      <w:r w:rsidRPr="00AF73D3">
        <w:rPr>
          <w:rStyle w:val="refauthors"/>
          <w:color w:val="000000" w:themeColor="text1"/>
        </w:rPr>
        <w:t xml:space="preserve">, S., </w:t>
      </w:r>
      <w:proofErr w:type="spellStart"/>
      <w:r w:rsidRPr="00AF73D3">
        <w:rPr>
          <w:rStyle w:val="refauthors"/>
          <w:color w:val="000000" w:themeColor="text1"/>
        </w:rPr>
        <w:t>Lipsich</w:t>
      </w:r>
      <w:proofErr w:type="spellEnd"/>
      <w:r w:rsidRPr="00AF73D3">
        <w:rPr>
          <w:rStyle w:val="refauthors"/>
          <w:color w:val="000000" w:themeColor="text1"/>
        </w:rPr>
        <w:t xml:space="preserve">, J., Questa, H., </w:t>
      </w:r>
      <w:proofErr w:type="spellStart"/>
      <w:r w:rsidRPr="00AF73D3">
        <w:rPr>
          <w:rStyle w:val="refauthors"/>
          <w:color w:val="000000" w:themeColor="text1"/>
        </w:rPr>
        <w:t>Bailez</w:t>
      </w:r>
      <w:proofErr w:type="spellEnd"/>
      <w:r w:rsidRPr="00AF73D3">
        <w:rPr>
          <w:rStyle w:val="refauthors"/>
          <w:color w:val="000000" w:themeColor="text1"/>
        </w:rPr>
        <w:t xml:space="preserve">, M., Solana, J. </w:t>
      </w:r>
      <w:r w:rsidRPr="00AF73D3">
        <w:rPr>
          <w:rStyle w:val="reftitle"/>
          <w:color w:val="000000" w:themeColor="text1"/>
        </w:rPr>
        <w:t xml:space="preserve">Percutaneous cecostomy for management of </w:t>
      </w:r>
      <w:proofErr w:type="spellStart"/>
      <w:r w:rsidRPr="00AF73D3">
        <w:rPr>
          <w:rStyle w:val="reftitle"/>
          <w:color w:val="000000" w:themeColor="text1"/>
        </w:rPr>
        <w:t>fecal</w:t>
      </w:r>
      <w:proofErr w:type="spellEnd"/>
      <w:r w:rsidRPr="00AF73D3">
        <w:rPr>
          <w:rStyle w:val="reftitle"/>
          <w:color w:val="000000" w:themeColor="text1"/>
        </w:rPr>
        <w:t xml:space="preserve"> incontinence in pediatric patients. </w:t>
      </w:r>
      <w:r w:rsidRPr="00AF73D3">
        <w:rPr>
          <w:rStyle w:val="refseriestitle"/>
          <w:color w:val="000000" w:themeColor="text1"/>
        </w:rPr>
        <w:t>J. Vasc. Interv. Radiol. JVIR</w:t>
      </w:r>
      <w:r w:rsidRPr="00AF73D3">
        <w:rPr>
          <w:rStyle w:val="reference"/>
          <w:color w:val="000000" w:themeColor="text1"/>
        </w:rPr>
        <w:t xml:space="preserve">. </w:t>
      </w:r>
      <w:proofErr w:type="gramStart"/>
      <w:r w:rsidRPr="00AF73D3">
        <w:rPr>
          <w:rStyle w:val="refseriesdate"/>
          <w:color w:val="000000" w:themeColor="text1"/>
        </w:rPr>
        <w:t>2007</w:t>
      </w:r>
      <w:r w:rsidRPr="00AF73D3">
        <w:rPr>
          <w:rStyle w:val="reference"/>
          <w:color w:val="000000" w:themeColor="text1"/>
        </w:rPr>
        <w:t>;</w:t>
      </w:r>
      <w:r w:rsidRPr="00AF73D3">
        <w:rPr>
          <w:rStyle w:val="refseriesvolume"/>
          <w:color w:val="000000" w:themeColor="text1"/>
        </w:rPr>
        <w:t>18</w:t>
      </w:r>
      <w:r w:rsidRPr="00AF73D3">
        <w:rPr>
          <w:rStyle w:val="reference"/>
          <w:color w:val="000000" w:themeColor="text1"/>
        </w:rPr>
        <w:t>:</w:t>
      </w:r>
      <w:r w:rsidRPr="00AF73D3">
        <w:rPr>
          <w:rStyle w:val="refpages"/>
          <w:color w:val="000000" w:themeColor="text1"/>
        </w:rPr>
        <w:t>982</w:t>
      </w:r>
      <w:proofErr w:type="gramEnd"/>
      <w:r w:rsidRPr="00AF73D3">
        <w:rPr>
          <w:rStyle w:val="refpages"/>
          <w:color w:val="000000" w:themeColor="text1"/>
        </w:rPr>
        <w:t>–985</w:t>
      </w:r>
    </w:p>
    <w:p w14:paraId="1D15D093" w14:textId="17951ACD"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67" w:history="1">
        <w:r w:rsidR="00C5282B" w:rsidRPr="002C3C39">
          <w:rPr>
            <w:rStyle w:val="Hyperlink"/>
          </w:rPr>
          <w:t>https://doi.org/10.1016/j.jvir.2007.05.018</w:t>
        </w:r>
      </w:hyperlink>
    </w:p>
    <w:p w14:paraId="3734413E" w14:textId="77777777" w:rsidR="00C5282B" w:rsidRPr="00AF73D3" w:rsidRDefault="00C5282B" w:rsidP="00C5282B">
      <w:pPr>
        <w:spacing w:before="100" w:beforeAutospacing="1" w:after="100" w:afterAutospacing="1"/>
        <w:ind w:left="720"/>
        <w:rPr>
          <w:color w:val="000000" w:themeColor="text1"/>
        </w:rPr>
      </w:pPr>
    </w:p>
    <w:p w14:paraId="68EF573D"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Lockwood, G., Moe, D., </w:t>
      </w:r>
      <w:proofErr w:type="spellStart"/>
      <w:r w:rsidRPr="00AF73D3">
        <w:rPr>
          <w:rStyle w:val="refauthors"/>
          <w:color w:val="000000" w:themeColor="text1"/>
        </w:rPr>
        <w:t>Groth</w:t>
      </w:r>
      <w:proofErr w:type="spellEnd"/>
      <w:r w:rsidRPr="00AF73D3">
        <w:rPr>
          <w:rStyle w:val="refauthors"/>
          <w:color w:val="000000" w:themeColor="text1"/>
        </w:rPr>
        <w:t xml:space="preserve">, T. </w:t>
      </w:r>
      <w:r w:rsidRPr="00AF73D3">
        <w:rPr>
          <w:rStyle w:val="reftitle"/>
          <w:color w:val="000000" w:themeColor="text1"/>
        </w:rPr>
        <w:t xml:space="preserve">The value of interventional radiology in re-establishment of lost access to </w:t>
      </w:r>
      <w:proofErr w:type="spellStart"/>
      <w:r w:rsidRPr="00AF73D3">
        <w:rPr>
          <w:rStyle w:val="reftitle"/>
          <w:color w:val="000000" w:themeColor="text1"/>
        </w:rPr>
        <w:t>catheterizable</w:t>
      </w:r>
      <w:proofErr w:type="spellEnd"/>
      <w:r w:rsidRPr="00AF73D3">
        <w:rPr>
          <w:rStyle w:val="reftitle"/>
          <w:color w:val="000000" w:themeColor="text1"/>
        </w:rPr>
        <w:t xml:space="preserve"> channels to the bladder and bowel. </w:t>
      </w:r>
      <w:r w:rsidRPr="00AF73D3">
        <w:rPr>
          <w:rStyle w:val="refseriestitle"/>
          <w:color w:val="000000" w:themeColor="text1"/>
        </w:rPr>
        <w:t>J. Pediatr. Urol.</w:t>
      </w:r>
      <w:r w:rsidRPr="00AF73D3">
        <w:rPr>
          <w:rStyle w:val="reference"/>
          <w:color w:val="000000" w:themeColor="text1"/>
        </w:rPr>
        <w:t xml:space="preserve"> </w:t>
      </w:r>
      <w:proofErr w:type="gramStart"/>
      <w:r w:rsidRPr="00AF73D3">
        <w:rPr>
          <w:rStyle w:val="refseriesdate"/>
          <w:color w:val="000000" w:themeColor="text1"/>
        </w:rPr>
        <w:t>2014</w:t>
      </w:r>
      <w:r w:rsidRPr="00AF73D3">
        <w:rPr>
          <w:rStyle w:val="reference"/>
          <w:color w:val="000000" w:themeColor="text1"/>
        </w:rPr>
        <w:t>;</w:t>
      </w:r>
      <w:r w:rsidRPr="00AF73D3">
        <w:rPr>
          <w:rStyle w:val="refseriesvolume"/>
          <w:color w:val="000000" w:themeColor="text1"/>
        </w:rPr>
        <w:t>10</w:t>
      </w:r>
      <w:r w:rsidRPr="00AF73D3">
        <w:rPr>
          <w:rStyle w:val="reference"/>
          <w:color w:val="000000" w:themeColor="text1"/>
        </w:rPr>
        <w:t>:</w:t>
      </w:r>
      <w:r w:rsidRPr="00AF73D3">
        <w:rPr>
          <w:rStyle w:val="refpages"/>
          <w:color w:val="000000" w:themeColor="text1"/>
        </w:rPr>
        <w:t>917</w:t>
      </w:r>
      <w:proofErr w:type="gramEnd"/>
      <w:r w:rsidRPr="00AF73D3">
        <w:rPr>
          <w:rStyle w:val="refpages"/>
          <w:color w:val="000000" w:themeColor="text1"/>
        </w:rPr>
        <w:t>–921</w:t>
      </w:r>
    </w:p>
    <w:p w14:paraId="3A3FB47E" w14:textId="2501D256"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68" w:history="1">
        <w:r w:rsidR="00C5282B" w:rsidRPr="002C3C39">
          <w:rPr>
            <w:rStyle w:val="Hyperlink"/>
          </w:rPr>
          <w:t>https://doi.org/10.1016/j.jpurol.2014.02.010</w:t>
        </w:r>
      </w:hyperlink>
    </w:p>
    <w:p w14:paraId="69B229BB" w14:textId="77777777" w:rsidR="00C5282B" w:rsidRPr="00AF73D3" w:rsidRDefault="00C5282B" w:rsidP="00C5282B">
      <w:pPr>
        <w:spacing w:before="100" w:beforeAutospacing="1" w:after="100" w:afterAutospacing="1"/>
        <w:ind w:left="720"/>
        <w:rPr>
          <w:color w:val="000000" w:themeColor="text1"/>
        </w:rPr>
      </w:pPr>
    </w:p>
    <w:p w14:paraId="38FC2B74"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lastRenderedPageBreak/>
        <w:t xml:space="preserve">de </w:t>
      </w:r>
      <w:proofErr w:type="spellStart"/>
      <w:r w:rsidRPr="00AF73D3">
        <w:rPr>
          <w:rStyle w:val="refauthors"/>
          <w:color w:val="000000" w:themeColor="text1"/>
        </w:rPr>
        <w:t>Sio</w:t>
      </w:r>
      <w:proofErr w:type="spellEnd"/>
      <w:r w:rsidRPr="00AF73D3">
        <w:rPr>
          <w:rStyle w:val="refauthors"/>
          <w:color w:val="000000" w:themeColor="text1"/>
        </w:rPr>
        <w:t xml:space="preserve">, I., Funaro, A., Vitale, L.M., </w:t>
      </w:r>
      <w:proofErr w:type="spellStart"/>
      <w:r w:rsidRPr="00AF73D3">
        <w:rPr>
          <w:rStyle w:val="refauthors"/>
          <w:color w:val="000000" w:themeColor="text1"/>
        </w:rPr>
        <w:t>Niosi</w:t>
      </w:r>
      <w:proofErr w:type="spellEnd"/>
      <w:r w:rsidRPr="00AF73D3">
        <w:rPr>
          <w:rStyle w:val="refauthors"/>
          <w:color w:val="000000" w:themeColor="text1"/>
        </w:rPr>
        <w:t xml:space="preserve">, M., </w:t>
      </w:r>
      <w:proofErr w:type="spellStart"/>
      <w:r w:rsidRPr="00AF73D3">
        <w:rPr>
          <w:rStyle w:val="refauthors"/>
          <w:color w:val="000000" w:themeColor="text1"/>
        </w:rPr>
        <w:t>Francica</w:t>
      </w:r>
      <w:proofErr w:type="spellEnd"/>
      <w:r w:rsidRPr="00AF73D3">
        <w:rPr>
          <w:rStyle w:val="refauthors"/>
          <w:color w:val="000000" w:themeColor="text1"/>
        </w:rPr>
        <w:t xml:space="preserve">, G., Federico, A., </w:t>
      </w:r>
      <w:proofErr w:type="spellStart"/>
      <w:r w:rsidRPr="00AF73D3">
        <w:rPr>
          <w:rStyle w:val="refauthors"/>
          <w:color w:val="000000" w:themeColor="text1"/>
        </w:rPr>
        <w:t>Sgambato</w:t>
      </w:r>
      <w:proofErr w:type="spellEnd"/>
      <w:r w:rsidRPr="00AF73D3">
        <w:rPr>
          <w:rStyle w:val="refauthors"/>
          <w:color w:val="000000" w:themeColor="text1"/>
        </w:rPr>
        <w:t xml:space="preserve">, D., </w:t>
      </w:r>
      <w:proofErr w:type="spellStart"/>
      <w:r w:rsidRPr="00AF73D3">
        <w:rPr>
          <w:rStyle w:val="refauthors"/>
          <w:color w:val="000000" w:themeColor="text1"/>
        </w:rPr>
        <w:t>Loguercio</w:t>
      </w:r>
      <w:proofErr w:type="spellEnd"/>
      <w:r w:rsidRPr="00AF73D3">
        <w:rPr>
          <w:rStyle w:val="refauthors"/>
          <w:color w:val="000000" w:themeColor="text1"/>
        </w:rPr>
        <w:t xml:space="preserve">, C., Romano, M. </w:t>
      </w:r>
      <w:r w:rsidRPr="00AF73D3">
        <w:rPr>
          <w:rStyle w:val="reftitle"/>
          <w:color w:val="000000" w:themeColor="text1"/>
        </w:rPr>
        <w:t xml:space="preserve">Ultrasound-guided percutaneous biopsy for diagnosis of gastrointestinal lesions. </w:t>
      </w:r>
      <w:r w:rsidRPr="00AF73D3">
        <w:rPr>
          <w:rStyle w:val="refseriestitle"/>
          <w:color w:val="000000" w:themeColor="text1"/>
        </w:rPr>
        <w:t>Dig. Liver Dis.</w:t>
      </w:r>
      <w:r w:rsidRPr="00AF73D3">
        <w:rPr>
          <w:rStyle w:val="reference"/>
          <w:color w:val="000000" w:themeColor="text1"/>
        </w:rPr>
        <w:t xml:space="preserve"> </w:t>
      </w:r>
      <w:proofErr w:type="gramStart"/>
      <w:r w:rsidRPr="00AF73D3">
        <w:rPr>
          <w:rStyle w:val="refseriesdate"/>
          <w:color w:val="000000" w:themeColor="text1"/>
        </w:rPr>
        <w:t>2013</w:t>
      </w:r>
      <w:r w:rsidRPr="00AF73D3">
        <w:rPr>
          <w:rStyle w:val="reference"/>
          <w:color w:val="000000" w:themeColor="text1"/>
        </w:rPr>
        <w:t>;</w:t>
      </w:r>
      <w:r w:rsidRPr="00AF73D3">
        <w:rPr>
          <w:rStyle w:val="refseriesvolume"/>
          <w:color w:val="000000" w:themeColor="text1"/>
        </w:rPr>
        <w:t>45</w:t>
      </w:r>
      <w:r w:rsidRPr="00AF73D3">
        <w:rPr>
          <w:rStyle w:val="reference"/>
          <w:color w:val="000000" w:themeColor="text1"/>
        </w:rPr>
        <w:t>:</w:t>
      </w:r>
      <w:r w:rsidRPr="00AF73D3">
        <w:rPr>
          <w:rStyle w:val="refpages"/>
          <w:color w:val="000000" w:themeColor="text1"/>
        </w:rPr>
        <w:t>816</w:t>
      </w:r>
      <w:proofErr w:type="gramEnd"/>
      <w:r w:rsidRPr="00AF73D3">
        <w:rPr>
          <w:rStyle w:val="refpages"/>
          <w:color w:val="000000" w:themeColor="text1"/>
        </w:rPr>
        <w:t>–819</w:t>
      </w:r>
    </w:p>
    <w:p w14:paraId="6DB8A2DE" w14:textId="1382D9EA" w:rsidR="003E0A72"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69" w:history="1">
        <w:r w:rsidR="00C5282B" w:rsidRPr="002C3C39">
          <w:rPr>
            <w:rStyle w:val="Hyperlink"/>
          </w:rPr>
          <w:t>https://doi.org/10.1016/j.dld.2013.04.003</w:t>
        </w:r>
      </w:hyperlink>
    </w:p>
    <w:p w14:paraId="58CD2F5D" w14:textId="77777777" w:rsidR="00C5282B" w:rsidRPr="00AF73D3" w:rsidRDefault="00C5282B" w:rsidP="00C5282B">
      <w:pPr>
        <w:spacing w:before="100" w:beforeAutospacing="1" w:after="100" w:afterAutospacing="1"/>
        <w:ind w:left="720"/>
        <w:rPr>
          <w:color w:val="000000" w:themeColor="text1"/>
        </w:rPr>
      </w:pPr>
    </w:p>
    <w:p w14:paraId="5F4D01B4"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Hasab</w:t>
      </w:r>
      <w:proofErr w:type="spellEnd"/>
      <w:r w:rsidRPr="00AF73D3">
        <w:rPr>
          <w:rStyle w:val="refauthors"/>
          <w:color w:val="000000" w:themeColor="text1"/>
        </w:rPr>
        <w:t xml:space="preserve"> Allah, M.S., El-</w:t>
      </w:r>
      <w:proofErr w:type="spellStart"/>
      <w:r w:rsidRPr="00AF73D3">
        <w:rPr>
          <w:rStyle w:val="refauthors"/>
          <w:color w:val="000000" w:themeColor="text1"/>
        </w:rPr>
        <w:t>Hindawy</w:t>
      </w:r>
      <w:proofErr w:type="spellEnd"/>
      <w:r w:rsidRPr="00AF73D3">
        <w:rPr>
          <w:rStyle w:val="refauthors"/>
          <w:color w:val="000000" w:themeColor="text1"/>
        </w:rPr>
        <w:t xml:space="preserve">, A.A. </w:t>
      </w:r>
      <w:r w:rsidRPr="00AF73D3">
        <w:rPr>
          <w:rStyle w:val="reftitle"/>
          <w:color w:val="000000" w:themeColor="text1"/>
        </w:rPr>
        <w:t xml:space="preserve">Percutaneous ultrasound-guided bowel wall core biopsy: a nonconventional way of diagnosis of gastrointestinal lesions. </w:t>
      </w:r>
      <w:r w:rsidRPr="00AF73D3">
        <w:rPr>
          <w:rStyle w:val="refseriestitle"/>
          <w:color w:val="000000" w:themeColor="text1"/>
        </w:rPr>
        <w:t xml:space="preserve">Surg. </w:t>
      </w:r>
      <w:proofErr w:type="spellStart"/>
      <w:r w:rsidRPr="00AF73D3">
        <w:rPr>
          <w:rStyle w:val="refseriestitle"/>
          <w:color w:val="000000" w:themeColor="text1"/>
        </w:rPr>
        <w:t>Endosc</w:t>
      </w:r>
      <w:proofErr w:type="spellEnd"/>
      <w:r w:rsidRPr="00AF73D3">
        <w:rPr>
          <w:rStyle w:val="refseriestitle"/>
          <w:color w:val="000000" w:themeColor="text1"/>
        </w:rPr>
        <w:t>.</w:t>
      </w:r>
      <w:r w:rsidRPr="00AF73D3">
        <w:rPr>
          <w:rStyle w:val="reference"/>
          <w:color w:val="000000" w:themeColor="text1"/>
        </w:rPr>
        <w:t xml:space="preserve"> </w:t>
      </w:r>
      <w:proofErr w:type="gramStart"/>
      <w:r w:rsidRPr="00AF73D3">
        <w:rPr>
          <w:rStyle w:val="refseriesdate"/>
          <w:color w:val="000000" w:themeColor="text1"/>
        </w:rPr>
        <w:t>2013</w:t>
      </w:r>
      <w:r w:rsidRPr="00AF73D3">
        <w:rPr>
          <w:rStyle w:val="reference"/>
          <w:color w:val="000000" w:themeColor="text1"/>
        </w:rPr>
        <w:t>;</w:t>
      </w:r>
      <w:r w:rsidRPr="00AF73D3">
        <w:rPr>
          <w:rStyle w:val="refseriesvolume"/>
          <w:color w:val="000000" w:themeColor="text1"/>
        </w:rPr>
        <w:t>27</w:t>
      </w:r>
      <w:r w:rsidRPr="00AF73D3">
        <w:rPr>
          <w:rStyle w:val="reference"/>
          <w:color w:val="000000" w:themeColor="text1"/>
        </w:rPr>
        <w:t>:</w:t>
      </w:r>
      <w:r w:rsidRPr="00AF73D3">
        <w:rPr>
          <w:rStyle w:val="refpages"/>
          <w:color w:val="000000" w:themeColor="text1"/>
        </w:rPr>
        <w:t>3187</w:t>
      </w:r>
      <w:proofErr w:type="gramEnd"/>
      <w:r w:rsidRPr="00AF73D3">
        <w:rPr>
          <w:rStyle w:val="refpages"/>
          <w:color w:val="000000" w:themeColor="text1"/>
        </w:rPr>
        <w:t>–3196</w:t>
      </w:r>
    </w:p>
    <w:p w14:paraId="28473554" w14:textId="75BEEB3C" w:rsidR="003E0A72" w:rsidRDefault="003E0A72" w:rsidP="003E0A72">
      <w:pPr>
        <w:spacing w:before="100" w:beforeAutospacing="1" w:after="100" w:afterAutospacing="1"/>
        <w:ind w:left="720"/>
        <w:rPr>
          <w:color w:val="000000" w:themeColor="text1"/>
        </w:rPr>
      </w:pPr>
      <w:r w:rsidRPr="00AF73D3">
        <w:rPr>
          <w:color w:val="000000" w:themeColor="text1"/>
        </w:rPr>
        <w:t xml:space="preserve">DOI: </w:t>
      </w:r>
      <w:hyperlink r:id="rId70" w:history="1">
        <w:r w:rsidR="00C5282B" w:rsidRPr="002C3C39">
          <w:rPr>
            <w:rStyle w:val="Hyperlink"/>
          </w:rPr>
          <w:t>https://doi.org/10.1007/s00464-013-2888-5</w:t>
        </w:r>
      </w:hyperlink>
    </w:p>
    <w:p w14:paraId="720E1AC3" w14:textId="3853410D" w:rsidR="003E0A72" w:rsidRPr="00AF73D3" w:rsidRDefault="003E0A72" w:rsidP="00C5282B">
      <w:pPr>
        <w:spacing w:before="100" w:beforeAutospacing="1" w:after="100" w:afterAutospacing="1"/>
        <w:rPr>
          <w:color w:val="000000" w:themeColor="text1"/>
        </w:rPr>
      </w:pPr>
    </w:p>
    <w:p w14:paraId="2225928B" w14:textId="77777777" w:rsidR="003E0A72" w:rsidRPr="00AF73D3" w:rsidRDefault="003E0A72" w:rsidP="003E0A72">
      <w:pPr>
        <w:numPr>
          <w:ilvl w:val="0"/>
          <w:numId w:val="3"/>
        </w:numPr>
        <w:spacing w:before="100" w:beforeAutospacing="1" w:after="100" w:afterAutospacing="1"/>
        <w:rPr>
          <w:rStyle w:val="reference"/>
          <w:color w:val="000000" w:themeColor="text1"/>
        </w:rPr>
      </w:pPr>
      <w:proofErr w:type="spellStart"/>
      <w:r w:rsidRPr="00AF73D3">
        <w:rPr>
          <w:rStyle w:val="refauthors"/>
          <w:color w:val="000000" w:themeColor="text1"/>
        </w:rPr>
        <w:t>Gnannt</w:t>
      </w:r>
      <w:proofErr w:type="spellEnd"/>
      <w:r w:rsidRPr="00AF73D3">
        <w:rPr>
          <w:rStyle w:val="refauthors"/>
          <w:color w:val="000000" w:themeColor="text1"/>
        </w:rPr>
        <w:t xml:space="preserve">, R., Fischer, M.A., </w:t>
      </w:r>
      <w:proofErr w:type="spellStart"/>
      <w:r w:rsidRPr="00AF73D3">
        <w:rPr>
          <w:rStyle w:val="refauthors"/>
          <w:color w:val="000000" w:themeColor="text1"/>
        </w:rPr>
        <w:t>Baechler</w:t>
      </w:r>
      <w:proofErr w:type="spellEnd"/>
      <w:r w:rsidRPr="00AF73D3">
        <w:rPr>
          <w:rStyle w:val="refauthors"/>
          <w:color w:val="000000" w:themeColor="text1"/>
        </w:rPr>
        <w:t xml:space="preserve">, T., </w:t>
      </w:r>
      <w:proofErr w:type="spellStart"/>
      <w:r w:rsidRPr="00AF73D3">
        <w:rPr>
          <w:rStyle w:val="refauthors"/>
          <w:color w:val="000000" w:themeColor="text1"/>
        </w:rPr>
        <w:t>Clavien</w:t>
      </w:r>
      <w:proofErr w:type="spellEnd"/>
      <w:r w:rsidRPr="00AF73D3">
        <w:rPr>
          <w:rStyle w:val="refauthors"/>
          <w:color w:val="000000" w:themeColor="text1"/>
        </w:rPr>
        <w:t xml:space="preserve">, P.-A., </w:t>
      </w:r>
      <w:proofErr w:type="spellStart"/>
      <w:r w:rsidRPr="00AF73D3">
        <w:rPr>
          <w:rStyle w:val="refauthors"/>
          <w:color w:val="000000" w:themeColor="text1"/>
        </w:rPr>
        <w:t>Karlo</w:t>
      </w:r>
      <w:proofErr w:type="spellEnd"/>
      <w:r w:rsidRPr="00AF73D3">
        <w:rPr>
          <w:rStyle w:val="refauthors"/>
          <w:color w:val="000000" w:themeColor="text1"/>
        </w:rPr>
        <w:t xml:space="preserve">, C., Seifert, B., </w:t>
      </w:r>
      <w:proofErr w:type="spellStart"/>
      <w:r w:rsidRPr="00AF73D3">
        <w:rPr>
          <w:rStyle w:val="refauthors"/>
          <w:color w:val="000000" w:themeColor="text1"/>
        </w:rPr>
        <w:t>Lesurtel</w:t>
      </w:r>
      <w:proofErr w:type="spellEnd"/>
      <w:r w:rsidRPr="00AF73D3">
        <w:rPr>
          <w:rStyle w:val="refauthors"/>
          <w:color w:val="000000" w:themeColor="text1"/>
        </w:rPr>
        <w:t xml:space="preserve">, M., </w:t>
      </w:r>
      <w:proofErr w:type="spellStart"/>
      <w:r w:rsidRPr="00AF73D3">
        <w:rPr>
          <w:rStyle w:val="refauthors"/>
          <w:color w:val="000000" w:themeColor="text1"/>
        </w:rPr>
        <w:t>Alkadhi</w:t>
      </w:r>
      <w:proofErr w:type="spellEnd"/>
      <w:r w:rsidRPr="00AF73D3">
        <w:rPr>
          <w:rStyle w:val="refauthors"/>
          <w:color w:val="000000" w:themeColor="text1"/>
        </w:rPr>
        <w:t xml:space="preserve">, H. </w:t>
      </w:r>
      <w:r w:rsidRPr="00AF73D3">
        <w:rPr>
          <w:rStyle w:val="reftitle"/>
          <w:color w:val="000000" w:themeColor="text1"/>
        </w:rPr>
        <w:t xml:space="preserve">Distinguishing infected from noninfected abdominal fluid collections after surgery: an imaging, clinical, and laboratory-based scoring system. </w:t>
      </w:r>
      <w:r w:rsidRPr="00AF73D3">
        <w:rPr>
          <w:rStyle w:val="refseriestitle"/>
          <w:color w:val="000000" w:themeColor="text1"/>
        </w:rPr>
        <w:t>Invest. Radiol.</w:t>
      </w:r>
      <w:r w:rsidRPr="00AF73D3">
        <w:rPr>
          <w:rStyle w:val="reference"/>
          <w:color w:val="000000" w:themeColor="text1"/>
        </w:rPr>
        <w:t xml:space="preserve"> </w:t>
      </w:r>
      <w:proofErr w:type="gramStart"/>
      <w:r w:rsidRPr="00AF73D3">
        <w:rPr>
          <w:rStyle w:val="refseriesdate"/>
          <w:color w:val="000000" w:themeColor="text1"/>
        </w:rPr>
        <w:t>2015</w:t>
      </w:r>
      <w:r w:rsidRPr="00AF73D3">
        <w:rPr>
          <w:rStyle w:val="reference"/>
          <w:color w:val="000000" w:themeColor="text1"/>
        </w:rPr>
        <w:t>;</w:t>
      </w:r>
      <w:r w:rsidRPr="00AF73D3">
        <w:rPr>
          <w:rStyle w:val="refseriesvolume"/>
          <w:color w:val="000000" w:themeColor="text1"/>
        </w:rPr>
        <w:t>50</w:t>
      </w:r>
      <w:r w:rsidRPr="00AF73D3">
        <w:rPr>
          <w:rStyle w:val="reference"/>
          <w:color w:val="000000" w:themeColor="text1"/>
        </w:rPr>
        <w:t>:</w:t>
      </w:r>
      <w:r w:rsidRPr="00AF73D3">
        <w:rPr>
          <w:rStyle w:val="refpages"/>
          <w:color w:val="000000" w:themeColor="text1"/>
        </w:rPr>
        <w:t>17</w:t>
      </w:r>
      <w:proofErr w:type="gramEnd"/>
      <w:r w:rsidRPr="00AF73D3">
        <w:rPr>
          <w:rStyle w:val="refpages"/>
          <w:color w:val="000000" w:themeColor="text1"/>
        </w:rPr>
        <w:t>–23</w:t>
      </w:r>
    </w:p>
    <w:p w14:paraId="72707760" w14:textId="7640E2FC" w:rsidR="00C5282B"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71" w:history="1">
        <w:r w:rsidR="00C5282B" w:rsidRPr="002C3C39">
          <w:rPr>
            <w:rStyle w:val="Hyperlink"/>
          </w:rPr>
          <w:t>https://doi.org/10.1097/RLI.0000000000</w:t>
        </w:r>
        <w:r w:rsidR="00C5282B" w:rsidRPr="002C3C39">
          <w:rPr>
            <w:rStyle w:val="Hyperlink"/>
          </w:rPr>
          <w:t>0</w:t>
        </w:r>
        <w:r w:rsidR="00C5282B" w:rsidRPr="002C3C39">
          <w:rPr>
            <w:rStyle w:val="Hyperlink"/>
          </w:rPr>
          <w:t>00090</w:t>
        </w:r>
      </w:hyperlink>
    </w:p>
    <w:p w14:paraId="515F0866" w14:textId="77777777" w:rsidR="00C5282B" w:rsidRPr="00AF73D3" w:rsidRDefault="00C5282B" w:rsidP="00C5282B">
      <w:pPr>
        <w:spacing w:before="100" w:beforeAutospacing="1" w:after="100" w:afterAutospacing="1"/>
        <w:rPr>
          <w:color w:val="000000" w:themeColor="text1"/>
        </w:rPr>
      </w:pPr>
    </w:p>
    <w:p w14:paraId="3620B883" w14:textId="77777777" w:rsidR="003E0A72" w:rsidRPr="00AF73D3" w:rsidRDefault="003E0A72" w:rsidP="003E0A72">
      <w:pPr>
        <w:numPr>
          <w:ilvl w:val="0"/>
          <w:numId w:val="3"/>
        </w:numPr>
        <w:spacing w:before="100" w:beforeAutospacing="1" w:after="100" w:afterAutospacing="1"/>
        <w:rPr>
          <w:rStyle w:val="reference"/>
          <w:color w:val="000000" w:themeColor="text1"/>
        </w:rPr>
      </w:pPr>
      <w:r w:rsidRPr="00AF73D3">
        <w:rPr>
          <w:rStyle w:val="refauthors"/>
          <w:color w:val="000000" w:themeColor="text1"/>
        </w:rPr>
        <w:t xml:space="preserve">Gale, H.I., Gee, M.S., </w:t>
      </w:r>
      <w:proofErr w:type="spellStart"/>
      <w:r w:rsidRPr="00AF73D3">
        <w:rPr>
          <w:rStyle w:val="refauthors"/>
          <w:color w:val="000000" w:themeColor="text1"/>
        </w:rPr>
        <w:t>Westra</w:t>
      </w:r>
      <w:proofErr w:type="spellEnd"/>
      <w:r w:rsidRPr="00AF73D3">
        <w:rPr>
          <w:rStyle w:val="refauthors"/>
          <w:color w:val="000000" w:themeColor="text1"/>
        </w:rPr>
        <w:t xml:space="preserve">, S.J., </w:t>
      </w:r>
      <w:proofErr w:type="spellStart"/>
      <w:r w:rsidRPr="00AF73D3">
        <w:rPr>
          <w:rStyle w:val="refauthors"/>
          <w:color w:val="000000" w:themeColor="text1"/>
        </w:rPr>
        <w:t>Nimkin</w:t>
      </w:r>
      <w:proofErr w:type="spellEnd"/>
      <w:r w:rsidRPr="00AF73D3">
        <w:rPr>
          <w:rStyle w:val="refauthors"/>
          <w:color w:val="000000" w:themeColor="text1"/>
        </w:rPr>
        <w:t xml:space="preserve">, K. </w:t>
      </w:r>
      <w:r w:rsidRPr="00AF73D3">
        <w:rPr>
          <w:rStyle w:val="reftitle"/>
          <w:color w:val="000000" w:themeColor="text1"/>
        </w:rPr>
        <w:t xml:space="preserve">Abdominal ultrasonography of the pediatric gastrointestinal tract. </w:t>
      </w:r>
      <w:r w:rsidRPr="00AF73D3">
        <w:rPr>
          <w:rStyle w:val="refseriestitle"/>
          <w:color w:val="000000" w:themeColor="text1"/>
        </w:rPr>
        <w:t>World J. Radiol.</w:t>
      </w:r>
      <w:r w:rsidRPr="00AF73D3">
        <w:rPr>
          <w:rStyle w:val="reference"/>
          <w:color w:val="000000" w:themeColor="text1"/>
        </w:rPr>
        <w:t xml:space="preserve"> </w:t>
      </w:r>
      <w:proofErr w:type="gramStart"/>
      <w:r w:rsidRPr="00AF73D3">
        <w:rPr>
          <w:rStyle w:val="refseriesdate"/>
          <w:color w:val="000000" w:themeColor="text1"/>
        </w:rPr>
        <w:t>2016</w:t>
      </w:r>
      <w:r w:rsidRPr="00AF73D3">
        <w:rPr>
          <w:rStyle w:val="reference"/>
          <w:color w:val="000000" w:themeColor="text1"/>
        </w:rPr>
        <w:t>;</w:t>
      </w:r>
      <w:r w:rsidRPr="00AF73D3">
        <w:rPr>
          <w:rStyle w:val="refseriesvolume"/>
          <w:color w:val="000000" w:themeColor="text1"/>
        </w:rPr>
        <w:t>8</w:t>
      </w:r>
      <w:r w:rsidRPr="00AF73D3">
        <w:rPr>
          <w:rStyle w:val="reference"/>
          <w:color w:val="000000" w:themeColor="text1"/>
        </w:rPr>
        <w:t>:</w:t>
      </w:r>
      <w:r w:rsidRPr="00AF73D3">
        <w:rPr>
          <w:rStyle w:val="refpages"/>
          <w:color w:val="000000" w:themeColor="text1"/>
        </w:rPr>
        <w:t>656</w:t>
      </w:r>
      <w:proofErr w:type="gramEnd"/>
      <w:r w:rsidRPr="00AF73D3">
        <w:rPr>
          <w:rStyle w:val="refpages"/>
          <w:color w:val="000000" w:themeColor="text1"/>
        </w:rPr>
        <w:t>–667</w:t>
      </w:r>
    </w:p>
    <w:p w14:paraId="09A4BB81" w14:textId="3794663B" w:rsidR="00C5282B" w:rsidRDefault="003E0A72" w:rsidP="00C5282B">
      <w:pPr>
        <w:spacing w:before="100" w:beforeAutospacing="1" w:after="100" w:afterAutospacing="1"/>
        <w:ind w:left="720"/>
        <w:rPr>
          <w:color w:val="000000" w:themeColor="text1"/>
        </w:rPr>
      </w:pPr>
      <w:r w:rsidRPr="00AF73D3">
        <w:rPr>
          <w:color w:val="000000" w:themeColor="text1"/>
        </w:rPr>
        <w:t xml:space="preserve">DOI: </w:t>
      </w:r>
      <w:hyperlink r:id="rId72" w:history="1">
        <w:r w:rsidR="00C5282B" w:rsidRPr="002C3C39">
          <w:rPr>
            <w:rStyle w:val="Hyperlink"/>
          </w:rPr>
          <w:t>https://doi.org/10.4329/wjr.v8.i7.656</w:t>
        </w:r>
      </w:hyperlink>
    </w:p>
    <w:p w14:paraId="03682ED7" w14:textId="77777777" w:rsidR="00C5282B" w:rsidRPr="00AF73D3" w:rsidRDefault="00C5282B" w:rsidP="00C5282B">
      <w:pPr>
        <w:spacing w:before="100" w:beforeAutospacing="1" w:after="100" w:afterAutospacing="1"/>
        <w:ind w:left="720"/>
        <w:rPr>
          <w:color w:val="000000" w:themeColor="text1"/>
        </w:rPr>
      </w:pPr>
    </w:p>
    <w:p w14:paraId="1166DB9D" w14:textId="77777777" w:rsidR="00AF73D3" w:rsidRPr="00AF73D3" w:rsidRDefault="00AF73D3" w:rsidP="00AF73D3">
      <w:pPr>
        <w:spacing w:before="100" w:beforeAutospacing="1" w:after="100" w:afterAutospacing="1"/>
        <w:rPr>
          <w:color w:val="000000" w:themeColor="text1"/>
        </w:rPr>
      </w:pPr>
    </w:p>
    <w:p w14:paraId="5C7A0AA4" w14:textId="77777777" w:rsidR="007823E0" w:rsidRDefault="007823E0">
      <w:pPr>
        <w:rPr>
          <w:b/>
          <w:bCs/>
          <w:color w:val="000000" w:themeColor="text1"/>
          <w:sz w:val="36"/>
          <w:szCs w:val="36"/>
        </w:rPr>
      </w:pPr>
      <w:r>
        <w:rPr>
          <w:color w:val="000000" w:themeColor="text1"/>
        </w:rPr>
        <w:br w:type="page"/>
      </w:r>
    </w:p>
    <w:p w14:paraId="3A237DFD" w14:textId="20AE5EDD" w:rsidR="00AF73D3" w:rsidRPr="00AF73D3" w:rsidRDefault="00AF73D3" w:rsidP="00AF73D3">
      <w:pPr>
        <w:pStyle w:val="Heading2"/>
        <w:rPr>
          <w:color w:val="000000" w:themeColor="text1"/>
        </w:rPr>
      </w:pPr>
      <w:r>
        <w:rPr>
          <w:color w:val="000000" w:themeColor="text1"/>
        </w:rPr>
        <w:lastRenderedPageBreak/>
        <w:t>Figures</w:t>
      </w:r>
    </w:p>
    <w:p w14:paraId="04C2CA39" w14:textId="5D22E4F3" w:rsidR="00AF73D3" w:rsidRPr="00AF73D3" w:rsidRDefault="00AF73D3" w:rsidP="00AF73D3">
      <w:pPr>
        <w:spacing w:before="100" w:beforeAutospacing="1" w:after="100" w:afterAutospacing="1"/>
        <w:outlineLvl w:val="3"/>
        <w:rPr>
          <w:b/>
          <w:bCs/>
          <w:color w:val="000000" w:themeColor="text1"/>
        </w:rPr>
      </w:pPr>
      <w:r w:rsidRPr="00AF73D3">
        <w:rPr>
          <w:b/>
          <w:bCs/>
          <w:color w:val="000000" w:themeColor="text1"/>
        </w:rPr>
        <w:t xml:space="preserve">Fig. </w:t>
      </w:r>
      <w:r>
        <w:rPr>
          <w:b/>
          <w:bCs/>
          <w:color w:val="000000" w:themeColor="text1"/>
        </w:rPr>
        <w:t>1</w:t>
      </w:r>
    </w:p>
    <w:p w14:paraId="56BDF39B" w14:textId="3DC9B29E" w:rsidR="00AF73D3" w:rsidRDefault="00AF73D3" w:rsidP="00AF73D3">
      <w:pPr>
        <w:spacing w:before="100" w:beforeAutospacing="1" w:after="100" w:afterAutospacing="1"/>
        <w:rPr>
          <w:color w:val="000000" w:themeColor="text1"/>
        </w:rPr>
      </w:pPr>
      <w:r w:rsidRPr="00AF73D3">
        <w:rPr>
          <w:color w:val="000000" w:themeColor="text1"/>
        </w:rPr>
        <w:t xml:space="preserve">Oesophageal dilation and stent insertion in a five-year-old with a history of repaired oesophageal atresia, gastroesophageal reflux and previous </w:t>
      </w:r>
      <w:proofErr w:type="spellStart"/>
      <w:r w:rsidRPr="00AF73D3">
        <w:rPr>
          <w:color w:val="000000" w:themeColor="text1"/>
        </w:rPr>
        <w:t>Nissen</w:t>
      </w:r>
      <w:proofErr w:type="spellEnd"/>
      <w:r w:rsidRPr="00AF73D3">
        <w:rPr>
          <w:color w:val="000000" w:themeColor="text1"/>
        </w:rPr>
        <w:t xml:space="preserve"> fundoplication. (a) Fluoroscopic image earl</w:t>
      </w:r>
      <w:r w:rsidRPr="00AF73D3">
        <w:rPr>
          <w:color w:val="000000" w:themeColor="text1"/>
        </w:rPr>
        <w:t>y in during inflation of a 14 mm × 60 mm balloon, showing a distal oesophageal stricture as a “waist” on the balloon (arrow), which reduces (arrow) as the balloon inflates (b). (</w:t>
      </w:r>
      <w:proofErr w:type="spellStart"/>
      <w:proofErr w:type="gramStart"/>
      <w:r w:rsidRPr="00AF73D3">
        <w:rPr>
          <w:color w:val="000000" w:themeColor="text1"/>
        </w:rPr>
        <w:t>c,d</w:t>
      </w:r>
      <w:proofErr w:type="spellEnd"/>
      <w:proofErr w:type="gramEnd"/>
      <w:r w:rsidRPr="00AF73D3">
        <w:rPr>
          <w:color w:val="000000" w:themeColor="text1"/>
        </w:rPr>
        <w:t>) Fluoroscopic imaging following deployment of a self-expanding 18 mm × 80 mm oesophageal stent (</w:t>
      </w:r>
      <w:proofErr w:type="spellStart"/>
      <w:r w:rsidRPr="00AF73D3">
        <w:rPr>
          <w:color w:val="000000" w:themeColor="text1"/>
        </w:rPr>
        <w:t>Niti</w:t>
      </w:r>
      <w:proofErr w:type="spellEnd"/>
      <w:r w:rsidRPr="00AF73D3">
        <w:rPr>
          <w:color w:val="000000" w:themeColor="text1"/>
        </w:rPr>
        <w:t xml:space="preserve">-S™ </w:t>
      </w:r>
      <w:proofErr w:type="spellStart"/>
      <w:r w:rsidRPr="00AF73D3">
        <w:rPr>
          <w:color w:val="000000" w:themeColor="text1"/>
        </w:rPr>
        <w:t>Esophageal</w:t>
      </w:r>
      <w:proofErr w:type="spellEnd"/>
      <w:r w:rsidRPr="00AF73D3">
        <w:rPr>
          <w:color w:val="000000" w:themeColor="text1"/>
        </w:rPr>
        <w:t xml:space="preserve"> Stent, </w:t>
      </w:r>
      <w:proofErr w:type="spellStart"/>
      <w:r w:rsidRPr="00AF73D3">
        <w:rPr>
          <w:color w:val="000000" w:themeColor="text1"/>
        </w:rPr>
        <w:t>TaeWoong</w:t>
      </w:r>
      <w:proofErr w:type="spellEnd"/>
      <w:r w:rsidRPr="00AF73D3">
        <w:rPr>
          <w:color w:val="000000" w:themeColor="text1"/>
        </w:rPr>
        <w:t xml:space="preserve"> Medical </w:t>
      </w:r>
      <w:proofErr w:type="spellStart"/>
      <w:r w:rsidRPr="00AF73D3">
        <w:rPr>
          <w:color w:val="000000" w:themeColor="text1"/>
        </w:rPr>
        <w:t>Gyeonggi</w:t>
      </w:r>
      <w:proofErr w:type="spellEnd"/>
      <w:r w:rsidRPr="00AF73D3">
        <w:rPr>
          <w:color w:val="000000" w:themeColor="text1"/>
        </w:rPr>
        <w:t>-do, South Korea) in the mid-distal oesophagus.</w:t>
      </w:r>
    </w:p>
    <w:p w14:paraId="7DD628EB" w14:textId="027AD523" w:rsidR="007823E0" w:rsidRPr="00C5282B" w:rsidRDefault="007823E0" w:rsidP="00C5282B">
      <w:r>
        <w:fldChar w:fldCharType="begin"/>
      </w:r>
      <w:r>
        <w:instrText xml:space="preserve"> INCLUDEPICTURE "https://marlin-prod.literatumonline.com/cms/attachment/a175b714-d057-4fb9-a07b-8ca603223b88/gr1_lrg.jpg" \* MERGEFORMATINET </w:instrText>
      </w:r>
      <w:r>
        <w:fldChar w:fldCharType="separate"/>
      </w:r>
      <w:r>
        <w:rPr>
          <w:noProof/>
        </w:rPr>
        <w:drawing>
          <wp:inline distT="0" distB="0" distL="0" distR="0" wp14:anchorId="65CE52DA" wp14:editId="62FD055F">
            <wp:extent cx="2441121" cy="6144615"/>
            <wp:effectExtent l="0" t="0" r="0" b="2540"/>
            <wp:docPr id="13" name="Picture 13" descr="https://marlin-prod.literatumonline.com/cms/attachment/a175b714-d057-4fb9-a07b-8ca603223b88/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rlin-prod.literatumonline.com/cms/attachment/a175b714-d057-4fb9-a07b-8ca603223b88/gr1_lrg.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64068" cy="6202375"/>
                    </a:xfrm>
                    <a:prstGeom prst="rect">
                      <a:avLst/>
                    </a:prstGeom>
                    <a:noFill/>
                    <a:ln>
                      <a:noFill/>
                    </a:ln>
                  </pic:spPr>
                </pic:pic>
              </a:graphicData>
            </a:graphic>
          </wp:inline>
        </w:drawing>
      </w:r>
      <w:r>
        <w:fldChar w:fldCharType="end"/>
      </w:r>
    </w:p>
    <w:p w14:paraId="3450486D" w14:textId="77777777" w:rsidR="007823E0" w:rsidRDefault="007823E0">
      <w:pPr>
        <w:rPr>
          <w:b/>
          <w:bCs/>
          <w:color w:val="000000" w:themeColor="text1"/>
        </w:rPr>
      </w:pPr>
      <w:r>
        <w:rPr>
          <w:b/>
          <w:bCs/>
          <w:color w:val="000000" w:themeColor="text1"/>
        </w:rPr>
        <w:br w:type="page"/>
      </w:r>
    </w:p>
    <w:p w14:paraId="76D2AB5A" w14:textId="50F724EC" w:rsidR="00AF73D3" w:rsidRPr="00AF73D3" w:rsidRDefault="00AF73D3" w:rsidP="00AF73D3">
      <w:pPr>
        <w:spacing w:before="100" w:beforeAutospacing="1" w:after="100" w:afterAutospacing="1"/>
        <w:outlineLvl w:val="3"/>
        <w:rPr>
          <w:b/>
          <w:bCs/>
          <w:color w:val="000000" w:themeColor="text1"/>
        </w:rPr>
      </w:pPr>
      <w:r w:rsidRPr="00AF73D3">
        <w:rPr>
          <w:b/>
          <w:bCs/>
          <w:color w:val="000000" w:themeColor="text1"/>
        </w:rPr>
        <w:lastRenderedPageBreak/>
        <w:t>Fig</w:t>
      </w:r>
      <w:r w:rsidRPr="00AF73D3">
        <w:rPr>
          <w:b/>
          <w:bCs/>
          <w:color w:val="000000" w:themeColor="text1"/>
        </w:rPr>
        <w:t>. 2</w:t>
      </w:r>
    </w:p>
    <w:p w14:paraId="0B049D7A" w14:textId="7B401522" w:rsidR="00AF73D3" w:rsidRDefault="00AF73D3" w:rsidP="00AF73D3">
      <w:pPr>
        <w:spacing w:before="100" w:beforeAutospacing="1" w:after="100" w:afterAutospacing="1"/>
        <w:rPr>
          <w:color w:val="000000" w:themeColor="text1"/>
        </w:rPr>
      </w:pPr>
      <w:r w:rsidRPr="00AF73D3">
        <w:rPr>
          <w:color w:val="000000" w:themeColor="text1"/>
        </w:rPr>
        <w:t xml:space="preserve">Pyloric dilation in a two-year-old child who had suffered caustic injury to the pylorus. (a) Delayed image from an upper gastrointestinal series showing a dilated stomach with retained contrast consistent with gastric outlet obstruction. (b) </w:t>
      </w:r>
      <w:proofErr w:type="spellStart"/>
      <w:r w:rsidRPr="00AF73D3">
        <w:rPr>
          <w:color w:val="000000" w:themeColor="text1"/>
        </w:rPr>
        <w:t>Flouroscopic</w:t>
      </w:r>
      <w:proofErr w:type="spellEnd"/>
      <w:r w:rsidRPr="00AF73D3">
        <w:rPr>
          <w:color w:val="000000" w:themeColor="text1"/>
        </w:rPr>
        <w:t xml:space="preserve"> image showing balloon dilation of the pylorus. (c) Concurrent endoscopy shows balloon inflated across the pylorus, with pale scar tissue is seen at the pylorus (arrow).</w:t>
      </w:r>
    </w:p>
    <w:p w14:paraId="15E0838D" w14:textId="1FC4001C" w:rsidR="00AF73D3" w:rsidRPr="00C5282B" w:rsidRDefault="00AF73D3" w:rsidP="00C5282B">
      <w:r>
        <w:fldChar w:fldCharType="begin"/>
      </w:r>
      <w:r>
        <w:instrText xml:space="preserve"> INCLUDEPICTURE "https://marlin-prod.literatumonline.com/cms/attachment/e7e1d0b4-311a-4d30-a372-7a8168df18f2/gr2_lrg.jpg" \* MERGEFORMATINET </w:instrText>
      </w:r>
      <w:r>
        <w:fldChar w:fldCharType="separate"/>
      </w:r>
      <w:r>
        <w:rPr>
          <w:noProof/>
        </w:rPr>
        <w:drawing>
          <wp:inline distT="0" distB="0" distL="0" distR="0" wp14:anchorId="092FACCB" wp14:editId="3C7E9CA4">
            <wp:extent cx="5876619" cy="6253843"/>
            <wp:effectExtent l="0" t="0" r="3810" b="0"/>
            <wp:docPr id="12" name="Picture 12" descr="https://marlin-prod.literatumonline.com/cms/attachment/e7e1d0b4-311a-4d30-a372-7a8168df18f2/gr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rlin-prod.literatumonline.com/cms/attachment/e7e1d0b4-311a-4d30-a372-7a8168df18f2/gr2_lrg.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0303" cy="6257763"/>
                    </a:xfrm>
                    <a:prstGeom prst="rect">
                      <a:avLst/>
                    </a:prstGeom>
                    <a:noFill/>
                    <a:ln>
                      <a:noFill/>
                    </a:ln>
                  </pic:spPr>
                </pic:pic>
              </a:graphicData>
            </a:graphic>
          </wp:inline>
        </w:drawing>
      </w:r>
      <w:r>
        <w:fldChar w:fldCharType="end"/>
      </w:r>
    </w:p>
    <w:p w14:paraId="5ACB0AE2" w14:textId="77777777" w:rsidR="007823E0" w:rsidRDefault="007823E0">
      <w:pPr>
        <w:rPr>
          <w:b/>
          <w:bCs/>
          <w:color w:val="000000" w:themeColor="text1"/>
        </w:rPr>
      </w:pPr>
      <w:r>
        <w:rPr>
          <w:b/>
          <w:bCs/>
          <w:color w:val="000000" w:themeColor="text1"/>
        </w:rPr>
        <w:br w:type="page"/>
      </w:r>
    </w:p>
    <w:p w14:paraId="45941C30" w14:textId="06F75D82" w:rsidR="00AF73D3" w:rsidRPr="00AF73D3" w:rsidRDefault="00AF73D3" w:rsidP="00AF73D3">
      <w:pPr>
        <w:spacing w:before="100" w:beforeAutospacing="1" w:after="100" w:afterAutospacing="1"/>
        <w:outlineLvl w:val="3"/>
        <w:rPr>
          <w:b/>
          <w:bCs/>
          <w:color w:val="000000" w:themeColor="text1"/>
        </w:rPr>
      </w:pPr>
      <w:r w:rsidRPr="00AF73D3">
        <w:rPr>
          <w:b/>
          <w:bCs/>
          <w:color w:val="000000" w:themeColor="text1"/>
        </w:rPr>
        <w:lastRenderedPageBreak/>
        <w:t>Fig. 3</w:t>
      </w:r>
    </w:p>
    <w:p w14:paraId="5E0A34A7" w14:textId="672D85B4" w:rsidR="00AF73D3" w:rsidRDefault="00AF73D3" w:rsidP="00AF73D3">
      <w:pPr>
        <w:spacing w:before="100" w:beforeAutospacing="1" w:after="100" w:afterAutospacing="1"/>
        <w:rPr>
          <w:color w:val="000000" w:themeColor="text1"/>
        </w:rPr>
      </w:pPr>
      <w:r w:rsidRPr="00AF73D3">
        <w:rPr>
          <w:color w:val="000000" w:themeColor="text1"/>
        </w:rPr>
        <w:t>Antegrade gastrostomy insertion in a ten-year-old boy prior to radiotherapy for an medulloblastoma. Series of frontal (a, c, e) and lateral (b, d, f) projection intra-procedural fluoroscopic images. (</w:t>
      </w:r>
      <w:proofErr w:type="spellStart"/>
      <w:proofErr w:type="gramStart"/>
      <w:r w:rsidRPr="00AF73D3">
        <w:rPr>
          <w:color w:val="000000" w:themeColor="text1"/>
        </w:rPr>
        <w:t>a,b</w:t>
      </w:r>
      <w:proofErr w:type="spellEnd"/>
      <w:proofErr w:type="gramEnd"/>
      <w:r w:rsidRPr="00AF73D3">
        <w:rPr>
          <w:color w:val="000000" w:themeColor="text1"/>
        </w:rPr>
        <w:t>) A trefoil snare has been inserted into the stomach (arrow) and the colon is well opacified by barium (curved arrow). (c) The stomach has been inflated with air using the in-situ nasogastric tube and a puncture site has been selected (d) Lateral projection showing needle puncture into the stomach (arrow) and into the snare. (e) ‘Through and through’ wire access has been obtained by snaring a wire. After pulling a 9 French gastrostomy (</w:t>
      </w:r>
      <w:proofErr w:type="spellStart"/>
      <w:r w:rsidRPr="00AF73D3">
        <w:rPr>
          <w:color w:val="000000" w:themeColor="text1"/>
        </w:rPr>
        <w:t>Freka</w:t>
      </w:r>
      <w:proofErr w:type="spellEnd"/>
      <w:r w:rsidRPr="00AF73D3">
        <w:rPr>
          <w:color w:val="000000" w:themeColor="text1"/>
        </w:rPr>
        <w:t>-PEG-Gastric-Set-</w:t>
      </w:r>
      <w:proofErr w:type="spellStart"/>
      <w:r w:rsidRPr="00AF73D3">
        <w:rPr>
          <w:color w:val="000000" w:themeColor="text1"/>
        </w:rPr>
        <w:t>ENFit</w:t>
      </w:r>
      <w:proofErr w:type="spellEnd"/>
      <w:r w:rsidRPr="00AF73D3">
        <w:rPr>
          <w:color w:val="000000" w:themeColor="text1"/>
        </w:rPr>
        <w:t xml:space="preserve">, Fresenius </w:t>
      </w:r>
      <w:proofErr w:type="spellStart"/>
      <w:r w:rsidRPr="00AF73D3">
        <w:rPr>
          <w:color w:val="000000" w:themeColor="text1"/>
        </w:rPr>
        <w:t>Kabi</w:t>
      </w:r>
      <w:proofErr w:type="spellEnd"/>
      <w:r w:rsidRPr="00AF73D3">
        <w:rPr>
          <w:color w:val="000000" w:themeColor="text1"/>
        </w:rPr>
        <w:t xml:space="preserve">, Bad Homburg </w:t>
      </w:r>
      <w:proofErr w:type="spellStart"/>
      <w:r w:rsidRPr="00AF73D3">
        <w:rPr>
          <w:color w:val="000000" w:themeColor="text1"/>
        </w:rPr>
        <w:t>vor</w:t>
      </w:r>
      <w:proofErr w:type="spellEnd"/>
      <w:r w:rsidRPr="00AF73D3">
        <w:rPr>
          <w:color w:val="000000" w:themeColor="text1"/>
        </w:rPr>
        <w:t xml:space="preserve"> der </w:t>
      </w:r>
      <w:proofErr w:type="spellStart"/>
      <w:r w:rsidRPr="00AF73D3">
        <w:rPr>
          <w:color w:val="000000" w:themeColor="text1"/>
        </w:rPr>
        <w:t>Höhe</w:t>
      </w:r>
      <w:proofErr w:type="spellEnd"/>
      <w:r w:rsidRPr="00AF73D3">
        <w:rPr>
          <w:color w:val="000000" w:themeColor="text1"/>
        </w:rPr>
        <w:t>, Germany) antegrade, a final lateral projection image (f) shows the gastrostomy flange holding the decompressed stomach against the anterior abdominal wall (arrow).</w:t>
      </w:r>
    </w:p>
    <w:p w14:paraId="2C105A9E" w14:textId="74F4BC37" w:rsidR="00AF73D3" w:rsidRPr="00C5282B" w:rsidRDefault="007823E0" w:rsidP="00AF73D3">
      <w:r>
        <w:fldChar w:fldCharType="begin"/>
      </w:r>
      <w:r>
        <w:instrText xml:space="preserve"> INCLUDEPICTURE "https://marlin-prod.literatumonline.com/cms/attachment/6c05cc13-6099-4c11-97e0-4adbd5f79554/gr3_lrg.jpg" \* MERGEFORMATINET </w:instrText>
      </w:r>
      <w:r>
        <w:fldChar w:fldCharType="separate"/>
      </w:r>
      <w:r>
        <w:rPr>
          <w:noProof/>
        </w:rPr>
        <w:drawing>
          <wp:inline distT="0" distB="0" distL="0" distR="0" wp14:anchorId="75813CAC" wp14:editId="224243CC">
            <wp:extent cx="4073979" cy="6274924"/>
            <wp:effectExtent l="0" t="0" r="3175" b="0"/>
            <wp:docPr id="14" name="Picture 14" descr="https://marlin-prod.literatumonline.com/cms/attachment/6c05cc13-6099-4c11-97e0-4adbd5f79554/gr3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rlin-prod.literatumonline.com/cms/attachment/6c05cc13-6099-4c11-97e0-4adbd5f79554/gr3_lrg.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0233" cy="6299959"/>
                    </a:xfrm>
                    <a:prstGeom prst="rect">
                      <a:avLst/>
                    </a:prstGeom>
                    <a:noFill/>
                    <a:ln>
                      <a:noFill/>
                    </a:ln>
                  </pic:spPr>
                </pic:pic>
              </a:graphicData>
            </a:graphic>
          </wp:inline>
        </w:drawing>
      </w:r>
      <w:r>
        <w:fldChar w:fldCharType="end"/>
      </w:r>
    </w:p>
    <w:p w14:paraId="11C6D137" w14:textId="77777777" w:rsidR="007823E0" w:rsidRDefault="007823E0">
      <w:pPr>
        <w:rPr>
          <w:b/>
          <w:bCs/>
          <w:color w:val="000000" w:themeColor="text1"/>
        </w:rPr>
      </w:pPr>
      <w:r>
        <w:rPr>
          <w:b/>
          <w:bCs/>
          <w:color w:val="000000" w:themeColor="text1"/>
        </w:rPr>
        <w:br w:type="page"/>
      </w:r>
    </w:p>
    <w:p w14:paraId="0A711E91" w14:textId="3A6D64F5" w:rsidR="00AF73D3" w:rsidRPr="00AF73D3" w:rsidRDefault="00AF73D3" w:rsidP="00AF73D3">
      <w:pPr>
        <w:spacing w:before="100" w:beforeAutospacing="1" w:after="100" w:afterAutospacing="1"/>
        <w:outlineLvl w:val="3"/>
        <w:rPr>
          <w:b/>
          <w:bCs/>
          <w:color w:val="000000" w:themeColor="text1"/>
        </w:rPr>
      </w:pPr>
      <w:r w:rsidRPr="00AF73D3">
        <w:rPr>
          <w:b/>
          <w:bCs/>
          <w:color w:val="000000" w:themeColor="text1"/>
        </w:rPr>
        <w:lastRenderedPageBreak/>
        <w:t>Fig. 4</w:t>
      </w:r>
    </w:p>
    <w:p w14:paraId="586F30BE" w14:textId="7242799B" w:rsidR="00AF73D3" w:rsidRPr="00AF73D3" w:rsidRDefault="00AF73D3" w:rsidP="00AF73D3">
      <w:pPr>
        <w:spacing w:before="100" w:beforeAutospacing="1" w:after="100" w:afterAutospacing="1"/>
        <w:rPr>
          <w:color w:val="000000" w:themeColor="text1"/>
        </w:rPr>
      </w:pPr>
      <w:r w:rsidRPr="00AF73D3">
        <w:rPr>
          <w:color w:val="000000" w:themeColor="text1"/>
        </w:rPr>
        <w:t xml:space="preserve">(a) Intra-procedural image during ADM catheter insertion showing guide wire buckling in the stomach (arrow) as an attempt to advance the leading curve of the wire in the capacious duodenum. (b) A similar image from a procedure in another patient showing use of a 7 French sheath to prevent the wire buckling in very capacious stomach (arrow). The ADM catheter position with the tip at the </w:t>
      </w:r>
      <w:proofErr w:type="spellStart"/>
      <w:r w:rsidRPr="00AF73D3">
        <w:rPr>
          <w:color w:val="000000" w:themeColor="text1"/>
        </w:rPr>
        <w:t>duodeno</w:t>
      </w:r>
      <w:proofErr w:type="spellEnd"/>
      <w:r w:rsidRPr="00AF73D3">
        <w:rPr>
          <w:color w:val="000000" w:themeColor="text1"/>
        </w:rPr>
        <w:t>-jejunal flexure shown in (c).</w:t>
      </w:r>
    </w:p>
    <w:p w14:paraId="15BA705A" w14:textId="632FA5E0" w:rsidR="00AF73D3" w:rsidRDefault="00C5282B" w:rsidP="00AF73D3">
      <w:r>
        <w:fldChar w:fldCharType="begin"/>
      </w:r>
      <w:r>
        <w:instrText xml:space="preserve"> INCLUDEPICTURE "https://marlin-prod.literatumonline.com/cms/attachment/d577a0d4-dab1-4b93-941b-3e72658cd42d/gr4_lrg.jpg" \* MERGEFORMATINET </w:instrText>
      </w:r>
      <w:r>
        <w:fldChar w:fldCharType="separate"/>
      </w:r>
      <w:r>
        <w:rPr>
          <w:noProof/>
        </w:rPr>
        <w:drawing>
          <wp:inline distT="0" distB="0" distL="0" distR="0" wp14:anchorId="246EA873" wp14:editId="68286FCF">
            <wp:extent cx="5727700" cy="5070475"/>
            <wp:effectExtent l="0" t="0" r="0" b="0"/>
            <wp:docPr id="15" name="Picture 15" descr="https://marlin-prod.literatumonline.com/cms/attachment/d577a0d4-dab1-4b93-941b-3e72658cd42d/gr4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rlin-prod.literatumonline.com/cms/attachment/d577a0d4-dab1-4b93-941b-3e72658cd42d/gr4_lrg.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7700" cy="5070475"/>
                    </a:xfrm>
                    <a:prstGeom prst="rect">
                      <a:avLst/>
                    </a:prstGeom>
                    <a:noFill/>
                    <a:ln>
                      <a:noFill/>
                    </a:ln>
                  </pic:spPr>
                </pic:pic>
              </a:graphicData>
            </a:graphic>
          </wp:inline>
        </w:drawing>
      </w:r>
      <w:r>
        <w:fldChar w:fldCharType="end"/>
      </w:r>
    </w:p>
    <w:p w14:paraId="0F2D18BF" w14:textId="77777777" w:rsidR="00C5282B" w:rsidRDefault="00C5282B">
      <w:pPr>
        <w:rPr>
          <w:b/>
          <w:bCs/>
          <w:sz w:val="36"/>
          <w:szCs w:val="36"/>
        </w:rPr>
      </w:pPr>
      <w:r>
        <w:br w:type="page"/>
      </w:r>
    </w:p>
    <w:p w14:paraId="343006A2" w14:textId="2CB3F790" w:rsidR="00AB77E7" w:rsidRPr="00AF73D3" w:rsidRDefault="00AB77E7" w:rsidP="00AF73D3">
      <w:pPr>
        <w:pStyle w:val="Heading2"/>
      </w:pPr>
      <w:r w:rsidRPr="00AF73D3">
        <w:lastRenderedPageBreak/>
        <w:t>Funding</w:t>
      </w:r>
    </w:p>
    <w:p w14:paraId="317B355E" w14:textId="77777777" w:rsidR="00AB77E7" w:rsidRPr="00AF73D3" w:rsidRDefault="00AB77E7" w:rsidP="00AB77E7">
      <w:pPr>
        <w:spacing w:before="100" w:beforeAutospacing="1" w:after="100" w:afterAutospacing="1"/>
        <w:rPr>
          <w:color w:val="000000" w:themeColor="text1"/>
        </w:rPr>
      </w:pPr>
      <w:r w:rsidRPr="00AF73D3">
        <w:rPr>
          <w:color w:val="000000" w:themeColor="text1"/>
        </w:rPr>
        <w:t>This research did not receive any specific grants from funding agencies in the public, commercial, or not-for-profit sectors.</w:t>
      </w:r>
    </w:p>
    <w:p w14:paraId="2172384F" w14:textId="77777777" w:rsidR="00495249" w:rsidRPr="00AF73D3" w:rsidRDefault="00495249">
      <w:pPr>
        <w:rPr>
          <w:color w:val="000000" w:themeColor="text1"/>
        </w:rPr>
      </w:pPr>
    </w:p>
    <w:sectPr w:rsidR="00495249" w:rsidRPr="00AF73D3" w:rsidSect="006C14A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4FCB"/>
    <w:multiLevelType w:val="multilevel"/>
    <w:tmpl w:val="E140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2D61CE"/>
    <w:multiLevelType w:val="multilevel"/>
    <w:tmpl w:val="BE2E98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231179"/>
    <w:multiLevelType w:val="hybridMultilevel"/>
    <w:tmpl w:val="E8825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E7"/>
    <w:rsid w:val="000073D1"/>
    <w:rsid w:val="003E0A72"/>
    <w:rsid w:val="00495249"/>
    <w:rsid w:val="006C14A9"/>
    <w:rsid w:val="007823E0"/>
    <w:rsid w:val="00933D7B"/>
    <w:rsid w:val="00AB77E7"/>
    <w:rsid w:val="00AF73D3"/>
    <w:rsid w:val="00C5282B"/>
    <w:rsid w:val="00E35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E6CE57"/>
  <w14:defaultImageDpi w14:val="32767"/>
  <w15:chartTrackingRefBased/>
  <w15:docId w15:val="{0658D53D-6DF5-DF4E-917B-32CB600A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E0A72"/>
    <w:rPr>
      <w:rFonts w:ascii="Times New Roman" w:eastAsia="Times New Roman" w:hAnsi="Times New Roman" w:cs="Times New Roman"/>
    </w:rPr>
  </w:style>
  <w:style w:type="paragraph" w:styleId="Heading1">
    <w:name w:val="heading 1"/>
    <w:basedOn w:val="Normal"/>
    <w:next w:val="Normal"/>
    <w:link w:val="Heading1Char"/>
    <w:uiPriority w:val="9"/>
    <w:qFormat/>
    <w:rsid w:val="00AB77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B77E7"/>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B77E7"/>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B77E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77E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B77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B77E7"/>
    <w:rPr>
      <w:rFonts w:ascii="Times New Roman" w:eastAsia="Times New Roman" w:hAnsi="Times New Roman" w:cs="Times New Roman"/>
      <w:b/>
      <w:bCs/>
    </w:rPr>
  </w:style>
  <w:style w:type="paragraph" w:customStyle="1" w:styleId="msonormal0">
    <w:name w:val="msonormal"/>
    <w:basedOn w:val="Normal"/>
    <w:rsid w:val="00AB77E7"/>
    <w:pPr>
      <w:spacing w:before="100" w:beforeAutospacing="1" w:after="100" w:afterAutospacing="1"/>
    </w:pPr>
  </w:style>
  <w:style w:type="character" w:customStyle="1" w:styleId="bibref">
    <w:name w:val="bibref"/>
    <w:basedOn w:val="DefaultParagraphFont"/>
    <w:rsid w:val="00AB77E7"/>
  </w:style>
  <w:style w:type="character" w:styleId="Hyperlink">
    <w:name w:val="Hyperlink"/>
    <w:basedOn w:val="DefaultParagraphFont"/>
    <w:uiPriority w:val="99"/>
    <w:unhideWhenUsed/>
    <w:rsid w:val="00AB77E7"/>
    <w:rPr>
      <w:color w:val="0000FF"/>
      <w:u w:val="single"/>
    </w:rPr>
  </w:style>
  <w:style w:type="character" w:styleId="FollowedHyperlink">
    <w:name w:val="FollowedHyperlink"/>
    <w:basedOn w:val="DefaultParagraphFont"/>
    <w:uiPriority w:val="99"/>
    <w:semiHidden/>
    <w:unhideWhenUsed/>
    <w:rsid w:val="00AB77E7"/>
    <w:rPr>
      <w:color w:val="800080"/>
      <w:u w:val="single"/>
    </w:rPr>
  </w:style>
  <w:style w:type="character" w:customStyle="1" w:styleId="fig-img-wrap">
    <w:name w:val="fig-img-wrap"/>
    <w:basedOn w:val="DefaultParagraphFont"/>
    <w:rsid w:val="00AB77E7"/>
  </w:style>
  <w:style w:type="character" w:customStyle="1" w:styleId="label">
    <w:name w:val="label"/>
    <w:basedOn w:val="DefaultParagraphFont"/>
    <w:rsid w:val="00AB77E7"/>
  </w:style>
  <w:style w:type="paragraph" w:styleId="NormalWeb">
    <w:name w:val="Normal (Web)"/>
    <w:basedOn w:val="Normal"/>
    <w:uiPriority w:val="99"/>
    <w:semiHidden/>
    <w:unhideWhenUsed/>
    <w:rsid w:val="00AB77E7"/>
    <w:pPr>
      <w:spacing w:before="100" w:beforeAutospacing="1" w:after="100" w:afterAutospacing="1"/>
    </w:pPr>
  </w:style>
  <w:style w:type="paragraph" w:styleId="ListParagraph">
    <w:name w:val="List Paragraph"/>
    <w:basedOn w:val="Normal"/>
    <w:uiPriority w:val="34"/>
    <w:qFormat/>
    <w:rsid w:val="00AB77E7"/>
    <w:pPr>
      <w:ind w:left="720"/>
      <w:contextualSpacing/>
    </w:pPr>
  </w:style>
  <w:style w:type="character" w:customStyle="1" w:styleId="Heading1Char">
    <w:name w:val="Heading 1 Char"/>
    <w:basedOn w:val="DefaultParagraphFont"/>
    <w:link w:val="Heading1"/>
    <w:uiPriority w:val="9"/>
    <w:rsid w:val="00AB77E7"/>
    <w:rPr>
      <w:rFonts w:asciiTheme="majorHAnsi" w:eastAsiaTheme="majorEastAsia" w:hAnsiTheme="majorHAnsi" w:cstheme="majorBidi"/>
      <w:color w:val="2F5496" w:themeColor="accent1" w:themeShade="BF"/>
      <w:sz w:val="32"/>
      <w:szCs w:val="32"/>
    </w:rPr>
  </w:style>
  <w:style w:type="character" w:customStyle="1" w:styleId="hiddenreadable">
    <w:name w:val="hiddenreadable"/>
    <w:basedOn w:val="DefaultParagraphFont"/>
    <w:rsid w:val="00AB77E7"/>
  </w:style>
  <w:style w:type="paragraph" w:styleId="Title">
    <w:name w:val="Title"/>
    <w:basedOn w:val="Normal"/>
    <w:next w:val="Normal"/>
    <w:link w:val="TitleChar"/>
    <w:uiPriority w:val="10"/>
    <w:qFormat/>
    <w:rsid w:val="00AB77E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77E7"/>
    <w:rPr>
      <w:rFonts w:asciiTheme="majorHAnsi" w:eastAsiaTheme="majorEastAsia" w:hAnsiTheme="majorHAnsi" w:cstheme="majorBidi"/>
      <w:spacing w:val="-10"/>
      <w:kern w:val="28"/>
      <w:sz w:val="56"/>
      <w:szCs w:val="56"/>
    </w:rPr>
  </w:style>
  <w:style w:type="character" w:customStyle="1" w:styleId="reference">
    <w:name w:val="reference"/>
    <w:basedOn w:val="DefaultParagraphFont"/>
    <w:rsid w:val="003E0A72"/>
  </w:style>
  <w:style w:type="character" w:customStyle="1" w:styleId="refauthors">
    <w:name w:val="refauthors"/>
    <w:basedOn w:val="DefaultParagraphFont"/>
    <w:rsid w:val="003E0A72"/>
  </w:style>
  <w:style w:type="character" w:customStyle="1" w:styleId="reftitle">
    <w:name w:val="reftitle"/>
    <w:basedOn w:val="DefaultParagraphFont"/>
    <w:rsid w:val="003E0A72"/>
  </w:style>
  <w:style w:type="character" w:customStyle="1" w:styleId="refseriestitle">
    <w:name w:val="refseriestitle"/>
    <w:basedOn w:val="DefaultParagraphFont"/>
    <w:rsid w:val="003E0A72"/>
  </w:style>
  <w:style w:type="character" w:customStyle="1" w:styleId="refseriesdate">
    <w:name w:val="refseriesdate"/>
    <w:basedOn w:val="DefaultParagraphFont"/>
    <w:rsid w:val="003E0A72"/>
  </w:style>
  <w:style w:type="character" w:customStyle="1" w:styleId="refseriesvolume">
    <w:name w:val="refseriesvolume"/>
    <w:basedOn w:val="DefaultParagraphFont"/>
    <w:rsid w:val="003E0A72"/>
  </w:style>
  <w:style w:type="character" w:customStyle="1" w:styleId="refpages">
    <w:name w:val="refpages"/>
    <w:basedOn w:val="DefaultParagraphFont"/>
    <w:rsid w:val="003E0A72"/>
  </w:style>
  <w:style w:type="character" w:customStyle="1" w:styleId="refcomment">
    <w:name w:val="refcomment"/>
    <w:basedOn w:val="DefaultParagraphFont"/>
    <w:rsid w:val="003E0A72"/>
  </w:style>
  <w:style w:type="character" w:styleId="UnresolvedMention">
    <w:name w:val="Unresolved Mention"/>
    <w:basedOn w:val="DefaultParagraphFont"/>
    <w:uiPriority w:val="99"/>
    <w:rsid w:val="00C528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9899">
      <w:bodyDiv w:val="1"/>
      <w:marLeft w:val="0"/>
      <w:marRight w:val="0"/>
      <w:marTop w:val="0"/>
      <w:marBottom w:val="0"/>
      <w:divBdr>
        <w:top w:val="none" w:sz="0" w:space="0" w:color="auto"/>
        <w:left w:val="none" w:sz="0" w:space="0" w:color="auto"/>
        <w:bottom w:val="none" w:sz="0" w:space="0" w:color="auto"/>
        <w:right w:val="none" w:sz="0" w:space="0" w:color="auto"/>
      </w:divBdr>
    </w:div>
    <w:div w:id="494686989">
      <w:bodyDiv w:val="1"/>
      <w:marLeft w:val="0"/>
      <w:marRight w:val="0"/>
      <w:marTop w:val="0"/>
      <w:marBottom w:val="0"/>
      <w:divBdr>
        <w:top w:val="none" w:sz="0" w:space="0" w:color="auto"/>
        <w:left w:val="none" w:sz="0" w:space="0" w:color="auto"/>
        <w:bottom w:val="none" w:sz="0" w:space="0" w:color="auto"/>
        <w:right w:val="none" w:sz="0" w:space="0" w:color="auto"/>
      </w:divBdr>
    </w:div>
    <w:div w:id="575479229">
      <w:bodyDiv w:val="1"/>
      <w:marLeft w:val="0"/>
      <w:marRight w:val="0"/>
      <w:marTop w:val="0"/>
      <w:marBottom w:val="0"/>
      <w:divBdr>
        <w:top w:val="none" w:sz="0" w:space="0" w:color="auto"/>
        <w:left w:val="none" w:sz="0" w:space="0" w:color="auto"/>
        <w:bottom w:val="none" w:sz="0" w:space="0" w:color="auto"/>
        <w:right w:val="none" w:sz="0" w:space="0" w:color="auto"/>
      </w:divBdr>
    </w:div>
    <w:div w:id="621156011">
      <w:bodyDiv w:val="1"/>
      <w:marLeft w:val="0"/>
      <w:marRight w:val="0"/>
      <w:marTop w:val="0"/>
      <w:marBottom w:val="0"/>
      <w:divBdr>
        <w:top w:val="none" w:sz="0" w:space="0" w:color="auto"/>
        <w:left w:val="none" w:sz="0" w:space="0" w:color="auto"/>
        <w:bottom w:val="none" w:sz="0" w:space="0" w:color="auto"/>
        <w:right w:val="none" w:sz="0" w:space="0" w:color="auto"/>
      </w:divBdr>
    </w:div>
    <w:div w:id="776995145">
      <w:bodyDiv w:val="1"/>
      <w:marLeft w:val="0"/>
      <w:marRight w:val="0"/>
      <w:marTop w:val="0"/>
      <w:marBottom w:val="0"/>
      <w:divBdr>
        <w:top w:val="none" w:sz="0" w:space="0" w:color="auto"/>
        <w:left w:val="none" w:sz="0" w:space="0" w:color="auto"/>
        <w:bottom w:val="none" w:sz="0" w:space="0" w:color="auto"/>
        <w:right w:val="none" w:sz="0" w:space="0" w:color="auto"/>
      </w:divBdr>
      <w:divsChild>
        <w:div w:id="1743723220">
          <w:marLeft w:val="0"/>
          <w:marRight w:val="0"/>
          <w:marTop w:val="0"/>
          <w:marBottom w:val="0"/>
          <w:divBdr>
            <w:top w:val="none" w:sz="0" w:space="0" w:color="auto"/>
            <w:left w:val="none" w:sz="0" w:space="0" w:color="auto"/>
            <w:bottom w:val="none" w:sz="0" w:space="0" w:color="auto"/>
            <w:right w:val="none" w:sz="0" w:space="0" w:color="auto"/>
          </w:divBdr>
        </w:div>
        <w:div w:id="1360010640">
          <w:marLeft w:val="0"/>
          <w:marRight w:val="0"/>
          <w:marTop w:val="0"/>
          <w:marBottom w:val="0"/>
          <w:divBdr>
            <w:top w:val="none" w:sz="0" w:space="0" w:color="auto"/>
            <w:left w:val="none" w:sz="0" w:space="0" w:color="auto"/>
            <w:bottom w:val="none" w:sz="0" w:space="0" w:color="auto"/>
            <w:right w:val="none" w:sz="0" w:space="0" w:color="auto"/>
          </w:divBdr>
        </w:div>
        <w:div w:id="734934922">
          <w:marLeft w:val="0"/>
          <w:marRight w:val="0"/>
          <w:marTop w:val="0"/>
          <w:marBottom w:val="0"/>
          <w:divBdr>
            <w:top w:val="none" w:sz="0" w:space="0" w:color="auto"/>
            <w:left w:val="none" w:sz="0" w:space="0" w:color="auto"/>
            <w:bottom w:val="none" w:sz="0" w:space="0" w:color="auto"/>
            <w:right w:val="none" w:sz="0" w:space="0" w:color="auto"/>
          </w:divBdr>
        </w:div>
        <w:div w:id="940376946">
          <w:marLeft w:val="0"/>
          <w:marRight w:val="0"/>
          <w:marTop w:val="0"/>
          <w:marBottom w:val="0"/>
          <w:divBdr>
            <w:top w:val="none" w:sz="0" w:space="0" w:color="auto"/>
            <w:left w:val="none" w:sz="0" w:space="0" w:color="auto"/>
            <w:bottom w:val="none" w:sz="0" w:space="0" w:color="auto"/>
            <w:right w:val="none" w:sz="0" w:space="0" w:color="auto"/>
          </w:divBdr>
        </w:div>
      </w:divsChild>
    </w:div>
    <w:div w:id="1258633604">
      <w:bodyDiv w:val="1"/>
      <w:marLeft w:val="0"/>
      <w:marRight w:val="0"/>
      <w:marTop w:val="0"/>
      <w:marBottom w:val="0"/>
      <w:divBdr>
        <w:top w:val="none" w:sz="0" w:space="0" w:color="auto"/>
        <w:left w:val="none" w:sz="0" w:space="0" w:color="auto"/>
        <w:bottom w:val="none" w:sz="0" w:space="0" w:color="auto"/>
        <w:right w:val="none" w:sz="0" w:space="0" w:color="auto"/>
      </w:divBdr>
      <w:divsChild>
        <w:div w:id="1013802543">
          <w:marLeft w:val="0"/>
          <w:marRight w:val="0"/>
          <w:marTop w:val="0"/>
          <w:marBottom w:val="0"/>
          <w:divBdr>
            <w:top w:val="none" w:sz="0" w:space="0" w:color="auto"/>
            <w:left w:val="none" w:sz="0" w:space="0" w:color="auto"/>
            <w:bottom w:val="none" w:sz="0" w:space="0" w:color="auto"/>
            <w:right w:val="none" w:sz="0" w:space="0" w:color="auto"/>
          </w:divBdr>
        </w:div>
        <w:div w:id="96801510">
          <w:marLeft w:val="0"/>
          <w:marRight w:val="0"/>
          <w:marTop w:val="0"/>
          <w:marBottom w:val="0"/>
          <w:divBdr>
            <w:top w:val="none" w:sz="0" w:space="0" w:color="auto"/>
            <w:left w:val="none" w:sz="0" w:space="0" w:color="auto"/>
            <w:bottom w:val="none" w:sz="0" w:space="0" w:color="auto"/>
            <w:right w:val="none" w:sz="0" w:space="0" w:color="auto"/>
          </w:divBdr>
        </w:div>
        <w:div w:id="20013745">
          <w:marLeft w:val="0"/>
          <w:marRight w:val="0"/>
          <w:marTop w:val="0"/>
          <w:marBottom w:val="0"/>
          <w:divBdr>
            <w:top w:val="none" w:sz="0" w:space="0" w:color="auto"/>
            <w:left w:val="none" w:sz="0" w:space="0" w:color="auto"/>
            <w:bottom w:val="none" w:sz="0" w:space="0" w:color="auto"/>
            <w:right w:val="none" w:sz="0" w:space="0" w:color="auto"/>
          </w:divBdr>
        </w:div>
        <w:div w:id="1028141495">
          <w:marLeft w:val="0"/>
          <w:marRight w:val="0"/>
          <w:marTop w:val="0"/>
          <w:marBottom w:val="0"/>
          <w:divBdr>
            <w:top w:val="none" w:sz="0" w:space="0" w:color="auto"/>
            <w:left w:val="none" w:sz="0" w:space="0" w:color="auto"/>
            <w:bottom w:val="none" w:sz="0" w:space="0" w:color="auto"/>
            <w:right w:val="none" w:sz="0" w:space="0" w:color="auto"/>
          </w:divBdr>
        </w:div>
        <w:div w:id="1043942189">
          <w:marLeft w:val="0"/>
          <w:marRight w:val="0"/>
          <w:marTop w:val="0"/>
          <w:marBottom w:val="0"/>
          <w:divBdr>
            <w:top w:val="none" w:sz="0" w:space="0" w:color="auto"/>
            <w:left w:val="none" w:sz="0" w:space="0" w:color="auto"/>
            <w:bottom w:val="none" w:sz="0" w:space="0" w:color="auto"/>
            <w:right w:val="none" w:sz="0" w:space="0" w:color="auto"/>
          </w:divBdr>
        </w:div>
        <w:div w:id="720519551">
          <w:marLeft w:val="0"/>
          <w:marRight w:val="0"/>
          <w:marTop w:val="0"/>
          <w:marBottom w:val="0"/>
          <w:divBdr>
            <w:top w:val="none" w:sz="0" w:space="0" w:color="auto"/>
            <w:left w:val="none" w:sz="0" w:space="0" w:color="auto"/>
            <w:bottom w:val="none" w:sz="0" w:space="0" w:color="auto"/>
            <w:right w:val="none" w:sz="0" w:space="0" w:color="auto"/>
          </w:divBdr>
        </w:div>
        <w:div w:id="1075929404">
          <w:marLeft w:val="0"/>
          <w:marRight w:val="0"/>
          <w:marTop w:val="0"/>
          <w:marBottom w:val="0"/>
          <w:divBdr>
            <w:top w:val="none" w:sz="0" w:space="0" w:color="auto"/>
            <w:left w:val="none" w:sz="0" w:space="0" w:color="auto"/>
            <w:bottom w:val="none" w:sz="0" w:space="0" w:color="auto"/>
            <w:right w:val="none" w:sz="0" w:space="0" w:color="auto"/>
          </w:divBdr>
        </w:div>
        <w:div w:id="1581258049">
          <w:marLeft w:val="0"/>
          <w:marRight w:val="0"/>
          <w:marTop w:val="0"/>
          <w:marBottom w:val="0"/>
          <w:divBdr>
            <w:top w:val="none" w:sz="0" w:space="0" w:color="auto"/>
            <w:left w:val="none" w:sz="0" w:space="0" w:color="auto"/>
            <w:bottom w:val="none" w:sz="0" w:space="0" w:color="auto"/>
            <w:right w:val="none" w:sz="0" w:space="0" w:color="auto"/>
          </w:divBdr>
        </w:div>
        <w:div w:id="1802768096">
          <w:marLeft w:val="0"/>
          <w:marRight w:val="0"/>
          <w:marTop w:val="0"/>
          <w:marBottom w:val="0"/>
          <w:divBdr>
            <w:top w:val="none" w:sz="0" w:space="0" w:color="auto"/>
            <w:left w:val="none" w:sz="0" w:space="0" w:color="auto"/>
            <w:bottom w:val="none" w:sz="0" w:space="0" w:color="auto"/>
            <w:right w:val="none" w:sz="0" w:space="0" w:color="auto"/>
          </w:divBdr>
        </w:div>
        <w:div w:id="875387091">
          <w:marLeft w:val="0"/>
          <w:marRight w:val="0"/>
          <w:marTop w:val="0"/>
          <w:marBottom w:val="0"/>
          <w:divBdr>
            <w:top w:val="none" w:sz="0" w:space="0" w:color="auto"/>
            <w:left w:val="none" w:sz="0" w:space="0" w:color="auto"/>
            <w:bottom w:val="none" w:sz="0" w:space="0" w:color="auto"/>
            <w:right w:val="none" w:sz="0" w:space="0" w:color="auto"/>
          </w:divBdr>
        </w:div>
        <w:div w:id="1194148715">
          <w:marLeft w:val="0"/>
          <w:marRight w:val="0"/>
          <w:marTop w:val="0"/>
          <w:marBottom w:val="0"/>
          <w:divBdr>
            <w:top w:val="none" w:sz="0" w:space="0" w:color="auto"/>
            <w:left w:val="none" w:sz="0" w:space="0" w:color="auto"/>
            <w:bottom w:val="none" w:sz="0" w:space="0" w:color="auto"/>
            <w:right w:val="none" w:sz="0" w:space="0" w:color="auto"/>
          </w:divBdr>
        </w:div>
        <w:div w:id="2011372921">
          <w:marLeft w:val="0"/>
          <w:marRight w:val="0"/>
          <w:marTop w:val="0"/>
          <w:marBottom w:val="0"/>
          <w:divBdr>
            <w:top w:val="none" w:sz="0" w:space="0" w:color="auto"/>
            <w:left w:val="none" w:sz="0" w:space="0" w:color="auto"/>
            <w:bottom w:val="none" w:sz="0" w:space="0" w:color="auto"/>
            <w:right w:val="none" w:sz="0" w:space="0" w:color="auto"/>
          </w:divBdr>
        </w:div>
        <w:div w:id="1141506098">
          <w:marLeft w:val="0"/>
          <w:marRight w:val="0"/>
          <w:marTop w:val="0"/>
          <w:marBottom w:val="0"/>
          <w:divBdr>
            <w:top w:val="none" w:sz="0" w:space="0" w:color="auto"/>
            <w:left w:val="none" w:sz="0" w:space="0" w:color="auto"/>
            <w:bottom w:val="none" w:sz="0" w:space="0" w:color="auto"/>
            <w:right w:val="none" w:sz="0" w:space="0" w:color="auto"/>
          </w:divBdr>
        </w:div>
        <w:div w:id="2111583402">
          <w:marLeft w:val="0"/>
          <w:marRight w:val="0"/>
          <w:marTop w:val="0"/>
          <w:marBottom w:val="0"/>
          <w:divBdr>
            <w:top w:val="none" w:sz="0" w:space="0" w:color="auto"/>
            <w:left w:val="none" w:sz="0" w:space="0" w:color="auto"/>
            <w:bottom w:val="none" w:sz="0" w:space="0" w:color="auto"/>
            <w:right w:val="none" w:sz="0" w:space="0" w:color="auto"/>
          </w:divBdr>
        </w:div>
        <w:div w:id="1999384850">
          <w:marLeft w:val="0"/>
          <w:marRight w:val="0"/>
          <w:marTop w:val="0"/>
          <w:marBottom w:val="0"/>
          <w:divBdr>
            <w:top w:val="none" w:sz="0" w:space="0" w:color="auto"/>
            <w:left w:val="none" w:sz="0" w:space="0" w:color="auto"/>
            <w:bottom w:val="none" w:sz="0" w:space="0" w:color="auto"/>
            <w:right w:val="none" w:sz="0" w:space="0" w:color="auto"/>
          </w:divBdr>
        </w:div>
        <w:div w:id="632054577">
          <w:marLeft w:val="0"/>
          <w:marRight w:val="0"/>
          <w:marTop w:val="0"/>
          <w:marBottom w:val="0"/>
          <w:divBdr>
            <w:top w:val="none" w:sz="0" w:space="0" w:color="auto"/>
            <w:left w:val="none" w:sz="0" w:space="0" w:color="auto"/>
            <w:bottom w:val="none" w:sz="0" w:space="0" w:color="auto"/>
            <w:right w:val="none" w:sz="0" w:space="0" w:color="auto"/>
          </w:divBdr>
        </w:div>
        <w:div w:id="1914077175">
          <w:marLeft w:val="0"/>
          <w:marRight w:val="0"/>
          <w:marTop w:val="0"/>
          <w:marBottom w:val="0"/>
          <w:divBdr>
            <w:top w:val="none" w:sz="0" w:space="0" w:color="auto"/>
            <w:left w:val="none" w:sz="0" w:space="0" w:color="auto"/>
            <w:bottom w:val="none" w:sz="0" w:space="0" w:color="auto"/>
            <w:right w:val="none" w:sz="0" w:space="0" w:color="auto"/>
          </w:divBdr>
        </w:div>
        <w:div w:id="1652976302">
          <w:marLeft w:val="0"/>
          <w:marRight w:val="0"/>
          <w:marTop w:val="0"/>
          <w:marBottom w:val="0"/>
          <w:divBdr>
            <w:top w:val="none" w:sz="0" w:space="0" w:color="auto"/>
            <w:left w:val="none" w:sz="0" w:space="0" w:color="auto"/>
            <w:bottom w:val="none" w:sz="0" w:space="0" w:color="auto"/>
            <w:right w:val="none" w:sz="0" w:space="0" w:color="auto"/>
          </w:divBdr>
        </w:div>
        <w:div w:id="1027178255">
          <w:marLeft w:val="0"/>
          <w:marRight w:val="0"/>
          <w:marTop w:val="0"/>
          <w:marBottom w:val="0"/>
          <w:divBdr>
            <w:top w:val="none" w:sz="0" w:space="0" w:color="auto"/>
            <w:left w:val="none" w:sz="0" w:space="0" w:color="auto"/>
            <w:bottom w:val="none" w:sz="0" w:space="0" w:color="auto"/>
            <w:right w:val="none" w:sz="0" w:space="0" w:color="auto"/>
          </w:divBdr>
        </w:div>
        <w:div w:id="94709878">
          <w:marLeft w:val="0"/>
          <w:marRight w:val="0"/>
          <w:marTop w:val="0"/>
          <w:marBottom w:val="0"/>
          <w:divBdr>
            <w:top w:val="none" w:sz="0" w:space="0" w:color="auto"/>
            <w:left w:val="none" w:sz="0" w:space="0" w:color="auto"/>
            <w:bottom w:val="none" w:sz="0" w:space="0" w:color="auto"/>
            <w:right w:val="none" w:sz="0" w:space="0" w:color="auto"/>
          </w:divBdr>
        </w:div>
        <w:div w:id="1487935629">
          <w:marLeft w:val="0"/>
          <w:marRight w:val="0"/>
          <w:marTop w:val="0"/>
          <w:marBottom w:val="0"/>
          <w:divBdr>
            <w:top w:val="none" w:sz="0" w:space="0" w:color="auto"/>
            <w:left w:val="none" w:sz="0" w:space="0" w:color="auto"/>
            <w:bottom w:val="none" w:sz="0" w:space="0" w:color="auto"/>
            <w:right w:val="none" w:sz="0" w:space="0" w:color="auto"/>
          </w:divBdr>
        </w:div>
        <w:div w:id="1885025733">
          <w:marLeft w:val="0"/>
          <w:marRight w:val="0"/>
          <w:marTop w:val="0"/>
          <w:marBottom w:val="0"/>
          <w:divBdr>
            <w:top w:val="none" w:sz="0" w:space="0" w:color="auto"/>
            <w:left w:val="none" w:sz="0" w:space="0" w:color="auto"/>
            <w:bottom w:val="none" w:sz="0" w:space="0" w:color="auto"/>
            <w:right w:val="none" w:sz="0" w:space="0" w:color="auto"/>
          </w:divBdr>
        </w:div>
        <w:div w:id="1275480904">
          <w:marLeft w:val="0"/>
          <w:marRight w:val="0"/>
          <w:marTop w:val="0"/>
          <w:marBottom w:val="0"/>
          <w:divBdr>
            <w:top w:val="none" w:sz="0" w:space="0" w:color="auto"/>
            <w:left w:val="none" w:sz="0" w:space="0" w:color="auto"/>
            <w:bottom w:val="none" w:sz="0" w:space="0" w:color="auto"/>
            <w:right w:val="none" w:sz="0" w:space="0" w:color="auto"/>
          </w:divBdr>
        </w:div>
        <w:div w:id="828247308">
          <w:marLeft w:val="0"/>
          <w:marRight w:val="0"/>
          <w:marTop w:val="0"/>
          <w:marBottom w:val="0"/>
          <w:divBdr>
            <w:top w:val="none" w:sz="0" w:space="0" w:color="auto"/>
            <w:left w:val="none" w:sz="0" w:space="0" w:color="auto"/>
            <w:bottom w:val="none" w:sz="0" w:space="0" w:color="auto"/>
            <w:right w:val="none" w:sz="0" w:space="0" w:color="auto"/>
          </w:divBdr>
        </w:div>
        <w:div w:id="104035244">
          <w:marLeft w:val="0"/>
          <w:marRight w:val="0"/>
          <w:marTop w:val="0"/>
          <w:marBottom w:val="0"/>
          <w:divBdr>
            <w:top w:val="none" w:sz="0" w:space="0" w:color="auto"/>
            <w:left w:val="none" w:sz="0" w:space="0" w:color="auto"/>
            <w:bottom w:val="none" w:sz="0" w:space="0" w:color="auto"/>
            <w:right w:val="none" w:sz="0" w:space="0" w:color="auto"/>
          </w:divBdr>
        </w:div>
        <w:div w:id="1173765538">
          <w:marLeft w:val="0"/>
          <w:marRight w:val="0"/>
          <w:marTop w:val="0"/>
          <w:marBottom w:val="0"/>
          <w:divBdr>
            <w:top w:val="none" w:sz="0" w:space="0" w:color="auto"/>
            <w:left w:val="none" w:sz="0" w:space="0" w:color="auto"/>
            <w:bottom w:val="none" w:sz="0" w:space="0" w:color="auto"/>
            <w:right w:val="none" w:sz="0" w:space="0" w:color="auto"/>
          </w:divBdr>
        </w:div>
        <w:div w:id="241642746">
          <w:marLeft w:val="0"/>
          <w:marRight w:val="0"/>
          <w:marTop w:val="0"/>
          <w:marBottom w:val="0"/>
          <w:divBdr>
            <w:top w:val="none" w:sz="0" w:space="0" w:color="auto"/>
            <w:left w:val="none" w:sz="0" w:space="0" w:color="auto"/>
            <w:bottom w:val="none" w:sz="0" w:space="0" w:color="auto"/>
            <w:right w:val="none" w:sz="0" w:space="0" w:color="auto"/>
          </w:divBdr>
        </w:div>
        <w:div w:id="2015522813">
          <w:marLeft w:val="0"/>
          <w:marRight w:val="0"/>
          <w:marTop w:val="0"/>
          <w:marBottom w:val="0"/>
          <w:divBdr>
            <w:top w:val="none" w:sz="0" w:space="0" w:color="auto"/>
            <w:left w:val="none" w:sz="0" w:space="0" w:color="auto"/>
            <w:bottom w:val="none" w:sz="0" w:space="0" w:color="auto"/>
            <w:right w:val="none" w:sz="0" w:space="0" w:color="auto"/>
          </w:divBdr>
        </w:div>
        <w:div w:id="1962031147">
          <w:marLeft w:val="0"/>
          <w:marRight w:val="0"/>
          <w:marTop w:val="0"/>
          <w:marBottom w:val="0"/>
          <w:divBdr>
            <w:top w:val="none" w:sz="0" w:space="0" w:color="auto"/>
            <w:left w:val="none" w:sz="0" w:space="0" w:color="auto"/>
            <w:bottom w:val="none" w:sz="0" w:space="0" w:color="auto"/>
            <w:right w:val="none" w:sz="0" w:space="0" w:color="auto"/>
          </w:divBdr>
        </w:div>
        <w:div w:id="1421442958">
          <w:marLeft w:val="0"/>
          <w:marRight w:val="0"/>
          <w:marTop w:val="0"/>
          <w:marBottom w:val="0"/>
          <w:divBdr>
            <w:top w:val="none" w:sz="0" w:space="0" w:color="auto"/>
            <w:left w:val="none" w:sz="0" w:space="0" w:color="auto"/>
            <w:bottom w:val="none" w:sz="0" w:space="0" w:color="auto"/>
            <w:right w:val="none" w:sz="0" w:space="0" w:color="auto"/>
          </w:divBdr>
        </w:div>
        <w:div w:id="309361931">
          <w:marLeft w:val="0"/>
          <w:marRight w:val="0"/>
          <w:marTop w:val="0"/>
          <w:marBottom w:val="0"/>
          <w:divBdr>
            <w:top w:val="none" w:sz="0" w:space="0" w:color="auto"/>
            <w:left w:val="none" w:sz="0" w:space="0" w:color="auto"/>
            <w:bottom w:val="none" w:sz="0" w:space="0" w:color="auto"/>
            <w:right w:val="none" w:sz="0" w:space="0" w:color="auto"/>
          </w:divBdr>
        </w:div>
        <w:div w:id="1244608210">
          <w:marLeft w:val="0"/>
          <w:marRight w:val="0"/>
          <w:marTop w:val="0"/>
          <w:marBottom w:val="0"/>
          <w:divBdr>
            <w:top w:val="none" w:sz="0" w:space="0" w:color="auto"/>
            <w:left w:val="none" w:sz="0" w:space="0" w:color="auto"/>
            <w:bottom w:val="none" w:sz="0" w:space="0" w:color="auto"/>
            <w:right w:val="none" w:sz="0" w:space="0" w:color="auto"/>
          </w:divBdr>
        </w:div>
        <w:div w:id="746734454">
          <w:marLeft w:val="0"/>
          <w:marRight w:val="0"/>
          <w:marTop w:val="0"/>
          <w:marBottom w:val="0"/>
          <w:divBdr>
            <w:top w:val="none" w:sz="0" w:space="0" w:color="auto"/>
            <w:left w:val="none" w:sz="0" w:space="0" w:color="auto"/>
            <w:bottom w:val="none" w:sz="0" w:space="0" w:color="auto"/>
            <w:right w:val="none" w:sz="0" w:space="0" w:color="auto"/>
          </w:divBdr>
        </w:div>
        <w:div w:id="604508312">
          <w:marLeft w:val="0"/>
          <w:marRight w:val="0"/>
          <w:marTop w:val="0"/>
          <w:marBottom w:val="0"/>
          <w:divBdr>
            <w:top w:val="none" w:sz="0" w:space="0" w:color="auto"/>
            <w:left w:val="none" w:sz="0" w:space="0" w:color="auto"/>
            <w:bottom w:val="none" w:sz="0" w:space="0" w:color="auto"/>
            <w:right w:val="none" w:sz="0" w:space="0" w:color="auto"/>
          </w:divBdr>
        </w:div>
        <w:div w:id="374505001">
          <w:marLeft w:val="0"/>
          <w:marRight w:val="0"/>
          <w:marTop w:val="0"/>
          <w:marBottom w:val="0"/>
          <w:divBdr>
            <w:top w:val="none" w:sz="0" w:space="0" w:color="auto"/>
            <w:left w:val="none" w:sz="0" w:space="0" w:color="auto"/>
            <w:bottom w:val="none" w:sz="0" w:space="0" w:color="auto"/>
            <w:right w:val="none" w:sz="0" w:space="0" w:color="auto"/>
          </w:divBdr>
        </w:div>
        <w:div w:id="103112141">
          <w:marLeft w:val="0"/>
          <w:marRight w:val="0"/>
          <w:marTop w:val="0"/>
          <w:marBottom w:val="0"/>
          <w:divBdr>
            <w:top w:val="none" w:sz="0" w:space="0" w:color="auto"/>
            <w:left w:val="none" w:sz="0" w:space="0" w:color="auto"/>
            <w:bottom w:val="none" w:sz="0" w:space="0" w:color="auto"/>
            <w:right w:val="none" w:sz="0" w:space="0" w:color="auto"/>
          </w:divBdr>
        </w:div>
        <w:div w:id="506404601">
          <w:marLeft w:val="0"/>
          <w:marRight w:val="0"/>
          <w:marTop w:val="0"/>
          <w:marBottom w:val="0"/>
          <w:divBdr>
            <w:top w:val="none" w:sz="0" w:space="0" w:color="auto"/>
            <w:left w:val="none" w:sz="0" w:space="0" w:color="auto"/>
            <w:bottom w:val="none" w:sz="0" w:space="0" w:color="auto"/>
            <w:right w:val="none" w:sz="0" w:space="0" w:color="auto"/>
          </w:divBdr>
        </w:div>
        <w:div w:id="1265722438">
          <w:marLeft w:val="0"/>
          <w:marRight w:val="0"/>
          <w:marTop w:val="0"/>
          <w:marBottom w:val="0"/>
          <w:divBdr>
            <w:top w:val="none" w:sz="0" w:space="0" w:color="auto"/>
            <w:left w:val="none" w:sz="0" w:space="0" w:color="auto"/>
            <w:bottom w:val="none" w:sz="0" w:space="0" w:color="auto"/>
            <w:right w:val="none" w:sz="0" w:space="0" w:color="auto"/>
          </w:divBdr>
        </w:div>
        <w:div w:id="1971863036">
          <w:marLeft w:val="0"/>
          <w:marRight w:val="0"/>
          <w:marTop w:val="0"/>
          <w:marBottom w:val="0"/>
          <w:divBdr>
            <w:top w:val="none" w:sz="0" w:space="0" w:color="auto"/>
            <w:left w:val="none" w:sz="0" w:space="0" w:color="auto"/>
            <w:bottom w:val="none" w:sz="0" w:space="0" w:color="auto"/>
            <w:right w:val="none" w:sz="0" w:space="0" w:color="auto"/>
          </w:divBdr>
        </w:div>
        <w:div w:id="2084139357">
          <w:marLeft w:val="0"/>
          <w:marRight w:val="0"/>
          <w:marTop w:val="0"/>
          <w:marBottom w:val="0"/>
          <w:divBdr>
            <w:top w:val="none" w:sz="0" w:space="0" w:color="auto"/>
            <w:left w:val="none" w:sz="0" w:space="0" w:color="auto"/>
            <w:bottom w:val="none" w:sz="0" w:space="0" w:color="auto"/>
            <w:right w:val="none" w:sz="0" w:space="0" w:color="auto"/>
          </w:divBdr>
        </w:div>
        <w:div w:id="785732186">
          <w:marLeft w:val="0"/>
          <w:marRight w:val="0"/>
          <w:marTop w:val="0"/>
          <w:marBottom w:val="0"/>
          <w:divBdr>
            <w:top w:val="none" w:sz="0" w:space="0" w:color="auto"/>
            <w:left w:val="none" w:sz="0" w:space="0" w:color="auto"/>
            <w:bottom w:val="none" w:sz="0" w:space="0" w:color="auto"/>
            <w:right w:val="none" w:sz="0" w:space="0" w:color="auto"/>
          </w:divBdr>
        </w:div>
        <w:div w:id="1763717593">
          <w:marLeft w:val="0"/>
          <w:marRight w:val="0"/>
          <w:marTop w:val="0"/>
          <w:marBottom w:val="0"/>
          <w:divBdr>
            <w:top w:val="none" w:sz="0" w:space="0" w:color="auto"/>
            <w:left w:val="none" w:sz="0" w:space="0" w:color="auto"/>
            <w:bottom w:val="none" w:sz="0" w:space="0" w:color="auto"/>
            <w:right w:val="none" w:sz="0" w:space="0" w:color="auto"/>
          </w:divBdr>
        </w:div>
        <w:div w:id="1900901550">
          <w:marLeft w:val="0"/>
          <w:marRight w:val="0"/>
          <w:marTop w:val="0"/>
          <w:marBottom w:val="0"/>
          <w:divBdr>
            <w:top w:val="none" w:sz="0" w:space="0" w:color="auto"/>
            <w:left w:val="none" w:sz="0" w:space="0" w:color="auto"/>
            <w:bottom w:val="none" w:sz="0" w:space="0" w:color="auto"/>
            <w:right w:val="none" w:sz="0" w:space="0" w:color="auto"/>
          </w:divBdr>
        </w:div>
        <w:div w:id="1951662966">
          <w:marLeft w:val="0"/>
          <w:marRight w:val="0"/>
          <w:marTop w:val="0"/>
          <w:marBottom w:val="0"/>
          <w:divBdr>
            <w:top w:val="none" w:sz="0" w:space="0" w:color="auto"/>
            <w:left w:val="none" w:sz="0" w:space="0" w:color="auto"/>
            <w:bottom w:val="none" w:sz="0" w:space="0" w:color="auto"/>
            <w:right w:val="none" w:sz="0" w:space="0" w:color="auto"/>
          </w:divBdr>
        </w:div>
        <w:div w:id="1074622273">
          <w:marLeft w:val="0"/>
          <w:marRight w:val="0"/>
          <w:marTop w:val="0"/>
          <w:marBottom w:val="0"/>
          <w:divBdr>
            <w:top w:val="none" w:sz="0" w:space="0" w:color="auto"/>
            <w:left w:val="none" w:sz="0" w:space="0" w:color="auto"/>
            <w:bottom w:val="none" w:sz="0" w:space="0" w:color="auto"/>
            <w:right w:val="none" w:sz="0" w:space="0" w:color="auto"/>
          </w:divBdr>
        </w:div>
        <w:div w:id="1138718137">
          <w:marLeft w:val="0"/>
          <w:marRight w:val="0"/>
          <w:marTop w:val="0"/>
          <w:marBottom w:val="0"/>
          <w:divBdr>
            <w:top w:val="none" w:sz="0" w:space="0" w:color="auto"/>
            <w:left w:val="none" w:sz="0" w:space="0" w:color="auto"/>
            <w:bottom w:val="none" w:sz="0" w:space="0" w:color="auto"/>
            <w:right w:val="none" w:sz="0" w:space="0" w:color="auto"/>
          </w:divBdr>
        </w:div>
        <w:div w:id="1598097888">
          <w:marLeft w:val="0"/>
          <w:marRight w:val="0"/>
          <w:marTop w:val="0"/>
          <w:marBottom w:val="0"/>
          <w:divBdr>
            <w:top w:val="none" w:sz="0" w:space="0" w:color="auto"/>
            <w:left w:val="none" w:sz="0" w:space="0" w:color="auto"/>
            <w:bottom w:val="none" w:sz="0" w:space="0" w:color="auto"/>
            <w:right w:val="none" w:sz="0" w:space="0" w:color="auto"/>
          </w:divBdr>
        </w:div>
        <w:div w:id="1637056049">
          <w:marLeft w:val="0"/>
          <w:marRight w:val="0"/>
          <w:marTop w:val="0"/>
          <w:marBottom w:val="0"/>
          <w:divBdr>
            <w:top w:val="none" w:sz="0" w:space="0" w:color="auto"/>
            <w:left w:val="none" w:sz="0" w:space="0" w:color="auto"/>
            <w:bottom w:val="none" w:sz="0" w:space="0" w:color="auto"/>
            <w:right w:val="none" w:sz="0" w:space="0" w:color="auto"/>
          </w:divBdr>
        </w:div>
        <w:div w:id="1561206470">
          <w:marLeft w:val="0"/>
          <w:marRight w:val="0"/>
          <w:marTop w:val="0"/>
          <w:marBottom w:val="0"/>
          <w:divBdr>
            <w:top w:val="none" w:sz="0" w:space="0" w:color="auto"/>
            <w:left w:val="none" w:sz="0" w:space="0" w:color="auto"/>
            <w:bottom w:val="none" w:sz="0" w:space="0" w:color="auto"/>
            <w:right w:val="none" w:sz="0" w:space="0" w:color="auto"/>
          </w:divBdr>
        </w:div>
        <w:div w:id="722408083">
          <w:marLeft w:val="0"/>
          <w:marRight w:val="0"/>
          <w:marTop w:val="0"/>
          <w:marBottom w:val="0"/>
          <w:divBdr>
            <w:top w:val="none" w:sz="0" w:space="0" w:color="auto"/>
            <w:left w:val="none" w:sz="0" w:space="0" w:color="auto"/>
            <w:bottom w:val="none" w:sz="0" w:space="0" w:color="auto"/>
            <w:right w:val="none" w:sz="0" w:space="0" w:color="auto"/>
          </w:divBdr>
        </w:div>
        <w:div w:id="616720798">
          <w:marLeft w:val="0"/>
          <w:marRight w:val="0"/>
          <w:marTop w:val="0"/>
          <w:marBottom w:val="0"/>
          <w:divBdr>
            <w:top w:val="none" w:sz="0" w:space="0" w:color="auto"/>
            <w:left w:val="none" w:sz="0" w:space="0" w:color="auto"/>
            <w:bottom w:val="none" w:sz="0" w:space="0" w:color="auto"/>
            <w:right w:val="none" w:sz="0" w:space="0" w:color="auto"/>
          </w:divBdr>
        </w:div>
        <w:div w:id="1768647580">
          <w:marLeft w:val="0"/>
          <w:marRight w:val="0"/>
          <w:marTop w:val="0"/>
          <w:marBottom w:val="0"/>
          <w:divBdr>
            <w:top w:val="none" w:sz="0" w:space="0" w:color="auto"/>
            <w:left w:val="none" w:sz="0" w:space="0" w:color="auto"/>
            <w:bottom w:val="none" w:sz="0" w:space="0" w:color="auto"/>
            <w:right w:val="none" w:sz="0" w:space="0" w:color="auto"/>
          </w:divBdr>
        </w:div>
        <w:div w:id="1460562325">
          <w:marLeft w:val="0"/>
          <w:marRight w:val="0"/>
          <w:marTop w:val="0"/>
          <w:marBottom w:val="0"/>
          <w:divBdr>
            <w:top w:val="none" w:sz="0" w:space="0" w:color="auto"/>
            <w:left w:val="none" w:sz="0" w:space="0" w:color="auto"/>
            <w:bottom w:val="none" w:sz="0" w:space="0" w:color="auto"/>
            <w:right w:val="none" w:sz="0" w:space="0" w:color="auto"/>
          </w:divBdr>
        </w:div>
        <w:div w:id="665212480">
          <w:marLeft w:val="0"/>
          <w:marRight w:val="0"/>
          <w:marTop w:val="0"/>
          <w:marBottom w:val="0"/>
          <w:divBdr>
            <w:top w:val="none" w:sz="0" w:space="0" w:color="auto"/>
            <w:left w:val="none" w:sz="0" w:space="0" w:color="auto"/>
            <w:bottom w:val="none" w:sz="0" w:space="0" w:color="auto"/>
            <w:right w:val="none" w:sz="0" w:space="0" w:color="auto"/>
          </w:divBdr>
        </w:div>
        <w:div w:id="2027167838">
          <w:marLeft w:val="0"/>
          <w:marRight w:val="0"/>
          <w:marTop w:val="0"/>
          <w:marBottom w:val="0"/>
          <w:divBdr>
            <w:top w:val="none" w:sz="0" w:space="0" w:color="auto"/>
            <w:left w:val="none" w:sz="0" w:space="0" w:color="auto"/>
            <w:bottom w:val="none" w:sz="0" w:space="0" w:color="auto"/>
            <w:right w:val="none" w:sz="0" w:space="0" w:color="auto"/>
          </w:divBdr>
        </w:div>
        <w:div w:id="1250888291">
          <w:marLeft w:val="0"/>
          <w:marRight w:val="0"/>
          <w:marTop w:val="0"/>
          <w:marBottom w:val="0"/>
          <w:divBdr>
            <w:top w:val="none" w:sz="0" w:space="0" w:color="auto"/>
            <w:left w:val="none" w:sz="0" w:space="0" w:color="auto"/>
            <w:bottom w:val="none" w:sz="0" w:space="0" w:color="auto"/>
            <w:right w:val="none" w:sz="0" w:space="0" w:color="auto"/>
          </w:divBdr>
        </w:div>
        <w:div w:id="250045462">
          <w:marLeft w:val="0"/>
          <w:marRight w:val="0"/>
          <w:marTop w:val="0"/>
          <w:marBottom w:val="0"/>
          <w:divBdr>
            <w:top w:val="none" w:sz="0" w:space="0" w:color="auto"/>
            <w:left w:val="none" w:sz="0" w:space="0" w:color="auto"/>
            <w:bottom w:val="none" w:sz="0" w:space="0" w:color="auto"/>
            <w:right w:val="none" w:sz="0" w:space="0" w:color="auto"/>
          </w:divBdr>
        </w:div>
        <w:div w:id="1238827526">
          <w:marLeft w:val="0"/>
          <w:marRight w:val="0"/>
          <w:marTop w:val="0"/>
          <w:marBottom w:val="0"/>
          <w:divBdr>
            <w:top w:val="none" w:sz="0" w:space="0" w:color="auto"/>
            <w:left w:val="none" w:sz="0" w:space="0" w:color="auto"/>
            <w:bottom w:val="none" w:sz="0" w:space="0" w:color="auto"/>
            <w:right w:val="none" w:sz="0" w:space="0" w:color="auto"/>
          </w:divBdr>
        </w:div>
        <w:div w:id="774249012">
          <w:marLeft w:val="0"/>
          <w:marRight w:val="0"/>
          <w:marTop w:val="0"/>
          <w:marBottom w:val="0"/>
          <w:divBdr>
            <w:top w:val="none" w:sz="0" w:space="0" w:color="auto"/>
            <w:left w:val="none" w:sz="0" w:space="0" w:color="auto"/>
            <w:bottom w:val="none" w:sz="0" w:space="0" w:color="auto"/>
            <w:right w:val="none" w:sz="0" w:space="0" w:color="auto"/>
          </w:divBdr>
        </w:div>
        <w:div w:id="1263494497">
          <w:marLeft w:val="0"/>
          <w:marRight w:val="0"/>
          <w:marTop w:val="0"/>
          <w:marBottom w:val="0"/>
          <w:divBdr>
            <w:top w:val="none" w:sz="0" w:space="0" w:color="auto"/>
            <w:left w:val="none" w:sz="0" w:space="0" w:color="auto"/>
            <w:bottom w:val="none" w:sz="0" w:space="0" w:color="auto"/>
            <w:right w:val="none" w:sz="0" w:space="0" w:color="auto"/>
          </w:divBdr>
        </w:div>
        <w:div w:id="1584605089">
          <w:marLeft w:val="0"/>
          <w:marRight w:val="0"/>
          <w:marTop w:val="0"/>
          <w:marBottom w:val="0"/>
          <w:divBdr>
            <w:top w:val="none" w:sz="0" w:space="0" w:color="auto"/>
            <w:left w:val="none" w:sz="0" w:space="0" w:color="auto"/>
            <w:bottom w:val="none" w:sz="0" w:space="0" w:color="auto"/>
            <w:right w:val="none" w:sz="0" w:space="0" w:color="auto"/>
          </w:divBdr>
        </w:div>
        <w:div w:id="1786658867">
          <w:marLeft w:val="0"/>
          <w:marRight w:val="0"/>
          <w:marTop w:val="0"/>
          <w:marBottom w:val="0"/>
          <w:divBdr>
            <w:top w:val="none" w:sz="0" w:space="0" w:color="auto"/>
            <w:left w:val="none" w:sz="0" w:space="0" w:color="auto"/>
            <w:bottom w:val="none" w:sz="0" w:space="0" w:color="auto"/>
            <w:right w:val="none" w:sz="0" w:space="0" w:color="auto"/>
          </w:divBdr>
        </w:div>
        <w:div w:id="1876044782">
          <w:marLeft w:val="0"/>
          <w:marRight w:val="0"/>
          <w:marTop w:val="0"/>
          <w:marBottom w:val="0"/>
          <w:divBdr>
            <w:top w:val="none" w:sz="0" w:space="0" w:color="auto"/>
            <w:left w:val="none" w:sz="0" w:space="0" w:color="auto"/>
            <w:bottom w:val="none" w:sz="0" w:space="0" w:color="auto"/>
            <w:right w:val="none" w:sz="0" w:space="0" w:color="auto"/>
          </w:divBdr>
        </w:div>
        <w:div w:id="1378702969">
          <w:marLeft w:val="0"/>
          <w:marRight w:val="0"/>
          <w:marTop w:val="0"/>
          <w:marBottom w:val="0"/>
          <w:divBdr>
            <w:top w:val="none" w:sz="0" w:space="0" w:color="auto"/>
            <w:left w:val="none" w:sz="0" w:space="0" w:color="auto"/>
            <w:bottom w:val="none" w:sz="0" w:space="0" w:color="auto"/>
            <w:right w:val="none" w:sz="0" w:space="0" w:color="auto"/>
          </w:divBdr>
        </w:div>
        <w:div w:id="4406501">
          <w:marLeft w:val="0"/>
          <w:marRight w:val="0"/>
          <w:marTop w:val="0"/>
          <w:marBottom w:val="0"/>
          <w:divBdr>
            <w:top w:val="none" w:sz="0" w:space="0" w:color="auto"/>
            <w:left w:val="none" w:sz="0" w:space="0" w:color="auto"/>
            <w:bottom w:val="none" w:sz="0" w:space="0" w:color="auto"/>
            <w:right w:val="none" w:sz="0" w:space="0" w:color="auto"/>
          </w:divBdr>
        </w:div>
        <w:div w:id="841702146">
          <w:marLeft w:val="0"/>
          <w:marRight w:val="0"/>
          <w:marTop w:val="0"/>
          <w:marBottom w:val="0"/>
          <w:divBdr>
            <w:top w:val="none" w:sz="0" w:space="0" w:color="auto"/>
            <w:left w:val="none" w:sz="0" w:space="0" w:color="auto"/>
            <w:bottom w:val="none" w:sz="0" w:space="0" w:color="auto"/>
            <w:right w:val="none" w:sz="0" w:space="0" w:color="auto"/>
          </w:divBdr>
        </w:div>
        <w:div w:id="139349966">
          <w:marLeft w:val="0"/>
          <w:marRight w:val="0"/>
          <w:marTop w:val="0"/>
          <w:marBottom w:val="0"/>
          <w:divBdr>
            <w:top w:val="none" w:sz="0" w:space="0" w:color="auto"/>
            <w:left w:val="none" w:sz="0" w:space="0" w:color="auto"/>
            <w:bottom w:val="none" w:sz="0" w:space="0" w:color="auto"/>
            <w:right w:val="none" w:sz="0" w:space="0" w:color="auto"/>
          </w:divBdr>
        </w:div>
        <w:div w:id="780954237">
          <w:marLeft w:val="0"/>
          <w:marRight w:val="0"/>
          <w:marTop w:val="0"/>
          <w:marBottom w:val="0"/>
          <w:divBdr>
            <w:top w:val="none" w:sz="0" w:space="0" w:color="auto"/>
            <w:left w:val="none" w:sz="0" w:space="0" w:color="auto"/>
            <w:bottom w:val="none" w:sz="0" w:space="0" w:color="auto"/>
            <w:right w:val="none" w:sz="0" w:space="0" w:color="auto"/>
          </w:divBdr>
        </w:div>
        <w:div w:id="1927566490">
          <w:marLeft w:val="0"/>
          <w:marRight w:val="0"/>
          <w:marTop w:val="0"/>
          <w:marBottom w:val="0"/>
          <w:divBdr>
            <w:top w:val="none" w:sz="0" w:space="0" w:color="auto"/>
            <w:left w:val="none" w:sz="0" w:space="0" w:color="auto"/>
            <w:bottom w:val="none" w:sz="0" w:space="0" w:color="auto"/>
            <w:right w:val="none" w:sz="0" w:space="0" w:color="auto"/>
          </w:divBdr>
        </w:div>
      </w:divsChild>
    </w:div>
    <w:div w:id="1418794485">
      <w:bodyDiv w:val="1"/>
      <w:marLeft w:val="0"/>
      <w:marRight w:val="0"/>
      <w:marTop w:val="0"/>
      <w:marBottom w:val="0"/>
      <w:divBdr>
        <w:top w:val="none" w:sz="0" w:space="0" w:color="auto"/>
        <w:left w:val="none" w:sz="0" w:space="0" w:color="auto"/>
        <w:bottom w:val="none" w:sz="0" w:space="0" w:color="auto"/>
        <w:right w:val="none" w:sz="0" w:space="0" w:color="auto"/>
      </w:divBdr>
      <w:divsChild>
        <w:div w:id="627666319">
          <w:marLeft w:val="0"/>
          <w:marRight w:val="0"/>
          <w:marTop w:val="0"/>
          <w:marBottom w:val="0"/>
          <w:divBdr>
            <w:top w:val="none" w:sz="0" w:space="0" w:color="auto"/>
            <w:left w:val="none" w:sz="0" w:space="0" w:color="auto"/>
            <w:bottom w:val="none" w:sz="0" w:space="0" w:color="auto"/>
            <w:right w:val="none" w:sz="0" w:space="0" w:color="auto"/>
          </w:divBdr>
        </w:div>
        <w:div w:id="963582517">
          <w:marLeft w:val="0"/>
          <w:marRight w:val="0"/>
          <w:marTop w:val="0"/>
          <w:marBottom w:val="0"/>
          <w:divBdr>
            <w:top w:val="none" w:sz="0" w:space="0" w:color="auto"/>
            <w:left w:val="none" w:sz="0" w:space="0" w:color="auto"/>
            <w:bottom w:val="none" w:sz="0" w:space="0" w:color="auto"/>
            <w:right w:val="none" w:sz="0" w:space="0" w:color="auto"/>
          </w:divBdr>
        </w:div>
        <w:div w:id="1684742227">
          <w:marLeft w:val="0"/>
          <w:marRight w:val="0"/>
          <w:marTop w:val="0"/>
          <w:marBottom w:val="0"/>
          <w:divBdr>
            <w:top w:val="none" w:sz="0" w:space="0" w:color="auto"/>
            <w:left w:val="none" w:sz="0" w:space="0" w:color="auto"/>
            <w:bottom w:val="none" w:sz="0" w:space="0" w:color="auto"/>
            <w:right w:val="none" w:sz="0" w:space="0" w:color="auto"/>
          </w:divBdr>
        </w:div>
        <w:div w:id="1107310190">
          <w:marLeft w:val="0"/>
          <w:marRight w:val="0"/>
          <w:marTop w:val="0"/>
          <w:marBottom w:val="0"/>
          <w:divBdr>
            <w:top w:val="none" w:sz="0" w:space="0" w:color="auto"/>
            <w:left w:val="none" w:sz="0" w:space="0" w:color="auto"/>
            <w:bottom w:val="none" w:sz="0" w:space="0" w:color="auto"/>
            <w:right w:val="none" w:sz="0" w:space="0" w:color="auto"/>
          </w:divBdr>
          <w:divsChild>
            <w:div w:id="1346437932">
              <w:marLeft w:val="0"/>
              <w:marRight w:val="0"/>
              <w:marTop w:val="0"/>
              <w:marBottom w:val="0"/>
              <w:divBdr>
                <w:top w:val="none" w:sz="0" w:space="0" w:color="auto"/>
                <w:left w:val="none" w:sz="0" w:space="0" w:color="auto"/>
                <w:bottom w:val="none" w:sz="0" w:space="0" w:color="auto"/>
                <w:right w:val="none" w:sz="0" w:space="0" w:color="auto"/>
              </w:divBdr>
              <w:divsChild>
                <w:div w:id="392002757">
                  <w:marLeft w:val="0"/>
                  <w:marRight w:val="0"/>
                  <w:marTop w:val="0"/>
                  <w:marBottom w:val="0"/>
                  <w:divBdr>
                    <w:top w:val="none" w:sz="0" w:space="0" w:color="auto"/>
                    <w:left w:val="none" w:sz="0" w:space="0" w:color="auto"/>
                    <w:bottom w:val="none" w:sz="0" w:space="0" w:color="auto"/>
                    <w:right w:val="none" w:sz="0" w:space="0" w:color="auto"/>
                  </w:divBdr>
                  <w:divsChild>
                    <w:div w:id="617831004">
                      <w:marLeft w:val="0"/>
                      <w:marRight w:val="0"/>
                      <w:marTop w:val="0"/>
                      <w:marBottom w:val="0"/>
                      <w:divBdr>
                        <w:top w:val="none" w:sz="0" w:space="0" w:color="auto"/>
                        <w:left w:val="none" w:sz="0" w:space="0" w:color="auto"/>
                        <w:bottom w:val="none" w:sz="0" w:space="0" w:color="auto"/>
                        <w:right w:val="none" w:sz="0" w:space="0" w:color="auto"/>
                      </w:divBdr>
                      <w:divsChild>
                        <w:div w:id="622541583">
                          <w:marLeft w:val="0"/>
                          <w:marRight w:val="0"/>
                          <w:marTop w:val="0"/>
                          <w:marBottom w:val="0"/>
                          <w:divBdr>
                            <w:top w:val="none" w:sz="0" w:space="0" w:color="auto"/>
                            <w:left w:val="none" w:sz="0" w:space="0" w:color="auto"/>
                            <w:bottom w:val="none" w:sz="0" w:space="0" w:color="auto"/>
                            <w:right w:val="none" w:sz="0" w:space="0" w:color="auto"/>
                          </w:divBdr>
                        </w:div>
                        <w:div w:id="118988023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637420192">
          <w:marLeft w:val="0"/>
          <w:marRight w:val="0"/>
          <w:marTop w:val="0"/>
          <w:marBottom w:val="0"/>
          <w:divBdr>
            <w:top w:val="none" w:sz="0" w:space="0" w:color="auto"/>
            <w:left w:val="none" w:sz="0" w:space="0" w:color="auto"/>
            <w:bottom w:val="none" w:sz="0" w:space="0" w:color="auto"/>
            <w:right w:val="none" w:sz="0" w:space="0" w:color="auto"/>
          </w:divBdr>
        </w:div>
        <w:div w:id="152722828">
          <w:marLeft w:val="0"/>
          <w:marRight w:val="0"/>
          <w:marTop w:val="0"/>
          <w:marBottom w:val="0"/>
          <w:divBdr>
            <w:top w:val="none" w:sz="0" w:space="0" w:color="auto"/>
            <w:left w:val="none" w:sz="0" w:space="0" w:color="auto"/>
            <w:bottom w:val="none" w:sz="0" w:space="0" w:color="auto"/>
            <w:right w:val="none" w:sz="0" w:space="0" w:color="auto"/>
          </w:divBdr>
        </w:div>
        <w:div w:id="68619299">
          <w:marLeft w:val="0"/>
          <w:marRight w:val="0"/>
          <w:marTop w:val="0"/>
          <w:marBottom w:val="0"/>
          <w:divBdr>
            <w:top w:val="none" w:sz="0" w:space="0" w:color="auto"/>
            <w:left w:val="none" w:sz="0" w:space="0" w:color="auto"/>
            <w:bottom w:val="none" w:sz="0" w:space="0" w:color="auto"/>
            <w:right w:val="none" w:sz="0" w:space="0" w:color="auto"/>
          </w:divBdr>
          <w:divsChild>
            <w:div w:id="2045013387">
              <w:marLeft w:val="0"/>
              <w:marRight w:val="0"/>
              <w:marTop w:val="0"/>
              <w:marBottom w:val="0"/>
              <w:divBdr>
                <w:top w:val="none" w:sz="0" w:space="0" w:color="auto"/>
                <w:left w:val="none" w:sz="0" w:space="0" w:color="auto"/>
                <w:bottom w:val="none" w:sz="0" w:space="0" w:color="auto"/>
                <w:right w:val="none" w:sz="0" w:space="0" w:color="auto"/>
              </w:divBdr>
            </w:div>
          </w:divsChild>
        </w:div>
        <w:div w:id="1991404928">
          <w:marLeft w:val="0"/>
          <w:marRight w:val="0"/>
          <w:marTop w:val="0"/>
          <w:marBottom w:val="0"/>
          <w:divBdr>
            <w:top w:val="none" w:sz="0" w:space="0" w:color="auto"/>
            <w:left w:val="none" w:sz="0" w:space="0" w:color="auto"/>
            <w:bottom w:val="none" w:sz="0" w:space="0" w:color="auto"/>
            <w:right w:val="none" w:sz="0" w:space="0" w:color="auto"/>
          </w:divBdr>
          <w:divsChild>
            <w:div w:id="1595020072">
              <w:marLeft w:val="0"/>
              <w:marRight w:val="0"/>
              <w:marTop w:val="0"/>
              <w:marBottom w:val="0"/>
              <w:divBdr>
                <w:top w:val="none" w:sz="0" w:space="0" w:color="auto"/>
                <w:left w:val="none" w:sz="0" w:space="0" w:color="auto"/>
                <w:bottom w:val="none" w:sz="0" w:space="0" w:color="auto"/>
                <w:right w:val="none" w:sz="0" w:space="0" w:color="auto"/>
              </w:divBdr>
              <w:divsChild>
                <w:div w:id="1705279109">
                  <w:marLeft w:val="0"/>
                  <w:marRight w:val="0"/>
                  <w:marTop w:val="0"/>
                  <w:marBottom w:val="0"/>
                  <w:divBdr>
                    <w:top w:val="none" w:sz="0" w:space="0" w:color="auto"/>
                    <w:left w:val="none" w:sz="0" w:space="0" w:color="auto"/>
                    <w:bottom w:val="none" w:sz="0" w:space="0" w:color="auto"/>
                    <w:right w:val="none" w:sz="0" w:space="0" w:color="auto"/>
                  </w:divBdr>
                  <w:divsChild>
                    <w:div w:id="1783763034">
                      <w:marLeft w:val="0"/>
                      <w:marRight w:val="0"/>
                      <w:marTop w:val="0"/>
                      <w:marBottom w:val="0"/>
                      <w:divBdr>
                        <w:top w:val="none" w:sz="0" w:space="0" w:color="auto"/>
                        <w:left w:val="none" w:sz="0" w:space="0" w:color="auto"/>
                        <w:bottom w:val="none" w:sz="0" w:space="0" w:color="auto"/>
                        <w:right w:val="none" w:sz="0" w:space="0" w:color="auto"/>
                      </w:divBdr>
                      <w:divsChild>
                        <w:div w:id="896210824">
                          <w:marLeft w:val="0"/>
                          <w:marRight w:val="0"/>
                          <w:marTop w:val="0"/>
                          <w:marBottom w:val="0"/>
                          <w:divBdr>
                            <w:top w:val="none" w:sz="0" w:space="0" w:color="auto"/>
                            <w:left w:val="none" w:sz="0" w:space="0" w:color="auto"/>
                            <w:bottom w:val="none" w:sz="0" w:space="0" w:color="auto"/>
                            <w:right w:val="none" w:sz="0" w:space="0" w:color="auto"/>
                          </w:divBdr>
                        </w:div>
                        <w:div w:id="11934209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54870517">
          <w:marLeft w:val="0"/>
          <w:marRight w:val="0"/>
          <w:marTop w:val="0"/>
          <w:marBottom w:val="0"/>
          <w:divBdr>
            <w:top w:val="none" w:sz="0" w:space="0" w:color="auto"/>
            <w:left w:val="none" w:sz="0" w:space="0" w:color="auto"/>
            <w:bottom w:val="none" w:sz="0" w:space="0" w:color="auto"/>
            <w:right w:val="none" w:sz="0" w:space="0" w:color="auto"/>
          </w:divBdr>
        </w:div>
        <w:div w:id="372535237">
          <w:marLeft w:val="0"/>
          <w:marRight w:val="0"/>
          <w:marTop w:val="0"/>
          <w:marBottom w:val="0"/>
          <w:divBdr>
            <w:top w:val="none" w:sz="0" w:space="0" w:color="auto"/>
            <w:left w:val="none" w:sz="0" w:space="0" w:color="auto"/>
            <w:bottom w:val="none" w:sz="0" w:space="0" w:color="auto"/>
            <w:right w:val="none" w:sz="0" w:space="0" w:color="auto"/>
          </w:divBdr>
          <w:divsChild>
            <w:div w:id="1516384954">
              <w:marLeft w:val="0"/>
              <w:marRight w:val="0"/>
              <w:marTop w:val="0"/>
              <w:marBottom w:val="0"/>
              <w:divBdr>
                <w:top w:val="none" w:sz="0" w:space="0" w:color="auto"/>
                <w:left w:val="none" w:sz="0" w:space="0" w:color="auto"/>
                <w:bottom w:val="none" w:sz="0" w:space="0" w:color="auto"/>
                <w:right w:val="none" w:sz="0" w:space="0" w:color="auto"/>
              </w:divBdr>
              <w:divsChild>
                <w:div w:id="149252099">
                  <w:marLeft w:val="0"/>
                  <w:marRight w:val="0"/>
                  <w:marTop w:val="0"/>
                  <w:marBottom w:val="0"/>
                  <w:divBdr>
                    <w:top w:val="none" w:sz="0" w:space="0" w:color="auto"/>
                    <w:left w:val="none" w:sz="0" w:space="0" w:color="auto"/>
                    <w:bottom w:val="none" w:sz="0" w:space="0" w:color="auto"/>
                    <w:right w:val="none" w:sz="0" w:space="0" w:color="auto"/>
                  </w:divBdr>
                  <w:divsChild>
                    <w:div w:id="1508443023">
                      <w:marLeft w:val="0"/>
                      <w:marRight w:val="0"/>
                      <w:marTop w:val="0"/>
                      <w:marBottom w:val="0"/>
                      <w:divBdr>
                        <w:top w:val="none" w:sz="0" w:space="0" w:color="auto"/>
                        <w:left w:val="none" w:sz="0" w:space="0" w:color="auto"/>
                        <w:bottom w:val="none" w:sz="0" w:space="0" w:color="auto"/>
                        <w:right w:val="none" w:sz="0" w:space="0" w:color="auto"/>
                      </w:divBdr>
                      <w:divsChild>
                        <w:div w:id="1215889984">
                          <w:marLeft w:val="0"/>
                          <w:marRight w:val="0"/>
                          <w:marTop w:val="0"/>
                          <w:marBottom w:val="0"/>
                          <w:divBdr>
                            <w:top w:val="none" w:sz="0" w:space="0" w:color="auto"/>
                            <w:left w:val="none" w:sz="0" w:space="0" w:color="auto"/>
                            <w:bottom w:val="none" w:sz="0" w:space="0" w:color="auto"/>
                            <w:right w:val="none" w:sz="0" w:space="0" w:color="auto"/>
                          </w:divBdr>
                        </w:div>
                        <w:div w:id="16866664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20324467">
          <w:marLeft w:val="0"/>
          <w:marRight w:val="0"/>
          <w:marTop w:val="0"/>
          <w:marBottom w:val="0"/>
          <w:divBdr>
            <w:top w:val="none" w:sz="0" w:space="0" w:color="auto"/>
            <w:left w:val="none" w:sz="0" w:space="0" w:color="auto"/>
            <w:bottom w:val="none" w:sz="0" w:space="0" w:color="auto"/>
            <w:right w:val="none" w:sz="0" w:space="0" w:color="auto"/>
          </w:divBdr>
        </w:div>
        <w:div w:id="1844976866">
          <w:marLeft w:val="0"/>
          <w:marRight w:val="0"/>
          <w:marTop w:val="0"/>
          <w:marBottom w:val="0"/>
          <w:divBdr>
            <w:top w:val="none" w:sz="0" w:space="0" w:color="auto"/>
            <w:left w:val="none" w:sz="0" w:space="0" w:color="auto"/>
            <w:bottom w:val="none" w:sz="0" w:space="0" w:color="auto"/>
            <w:right w:val="none" w:sz="0" w:space="0" w:color="auto"/>
          </w:divBdr>
        </w:div>
        <w:div w:id="312835479">
          <w:marLeft w:val="0"/>
          <w:marRight w:val="0"/>
          <w:marTop w:val="0"/>
          <w:marBottom w:val="0"/>
          <w:divBdr>
            <w:top w:val="none" w:sz="0" w:space="0" w:color="auto"/>
            <w:left w:val="none" w:sz="0" w:space="0" w:color="auto"/>
            <w:bottom w:val="none" w:sz="0" w:space="0" w:color="auto"/>
            <w:right w:val="none" w:sz="0" w:space="0" w:color="auto"/>
          </w:divBdr>
        </w:div>
        <w:div w:id="1808618987">
          <w:marLeft w:val="0"/>
          <w:marRight w:val="0"/>
          <w:marTop w:val="0"/>
          <w:marBottom w:val="0"/>
          <w:divBdr>
            <w:top w:val="none" w:sz="0" w:space="0" w:color="auto"/>
            <w:left w:val="none" w:sz="0" w:space="0" w:color="auto"/>
            <w:bottom w:val="none" w:sz="0" w:space="0" w:color="auto"/>
            <w:right w:val="none" w:sz="0" w:space="0" w:color="auto"/>
          </w:divBdr>
          <w:divsChild>
            <w:div w:id="781346092">
              <w:marLeft w:val="0"/>
              <w:marRight w:val="0"/>
              <w:marTop w:val="0"/>
              <w:marBottom w:val="0"/>
              <w:divBdr>
                <w:top w:val="none" w:sz="0" w:space="0" w:color="auto"/>
                <w:left w:val="none" w:sz="0" w:space="0" w:color="auto"/>
                <w:bottom w:val="none" w:sz="0" w:space="0" w:color="auto"/>
                <w:right w:val="none" w:sz="0" w:space="0" w:color="auto"/>
              </w:divBdr>
            </w:div>
          </w:divsChild>
        </w:div>
        <w:div w:id="776947799">
          <w:marLeft w:val="0"/>
          <w:marRight w:val="0"/>
          <w:marTop w:val="0"/>
          <w:marBottom w:val="0"/>
          <w:divBdr>
            <w:top w:val="none" w:sz="0" w:space="0" w:color="auto"/>
            <w:left w:val="none" w:sz="0" w:space="0" w:color="auto"/>
            <w:bottom w:val="none" w:sz="0" w:space="0" w:color="auto"/>
            <w:right w:val="none" w:sz="0" w:space="0" w:color="auto"/>
          </w:divBdr>
        </w:div>
        <w:div w:id="982739054">
          <w:marLeft w:val="0"/>
          <w:marRight w:val="0"/>
          <w:marTop w:val="0"/>
          <w:marBottom w:val="0"/>
          <w:divBdr>
            <w:top w:val="none" w:sz="0" w:space="0" w:color="auto"/>
            <w:left w:val="none" w:sz="0" w:space="0" w:color="auto"/>
            <w:bottom w:val="none" w:sz="0" w:space="0" w:color="auto"/>
            <w:right w:val="none" w:sz="0" w:space="0" w:color="auto"/>
          </w:divBdr>
          <w:divsChild>
            <w:div w:id="1430471833">
              <w:marLeft w:val="0"/>
              <w:marRight w:val="0"/>
              <w:marTop w:val="0"/>
              <w:marBottom w:val="0"/>
              <w:divBdr>
                <w:top w:val="none" w:sz="0" w:space="0" w:color="auto"/>
                <w:left w:val="none" w:sz="0" w:space="0" w:color="auto"/>
                <w:bottom w:val="none" w:sz="0" w:space="0" w:color="auto"/>
                <w:right w:val="none" w:sz="0" w:space="0" w:color="auto"/>
              </w:divBdr>
            </w:div>
          </w:divsChild>
        </w:div>
        <w:div w:id="909313239">
          <w:marLeft w:val="0"/>
          <w:marRight w:val="0"/>
          <w:marTop w:val="0"/>
          <w:marBottom w:val="0"/>
          <w:divBdr>
            <w:top w:val="none" w:sz="0" w:space="0" w:color="auto"/>
            <w:left w:val="none" w:sz="0" w:space="0" w:color="auto"/>
            <w:bottom w:val="none" w:sz="0" w:space="0" w:color="auto"/>
            <w:right w:val="none" w:sz="0" w:space="0" w:color="auto"/>
          </w:divBdr>
          <w:divsChild>
            <w:div w:id="2048870433">
              <w:marLeft w:val="0"/>
              <w:marRight w:val="0"/>
              <w:marTop w:val="0"/>
              <w:marBottom w:val="0"/>
              <w:divBdr>
                <w:top w:val="none" w:sz="0" w:space="0" w:color="auto"/>
                <w:left w:val="none" w:sz="0" w:space="0" w:color="auto"/>
                <w:bottom w:val="none" w:sz="0" w:space="0" w:color="auto"/>
                <w:right w:val="none" w:sz="0" w:space="0" w:color="auto"/>
              </w:divBdr>
              <w:divsChild>
                <w:div w:id="917979314">
                  <w:marLeft w:val="0"/>
                  <w:marRight w:val="0"/>
                  <w:marTop w:val="0"/>
                  <w:marBottom w:val="0"/>
                  <w:divBdr>
                    <w:top w:val="none" w:sz="0" w:space="0" w:color="auto"/>
                    <w:left w:val="none" w:sz="0" w:space="0" w:color="auto"/>
                    <w:bottom w:val="none" w:sz="0" w:space="0" w:color="auto"/>
                    <w:right w:val="none" w:sz="0" w:space="0" w:color="auto"/>
                  </w:divBdr>
                  <w:divsChild>
                    <w:div w:id="951326476">
                      <w:marLeft w:val="0"/>
                      <w:marRight w:val="0"/>
                      <w:marTop w:val="0"/>
                      <w:marBottom w:val="0"/>
                      <w:divBdr>
                        <w:top w:val="none" w:sz="0" w:space="0" w:color="auto"/>
                        <w:left w:val="none" w:sz="0" w:space="0" w:color="auto"/>
                        <w:bottom w:val="none" w:sz="0" w:space="0" w:color="auto"/>
                        <w:right w:val="none" w:sz="0" w:space="0" w:color="auto"/>
                      </w:divBdr>
                      <w:divsChild>
                        <w:div w:id="1673754667">
                          <w:marLeft w:val="0"/>
                          <w:marRight w:val="0"/>
                          <w:marTop w:val="0"/>
                          <w:marBottom w:val="0"/>
                          <w:divBdr>
                            <w:top w:val="none" w:sz="0" w:space="0" w:color="auto"/>
                            <w:left w:val="none" w:sz="0" w:space="0" w:color="auto"/>
                            <w:bottom w:val="none" w:sz="0" w:space="0" w:color="auto"/>
                            <w:right w:val="none" w:sz="0" w:space="0" w:color="auto"/>
                          </w:divBdr>
                        </w:div>
                        <w:div w:id="11078478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695616957">
          <w:marLeft w:val="0"/>
          <w:marRight w:val="0"/>
          <w:marTop w:val="0"/>
          <w:marBottom w:val="0"/>
          <w:divBdr>
            <w:top w:val="none" w:sz="0" w:space="0" w:color="auto"/>
            <w:left w:val="none" w:sz="0" w:space="0" w:color="auto"/>
            <w:bottom w:val="none" w:sz="0" w:space="0" w:color="auto"/>
            <w:right w:val="none" w:sz="0" w:space="0" w:color="auto"/>
          </w:divBdr>
        </w:div>
        <w:div w:id="205289792">
          <w:marLeft w:val="0"/>
          <w:marRight w:val="0"/>
          <w:marTop w:val="0"/>
          <w:marBottom w:val="0"/>
          <w:divBdr>
            <w:top w:val="none" w:sz="0" w:space="0" w:color="auto"/>
            <w:left w:val="none" w:sz="0" w:space="0" w:color="auto"/>
            <w:bottom w:val="none" w:sz="0" w:space="0" w:color="auto"/>
            <w:right w:val="none" w:sz="0" w:space="0" w:color="auto"/>
          </w:divBdr>
        </w:div>
        <w:div w:id="993334289">
          <w:marLeft w:val="0"/>
          <w:marRight w:val="0"/>
          <w:marTop w:val="0"/>
          <w:marBottom w:val="0"/>
          <w:divBdr>
            <w:top w:val="none" w:sz="0" w:space="0" w:color="auto"/>
            <w:left w:val="none" w:sz="0" w:space="0" w:color="auto"/>
            <w:bottom w:val="none" w:sz="0" w:space="0" w:color="auto"/>
            <w:right w:val="none" w:sz="0" w:space="0" w:color="auto"/>
          </w:divBdr>
        </w:div>
        <w:div w:id="1848474457">
          <w:marLeft w:val="0"/>
          <w:marRight w:val="0"/>
          <w:marTop w:val="0"/>
          <w:marBottom w:val="0"/>
          <w:divBdr>
            <w:top w:val="none" w:sz="0" w:space="0" w:color="auto"/>
            <w:left w:val="none" w:sz="0" w:space="0" w:color="auto"/>
            <w:bottom w:val="none" w:sz="0" w:space="0" w:color="auto"/>
            <w:right w:val="none" w:sz="0" w:space="0" w:color="auto"/>
          </w:divBdr>
        </w:div>
        <w:div w:id="1112171055">
          <w:marLeft w:val="0"/>
          <w:marRight w:val="0"/>
          <w:marTop w:val="0"/>
          <w:marBottom w:val="0"/>
          <w:divBdr>
            <w:top w:val="none" w:sz="0" w:space="0" w:color="auto"/>
            <w:left w:val="none" w:sz="0" w:space="0" w:color="auto"/>
            <w:bottom w:val="none" w:sz="0" w:space="0" w:color="auto"/>
            <w:right w:val="none" w:sz="0" w:space="0" w:color="auto"/>
          </w:divBdr>
        </w:div>
      </w:divsChild>
    </w:div>
    <w:div w:id="1419642668">
      <w:bodyDiv w:val="1"/>
      <w:marLeft w:val="0"/>
      <w:marRight w:val="0"/>
      <w:marTop w:val="0"/>
      <w:marBottom w:val="0"/>
      <w:divBdr>
        <w:top w:val="none" w:sz="0" w:space="0" w:color="auto"/>
        <w:left w:val="none" w:sz="0" w:space="0" w:color="auto"/>
        <w:bottom w:val="none" w:sz="0" w:space="0" w:color="auto"/>
        <w:right w:val="none" w:sz="0" w:space="0" w:color="auto"/>
      </w:divBdr>
    </w:div>
    <w:div w:id="1460757641">
      <w:bodyDiv w:val="1"/>
      <w:marLeft w:val="0"/>
      <w:marRight w:val="0"/>
      <w:marTop w:val="0"/>
      <w:marBottom w:val="0"/>
      <w:divBdr>
        <w:top w:val="none" w:sz="0" w:space="0" w:color="auto"/>
        <w:left w:val="none" w:sz="0" w:space="0" w:color="auto"/>
        <w:bottom w:val="none" w:sz="0" w:space="0" w:color="auto"/>
        <w:right w:val="none" w:sz="0" w:space="0" w:color="auto"/>
      </w:divBdr>
    </w:div>
    <w:div w:id="1734037231">
      <w:bodyDiv w:val="1"/>
      <w:marLeft w:val="0"/>
      <w:marRight w:val="0"/>
      <w:marTop w:val="0"/>
      <w:marBottom w:val="0"/>
      <w:divBdr>
        <w:top w:val="none" w:sz="0" w:space="0" w:color="auto"/>
        <w:left w:val="none" w:sz="0" w:space="0" w:color="auto"/>
        <w:bottom w:val="none" w:sz="0" w:space="0" w:color="auto"/>
        <w:right w:val="none" w:sz="0" w:space="0" w:color="auto"/>
      </w:divBdr>
    </w:div>
    <w:div w:id="1939369618">
      <w:bodyDiv w:val="1"/>
      <w:marLeft w:val="0"/>
      <w:marRight w:val="0"/>
      <w:marTop w:val="0"/>
      <w:marBottom w:val="0"/>
      <w:divBdr>
        <w:top w:val="none" w:sz="0" w:space="0" w:color="auto"/>
        <w:left w:val="none" w:sz="0" w:space="0" w:color="auto"/>
        <w:bottom w:val="none" w:sz="0" w:space="0" w:color="auto"/>
        <w:right w:val="none" w:sz="0" w:space="0" w:color="auto"/>
      </w:divBdr>
    </w:div>
    <w:div w:id="2045516103">
      <w:bodyDiv w:val="1"/>
      <w:marLeft w:val="0"/>
      <w:marRight w:val="0"/>
      <w:marTop w:val="0"/>
      <w:marBottom w:val="0"/>
      <w:divBdr>
        <w:top w:val="none" w:sz="0" w:space="0" w:color="auto"/>
        <w:left w:val="none" w:sz="0" w:space="0" w:color="auto"/>
        <w:bottom w:val="none" w:sz="0" w:space="0" w:color="auto"/>
        <w:right w:val="none" w:sz="0" w:space="0" w:color="auto"/>
      </w:divBdr>
      <w:divsChild>
        <w:div w:id="1254434221">
          <w:marLeft w:val="0"/>
          <w:marRight w:val="0"/>
          <w:marTop w:val="0"/>
          <w:marBottom w:val="0"/>
          <w:divBdr>
            <w:top w:val="none" w:sz="0" w:space="0" w:color="auto"/>
            <w:left w:val="none" w:sz="0" w:space="0" w:color="auto"/>
            <w:bottom w:val="none" w:sz="0" w:space="0" w:color="auto"/>
            <w:right w:val="none" w:sz="0" w:space="0" w:color="auto"/>
          </w:divBdr>
          <w:divsChild>
            <w:div w:id="1079249518">
              <w:marLeft w:val="0"/>
              <w:marRight w:val="0"/>
              <w:marTop w:val="0"/>
              <w:marBottom w:val="0"/>
              <w:divBdr>
                <w:top w:val="none" w:sz="0" w:space="0" w:color="auto"/>
                <w:left w:val="none" w:sz="0" w:space="0" w:color="auto"/>
                <w:bottom w:val="none" w:sz="0" w:space="0" w:color="auto"/>
                <w:right w:val="none" w:sz="0" w:space="0" w:color="auto"/>
              </w:divBdr>
            </w:div>
            <w:div w:id="507062239">
              <w:marLeft w:val="0"/>
              <w:marRight w:val="0"/>
              <w:marTop w:val="0"/>
              <w:marBottom w:val="0"/>
              <w:divBdr>
                <w:top w:val="none" w:sz="0" w:space="0" w:color="auto"/>
                <w:left w:val="none" w:sz="0" w:space="0" w:color="auto"/>
                <w:bottom w:val="none" w:sz="0" w:space="0" w:color="auto"/>
                <w:right w:val="none" w:sz="0" w:space="0" w:color="auto"/>
              </w:divBdr>
            </w:div>
            <w:div w:id="967201144">
              <w:marLeft w:val="0"/>
              <w:marRight w:val="0"/>
              <w:marTop w:val="0"/>
              <w:marBottom w:val="0"/>
              <w:divBdr>
                <w:top w:val="none" w:sz="0" w:space="0" w:color="auto"/>
                <w:left w:val="none" w:sz="0" w:space="0" w:color="auto"/>
                <w:bottom w:val="none" w:sz="0" w:space="0" w:color="auto"/>
                <w:right w:val="none" w:sz="0" w:space="0" w:color="auto"/>
              </w:divBdr>
            </w:div>
            <w:div w:id="148252587">
              <w:marLeft w:val="0"/>
              <w:marRight w:val="0"/>
              <w:marTop w:val="0"/>
              <w:marBottom w:val="0"/>
              <w:divBdr>
                <w:top w:val="none" w:sz="0" w:space="0" w:color="auto"/>
                <w:left w:val="none" w:sz="0" w:space="0" w:color="auto"/>
                <w:bottom w:val="none" w:sz="0" w:space="0" w:color="auto"/>
                <w:right w:val="none" w:sz="0" w:space="0" w:color="auto"/>
              </w:divBdr>
            </w:div>
            <w:div w:id="1338263938">
              <w:marLeft w:val="0"/>
              <w:marRight w:val="0"/>
              <w:marTop w:val="0"/>
              <w:marBottom w:val="0"/>
              <w:divBdr>
                <w:top w:val="none" w:sz="0" w:space="0" w:color="auto"/>
                <w:left w:val="none" w:sz="0" w:space="0" w:color="auto"/>
                <w:bottom w:val="none" w:sz="0" w:space="0" w:color="auto"/>
                <w:right w:val="none" w:sz="0" w:space="0" w:color="auto"/>
              </w:divBdr>
            </w:div>
            <w:div w:id="3938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431-017-2924-x" TargetMode="External"/><Relationship Id="rId21" Type="http://schemas.openxmlformats.org/officeDocument/2006/relationships/hyperlink" Target="https://doi.org/10.1055/s-0037-1615278" TargetMode="External"/><Relationship Id="rId42" Type="http://schemas.openxmlformats.org/officeDocument/2006/relationships/hyperlink" Target="https://doi.org/10.1148/radiology.197.3.7480742" TargetMode="External"/><Relationship Id="rId47" Type="http://schemas.openxmlformats.org/officeDocument/2006/relationships/hyperlink" Target="https://doi.org/10.1016/j.jvir.2013.12.355" TargetMode="External"/><Relationship Id="rId63" Type="http://schemas.openxmlformats.org/officeDocument/2006/relationships/hyperlink" Target="https://doi.org/10.1007/s10620-007-9745-0" TargetMode="External"/><Relationship Id="rId68" Type="http://schemas.openxmlformats.org/officeDocument/2006/relationships/hyperlink" Target="https://doi.org/10.1016/j.jpurol.2014.02.010" TargetMode="External"/><Relationship Id="rId16" Type="http://schemas.openxmlformats.org/officeDocument/2006/relationships/hyperlink" Target="https://doi.org/10.1016/j.jvir.2015.06.002" TargetMode="External"/><Relationship Id="rId11" Type="http://schemas.openxmlformats.org/officeDocument/2006/relationships/hyperlink" Target="https://doi.org/10.1016/j.ijporl.2016.06.031" TargetMode="External"/><Relationship Id="rId24" Type="http://schemas.openxmlformats.org/officeDocument/2006/relationships/hyperlink" Target="https://doi.org/10.1055/s-2001-13691" TargetMode="External"/><Relationship Id="rId32" Type="http://schemas.openxmlformats.org/officeDocument/2006/relationships/hyperlink" Target="https://doi.org/10.4103/2231-0770.179552" TargetMode="External"/><Relationship Id="rId37" Type="http://schemas.openxmlformats.org/officeDocument/2006/relationships/hyperlink" Target="https://doi.org/10.1016/j.jpedsurg.2007.10.039" TargetMode="External"/><Relationship Id="rId40" Type="http://schemas.openxmlformats.org/officeDocument/2006/relationships/hyperlink" Target="https://doi.org/10.1016/j.jvir.2014.08.002" TargetMode="External"/><Relationship Id="rId45" Type="http://schemas.openxmlformats.org/officeDocument/2006/relationships/hyperlink" Target="https://doi.org/10.5946/ce.2017.137" TargetMode="External"/><Relationship Id="rId53" Type="http://schemas.openxmlformats.org/officeDocument/2006/relationships/hyperlink" Target="https://doi.org/10.1055/s-0037-1599795" TargetMode="External"/><Relationship Id="rId58" Type="http://schemas.openxmlformats.org/officeDocument/2006/relationships/hyperlink" Target="https://doi.org/10.1097/MPG.0000000000000227" TargetMode="External"/><Relationship Id="rId66" Type="http://schemas.openxmlformats.org/officeDocument/2006/relationships/hyperlink" Target="https://doi.org/10.1016/j.jvir.2014.10.015" TargetMode="External"/><Relationship Id="rId74" Type="http://schemas.openxmlformats.org/officeDocument/2006/relationships/image" Target="media/image2.jpeg"/><Relationship Id="rId5" Type="http://schemas.openxmlformats.org/officeDocument/2006/relationships/hyperlink" Target="https://doi.org/10.1016/j.jvir.2011.07.010" TargetMode="External"/><Relationship Id="rId61" Type="http://schemas.openxmlformats.org/officeDocument/2006/relationships/hyperlink" Target="https://doi.org/10.1111/nmo.13239" TargetMode="External"/><Relationship Id="rId19" Type="http://schemas.openxmlformats.org/officeDocument/2006/relationships/hyperlink" Target="https://doi.org/10.1002/lary.26505" TargetMode="External"/><Relationship Id="rId14" Type="http://schemas.openxmlformats.org/officeDocument/2006/relationships/hyperlink" Target="https://doi.org/10.1016/j.ijporl.2012.01.019" TargetMode="External"/><Relationship Id="rId22" Type="http://schemas.openxmlformats.org/officeDocument/2006/relationships/hyperlink" Target="https://doi.org/10.2214/AJR.16.16115" TargetMode="External"/><Relationship Id="rId27" Type="http://schemas.openxmlformats.org/officeDocument/2006/relationships/hyperlink" Target="https://doi.org/10.1016/j.jpedsurg.2010.11.030" TargetMode="External"/><Relationship Id="rId30" Type="http://schemas.openxmlformats.org/officeDocument/2006/relationships/hyperlink" Target="https://doi.org/10.1016/j.jpedsurg.2007.12.017" TargetMode="External"/><Relationship Id="rId35" Type="http://schemas.openxmlformats.org/officeDocument/2006/relationships/hyperlink" Target="https://doi.org/10.21037/atm.2016.12.18" TargetMode="External"/><Relationship Id="rId43" Type="http://schemas.openxmlformats.org/officeDocument/2006/relationships/hyperlink" Target="https://doi.org/10.1016/j.jpedsurg.2010.02.081" TargetMode="External"/><Relationship Id="rId48" Type="http://schemas.openxmlformats.org/officeDocument/2006/relationships/hyperlink" Target="https://doi.org/10.2214/AJR.14.13859" TargetMode="External"/><Relationship Id="rId56" Type="http://schemas.openxmlformats.org/officeDocument/2006/relationships/hyperlink" Target="https://doi.org/10.1016/j.jss.2015.06.058" TargetMode="External"/><Relationship Id="rId64" Type="http://schemas.openxmlformats.org/officeDocument/2006/relationships/hyperlink" Target="https://doi.org/10.1016/j.jpedsurg.2005.12.018" TargetMode="External"/><Relationship Id="rId69" Type="http://schemas.openxmlformats.org/officeDocument/2006/relationships/hyperlink" Target="https://doi.org/10.1016/j.dld.2013.04.003" TargetMode="External"/><Relationship Id="rId77" Type="http://schemas.openxmlformats.org/officeDocument/2006/relationships/fontTable" Target="fontTable.xml"/><Relationship Id="rId8" Type="http://schemas.openxmlformats.org/officeDocument/2006/relationships/hyperlink" Target="https://doi.org/10.1016/j.jpedsurg.2016.09.074" TargetMode="External"/><Relationship Id="rId51" Type="http://schemas.openxmlformats.org/officeDocument/2006/relationships/hyperlink" Target="https://doi.org/10.1007/s00247-016-3628-5" TargetMode="External"/><Relationship Id="rId72" Type="http://schemas.openxmlformats.org/officeDocument/2006/relationships/hyperlink" Target="https://doi.org/10.4329/wjr.v8.i7.656" TargetMode="External"/><Relationship Id="rId3" Type="http://schemas.openxmlformats.org/officeDocument/2006/relationships/settings" Target="settings.xml"/><Relationship Id="rId12" Type="http://schemas.openxmlformats.org/officeDocument/2006/relationships/hyperlink" Target="https://doi.org/10.1007/s00247-010-1699-2" TargetMode="External"/><Relationship Id="rId17" Type="http://schemas.openxmlformats.org/officeDocument/2006/relationships/hyperlink" Target="https://doi.org/10.1016/j.ijporl.2013.05.009" TargetMode="External"/><Relationship Id="rId25" Type="http://schemas.openxmlformats.org/officeDocument/2006/relationships/hyperlink" Target="https://doi.org/10.1148/radiol.13122184" TargetMode="External"/><Relationship Id="rId33" Type="http://schemas.openxmlformats.org/officeDocument/2006/relationships/hyperlink" Target="https://doi.org/10.3389/fped.2017.00120" TargetMode="External"/><Relationship Id="rId38" Type="http://schemas.openxmlformats.org/officeDocument/2006/relationships/hyperlink" Target="https://doi.org/10.1016/j.ejrad.2006.03.015" TargetMode="External"/><Relationship Id="rId46" Type="http://schemas.openxmlformats.org/officeDocument/2006/relationships/hyperlink" Target="https://doi.org/10.1016/j.jpedsurg.2018.02.017" TargetMode="External"/><Relationship Id="rId59" Type="http://schemas.openxmlformats.org/officeDocument/2006/relationships/hyperlink" Target="https://doi.org/10.1007/s00455-017-9854-7" TargetMode="External"/><Relationship Id="rId67" Type="http://schemas.openxmlformats.org/officeDocument/2006/relationships/hyperlink" Target="https://doi.org/10.1016/j.jvir.2007.05.018" TargetMode="External"/><Relationship Id="rId20" Type="http://schemas.openxmlformats.org/officeDocument/2006/relationships/hyperlink" Target="https://doi.org/10.1007/s00247-013-2693-2" TargetMode="External"/><Relationship Id="rId41" Type="http://schemas.openxmlformats.org/officeDocument/2006/relationships/hyperlink" Target="https://doi.org/10.1177/0884533616670640" TargetMode="External"/><Relationship Id="rId54" Type="http://schemas.openxmlformats.org/officeDocument/2006/relationships/hyperlink" Target="https://doi.org/10.1007/s11894-010-0107-2" TargetMode="External"/><Relationship Id="rId62" Type="http://schemas.openxmlformats.org/officeDocument/2006/relationships/hyperlink" Target="https://doi.org/10.1111/nmo.12944" TargetMode="External"/><Relationship Id="rId70" Type="http://schemas.openxmlformats.org/officeDocument/2006/relationships/hyperlink" Target="https://doi.org/10.1007/s00464-013-2888-5" TargetMode="External"/><Relationship Id="rId75"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doi.org/10.1097/01.RVI.0000240728.63147.F0" TargetMode="External"/><Relationship Id="rId15" Type="http://schemas.openxmlformats.org/officeDocument/2006/relationships/hyperlink" Target="https://doi.org/10.1016/j.jvir.2015.05.007" TargetMode="External"/><Relationship Id="rId23" Type="http://schemas.openxmlformats.org/officeDocument/2006/relationships/hyperlink" Target="https://doi.org/10.1016/j.jpedsurg.2014.01.011" TargetMode="External"/><Relationship Id="rId28" Type="http://schemas.openxmlformats.org/officeDocument/2006/relationships/hyperlink" Target="https://doi.org/10.1093/icvts/ivw318" TargetMode="External"/><Relationship Id="rId36" Type="http://schemas.openxmlformats.org/officeDocument/2006/relationships/hyperlink" Target="https://doi.org/10.1007/s00464-011-2124-0" TargetMode="External"/><Relationship Id="rId49" Type="http://schemas.openxmlformats.org/officeDocument/2006/relationships/hyperlink" Target="https://doi.org/10.1007/s00247-017-3964-0" TargetMode="External"/><Relationship Id="rId57" Type="http://schemas.openxmlformats.org/officeDocument/2006/relationships/hyperlink" Target="https://doi.org/10.1053/jpsu.2002.30849" TargetMode="External"/><Relationship Id="rId10" Type="http://schemas.openxmlformats.org/officeDocument/2006/relationships/hyperlink" Target="https://doi.org/10.1016/j.pediatrneurol.2015.09.014" TargetMode="External"/><Relationship Id="rId31" Type="http://schemas.openxmlformats.org/officeDocument/2006/relationships/hyperlink" Target="https://doi.org/10.17235/reed.2017.4959/2017" TargetMode="External"/><Relationship Id="rId44" Type="http://schemas.openxmlformats.org/officeDocument/2006/relationships/hyperlink" Target="https://doi.org/10.1002/bjs.10687" TargetMode="External"/><Relationship Id="rId52" Type="http://schemas.openxmlformats.org/officeDocument/2006/relationships/hyperlink" Target="https://doi.org/10.1055/s-0032-1330844" TargetMode="External"/><Relationship Id="rId60" Type="http://schemas.openxmlformats.org/officeDocument/2006/relationships/hyperlink" Target="https://doi.org/10.1097/MPG.0000000000001267" TargetMode="External"/><Relationship Id="rId65" Type="http://schemas.openxmlformats.org/officeDocument/2006/relationships/hyperlink" Target="https://doi.org/10.1148/radiol.2271020574" TargetMode="External"/><Relationship Id="rId73" Type="http://schemas.openxmlformats.org/officeDocument/2006/relationships/image" Target="media/image1.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j.ijporl.2014.06.005" TargetMode="External"/><Relationship Id="rId13" Type="http://schemas.openxmlformats.org/officeDocument/2006/relationships/hyperlink" Target="https://doi.org/10.1002/ana.20098" TargetMode="External"/><Relationship Id="rId18" Type="http://schemas.openxmlformats.org/officeDocument/2006/relationships/hyperlink" Target="https://doi.org/10.1016/j.anorl.2016.07.004" TargetMode="External"/><Relationship Id="rId39" Type="http://schemas.openxmlformats.org/officeDocument/2006/relationships/hyperlink" Target="https://doi.org/10.1089/lap.2006.16.317" TargetMode="External"/><Relationship Id="rId34" Type="http://schemas.openxmlformats.org/officeDocument/2006/relationships/hyperlink" Target="https://doi.org/10.1111/dote.12047" TargetMode="External"/><Relationship Id="rId50" Type="http://schemas.openxmlformats.org/officeDocument/2006/relationships/hyperlink" Target="https://doi.org/10.1016/j.jpedsurg.2017.03.061" TargetMode="External"/><Relationship Id="rId55" Type="http://schemas.openxmlformats.org/officeDocument/2006/relationships/hyperlink" Target="https://doi.org/10.1007/s00247-018-4082-3" TargetMode="External"/><Relationship Id="rId76" Type="http://schemas.openxmlformats.org/officeDocument/2006/relationships/image" Target="media/image4.jpeg"/><Relationship Id="rId7" Type="http://schemas.openxmlformats.org/officeDocument/2006/relationships/hyperlink" Target="https://doi.org/10.1007/s00247-016-3593-z" TargetMode="External"/><Relationship Id="rId71" Type="http://schemas.openxmlformats.org/officeDocument/2006/relationships/hyperlink" Target="https://doi.org/10.1097/RLI.0000000000000090" TargetMode="External"/><Relationship Id="rId2" Type="http://schemas.openxmlformats.org/officeDocument/2006/relationships/styles" Target="styles.xml"/><Relationship Id="rId29" Type="http://schemas.openxmlformats.org/officeDocument/2006/relationships/hyperlink" Target="https://doi.org/10.1097/MPG.00000000000003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30</Pages>
  <Words>10607</Words>
  <Characters>60466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Premal</dc:creator>
  <cp:keywords/>
  <dc:description/>
  <cp:lastModifiedBy>Patel, Premal</cp:lastModifiedBy>
  <cp:revision>5</cp:revision>
  <dcterms:created xsi:type="dcterms:W3CDTF">2019-03-21T14:30:00Z</dcterms:created>
  <dcterms:modified xsi:type="dcterms:W3CDTF">2019-03-21T15:04:00Z</dcterms:modified>
</cp:coreProperties>
</file>