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7A7B2" w14:textId="25D1925E" w:rsidR="00C860C0" w:rsidRPr="00810C7D" w:rsidRDefault="00DA62F1" w:rsidP="00880CFB">
      <w:pPr>
        <w:spacing w:after="0" w:line="360" w:lineRule="auto"/>
        <w:ind w:left="57" w:right="57"/>
        <w:rPr>
          <w:rFonts w:ascii="Times New Roman" w:hAnsi="Times New Roman" w:cs="Times New Roman"/>
          <w:b/>
        </w:rPr>
      </w:pPr>
      <w:r w:rsidRPr="00810C7D">
        <w:rPr>
          <w:rFonts w:ascii="Times New Roman" w:hAnsi="Times New Roman" w:cs="Times New Roman"/>
          <w:b/>
        </w:rPr>
        <w:t>T</w:t>
      </w:r>
      <w:r w:rsidR="007C7ECD" w:rsidRPr="00810C7D">
        <w:rPr>
          <w:rFonts w:ascii="Times New Roman" w:hAnsi="Times New Roman" w:cs="Times New Roman"/>
          <w:b/>
        </w:rPr>
        <w:t>he</w:t>
      </w:r>
      <w:r w:rsidR="003B7CAC" w:rsidRPr="00810C7D">
        <w:rPr>
          <w:rFonts w:ascii="Times New Roman" w:hAnsi="Times New Roman" w:cs="Times New Roman"/>
          <w:b/>
        </w:rPr>
        <w:t xml:space="preserve"> </w:t>
      </w:r>
      <w:r w:rsidR="00A869CA" w:rsidRPr="00810C7D">
        <w:rPr>
          <w:rFonts w:ascii="Times New Roman" w:hAnsi="Times New Roman" w:cs="Times New Roman"/>
          <w:b/>
        </w:rPr>
        <w:t>impact of neighbourhood walkability on the effectiveness of a structured education programme to increase</w:t>
      </w:r>
      <w:r w:rsidR="00640C31" w:rsidRPr="00810C7D">
        <w:rPr>
          <w:rFonts w:ascii="Times New Roman" w:hAnsi="Times New Roman" w:cs="Times New Roman"/>
          <w:b/>
        </w:rPr>
        <w:t xml:space="preserve"> objectively measured</w:t>
      </w:r>
      <w:r w:rsidR="00A869CA" w:rsidRPr="00810C7D">
        <w:rPr>
          <w:rFonts w:ascii="Times New Roman" w:hAnsi="Times New Roman" w:cs="Times New Roman"/>
          <w:b/>
        </w:rPr>
        <w:t xml:space="preserve"> walking</w:t>
      </w:r>
    </w:p>
    <w:p w14:paraId="62E92A02" w14:textId="77777777" w:rsidR="007C7ECD" w:rsidRPr="00810C7D" w:rsidRDefault="007C7ECD" w:rsidP="00880CFB">
      <w:pPr>
        <w:spacing w:after="0" w:line="360" w:lineRule="auto"/>
        <w:ind w:left="57" w:right="57"/>
        <w:rPr>
          <w:rFonts w:ascii="Times New Roman" w:hAnsi="Times New Roman" w:cs="Times New Roman"/>
          <w:b/>
        </w:rPr>
      </w:pPr>
      <w:bookmarkStart w:id="0" w:name="_GoBack"/>
      <w:bookmarkEnd w:id="0"/>
    </w:p>
    <w:p w14:paraId="25FD8078" w14:textId="7C93F0BB" w:rsidR="007C7ECD" w:rsidRPr="00810C7D" w:rsidRDefault="007503CE" w:rsidP="00880CFB">
      <w:pPr>
        <w:spacing w:after="0" w:line="360" w:lineRule="auto"/>
        <w:ind w:left="57" w:right="57"/>
        <w:rPr>
          <w:rFonts w:ascii="Times New Roman" w:hAnsi="Times New Roman" w:cs="Times New Roman"/>
          <w:vertAlign w:val="superscript"/>
        </w:rPr>
      </w:pPr>
      <w:r w:rsidRPr="00810C7D">
        <w:rPr>
          <w:rFonts w:ascii="Times New Roman" w:hAnsi="Times New Roman" w:cs="Times New Roman"/>
        </w:rPr>
        <w:t xml:space="preserve">Dr </w:t>
      </w:r>
      <w:r w:rsidR="007C7ECD" w:rsidRPr="00810C7D">
        <w:rPr>
          <w:rFonts w:ascii="Times New Roman" w:hAnsi="Times New Roman" w:cs="Times New Roman"/>
        </w:rPr>
        <w:t>P</w:t>
      </w:r>
      <w:r w:rsidRPr="00810C7D">
        <w:rPr>
          <w:rFonts w:ascii="Times New Roman" w:hAnsi="Times New Roman" w:cs="Times New Roman"/>
        </w:rPr>
        <w:t xml:space="preserve"> </w:t>
      </w:r>
      <w:r w:rsidR="007C7ECD" w:rsidRPr="00810C7D">
        <w:rPr>
          <w:rFonts w:ascii="Times New Roman" w:hAnsi="Times New Roman" w:cs="Times New Roman"/>
        </w:rPr>
        <w:t>Carter</w:t>
      </w:r>
      <w:r w:rsidRPr="00810C7D">
        <w:rPr>
          <w:rFonts w:ascii="Times New Roman" w:hAnsi="Times New Roman" w:cs="Times New Roman"/>
        </w:rPr>
        <w:t>,</w:t>
      </w:r>
      <w:r w:rsidR="00372359" w:rsidRPr="00810C7D">
        <w:rPr>
          <w:rFonts w:ascii="Times New Roman" w:hAnsi="Times New Roman" w:cs="Times New Roman"/>
        </w:rPr>
        <w:t>*</w:t>
      </w:r>
      <w:r w:rsidRPr="00810C7D">
        <w:rPr>
          <w:rFonts w:ascii="Times New Roman" w:hAnsi="Times New Roman" w:cs="Times New Roman"/>
        </w:rPr>
        <w:t xml:space="preserve"> Research Associate</w:t>
      </w:r>
      <w:r w:rsidR="007C7ECD" w:rsidRPr="00810C7D">
        <w:rPr>
          <w:rFonts w:ascii="Times New Roman" w:hAnsi="Times New Roman" w:cs="Times New Roman"/>
          <w:vertAlign w:val="superscript"/>
        </w:rPr>
        <w:t>1</w:t>
      </w:r>
      <w:r w:rsidR="00042FA8" w:rsidRPr="00810C7D">
        <w:rPr>
          <w:rFonts w:ascii="Times New Roman" w:hAnsi="Times New Roman" w:cs="Times New Roman"/>
          <w:vertAlign w:val="superscript"/>
        </w:rPr>
        <w:t>,</w:t>
      </w:r>
      <w:r w:rsidR="007C7ECD" w:rsidRPr="00810C7D">
        <w:rPr>
          <w:rFonts w:ascii="Times New Roman" w:hAnsi="Times New Roman" w:cs="Times New Roman"/>
        </w:rPr>
        <w:t xml:space="preserve"> </w:t>
      </w:r>
      <w:r w:rsidRPr="00810C7D">
        <w:rPr>
          <w:rFonts w:ascii="Times New Roman" w:hAnsi="Times New Roman" w:cs="Times New Roman"/>
        </w:rPr>
        <w:t xml:space="preserve">Dr </w:t>
      </w:r>
      <w:r w:rsidR="007C7ECD" w:rsidRPr="00810C7D">
        <w:rPr>
          <w:rFonts w:ascii="Times New Roman" w:hAnsi="Times New Roman" w:cs="Times New Roman"/>
        </w:rPr>
        <w:t>DH Bodicoat</w:t>
      </w:r>
      <w:r w:rsidRPr="00810C7D">
        <w:rPr>
          <w:rFonts w:ascii="Times New Roman" w:hAnsi="Times New Roman" w:cs="Times New Roman"/>
        </w:rPr>
        <w:t>,</w:t>
      </w:r>
      <w:r w:rsidR="00372359" w:rsidRPr="00810C7D">
        <w:rPr>
          <w:rFonts w:ascii="Times New Roman" w:hAnsi="Times New Roman" w:cs="Times New Roman"/>
        </w:rPr>
        <w:t>*</w:t>
      </w:r>
      <w:r w:rsidRPr="00810C7D">
        <w:rPr>
          <w:rFonts w:ascii="Times New Roman" w:hAnsi="Times New Roman" w:cs="Times New Roman"/>
        </w:rPr>
        <w:t xml:space="preserve"> Lecturer in Epidemiology</w:t>
      </w:r>
      <w:r w:rsidR="00372359" w:rsidRPr="00810C7D">
        <w:rPr>
          <w:rFonts w:ascii="Times New Roman" w:hAnsi="Times New Roman" w:cs="Times New Roman"/>
        </w:rPr>
        <w:t xml:space="preserve"> </w:t>
      </w:r>
      <w:r w:rsidR="007C7ECD" w:rsidRPr="00810C7D">
        <w:rPr>
          <w:rFonts w:ascii="Times New Roman" w:hAnsi="Times New Roman" w:cs="Times New Roman"/>
          <w:vertAlign w:val="superscript"/>
        </w:rPr>
        <w:t>1</w:t>
      </w:r>
      <w:r w:rsidR="009A3BAB" w:rsidRPr="00810C7D">
        <w:rPr>
          <w:rFonts w:ascii="Times New Roman" w:hAnsi="Times New Roman" w:cs="Times New Roman"/>
          <w:vertAlign w:val="superscript"/>
        </w:rPr>
        <w:t>,2</w:t>
      </w:r>
      <w:r w:rsidR="007C7ECD" w:rsidRPr="00810C7D">
        <w:rPr>
          <w:rFonts w:ascii="Times New Roman" w:hAnsi="Times New Roman" w:cs="Times New Roman"/>
        </w:rPr>
        <w:t xml:space="preserve">, </w:t>
      </w:r>
      <w:r w:rsidRPr="00810C7D">
        <w:rPr>
          <w:rFonts w:ascii="Times New Roman" w:hAnsi="Times New Roman" w:cs="Times New Roman"/>
        </w:rPr>
        <w:t xml:space="preserve">Professor </w:t>
      </w:r>
      <w:r w:rsidR="002862B4" w:rsidRPr="00810C7D">
        <w:rPr>
          <w:rFonts w:ascii="Times New Roman" w:hAnsi="Times New Roman" w:cs="Times New Roman"/>
        </w:rPr>
        <w:t>A Jones</w:t>
      </w:r>
      <w:r w:rsidRPr="00810C7D">
        <w:rPr>
          <w:rFonts w:ascii="Times New Roman" w:hAnsi="Times New Roman" w:cs="Times New Roman"/>
        </w:rPr>
        <w:t>, Professor in Public Health</w:t>
      </w:r>
      <w:r w:rsidR="009A3BAB" w:rsidRPr="00810C7D">
        <w:rPr>
          <w:rFonts w:ascii="Times New Roman" w:hAnsi="Times New Roman" w:cs="Times New Roman"/>
          <w:vertAlign w:val="superscript"/>
        </w:rPr>
        <w:t>3</w:t>
      </w:r>
      <w:r w:rsidR="002862B4" w:rsidRPr="00810C7D">
        <w:rPr>
          <w:rFonts w:ascii="Times New Roman" w:hAnsi="Times New Roman" w:cs="Times New Roman"/>
        </w:rPr>
        <w:t xml:space="preserve">, </w:t>
      </w:r>
      <w:r w:rsidRPr="00810C7D">
        <w:rPr>
          <w:rFonts w:ascii="Times New Roman" w:hAnsi="Times New Roman" w:cs="Times New Roman"/>
        </w:rPr>
        <w:t>Professor K</w:t>
      </w:r>
      <w:r w:rsidR="004E7330" w:rsidRPr="00810C7D">
        <w:rPr>
          <w:rFonts w:ascii="Times New Roman" w:hAnsi="Times New Roman" w:cs="Times New Roman"/>
        </w:rPr>
        <w:t xml:space="preserve"> Khunti</w:t>
      </w:r>
      <w:r w:rsidRPr="00810C7D">
        <w:rPr>
          <w:rFonts w:ascii="Times New Roman" w:hAnsi="Times New Roman" w:cs="Times New Roman"/>
        </w:rPr>
        <w:t>, Professor of Primary Care Diabetes and Vascular Medicine</w:t>
      </w:r>
      <w:r w:rsidR="004E7330" w:rsidRPr="00810C7D">
        <w:rPr>
          <w:rFonts w:ascii="Times New Roman" w:hAnsi="Times New Roman" w:cs="Times New Roman"/>
          <w:vertAlign w:val="superscript"/>
        </w:rPr>
        <w:t>1</w:t>
      </w:r>
      <w:r w:rsidR="00364FDE" w:rsidRPr="00810C7D">
        <w:rPr>
          <w:rFonts w:ascii="Times New Roman" w:hAnsi="Times New Roman" w:cs="Times New Roman"/>
          <w:vertAlign w:val="superscript"/>
        </w:rPr>
        <w:t>,</w:t>
      </w:r>
      <w:r w:rsidR="009A3BAB" w:rsidRPr="00810C7D">
        <w:rPr>
          <w:rFonts w:ascii="Times New Roman" w:hAnsi="Times New Roman" w:cs="Times New Roman"/>
          <w:vertAlign w:val="superscript"/>
        </w:rPr>
        <w:t>2</w:t>
      </w:r>
      <w:r w:rsidR="004E7330" w:rsidRPr="00810C7D">
        <w:rPr>
          <w:rFonts w:ascii="Times New Roman" w:hAnsi="Times New Roman" w:cs="Times New Roman"/>
        </w:rPr>
        <w:t xml:space="preserve">, </w:t>
      </w:r>
      <w:r w:rsidRPr="00810C7D">
        <w:rPr>
          <w:rFonts w:ascii="Times New Roman" w:hAnsi="Times New Roman" w:cs="Times New Roman"/>
        </w:rPr>
        <w:t xml:space="preserve">Professor </w:t>
      </w:r>
      <w:r w:rsidR="004E7330" w:rsidRPr="00810C7D">
        <w:rPr>
          <w:rFonts w:ascii="Times New Roman" w:hAnsi="Times New Roman" w:cs="Times New Roman"/>
        </w:rPr>
        <w:t>MJ Davies</w:t>
      </w:r>
      <w:r w:rsidRPr="00810C7D">
        <w:rPr>
          <w:rFonts w:ascii="Times New Roman" w:hAnsi="Times New Roman" w:cs="Times New Roman"/>
        </w:rPr>
        <w:t>, Professor of Diabetes Medicine</w:t>
      </w:r>
      <w:r w:rsidR="004E7330" w:rsidRPr="00810C7D">
        <w:rPr>
          <w:rFonts w:ascii="Times New Roman" w:hAnsi="Times New Roman" w:cs="Times New Roman"/>
          <w:vertAlign w:val="superscript"/>
        </w:rPr>
        <w:t>1</w:t>
      </w:r>
      <w:r w:rsidR="009A3BAB" w:rsidRPr="00810C7D">
        <w:rPr>
          <w:rFonts w:ascii="Times New Roman" w:hAnsi="Times New Roman" w:cs="Times New Roman"/>
          <w:vertAlign w:val="superscript"/>
        </w:rPr>
        <w:t>,2</w:t>
      </w:r>
      <w:r w:rsidR="004E7330" w:rsidRPr="00810C7D">
        <w:rPr>
          <w:rFonts w:ascii="Times New Roman" w:hAnsi="Times New Roman" w:cs="Times New Roman"/>
        </w:rPr>
        <w:t xml:space="preserve">, </w:t>
      </w:r>
      <w:r w:rsidRPr="00810C7D">
        <w:rPr>
          <w:rFonts w:ascii="Times New Roman" w:hAnsi="Times New Roman" w:cs="Times New Roman"/>
        </w:rPr>
        <w:t xml:space="preserve">Dr </w:t>
      </w:r>
      <w:r w:rsidR="004E7330" w:rsidRPr="00810C7D">
        <w:rPr>
          <w:rFonts w:ascii="Times New Roman" w:hAnsi="Times New Roman" w:cs="Times New Roman"/>
        </w:rPr>
        <w:t>C</w:t>
      </w:r>
      <w:r w:rsidR="004708FB" w:rsidRPr="00810C7D">
        <w:rPr>
          <w:rFonts w:ascii="Times New Roman" w:hAnsi="Times New Roman" w:cs="Times New Roman"/>
        </w:rPr>
        <w:t>L</w:t>
      </w:r>
      <w:r w:rsidR="004E7330" w:rsidRPr="00810C7D">
        <w:rPr>
          <w:rFonts w:ascii="Times New Roman" w:hAnsi="Times New Roman" w:cs="Times New Roman"/>
        </w:rPr>
        <w:t xml:space="preserve"> Edwardson</w:t>
      </w:r>
      <w:r w:rsidRPr="00810C7D">
        <w:rPr>
          <w:rFonts w:ascii="Times New Roman" w:hAnsi="Times New Roman" w:cs="Times New Roman"/>
        </w:rPr>
        <w:t>,</w:t>
      </w:r>
      <w:r w:rsidR="0076611C" w:rsidRPr="00810C7D">
        <w:rPr>
          <w:rFonts w:ascii="Times New Roman" w:hAnsi="Times New Roman" w:cs="Times New Roman"/>
          <w:color w:val="1F4E79"/>
          <w:lang w:val="en-US"/>
        </w:rPr>
        <w:t xml:space="preserve"> </w:t>
      </w:r>
      <w:r w:rsidR="0076611C" w:rsidRPr="00810C7D">
        <w:rPr>
          <w:rFonts w:ascii="Times New Roman" w:hAnsi="Times New Roman" w:cs="Times New Roman"/>
          <w:lang w:val="en-US"/>
        </w:rPr>
        <w:t xml:space="preserve">Senior Lecturer in Physical Activity, Sedentary Behaviour and Health </w:t>
      </w:r>
      <w:r w:rsidR="004E7330" w:rsidRPr="00810C7D">
        <w:rPr>
          <w:rFonts w:ascii="Times New Roman" w:hAnsi="Times New Roman" w:cs="Times New Roman"/>
          <w:vertAlign w:val="superscript"/>
        </w:rPr>
        <w:t>1</w:t>
      </w:r>
      <w:r w:rsidR="00364FDE" w:rsidRPr="00810C7D">
        <w:rPr>
          <w:rFonts w:ascii="Times New Roman" w:hAnsi="Times New Roman" w:cs="Times New Roman"/>
          <w:vertAlign w:val="superscript"/>
        </w:rPr>
        <w:t>,</w:t>
      </w:r>
      <w:r w:rsidR="009A3BAB" w:rsidRPr="00810C7D">
        <w:rPr>
          <w:rFonts w:ascii="Times New Roman" w:hAnsi="Times New Roman" w:cs="Times New Roman"/>
          <w:vertAlign w:val="superscript"/>
        </w:rPr>
        <w:t>2</w:t>
      </w:r>
      <w:r w:rsidR="008F2252" w:rsidRPr="00810C7D">
        <w:rPr>
          <w:rFonts w:ascii="Times New Roman" w:hAnsi="Times New Roman" w:cs="Times New Roman"/>
        </w:rPr>
        <w:t>,</w:t>
      </w:r>
      <w:r w:rsidR="009A3BAB" w:rsidRPr="00810C7D">
        <w:rPr>
          <w:rFonts w:ascii="Times New Roman" w:hAnsi="Times New Roman" w:cs="Times New Roman"/>
        </w:rPr>
        <w:t xml:space="preserve"> </w:t>
      </w:r>
      <w:r w:rsidR="00472AF4" w:rsidRPr="00810C7D">
        <w:rPr>
          <w:rFonts w:ascii="Times New Roman" w:hAnsi="Times New Roman" w:cs="Times New Roman"/>
        </w:rPr>
        <w:t xml:space="preserve">Dr </w:t>
      </w:r>
      <w:r w:rsidR="004E7330" w:rsidRPr="00810C7D">
        <w:rPr>
          <w:rFonts w:ascii="Times New Roman" w:hAnsi="Times New Roman" w:cs="Times New Roman"/>
        </w:rPr>
        <w:t>J</w:t>
      </w:r>
      <w:r w:rsidR="00955DD7" w:rsidRPr="00810C7D">
        <w:rPr>
          <w:rFonts w:ascii="Times New Roman" w:hAnsi="Times New Roman" w:cs="Times New Roman"/>
        </w:rPr>
        <w:t xml:space="preserve"> </w:t>
      </w:r>
      <w:r w:rsidR="004E7330" w:rsidRPr="00810C7D">
        <w:rPr>
          <w:rFonts w:ascii="Times New Roman" w:hAnsi="Times New Roman" w:cs="Times New Roman"/>
        </w:rPr>
        <w:t>Henson</w:t>
      </w:r>
      <w:r w:rsidR="00955DD7" w:rsidRPr="00810C7D">
        <w:rPr>
          <w:rFonts w:ascii="Times New Roman" w:hAnsi="Times New Roman" w:cs="Times New Roman"/>
        </w:rPr>
        <w:t>, Research Associate</w:t>
      </w:r>
      <w:r w:rsidR="004E7330" w:rsidRPr="00810C7D">
        <w:rPr>
          <w:rFonts w:ascii="Times New Roman" w:hAnsi="Times New Roman" w:cs="Times New Roman"/>
          <w:vertAlign w:val="superscript"/>
        </w:rPr>
        <w:t>1</w:t>
      </w:r>
      <w:r w:rsidR="009A3BAB" w:rsidRPr="00810C7D">
        <w:rPr>
          <w:rFonts w:ascii="Times New Roman" w:hAnsi="Times New Roman" w:cs="Times New Roman"/>
          <w:vertAlign w:val="superscript"/>
        </w:rPr>
        <w:t>,2</w:t>
      </w:r>
      <w:r w:rsidR="004E7330" w:rsidRPr="00810C7D">
        <w:rPr>
          <w:rFonts w:ascii="Times New Roman" w:hAnsi="Times New Roman" w:cs="Times New Roman"/>
        </w:rPr>
        <w:t xml:space="preserve">, </w:t>
      </w:r>
      <w:r w:rsidR="00472AF4" w:rsidRPr="00810C7D">
        <w:rPr>
          <w:rFonts w:ascii="Times New Roman" w:hAnsi="Times New Roman" w:cs="Times New Roman"/>
        </w:rPr>
        <w:t xml:space="preserve">Dr </w:t>
      </w:r>
      <w:r w:rsidR="004E7330" w:rsidRPr="00810C7D">
        <w:rPr>
          <w:rFonts w:ascii="Times New Roman" w:hAnsi="Times New Roman" w:cs="Times New Roman"/>
        </w:rPr>
        <w:t>T</w:t>
      </w:r>
      <w:r w:rsidR="00472AF4" w:rsidRPr="00810C7D">
        <w:rPr>
          <w:rFonts w:ascii="Times New Roman" w:hAnsi="Times New Roman" w:cs="Times New Roman"/>
        </w:rPr>
        <w:t xml:space="preserve"> </w:t>
      </w:r>
      <w:r w:rsidR="004E7330" w:rsidRPr="00810C7D">
        <w:rPr>
          <w:rFonts w:ascii="Times New Roman" w:hAnsi="Times New Roman" w:cs="Times New Roman"/>
        </w:rPr>
        <w:t>Yates</w:t>
      </w:r>
      <w:r w:rsidR="0076611C" w:rsidRPr="00810C7D">
        <w:rPr>
          <w:rFonts w:ascii="Times New Roman" w:hAnsi="Times New Roman" w:cs="Times New Roman"/>
        </w:rPr>
        <w:t xml:space="preserve">, </w:t>
      </w:r>
      <w:r w:rsidR="0076611C" w:rsidRPr="00810C7D">
        <w:rPr>
          <w:rFonts w:ascii="Times New Roman" w:hAnsi="Times New Roman" w:cs="Times New Roman"/>
          <w:lang w:val="en-US"/>
        </w:rPr>
        <w:t xml:space="preserve">Reader in Physical Activity, Sedentary Behaviour and Health </w:t>
      </w:r>
      <w:r w:rsidR="004E7330" w:rsidRPr="00810C7D">
        <w:rPr>
          <w:rFonts w:ascii="Times New Roman" w:hAnsi="Times New Roman" w:cs="Times New Roman"/>
          <w:vertAlign w:val="superscript"/>
        </w:rPr>
        <w:t>1</w:t>
      </w:r>
      <w:r w:rsidR="009A3BAB" w:rsidRPr="00810C7D">
        <w:rPr>
          <w:rFonts w:ascii="Times New Roman" w:hAnsi="Times New Roman" w:cs="Times New Roman"/>
          <w:vertAlign w:val="superscript"/>
        </w:rPr>
        <w:t>,2</w:t>
      </w:r>
      <w:r w:rsidR="004E7330" w:rsidRPr="00810C7D">
        <w:rPr>
          <w:rFonts w:ascii="Times New Roman" w:hAnsi="Times New Roman" w:cs="Times New Roman"/>
        </w:rPr>
        <w:t>,</w:t>
      </w:r>
      <w:r w:rsidR="002862B4" w:rsidRPr="00810C7D">
        <w:rPr>
          <w:rFonts w:ascii="Times New Roman" w:hAnsi="Times New Roman" w:cs="Times New Roman"/>
        </w:rPr>
        <w:t xml:space="preserve"> </w:t>
      </w:r>
      <w:r w:rsidR="00472AF4" w:rsidRPr="00810C7D">
        <w:rPr>
          <w:rFonts w:ascii="Times New Roman" w:hAnsi="Times New Roman" w:cs="Times New Roman"/>
        </w:rPr>
        <w:t xml:space="preserve">Dr E </w:t>
      </w:r>
      <w:r w:rsidR="002862B4" w:rsidRPr="00810C7D">
        <w:rPr>
          <w:rFonts w:ascii="Times New Roman" w:hAnsi="Times New Roman" w:cs="Times New Roman"/>
        </w:rPr>
        <w:t>Coombes</w:t>
      </w:r>
      <w:r w:rsidR="00955DD7" w:rsidRPr="00810C7D">
        <w:rPr>
          <w:rFonts w:ascii="Times New Roman" w:hAnsi="Times New Roman" w:cs="Times New Roman"/>
        </w:rPr>
        <w:t>, Senior Research Associate</w:t>
      </w:r>
      <w:r w:rsidR="009A3BAB" w:rsidRPr="00810C7D">
        <w:rPr>
          <w:rFonts w:ascii="Times New Roman" w:hAnsi="Times New Roman" w:cs="Times New Roman"/>
          <w:vertAlign w:val="superscript"/>
        </w:rPr>
        <w:t>3</w:t>
      </w:r>
    </w:p>
    <w:p w14:paraId="39250A03" w14:textId="77777777" w:rsidR="00E67676" w:rsidRPr="00810C7D" w:rsidRDefault="00E67676" w:rsidP="00880CFB">
      <w:pPr>
        <w:spacing w:after="0" w:line="360" w:lineRule="auto"/>
        <w:ind w:left="57" w:right="57"/>
        <w:rPr>
          <w:rFonts w:ascii="Times New Roman" w:hAnsi="Times New Roman" w:cs="Times New Roman"/>
        </w:rPr>
      </w:pPr>
    </w:p>
    <w:p w14:paraId="09364B19" w14:textId="3B2329B7" w:rsidR="007C7ECD" w:rsidRPr="00810C7D" w:rsidRDefault="007C7ECD" w:rsidP="00880CFB">
      <w:pPr>
        <w:spacing w:after="0" w:line="360" w:lineRule="auto"/>
        <w:ind w:left="57" w:right="57"/>
        <w:rPr>
          <w:rFonts w:ascii="Times New Roman" w:hAnsi="Times New Roman" w:cs="Times New Roman"/>
        </w:rPr>
      </w:pPr>
      <w:r w:rsidRPr="00810C7D">
        <w:rPr>
          <w:rFonts w:ascii="Times New Roman" w:hAnsi="Times New Roman" w:cs="Times New Roman"/>
          <w:vertAlign w:val="superscript"/>
        </w:rPr>
        <w:t>1</w:t>
      </w:r>
      <w:r w:rsidR="009A3BAB" w:rsidRPr="00810C7D">
        <w:rPr>
          <w:rFonts w:ascii="Times New Roman" w:hAnsi="Times New Roman" w:cs="Times New Roman"/>
        </w:rPr>
        <w:t xml:space="preserve">Diabetes Research Centre, </w:t>
      </w:r>
      <w:r w:rsidRPr="00810C7D">
        <w:rPr>
          <w:rFonts w:ascii="Times New Roman" w:hAnsi="Times New Roman" w:cs="Times New Roman"/>
        </w:rPr>
        <w:t>University of Leicester, Leicester General Hospital, LE5 4PW</w:t>
      </w:r>
    </w:p>
    <w:p w14:paraId="10C2916E" w14:textId="587BD7C5" w:rsidR="00364FDE" w:rsidRPr="00810C7D" w:rsidRDefault="009A3BAB" w:rsidP="00880CFB">
      <w:pPr>
        <w:spacing w:after="0" w:line="360" w:lineRule="auto"/>
        <w:ind w:left="57" w:right="57"/>
        <w:rPr>
          <w:rFonts w:ascii="Times New Roman" w:hAnsi="Times New Roman" w:cs="Times New Roman"/>
        </w:rPr>
      </w:pPr>
      <w:r w:rsidRPr="00810C7D">
        <w:rPr>
          <w:rFonts w:ascii="Times New Roman" w:hAnsi="Times New Roman" w:cs="Times New Roman"/>
          <w:vertAlign w:val="superscript"/>
        </w:rPr>
        <w:t>2</w:t>
      </w:r>
      <w:r w:rsidR="00816352" w:rsidRPr="00810C7D">
        <w:rPr>
          <w:rFonts w:ascii="Times New Roman" w:hAnsi="Times New Roman" w:cs="Times New Roman"/>
        </w:rPr>
        <w:t xml:space="preserve">NIHR </w:t>
      </w:r>
      <w:r w:rsidR="002275A5" w:rsidRPr="00810C7D">
        <w:rPr>
          <w:rFonts w:ascii="Times New Roman" w:hAnsi="Times New Roman" w:cs="Times New Roman"/>
        </w:rPr>
        <w:t>Leicester-Loughborough, Diet, Lifestyle and Physical Activity Biomedical Research Unit</w:t>
      </w:r>
      <w:r w:rsidR="00816352" w:rsidRPr="00810C7D">
        <w:rPr>
          <w:rFonts w:ascii="Times New Roman" w:hAnsi="Times New Roman" w:cs="Times New Roman"/>
        </w:rPr>
        <w:t>, Leicester, UK</w:t>
      </w:r>
      <w:r w:rsidR="002275A5" w:rsidRPr="00810C7D">
        <w:rPr>
          <w:rFonts w:ascii="Times New Roman" w:hAnsi="Times New Roman" w:cs="Times New Roman"/>
        </w:rPr>
        <w:t>.</w:t>
      </w:r>
    </w:p>
    <w:p w14:paraId="256C7F1E" w14:textId="147A8EFB" w:rsidR="007C7ECD" w:rsidRPr="00810C7D" w:rsidRDefault="009A3BAB" w:rsidP="00880CFB">
      <w:pPr>
        <w:spacing w:after="0" w:line="360" w:lineRule="auto"/>
        <w:ind w:left="57" w:right="57"/>
        <w:rPr>
          <w:rFonts w:ascii="Times New Roman" w:hAnsi="Times New Roman" w:cs="Times New Roman"/>
        </w:rPr>
      </w:pPr>
      <w:r w:rsidRPr="00810C7D">
        <w:rPr>
          <w:rFonts w:ascii="Times New Roman" w:hAnsi="Times New Roman" w:cs="Times New Roman"/>
          <w:vertAlign w:val="superscript"/>
        </w:rPr>
        <w:t>3</w:t>
      </w:r>
      <w:r w:rsidR="007C7ECD" w:rsidRPr="00810C7D">
        <w:rPr>
          <w:rFonts w:ascii="Times New Roman" w:hAnsi="Times New Roman" w:cs="Times New Roman"/>
        </w:rPr>
        <w:t>Norwich Medical School, University of East Anglia, Norwich, Norfolk, NR4 7TJ</w:t>
      </w:r>
    </w:p>
    <w:p w14:paraId="4E5562CA" w14:textId="0840F653" w:rsidR="0048255C" w:rsidRPr="00810C7D" w:rsidRDefault="0048255C" w:rsidP="00880CFB">
      <w:pPr>
        <w:spacing w:after="0" w:line="360" w:lineRule="auto"/>
        <w:ind w:left="57" w:right="57"/>
        <w:rPr>
          <w:rFonts w:ascii="Times New Roman" w:hAnsi="Times New Roman" w:cs="Times New Roman"/>
        </w:rPr>
      </w:pPr>
    </w:p>
    <w:p w14:paraId="4BD260BA" w14:textId="4A6348CE" w:rsidR="00372359" w:rsidRPr="00810C7D" w:rsidRDefault="00372359" w:rsidP="00880CFB">
      <w:pPr>
        <w:spacing w:after="0" w:line="360" w:lineRule="auto"/>
        <w:ind w:left="57" w:right="57"/>
        <w:rPr>
          <w:rFonts w:ascii="Times New Roman" w:hAnsi="Times New Roman" w:cs="Times New Roman"/>
        </w:rPr>
      </w:pPr>
      <w:r w:rsidRPr="00810C7D">
        <w:rPr>
          <w:rFonts w:ascii="Times New Roman" w:hAnsi="Times New Roman" w:cs="Times New Roman"/>
        </w:rPr>
        <w:t>* Joint first authors</w:t>
      </w:r>
    </w:p>
    <w:p w14:paraId="73805920" w14:textId="77777777" w:rsidR="003106D3" w:rsidRPr="00810C7D" w:rsidRDefault="003106D3" w:rsidP="00880CFB">
      <w:pPr>
        <w:spacing w:after="0" w:line="360" w:lineRule="auto"/>
        <w:ind w:left="57" w:right="57"/>
        <w:rPr>
          <w:rFonts w:ascii="Times New Roman" w:hAnsi="Times New Roman" w:cs="Times New Roman"/>
        </w:rPr>
      </w:pPr>
    </w:p>
    <w:p w14:paraId="68AE0884" w14:textId="77777777" w:rsidR="00042FA8" w:rsidRPr="00810C7D" w:rsidRDefault="00042FA8" w:rsidP="00880CFB">
      <w:pPr>
        <w:spacing w:after="0" w:line="360" w:lineRule="auto"/>
        <w:ind w:left="57" w:right="57"/>
        <w:rPr>
          <w:rFonts w:ascii="Times New Roman" w:hAnsi="Times New Roman" w:cs="Times New Roman"/>
          <w:b/>
        </w:rPr>
      </w:pPr>
      <w:r w:rsidRPr="00810C7D">
        <w:rPr>
          <w:rFonts w:ascii="Times New Roman" w:hAnsi="Times New Roman" w:cs="Times New Roman"/>
          <w:b/>
        </w:rPr>
        <w:t xml:space="preserve">Corresponding author: </w:t>
      </w:r>
    </w:p>
    <w:p w14:paraId="17DAA77E" w14:textId="4F0417D6" w:rsidR="00042FA8" w:rsidRPr="00810C7D" w:rsidRDefault="00E67676" w:rsidP="00880CFB">
      <w:pPr>
        <w:spacing w:after="0" w:line="360" w:lineRule="auto"/>
        <w:ind w:left="57" w:right="57"/>
        <w:rPr>
          <w:rFonts w:ascii="Times New Roman" w:hAnsi="Times New Roman" w:cs="Times New Roman"/>
        </w:rPr>
      </w:pPr>
      <w:r w:rsidRPr="00810C7D">
        <w:rPr>
          <w:rFonts w:ascii="Times New Roman" w:hAnsi="Times New Roman" w:cs="Times New Roman"/>
        </w:rPr>
        <w:t xml:space="preserve">Dr </w:t>
      </w:r>
      <w:r w:rsidR="00042FA8" w:rsidRPr="00810C7D">
        <w:rPr>
          <w:rFonts w:ascii="Times New Roman" w:hAnsi="Times New Roman" w:cs="Times New Roman"/>
        </w:rPr>
        <w:t>Patrice Carter</w:t>
      </w:r>
    </w:p>
    <w:p w14:paraId="49C49EA5" w14:textId="2A558F87" w:rsidR="00042FA8" w:rsidRPr="00810C7D" w:rsidRDefault="00042FA8" w:rsidP="00880CFB">
      <w:pPr>
        <w:spacing w:after="0" w:line="360" w:lineRule="auto"/>
        <w:ind w:left="57" w:right="57"/>
        <w:rPr>
          <w:rFonts w:ascii="Times New Roman" w:hAnsi="Times New Roman" w:cs="Times New Roman"/>
        </w:rPr>
      </w:pPr>
      <w:r w:rsidRPr="00810C7D">
        <w:rPr>
          <w:rFonts w:ascii="Times New Roman" w:hAnsi="Times New Roman" w:cs="Times New Roman"/>
        </w:rPr>
        <w:t xml:space="preserve">Behaviour and Health Research Unit, University of Cambridge, Cambridge, </w:t>
      </w:r>
      <w:r w:rsidR="009A3BAB" w:rsidRPr="00810C7D">
        <w:rPr>
          <w:rFonts w:ascii="Times New Roman" w:hAnsi="Times New Roman" w:cs="Times New Roman"/>
        </w:rPr>
        <w:t>CB2 0SR</w:t>
      </w:r>
      <w:r w:rsidR="00236CE7" w:rsidRPr="00810C7D">
        <w:rPr>
          <w:rFonts w:ascii="Times New Roman" w:hAnsi="Times New Roman" w:cs="Times New Roman"/>
        </w:rPr>
        <w:t xml:space="preserve">, </w:t>
      </w:r>
      <w:r w:rsidRPr="00810C7D">
        <w:rPr>
          <w:rFonts w:ascii="Times New Roman" w:hAnsi="Times New Roman" w:cs="Times New Roman"/>
        </w:rPr>
        <w:t>UK</w:t>
      </w:r>
    </w:p>
    <w:p w14:paraId="1076F6FD" w14:textId="761CCC21" w:rsidR="00042FA8" w:rsidRPr="00810C7D" w:rsidRDefault="00042FA8" w:rsidP="00880CFB">
      <w:pPr>
        <w:spacing w:after="0" w:line="360" w:lineRule="auto"/>
        <w:ind w:left="57" w:right="57"/>
        <w:rPr>
          <w:rFonts w:ascii="Times New Roman" w:hAnsi="Times New Roman" w:cs="Times New Roman"/>
        </w:rPr>
      </w:pPr>
      <w:r w:rsidRPr="00810C7D">
        <w:rPr>
          <w:rFonts w:ascii="Times New Roman" w:hAnsi="Times New Roman" w:cs="Times New Roman"/>
        </w:rPr>
        <w:t>Patrice.carter@medschl.cam.ac.uk</w:t>
      </w:r>
    </w:p>
    <w:p w14:paraId="0C2E6B0F" w14:textId="77777777" w:rsidR="003106D3" w:rsidRPr="00810C7D" w:rsidRDefault="003106D3" w:rsidP="00880CFB">
      <w:pPr>
        <w:spacing w:after="0" w:line="360" w:lineRule="auto"/>
        <w:ind w:left="57" w:right="57"/>
        <w:rPr>
          <w:rFonts w:ascii="Times New Roman" w:hAnsi="Times New Roman" w:cs="Times New Roman"/>
        </w:rPr>
      </w:pPr>
    </w:p>
    <w:p w14:paraId="2EB00180" w14:textId="77777777" w:rsidR="003106D3" w:rsidRPr="00810C7D" w:rsidRDefault="003106D3" w:rsidP="00880CFB">
      <w:pPr>
        <w:spacing w:after="0" w:line="360" w:lineRule="auto"/>
        <w:ind w:left="57" w:right="57"/>
        <w:rPr>
          <w:rFonts w:ascii="Times New Roman" w:hAnsi="Times New Roman" w:cs="Times New Roman"/>
        </w:rPr>
      </w:pPr>
    </w:p>
    <w:p w14:paraId="79A749D7" w14:textId="77777777" w:rsidR="005E5E08" w:rsidRPr="00810C7D" w:rsidRDefault="005E5E08" w:rsidP="00880CFB">
      <w:pPr>
        <w:spacing w:after="0" w:line="360" w:lineRule="auto"/>
        <w:ind w:left="57" w:right="57"/>
        <w:rPr>
          <w:rFonts w:ascii="Times New Roman" w:hAnsi="Times New Roman" w:cs="Times New Roman"/>
          <w:b/>
        </w:rPr>
      </w:pPr>
    </w:p>
    <w:p w14:paraId="2FA633A6" w14:textId="77777777" w:rsidR="005E5E08" w:rsidRPr="00810C7D" w:rsidRDefault="005E5E08" w:rsidP="00880CFB">
      <w:pPr>
        <w:spacing w:after="0" w:line="360" w:lineRule="auto"/>
        <w:ind w:left="57" w:right="57"/>
        <w:rPr>
          <w:rFonts w:ascii="Times New Roman" w:hAnsi="Times New Roman" w:cs="Times New Roman"/>
          <w:b/>
        </w:rPr>
      </w:pPr>
    </w:p>
    <w:p w14:paraId="16182DBD" w14:textId="77777777" w:rsidR="005E5E08" w:rsidRPr="00810C7D" w:rsidRDefault="005E5E08" w:rsidP="00880CFB">
      <w:pPr>
        <w:spacing w:after="0" w:line="360" w:lineRule="auto"/>
        <w:ind w:left="57" w:right="57"/>
        <w:rPr>
          <w:rFonts w:ascii="Times New Roman" w:hAnsi="Times New Roman" w:cs="Times New Roman"/>
          <w:b/>
        </w:rPr>
      </w:pPr>
    </w:p>
    <w:p w14:paraId="53DFCA19" w14:textId="77777777" w:rsidR="005E5E08" w:rsidRPr="00810C7D" w:rsidRDefault="005E5E08" w:rsidP="00880CFB">
      <w:pPr>
        <w:spacing w:after="0" w:line="360" w:lineRule="auto"/>
        <w:ind w:left="57" w:right="57"/>
        <w:rPr>
          <w:rFonts w:ascii="Times New Roman" w:hAnsi="Times New Roman" w:cs="Times New Roman"/>
          <w:b/>
        </w:rPr>
      </w:pPr>
    </w:p>
    <w:p w14:paraId="1823CFC3" w14:textId="77777777" w:rsidR="00E67676" w:rsidRPr="00810C7D" w:rsidRDefault="00E67676" w:rsidP="00880CFB">
      <w:pPr>
        <w:spacing w:after="0" w:line="360" w:lineRule="auto"/>
        <w:ind w:left="57" w:right="57"/>
        <w:rPr>
          <w:rFonts w:ascii="Times New Roman" w:hAnsi="Times New Roman" w:cs="Times New Roman"/>
          <w:b/>
        </w:rPr>
      </w:pPr>
    </w:p>
    <w:p w14:paraId="30E638A5" w14:textId="77777777" w:rsidR="00E67676" w:rsidRPr="00810C7D" w:rsidRDefault="00E67676" w:rsidP="00880CFB">
      <w:pPr>
        <w:spacing w:after="0" w:line="360" w:lineRule="auto"/>
        <w:ind w:left="57" w:right="57"/>
        <w:rPr>
          <w:rFonts w:ascii="Times New Roman" w:hAnsi="Times New Roman" w:cs="Times New Roman"/>
          <w:b/>
        </w:rPr>
      </w:pPr>
    </w:p>
    <w:p w14:paraId="0B17CC64" w14:textId="77777777" w:rsidR="00E67676" w:rsidRPr="00810C7D" w:rsidRDefault="00E67676" w:rsidP="00880CFB">
      <w:pPr>
        <w:spacing w:after="0" w:line="360" w:lineRule="auto"/>
        <w:ind w:left="57" w:right="57"/>
        <w:rPr>
          <w:rFonts w:ascii="Times New Roman" w:hAnsi="Times New Roman" w:cs="Times New Roman"/>
          <w:b/>
        </w:rPr>
      </w:pPr>
    </w:p>
    <w:p w14:paraId="2B08BF84" w14:textId="77777777" w:rsidR="00E67676" w:rsidRPr="00810C7D" w:rsidRDefault="00E67676" w:rsidP="00880CFB">
      <w:pPr>
        <w:spacing w:after="0" w:line="360" w:lineRule="auto"/>
        <w:ind w:left="57" w:right="57"/>
        <w:rPr>
          <w:rFonts w:ascii="Times New Roman" w:hAnsi="Times New Roman" w:cs="Times New Roman"/>
          <w:b/>
        </w:rPr>
      </w:pPr>
    </w:p>
    <w:p w14:paraId="09A804B9" w14:textId="77777777" w:rsidR="00E67676" w:rsidRPr="00810C7D" w:rsidRDefault="00E67676" w:rsidP="00880CFB">
      <w:pPr>
        <w:spacing w:after="0" w:line="360" w:lineRule="auto"/>
        <w:ind w:left="57" w:right="57"/>
        <w:rPr>
          <w:rFonts w:ascii="Times New Roman" w:hAnsi="Times New Roman" w:cs="Times New Roman"/>
          <w:b/>
        </w:rPr>
      </w:pPr>
    </w:p>
    <w:p w14:paraId="0DC9D18D" w14:textId="77777777" w:rsidR="00E67676" w:rsidRPr="00810C7D" w:rsidRDefault="00E67676" w:rsidP="00880CFB">
      <w:pPr>
        <w:spacing w:after="0" w:line="360" w:lineRule="auto"/>
        <w:ind w:left="57" w:right="57"/>
        <w:rPr>
          <w:rFonts w:ascii="Times New Roman" w:hAnsi="Times New Roman" w:cs="Times New Roman"/>
          <w:b/>
        </w:rPr>
      </w:pPr>
    </w:p>
    <w:p w14:paraId="1278C55F" w14:textId="77777777" w:rsidR="00E67676" w:rsidRPr="00810C7D" w:rsidRDefault="00E67676" w:rsidP="00880CFB">
      <w:pPr>
        <w:spacing w:after="0" w:line="360" w:lineRule="auto"/>
        <w:ind w:left="57" w:right="57"/>
        <w:rPr>
          <w:rFonts w:ascii="Times New Roman" w:hAnsi="Times New Roman" w:cs="Times New Roman"/>
          <w:b/>
        </w:rPr>
      </w:pPr>
    </w:p>
    <w:p w14:paraId="3E389B5D" w14:textId="77777777" w:rsidR="00E67676" w:rsidRPr="00810C7D" w:rsidRDefault="00E67676" w:rsidP="00880CFB">
      <w:pPr>
        <w:spacing w:after="0" w:line="360" w:lineRule="auto"/>
        <w:ind w:left="57" w:right="57"/>
        <w:rPr>
          <w:rFonts w:ascii="Times New Roman" w:hAnsi="Times New Roman" w:cs="Times New Roman"/>
          <w:b/>
        </w:rPr>
      </w:pPr>
    </w:p>
    <w:p w14:paraId="1CAD0E10" w14:textId="77777777" w:rsidR="00E67676" w:rsidRPr="00810C7D" w:rsidRDefault="00E67676" w:rsidP="00880CFB">
      <w:pPr>
        <w:spacing w:after="0" w:line="360" w:lineRule="auto"/>
        <w:ind w:left="57" w:right="57"/>
        <w:rPr>
          <w:rFonts w:ascii="Times New Roman" w:hAnsi="Times New Roman" w:cs="Times New Roman"/>
          <w:b/>
        </w:rPr>
      </w:pPr>
    </w:p>
    <w:p w14:paraId="148158A7" w14:textId="77777777" w:rsidR="008F2252" w:rsidRPr="00810C7D" w:rsidRDefault="008F2252" w:rsidP="00880CFB">
      <w:pPr>
        <w:spacing w:after="0" w:line="360" w:lineRule="auto"/>
        <w:ind w:right="57"/>
        <w:rPr>
          <w:rFonts w:ascii="Times New Roman" w:hAnsi="Times New Roman" w:cs="Times New Roman"/>
          <w:b/>
        </w:rPr>
      </w:pPr>
    </w:p>
    <w:p w14:paraId="2636DBFB" w14:textId="21C8B2D2" w:rsidR="00DA62F1" w:rsidRPr="00810C7D" w:rsidRDefault="00DA62F1" w:rsidP="00880CFB">
      <w:pPr>
        <w:spacing w:after="0" w:line="360" w:lineRule="auto"/>
        <w:ind w:left="57" w:right="57"/>
        <w:rPr>
          <w:rFonts w:ascii="Times New Roman" w:hAnsi="Times New Roman" w:cs="Times New Roman"/>
          <w:b/>
        </w:rPr>
      </w:pPr>
      <w:r w:rsidRPr="00810C7D">
        <w:rPr>
          <w:rFonts w:ascii="Times New Roman" w:hAnsi="Times New Roman" w:cs="Times New Roman"/>
          <w:b/>
        </w:rPr>
        <w:lastRenderedPageBreak/>
        <w:t>Abstract</w:t>
      </w:r>
    </w:p>
    <w:p w14:paraId="7D13B984" w14:textId="77777777" w:rsidR="004344AD" w:rsidRPr="00810C7D" w:rsidRDefault="004344AD" w:rsidP="00880CFB">
      <w:pPr>
        <w:spacing w:after="0" w:line="360" w:lineRule="auto"/>
        <w:ind w:left="57" w:right="57"/>
        <w:rPr>
          <w:rFonts w:ascii="Times New Roman" w:hAnsi="Times New Roman" w:cs="Times New Roman"/>
          <w:i/>
        </w:rPr>
      </w:pPr>
      <w:r w:rsidRPr="00810C7D">
        <w:rPr>
          <w:rFonts w:ascii="Times New Roman" w:hAnsi="Times New Roman" w:cs="Times New Roman"/>
          <w:i/>
        </w:rPr>
        <w:t>Background</w:t>
      </w:r>
    </w:p>
    <w:p w14:paraId="6072F918" w14:textId="78C0E70C" w:rsidR="00735565" w:rsidRPr="00810C7D" w:rsidRDefault="00861AE9" w:rsidP="00880CFB">
      <w:pPr>
        <w:spacing w:after="0" w:line="360" w:lineRule="auto"/>
        <w:ind w:left="57" w:right="57"/>
        <w:rPr>
          <w:rFonts w:ascii="Times New Roman" w:hAnsi="Times New Roman" w:cs="Times New Roman"/>
        </w:rPr>
      </w:pPr>
      <w:r w:rsidRPr="00810C7D">
        <w:rPr>
          <w:rFonts w:ascii="Times New Roman" w:hAnsi="Times New Roman" w:cs="Times New Roman"/>
        </w:rPr>
        <w:t>Incorporating physical activity into daily activities is key for the effec</w:t>
      </w:r>
      <w:r w:rsidR="002C0647" w:rsidRPr="00810C7D">
        <w:rPr>
          <w:rFonts w:ascii="Times New Roman" w:hAnsi="Times New Roman" w:cs="Times New Roman"/>
        </w:rPr>
        <w:t>tiveness of lifestyle</w:t>
      </w:r>
      <w:r w:rsidRPr="00810C7D">
        <w:rPr>
          <w:rFonts w:ascii="Times New Roman" w:hAnsi="Times New Roman" w:cs="Times New Roman"/>
        </w:rPr>
        <w:t xml:space="preserve"> education interventions </w:t>
      </w:r>
      <w:r w:rsidR="002C0647" w:rsidRPr="00810C7D">
        <w:rPr>
          <w:rFonts w:ascii="Times New Roman" w:hAnsi="Times New Roman" w:cs="Times New Roman"/>
        </w:rPr>
        <w:t>aimed at improving</w:t>
      </w:r>
      <w:r w:rsidRPr="00810C7D">
        <w:rPr>
          <w:rFonts w:ascii="Times New Roman" w:hAnsi="Times New Roman" w:cs="Times New Roman"/>
        </w:rPr>
        <w:t xml:space="preserve"> health outcomes; however, consideration of the environmental context in which individuals live is not always </w:t>
      </w:r>
      <w:r w:rsidR="003B7CAC" w:rsidRPr="00810C7D">
        <w:rPr>
          <w:rFonts w:ascii="Times New Roman" w:hAnsi="Times New Roman" w:cs="Times New Roman"/>
        </w:rPr>
        <w:t>made</w:t>
      </w:r>
      <w:r w:rsidR="00A05B7F" w:rsidRPr="00810C7D">
        <w:rPr>
          <w:rFonts w:ascii="Times New Roman" w:hAnsi="Times New Roman" w:cs="Times New Roman"/>
        </w:rPr>
        <w:t>.</w:t>
      </w:r>
      <w:r w:rsidR="003B7CAC" w:rsidRPr="00810C7D">
        <w:rPr>
          <w:rFonts w:ascii="Times New Roman" w:hAnsi="Times New Roman" w:cs="Times New Roman"/>
        </w:rPr>
        <w:t xml:space="preserve"> </w:t>
      </w:r>
      <w:r w:rsidRPr="00810C7D">
        <w:rPr>
          <w:rFonts w:ascii="Times New Roman" w:hAnsi="Times New Roman" w:cs="Times New Roman"/>
        </w:rPr>
        <w:t>Walkability is a characteristic of the physical environment, and may be a potential</w:t>
      </w:r>
      <w:r w:rsidR="00000A10" w:rsidRPr="00810C7D">
        <w:rPr>
          <w:rFonts w:ascii="Times New Roman" w:hAnsi="Times New Roman" w:cs="Times New Roman"/>
        </w:rPr>
        <w:t xml:space="preserve"> facilitator to changing</w:t>
      </w:r>
      <w:r w:rsidRPr="00810C7D">
        <w:rPr>
          <w:rFonts w:ascii="Times New Roman" w:hAnsi="Times New Roman" w:cs="Times New Roman"/>
        </w:rPr>
        <w:t xml:space="preserve"> physical activity</w:t>
      </w:r>
      <w:r w:rsidR="00000A10" w:rsidRPr="00810C7D">
        <w:rPr>
          <w:rFonts w:ascii="Times New Roman" w:hAnsi="Times New Roman" w:cs="Times New Roman"/>
        </w:rPr>
        <w:t xml:space="preserve"> levels</w:t>
      </w:r>
      <w:r w:rsidRPr="00810C7D">
        <w:rPr>
          <w:rFonts w:ascii="Times New Roman" w:hAnsi="Times New Roman" w:cs="Times New Roman"/>
        </w:rPr>
        <w:t>.</w:t>
      </w:r>
    </w:p>
    <w:p w14:paraId="32C3E170" w14:textId="77777777" w:rsidR="004344AD" w:rsidRPr="00810C7D" w:rsidRDefault="004344AD" w:rsidP="00880CFB">
      <w:pPr>
        <w:spacing w:after="0" w:line="360" w:lineRule="auto"/>
        <w:ind w:left="57" w:right="57"/>
        <w:rPr>
          <w:rFonts w:ascii="Times New Roman" w:hAnsi="Times New Roman" w:cs="Times New Roman"/>
          <w:i/>
        </w:rPr>
      </w:pPr>
      <w:r w:rsidRPr="00810C7D">
        <w:rPr>
          <w:rFonts w:ascii="Times New Roman" w:hAnsi="Times New Roman" w:cs="Times New Roman"/>
          <w:i/>
        </w:rPr>
        <w:t>Methods</w:t>
      </w:r>
    </w:p>
    <w:p w14:paraId="4CB1C8A6" w14:textId="1FAC5065" w:rsidR="00861AE9" w:rsidRPr="00810C7D" w:rsidRDefault="00861AE9" w:rsidP="00880CFB">
      <w:pPr>
        <w:spacing w:after="0" w:line="360" w:lineRule="auto"/>
        <w:ind w:left="57" w:right="57"/>
        <w:rPr>
          <w:rFonts w:ascii="Times New Roman" w:hAnsi="Times New Roman" w:cs="Times New Roman"/>
        </w:rPr>
      </w:pPr>
      <w:r w:rsidRPr="00810C7D">
        <w:rPr>
          <w:rFonts w:ascii="Times New Roman" w:hAnsi="Times New Roman" w:cs="Times New Roman"/>
        </w:rPr>
        <w:t xml:space="preserve">Using data collected during the Walking Away from Diabetes randomised controlled trial, we examined the association between the walkability of the home neighbourhood and physical activity of participants.  We </w:t>
      </w:r>
      <w:r w:rsidR="00E67676" w:rsidRPr="00810C7D">
        <w:rPr>
          <w:rFonts w:ascii="Times New Roman" w:hAnsi="Times New Roman" w:cs="Times New Roman"/>
        </w:rPr>
        <w:t xml:space="preserve">also </w:t>
      </w:r>
      <w:r w:rsidRPr="00810C7D">
        <w:rPr>
          <w:rFonts w:ascii="Times New Roman" w:hAnsi="Times New Roman" w:cs="Times New Roman"/>
        </w:rPr>
        <w:t>determine</w:t>
      </w:r>
      <w:r w:rsidR="00000A10" w:rsidRPr="00810C7D">
        <w:rPr>
          <w:rFonts w:ascii="Times New Roman" w:hAnsi="Times New Roman" w:cs="Times New Roman"/>
        </w:rPr>
        <w:t>d</w:t>
      </w:r>
      <w:r w:rsidR="002C0647" w:rsidRPr="00810C7D">
        <w:rPr>
          <w:rFonts w:ascii="Times New Roman" w:hAnsi="Times New Roman" w:cs="Times New Roman"/>
        </w:rPr>
        <w:t xml:space="preserve"> whether </w:t>
      </w:r>
      <w:r w:rsidRPr="00810C7D">
        <w:rPr>
          <w:rFonts w:ascii="Times New Roman" w:hAnsi="Times New Roman" w:cs="Times New Roman"/>
        </w:rPr>
        <w:t>home neighbourhood walkab</w:t>
      </w:r>
      <w:r w:rsidR="00202017" w:rsidRPr="00810C7D">
        <w:rPr>
          <w:rFonts w:ascii="Times New Roman" w:hAnsi="Times New Roman" w:cs="Times New Roman"/>
        </w:rPr>
        <w:t>ility of participants was associated with</w:t>
      </w:r>
      <w:r w:rsidRPr="00810C7D">
        <w:rPr>
          <w:rFonts w:ascii="Times New Roman" w:hAnsi="Times New Roman" w:cs="Times New Roman"/>
        </w:rPr>
        <w:t xml:space="preserve"> the intervention effect of the education programme.</w:t>
      </w:r>
    </w:p>
    <w:p w14:paraId="5BDBAAF4" w14:textId="77777777" w:rsidR="004344AD" w:rsidRPr="00810C7D" w:rsidRDefault="004344AD" w:rsidP="00880CFB">
      <w:pPr>
        <w:spacing w:after="0" w:line="360" w:lineRule="auto"/>
        <w:ind w:left="57" w:right="57"/>
        <w:rPr>
          <w:rFonts w:ascii="Times New Roman" w:hAnsi="Times New Roman" w:cs="Times New Roman"/>
          <w:i/>
        </w:rPr>
      </w:pPr>
      <w:r w:rsidRPr="00810C7D">
        <w:rPr>
          <w:rFonts w:ascii="Times New Roman" w:hAnsi="Times New Roman" w:cs="Times New Roman"/>
          <w:i/>
        </w:rPr>
        <w:t>Results</w:t>
      </w:r>
    </w:p>
    <w:p w14:paraId="48B62AEA" w14:textId="153A4848" w:rsidR="00A05B7F" w:rsidRPr="00810C7D" w:rsidRDefault="00AF2F3A" w:rsidP="00880CFB">
      <w:pPr>
        <w:spacing w:after="0" w:line="360" w:lineRule="auto"/>
        <w:ind w:left="57" w:right="57"/>
        <w:rPr>
          <w:rFonts w:ascii="Times New Roman" w:hAnsi="Times New Roman" w:cs="Times New Roman"/>
          <w:i/>
        </w:rPr>
      </w:pPr>
      <w:r w:rsidRPr="00810C7D">
        <w:rPr>
          <w:rFonts w:ascii="Times New Roman" w:hAnsi="Times New Roman" w:cs="Times New Roman"/>
        </w:rPr>
        <w:t xml:space="preserve">Data from 706 participants </w:t>
      </w:r>
      <w:r w:rsidR="003B7CAC" w:rsidRPr="00810C7D">
        <w:rPr>
          <w:rFonts w:ascii="Times New Roman" w:hAnsi="Times New Roman" w:cs="Times New Roman"/>
        </w:rPr>
        <w:t>were</w:t>
      </w:r>
      <w:r w:rsidRPr="00810C7D">
        <w:rPr>
          <w:rFonts w:ascii="Times New Roman" w:hAnsi="Times New Roman" w:cs="Times New Roman"/>
        </w:rPr>
        <w:t xml:space="preserve"> available for analysis.  </w:t>
      </w:r>
      <w:r w:rsidR="00B7046C" w:rsidRPr="00810C7D">
        <w:rPr>
          <w:rFonts w:ascii="Times New Roman" w:hAnsi="Times New Roman" w:cs="Times New Roman"/>
        </w:rPr>
        <w:t>N</w:t>
      </w:r>
      <w:r w:rsidR="00861AE9" w:rsidRPr="00810C7D">
        <w:rPr>
          <w:rFonts w:ascii="Times New Roman" w:hAnsi="Times New Roman" w:cs="Times New Roman"/>
        </w:rPr>
        <w:t xml:space="preserve">eighbourhood walkability was not significantly associated with any of the physical activity measures </w:t>
      </w:r>
      <w:r w:rsidR="00000A10" w:rsidRPr="00810C7D">
        <w:rPr>
          <w:rFonts w:ascii="Times New Roman" w:hAnsi="Times New Roman" w:cs="Times New Roman"/>
        </w:rPr>
        <w:t xml:space="preserve">at baseline, or at 12, 24 or 36 months </w:t>
      </w:r>
      <w:r w:rsidR="002C0647" w:rsidRPr="00810C7D">
        <w:rPr>
          <w:rFonts w:ascii="Times New Roman" w:hAnsi="Times New Roman" w:cs="Times New Roman"/>
        </w:rPr>
        <w:t xml:space="preserve">following the intervention </w:t>
      </w:r>
      <w:r w:rsidR="00861AE9" w:rsidRPr="00810C7D">
        <w:rPr>
          <w:rFonts w:ascii="Times New Roman" w:hAnsi="Times New Roman" w:cs="Times New Roman"/>
        </w:rPr>
        <w:t>(p&gt;0.05 for all).</w:t>
      </w:r>
      <w:r w:rsidR="00A05B7F" w:rsidRPr="00810C7D">
        <w:rPr>
          <w:rFonts w:ascii="Times New Roman" w:hAnsi="Times New Roman" w:cs="Times New Roman"/>
        </w:rPr>
        <w:t xml:space="preserve">  There was no association between walkability and change in purposeful steps/ day from baseline to 36months in the usual care or intervention arm; 25.77 (-99.04, 150.58) and 42.97 (-327.63, 413.45) respectively.</w:t>
      </w:r>
    </w:p>
    <w:p w14:paraId="68096D3A" w14:textId="77777777" w:rsidR="004344AD" w:rsidRPr="00810C7D" w:rsidRDefault="004344AD" w:rsidP="00880CFB">
      <w:pPr>
        <w:spacing w:after="0" w:line="360" w:lineRule="auto"/>
        <w:ind w:left="57" w:right="57"/>
        <w:rPr>
          <w:rFonts w:ascii="Times New Roman" w:hAnsi="Times New Roman" w:cs="Times New Roman"/>
          <w:i/>
        </w:rPr>
      </w:pPr>
      <w:r w:rsidRPr="00810C7D">
        <w:rPr>
          <w:rFonts w:ascii="Times New Roman" w:hAnsi="Times New Roman" w:cs="Times New Roman"/>
          <w:i/>
        </w:rPr>
        <w:t>Conclusion</w:t>
      </w:r>
    </w:p>
    <w:p w14:paraId="27B1D84D" w14:textId="4CB03A03" w:rsidR="00735565" w:rsidRPr="00810C7D" w:rsidRDefault="00C25A72" w:rsidP="00880CFB">
      <w:pPr>
        <w:spacing w:after="0" w:line="360" w:lineRule="auto"/>
        <w:ind w:left="57" w:right="57"/>
        <w:rPr>
          <w:rFonts w:ascii="Times New Roman" w:hAnsi="Times New Roman" w:cs="Times New Roman"/>
          <w:i/>
        </w:rPr>
      </w:pPr>
      <w:r w:rsidRPr="00810C7D">
        <w:rPr>
          <w:rFonts w:ascii="Times New Roman" w:hAnsi="Times New Roman" w:cs="Times New Roman"/>
        </w:rPr>
        <w:t>N</w:t>
      </w:r>
      <w:r w:rsidR="00000A10" w:rsidRPr="00810C7D">
        <w:rPr>
          <w:rFonts w:ascii="Times New Roman" w:hAnsi="Times New Roman" w:cs="Times New Roman"/>
        </w:rPr>
        <w:t>eighbourhood walk</w:t>
      </w:r>
      <w:r w:rsidRPr="00810C7D">
        <w:rPr>
          <w:rFonts w:ascii="Times New Roman" w:hAnsi="Times New Roman" w:cs="Times New Roman"/>
        </w:rPr>
        <w:t xml:space="preserve">ability appeared to have </w:t>
      </w:r>
      <w:r w:rsidR="00A869CA" w:rsidRPr="00810C7D">
        <w:rPr>
          <w:rFonts w:ascii="Times New Roman" w:hAnsi="Times New Roman" w:cs="Times New Roman"/>
        </w:rPr>
        <w:t>no association with objectively-</w:t>
      </w:r>
      <w:r w:rsidRPr="00810C7D">
        <w:rPr>
          <w:rFonts w:ascii="Times New Roman" w:hAnsi="Times New Roman" w:cs="Times New Roman"/>
        </w:rPr>
        <w:t xml:space="preserve">measured physical activity in this population.  Furthermore, the </w:t>
      </w:r>
      <w:r w:rsidR="003B7CAC" w:rsidRPr="00810C7D">
        <w:rPr>
          <w:rFonts w:ascii="Times New Roman" w:hAnsi="Times New Roman" w:cs="Times New Roman"/>
        </w:rPr>
        <w:t xml:space="preserve">walkability of participant’s neighbourhood did not influence the </w:t>
      </w:r>
      <w:r w:rsidR="00000A10" w:rsidRPr="00810C7D">
        <w:rPr>
          <w:rFonts w:ascii="Times New Roman" w:hAnsi="Times New Roman" w:cs="Times New Roman"/>
        </w:rPr>
        <w:t>effectiveness of a lifestyle programme</w:t>
      </w:r>
      <w:r w:rsidR="003B7CAC" w:rsidRPr="00810C7D">
        <w:rPr>
          <w:rFonts w:ascii="Times New Roman" w:hAnsi="Times New Roman" w:cs="Times New Roman"/>
        </w:rPr>
        <w:t>.</w:t>
      </w:r>
      <w:r w:rsidRPr="00810C7D">
        <w:rPr>
          <w:rFonts w:ascii="Times New Roman" w:hAnsi="Times New Roman" w:cs="Times New Roman"/>
        </w:rPr>
        <w:t xml:space="preserve"> </w:t>
      </w:r>
    </w:p>
    <w:p w14:paraId="776D196F" w14:textId="77777777" w:rsidR="00954322" w:rsidRPr="00810C7D" w:rsidRDefault="00954322" w:rsidP="00880CFB">
      <w:pPr>
        <w:spacing w:after="0" w:line="360" w:lineRule="auto"/>
        <w:ind w:left="57" w:right="57"/>
        <w:rPr>
          <w:rFonts w:ascii="Times New Roman" w:hAnsi="Times New Roman" w:cs="Times New Roman"/>
          <w:b/>
        </w:rPr>
      </w:pPr>
      <w:r w:rsidRPr="00810C7D">
        <w:rPr>
          <w:rFonts w:ascii="Times New Roman" w:hAnsi="Times New Roman" w:cs="Times New Roman"/>
          <w:b/>
        </w:rPr>
        <w:br w:type="page"/>
      </w:r>
    </w:p>
    <w:p w14:paraId="7C5268F3" w14:textId="1A3ED48E" w:rsidR="007C7ECD" w:rsidRPr="00810C7D" w:rsidRDefault="007C7ECD" w:rsidP="00880CFB">
      <w:pPr>
        <w:spacing w:after="0" w:line="360" w:lineRule="auto"/>
        <w:ind w:left="57" w:right="57"/>
        <w:rPr>
          <w:rFonts w:ascii="Times New Roman" w:hAnsi="Times New Roman" w:cs="Times New Roman"/>
          <w:b/>
        </w:rPr>
      </w:pPr>
      <w:r w:rsidRPr="00810C7D">
        <w:rPr>
          <w:rFonts w:ascii="Times New Roman" w:hAnsi="Times New Roman" w:cs="Times New Roman"/>
          <w:b/>
        </w:rPr>
        <w:lastRenderedPageBreak/>
        <w:t>Background</w:t>
      </w:r>
    </w:p>
    <w:p w14:paraId="0091242C" w14:textId="6D4523AA" w:rsidR="00AD27EA" w:rsidRPr="00810C7D" w:rsidRDefault="006B6FA9" w:rsidP="00880CFB">
      <w:pPr>
        <w:spacing w:after="0" w:line="360" w:lineRule="auto"/>
        <w:ind w:left="57" w:right="57"/>
        <w:rPr>
          <w:rFonts w:ascii="Times New Roman" w:hAnsi="Times New Roman" w:cs="Times New Roman"/>
        </w:rPr>
      </w:pPr>
      <w:r w:rsidRPr="00810C7D">
        <w:rPr>
          <w:rFonts w:ascii="Times New Roman" w:hAnsi="Times New Roman" w:cs="Times New Roman"/>
        </w:rPr>
        <w:t xml:space="preserve">The </w:t>
      </w:r>
      <w:r w:rsidR="004B1F54" w:rsidRPr="00810C7D">
        <w:rPr>
          <w:rFonts w:ascii="Times New Roman" w:hAnsi="Times New Roman" w:cs="Times New Roman"/>
        </w:rPr>
        <w:t xml:space="preserve">current estimated </w:t>
      </w:r>
      <w:r w:rsidRPr="00810C7D">
        <w:rPr>
          <w:rFonts w:ascii="Times New Roman" w:hAnsi="Times New Roman" w:cs="Times New Roman"/>
        </w:rPr>
        <w:t>prevalence of type 2 diabetes</w:t>
      </w:r>
      <w:r w:rsidR="00381ABF" w:rsidRPr="00810C7D">
        <w:rPr>
          <w:rFonts w:ascii="Times New Roman" w:hAnsi="Times New Roman" w:cs="Times New Roman"/>
        </w:rPr>
        <w:t xml:space="preserve"> mellitus</w:t>
      </w:r>
      <w:r w:rsidRPr="00810C7D">
        <w:rPr>
          <w:rFonts w:ascii="Times New Roman" w:hAnsi="Times New Roman" w:cs="Times New Roman"/>
        </w:rPr>
        <w:t xml:space="preserve"> </w:t>
      </w:r>
      <w:r w:rsidR="001F6F02" w:rsidRPr="00810C7D">
        <w:rPr>
          <w:rFonts w:ascii="Times New Roman" w:hAnsi="Times New Roman" w:cs="Times New Roman"/>
        </w:rPr>
        <w:t xml:space="preserve">(T2DM) </w:t>
      </w:r>
      <w:r w:rsidR="004B1F54" w:rsidRPr="00810C7D">
        <w:rPr>
          <w:rFonts w:ascii="Times New Roman" w:hAnsi="Times New Roman" w:cs="Times New Roman"/>
        </w:rPr>
        <w:t xml:space="preserve">for adults </w:t>
      </w:r>
      <w:r w:rsidR="00CB03DA" w:rsidRPr="00810C7D">
        <w:rPr>
          <w:rFonts w:ascii="Times New Roman" w:hAnsi="Times New Roman" w:cs="Times New Roman"/>
        </w:rPr>
        <w:t xml:space="preserve">aged </w:t>
      </w:r>
      <w:r w:rsidR="004B1F54" w:rsidRPr="00810C7D">
        <w:rPr>
          <w:rFonts w:ascii="Times New Roman" w:hAnsi="Times New Roman" w:cs="Times New Roman"/>
        </w:rPr>
        <w:t>between 20 and 70 years is</w:t>
      </w:r>
      <w:r w:rsidRPr="00810C7D">
        <w:rPr>
          <w:rFonts w:ascii="Times New Roman" w:hAnsi="Times New Roman" w:cs="Times New Roman"/>
        </w:rPr>
        <w:t xml:space="preserve"> </w:t>
      </w:r>
      <w:r w:rsidR="00CB03DA" w:rsidRPr="00810C7D">
        <w:rPr>
          <w:rFonts w:ascii="Times New Roman" w:hAnsi="Times New Roman" w:cs="Times New Roman"/>
        </w:rPr>
        <w:t>415</w:t>
      </w:r>
      <w:r w:rsidR="00CF0DB4" w:rsidRPr="00810C7D">
        <w:rPr>
          <w:rFonts w:ascii="Times New Roman" w:hAnsi="Times New Roman" w:cs="Times New Roman"/>
        </w:rPr>
        <w:t xml:space="preserve"> </w:t>
      </w:r>
      <w:r w:rsidR="00513C4E" w:rsidRPr="00810C7D">
        <w:rPr>
          <w:rFonts w:ascii="Times New Roman" w:hAnsi="Times New Roman" w:cs="Times New Roman"/>
        </w:rPr>
        <w:t xml:space="preserve">million globally </w:t>
      </w:r>
      <w:r w:rsidR="00CB03DA" w:rsidRPr="00810C7D">
        <w:rPr>
          <w:rFonts w:ascii="Times New Roman" w:hAnsi="Times New Roman" w:cs="Times New Roman"/>
        </w:rPr>
        <w:fldChar w:fldCharType="begin"/>
      </w:r>
      <w:r w:rsidR="00B41F77" w:rsidRPr="00810C7D">
        <w:rPr>
          <w:rFonts w:ascii="Times New Roman" w:hAnsi="Times New Roman" w:cs="Times New Roman"/>
        </w:rPr>
        <w:instrText>ADDIN RW.CITE{{10380 DiabetesUK 2015}}</w:instrText>
      </w:r>
      <w:r w:rsidR="00CB03DA" w:rsidRPr="00810C7D">
        <w:rPr>
          <w:rFonts w:ascii="Times New Roman" w:hAnsi="Times New Roman" w:cs="Times New Roman"/>
        </w:rPr>
        <w:fldChar w:fldCharType="separate"/>
      </w:r>
      <w:r w:rsidR="00B41F77" w:rsidRPr="00810C7D">
        <w:rPr>
          <w:rFonts w:ascii="Times New Roman" w:hAnsi="Times New Roman" w:cs="Times New Roman"/>
          <w:vertAlign w:val="superscript"/>
        </w:rPr>
        <w:t>1</w:t>
      </w:r>
      <w:r w:rsidR="00CB03DA" w:rsidRPr="00810C7D">
        <w:rPr>
          <w:rFonts w:ascii="Times New Roman" w:hAnsi="Times New Roman" w:cs="Times New Roman"/>
        </w:rPr>
        <w:fldChar w:fldCharType="end"/>
      </w:r>
      <w:r w:rsidR="00513C4E" w:rsidRPr="00810C7D">
        <w:rPr>
          <w:rFonts w:ascii="Times New Roman" w:hAnsi="Times New Roman" w:cs="Times New Roman"/>
        </w:rPr>
        <w:t>.</w:t>
      </w:r>
      <w:r w:rsidR="004B1F54" w:rsidRPr="00810C7D">
        <w:rPr>
          <w:rFonts w:ascii="Times New Roman" w:hAnsi="Times New Roman" w:cs="Times New Roman"/>
        </w:rPr>
        <w:t xml:space="preserve"> </w:t>
      </w:r>
      <w:r w:rsidR="00CB03DA" w:rsidRPr="00810C7D">
        <w:rPr>
          <w:rFonts w:ascii="Times New Roman" w:hAnsi="Times New Roman" w:cs="Times New Roman"/>
        </w:rPr>
        <w:t xml:space="preserve"> A</w:t>
      </w:r>
      <w:r w:rsidR="004B1F54" w:rsidRPr="00810C7D">
        <w:rPr>
          <w:rFonts w:ascii="Times New Roman" w:hAnsi="Times New Roman" w:cs="Times New Roman"/>
        </w:rPr>
        <w:t>pproximately 4</w:t>
      </w:r>
      <w:r w:rsidR="00CB03DA" w:rsidRPr="00810C7D">
        <w:rPr>
          <w:rFonts w:ascii="Times New Roman" w:hAnsi="Times New Roman" w:cs="Times New Roman"/>
        </w:rPr>
        <w:t xml:space="preserve"> million people live</w:t>
      </w:r>
      <w:r w:rsidRPr="00810C7D">
        <w:rPr>
          <w:rFonts w:ascii="Times New Roman" w:hAnsi="Times New Roman" w:cs="Times New Roman"/>
        </w:rPr>
        <w:t xml:space="preserve"> with</w:t>
      </w:r>
      <w:r w:rsidR="00AD27EA" w:rsidRPr="00810C7D">
        <w:rPr>
          <w:rFonts w:ascii="Times New Roman" w:hAnsi="Times New Roman" w:cs="Times New Roman"/>
        </w:rPr>
        <w:t xml:space="preserve"> </w:t>
      </w:r>
      <w:r w:rsidR="006404DE" w:rsidRPr="00810C7D">
        <w:rPr>
          <w:rFonts w:ascii="Times New Roman" w:hAnsi="Times New Roman" w:cs="Times New Roman"/>
        </w:rPr>
        <w:t xml:space="preserve">the </w:t>
      </w:r>
      <w:r w:rsidR="00AD27EA" w:rsidRPr="00810C7D">
        <w:rPr>
          <w:rFonts w:ascii="Times New Roman" w:hAnsi="Times New Roman" w:cs="Times New Roman"/>
        </w:rPr>
        <w:t>condition</w:t>
      </w:r>
      <w:r w:rsidR="004B1F54" w:rsidRPr="00810C7D">
        <w:rPr>
          <w:rFonts w:ascii="Times New Roman" w:hAnsi="Times New Roman" w:cs="Times New Roman"/>
        </w:rPr>
        <w:t xml:space="preserve"> in the UK alone</w:t>
      </w:r>
      <w:r w:rsidR="00CB03DA" w:rsidRPr="00810C7D">
        <w:rPr>
          <w:rFonts w:ascii="Times New Roman" w:hAnsi="Times New Roman" w:cs="Times New Roman"/>
        </w:rPr>
        <w:t>, and t</w:t>
      </w:r>
      <w:r w:rsidR="006D2ADB" w:rsidRPr="00810C7D">
        <w:rPr>
          <w:rFonts w:ascii="Times New Roman" w:hAnsi="Times New Roman" w:cs="Times New Roman"/>
        </w:rPr>
        <w:t xml:space="preserve">his figure is </w:t>
      </w:r>
      <w:r w:rsidR="00AD27EA" w:rsidRPr="00810C7D">
        <w:rPr>
          <w:rFonts w:ascii="Times New Roman" w:hAnsi="Times New Roman" w:cs="Times New Roman"/>
        </w:rPr>
        <w:t xml:space="preserve">predicted </w:t>
      </w:r>
      <w:r w:rsidR="006D2ADB" w:rsidRPr="00810C7D">
        <w:rPr>
          <w:rFonts w:ascii="Times New Roman" w:hAnsi="Times New Roman" w:cs="Times New Roman"/>
        </w:rPr>
        <w:t xml:space="preserve">to </w:t>
      </w:r>
      <w:r w:rsidRPr="00810C7D">
        <w:rPr>
          <w:rFonts w:ascii="Times New Roman" w:hAnsi="Times New Roman" w:cs="Times New Roman"/>
        </w:rPr>
        <w:t>reach 5.5 million by 2025</w:t>
      </w:r>
      <w:r w:rsidR="00513C4E" w:rsidRPr="00810C7D">
        <w:rPr>
          <w:rFonts w:ascii="Times New Roman" w:hAnsi="Times New Roman" w:cs="Times New Roman"/>
        </w:rPr>
        <w:t xml:space="preserve"> </w:t>
      </w:r>
      <w:r w:rsidR="006D2ADB" w:rsidRPr="00810C7D">
        <w:rPr>
          <w:rFonts w:ascii="Times New Roman" w:hAnsi="Times New Roman" w:cs="Times New Roman"/>
        </w:rPr>
        <w:fldChar w:fldCharType="begin"/>
      </w:r>
      <w:r w:rsidR="00B41F77" w:rsidRPr="00810C7D">
        <w:rPr>
          <w:rFonts w:ascii="Times New Roman" w:hAnsi="Times New Roman" w:cs="Times New Roman"/>
        </w:rPr>
        <w:instrText>ADDIN RW.CITE{{10380 DiabetesUK 2015}}</w:instrText>
      </w:r>
      <w:r w:rsidR="006D2ADB" w:rsidRPr="00810C7D">
        <w:rPr>
          <w:rFonts w:ascii="Times New Roman" w:hAnsi="Times New Roman" w:cs="Times New Roman"/>
        </w:rPr>
        <w:fldChar w:fldCharType="separate"/>
      </w:r>
      <w:r w:rsidR="00B41F77" w:rsidRPr="00810C7D">
        <w:rPr>
          <w:rFonts w:ascii="Times New Roman" w:hAnsi="Times New Roman" w:cs="Times New Roman"/>
          <w:vertAlign w:val="superscript"/>
        </w:rPr>
        <w:t>1</w:t>
      </w:r>
      <w:r w:rsidR="006D2ADB" w:rsidRPr="00810C7D">
        <w:rPr>
          <w:rFonts w:ascii="Times New Roman" w:hAnsi="Times New Roman" w:cs="Times New Roman"/>
        </w:rPr>
        <w:fldChar w:fldCharType="end"/>
      </w:r>
      <w:r w:rsidR="00513C4E" w:rsidRPr="00810C7D">
        <w:rPr>
          <w:rFonts w:ascii="Times New Roman" w:hAnsi="Times New Roman" w:cs="Times New Roman"/>
        </w:rPr>
        <w:t>.</w:t>
      </w:r>
      <w:r w:rsidRPr="00810C7D">
        <w:rPr>
          <w:rFonts w:ascii="Times New Roman" w:hAnsi="Times New Roman" w:cs="Times New Roman"/>
        </w:rPr>
        <w:t xml:space="preserve"> </w:t>
      </w:r>
      <w:r w:rsidR="00F1582A" w:rsidRPr="00810C7D">
        <w:rPr>
          <w:rFonts w:ascii="Times New Roman" w:hAnsi="Times New Roman" w:cs="Times New Roman"/>
        </w:rPr>
        <w:t xml:space="preserve"> </w:t>
      </w:r>
      <w:r w:rsidRPr="00810C7D">
        <w:rPr>
          <w:rFonts w:ascii="Times New Roman" w:hAnsi="Times New Roman" w:cs="Times New Roman"/>
        </w:rPr>
        <w:t xml:space="preserve">Importantly, </w:t>
      </w:r>
      <w:r w:rsidR="00381ABF" w:rsidRPr="00810C7D">
        <w:rPr>
          <w:rFonts w:ascii="Times New Roman" w:hAnsi="Times New Roman" w:cs="Times New Roman"/>
        </w:rPr>
        <w:t xml:space="preserve">evidence </w:t>
      </w:r>
      <w:r w:rsidRPr="00810C7D">
        <w:rPr>
          <w:rFonts w:ascii="Times New Roman" w:hAnsi="Times New Roman" w:cs="Times New Roman"/>
        </w:rPr>
        <w:t xml:space="preserve">reviews demonstrate that </w:t>
      </w:r>
      <w:r w:rsidR="00381ABF" w:rsidRPr="00810C7D">
        <w:rPr>
          <w:rFonts w:ascii="Times New Roman" w:hAnsi="Times New Roman" w:cs="Times New Roman"/>
        </w:rPr>
        <w:t xml:space="preserve">lifestyle education </w:t>
      </w:r>
      <w:r w:rsidRPr="00810C7D">
        <w:rPr>
          <w:rFonts w:ascii="Times New Roman" w:hAnsi="Times New Roman" w:cs="Times New Roman"/>
        </w:rPr>
        <w:t>programmes</w:t>
      </w:r>
      <w:r w:rsidR="004857A2" w:rsidRPr="00810C7D">
        <w:rPr>
          <w:rFonts w:ascii="Times New Roman" w:hAnsi="Times New Roman" w:cs="Times New Roman"/>
        </w:rPr>
        <w:t>,</w:t>
      </w:r>
      <w:r w:rsidR="00AD27EA" w:rsidRPr="00810C7D">
        <w:rPr>
          <w:rFonts w:ascii="Times New Roman" w:hAnsi="Times New Roman" w:cs="Times New Roman"/>
        </w:rPr>
        <w:t xml:space="preserve"> based on improving diet quality and increasing physical activity</w:t>
      </w:r>
      <w:r w:rsidRPr="00810C7D">
        <w:rPr>
          <w:rFonts w:ascii="Times New Roman" w:hAnsi="Times New Roman" w:cs="Times New Roman"/>
        </w:rPr>
        <w:t xml:space="preserve"> can significantly </w:t>
      </w:r>
      <w:r w:rsidR="00381ABF" w:rsidRPr="00810C7D">
        <w:rPr>
          <w:rFonts w:ascii="Times New Roman" w:hAnsi="Times New Roman" w:cs="Times New Roman"/>
        </w:rPr>
        <w:t xml:space="preserve">delay or prevent the onset of </w:t>
      </w:r>
      <w:r w:rsidRPr="00810C7D">
        <w:rPr>
          <w:rFonts w:ascii="Times New Roman" w:hAnsi="Times New Roman" w:cs="Times New Roman"/>
        </w:rPr>
        <w:t xml:space="preserve">T2DM, and lead to a reduction in body </w:t>
      </w:r>
      <w:r w:rsidR="00513C4E" w:rsidRPr="00810C7D">
        <w:rPr>
          <w:rFonts w:ascii="Times New Roman" w:hAnsi="Times New Roman" w:cs="Times New Roman"/>
        </w:rPr>
        <w:t xml:space="preserve">weight and blood glucose levels </w:t>
      </w:r>
      <w:r w:rsidR="00AD27EA" w:rsidRPr="00810C7D">
        <w:rPr>
          <w:rFonts w:ascii="Times New Roman" w:hAnsi="Times New Roman" w:cs="Times New Roman"/>
        </w:rPr>
        <w:fldChar w:fldCharType="begin"/>
      </w:r>
      <w:r w:rsidR="00B41F77" w:rsidRPr="00810C7D">
        <w:rPr>
          <w:rFonts w:ascii="Times New Roman" w:hAnsi="Times New Roman" w:cs="Times New Roman"/>
        </w:rPr>
        <w:instrText>ADDIN RW.CITE{{9972 Ashra,N.B. 2015; 3968 Gillies,C.L. 2007}}</w:instrText>
      </w:r>
      <w:r w:rsidR="00AD27EA" w:rsidRPr="00810C7D">
        <w:rPr>
          <w:rFonts w:ascii="Times New Roman" w:hAnsi="Times New Roman" w:cs="Times New Roman"/>
        </w:rPr>
        <w:fldChar w:fldCharType="separate"/>
      </w:r>
      <w:r w:rsidR="00B41F77" w:rsidRPr="00810C7D">
        <w:rPr>
          <w:rFonts w:ascii="Times New Roman" w:eastAsia="Times New Roman" w:hAnsi="Times New Roman" w:cs="Times New Roman"/>
          <w:vertAlign w:val="superscript"/>
        </w:rPr>
        <w:t>2,3</w:t>
      </w:r>
      <w:r w:rsidR="00AD27EA" w:rsidRPr="00810C7D">
        <w:rPr>
          <w:rFonts w:ascii="Times New Roman" w:hAnsi="Times New Roman" w:cs="Times New Roman"/>
        </w:rPr>
        <w:fldChar w:fldCharType="end"/>
      </w:r>
      <w:r w:rsidR="00513C4E" w:rsidRPr="00810C7D">
        <w:rPr>
          <w:rFonts w:ascii="Times New Roman" w:hAnsi="Times New Roman" w:cs="Times New Roman"/>
        </w:rPr>
        <w:t>.</w:t>
      </w:r>
      <w:r w:rsidRPr="00810C7D">
        <w:rPr>
          <w:rFonts w:ascii="Times New Roman" w:hAnsi="Times New Roman" w:cs="Times New Roman"/>
        </w:rPr>
        <w:t xml:space="preserve">  In</w:t>
      </w:r>
      <w:r w:rsidR="00CC4D3F" w:rsidRPr="00810C7D">
        <w:rPr>
          <w:rFonts w:ascii="Times New Roman" w:hAnsi="Times New Roman" w:cs="Times New Roman"/>
        </w:rPr>
        <w:t xml:space="preserve">corporating physical </w:t>
      </w:r>
      <w:r w:rsidRPr="00810C7D">
        <w:rPr>
          <w:rFonts w:ascii="Times New Roman" w:hAnsi="Times New Roman" w:cs="Times New Roman"/>
        </w:rPr>
        <w:t xml:space="preserve">activity </w:t>
      </w:r>
      <w:r w:rsidR="006404DE" w:rsidRPr="00810C7D">
        <w:rPr>
          <w:rFonts w:ascii="Times New Roman" w:hAnsi="Times New Roman" w:cs="Times New Roman"/>
        </w:rPr>
        <w:t xml:space="preserve">into daily activities </w:t>
      </w:r>
      <w:r w:rsidR="00CC4D3F" w:rsidRPr="00810C7D">
        <w:rPr>
          <w:rFonts w:ascii="Times New Roman" w:hAnsi="Times New Roman" w:cs="Times New Roman"/>
        </w:rPr>
        <w:t xml:space="preserve">is key for the </w:t>
      </w:r>
      <w:r w:rsidRPr="00810C7D">
        <w:rPr>
          <w:rFonts w:ascii="Times New Roman" w:hAnsi="Times New Roman" w:cs="Times New Roman"/>
        </w:rPr>
        <w:t>effec</w:t>
      </w:r>
      <w:r w:rsidR="00AD27EA" w:rsidRPr="00810C7D">
        <w:rPr>
          <w:rFonts w:ascii="Times New Roman" w:hAnsi="Times New Roman" w:cs="Times New Roman"/>
        </w:rPr>
        <w:t>tiveness of these interventions, and</w:t>
      </w:r>
      <w:r w:rsidRPr="00810C7D">
        <w:rPr>
          <w:rFonts w:ascii="Times New Roman" w:hAnsi="Times New Roman" w:cs="Times New Roman"/>
        </w:rPr>
        <w:t xml:space="preserve"> evidence consistently demonstrates an inverse association between physical activity</w:t>
      </w:r>
      <w:r w:rsidR="00381ABF" w:rsidRPr="00810C7D">
        <w:rPr>
          <w:rFonts w:ascii="Times New Roman" w:hAnsi="Times New Roman" w:cs="Times New Roman"/>
        </w:rPr>
        <w:t xml:space="preserve"> and T2DM</w:t>
      </w:r>
      <w:r w:rsidR="00B41F77" w:rsidRPr="00810C7D">
        <w:rPr>
          <w:rFonts w:ascii="Times New Roman" w:hAnsi="Times New Roman" w:cs="Times New Roman"/>
        </w:rPr>
        <w:t xml:space="preserve"> </w:t>
      </w:r>
      <w:r w:rsidR="00B41F77" w:rsidRPr="00810C7D">
        <w:rPr>
          <w:rFonts w:ascii="Times New Roman" w:hAnsi="Times New Roman" w:cs="Times New Roman"/>
        </w:rPr>
        <w:fldChar w:fldCharType="begin"/>
      </w:r>
      <w:r w:rsidR="00B41F77" w:rsidRPr="00810C7D">
        <w:rPr>
          <w:rFonts w:ascii="Times New Roman" w:hAnsi="Times New Roman" w:cs="Times New Roman"/>
        </w:rPr>
        <w:instrText>ADDIN RW.CITE{{10317 CASPERSEN,CARLJ. 2008}}</w:instrText>
      </w:r>
      <w:r w:rsidR="00B41F77" w:rsidRPr="00810C7D">
        <w:rPr>
          <w:rFonts w:ascii="Times New Roman" w:hAnsi="Times New Roman" w:cs="Times New Roman"/>
        </w:rPr>
        <w:fldChar w:fldCharType="separate"/>
      </w:r>
      <w:r w:rsidR="00B41F77" w:rsidRPr="00810C7D">
        <w:rPr>
          <w:rFonts w:ascii="Times New Roman" w:hAnsi="Times New Roman" w:cs="Times New Roman"/>
          <w:vertAlign w:val="superscript"/>
        </w:rPr>
        <w:t>4</w:t>
      </w:r>
      <w:r w:rsidR="00B41F77" w:rsidRPr="00810C7D">
        <w:rPr>
          <w:rFonts w:ascii="Times New Roman" w:hAnsi="Times New Roman" w:cs="Times New Roman"/>
        </w:rPr>
        <w:fldChar w:fldCharType="end"/>
      </w:r>
      <w:r w:rsidR="00B41F77" w:rsidRPr="00810C7D">
        <w:rPr>
          <w:rFonts w:ascii="Times New Roman" w:hAnsi="Times New Roman" w:cs="Times New Roman"/>
        </w:rPr>
        <w:t>.</w:t>
      </w:r>
    </w:p>
    <w:p w14:paraId="5B25630E" w14:textId="77777777" w:rsidR="00AD27EA" w:rsidRPr="00810C7D" w:rsidRDefault="00AD27EA" w:rsidP="00880CFB">
      <w:pPr>
        <w:spacing w:after="0" w:line="360" w:lineRule="auto"/>
        <w:ind w:left="57" w:right="57"/>
        <w:rPr>
          <w:rFonts w:ascii="Times New Roman" w:hAnsi="Times New Roman" w:cs="Times New Roman"/>
        </w:rPr>
      </w:pPr>
    </w:p>
    <w:p w14:paraId="6DAF46D2" w14:textId="577281D3" w:rsidR="00CB03DA" w:rsidRPr="00810C7D" w:rsidRDefault="00AD27EA" w:rsidP="00880CFB">
      <w:pPr>
        <w:spacing w:after="0" w:line="360" w:lineRule="auto"/>
        <w:ind w:left="57" w:right="57"/>
        <w:rPr>
          <w:rFonts w:ascii="Times New Roman" w:hAnsi="Times New Roman" w:cs="Times New Roman"/>
        </w:rPr>
      </w:pPr>
      <w:r w:rsidRPr="00810C7D">
        <w:rPr>
          <w:rFonts w:ascii="Times New Roman" w:hAnsi="Times New Roman" w:cs="Times New Roman"/>
        </w:rPr>
        <w:t>T</w:t>
      </w:r>
      <w:r w:rsidR="00F63AA4" w:rsidRPr="00810C7D">
        <w:rPr>
          <w:rFonts w:ascii="Times New Roman" w:hAnsi="Times New Roman" w:cs="Times New Roman"/>
        </w:rPr>
        <w:t>he Prediabetes Risk Education and Physical Activity Recommendation and Encouragement (PREPARE</w:t>
      </w:r>
      <w:r w:rsidR="00B00483" w:rsidRPr="00810C7D">
        <w:rPr>
          <w:rFonts w:ascii="Times New Roman" w:hAnsi="Times New Roman" w:cs="Times New Roman"/>
        </w:rPr>
        <w:t>) study demonstrated that group-</w:t>
      </w:r>
      <w:r w:rsidR="00F63AA4" w:rsidRPr="00810C7D">
        <w:rPr>
          <w:rFonts w:ascii="Times New Roman" w:hAnsi="Times New Roman" w:cs="Times New Roman"/>
        </w:rPr>
        <w:t>based structured education can increase step count and improve blo</w:t>
      </w:r>
      <w:r w:rsidR="003B2CE0" w:rsidRPr="00810C7D">
        <w:rPr>
          <w:rFonts w:ascii="Times New Roman" w:hAnsi="Times New Roman" w:cs="Times New Roman"/>
        </w:rPr>
        <w:t>od glucose in individuals with i</w:t>
      </w:r>
      <w:r w:rsidR="00513C4E" w:rsidRPr="00810C7D">
        <w:rPr>
          <w:rFonts w:ascii="Times New Roman" w:hAnsi="Times New Roman" w:cs="Times New Roman"/>
        </w:rPr>
        <w:t xml:space="preserve">mpaired glucose tolerance </w:t>
      </w:r>
      <w:r w:rsidR="00F63AA4" w:rsidRPr="00810C7D">
        <w:rPr>
          <w:rFonts w:ascii="Times New Roman" w:hAnsi="Times New Roman" w:cs="Times New Roman"/>
        </w:rPr>
        <w:fldChar w:fldCharType="begin"/>
      </w:r>
      <w:r w:rsidR="00B41F77" w:rsidRPr="00810C7D">
        <w:rPr>
          <w:rFonts w:ascii="Times New Roman" w:hAnsi="Times New Roman" w:cs="Times New Roman"/>
        </w:rPr>
        <w:instrText>ADDIN RW.CITE{{7305 Yates,T. 2008}}</w:instrText>
      </w:r>
      <w:r w:rsidR="00F63AA4" w:rsidRPr="00810C7D">
        <w:rPr>
          <w:rFonts w:ascii="Times New Roman" w:hAnsi="Times New Roman" w:cs="Times New Roman"/>
        </w:rPr>
        <w:fldChar w:fldCharType="separate"/>
      </w:r>
      <w:r w:rsidR="00B41F77" w:rsidRPr="00810C7D">
        <w:rPr>
          <w:rFonts w:ascii="Times New Roman" w:eastAsia="Times New Roman" w:hAnsi="Times New Roman" w:cs="Times New Roman"/>
          <w:vertAlign w:val="superscript"/>
        </w:rPr>
        <w:t>5</w:t>
      </w:r>
      <w:r w:rsidR="00F63AA4" w:rsidRPr="00810C7D">
        <w:rPr>
          <w:rFonts w:ascii="Times New Roman" w:hAnsi="Times New Roman" w:cs="Times New Roman"/>
        </w:rPr>
        <w:fldChar w:fldCharType="end"/>
      </w:r>
      <w:r w:rsidR="00513C4E" w:rsidRPr="00810C7D">
        <w:rPr>
          <w:rFonts w:ascii="Times New Roman" w:hAnsi="Times New Roman" w:cs="Times New Roman"/>
        </w:rPr>
        <w:t>.</w:t>
      </w:r>
      <w:r w:rsidR="00F63AA4" w:rsidRPr="00810C7D">
        <w:rPr>
          <w:rFonts w:ascii="Times New Roman" w:hAnsi="Times New Roman" w:cs="Times New Roman"/>
        </w:rPr>
        <w:t xml:space="preserve">  The intervention used in the PREPARE trial was subsequently developed into the Walking Away from Type 2 Diabetes </w:t>
      </w:r>
      <w:r w:rsidR="004708FB" w:rsidRPr="00810C7D">
        <w:rPr>
          <w:rFonts w:ascii="Times New Roman" w:hAnsi="Times New Roman" w:cs="Times New Roman"/>
        </w:rPr>
        <w:t xml:space="preserve">(Walking Away) </w:t>
      </w:r>
      <w:r w:rsidR="00513C4E" w:rsidRPr="00810C7D">
        <w:rPr>
          <w:rFonts w:ascii="Times New Roman" w:hAnsi="Times New Roman" w:cs="Times New Roman"/>
        </w:rPr>
        <w:t xml:space="preserve">programme </w:t>
      </w:r>
      <w:r w:rsidR="00F63AA4" w:rsidRPr="00810C7D">
        <w:rPr>
          <w:rFonts w:ascii="Times New Roman" w:hAnsi="Times New Roman" w:cs="Times New Roman"/>
        </w:rPr>
        <w:fldChar w:fldCharType="begin"/>
      </w:r>
      <w:r w:rsidR="00B41F77" w:rsidRPr="00810C7D">
        <w:rPr>
          <w:rFonts w:ascii="Times New Roman" w:hAnsi="Times New Roman" w:cs="Times New Roman"/>
        </w:rPr>
        <w:instrText>ADDIN RW.CITE{{9049 Yates,T. 2012}}</w:instrText>
      </w:r>
      <w:r w:rsidR="00F63AA4" w:rsidRPr="00810C7D">
        <w:rPr>
          <w:rFonts w:ascii="Times New Roman" w:hAnsi="Times New Roman" w:cs="Times New Roman"/>
        </w:rPr>
        <w:fldChar w:fldCharType="separate"/>
      </w:r>
      <w:r w:rsidR="00B41F77" w:rsidRPr="00810C7D">
        <w:rPr>
          <w:rFonts w:ascii="Times New Roman" w:eastAsia="Times New Roman" w:hAnsi="Times New Roman" w:cs="Times New Roman"/>
          <w:vertAlign w:val="superscript"/>
        </w:rPr>
        <w:t>6</w:t>
      </w:r>
      <w:r w:rsidR="00F63AA4" w:rsidRPr="00810C7D">
        <w:rPr>
          <w:rFonts w:ascii="Times New Roman" w:hAnsi="Times New Roman" w:cs="Times New Roman"/>
        </w:rPr>
        <w:fldChar w:fldCharType="end"/>
      </w:r>
      <w:r w:rsidR="00513C4E" w:rsidRPr="00810C7D">
        <w:rPr>
          <w:rFonts w:ascii="Times New Roman" w:hAnsi="Times New Roman" w:cs="Times New Roman"/>
        </w:rPr>
        <w:t>.</w:t>
      </w:r>
      <w:r w:rsidR="00F63AA4" w:rsidRPr="00810C7D">
        <w:rPr>
          <w:rFonts w:ascii="Times New Roman" w:hAnsi="Times New Roman" w:cs="Times New Roman"/>
        </w:rPr>
        <w:t xml:space="preserve">  This </w:t>
      </w:r>
      <w:r w:rsidR="003B2CE0" w:rsidRPr="00810C7D">
        <w:rPr>
          <w:rFonts w:ascii="Times New Roman" w:hAnsi="Times New Roman" w:cs="Times New Roman"/>
        </w:rPr>
        <w:t xml:space="preserve">was tested in a </w:t>
      </w:r>
      <w:r w:rsidR="00F63AA4" w:rsidRPr="00810C7D">
        <w:rPr>
          <w:rFonts w:ascii="Times New Roman" w:hAnsi="Times New Roman" w:cs="Times New Roman"/>
        </w:rPr>
        <w:t xml:space="preserve">cluster randomised trial </w:t>
      </w:r>
      <w:r w:rsidR="003B2CE0" w:rsidRPr="00810C7D">
        <w:rPr>
          <w:rFonts w:ascii="Times New Roman" w:hAnsi="Times New Roman" w:cs="Times New Roman"/>
        </w:rPr>
        <w:t xml:space="preserve">that </w:t>
      </w:r>
      <w:r w:rsidR="00F63AA4" w:rsidRPr="00810C7D">
        <w:rPr>
          <w:rFonts w:ascii="Times New Roman" w:hAnsi="Times New Roman" w:cs="Times New Roman"/>
        </w:rPr>
        <w:t xml:space="preserve">aimed to determine whether results from the PREPARE trial could be replicated within primary care practices in those identified at </w:t>
      </w:r>
      <w:r w:rsidR="00B00483" w:rsidRPr="00810C7D">
        <w:rPr>
          <w:rFonts w:ascii="Times New Roman" w:hAnsi="Times New Roman" w:cs="Times New Roman"/>
        </w:rPr>
        <w:t xml:space="preserve">high </w:t>
      </w:r>
      <w:r w:rsidR="00F63AA4" w:rsidRPr="00810C7D">
        <w:rPr>
          <w:rFonts w:ascii="Times New Roman" w:hAnsi="Times New Roman" w:cs="Times New Roman"/>
        </w:rPr>
        <w:t>risk of T2DM, and if results are mai</w:t>
      </w:r>
      <w:r w:rsidR="00513C4E" w:rsidRPr="00810C7D">
        <w:rPr>
          <w:rFonts w:ascii="Times New Roman" w:hAnsi="Times New Roman" w:cs="Times New Roman"/>
        </w:rPr>
        <w:t>ntained at 12, 24 and 36 months</w:t>
      </w:r>
      <w:r w:rsidR="00B41F77" w:rsidRPr="00810C7D">
        <w:rPr>
          <w:rFonts w:ascii="Times New Roman" w:hAnsi="Times New Roman" w:cs="Times New Roman"/>
        </w:rPr>
        <w:fldChar w:fldCharType="begin"/>
      </w:r>
      <w:r w:rsidR="00B41F77" w:rsidRPr="00810C7D">
        <w:rPr>
          <w:rFonts w:ascii="Times New Roman" w:hAnsi="Times New Roman" w:cs="Times New Roman"/>
        </w:rPr>
        <w:instrText>ADDIN RW.CITE{{10425 Yates,T. 2016}}</w:instrText>
      </w:r>
      <w:r w:rsidR="00B41F77" w:rsidRPr="00810C7D">
        <w:rPr>
          <w:rFonts w:ascii="Times New Roman" w:hAnsi="Times New Roman" w:cs="Times New Roman"/>
        </w:rPr>
        <w:fldChar w:fldCharType="separate"/>
      </w:r>
      <w:r w:rsidR="00B41F77" w:rsidRPr="00810C7D">
        <w:rPr>
          <w:rFonts w:ascii="Times New Roman" w:hAnsi="Times New Roman" w:cs="Times New Roman"/>
          <w:vertAlign w:val="superscript"/>
        </w:rPr>
        <w:t>7</w:t>
      </w:r>
      <w:r w:rsidR="00B41F77" w:rsidRPr="00810C7D">
        <w:rPr>
          <w:rFonts w:ascii="Times New Roman" w:hAnsi="Times New Roman" w:cs="Times New Roman"/>
        </w:rPr>
        <w:fldChar w:fldCharType="end"/>
      </w:r>
      <w:r w:rsidR="00513C4E" w:rsidRPr="00810C7D">
        <w:rPr>
          <w:rFonts w:ascii="Times New Roman" w:hAnsi="Times New Roman" w:cs="Times New Roman"/>
        </w:rPr>
        <w:t>.</w:t>
      </w:r>
      <w:r w:rsidR="00F63AA4" w:rsidRPr="00810C7D">
        <w:rPr>
          <w:rFonts w:ascii="Times New Roman" w:hAnsi="Times New Roman" w:cs="Times New Roman"/>
        </w:rPr>
        <w:t xml:space="preserve">  Results showed that </w:t>
      </w:r>
      <w:r w:rsidR="003B2CE0" w:rsidRPr="00810C7D">
        <w:rPr>
          <w:rFonts w:ascii="Times New Roman" w:hAnsi="Times New Roman" w:cs="Times New Roman"/>
        </w:rPr>
        <w:t xml:space="preserve">Walking Away, </w:t>
      </w:r>
      <w:r w:rsidR="00F63AA4" w:rsidRPr="00810C7D">
        <w:rPr>
          <w:rFonts w:ascii="Times New Roman" w:hAnsi="Times New Roman" w:cs="Times New Roman"/>
        </w:rPr>
        <w:t>a pragmatic low-resource group</w:t>
      </w:r>
      <w:r w:rsidR="00CF0DB4" w:rsidRPr="00810C7D">
        <w:rPr>
          <w:rFonts w:ascii="Times New Roman" w:hAnsi="Times New Roman" w:cs="Times New Roman"/>
        </w:rPr>
        <w:t>-</w:t>
      </w:r>
      <w:r w:rsidR="00F63AA4" w:rsidRPr="00810C7D">
        <w:rPr>
          <w:rFonts w:ascii="Times New Roman" w:hAnsi="Times New Roman" w:cs="Times New Roman"/>
        </w:rPr>
        <w:t>based education programme</w:t>
      </w:r>
      <w:r w:rsidR="003B2CE0" w:rsidRPr="00810C7D">
        <w:rPr>
          <w:rFonts w:ascii="Times New Roman" w:hAnsi="Times New Roman" w:cs="Times New Roman"/>
        </w:rPr>
        <w:t>,</w:t>
      </w:r>
      <w:r w:rsidR="00F63AA4" w:rsidRPr="00810C7D">
        <w:rPr>
          <w:rFonts w:ascii="Times New Roman" w:hAnsi="Times New Roman" w:cs="Times New Roman"/>
        </w:rPr>
        <w:t xml:space="preserve"> resulted in </w:t>
      </w:r>
      <w:r w:rsidR="003B2CE0" w:rsidRPr="00810C7D">
        <w:rPr>
          <w:rFonts w:ascii="Times New Roman" w:hAnsi="Times New Roman" w:cs="Times New Roman"/>
        </w:rPr>
        <w:t xml:space="preserve">a </w:t>
      </w:r>
      <w:r w:rsidR="00F63AA4" w:rsidRPr="00810C7D">
        <w:rPr>
          <w:rFonts w:ascii="Times New Roman" w:hAnsi="Times New Roman" w:cs="Times New Roman"/>
        </w:rPr>
        <w:t>modest increase in</w:t>
      </w:r>
      <w:r w:rsidR="003B2CE0" w:rsidRPr="00810C7D">
        <w:rPr>
          <w:rFonts w:ascii="Times New Roman" w:hAnsi="Times New Roman" w:cs="Times New Roman"/>
        </w:rPr>
        <w:t xml:space="preserve"> ambulatory activity compared with usual care</w:t>
      </w:r>
      <w:r w:rsidR="00B00483" w:rsidRPr="00810C7D">
        <w:rPr>
          <w:rFonts w:ascii="Times New Roman" w:hAnsi="Times New Roman" w:cs="Times New Roman"/>
        </w:rPr>
        <w:t xml:space="preserve"> at 12 months.</w:t>
      </w:r>
      <w:r w:rsidRPr="00810C7D">
        <w:rPr>
          <w:rFonts w:ascii="Times New Roman" w:hAnsi="Times New Roman" w:cs="Times New Roman"/>
        </w:rPr>
        <w:t xml:space="preserve"> These effects were not </w:t>
      </w:r>
      <w:r w:rsidR="00F63AA4" w:rsidRPr="00810C7D">
        <w:rPr>
          <w:rFonts w:ascii="Times New Roman" w:hAnsi="Times New Roman" w:cs="Times New Roman"/>
        </w:rPr>
        <w:t>however maintained at 36 months.</w:t>
      </w:r>
      <w:r w:rsidR="004708FB" w:rsidRPr="00810C7D">
        <w:rPr>
          <w:rFonts w:ascii="Times New Roman" w:hAnsi="Times New Roman" w:cs="Times New Roman"/>
        </w:rPr>
        <w:t xml:space="preserve"> This </w:t>
      </w:r>
      <w:r w:rsidR="00CB03DA" w:rsidRPr="00810C7D">
        <w:rPr>
          <w:rFonts w:ascii="Times New Roman" w:hAnsi="Times New Roman" w:cs="Times New Roman"/>
        </w:rPr>
        <w:t>demonstrate</w:t>
      </w:r>
      <w:r w:rsidR="004708FB" w:rsidRPr="00810C7D">
        <w:rPr>
          <w:rFonts w:ascii="Times New Roman" w:hAnsi="Times New Roman" w:cs="Times New Roman"/>
        </w:rPr>
        <w:t>s</w:t>
      </w:r>
      <w:r w:rsidR="00CC4D3F" w:rsidRPr="00810C7D">
        <w:rPr>
          <w:rFonts w:ascii="Times New Roman" w:hAnsi="Times New Roman" w:cs="Times New Roman"/>
        </w:rPr>
        <w:t xml:space="preserve"> the difficulty of trans</w:t>
      </w:r>
      <w:r w:rsidR="004F6DB5" w:rsidRPr="00810C7D">
        <w:rPr>
          <w:rFonts w:ascii="Times New Roman" w:hAnsi="Times New Roman" w:cs="Times New Roman"/>
        </w:rPr>
        <w:t>lating research into practice</w:t>
      </w:r>
      <w:r w:rsidR="00CF0DB4" w:rsidRPr="00810C7D">
        <w:rPr>
          <w:rFonts w:ascii="Times New Roman" w:hAnsi="Times New Roman" w:cs="Times New Roman"/>
        </w:rPr>
        <w:t>,</w:t>
      </w:r>
      <w:r w:rsidR="00B00483" w:rsidRPr="00810C7D">
        <w:rPr>
          <w:rFonts w:ascii="Times New Roman" w:hAnsi="Times New Roman" w:cs="Times New Roman"/>
        </w:rPr>
        <w:t xml:space="preserve"> </w:t>
      </w:r>
      <w:r w:rsidR="004F6DB5" w:rsidRPr="00810C7D">
        <w:rPr>
          <w:rFonts w:ascii="Times New Roman" w:hAnsi="Times New Roman" w:cs="Times New Roman"/>
        </w:rPr>
        <w:t xml:space="preserve">and </w:t>
      </w:r>
      <w:r w:rsidR="00CC4D3F" w:rsidRPr="00810C7D">
        <w:rPr>
          <w:rFonts w:ascii="Times New Roman" w:hAnsi="Times New Roman" w:cs="Times New Roman"/>
        </w:rPr>
        <w:t xml:space="preserve">understanding what influences physical activity behaviours is essential for the improvement of </w:t>
      </w:r>
      <w:r w:rsidR="004F6DB5" w:rsidRPr="00810C7D">
        <w:rPr>
          <w:rFonts w:ascii="Times New Roman" w:hAnsi="Times New Roman" w:cs="Times New Roman"/>
        </w:rPr>
        <w:t xml:space="preserve">these </w:t>
      </w:r>
      <w:r w:rsidR="00CC4D3F" w:rsidRPr="00810C7D">
        <w:rPr>
          <w:rFonts w:ascii="Times New Roman" w:hAnsi="Times New Roman" w:cs="Times New Roman"/>
        </w:rPr>
        <w:t>public health inter</w:t>
      </w:r>
      <w:r w:rsidR="001F6F02" w:rsidRPr="00810C7D">
        <w:rPr>
          <w:rFonts w:ascii="Times New Roman" w:hAnsi="Times New Roman" w:cs="Times New Roman"/>
        </w:rPr>
        <w:t>ventions</w:t>
      </w:r>
      <w:r w:rsidR="00513C4E" w:rsidRPr="00810C7D">
        <w:rPr>
          <w:rFonts w:ascii="Times New Roman" w:hAnsi="Times New Roman" w:cs="Times New Roman"/>
        </w:rPr>
        <w:t xml:space="preserve"> </w:t>
      </w:r>
      <w:r w:rsidR="00CC4D3F" w:rsidRPr="00810C7D">
        <w:rPr>
          <w:rFonts w:ascii="Times New Roman" w:hAnsi="Times New Roman" w:cs="Times New Roman"/>
        </w:rPr>
        <w:fldChar w:fldCharType="begin"/>
      </w:r>
      <w:r w:rsidR="00B41F77" w:rsidRPr="00810C7D">
        <w:rPr>
          <w:rFonts w:ascii="Times New Roman" w:hAnsi="Times New Roman" w:cs="Times New Roman"/>
        </w:rPr>
        <w:instrText>ADDIN RW.CITE{{9969 Bauman,Adrian E. 2012}}</w:instrText>
      </w:r>
      <w:r w:rsidR="00CC4D3F" w:rsidRPr="00810C7D">
        <w:rPr>
          <w:rFonts w:ascii="Times New Roman" w:hAnsi="Times New Roman" w:cs="Times New Roman"/>
        </w:rPr>
        <w:fldChar w:fldCharType="separate"/>
      </w:r>
      <w:r w:rsidR="00B41F77" w:rsidRPr="00810C7D">
        <w:rPr>
          <w:rFonts w:ascii="Times New Roman" w:eastAsia="Times New Roman" w:hAnsi="Times New Roman" w:cs="Times New Roman"/>
          <w:vertAlign w:val="superscript"/>
        </w:rPr>
        <w:t>8</w:t>
      </w:r>
      <w:r w:rsidR="00CC4D3F" w:rsidRPr="00810C7D">
        <w:rPr>
          <w:rFonts w:ascii="Times New Roman" w:hAnsi="Times New Roman" w:cs="Times New Roman"/>
        </w:rPr>
        <w:fldChar w:fldCharType="end"/>
      </w:r>
      <w:r w:rsidR="00513C4E" w:rsidRPr="00810C7D">
        <w:rPr>
          <w:rFonts w:ascii="Times New Roman" w:hAnsi="Times New Roman" w:cs="Times New Roman"/>
        </w:rPr>
        <w:t>.</w:t>
      </w:r>
      <w:r w:rsidR="00CB03DA" w:rsidRPr="00810C7D">
        <w:rPr>
          <w:rFonts w:ascii="Times New Roman" w:hAnsi="Times New Roman" w:cs="Times New Roman"/>
        </w:rPr>
        <w:t xml:space="preserve">  Consideration of the social conte</w:t>
      </w:r>
      <w:r w:rsidR="002C0647" w:rsidRPr="00810C7D">
        <w:rPr>
          <w:rFonts w:ascii="Times New Roman" w:hAnsi="Times New Roman" w:cs="Times New Roman"/>
        </w:rPr>
        <w:t>xt in which a person lives</w:t>
      </w:r>
      <w:r w:rsidR="00CB03DA" w:rsidRPr="00810C7D">
        <w:rPr>
          <w:rFonts w:ascii="Times New Roman" w:hAnsi="Times New Roman" w:cs="Times New Roman"/>
        </w:rPr>
        <w:t xml:space="preserve"> may</w:t>
      </w:r>
      <w:r w:rsidR="00CF0DB4" w:rsidRPr="00810C7D">
        <w:rPr>
          <w:rFonts w:ascii="Times New Roman" w:hAnsi="Times New Roman" w:cs="Times New Roman"/>
        </w:rPr>
        <w:t xml:space="preserve"> </w:t>
      </w:r>
      <w:r w:rsidR="00CB03DA" w:rsidRPr="00810C7D">
        <w:rPr>
          <w:rFonts w:ascii="Times New Roman" w:hAnsi="Times New Roman" w:cs="Times New Roman"/>
        </w:rPr>
        <w:t>be important</w:t>
      </w:r>
      <w:r w:rsidR="002C0647" w:rsidRPr="00810C7D">
        <w:rPr>
          <w:rFonts w:ascii="Times New Roman" w:hAnsi="Times New Roman" w:cs="Times New Roman"/>
        </w:rPr>
        <w:t xml:space="preserve"> when it comes to implementing lifestyle changes at the </w:t>
      </w:r>
      <w:r w:rsidR="00CB03DA" w:rsidRPr="00810C7D">
        <w:rPr>
          <w:rFonts w:ascii="Times New Roman" w:hAnsi="Times New Roman" w:cs="Times New Roman"/>
        </w:rPr>
        <w:t xml:space="preserve">individual level.  </w:t>
      </w:r>
      <w:r w:rsidR="004708FB" w:rsidRPr="00810C7D">
        <w:rPr>
          <w:rFonts w:ascii="Times New Roman" w:hAnsi="Times New Roman" w:cs="Times New Roman"/>
        </w:rPr>
        <w:t>Further, a</w:t>
      </w:r>
      <w:r w:rsidR="00CB03DA" w:rsidRPr="00810C7D">
        <w:rPr>
          <w:rFonts w:ascii="Times New Roman" w:hAnsi="Times New Roman" w:cs="Times New Roman"/>
        </w:rPr>
        <w:t xml:space="preserve"> range of factors within the social-environmental context have been shown to influence physic</w:t>
      </w:r>
      <w:r w:rsidR="00513C4E" w:rsidRPr="00810C7D">
        <w:rPr>
          <w:rFonts w:ascii="Times New Roman" w:hAnsi="Times New Roman" w:cs="Times New Roman"/>
        </w:rPr>
        <w:t xml:space="preserve">al activity </w:t>
      </w:r>
      <w:r w:rsidR="00CB03DA" w:rsidRPr="00810C7D">
        <w:rPr>
          <w:rFonts w:ascii="Times New Roman" w:hAnsi="Times New Roman" w:cs="Times New Roman"/>
        </w:rPr>
        <w:fldChar w:fldCharType="begin"/>
      </w:r>
      <w:r w:rsidR="00B41F77" w:rsidRPr="00810C7D">
        <w:rPr>
          <w:rFonts w:ascii="Times New Roman" w:hAnsi="Times New Roman" w:cs="Times New Roman"/>
        </w:rPr>
        <w:instrText>ADDIN RW.CITE{{10381 Vrazel,J. 2008}}</w:instrText>
      </w:r>
      <w:r w:rsidR="00CB03DA" w:rsidRPr="00810C7D">
        <w:rPr>
          <w:rFonts w:ascii="Times New Roman" w:hAnsi="Times New Roman" w:cs="Times New Roman"/>
        </w:rPr>
        <w:fldChar w:fldCharType="separate"/>
      </w:r>
      <w:r w:rsidR="00B41F77" w:rsidRPr="00810C7D">
        <w:rPr>
          <w:rFonts w:ascii="Times New Roman" w:hAnsi="Times New Roman" w:cs="Times New Roman"/>
          <w:vertAlign w:val="superscript"/>
        </w:rPr>
        <w:t>9</w:t>
      </w:r>
      <w:r w:rsidR="00CB03DA" w:rsidRPr="00810C7D">
        <w:rPr>
          <w:rFonts w:ascii="Times New Roman" w:hAnsi="Times New Roman" w:cs="Times New Roman"/>
        </w:rPr>
        <w:fldChar w:fldCharType="end"/>
      </w:r>
      <w:r w:rsidR="00513C4E" w:rsidRPr="00810C7D">
        <w:rPr>
          <w:rFonts w:ascii="Times New Roman" w:hAnsi="Times New Roman" w:cs="Times New Roman"/>
        </w:rPr>
        <w:t>.</w:t>
      </w:r>
      <w:r w:rsidR="00CB03DA" w:rsidRPr="00810C7D">
        <w:rPr>
          <w:rFonts w:ascii="Times New Roman" w:hAnsi="Times New Roman" w:cs="Times New Roman"/>
        </w:rPr>
        <w:t xml:space="preserve">  Indeed, growing evidence </w:t>
      </w:r>
      <w:r w:rsidR="001F6F02" w:rsidRPr="00810C7D">
        <w:rPr>
          <w:rFonts w:ascii="Times New Roman" w:hAnsi="Times New Roman" w:cs="Times New Roman"/>
        </w:rPr>
        <w:t>suggests that e</w:t>
      </w:r>
      <w:r w:rsidR="008326BB" w:rsidRPr="00810C7D">
        <w:rPr>
          <w:rFonts w:ascii="Times New Roman" w:hAnsi="Times New Roman" w:cs="Times New Roman"/>
        </w:rPr>
        <w:t>nvironmental factors influence behaviour both directly and indirectly</w:t>
      </w:r>
      <w:r w:rsidR="00513C4E" w:rsidRPr="00810C7D">
        <w:rPr>
          <w:rFonts w:ascii="Times New Roman" w:hAnsi="Times New Roman" w:cs="Times New Roman"/>
        </w:rPr>
        <w:t xml:space="preserve"> </w:t>
      </w:r>
      <w:r w:rsidR="008326BB" w:rsidRPr="00810C7D">
        <w:rPr>
          <w:rFonts w:ascii="Times New Roman" w:hAnsi="Times New Roman" w:cs="Times New Roman"/>
        </w:rPr>
        <w:fldChar w:fldCharType="begin"/>
      </w:r>
      <w:r w:rsidR="00B41F77" w:rsidRPr="00810C7D">
        <w:rPr>
          <w:rFonts w:ascii="Times New Roman" w:hAnsi="Times New Roman" w:cs="Times New Roman"/>
        </w:rPr>
        <w:instrText>ADDIN RW.CITE{{10322 Van Cauwenberg,Jelle 2011}}</w:instrText>
      </w:r>
      <w:r w:rsidR="008326BB" w:rsidRPr="00810C7D">
        <w:rPr>
          <w:rFonts w:ascii="Times New Roman" w:hAnsi="Times New Roman" w:cs="Times New Roman"/>
        </w:rPr>
        <w:fldChar w:fldCharType="separate"/>
      </w:r>
      <w:r w:rsidR="00B41F77" w:rsidRPr="00810C7D">
        <w:rPr>
          <w:rFonts w:ascii="Times New Roman" w:eastAsia="Times New Roman" w:hAnsi="Times New Roman" w:cs="Times New Roman"/>
          <w:vertAlign w:val="superscript"/>
        </w:rPr>
        <w:t>10</w:t>
      </w:r>
      <w:r w:rsidR="008326BB" w:rsidRPr="00810C7D">
        <w:rPr>
          <w:rFonts w:ascii="Times New Roman" w:hAnsi="Times New Roman" w:cs="Times New Roman"/>
        </w:rPr>
        <w:fldChar w:fldCharType="end"/>
      </w:r>
      <w:r w:rsidR="00513C4E" w:rsidRPr="00810C7D">
        <w:rPr>
          <w:rFonts w:ascii="Times New Roman" w:hAnsi="Times New Roman" w:cs="Times New Roman"/>
        </w:rPr>
        <w:t>.</w:t>
      </w:r>
      <w:r w:rsidR="00BB786F" w:rsidRPr="00810C7D">
        <w:rPr>
          <w:rFonts w:ascii="Times New Roman" w:hAnsi="Times New Roman" w:cs="Times New Roman"/>
        </w:rPr>
        <w:t xml:space="preserve"> </w:t>
      </w:r>
      <w:r w:rsidR="00B00483" w:rsidRPr="00810C7D">
        <w:rPr>
          <w:rFonts w:ascii="Times New Roman" w:hAnsi="Times New Roman" w:cs="Times New Roman"/>
        </w:rPr>
        <w:t xml:space="preserve"> T</w:t>
      </w:r>
      <w:r w:rsidR="002C0647" w:rsidRPr="00810C7D">
        <w:rPr>
          <w:rFonts w:ascii="Times New Roman" w:hAnsi="Times New Roman" w:cs="Times New Roman"/>
        </w:rPr>
        <w:t>he home neighbourhood in which an individual resides</w:t>
      </w:r>
      <w:r w:rsidR="00BB786F" w:rsidRPr="00810C7D">
        <w:rPr>
          <w:rFonts w:ascii="Times New Roman" w:hAnsi="Times New Roman" w:cs="Times New Roman"/>
        </w:rPr>
        <w:t xml:space="preserve"> may be an important consideration when </w:t>
      </w:r>
      <w:r w:rsidR="004857A2" w:rsidRPr="00810C7D">
        <w:rPr>
          <w:rFonts w:ascii="Times New Roman" w:hAnsi="Times New Roman" w:cs="Times New Roman"/>
        </w:rPr>
        <w:t xml:space="preserve">an individual attempts </w:t>
      </w:r>
      <w:r w:rsidR="00BB786F" w:rsidRPr="00810C7D">
        <w:rPr>
          <w:rFonts w:ascii="Times New Roman" w:hAnsi="Times New Roman" w:cs="Times New Roman"/>
        </w:rPr>
        <w:t xml:space="preserve">to </w:t>
      </w:r>
      <w:r w:rsidR="00B00483" w:rsidRPr="00810C7D">
        <w:rPr>
          <w:rFonts w:ascii="Times New Roman" w:hAnsi="Times New Roman" w:cs="Times New Roman"/>
        </w:rPr>
        <w:t xml:space="preserve">increase their physical activity following lifestyle advice, because it may </w:t>
      </w:r>
      <w:r w:rsidR="008326BB" w:rsidRPr="00810C7D">
        <w:rPr>
          <w:rFonts w:ascii="Times New Roman" w:hAnsi="Times New Roman" w:cs="Times New Roman"/>
        </w:rPr>
        <w:t>pose barriers</w:t>
      </w:r>
      <w:r w:rsidR="00BB786F" w:rsidRPr="00810C7D">
        <w:rPr>
          <w:rFonts w:ascii="Times New Roman" w:hAnsi="Times New Roman" w:cs="Times New Roman"/>
        </w:rPr>
        <w:t>, or act as a facilitator to achieve</w:t>
      </w:r>
      <w:r w:rsidR="008326BB" w:rsidRPr="00810C7D">
        <w:rPr>
          <w:rFonts w:ascii="Times New Roman" w:hAnsi="Times New Roman" w:cs="Times New Roman"/>
        </w:rPr>
        <w:t xml:space="preserve"> ph</w:t>
      </w:r>
      <w:r w:rsidR="00513C4E" w:rsidRPr="00810C7D">
        <w:rPr>
          <w:rFonts w:ascii="Times New Roman" w:hAnsi="Times New Roman" w:cs="Times New Roman"/>
        </w:rPr>
        <w:t xml:space="preserve">ysical activity recommendations </w:t>
      </w:r>
      <w:r w:rsidR="008326BB" w:rsidRPr="00810C7D">
        <w:rPr>
          <w:rFonts w:ascii="Times New Roman" w:hAnsi="Times New Roman" w:cs="Times New Roman"/>
        </w:rPr>
        <w:fldChar w:fldCharType="begin"/>
      </w:r>
      <w:r w:rsidR="00B41F77" w:rsidRPr="00810C7D">
        <w:rPr>
          <w:rFonts w:ascii="Times New Roman" w:hAnsi="Times New Roman" w:cs="Times New Roman"/>
        </w:rPr>
        <w:instrText>ADDIN RW.CITE{{10321 Booth,Gillian L. 2013}}</w:instrText>
      </w:r>
      <w:r w:rsidR="008326BB" w:rsidRPr="00810C7D">
        <w:rPr>
          <w:rFonts w:ascii="Times New Roman" w:hAnsi="Times New Roman" w:cs="Times New Roman"/>
        </w:rPr>
        <w:fldChar w:fldCharType="separate"/>
      </w:r>
      <w:r w:rsidR="00B41F77" w:rsidRPr="00810C7D">
        <w:rPr>
          <w:rFonts w:ascii="Times New Roman" w:eastAsia="Times New Roman" w:hAnsi="Times New Roman" w:cs="Times New Roman"/>
          <w:vertAlign w:val="superscript"/>
        </w:rPr>
        <w:t>11</w:t>
      </w:r>
      <w:r w:rsidR="008326BB" w:rsidRPr="00810C7D">
        <w:rPr>
          <w:rFonts w:ascii="Times New Roman" w:hAnsi="Times New Roman" w:cs="Times New Roman"/>
        </w:rPr>
        <w:fldChar w:fldCharType="end"/>
      </w:r>
      <w:r w:rsidR="00513C4E" w:rsidRPr="00810C7D">
        <w:rPr>
          <w:rFonts w:ascii="Times New Roman" w:hAnsi="Times New Roman" w:cs="Times New Roman"/>
        </w:rPr>
        <w:t>.</w:t>
      </w:r>
      <w:r w:rsidR="008326BB" w:rsidRPr="00810C7D">
        <w:rPr>
          <w:rFonts w:ascii="Times New Roman" w:hAnsi="Times New Roman" w:cs="Times New Roman"/>
        </w:rPr>
        <w:t xml:space="preserve"> </w:t>
      </w:r>
      <w:r w:rsidR="00F63AA4" w:rsidRPr="00810C7D">
        <w:rPr>
          <w:rFonts w:ascii="Times New Roman" w:hAnsi="Times New Roman" w:cs="Times New Roman"/>
        </w:rPr>
        <w:t xml:space="preserve"> </w:t>
      </w:r>
    </w:p>
    <w:p w14:paraId="4FA8EC75" w14:textId="77777777" w:rsidR="00CB03DA" w:rsidRPr="00810C7D" w:rsidRDefault="00CB03DA" w:rsidP="00880CFB">
      <w:pPr>
        <w:spacing w:after="0" w:line="360" w:lineRule="auto"/>
        <w:ind w:left="57" w:right="57"/>
        <w:rPr>
          <w:rFonts w:ascii="Times New Roman" w:hAnsi="Times New Roman" w:cs="Times New Roman"/>
        </w:rPr>
      </w:pPr>
    </w:p>
    <w:p w14:paraId="51313900" w14:textId="4C50F2C3" w:rsidR="00A22E80" w:rsidRPr="00810C7D" w:rsidRDefault="00B00483" w:rsidP="00880CFB">
      <w:pPr>
        <w:spacing w:after="0" w:line="360" w:lineRule="auto"/>
        <w:ind w:left="57" w:right="57"/>
        <w:rPr>
          <w:rFonts w:ascii="Times New Roman" w:hAnsi="Times New Roman" w:cs="Times New Roman"/>
        </w:rPr>
      </w:pPr>
      <w:r w:rsidRPr="00810C7D">
        <w:rPr>
          <w:rFonts w:ascii="Times New Roman" w:hAnsi="Times New Roman" w:cs="Times New Roman"/>
        </w:rPr>
        <w:t xml:space="preserve">Walkability is </w:t>
      </w:r>
      <w:r w:rsidR="00BB786F" w:rsidRPr="00810C7D">
        <w:rPr>
          <w:rFonts w:ascii="Times New Roman" w:hAnsi="Times New Roman" w:cs="Times New Roman"/>
        </w:rPr>
        <w:t>a characteristic of the physical environment,</w:t>
      </w:r>
      <w:r w:rsidR="004857A2" w:rsidRPr="00810C7D">
        <w:rPr>
          <w:rFonts w:ascii="Times New Roman" w:hAnsi="Times New Roman" w:cs="Times New Roman"/>
        </w:rPr>
        <w:t xml:space="preserve"> which </w:t>
      </w:r>
      <w:r w:rsidR="00BB786F" w:rsidRPr="00810C7D">
        <w:rPr>
          <w:rFonts w:ascii="Times New Roman" w:hAnsi="Times New Roman" w:cs="Times New Roman"/>
        </w:rPr>
        <w:t xml:space="preserve">may be defined as the suitability of a neighbourhood to walk in, and </w:t>
      </w:r>
      <w:r w:rsidR="004857A2" w:rsidRPr="00810C7D">
        <w:rPr>
          <w:rFonts w:ascii="Times New Roman" w:hAnsi="Times New Roman" w:cs="Times New Roman"/>
        </w:rPr>
        <w:t>includes characteristics such as</w:t>
      </w:r>
      <w:r w:rsidR="00BB786F" w:rsidRPr="00810C7D">
        <w:rPr>
          <w:rFonts w:ascii="Times New Roman" w:hAnsi="Times New Roman" w:cs="Times New Roman"/>
        </w:rPr>
        <w:t xml:space="preserve"> continuity of pathways, lighting, safety, design of crossing</w:t>
      </w:r>
      <w:r w:rsidR="00CF0DB4" w:rsidRPr="00810C7D">
        <w:rPr>
          <w:rFonts w:ascii="Times New Roman" w:hAnsi="Times New Roman" w:cs="Times New Roman"/>
        </w:rPr>
        <w:t>s</w:t>
      </w:r>
      <w:r w:rsidR="00BB786F" w:rsidRPr="00810C7D">
        <w:rPr>
          <w:rFonts w:ascii="Times New Roman" w:hAnsi="Times New Roman" w:cs="Times New Roman"/>
        </w:rPr>
        <w:t>, a</w:t>
      </w:r>
      <w:r w:rsidRPr="00810C7D">
        <w:rPr>
          <w:rFonts w:ascii="Times New Roman" w:hAnsi="Times New Roman" w:cs="Times New Roman"/>
        </w:rPr>
        <w:t xml:space="preserve">nd access to local amenities.  </w:t>
      </w:r>
      <w:r w:rsidR="00A22E80" w:rsidRPr="00810C7D">
        <w:rPr>
          <w:rFonts w:ascii="Times New Roman" w:hAnsi="Times New Roman" w:cs="Times New Roman"/>
        </w:rPr>
        <w:t xml:space="preserve">There is growing evidence that neighbourhood walkability correlates to levels of physical activity, and may be a potential </w:t>
      </w:r>
      <w:r w:rsidR="00513C4E" w:rsidRPr="00810C7D">
        <w:rPr>
          <w:rFonts w:ascii="Times New Roman" w:hAnsi="Times New Roman" w:cs="Times New Roman"/>
        </w:rPr>
        <w:t xml:space="preserve">preventable factor for T2DM </w:t>
      </w:r>
      <w:r w:rsidR="00A22E80" w:rsidRPr="00810C7D">
        <w:rPr>
          <w:rFonts w:ascii="Times New Roman" w:hAnsi="Times New Roman" w:cs="Times New Roman"/>
        </w:rPr>
        <w:fldChar w:fldCharType="begin"/>
      </w:r>
      <w:r w:rsidR="00B41F77" w:rsidRPr="00810C7D">
        <w:rPr>
          <w:rFonts w:ascii="Times New Roman" w:hAnsi="Times New Roman" w:cs="Times New Roman"/>
        </w:rPr>
        <w:instrText>ADDIN RW.CITE{{10324 Sundquist,Kristina 2015}}</w:instrText>
      </w:r>
      <w:r w:rsidR="00A22E80" w:rsidRPr="00810C7D">
        <w:rPr>
          <w:rFonts w:ascii="Times New Roman" w:hAnsi="Times New Roman" w:cs="Times New Roman"/>
        </w:rPr>
        <w:fldChar w:fldCharType="separate"/>
      </w:r>
      <w:r w:rsidR="00B41F77" w:rsidRPr="00810C7D">
        <w:rPr>
          <w:rFonts w:ascii="Times New Roman" w:eastAsia="Times New Roman" w:hAnsi="Times New Roman" w:cs="Times New Roman"/>
          <w:vertAlign w:val="superscript"/>
        </w:rPr>
        <w:t>12</w:t>
      </w:r>
      <w:r w:rsidR="00A22E80" w:rsidRPr="00810C7D">
        <w:rPr>
          <w:rFonts w:ascii="Times New Roman" w:hAnsi="Times New Roman" w:cs="Times New Roman"/>
        </w:rPr>
        <w:fldChar w:fldCharType="end"/>
      </w:r>
      <w:r w:rsidR="00513C4E" w:rsidRPr="00810C7D">
        <w:rPr>
          <w:rFonts w:ascii="Times New Roman" w:hAnsi="Times New Roman" w:cs="Times New Roman"/>
        </w:rPr>
        <w:t>.</w:t>
      </w:r>
      <w:r w:rsidR="00A22E80" w:rsidRPr="00810C7D">
        <w:rPr>
          <w:rFonts w:ascii="Times New Roman" w:hAnsi="Times New Roman" w:cs="Times New Roman"/>
        </w:rPr>
        <w:t xml:space="preserve">    We believe </w:t>
      </w:r>
      <w:r w:rsidR="00B13644" w:rsidRPr="00810C7D">
        <w:rPr>
          <w:rFonts w:ascii="Times New Roman" w:hAnsi="Times New Roman" w:cs="Times New Roman"/>
        </w:rPr>
        <w:t xml:space="preserve">that </w:t>
      </w:r>
      <w:r w:rsidR="00A22E80" w:rsidRPr="00810C7D">
        <w:rPr>
          <w:rFonts w:ascii="Times New Roman" w:hAnsi="Times New Roman" w:cs="Times New Roman"/>
        </w:rPr>
        <w:t xml:space="preserve">evidence from social-ecological models of health behaviours has particular relevance to individual-level interventions, as it may be the context in which intervention participants live </w:t>
      </w:r>
      <w:r w:rsidR="00DE3DAE" w:rsidRPr="00810C7D">
        <w:rPr>
          <w:rFonts w:ascii="Times New Roman" w:hAnsi="Times New Roman" w:cs="Times New Roman"/>
        </w:rPr>
        <w:t xml:space="preserve">that </w:t>
      </w:r>
      <w:r w:rsidR="00A22E80" w:rsidRPr="00810C7D">
        <w:rPr>
          <w:rFonts w:ascii="Times New Roman" w:hAnsi="Times New Roman" w:cs="Times New Roman"/>
        </w:rPr>
        <w:t xml:space="preserve">acts as a determinant of intervention efficacy. For example, given the evidence that walking behaviours are associated with area walkability, it is reasonable to suggest that a walking intervention might work better for participants living in a more walkable area even if the intervention makes no change to walkability itself. We therefore believe the context of interventions should routinely be examined as part of outcome evaluations, yet this is rarely done.  </w:t>
      </w:r>
    </w:p>
    <w:p w14:paraId="78B3D2A4" w14:textId="77777777" w:rsidR="00A22E80" w:rsidRPr="00810C7D" w:rsidRDefault="00A22E80" w:rsidP="00880CFB">
      <w:pPr>
        <w:spacing w:after="0" w:line="360" w:lineRule="auto"/>
        <w:ind w:left="57" w:right="57"/>
        <w:rPr>
          <w:rFonts w:ascii="Times New Roman" w:hAnsi="Times New Roman" w:cs="Times New Roman"/>
        </w:rPr>
      </w:pPr>
    </w:p>
    <w:p w14:paraId="150C77C8" w14:textId="158C8D52" w:rsidR="000D2ADD" w:rsidRPr="00810C7D" w:rsidRDefault="0048255C" w:rsidP="00880CFB">
      <w:pPr>
        <w:spacing w:after="0" w:line="360" w:lineRule="auto"/>
        <w:ind w:left="57" w:right="57"/>
        <w:rPr>
          <w:rFonts w:ascii="Times New Roman" w:hAnsi="Times New Roman" w:cs="Times New Roman"/>
        </w:rPr>
      </w:pPr>
      <w:r w:rsidRPr="00810C7D">
        <w:rPr>
          <w:rFonts w:ascii="Times New Roman" w:hAnsi="Times New Roman" w:cs="Times New Roman"/>
        </w:rPr>
        <w:t>Using data collected during th</w:t>
      </w:r>
      <w:r w:rsidR="00B00483" w:rsidRPr="00810C7D">
        <w:rPr>
          <w:rFonts w:ascii="Times New Roman" w:hAnsi="Times New Roman" w:cs="Times New Roman"/>
        </w:rPr>
        <w:t xml:space="preserve">e Walking Away from Diabetes randomised </w:t>
      </w:r>
      <w:r w:rsidR="00DA62F1" w:rsidRPr="00810C7D">
        <w:rPr>
          <w:rFonts w:ascii="Times New Roman" w:hAnsi="Times New Roman" w:cs="Times New Roman"/>
        </w:rPr>
        <w:t xml:space="preserve">controlled </w:t>
      </w:r>
      <w:r w:rsidR="00B00483" w:rsidRPr="00810C7D">
        <w:rPr>
          <w:rFonts w:ascii="Times New Roman" w:hAnsi="Times New Roman" w:cs="Times New Roman"/>
        </w:rPr>
        <w:t xml:space="preserve">trial, </w:t>
      </w:r>
      <w:r w:rsidRPr="00810C7D">
        <w:rPr>
          <w:rFonts w:ascii="Times New Roman" w:hAnsi="Times New Roman" w:cs="Times New Roman"/>
        </w:rPr>
        <w:t xml:space="preserve">we examined the </w:t>
      </w:r>
      <w:r w:rsidR="00C410AA" w:rsidRPr="00810C7D">
        <w:rPr>
          <w:rFonts w:ascii="Times New Roman" w:hAnsi="Times New Roman" w:cs="Times New Roman"/>
        </w:rPr>
        <w:t xml:space="preserve">association between the walkability of the home neighbourhood and </w:t>
      </w:r>
      <w:r w:rsidR="00415D7C" w:rsidRPr="00810C7D">
        <w:rPr>
          <w:rFonts w:ascii="Times New Roman" w:hAnsi="Times New Roman" w:cs="Times New Roman"/>
        </w:rPr>
        <w:t>objectively-</w:t>
      </w:r>
      <w:r w:rsidR="00A22E80" w:rsidRPr="00810C7D">
        <w:rPr>
          <w:rFonts w:ascii="Times New Roman" w:hAnsi="Times New Roman" w:cs="Times New Roman"/>
        </w:rPr>
        <w:t xml:space="preserve">measured </w:t>
      </w:r>
      <w:r w:rsidR="00C410AA" w:rsidRPr="00810C7D">
        <w:rPr>
          <w:rFonts w:ascii="Times New Roman" w:hAnsi="Times New Roman" w:cs="Times New Roman"/>
        </w:rPr>
        <w:t>physical activity</w:t>
      </w:r>
      <w:r w:rsidR="00A22E80" w:rsidRPr="00810C7D">
        <w:rPr>
          <w:rFonts w:ascii="Times New Roman" w:hAnsi="Times New Roman" w:cs="Times New Roman"/>
        </w:rPr>
        <w:t xml:space="preserve"> both at the cross-sectional and longitudinal level</w:t>
      </w:r>
      <w:r w:rsidR="00B43C90" w:rsidRPr="00810C7D">
        <w:rPr>
          <w:rFonts w:ascii="Times New Roman" w:hAnsi="Times New Roman" w:cs="Times New Roman"/>
        </w:rPr>
        <w:t xml:space="preserve">. </w:t>
      </w:r>
      <w:r w:rsidR="00C410AA" w:rsidRPr="00810C7D">
        <w:rPr>
          <w:rFonts w:ascii="Times New Roman" w:hAnsi="Times New Roman" w:cs="Times New Roman"/>
        </w:rPr>
        <w:t xml:space="preserve"> </w:t>
      </w:r>
      <w:r w:rsidRPr="00810C7D">
        <w:rPr>
          <w:rFonts w:ascii="Times New Roman" w:hAnsi="Times New Roman" w:cs="Times New Roman"/>
        </w:rPr>
        <w:t xml:space="preserve">We also aimed to </w:t>
      </w:r>
      <w:r w:rsidR="001F6F02" w:rsidRPr="00810C7D">
        <w:rPr>
          <w:rFonts w:ascii="Times New Roman" w:hAnsi="Times New Roman" w:cs="Times New Roman"/>
        </w:rPr>
        <w:t xml:space="preserve">determine whether </w:t>
      </w:r>
      <w:r w:rsidR="000A4670" w:rsidRPr="00810C7D">
        <w:rPr>
          <w:rFonts w:ascii="Times New Roman" w:hAnsi="Times New Roman" w:cs="Times New Roman"/>
        </w:rPr>
        <w:t xml:space="preserve">the </w:t>
      </w:r>
      <w:r w:rsidR="00C410AA" w:rsidRPr="00810C7D">
        <w:rPr>
          <w:rFonts w:ascii="Times New Roman" w:hAnsi="Times New Roman" w:cs="Times New Roman"/>
        </w:rPr>
        <w:t xml:space="preserve">home </w:t>
      </w:r>
      <w:r w:rsidR="000A4670" w:rsidRPr="00810C7D">
        <w:rPr>
          <w:rFonts w:ascii="Times New Roman" w:hAnsi="Times New Roman" w:cs="Times New Roman"/>
        </w:rPr>
        <w:t xml:space="preserve">neighbourhood walkability of </w:t>
      </w:r>
      <w:r w:rsidR="000D2ADD" w:rsidRPr="00810C7D">
        <w:rPr>
          <w:rFonts w:ascii="Times New Roman" w:hAnsi="Times New Roman" w:cs="Times New Roman"/>
        </w:rPr>
        <w:t>participants</w:t>
      </w:r>
      <w:r w:rsidR="001F6F02" w:rsidRPr="00810C7D">
        <w:rPr>
          <w:rFonts w:ascii="Times New Roman" w:hAnsi="Times New Roman" w:cs="Times New Roman"/>
        </w:rPr>
        <w:t xml:space="preserve"> </w:t>
      </w:r>
      <w:r w:rsidR="00C410AA" w:rsidRPr="00810C7D">
        <w:rPr>
          <w:rFonts w:ascii="Times New Roman" w:hAnsi="Times New Roman" w:cs="Times New Roman"/>
        </w:rPr>
        <w:t>influe</w:t>
      </w:r>
      <w:r w:rsidR="002862B4" w:rsidRPr="00810C7D">
        <w:rPr>
          <w:rFonts w:ascii="Times New Roman" w:hAnsi="Times New Roman" w:cs="Times New Roman"/>
        </w:rPr>
        <w:t>nced the int</w:t>
      </w:r>
      <w:r w:rsidRPr="00810C7D">
        <w:rPr>
          <w:rFonts w:ascii="Times New Roman" w:hAnsi="Times New Roman" w:cs="Times New Roman"/>
        </w:rPr>
        <w:t>ervention effect</w:t>
      </w:r>
      <w:r w:rsidR="00DA62F1" w:rsidRPr="00810C7D">
        <w:rPr>
          <w:rFonts w:ascii="Times New Roman" w:hAnsi="Times New Roman" w:cs="Times New Roman"/>
        </w:rPr>
        <w:t xml:space="preserve"> of the education programme.</w:t>
      </w:r>
    </w:p>
    <w:p w14:paraId="1A5BF9B8" w14:textId="77777777" w:rsidR="000D2ADD" w:rsidRPr="00810C7D" w:rsidRDefault="000D2ADD" w:rsidP="00880CFB">
      <w:pPr>
        <w:spacing w:after="0" w:line="360" w:lineRule="auto"/>
        <w:ind w:left="57" w:right="57"/>
        <w:rPr>
          <w:rFonts w:ascii="Times New Roman" w:hAnsi="Times New Roman" w:cs="Times New Roman"/>
        </w:rPr>
      </w:pPr>
    </w:p>
    <w:p w14:paraId="5587B4F3" w14:textId="77777777" w:rsidR="00055264" w:rsidRPr="00810C7D" w:rsidRDefault="000D2ADD" w:rsidP="00880CFB">
      <w:pPr>
        <w:spacing w:after="0" w:line="360" w:lineRule="auto"/>
        <w:ind w:left="57" w:right="57"/>
        <w:rPr>
          <w:rFonts w:ascii="Times New Roman" w:hAnsi="Times New Roman" w:cs="Times New Roman"/>
          <w:b/>
        </w:rPr>
      </w:pPr>
      <w:r w:rsidRPr="00810C7D">
        <w:rPr>
          <w:rFonts w:ascii="Times New Roman" w:hAnsi="Times New Roman" w:cs="Times New Roman"/>
          <w:b/>
        </w:rPr>
        <w:t>Methods</w:t>
      </w:r>
      <w:r w:rsidR="008D7A27" w:rsidRPr="00810C7D">
        <w:rPr>
          <w:rFonts w:ascii="Times New Roman" w:hAnsi="Times New Roman" w:cs="Times New Roman"/>
          <w:b/>
        </w:rPr>
        <w:t xml:space="preserve"> </w:t>
      </w:r>
    </w:p>
    <w:p w14:paraId="41C5AF93" w14:textId="18C30879" w:rsidR="00B00483" w:rsidRPr="00810C7D" w:rsidRDefault="00B00483" w:rsidP="00880CFB">
      <w:pPr>
        <w:spacing w:after="0" w:line="360" w:lineRule="auto"/>
        <w:ind w:left="57" w:right="57"/>
        <w:rPr>
          <w:rFonts w:ascii="Times New Roman" w:hAnsi="Times New Roman" w:cs="Times New Roman"/>
          <w:i/>
        </w:rPr>
      </w:pPr>
      <w:r w:rsidRPr="00810C7D">
        <w:rPr>
          <w:rFonts w:ascii="Times New Roman" w:hAnsi="Times New Roman" w:cs="Times New Roman"/>
          <w:i/>
        </w:rPr>
        <w:t>Participants</w:t>
      </w:r>
    </w:p>
    <w:p w14:paraId="5235B574" w14:textId="48F63245" w:rsidR="00055264" w:rsidRPr="00810C7D" w:rsidRDefault="00055264" w:rsidP="00880CFB">
      <w:pPr>
        <w:spacing w:after="0" w:line="360" w:lineRule="auto"/>
        <w:ind w:left="57" w:right="57"/>
        <w:rPr>
          <w:rFonts w:ascii="Times New Roman" w:hAnsi="Times New Roman" w:cs="Times New Roman"/>
        </w:rPr>
      </w:pPr>
      <w:r w:rsidRPr="00810C7D">
        <w:rPr>
          <w:rFonts w:ascii="Times New Roman" w:hAnsi="Times New Roman" w:cs="Times New Roman"/>
        </w:rPr>
        <w:t xml:space="preserve">The present analyses used data from a completed </w:t>
      </w:r>
      <w:r w:rsidR="00C721E3" w:rsidRPr="00810C7D">
        <w:rPr>
          <w:rFonts w:ascii="Times New Roman" w:hAnsi="Times New Roman" w:cs="Times New Roman"/>
        </w:rPr>
        <w:t xml:space="preserve">cluster </w:t>
      </w:r>
      <w:r w:rsidRPr="00810C7D">
        <w:rPr>
          <w:rFonts w:ascii="Times New Roman" w:hAnsi="Times New Roman" w:cs="Times New Roman"/>
        </w:rPr>
        <w:t xml:space="preserve">randomised controlled trial </w:t>
      </w:r>
      <w:r w:rsidR="00B00483" w:rsidRPr="00810C7D">
        <w:rPr>
          <w:rFonts w:ascii="Times New Roman" w:hAnsi="Times New Roman" w:cs="Times New Roman"/>
        </w:rPr>
        <w:t xml:space="preserve">of 808 participants conducted in Leicestershire, UK </w:t>
      </w:r>
      <w:r w:rsidRPr="00810C7D">
        <w:rPr>
          <w:rFonts w:ascii="Times New Roman" w:hAnsi="Times New Roman" w:cs="Times New Roman"/>
        </w:rPr>
        <w:t>(Walking Away from Diabetes</w:t>
      </w:r>
      <w:r w:rsidR="00B00483" w:rsidRPr="00810C7D">
        <w:rPr>
          <w:rFonts w:ascii="Times New Roman" w:hAnsi="Times New Roman" w:cs="Times New Roman"/>
        </w:rPr>
        <w:t>; NCT00941954</w:t>
      </w:r>
      <w:r w:rsidRPr="00810C7D">
        <w:rPr>
          <w:rFonts w:ascii="Times New Roman" w:hAnsi="Times New Roman" w:cs="Times New Roman"/>
        </w:rPr>
        <w:t>)</w:t>
      </w:r>
      <w:r w:rsidR="00513C4E" w:rsidRPr="00810C7D">
        <w:rPr>
          <w:rFonts w:ascii="Times New Roman" w:hAnsi="Times New Roman" w:cs="Times New Roman"/>
        </w:rPr>
        <w:t xml:space="preserve"> </w:t>
      </w:r>
      <w:r w:rsidRPr="00810C7D">
        <w:rPr>
          <w:rFonts w:ascii="Times New Roman" w:hAnsi="Times New Roman" w:cs="Times New Roman"/>
        </w:rPr>
        <w:fldChar w:fldCharType="begin"/>
      </w:r>
      <w:r w:rsidR="00B41F77" w:rsidRPr="00810C7D">
        <w:rPr>
          <w:rFonts w:ascii="Times New Roman" w:hAnsi="Times New Roman" w:cs="Times New Roman"/>
        </w:rPr>
        <w:instrText>ADDIN RW.CITE{{9049 Yates,T. 2012}}</w:instrText>
      </w:r>
      <w:r w:rsidRPr="00810C7D">
        <w:rPr>
          <w:rFonts w:ascii="Times New Roman" w:hAnsi="Times New Roman" w:cs="Times New Roman"/>
        </w:rPr>
        <w:fldChar w:fldCharType="separate"/>
      </w:r>
      <w:r w:rsidR="00B41F77" w:rsidRPr="00810C7D">
        <w:rPr>
          <w:rFonts w:ascii="Times New Roman" w:eastAsia="Times New Roman" w:hAnsi="Times New Roman" w:cs="Times New Roman"/>
          <w:vertAlign w:val="superscript"/>
        </w:rPr>
        <w:t>6</w:t>
      </w:r>
      <w:r w:rsidRPr="00810C7D">
        <w:rPr>
          <w:rFonts w:ascii="Times New Roman" w:hAnsi="Times New Roman" w:cs="Times New Roman"/>
        </w:rPr>
        <w:fldChar w:fldCharType="end"/>
      </w:r>
      <w:r w:rsidR="00513C4E" w:rsidRPr="00810C7D">
        <w:rPr>
          <w:rFonts w:ascii="Times New Roman" w:hAnsi="Times New Roman" w:cs="Times New Roman"/>
        </w:rPr>
        <w:t>.</w:t>
      </w:r>
      <w:r w:rsidR="00DA62F1" w:rsidRPr="00810C7D">
        <w:rPr>
          <w:rFonts w:ascii="Times New Roman" w:hAnsi="Times New Roman" w:cs="Times New Roman"/>
        </w:rPr>
        <w:t xml:space="preserve">  The study</w:t>
      </w:r>
      <w:r w:rsidRPr="00810C7D">
        <w:rPr>
          <w:rFonts w:ascii="Times New Roman" w:hAnsi="Times New Roman" w:cs="Times New Roman"/>
        </w:rPr>
        <w:t xml:space="preserve"> was conducted according to the guidelines laid down in the Declaration of Helsinki and all procedures were approved by the Nottingham Research Ethics Committees.  Written informed consent was obtained from all participants</w:t>
      </w:r>
      <w:r w:rsidR="00637EDF" w:rsidRPr="00810C7D">
        <w:rPr>
          <w:rFonts w:ascii="Times New Roman" w:hAnsi="Times New Roman" w:cs="Times New Roman"/>
        </w:rPr>
        <w:t xml:space="preserve">.  </w:t>
      </w:r>
      <w:r w:rsidRPr="00810C7D">
        <w:rPr>
          <w:rFonts w:ascii="Times New Roman" w:hAnsi="Times New Roman" w:cs="Times New Roman"/>
        </w:rPr>
        <w:t xml:space="preserve">The study </w:t>
      </w:r>
      <w:r w:rsidR="00B00483" w:rsidRPr="00810C7D">
        <w:rPr>
          <w:rFonts w:ascii="Times New Roman" w:hAnsi="Times New Roman" w:cs="Times New Roman"/>
        </w:rPr>
        <w:t>and intervention have</w:t>
      </w:r>
      <w:r w:rsidRPr="00810C7D">
        <w:rPr>
          <w:rFonts w:ascii="Times New Roman" w:hAnsi="Times New Roman" w:cs="Times New Roman"/>
        </w:rPr>
        <w:t xml:space="preserve"> bee</w:t>
      </w:r>
      <w:r w:rsidR="00513C4E" w:rsidRPr="00810C7D">
        <w:rPr>
          <w:rFonts w:ascii="Times New Roman" w:hAnsi="Times New Roman" w:cs="Times New Roman"/>
        </w:rPr>
        <w:t xml:space="preserve">n described in detail elsewhere </w:t>
      </w:r>
      <w:r w:rsidRPr="00810C7D">
        <w:rPr>
          <w:rFonts w:ascii="Times New Roman" w:hAnsi="Times New Roman" w:cs="Times New Roman"/>
        </w:rPr>
        <w:fldChar w:fldCharType="begin"/>
      </w:r>
      <w:r w:rsidR="00B41F77" w:rsidRPr="00810C7D">
        <w:rPr>
          <w:rFonts w:ascii="Times New Roman" w:hAnsi="Times New Roman" w:cs="Times New Roman"/>
        </w:rPr>
        <w:instrText>ADDIN RW.CITE{{9049 Yates,T. 2012}}</w:instrText>
      </w:r>
      <w:r w:rsidRPr="00810C7D">
        <w:rPr>
          <w:rFonts w:ascii="Times New Roman" w:hAnsi="Times New Roman" w:cs="Times New Roman"/>
        </w:rPr>
        <w:fldChar w:fldCharType="separate"/>
      </w:r>
      <w:r w:rsidR="00B41F77" w:rsidRPr="00810C7D">
        <w:rPr>
          <w:rFonts w:ascii="Times New Roman" w:eastAsia="Times New Roman" w:hAnsi="Times New Roman" w:cs="Times New Roman"/>
          <w:vertAlign w:val="superscript"/>
        </w:rPr>
        <w:t>6</w:t>
      </w:r>
      <w:r w:rsidRPr="00810C7D">
        <w:rPr>
          <w:rFonts w:ascii="Times New Roman" w:hAnsi="Times New Roman" w:cs="Times New Roman"/>
        </w:rPr>
        <w:fldChar w:fldCharType="end"/>
      </w:r>
      <w:r w:rsidR="00513C4E" w:rsidRPr="00810C7D">
        <w:rPr>
          <w:rFonts w:ascii="Times New Roman" w:hAnsi="Times New Roman" w:cs="Times New Roman"/>
        </w:rPr>
        <w:t>.</w:t>
      </w:r>
      <w:r w:rsidR="00B00483" w:rsidRPr="00810C7D">
        <w:rPr>
          <w:rFonts w:ascii="Times New Roman" w:hAnsi="Times New Roman" w:cs="Times New Roman"/>
        </w:rPr>
        <w:t xml:space="preserve">  B</w:t>
      </w:r>
      <w:r w:rsidRPr="00810C7D">
        <w:rPr>
          <w:rFonts w:ascii="Times New Roman" w:hAnsi="Times New Roman" w:cs="Times New Roman"/>
        </w:rPr>
        <w:t>riefly</w:t>
      </w:r>
      <w:r w:rsidR="00B00483" w:rsidRPr="00810C7D">
        <w:rPr>
          <w:rFonts w:ascii="Times New Roman" w:hAnsi="Times New Roman" w:cs="Times New Roman"/>
        </w:rPr>
        <w:t>,</w:t>
      </w:r>
      <w:r w:rsidRPr="00810C7D">
        <w:rPr>
          <w:rFonts w:ascii="Times New Roman" w:hAnsi="Times New Roman" w:cs="Times New Roman"/>
        </w:rPr>
        <w:t xml:space="preserve"> individuals </w:t>
      </w:r>
      <w:r w:rsidR="00415D7C" w:rsidRPr="00810C7D">
        <w:rPr>
          <w:rFonts w:ascii="Times New Roman" w:hAnsi="Times New Roman" w:cs="Times New Roman"/>
        </w:rPr>
        <w:t>aged between 18 to 74</w:t>
      </w:r>
      <w:r w:rsidR="00B00483" w:rsidRPr="00810C7D">
        <w:rPr>
          <w:rFonts w:ascii="Times New Roman" w:hAnsi="Times New Roman" w:cs="Times New Roman"/>
        </w:rPr>
        <w:t xml:space="preserve"> years</w:t>
      </w:r>
      <w:r w:rsidR="00F04A92" w:rsidRPr="00810C7D">
        <w:rPr>
          <w:rFonts w:ascii="Times New Roman" w:hAnsi="Times New Roman" w:cs="Times New Roman"/>
        </w:rPr>
        <w:t xml:space="preserve"> inclusive, </w:t>
      </w:r>
      <w:r w:rsidR="00AC1D53" w:rsidRPr="00810C7D">
        <w:rPr>
          <w:rFonts w:ascii="Times New Roman" w:hAnsi="Times New Roman" w:cs="Times New Roman"/>
        </w:rPr>
        <w:t>were</w:t>
      </w:r>
      <w:r w:rsidR="00B00483" w:rsidRPr="00810C7D">
        <w:rPr>
          <w:rFonts w:ascii="Times New Roman" w:hAnsi="Times New Roman" w:cs="Times New Roman"/>
        </w:rPr>
        <w:t xml:space="preserve"> identified </w:t>
      </w:r>
      <w:r w:rsidR="00AC1D53" w:rsidRPr="00810C7D">
        <w:rPr>
          <w:rFonts w:ascii="Times New Roman" w:hAnsi="Times New Roman" w:cs="Times New Roman"/>
        </w:rPr>
        <w:t xml:space="preserve">from GP practices </w:t>
      </w:r>
      <w:r w:rsidR="00B00483" w:rsidRPr="00810C7D">
        <w:rPr>
          <w:rFonts w:ascii="Times New Roman" w:hAnsi="Times New Roman" w:cs="Times New Roman"/>
        </w:rPr>
        <w:t>as</w:t>
      </w:r>
      <w:r w:rsidR="00D24643" w:rsidRPr="00810C7D">
        <w:rPr>
          <w:rFonts w:ascii="Times New Roman" w:hAnsi="Times New Roman" w:cs="Times New Roman"/>
        </w:rPr>
        <w:t xml:space="preserve"> being </w:t>
      </w:r>
      <w:r w:rsidR="00F04A92" w:rsidRPr="00810C7D">
        <w:rPr>
          <w:rFonts w:ascii="Times New Roman" w:hAnsi="Times New Roman" w:cs="Times New Roman"/>
        </w:rPr>
        <w:t xml:space="preserve">at </w:t>
      </w:r>
      <w:r w:rsidRPr="00810C7D">
        <w:rPr>
          <w:rFonts w:ascii="Times New Roman" w:hAnsi="Times New Roman" w:cs="Times New Roman"/>
        </w:rPr>
        <w:t xml:space="preserve">high risk of having </w:t>
      </w:r>
      <w:r w:rsidR="00D24643" w:rsidRPr="00810C7D">
        <w:rPr>
          <w:rFonts w:ascii="Times New Roman" w:hAnsi="Times New Roman" w:cs="Times New Roman"/>
        </w:rPr>
        <w:t>T2DM using the Lei</w:t>
      </w:r>
      <w:r w:rsidR="00940AF1" w:rsidRPr="00810C7D">
        <w:rPr>
          <w:rFonts w:ascii="Times New Roman" w:hAnsi="Times New Roman" w:cs="Times New Roman"/>
        </w:rPr>
        <w:t>cester Practice Risk Score</w:t>
      </w:r>
      <w:r w:rsidR="00513C4E" w:rsidRPr="00810C7D">
        <w:rPr>
          <w:rFonts w:ascii="Times New Roman" w:hAnsi="Times New Roman" w:cs="Times New Roman"/>
        </w:rPr>
        <w:t xml:space="preserve"> </w:t>
      </w:r>
      <w:r w:rsidR="00940AF1" w:rsidRPr="00810C7D">
        <w:rPr>
          <w:rFonts w:ascii="Times New Roman" w:hAnsi="Times New Roman" w:cs="Times New Roman"/>
        </w:rPr>
        <w:fldChar w:fldCharType="begin"/>
      </w:r>
      <w:r w:rsidR="00B41F77" w:rsidRPr="00810C7D">
        <w:rPr>
          <w:rFonts w:ascii="Times New Roman" w:hAnsi="Times New Roman" w:cs="Times New Roman"/>
        </w:rPr>
        <w:instrText>ADDIN RW.CITE{{9048 Gray,L.J. 2012}}</w:instrText>
      </w:r>
      <w:r w:rsidR="00940AF1" w:rsidRPr="00810C7D">
        <w:rPr>
          <w:rFonts w:ascii="Times New Roman" w:hAnsi="Times New Roman" w:cs="Times New Roman"/>
        </w:rPr>
        <w:fldChar w:fldCharType="separate"/>
      </w:r>
      <w:r w:rsidR="00B41F77" w:rsidRPr="00810C7D">
        <w:rPr>
          <w:rFonts w:ascii="Times New Roman" w:hAnsi="Times New Roman" w:cs="Times New Roman"/>
          <w:vertAlign w:val="superscript"/>
        </w:rPr>
        <w:t>13</w:t>
      </w:r>
      <w:r w:rsidR="00940AF1" w:rsidRPr="00810C7D">
        <w:rPr>
          <w:rFonts w:ascii="Times New Roman" w:hAnsi="Times New Roman" w:cs="Times New Roman"/>
        </w:rPr>
        <w:fldChar w:fldCharType="end"/>
      </w:r>
      <w:r w:rsidR="00513C4E" w:rsidRPr="00810C7D">
        <w:rPr>
          <w:rFonts w:ascii="Times New Roman" w:hAnsi="Times New Roman" w:cs="Times New Roman"/>
        </w:rPr>
        <w:t>.</w:t>
      </w:r>
      <w:r w:rsidR="00D24643" w:rsidRPr="00810C7D">
        <w:rPr>
          <w:rFonts w:ascii="Times New Roman" w:hAnsi="Times New Roman" w:cs="Times New Roman"/>
        </w:rPr>
        <w:t xml:space="preserve"> </w:t>
      </w:r>
      <w:r w:rsidRPr="00810C7D">
        <w:rPr>
          <w:rFonts w:ascii="Times New Roman" w:hAnsi="Times New Roman" w:cs="Times New Roman"/>
        </w:rPr>
        <w:t>Those identified a</w:t>
      </w:r>
      <w:r w:rsidR="00D24643" w:rsidRPr="00810C7D">
        <w:rPr>
          <w:rFonts w:ascii="Times New Roman" w:hAnsi="Times New Roman" w:cs="Times New Roman"/>
        </w:rPr>
        <w:t>s being diabetes-free but a</w:t>
      </w:r>
      <w:r w:rsidRPr="00810C7D">
        <w:rPr>
          <w:rFonts w:ascii="Times New Roman" w:hAnsi="Times New Roman" w:cs="Times New Roman"/>
        </w:rPr>
        <w:t xml:space="preserve">t high risk </w:t>
      </w:r>
      <w:r w:rsidR="00D24643" w:rsidRPr="00810C7D">
        <w:rPr>
          <w:rFonts w:ascii="Times New Roman" w:hAnsi="Times New Roman" w:cs="Times New Roman"/>
        </w:rPr>
        <w:t xml:space="preserve">of developing T2DM </w:t>
      </w:r>
      <w:r w:rsidRPr="00810C7D">
        <w:rPr>
          <w:rFonts w:ascii="Times New Roman" w:hAnsi="Times New Roman" w:cs="Times New Roman"/>
        </w:rPr>
        <w:t>were then randomised</w:t>
      </w:r>
      <w:r w:rsidR="00C721E3" w:rsidRPr="00810C7D">
        <w:rPr>
          <w:rFonts w:ascii="Times New Roman" w:hAnsi="Times New Roman" w:cs="Times New Roman"/>
        </w:rPr>
        <w:t xml:space="preserve"> at the level of the primary care practice (GP practice)</w:t>
      </w:r>
      <w:r w:rsidRPr="00810C7D">
        <w:rPr>
          <w:rFonts w:ascii="Times New Roman" w:hAnsi="Times New Roman" w:cs="Times New Roman"/>
        </w:rPr>
        <w:t xml:space="preserve"> to receive usual care or</w:t>
      </w:r>
      <w:r w:rsidR="00D24643" w:rsidRPr="00810C7D">
        <w:rPr>
          <w:rFonts w:ascii="Times New Roman" w:hAnsi="Times New Roman" w:cs="Times New Roman"/>
        </w:rPr>
        <w:t xml:space="preserve"> to attend</w:t>
      </w:r>
      <w:r w:rsidRPr="00810C7D">
        <w:rPr>
          <w:rFonts w:ascii="Times New Roman" w:hAnsi="Times New Roman" w:cs="Times New Roman"/>
        </w:rPr>
        <w:t xml:space="preserve"> a group</w:t>
      </w:r>
      <w:r w:rsidR="00043058" w:rsidRPr="00810C7D">
        <w:rPr>
          <w:rFonts w:ascii="Times New Roman" w:hAnsi="Times New Roman" w:cs="Times New Roman"/>
        </w:rPr>
        <w:t>-</w:t>
      </w:r>
      <w:r w:rsidRPr="00810C7D">
        <w:rPr>
          <w:rFonts w:ascii="Times New Roman" w:hAnsi="Times New Roman" w:cs="Times New Roman"/>
        </w:rPr>
        <w:t xml:space="preserve">based education </w:t>
      </w:r>
      <w:r w:rsidR="00D24643" w:rsidRPr="00810C7D">
        <w:rPr>
          <w:rFonts w:ascii="Times New Roman" w:hAnsi="Times New Roman" w:cs="Times New Roman"/>
        </w:rPr>
        <w:t xml:space="preserve">programme </w:t>
      </w:r>
      <w:r w:rsidRPr="00810C7D">
        <w:rPr>
          <w:rFonts w:ascii="Times New Roman" w:hAnsi="Times New Roman" w:cs="Times New Roman"/>
        </w:rPr>
        <w:t>encouraging increased physical activity</w:t>
      </w:r>
      <w:r w:rsidR="00E23B31" w:rsidRPr="00810C7D">
        <w:rPr>
          <w:rFonts w:ascii="Times New Roman" w:hAnsi="Times New Roman" w:cs="Times New Roman"/>
        </w:rPr>
        <w:t>,</w:t>
      </w:r>
      <w:r w:rsidR="00D24643" w:rsidRPr="00810C7D">
        <w:rPr>
          <w:rFonts w:ascii="Times New Roman" w:hAnsi="Times New Roman" w:cs="Times New Roman"/>
        </w:rPr>
        <w:t xml:space="preserve"> specifically focusing on increasing step count</w:t>
      </w:r>
      <w:r w:rsidRPr="00810C7D">
        <w:rPr>
          <w:rFonts w:ascii="Times New Roman" w:hAnsi="Times New Roman" w:cs="Times New Roman"/>
        </w:rPr>
        <w:t xml:space="preserve">. </w:t>
      </w:r>
      <w:r w:rsidR="00B13644" w:rsidRPr="00810C7D">
        <w:rPr>
          <w:rFonts w:ascii="Times New Roman" w:hAnsi="Times New Roman" w:cs="Times New Roman"/>
        </w:rPr>
        <w:t>Ten GP practices were included;</w:t>
      </w:r>
      <w:r w:rsidR="00710167" w:rsidRPr="00810C7D">
        <w:rPr>
          <w:rFonts w:ascii="Times New Roman" w:hAnsi="Times New Roman" w:cs="Times New Roman"/>
        </w:rPr>
        <w:t xml:space="preserve"> nine from Leicester City (three urban, five suburban, one semi-rural) and one from Leicestershire county (rural).  </w:t>
      </w:r>
      <w:r w:rsidRPr="00810C7D">
        <w:rPr>
          <w:rFonts w:ascii="Times New Roman" w:hAnsi="Times New Roman" w:cs="Times New Roman"/>
        </w:rPr>
        <w:t xml:space="preserve">Participants were excluded if they had a previous diagnosis of </w:t>
      </w:r>
      <w:r w:rsidR="00AC1D53" w:rsidRPr="00810C7D">
        <w:rPr>
          <w:rFonts w:ascii="Times New Roman" w:hAnsi="Times New Roman" w:cs="Times New Roman"/>
        </w:rPr>
        <w:t xml:space="preserve">T2DM.  </w:t>
      </w:r>
      <w:r w:rsidR="00D24643" w:rsidRPr="00810C7D">
        <w:rPr>
          <w:rFonts w:ascii="Times New Roman" w:hAnsi="Times New Roman" w:cs="Times New Roman"/>
        </w:rPr>
        <w:t>All participants in the Walking Away from Diabetes study were potentially eligible for these analyses</w:t>
      </w:r>
      <w:r w:rsidR="00F04A92" w:rsidRPr="00810C7D">
        <w:rPr>
          <w:rFonts w:ascii="Times New Roman" w:hAnsi="Times New Roman" w:cs="Times New Roman"/>
        </w:rPr>
        <w:t>.  Participants were excluded if</w:t>
      </w:r>
      <w:r w:rsidR="00D24643" w:rsidRPr="00810C7D">
        <w:rPr>
          <w:rFonts w:ascii="Times New Roman" w:hAnsi="Times New Roman" w:cs="Times New Roman"/>
        </w:rPr>
        <w:t xml:space="preserve"> they did not have valid postcode data available at baseline, as this was used to derive the walkability measures.  </w:t>
      </w:r>
    </w:p>
    <w:p w14:paraId="717F018C" w14:textId="77777777" w:rsidR="00073B61" w:rsidRPr="00810C7D" w:rsidRDefault="00073B61" w:rsidP="00880CFB">
      <w:pPr>
        <w:spacing w:after="0" w:line="360" w:lineRule="auto"/>
        <w:ind w:left="57" w:right="57"/>
        <w:rPr>
          <w:rFonts w:ascii="Times New Roman" w:hAnsi="Times New Roman" w:cs="Times New Roman"/>
        </w:rPr>
      </w:pPr>
    </w:p>
    <w:p w14:paraId="33BCAD65" w14:textId="5D0E1516" w:rsidR="0033122B" w:rsidRPr="00810C7D" w:rsidRDefault="0033122B" w:rsidP="00880CFB">
      <w:pPr>
        <w:spacing w:after="0" w:line="360" w:lineRule="auto"/>
        <w:ind w:left="57" w:right="57"/>
        <w:rPr>
          <w:rFonts w:ascii="Times New Roman" w:hAnsi="Times New Roman" w:cs="Times New Roman"/>
          <w:i/>
        </w:rPr>
      </w:pPr>
      <w:r w:rsidRPr="00810C7D">
        <w:rPr>
          <w:rFonts w:ascii="Times New Roman" w:hAnsi="Times New Roman" w:cs="Times New Roman"/>
          <w:i/>
        </w:rPr>
        <w:t>Variables</w:t>
      </w:r>
    </w:p>
    <w:p w14:paraId="3F3D9A2A" w14:textId="173EA178" w:rsidR="00AC1D53" w:rsidRPr="00810C7D" w:rsidRDefault="0033122B" w:rsidP="00880CFB">
      <w:pPr>
        <w:spacing w:after="0" w:line="360" w:lineRule="auto"/>
        <w:ind w:left="57" w:right="57"/>
        <w:rPr>
          <w:rFonts w:ascii="Times New Roman" w:hAnsi="Times New Roman" w:cs="Times New Roman"/>
        </w:rPr>
      </w:pPr>
      <w:r w:rsidRPr="00810C7D">
        <w:rPr>
          <w:rFonts w:ascii="Times New Roman" w:hAnsi="Times New Roman" w:cs="Times New Roman"/>
        </w:rPr>
        <w:t>All of the physical activity outcome variables were objectively-measured at baseline, 12, 24, and 36 months using a</w:t>
      </w:r>
      <w:r w:rsidR="004C735D" w:rsidRPr="00810C7D">
        <w:rPr>
          <w:rFonts w:ascii="Times New Roman" w:hAnsi="Times New Roman" w:cs="Times New Roman"/>
        </w:rPr>
        <w:t>n</w:t>
      </w:r>
      <w:r w:rsidRPr="00810C7D">
        <w:rPr>
          <w:rFonts w:ascii="Times New Roman" w:hAnsi="Times New Roman" w:cs="Times New Roman"/>
        </w:rPr>
        <w:t xml:space="preserve"> accelerometer (GT3X, Actigraph, FL, USA). Participants were asked to wear the accelerometer</w:t>
      </w:r>
      <w:r w:rsidR="004C735D" w:rsidRPr="00810C7D">
        <w:rPr>
          <w:rFonts w:ascii="Times New Roman" w:hAnsi="Times New Roman" w:cs="Times New Roman"/>
        </w:rPr>
        <w:t xml:space="preserve"> on their right anterior axillary line</w:t>
      </w:r>
      <w:r w:rsidRPr="00810C7D">
        <w:rPr>
          <w:rFonts w:ascii="Times New Roman" w:hAnsi="Times New Roman" w:cs="Times New Roman"/>
        </w:rPr>
        <w:t xml:space="preserve"> for seven consecutive days during wak</w:t>
      </w:r>
      <w:r w:rsidR="00F04A92" w:rsidRPr="00810C7D">
        <w:rPr>
          <w:rFonts w:ascii="Times New Roman" w:hAnsi="Times New Roman" w:cs="Times New Roman"/>
        </w:rPr>
        <w:t>ing hours.</w:t>
      </w:r>
      <w:r w:rsidR="004C735D" w:rsidRPr="00810C7D">
        <w:rPr>
          <w:rFonts w:ascii="Times New Roman" w:hAnsi="Times New Roman" w:cs="Times New Roman"/>
        </w:rPr>
        <w:t xml:space="preserve">  Data were captured in 15 second epochs but were re-integrated to 60 seconds for this analysis. </w:t>
      </w:r>
      <w:r w:rsidR="00F04A92" w:rsidRPr="00810C7D">
        <w:rPr>
          <w:rFonts w:ascii="Times New Roman" w:hAnsi="Times New Roman" w:cs="Times New Roman"/>
        </w:rPr>
        <w:t xml:space="preserve"> The primary outcome wa</w:t>
      </w:r>
      <w:r w:rsidRPr="00810C7D">
        <w:rPr>
          <w:rFonts w:ascii="Times New Roman" w:hAnsi="Times New Roman" w:cs="Times New Roman"/>
        </w:rPr>
        <w:t>s ambulatory activity (walking), defined as the average number of steps per day. This was also the primary outcome in the original stud</w:t>
      </w:r>
      <w:r w:rsidR="00513C4E" w:rsidRPr="00810C7D">
        <w:rPr>
          <w:rFonts w:ascii="Times New Roman" w:hAnsi="Times New Roman" w:cs="Times New Roman"/>
        </w:rPr>
        <w:t xml:space="preserve">y </w:t>
      </w:r>
      <w:r w:rsidRPr="00810C7D">
        <w:rPr>
          <w:rFonts w:ascii="Times New Roman" w:hAnsi="Times New Roman" w:cs="Times New Roman"/>
          <w:vertAlign w:val="superscript"/>
        </w:rPr>
        <w:fldChar w:fldCharType="begin"/>
      </w:r>
      <w:r w:rsidR="00B41F77" w:rsidRPr="00810C7D">
        <w:rPr>
          <w:rFonts w:ascii="Times New Roman" w:hAnsi="Times New Roman" w:cs="Times New Roman"/>
          <w:vertAlign w:val="superscript"/>
        </w:rPr>
        <w:instrText>ADDIN RW.CITE{{9049 Yates,T. 2012}}</w:instrText>
      </w:r>
      <w:r w:rsidRPr="00810C7D">
        <w:rPr>
          <w:rFonts w:ascii="Times New Roman" w:hAnsi="Times New Roman" w:cs="Times New Roman"/>
          <w:vertAlign w:val="superscript"/>
        </w:rPr>
        <w:fldChar w:fldCharType="separate"/>
      </w:r>
      <w:r w:rsidR="00B41F77" w:rsidRPr="00810C7D">
        <w:rPr>
          <w:rFonts w:ascii="Times New Roman" w:hAnsi="Times New Roman" w:cs="Times New Roman"/>
          <w:vertAlign w:val="superscript"/>
        </w:rPr>
        <w:t>6</w:t>
      </w:r>
      <w:r w:rsidRPr="00810C7D">
        <w:rPr>
          <w:rFonts w:ascii="Times New Roman" w:hAnsi="Times New Roman" w:cs="Times New Roman"/>
          <w:vertAlign w:val="superscript"/>
        </w:rPr>
        <w:fldChar w:fldCharType="end"/>
      </w:r>
      <w:r w:rsidR="00513C4E" w:rsidRPr="00810C7D">
        <w:rPr>
          <w:rFonts w:ascii="Times New Roman" w:hAnsi="Times New Roman" w:cs="Times New Roman"/>
        </w:rPr>
        <w:t>.</w:t>
      </w:r>
      <w:r w:rsidR="00F04A92" w:rsidRPr="00810C7D">
        <w:rPr>
          <w:rFonts w:ascii="Times New Roman" w:hAnsi="Times New Roman" w:cs="Times New Roman"/>
        </w:rPr>
        <w:t xml:space="preserve"> The secondary outcomes were</w:t>
      </w:r>
      <w:r w:rsidRPr="00810C7D">
        <w:rPr>
          <w:rFonts w:ascii="Times New Roman" w:hAnsi="Times New Roman" w:cs="Times New Roman"/>
        </w:rPr>
        <w:t xml:space="preserve"> </w:t>
      </w:r>
      <w:r w:rsidR="00C55FCD" w:rsidRPr="00810C7D">
        <w:rPr>
          <w:rFonts w:ascii="Times New Roman" w:hAnsi="Times New Roman" w:cs="Times New Roman"/>
        </w:rPr>
        <w:t>purposeful ambulatory activity (</w:t>
      </w:r>
      <w:r w:rsidR="00043058" w:rsidRPr="00810C7D">
        <w:rPr>
          <w:rFonts w:ascii="Times New Roman" w:hAnsi="Times New Roman" w:cs="Times New Roman"/>
        </w:rPr>
        <w:t>average number of purposeful steps per day</w:t>
      </w:r>
      <w:r w:rsidR="00C55FCD" w:rsidRPr="00810C7D">
        <w:rPr>
          <w:rFonts w:ascii="Times New Roman" w:hAnsi="Times New Roman" w:cs="Times New Roman"/>
        </w:rPr>
        <w:t>)</w:t>
      </w:r>
      <w:r w:rsidR="00043058" w:rsidRPr="00810C7D">
        <w:rPr>
          <w:rFonts w:ascii="Times New Roman" w:hAnsi="Times New Roman" w:cs="Times New Roman"/>
        </w:rPr>
        <w:t xml:space="preserve">, time spent in moderate-to-vigorous physical activity (MVPA), and </w:t>
      </w:r>
      <w:r w:rsidR="004C735D" w:rsidRPr="00810C7D">
        <w:rPr>
          <w:rFonts w:ascii="Times New Roman" w:hAnsi="Times New Roman" w:cs="Times New Roman"/>
        </w:rPr>
        <w:t xml:space="preserve">time spent sedentary.  </w:t>
      </w:r>
      <w:r w:rsidR="00C55FCD" w:rsidRPr="00810C7D">
        <w:rPr>
          <w:rFonts w:ascii="Times New Roman" w:hAnsi="Times New Roman" w:cs="Times New Roman"/>
        </w:rPr>
        <w:t>Purposeful ambulatory activity is defined as the average number of accumulated steps per day undertaken above an intensity threshold (≥500 counts/minute) distinguishing steps accumulated in incidental activity from those involving more purposeful walking</w:t>
      </w:r>
      <w:r w:rsidR="00513C4E" w:rsidRPr="00810C7D">
        <w:rPr>
          <w:rFonts w:ascii="Times New Roman" w:hAnsi="Times New Roman" w:cs="Times New Roman"/>
        </w:rPr>
        <w:t xml:space="preserve"> </w:t>
      </w:r>
      <w:r w:rsidR="00F223FD" w:rsidRPr="00810C7D">
        <w:rPr>
          <w:rFonts w:ascii="Times New Roman" w:hAnsi="Times New Roman" w:cs="Times New Roman"/>
        </w:rPr>
        <w:fldChar w:fldCharType="begin"/>
      </w:r>
      <w:r w:rsidR="00B41F77" w:rsidRPr="00810C7D">
        <w:rPr>
          <w:rFonts w:ascii="Times New Roman" w:hAnsi="Times New Roman" w:cs="Times New Roman"/>
        </w:rPr>
        <w:instrText>ADDIN RW.CITE{{10377 Tudor-Locke,Catrine 2009}}</w:instrText>
      </w:r>
      <w:r w:rsidR="00F223FD" w:rsidRPr="00810C7D">
        <w:rPr>
          <w:rFonts w:ascii="Times New Roman" w:hAnsi="Times New Roman" w:cs="Times New Roman"/>
        </w:rPr>
        <w:fldChar w:fldCharType="separate"/>
      </w:r>
      <w:r w:rsidR="00B41F77" w:rsidRPr="00810C7D">
        <w:rPr>
          <w:rFonts w:ascii="Times New Roman" w:hAnsi="Times New Roman" w:cs="Times New Roman"/>
          <w:vertAlign w:val="superscript"/>
        </w:rPr>
        <w:t>14</w:t>
      </w:r>
      <w:r w:rsidR="00F223FD" w:rsidRPr="00810C7D">
        <w:rPr>
          <w:rFonts w:ascii="Times New Roman" w:hAnsi="Times New Roman" w:cs="Times New Roman"/>
        </w:rPr>
        <w:fldChar w:fldCharType="end"/>
      </w:r>
      <w:r w:rsidR="00513C4E" w:rsidRPr="00810C7D">
        <w:rPr>
          <w:rFonts w:ascii="Times New Roman" w:hAnsi="Times New Roman" w:cs="Times New Roman"/>
        </w:rPr>
        <w:t>.</w:t>
      </w:r>
      <w:r w:rsidR="00C55FCD" w:rsidRPr="00810C7D">
        <w:rPr>
          <w:rFonts w:ascii="Times New Roman" w:hAnsi="Times New Roman" w:cs="Times New Roman"/>
        </w:rPr>
        <w:t xml:space="preserve"> Sedentary time (&lt;100 counts-per-minute) and MVPA (≥1952 counts-per-minute) </w:t>
      </w:r>
      <w:r w:rsidR="00F04A92" w:rsidRPr="00810C7D">
        <w:rPr>
          <w:rFonts w:ascii="Times New Roman" w:hAnsi="Times New Roman" w:cs="Times New Roman"/>
        </w:rPr>
        <w:t>were</w:t>
      </w:r>
      <w:r w:rsidRPr="00810C7D">
        <w:rPr>
          <w:rFonts w:ascii="Times New Roman" w:hAnsi="Times New Roman" w:cs="Times New Roman"/>
        </w:rPr>
        <w:t xml:space="preserve"> defined using validated counts-per-minute cut-points</w:t>
      </w:r>
      <w:r w:rsidR="00513C4E" w:rsidRPr="00810C7D">
        <w:rPr>
          <w:rFonts w:ascii="Times New Roman" w:hAnsi="Times New Roman" w:cs="Times New Roman"/>
        </w:rPr>
        <w:t xml:space="preserve"> </w:t>
      </w:r>
      <w:r w:rsidR="00731102" w:rsidRPr="00810C7D">
        <w:rPr>
          <w:rFonts w:ascii="Times New Roman" w:hAnsi="Times New Roman" w:cs="Times New Roman"/>
          <w:vertAlign w:val="superscript"/>
        </w:rPr>
        <w:fldChar w:fldCharType="begin"/>
      </w:r>
      <w:r w:rsidR="00B41F77" w:rsidRPr="00810C7D">
        <w:rPr>
          <w:rFonts w:ascii="Times New Roman" w:hAnsi="Times New Roman" w:cs="Times New Roman"/>
          <w:vertAlign w:val="superscript"/>
        </w:rPr>
        <w:instrText>ADDIN RW.CITE{{10341 Freedson,PattyS. 1998}}</w:instrText>
      </w:r>
      <w:r w:rsidR="00731102" w:rsidRPr="00810C7D">
        <w:rPr>
          <w:rFonts w:ascii="Times New Roman" w:hAnsi="Times New Roman" w:cs="Times New Roman"/>
          <w:vertAlign w:val="superscript"/>
        </w:rPr>
        <w:fldChar w:fldCharType="separate"/>
      </w:r>
      <w:r w:rsidR="00B41F77" w:rsidRPr="00810C7D">
        <w:rPr>
          <w:rFonts w:ascii="Times New Roman" w:hAnsi="Times New Roman" w:cs="Times New Roman"/>
          <w:vertAlign w:val="superscript"/>
        </w:rPr>
        <w:t>15</w:t>
      </w:r>
      <w:r w:rsidR="00731102" w:rsidRPr="00810C7D">
        <w:rPr>
          <w:rFonts w:ascii="Times New Roman" w:hAnsi="Times New Roman" w:cs="Times New Roman"/>
          <w:vertAlign w:val="superscript"/>
        </w:rPr>
        <w:fldChar w:fldCharType="end"/>
      </w:r>
      <w:r w:rsidR="00513C4E" w:rsidRPr="00810C7D">
        <w:rPr>
          <w:rFonts w:ascii="Times New Roman" w:hAnsi="Times New Roman" w:cs="Times New Roman"/>
        </w:rPr>
        <w:t>.</w:t>
      </w:r>
      <w:r w:rsidR="00731102" w:rsidRPr="00810C7D">
        <w:rPr>
          <w:rFonts w:ascii="Times New Roman" w:hAnsi="Times New Roman" w:cs="Times New Roman"/>
        </w:rPr>
        <w:t xml:space="preserve"> </w:t>
      </w:r>
      <w:r w:rsidR="00AC1D53" w:rsidRPr="00810C7D">
        <w:rPr>
          <w:rFonts w:ascii="Times New Roman" w:hAnsi="Times New Roman" w:cs="Times New Roman"/>
        </w:rPr>
        <w:t>Participants were excluded if they did not have four valid days of accelerometer wear at baseline, as this was required to calculate the primary outcome.  Valid days were defined as ≥10 hours of waking wear.</w:t>
      </w:r>
    </w:p>
    <w:p w14:paraId="535F40BE" w14:textId="77777777" w:rsidR="00055264" w:rsidRPr="00810C7D" w:rsidRDefault="00055264" w:rsidP="00880CFB">
      <w:pPr>
        <w:spacing w:after="0" w:line="360" w:lineRule="auto"/>
        <w:ind w:left="57" w:right="57"/>
        <w:rPr>
          <w:rFonts w:ascii="Times New Roman" w:hAnsi="Times New Roman" w:cs="Times New Roman"/>
        </w:rPr>
      </w:pPr>
    </w:p>
    <w:p w14:paraId="58890BE8" w14:textId="53DA57DF" w:rsidR="00C55FCD" w:rsidRPr="00810C7D" w:rsidRDefault="00B0008E" w:rsidP="00880CFB">
      <w:pPr>
        <w:spacing w:after="0" w:line="360" w:lineRule="auto"/>
        <w:ind w:left="57" w:right="57"/>
        <w:rPr>
          <w:rFonts w:ascii="Times New Roman" w:hAnsi="Times New Roman" w:cs="Times New Roman"/>
        </w:rPr>
      </w:pPr>
      <w:r w:rsidRPr="00810C7D">
        <w:rPr>
          <w:rFonts w:ascii="Times New Roman" w:hAnsi="Times New Roman" w:cs="Times New Roman"/>
        </w:rPr>
        <w:t xml:space="preserve">The main explanatory variable </w:t>
      </w:r>
      <w:r w:rsidR="00C55FCD" w:rsidRPr="00810C7D">
        <w:rPr>
          <w:rFonts w:ascii="Times New Roman" w:hAnsi="Times New Roman" w:cs="Times New Roman"/>
        </w:rPr>
        <w:t xml:space="preserve">was </w:t>
      </w:r>
      <w:r w:rsidRPr="00810C7D">
        <w:rPr>
          <w:rFonts w:ascii="Times New Roman" w:hAnsi="Times New Roman" w:cs="Times New Roman"/>
        </w:rPr>
        <w:t>n</w:t>
      </w:r>
      <w:r w:rsidR="00055264" w:rsidRPr="00810C7D">
        <w:rPr>
          <w:rFonts w:ascii="Times New Roman" w:hAnsi="Times New Roman" w:cs="Times New Roman"/>
        </w:rPr>
        <w:t>eighbourhood walkability</w:t>
      </w:r>
      <w:r w:rsidR="00C55FCD" w:rsidRPr="00810C7D">
        <w:rPr>
          <w:rFonts w:ascii="Times New Roman" w:hAnsi="Times New Roman" w:cs="Times New Roman"/>
        </w:rPr>
        <w:t>. Data for six indicators of neighbou</w:t>
      </w:r>
      <w:r w:rsidR="00B13644" w:rsidRPr="00810C7D">
        <w:rPr>
          <w:rFonts w:ascii="Times New Roman" w:hAnsi="Times New Roman" w:cs="Times New Roman"/>
        </w:rPr>
        <w:t>rhood walkability were computed</w:t>
      </w:r>
      <w:r w:rsidR="00C55FCD" w:rsidRPr="00810C7D">
        <w:rPr>
          <w:rFonts w:ascii="Times New Roman" w:hAnsi="Times New Roman" w:cs="Times New Roman"/>
        </w:rPr>
        <w:t xml:space="preserve"> (effective walkable area, road density, footpath density, number of junctions, number of cul-de-sacs, connected node ratio</w:t>
      </w:r>
      <w:r w:rsidR="004E323F" w:rsidRPr="00810C7D">
        <w:rPr>
          <w:rFonts w:ascii="Times New Roman" w:hAnsi="Times New Roman" w:cs="Times New Roman"/>
        </w:rPr>
        <w:t xml:space="preserve"> (Supplementary Table </w:t>
      </w:r>
      <w:r w:rsidR="00DD143B" w:rsidRPr="00810C7D">
        <w:rPr>
          <w:rFonts w:ascii="Times New Roman" w:hAnsi="Times New Roman" w:cs="Times New Roman"/>
        </w:rPr>
        <w:t>S</w:t>
      </w:r>
      <w:r w:rsidR="004E323F" w:rsidRPr="00810C7D">
        <w:rPr>
          <w:rFonts w:ascii="Times New Roman" w:hAnsi="Times New Roman" w:cs="Times New Roman"/>
        </w:rPr>
        <w:t>1)</w:t>
      </w:r>
      <w:r w:rsidR="00513C4E" w:rsidRPr="00810C7D">
        <w:rPr>
          <w:rFonts w:ascii="Times New Roman" w:hAnsi="Times New Roman" w:cs="Times New Roman"/>
        </w:rPr>
        <w:t xml:space="preserve"> </w:t>
      </w:r>
      <w:r w:rsidR="00ED186E" w:rsidRPr="00810C7D">
        <w:rPr>
          <w:rFonts w:ascii="Times New Roman" w:hAnsi="Times New Roman" w:cs="Times New Roman"/>
          <w:vertAlign w:val="superscript"/>
        </w:rPr>
        <w:fldChar w:fldCharType="begin"/>
      </w:r>
      <w:r w:rsidR="00B41F77" w:rsidRPr="00810C7D">
        <w:rPr>
          <w:rFonts w:ascii="Times New Roman" w:hAnsi="Times New Roman" w:cs="Times New Roman"/>
          <w:vertAlign w:val="superscript"/>
        </w:rPr>
        <w:instrText>ADDIN RW.CITE{{10342 D’Sousa,E. 2007}}</w:instrText>
      </w:r>
      <w:r w:rsidR="00ED186E" w:rsidRPr="00810C7D">
        <w:rPr>
          <w:rFonts w:ascii="Times New Roman" w:hAnsi="Times New Roman" w:cs="Times New Roman"/>
          <w:vertAlign w:val="superscript"/>
        </w:rPr>
        <w:fldChar w:fldCharType="separate"/>
      </w:r>
      <w:r w:rsidR="00B41F77" w:rsidRPr="00810C7D">
        <w:rPr>
          <w:rFonts w:ascii="Times New Roman" w:hAnsi="Times New Roman" w:cs="Times New Roman"/>
          <w:vertAlign w:val="superscript"/>
        </w:rPr>
        <w:t>16</w:t>
      </w:r>
      <w:r w:rsidR="00ED186E" w:rsidRPr="00810C7D">
        <w:rPr>
          <w:rFonts w:ascii="Times New Roman" w:hAnsi="Times New Roman" w:cs="Times New Roman"/>
          <w:vertAlign w:val="superscript"/>
        </w:rPr>
        <w:fldChar w:fldCharType="end"/>
      </w:r>
      <w:r w:rsidR="00513C4E" w:rsidRPr="00810C7D">
        <w:rPr>
          <w:rFonts w:ascii="Times New Roman" w:hAnsi="Times New Roman" w:cs="Times New Roman"/>
        </w:rPr>
        <w:t>.</w:t>
      </w:r>
      <w:r w:rsidR="00C55FCD" w:rsidRPr="00810C7D">
        <w:rPr>
          <w:rFonts w:ascii="Times New Roman" w:hAnsi="Times New Roman" w:cs="Times New Roman"/>
        </w:rPr>
        <w:t xml:space="preserve"> </w:t>
      </w:r>
      <w:r w:rsidR="00B64468" w:rsidRPr="00810C7D">
        <w:rPr>
          <w:rFonts w:ascii="Times New Roman" w:hAnsi="Times New Roman" w:cs="Times New Roman"/>
        </w:rPr>
        <w:t xml:space="preserve">ArcGIS </w:t>
      </w:r>
      <w:r w:rsidR="00CB6B4A" w:rsidRPr="00810C7D">
        <w:rPr>
          <w:rFonts w:ascii="Times New Roman" w:hAnsi="Times New Roman" w:cs="Times New Roman"/>
        </w:rPr>
        <w:t>10.1 (ESRI, California, USA</w:t>
      </w:r>
      <w:r w:rsidR="00B64468" w:rsidRPr="00810C7D">
        <w:rPr>
          <w:rFonts w:ascii="Times New Roman" w:hAnsi="Times New Roman" w:cs="Times New Roman"/>
        </w:rPr>
        <w:t>), a geographic information system, was u</w:t>
      </w:r>
      <w:r w:rsidR="00513C4E" w:rsidRPr="00810C7D">
        <w:rPr>
          <w:rFonts w:ascii="Times New Roman" w:hAnsi="Times New Roman" w:cs="Times New Roman"/>
        </w:rPr>
        <w:t xml:space="preserve">sed to calculate these measures </w:t>
      </w:r>
      <w:r w:rsidR="003E2533" w:rsidRPr="00810C7D">
        <w:rPr>
          <w:rFonts w:ascii="Times New Roman" w:hAnsi="Times New Roman" w:cs="Times New Roman"/>
        </w:rPr>
        <w:fldChar w:fldCharType="begin"/>
      </w:r>
      <w:r w:rsidR="00B41F77" w:rsidRPr="00810C7D">
        <w:rPr>
          <w:rFonts w:ascii="Times New Roman" w:hAnsi="Times New Roman" w:cs="Times New Roman"/>
        </w:rPr>
        <w:instrText>ADDIN RW.CITE{{10382 [NoInformation] [No Information]}}</w:instrText>
      </w:r>
      <w:r w:rsidR="003E2533" w:rsidRPr="00810C7D">
        <w:rPr>
          <w:rFonts w:ascii="Times New Roman" w:hAnsi="Times New Roman" w:cs="Times New Roman"/>
        </w:rPr>
        <w:fldChar w:fldCharType="separate"/>
      </w:r>
      <w:r w:rsidR="00B41F77" w:rsidRPr="00810C7D">
        <w:rPr>
          <w:rFonts w:ascii="Times New Roman" w:hAnsi="Times New Roman" w:cs="Times New Roman"/>
          <w:vertAlign w:val="superscript"/>
        </w:rPr>
        <w:t>17</w:t>
      </w:r>
      <w:r w:rsidR="003E2533" w:rsidRPr="00810C7D">
        <w:rPr>
          <w:rFonts w:ascii="Times New Roman" w:hAnsi="Times New Roman" w:cs="Times New Roman"/>
        </w:rPr>
        <w:fldChar w:fldCharType="end"/>
      </w:r>
      <w:r w:rsidR="00513C4E" w:rsidRPr="00810C7D">
        <w:rPr>
          <w:rFonts w:ascii="Times New Roman" w:hAnsi="Times New Roman" w:cs="Times New Roman"/>
        </w:rPr>
        <w:t>.</w:t>
      </w:r>
      <w:r w:rsidR="005B4FCF" w:rsidRPr="00810C7D">
        <w:rPr>
          <w:rFonts w:ascii="Times New Roman" w:hAnsi="Times New Roman" w:cs="Times New Roman"/>
          <w:vertAlign w:val="superscript"/>
        </w:rPr>
        <w:t xml:space="preserve"> </w:t>
      </w:r>
      <w:r w:rsidR="005B4FCF" w:rsidRPr="00810C7D">
        <w:rPr>
          <w:rFonts w:ascii="Times New Roman" w:hAnsi="Times New Roman" w:cs="Times New Roman"/>
        </w:rPr>
        <w:t xml:space="preserve"> </w:t>
      </w:r>
      <w:r w:rsidR="00B64468" w:rsidRPr="00810C7D">
        <w:rPr>
          <w:rFonts w:ascii="Times New Roman" w:hAnsi="Times New Roman" w:cs="Times New Roman"/>
        </w:rPr>
        <w:t>To delineate neighbourhood boundaries, the home postcode of each participant at baseline was geo-located using the UK Ordnance Survey</w:t>
      </w:r>
      <w:r w:rsidR="00CB6B4A" w:rsidRPr="00810C7D">
        <w:rPr>
          <w:rFonts w:ascii="Times New Roman" w:hAnsi="Times New Roman" w:cs="Times New Roman"/>
        </w:rPr>
        <w:t xml:space="preserve"> Code-Point® database </w:t>
      </w:r>
      <w:r w:rsidR="003E2533" w:rsidRPr="00810C7D">
        <w:rPr>
          <w:rFonts w:ascii="Times New Roman" w:hAnsi="Times New Roman" w:cs="Times New Roman"/>
        </w:rPr>
        <w:fldChar w:fldCharType="begin"/>
      </w:r>
      <w:r w:rsidR="00B41F77" w:rsidRPr="00810C7D">
        <w:rPr>
          <w:rFonts w:ascii="Times New Roman" w:hAnsi="Times New Roman" w:cs="Times New Roman"/>
        </w:rPr>
        <w:instrText>ADDIN RW.CITE{{10378 OrdananceSurvey [No Information]}}</w:instrText>
      </w:r>
      <w:r w:rsidR="003E2533" w:rsidRPr="00810C7D">
        <w:rPr>
          <w:rFonts w:ascii="Times New Roman" w:hAnsi="Times New Roman" w:cs="Times New Roman"/>
        </w:rPr>
        <w:fldChar w:fldCharType="separate"/>
      </w:r>
      <w:r w:rsidR="00B41F77" w:rsidRPr="00810C7D">
        <w:rPr>
          <w:rFonts w:ascii="Times New Roman" w:hAnsi="Times New Roman" w:cs="Times New Roman"/>
          <w:vertAlign w:val="superscript"/>
        </w:rPr>
        <w:t>RW.ERROR - Unable to find reference:10378</w:t>
      </w:r>
      <w:r w:rsidR="003E2533" w:rsidRPr="00810C7D">
        <w:rPr>
          <w:rFonts w:ascii="Times New Roman" w:hAnsi="Times New Roman" w:cs="Times New Roman"/>
        </w:rPr>
        <w:fldChar w:fldCharType="end"/>
      </w:r>
      <w:r w:rsidR="00E67676" w:rsidRPr="00810C7D">
        <w:rPr>
          <w:rFonts w:ascii="Times New Roman" w:hAnsi="Times New Roman" w:cs="Times New Roman"/>
        </w:rPr>
        <w:t>,</w:t>
      </w:r>
      <w:r w:rsidR="00B64468" w:rsidRPr="00810C7D">
        <w:rPr>
          <w:rFonts w:ascii="Times New Roman" w:hAnsi="Times New Roman" w:cs="Times New Roman"/>
        </w:rPr>
        <w:t xml:space="preserve"> which provides a set of coordinates depicting the average latitude and longitude of all mail delivery locations within each postcode, which contains 15 addresses on average. Neighbourhood</w:t>
      </w:r>
      <w:r w:rsidR="00CB6B4A" w:rsidRPr="00810C7D">
        <w:rPr>
          <w:rFonts w:ascii="Times New Roman" w:hAnsi="Times New Roman" w:cs="Times New Roman"/>
        </w:rPr>
        <w:t>s</w:t>
      </w:r>
      <w:r w:rsidR="00B64468" w:rsidRPr="00810C7D">
        <w:rPr>
          <w:rFonts w:ascii="Times New Roman" w:hAnsi="Times New Roman" w:cs="Times New Roman"/>
        </w:rPr>
        <w:t xml:space="preserve"> </w:t>
      </w:r>
      <w:r w:rsidR="00CB6B4A" w:rsidRPr="00810C7D">
        <w:rPr>
          <w:rFonts w:ascii="Times New Roman" w:hAnsi="Times New Roman" w:cs="Times New Roman"/>
        </w:rPr>
        <w:t>were</w:t>
      </w:r>
      <w:r w:rsidR="00B64468" w:rsidRPr="00810C7D">
        <w:rPr>
          <w:rFonts w:ascii="Times New Roman" w:hAnsi="Times New Roman" w:cs="Times New Roman"/>
        </w:rPr>
        <w:t xml:space="preserve"> delineated based on an 800m road network buffer around these coordinates. </w:t>
      </w:r>
      <w:r w:rsidR="00C55FCD" w:rsidRPr="00810C7D">
        <w:rPr>
          <w:rFonts w:ascii="Times New Roman" w:hAnsi="Times New Roman" w:cs="Times New Roman"/>
        </w:rPr>
        <w:t>This buffer was chosen as it represents a</w:t>
      </w:r>
      <w:r w:rsidR="00851E0C" w:rsidRPr="00810C7D">
        <w:rPr>
          <w:rFonts w:ascii="Times New Roman" w:hAnsi="Times New Roman" w:cs="Times New Roman"/>
        </w:rPr>
        <w:t>n approximate</w:t>
      </w:r>
      <w:r w:rsidR="00C55FCD" w:rsidRPr="00810C7D">
        <w:rPr>
          <w:rFonts w:ascii="Times New Roman" w:hAnsi="Times New Roman" w:cs="Times New Roman"/>
        </w:rPr>
        <w:t xml:space="preserve"> 10 minute walk from the participant’</w:t>
      </w:r>
      <w:r w:rsidR="003B5E70" w:rsidRPr="00810C7D">
        <w:rPr>
          <w:rFonts w:ascii="Times New Roman" w:hAnsi="Times New Roman" w:cs="Times New Roman"/>
        </w:rPr>
        <w:t>s</w:t>
      </w:r>
      <w:r w:rsidR="00513C4E" w:rsidRPr="00810C7D">
        <w:rPr>
          <w:rFonts w:ascii="Times New Roman" w:hAnsi="Times New Roman" w:cs="Times New Roman"/>
        </w:rPr>
        <w:t xml:space="preserve"> home </w:t>
      </w:r>
      <w:r w:rsidR="00F223FD" w:rsidRPr="00810C7D">
        <w:rPr>
          <w:rFonts w:ascii="Times New Roman" w:hAnsi="Times New Roman" w:cs="Times New Roman"/>
        </w:rPr>
        <w:fldChar w:fldCharType="begin"/>
      </w:r>
      <w:r w:rsidR="00B41F77" w:rsidRPr="00810C7D">
        <w:rPr>
          <w:rFonts w:ascii="Times New Roman" w:hAnsi="Times New Roman" w:cs="Times New Roman"/>
        </w:rPr>
        <w:instrText>ADDIN RW.CITE{{10379 Villanueva,Karen 2014}}</w:instrText>
      </w:r>
      <w:r w:rsidR="00F223FD" w:rsidRPr="00810C7D">
        <w:rPr>
          <w:rFonts w:ascii="Times New Roman" w:hAnsi="Times New Roman" w:cs="Times New Roman"/>
        </w:rPr>
        <w:fldChar w:fldCharType="separate"/>
      </w:r>
      <w:r w:rsidR="00B41F77" w:rsidRPr="00810C7D">
        <w:rPr>
          <w:rFonts w:ascii="Times New Roman" w:hAnsi="Times New Roman" w:cs="Times New Roman"/>
          <w:vertAlign w:val="superscript"/>
        </w:rPr>
        <w:t>18</w:t>
      </w:r>
      <w:r w:rsidR="00F223FD" w:rsidRPr="00810C7D">
        <w:rPr>
          <w:rFonts w:ascii="Times New Roman" w:hAnsi="Times New Roman" w:cs="Times New Roman"/>
        </w:rPr>
        <w:fldChar w:fldCharType="end"/>
      </w:r>
      <w:r w:rsidR="00513C4E" w:rsidRPr="00810C7D">
        <w:rPr>
          <w:rFonts w:ascii="Times New Roman" w:hAnsi="Times New Roman" w:cs="Times New Roman"/>
        </w:rPr>
        <w:t>.</w:t>
      </w:r>
      <w:r w:rsidR="00C55FCD" w:rsidRPr="00810C7D">
        <w:rPr>
          <w:rFonts w:ascii="Times New Roman" w:hAnsi="Times New Roman" w:cs="Times New Roman"/>
        </w:rPr>
        <w:t xml:space="preserve"> </w:t>
      </w:r>
      <w:r w:rsidR="009B0390" w:rsidRPr="00810C7D">
        <w:rPr>
          <w:rFonts w:ascii="Times New Roman" w:hAnsi="Times New Roman" w:cs="Times New Roman"/>
        </w:rPr>
        <w:t>T</w:t>
      </w:r>
      <w:r w:rsidR="00C55FCD" w:rsidRPr="00810C7D">
        <w:rPr>
          <w:rFonts w:ascii="Times New Roman" w:hAnsi="Times New Roman" w:cs="Times New Roman"/>
        </w:rPr>
        <w:t>he measures were combined into a single</w:t>
      </w:r>
      <w:r w:rsidR="003B5E70" w:rsidRPr="00810C7D">
        <w:rPr>
          <w:rFonts w:ascii="Times New Roman" w:hAnsi="Times New Roman" w:cs="Times New Roman"/>
        </w:rPr>
        <w:t xml:space="preserve"> composite</w:t>
      </w:r>
      <w:r w:rsidR="00C55FCD" w:rsidRPr="00810C7D">
        <w:rPr>
          <w:rFonts w:ascii="Times New Roman" w:hAnsi="Times New Roman" w:cs="Times New Roman"/>
        </w:rPr>
        <w:t xml:space="preserve"> index, where a higher value indicates a more walkable neighbourhood. This index was created by reverse coding those scores that were inversely associated with walkability (so that a higher score always inferred higher walkability), calculating z-scores</w:t>
      </w:r>
      <w:r w:rsidR="00B94A5A" w:rsidRPr="00810C7D">
        <w:rPr>
          <w:rFonts w:ascii="Times New Roman" w:hAnsi="Times New Roman" w:cs="Times New Roman"/>
        </w:rPr>
        <w:t xml:space="preserve"> for each indicator</w:t>
      </w:r>
      <w:r w:rsidR="00C55FCD" w:rsidRPr="00810C7D">
        <w:rPr>
          <w:rFonts w:ascii="Times New Roman" w:hAnsi="Times New Roman" w:cs="Times New Roman"/>
        </w:rPr>
        <w:t xml:space="preserve">, and then summing these to give an overall index. </w:t>
      </w:r>
    </w:p>
    <w:p w14:paraId="7439AC88" w14:textId="77777777" w:rsidR="00C55FCD" w:rsidRPr="00810C7D" w:rsidRDefault="00C55FCD" w:rsidP="00880CFB">
      <w:pPr>
        <w:spacing w:after="0" w:line="360" w:lineRule="auto"/>
        <w:ind w:left="57" w:right="57"/>
        <w:rPr>
          <w:rFonts w:ascii="Times New Roman" w:hAnsi="Times New Roman" w:cs="Times New Roman"/>
        </w:rPr>
      </w:pPr>
    </w:p>
    <w:p w14:paraId="71E73900" w14:textId="6E5C77CE" w:rsidR="00372102" w:rsidRPr="00810C7D" w:rsidRDefault="00372102" w:rsidP="00880CFB">
      <w:pPr>
        <w:spacing w:after="0" w:line="360" w:lineRule="auto"/>
        <w:ind w:left="57" w:right="57"/>
        <w:rPr>
          <w:rFonts w:ascii="Times New Roman" w:hAnsi="Times New Roman" w:cs="Times New Roman"/>
        </w:rPr>
      </w:pPr>
      <w:r w:rsidRPr="00810C7D">
        <w:rPr>
          <w:rFonts w:ascii="Times New Roman" w:hAnsi="Times New Roman" w:cs="Times New Roman"/>
        </w:rPr>
        <w:t>Other explanatory variables were measured at baseline and treated as confounders: ethnicity (self-reported using Census categories and grouped as White European and non-White due to the small number of participants in some ethnic groups); age (calculated from the participant’s self-reported date of birth and date of baseline visit</w:t>
      </w:r>
      <w:r w:rsidR="003B5E70" w:rsidRPr="00810C7D">
        <w:rPr>
          <w:rFonts w:ascii="Times New Roman" w:hAnsi="Times New Roman" w:cs="Times New Roman"/>
        </w:rPr>
        <w:t>; continuous</w:t>
      </w:r>
      <w:r w:rsidRPr="00810C7D">
        <w:rPr>
          <w:rFonts w:ascii="Times New Roman" w:hAnsi="Times New Roman" w:cs="Times New Roman"/>
        </w:rPr>
        <w:t>); sex (self-reported</w:t>
      </w:r>
      <w:r w:rsidR="003B5E70" w:rsidRPr="00810C7D">
        <w:rPr>
          <w:rFonts w:ascii="Times New Roman" w:hAnsi="Times New Roman" w:cs="Times New Roman"/>
        </w:rPr>
        <w:t>; men/women</w:t>
      </w:r>
      <w:r w:rsidRPr="00810C7D">
        <w:rPr>
          <w:rFonts w:ascii="Times New Roman" w:hAnsi="Times New Roman" w:cs="Times New Roman"/>
        </w:rPr>
        <w:t>); social deprivation score (Index of Multiple Deprivation [IMD] score</w:t>
      </w:r>
      <w:r w:rsidR="003B5E70" w:rsidRPr="00810C7D">
        <w:rPr>
          <w:rFonts w:ascii="Times New Roman" w:hAnsi="Times New Roman" w:cs="Times New Roman"/>
        </w:rPr>
        <w:t>; continuous</w:t>
      </w:r>
      <w:r w:rsidRPr="00810C7D">
        <w:rPr>
          <w:rFonts w:ascii="Times New Roman" w:hAnsi="Times New Roman" w:cs="Times New Roman"/>
        </w:rPr>
        <w:t>)</w:t>
      </w:r>
      <w:r w:rsidR="00B94A5A" w:rsidRPr="00810C7D">
        <w:rPr>
          <w:rFonts w:ascii="Times New Roman" w:hAnsi="Times New Roman" w:cs="Times New Roman"/>
        </w:rPr>
        <w:t>;</w:t>
      </w:r>
      <w:r w:rsidRPr="00810C7D">
        <w:rPr>
          <w:rFonts w:ascii="Times New Roman" w:hAnsi="Times New Roman" w:cs="Times New Roman"/>
        </w:rPr>
        <w:t xml:space="preserve"> body mass index (BMI; kg/m</w:t>
      </w:r>
      <w:r w:rsidRPr="00810C7D">
        <w:rPr>
          <w:rFonts w:ascii="Times New Roman" w:hAnsi="Times New Roman" w:cs="Times New Roman"/>
          <w:vertAlign w:val="superscript"/>
        </w:rPr>
        <w:t>2</w:t>
      </w:r>
      <w:r w:rsidR="003B5E70" w:rsidRPr="00810C7D">
        <w:rPr>
          <w:rFonts w:ascii="Times New Roman" w:hAnsi="Times New Roman" w:cs="Times New Roman"/>
        </w:rPr>
        <w:t>; continuous</w:t>
      </w:r>
      <w:r w:rsidRPr="00810C7D">
        <w:rPr>
          <w:rFonts w:ascii="Times New Roman" w:hAnsi="Times New Roman" w:cs="Times New Roman"/>
        </w:rPr>
        <w:t>)</w:t>
      </w:r>
      <w:r w:rsidR="00B94A5A" w:rsidRPr="00810C7D">
        <w:rPr>
          <w:rFonts w:ascii="Times New Roman" w:hAnsi="Times New Roman" w:cs="Times New Roman"/>
        </w:rPr>
        <w:t>; and current smoker (self-reported; yes/no)</w:t>
      </w:r>
      <w:r w:rsidRPr="00810C7D">
        <w:rPr>
          <w:rFonts w:ascii="Times New Roman" w:hAnsi="Times New Roman" w:cs="Times New Roman"/>
        </w:rPr>
        <w:t>. IMD scores are publically available and are calculated using a variety of measures, including income, employment, health, education, and housing</w:t>
      </w:r>
      <w:r w:rsidR="00513C4E" w:rsidRPr="00810C7D">
        <w:rPr>
          <w:rFonts w:ascii="Times New Roman" w:hAnsi="Times New Roman" w:cs="Times New Roman"/>
        </w:rPr>
        <w:t xml:space="preserve"> </w:t>
      </w:r>
      <w:r w:rsidR="003E2533" w:rsidRPr="00810C7D">
        <w:rPr>
          <w:rFonts w:ascii="Times New Roman" w:hAnsi="Times New Roman" w:cs="Times New Roman"/>
        </w:rPr>
        <w:fldChar w:fldCharType="begin"/>
      </w:r>
      <w:r w:rsidR="00B41F77" w:rsidRPr="00810C7D">
        <w:rPr>
          <w:rFonts w:ascii="Times New Roman" w:hAnsi="Times New Roman" w:cs="Times New Roman"/>
        </w:rPr>
        <w:instrText>ADDIN RW.CITE{{8037 DepartmentforCommunitiesandLocalGovernment [No Information]}}</w:instrText>
      </w:r>
      <w:r w:rsidR="003E2533" w:rsidRPr="00810C7D">
        <w:rPr>
          <w:rFonts w:ascii="Times New Roman" w:hAnsi="Times New Roman" w:cs="Times New Roman"/>
        </w:rPr>
        <w:fldChar w:fldCharType="separate"/>
      </w:r>
      <w:r w:rsidR="00B41F77" w:rsidRPr="00810C7D">
        <w:rPr>
          <w:rFonts w:ascii="Times New Roman" w:hAnsi="Times New Roman" w:cs="Times New Roman"/>
          <w:vertAlign w:val="superscript"/>
        </w:rPr>
        <w:t>19</w:t>
      </w:r>
      <w:r w:rsidR="003E2533" w:rsidRPr="00810C7D">
        <w:rPr>
          <w:rFonts w:ascii="Times New Roman" w:hAnsi="Times New Roman" w:cs="Times New Roman"/>
        </w:rPr>
        <w:fldChar w:fldCharType="end"/>
      </w:r>
      <w:r w:rsidR="005E204A" w:rsidRPr="00810C7D">
        <w:rPr>
          <w:rFonts w:ascii="Times New Roman" w:hAnsi="Times New Roman" w:cs="Times New Roman"/>
        </w:rPr>
        <w:t>.</w:t>
      </w:r>
      <w:r w:rsidRPr="00810C7D">
        <w:rPr>
          <w:rFonts w:ascii="Times New Roman" w:hAnsi="Times New Roman" w:cs="Times New Roman"/>
        </w:rPr>
        <w:t xml:space="preserve"> </w:t>
      </w:r>
      <w:r w:rsidR="004F6DB5" w:rsidRPr="00810C7D">
        <w:rPr>
          <w:rFonts w:ascii="Times New Roman" w:hAnsi="Times New Roman" w:cs="Times New Roman"/>
        </w:rPr>
        <w:t xml:space="preserve"> </w:t>
      </w:r>
      <w:r w:rsidRPr="00810C7D">
        <w:rPr>
          <w:rFonts w:ascii="Times New Roman" w:hAnsi="Times New Roman" w:cs="Times New Roman"/>
        </w:rPr>
        <w:t xml:space="preserve">Trained staff measured weight and height, which were used to calculate BMI, to the nearest 0.1kg and 0.5cm, respectively. </w:t>
      </w:r>
    </w:p>
    <w:p w14:paraId="2DE43C90" w14:textId="77777777" w:rsidR="00A30070" w:rsidRPr="00810C7D" w:rsidRDefault="00A30070" w:rsidP="00880CFB">
      <w:pPr>
        <w:spacing w:after="0" w:line="360" w:lineRule="auto"/>
        <w:ind w:left="57" w:right="57"/>
        <w:rPr>
          <w:rFonts w:ascii="Times New Roman" w:hAnsi="Times New Roman" w:cs="Times New Roman"/>
          <w:i/>
        </w:rPr>
      </w:pPr>
    </w:p>
    <w:p w14:paraId="350EDA36" w14:textId="77777777" w:rsidR="008D7A27" w:rsidRPr="00810C7D" w:rsidRDefault="008D7A27" w:rsidP="00880CFB">
      <w:pPr>
        <w:keepNext/>
        <w:spacing w:after="0" w:line="360" w:lineRule="auto"/>
        <w:ind w:left="57" w:right="57"/>
        <w:rPr>
          <w:rFonts w:ascii="Times New Roman" w:hAnsi="Times New Roman" w:cs="Times New Roman"/>
          <w:i/>
        </w:rPr>
      </w:pPr>
      <w:r w:rsidRPr="00810C7D">
        <w:rPr>
          <w:rFonts w:ascii="Times New Roman" w:hAnsi="Times New Roman" w:cs="Times New Roman"/>
          <w:i/>
        </w:rPr>
        <w:t>Statistical analysis</w:t>
      </w:r>
    </w:p>
    <w:p w14:paraId="5D77DA6B" w14:textId="5FF4121B" w:rsidR="00372102" w:rsidRPr="00810C7D" w:rsidRDefault="00372102" w:rsidP="00880CFB">
      <w:pPr>
        <w:spacing w:after="0" w:line="360" w:lineRule="auto"/>
        <w:ind w:left="57" w:right="57"/>
        <w:rPr>
          <w:rFonts w:ascii="Times New Roman" w:hAnsi="Times New Roman" w:cs="Times New Roman"/>
        </w:rPr>
      </w:pPr>
      <w:r w:rsidRPr="00810C7D">
        <w:rPr>
          <w:rFonts w:ascii="Times New Roman" w:hAnsi="Times New Roman" w:cs="Times New Roman"/>
        </w:rPr>
        <w:t xml:space="preserve">Participant characteristics at baseline were summarised as mean (standard deviation [SD]) for </w:t>
      </w:r>
      <w:r w:rsidR="004D6105" w:rsidRPr="00810C7D">
        <w:rPr>
          <w:rFonts w:ascii="Times New Roman" w:hAnsi="Times New Roman" w:cs="Times New Roman"/>
        </w:rPr>
        <w:t xml:space="preserve">Normally-distributed </w:t>
      </w:r>
      <w:r w:rsidRPr="00810C7D">
        <w:rPr>
          <w:rFonts w:ascii="Times New Roman" w:hAnsi="Times New Roman" w:cs="Times New Roman"/>
        </w:rPr>
        <w:t>continuous variables</w:t>
      </w:r>
      <w:r w:rsidR="004D6105" w:rsidRPr="00810C7D">
        <w:rPr>
          <w:rFonts w:ascii="Times New Roman" w:hAnsi="Times New Roman" w:cs="Times New Roman"/>
        </w:rPr>
        <w:t xml:space="preserve">, median (interquartile range) for non-Normal continuous variables, </w:t>
      </w:r>
      <w:r w:rsidRPr="00810C7D">
        <w:rPr>
          <w:rFonts w:ascii="Times New Roman" w:hAnsi="Times New Roman" w:cs="Times New Roman"/>
        </w:rPr>
        <w:t xml:space="preserve">and number (percentage) for categorical variables. </w:t>
      </w:r>
      <w:r w:rsidR="00043058" w:rsidRPr="00810C7D">
        <w:rPr>
          <w:rFonts w:ascii="Times New Roman" w:hAnsi="Times New Roman" w:cs="Times New Roman"/>
        </w:rPr>
        <w:t>To investigate the cross-sectional association at baseline between the neighbourhood walkability index (explanatory variable; continuous) and the physical activity variables (outcome variables; continuous),</w:t>
      </w:r>
      <w:r w:rsidR="00415D7C" w:rsidRPr="00810C7D">
        <w:rPr>
          <w:rFonts w:ascii="Times New Roman" w:hAnsi="Times New Roman" w:cs="Times New Roman"/>
        </w:rPr>
        <w:t xml:space="preserve"> the following</w:t>
      </w:r>
      <w:r w:rsidR="00043058" w:rsidRPr="00810C7D">
        <w:rPr>
          <w:rFonts w:ascii="Times New Roman" w:hAnsi="Times New Roman" w:cs="Times New Roman"/>
        </w:rPr>
        <w:t xml:space="preserve"> l</w:t>
      </w:r>
      <w:r w:rsidRPr="00810C7D">
        <w:rPr>
          <w:rFonts w:ascii="Times New Roman" w:hAnsi="Times New Roman" w:cs="Times New Roman"/>
        </w:rPr>
        <w:t xml:space="preserve">inear regression models </w:t>
      </w:r>
      <w:r w:rsidR="00415D7C" w:rsidRPr="00810C7D">
        <w:rPr>
          <w:rFonts w:ascii="Times New Roman" w:hAnsi="Times New Roman" w:cs="Times New Roman"/>
        </w:rPr>
        <w:t>were fitted.  Unadjusted Model: un</w:t>
      </w:r>
      <w:r w:rsidRPr="00810C7D">
        <w:rPr>
          <w:rFonts w:ascii="Times New Roman" w:hAnsi="Times New Roman" w:cs="Times New Roman"/>
        </w:rPr>
        <w:t xml:space="preserve">adjusted for </w:t>
      </w:r>
      <w:r w:rsidR="00415D7C" w:rsidRPr="00810C7D">
        <w:rPr>
          <w:rFonts w:ascii="Times New Roman" w:hAnsi="Times New Roman" w:cs="Times New Roman"/>
        </w:rPr>
        <w:t xml:space="preserve">confounders, but accounted for the </w:t>
      </w:r>
      <w:r w:rsidRPr="00810C7D">
        <w:rPr>
          <w:rFonts w:ascii="Times New Roman" w:hAnsi="Times New Roman" w:cs="Times New Roman"/>
        </w:rPr>
        <w:t>average accelerometer wear time in minutes (continuous)</w:t>
      </w:r>
      <w:r w:rsidR="00415D7C" w:rsidRPr="00810C7D">
        <w:rPr>
          <w:rFonts w:ascii="Times New Roman" w:hAnsi="Times New Roman" w:cs="Times New Roman"/>
        </w:rPr>
        <w:t>;</w:t>
      </w:r>
      <w:r w:rsidR="00043058" w:rsidRPr="00810C7D">
        <w:rPr>
          <w:rFonts w:ascii="Times New Roman" w:hAnsi="Times New Roman" w:cs="Times New Roman"/>
        </w:rPr>
        <w:t xml:space="preserve"> </w:t>
      </w:r>
      <w:r w:rsidR="004D6105" w:rsidRPr="00810C7D">
        <w:rPr>
          <w:rFonts w:ascii="Times New Roman" w:hAnsi="Times New Roman" w:cs="Times New Roman"/>
        </w:rPr>
        <w:t>Adjusted Model 1:</w:t>
      </w:r>
      <w:r w:rsidRPr="00810C7D">
        <w:rPr>
          <w:rFonts w:ascii="Times New Roman" w:hAnsi="Times New Roman" w:cs="Times New Roman"/>
        </w:rPr>
        <w:t xml:space="preserve"> ethnicity, age, sex, </w:t>
      </w:r>
      <w:r w:rsidR="004D6105" w:rsidRPr="00810C7D">
        <w:rPr>
          <w:rFonts w:ascii="Times New Roman" w:hAnsi="Times New Roman" w:cs="Times New Roman"/>
        </w:rPr>
        <w:t xml:space="preserve">and </w:t>
      </w:r>
      <w:r w:rsidRPr="00810C7D">
        <w:rPr>
          <w:rFonts w:ascii="Times New Roman" w:hAnsi="Times New Roman" w:cs="Times New Roman"/>
        </w:rPr>
        <w:t>social deprivation score</w:t>
      </w:r>
      <w:r w:rsidR="004D6105" w:rsidRPr="00810C7D">
        <w:rPr>
          <w:rFonts w:ascii="Times New Roman" w:hAnsi="Times New Roman" w:cs="Times New Roman"/>
        </w:rPr>
        <w:t xml:space="preserve">; Adjusted Model 2: As in Model 1 plus </w:t>
      </w:r>
      <w:r w:rsidRPr="00810C7D">
        <w:rPr>
          <w:rFonts w:ascii="Times New Roman" w:hAnsi="Times New Roman" w:cs="Times New Roman"/>
        </w:rPr>
        <w:t xml:space="preserve">BMI </w:t>
      </w:r>
      <w:r w:rsidR="004D6105" w:rsidRPr="00810C7D">
        <w:rPr>
          <w:rFonts w:ascii="Times New Roman" w:hAnsi="Times New Roman" w:cs="Times New Roman"/>
        </w:rPr>
        <w:t>and current smoker</w:t>
      </w:r>
      <w:r w:rsidRPr="00810C7D">
        <w:rPr>
          <w:rFonts w:ascii="Times New Roman" w:hAnsi="Times New Roman" w:cs="Times New Roman"/>
        </w:rPr>
        <w:t xml:space="preserve">. </w:t>
      </w:r>
      <w:r w:rsidR="00C721E3" w:rsidRPr="00810C7D">
        <w:rPr>
          <w:rFonts w:ascii="Times New Roman" w:hAnsi="Times New Roman" w:cs="Times New Roman"/>
        </w:rPr>
        <w:t xml:space="preserve">All models were fitted with standard errors that </w:t>
      </w:r>
      <w:r w:rsidR="00057404" w:rsidRPr="00810C7D">
        <w:rPr>
          <w:rFonts w:ascii="Times New Roman" w:hAnsi="Times New Roman" w:cs="Times New Roman"/>
        </w:rPr>
        <w:t>ac</w:t>
      </w:r>
      <w:r w:rsidR="00C721E3" w:rsidRPr="00810C7D">
        <w:rPr>
          <w:rFonts w:ascii="Times New Roman" w:hAnsi="Times New Roman" w:cs="Times New Roman"/>
        </w:rPr>
        <w:t xml:space="preserve">counted for the practice-level clustering. </w:t>
      </w:r>
    </w:p>
    <w:p w14:paraId="5A03269E" w14:textId="77777777" w:rsidR="00372102" w:rsidRPr="00810C7D" w:rsidRDefault="00372102" w:rsidP="00880CFB">
      <w:pPr>
        <w:spacing w:after="0" w:line="360" w:lineRule="auto"/>
        <w:ind w:left="57" w:right="57"/>
        <w:rPr>
          <w:rFonts w:ascii="Times New Roman" w:hAnsi="Times New Roman" w:cs="Times New Roman"/>
        </w:rPr>
      </w:pPr>
    </w:p>
    <w:p w14:paraId="50977E44" w14:textId="0E281F2D" w:rsidR="00043058" w:rsidRPr="00810C7D" w:rsidRDefault="00372102" w:rsidP="00880CFB">
      <w:pPr>
        <w:spacing w:after="0" w:line="360" w:lineRule="auto"/>
        <w:ind w:left="57" w:right="57"/>
        <w:rPr>
          <w:rFonts w:ascii="Times New Roman" w:hAnsi="Times New Roman" w:cs="Times New Roman"/>
        </w:rPr>
      </w:pPr>
      <w:r w:rsidRPr="00810C7D">
        <w:rPr>
          <w:rFonts w:ascii="Times New Roman" w:hAnsi="Times New Roman" w:cs="Times New Roman"/>
        </w:rPr>
        <w:t xml:space="preserve">Additional linear regression models were fitted to determine whether changes in the physical activity variables from </w:t>
      </w:r>
      <w:r w:rsidR="004E323F" w:rsidRPr="00810C7D">
        <w:rPr>
          <w:rFonts w:ascii="Times New Roman" w:hAnsi="Times New Roman" w:cs="Times New Roman"/>
        </w:rPr>
        <w:t xml:space="preserve">intervention </w:t>
      </w:r>
      <w:r w:rsidRPr="00810C7D">
        <w:rPr>
          <w:rFonts w:ascii="Times New Roman" w:hAnsi="Times New Roman" w:cs="Times New Roman"/>
        </w:rPr>
        <w:t xml:space="preserve">baseline to each follow-up point (outcome) were associated with the neighbourhood walkability </w:t>
      </w:r>
      <w:r w:rsidR="00043058" w:rsidRPr="00810C7D">
        <w:rPr>
          <w:rFonts w:ascii="Times New Roman" w:hAnsi="Times New Roman" w:cs="Times New Roman"/>
        </w:rPr>
        <w:t>index</w:t>
      </w:r>
      <w:r w:rsidRPr="00810C7D">
        <w:rPr>
          <w:rFonts w:ascii="Times New Roman" w:hAnsi="Times New Roman" w:cs="Times New Roman"/>
        </w:rPr>
        <w:t xml:space="preserve"> (explanatory variable) with adjustment for change in wear time, treatment allocation, and </w:t>
      </w:r>
      <w:r w:rsidR="00043058" w:rsidRPr="00810C7D">
        <w:rPr>
          <w:rFonts w:ascii="Times New Roman" w:hAnsi="Times New Roman" w:cs="Times New Roman"/>
        </w:rPr>
        <w:t xml:space="preserve">all of </w:t>
      </w:r>
      <w:r w:rsidRPr="00810C7D">
        <w:rPr>
          <w:rFonts w:ascii="Times New Roman" w:hAnsi="Times New Roman" w:cs="Times New Roman"/>
        </w:rPr>
        <w:t>the confounders listed above</w:t>
      </w:r>
      <w:r w:rsidR="00043058" w:rsidRPr="00810C7D">
        <w:rPr>
          <w:rFonts w:ascii="Times New Roman" w:hAnsi="Times New Roman" w:cs="Times New Roman"/>
        </w:rPr>
        <w:t xml:space="preserve"> (i.e. Adjusted Model 2)</w:t>
      </w:r>
      <w:r w:rsidR="00B30BD7" w:rsidRPr="00810C7D">
        <w:rPr>
          <w:rFonts w:ascii="Times New Roman" w:hAnsi="Times New Roman" w:cs="Times New Roman"/>
        </w:rPr>
        <w:t xml:space="preserve">, and with standard errors that </w:t>
      </w:r>
      <w:r w:rsidR="00057404" w:rsidRPr="00810C7D">
        <w:rPr>
          <w:rFonts w:ascii="Times New Roman" w:hAnsi="Times New Roman" w:cs="Times New Roman"/>
        </w:rPr>
        <w:t>ac</w:t>
      </w:r>
      <w:r w:rsidR="00B30BD7" w:rsidRPr="00810C7D">
        <w:rPr>
          <w:rFonts w:ascii="Times New Roman" w:hAnsi="Times New Roman" w:cs="Times New Roman"/>
        </w:rPr>
        <w:t>counted for the practice-level clustering</w:t>
      </w:r>
      <w:r w:rsidRPr="00810C7D">
        <w:rPr>
          <w:rFonts w:ascii="Times New Roman" w:hAnsi="Times New Roman" w:cs="Times New Roman"/>
        </w:rPr>
        <w:t>.  A treatment-walkability interaction was also fitted</w:t>
      </w:r>
      <w:r w:rsidR="00ED224C" w:rsidRPr="00810C7D">
        <w:rPr>
          <w:rFonts w:ascii="Times New Roman" w:hAnsi="Times New Roman" w:cs="Times New Roman"/>
        </w:rPr>
        <w:t xml:space="preserve"> to determine whether neighbourhood walkability was associated with the effectiveness of the allocated treatment;</w:t>
      </w:r>
      <w:r w:rsidRPr="00810C7D">
        <w:rPr>
          <w:rFonts w:ascii="Times New Roman" w:hAnsi="Times New Roman" w:cs="Times New Roman"/>
        </w:rPr>
        <w:t xml:space="preserve"> subset analyses </w:t>
      </w:r>
      <w:r w:rsidR="00ED224C" w:rsidRPr="00810C7D">
        <w:rPr>
          <w:rFonts w:ascii="Times New Roman" w:hAnsi="Times New Roman" w:cs="Times New Roman"/>
        </w:rPr>
        <w:t xml:space="preserve">were </w:t>
      </w:r>
      <w:r w:rsidRPr="00810C7D">
        <w:rPr>
          <w:rFonts w:ascii="Times New Roman" w:hAnsi="Times New Roman" w:cs="Times New Roman"/>
        </w:rPr>
        <w:t>conducted by treatment arm</w:t>
      </w:r>
      <w:r w:rsidR="00ED224C" w:rsidRPr="00810C7D">
        <w:rPr>
          <w:rFonts w:ascii="Times New Roman" w:hAnsi="Times New Roman" w:cs="Times New Roman"/>
        </w:rPr>
        <w:t xml:space="preserve"> where </w:t>
      </w:r>
      <w:r w:rsidRPr="00810C7D">
        <w:rPr>
          <w:rFonts w:ascii="Times New Roman" w:hAnsi="Times New Roman" w:cs="Times New Roman"/>
        </w:rPr>
        <w:t xml:space="preserve">the interaction term </w:t>
      </w:r>
      <w:r w:rsidR="00ED224C" w:rsidRPr="00810C7D">
        <w:rPr>
          <w:rFonts w:ascii="Times New Roman" w:hAnsi="Times New Roman" w:cs="Times New Roman"/>
        </w:rPr>
        <w:t xml:space="preserve">was </w:t>
      </w:r>
      <w:r w:rsidRPr="00810C7D">
        <w:rPr>
          <w:rFonts w:ascii="Times New Roman" w:hAnsi="Times New Roman" w:cs="Times New Roman"/>
        </w:rPr>
        <w:t>significant at the 10% level.  The main analyses used a road network buffer of 800m to define</w:t>
      </w:r>
      <w:r w:rsidR="003B5E70" w:rsidRPr="00810C7D">
        <w:rPr>
          <w:rFonts w:ascii="Times New Roman" w:hAnsi="Times New Roman" w:cs="Times New Roman"/>
        </w:rPr>
        <w:t xml:space="preserve"> the home</w:t>
      </w:r>
      <w:r w:rsidRPr="00810C7D">
        <w:rPr>
          <w:rFonts w:ascii="Times New Roman" w:hAnsi="Times New Roman" w:cs="Times New Roman"/>
        </w:rPr>
        <w:t xml:space="preserve"> neighbourhood; sensitivity analyses were performed using buffers of 400m and 1600m. </w:t>
      </w:r>
      <w:r w:rsidR="00043058" w:rsidRPr="00810C7D">
        <w:rPr>
          <w:rFonts w:ascii="Times New Roman" w:hAnsi="Times New Roman" w:cs="Times New Roman"/>
        </w:rPr>
        <w:t xml:space="preserve">Additional sensitivity analyses repeated the main analyses using the individual walkability indicators as explanatory variables, instead of the </w:t>
      </w:r>
      <w:r w:rsidR="0014783F" w:rsidRPr="00810C7D">
        <w:rPr>
          <w:rFonts w:ascii="Times New Roman" w:hAnsi="Times New Roman" w:cs="Times New Roman"/>
        </w:rPr>
        <w:t xml:space="preserve">composite </w:t>
      </w:r>
      <w:r w:rsidR="00043058" w:rsidRPr="00810C7D">
        <w:rPr>
          <w:rFonts w:ascii="Times New Roman" w:hAnsi="Times New Roman" w:cs="Times New Roman"/>
        </w:rPr>
        <w:t>neighbourhood walkability index.</w:t>
      </w:r>
    </w:p>
    <w:p w14:paraId="7EF1564B" w14:textId="77777777" w:rsidR="00043058" w:rsidRPr="00810C7D" w:rsidRDefault="00043058" w:rsidP="00880CFB">
      <w:pPr>
        <w:spacing w:after="0" w:line="360" w:lineRule="auto"/>
        <w:ind w:left="57" w:right="57"/>
        <w:rPr>
          <w:rFonts w:ascii="Times New Roman" w:hAnsi="Times New Roman" w:cs="Times New Roman"/>
        </w:rPr>
      </w:pPr>
    </w:p>
    <w:p w14:paraId="4C91CAF1" w14:textId="0B887F20" w:rsidR="00A142F2" w:rsidRPr="00810C7D" w:rsidRDefault="00372102" w:rsidP="00880CFB">
      <w:pPr>
        <w:spacing w:after="0" w:line="360" w:lineRule="auto"/>
        <w:ind w:left="57" w:right="57"/>
        <w:rPr>
          <w:rFonts w:ascii="Times New Roman" w:hAnsi="Times New Roman" w:cs="Times New Roman"/>
        </w:rPr>
      </w:pPr>
      <w:r w:rsidRPr="00810C7D">
        <w:rPr>
          <w:rFonts w:ascii="Times New Roman" w:hAnsi="Times New Roman" w:cs="Times New Roman"/>
        </w:rPr>
        <w:t>Analyses were performed in Stata v14.0. P-values &lt;0.05 for main effects and &lt;0.10 for interactions were treated as statistically significant.</w:t>
      </w:r>
      <w:r w:rsidR="00043058" w:rsidRPr="00810C7D">
        <w:rPr>
          <w:rFonts w:ascii="Times New Roman" w:hAnsi="Times New Roman" w:cs="Times New Roman"/>
        </w:rPr>
        <w:t xml:space="preserve"> Missing data were not imputed.</w:t>
      </w:r>
    </w:p>
    <w:p w14:paraId="21BA4528" w14:textId="77777777" w:rsidR="00ED224C" w:rsidRPr="00810C7D" w:rsidRDefault="00ED224C" w:rsidP="00880CFB">
      <w:pPr>
        <w:spacing w:after="0" w:line="360" w:lineRule="auto"/>
        <w:ind w:left="57" w:right="57"/>
        <w:rPr>
          <w:rFonts w:ascii="Times New Roman" w:hAnsi="Times New Roman" w:cs="Times New Roman"/>
        </w:rPr>
      </w:pPr>
    </w:p>
    <w:p w14:paraId="057C69F6" w14:textId="10235605" w:rsidR="00975D25" w:rsidRPr="00810C7D" w:rsidRDefault="00975D25" w:rsidP="00880CFB">
      <w:pPr>
        <w:spacing w:after="0" w:line="360" w:lineRule="auto"/>
        <w:ind w:left="57" w:right="57"/>
        <w:rPr>
          <w:rFonts w:ascii="Times New Roman" w:hAnsi="Times New Roman" w:cs="Times New Roman"/>
        </w:rPr>
      </w:pPr>
      <w:r w:rsidRPr="00810C7D">
        <w:rPr>
          <w:rFonts w:ascii="Times New Roman" w:hAnsi="Times New Roman" w:cs="Times New Roman"/>
          <w:b/>
        </w:rPr>
        <w:t>Results</w:t>
      </w:r>
    </w:p>
    <w:p w14:paraId="10F9C176" w14:textId="77777777" w:rsidR="00975D25" w:rsidRPr="00810C7D" w:rsidRDefault="00975D25" w:rsidP="00880CFB">
      <w:pPr>
        <w:spacing w:after="0" w:line="360" w:lineRule="auto"/>
        <w:ind w:left="57" w:right="57"/>
        <w:rPr>
          <w:rFonts w:ascii="Times New Roman" w:hAnsi="Times New Roman" w:cs="Times New Roman"/>
          <w:i/>
        </w:rPr>
      </w:pPr>
      <w:r w:rsidRPr="00810C7D">
        <w:rPr>
          <w:rFonts w:ascii="Times New Roman" w:hAnsi="Times New Roman" w:cs="Times New Roman"/>
          <w:i/>
        </w:rPr>
        <w:t>Baseline characteristics</w:t>
      </w:r>
    </w:p>
    <w:p w14:paraId="09A8830B" w14:textId="093BBAC4" w:rsidR="00573E63" w:rsidRPr="00810C7D" w:rsidRDefault="00A142F2" w:rsidP="00880CFB">
      <w:pPr>
        <w:spacing w:after="0" w:line="360" w:lineRule="auto"/>
        <w:ind w:left="57" w:right="57"/>
        <w:rPr>
          <w:rFonts w:ascii="Times New Roman" w:hAnsi="Times New Roman" w:cs="Times New Roman"/>
        </w:rPr>
      </w:pPr>
      <w:r w:rsidRPr="00810C7D">
        <w:rPr>
          <w:rFonts w:ascii="Times New Roman" w:hAnsi="Times New Roman" w:cs="Times New Roman"/>
        </w:rPr>
        <w:t>The Walking Away from Diabetes study included 808 individuals a</w:t>
      </w:r>
      <w:r w:rsidR="004F6DB5" w:rsidRPr="00810C7D">
        <w:rPr>
          <w:rFonts w:ascii="Times New Roman" w:hAnsi="Times New Roman" w:cs="Times New Roman"/>
        </w:rPr>
        <w:t>t high risk of T2DM. Of these, one</w:t>
      </w:r>
      <w:r w:rsidRPr="00810C7D">
        <w:rPr>
          <w:rFonts w:ascii="Times New Roman" w:hAnsi="Times New Roman" w:cs="Times New Roman"/>
        </w:rPr>
        <w:t xml:space="preserve"> participant had an invalid postcode and 101 did not have four days of valid accelerometer wear at baseline and were thus excluded</w:t>
      </w:r>
      <w:r w:rsidR="00FF018B" w:rsidRPr="00810C7D">
        <w:rPr>
          <w:rFonts w:ascii="Times New Roman" w:hAnsi="Times New Roman" w:cs="Times New Roman"/>
        </w:rPr>
        <w:t>; therefore</w:t>
      </w:r>
      <w:r w:rsidRPr="00810C7D">
        <w:rPr>
          <w:rFonts w:ascii="Times New Roman" w:hAnsi="Times New Roman" w:cs="Times New Roman"/>
        </w:rPr>
        <w:t xml:space="preserve">, data from 706 participants were analysed.  </w:t>
      </w:r>
      <w:r w:rsidR="00EF4B2A" w:rsidRPr="00810C7D">
        <w:rPr>
          <w:rFonts w:ascii="Times New Roman" w:hAnsi="Times New Roman" w:cs="Times New Roman"/>
        </w:rPr>
        <w:t>Age of participants included in this analysis ranged from 30 to 74 years.  M</w:t>
      </w:r>
      <w:r w:rsidRPr="00810C7D">
        <w:rPr>
          <w:rFonts w:ascii="Times New Roman" w:hAnsi="Times New Roman" w:cs="Times New Roman"/>
        </w:rPr>
        <w:t>ean age and BMI of the population were 63</w:t>
      </w:r>
      <w:r w:rsidR="00573E63" w:rsidRPr="00810C7D">
        <w:rPr>
          <w:rFonts w:ascii="Times New Roman" w:hAnsi="Times New Roman" w:cs="Times New Roman"/>
        </w:rPr>
        <w:t>.</w:t>
      </w:r>
      <w:r w:rsidR="00372359" w:rsidRPr="00810C7D">
        <w:rPr>
          <w:rFonts w:ascii="Times New Roman" w:hAnsi="Times New Roman" w:cs="Times New Roman"/>
        </w:rPr>
        <w:t>8</w:t>
      </w:r>
      <w:r w:rsidR="00573E63" w:rsidRPr="00810C7D">
        <w:rPr>
          <w:rFonts w:ascii="Times New Roman" w:hAnsi="Times New Roman" w:cs="Times New Roman"/>
        </w:rPr>
        <w:t xml:space="preserve"> years (SD 7.7 years</w:t>
      </w:r>
      <w:r w:rsidR="00EF4B2A" w:rsidRPr="00810C7D">
        <w:rPr>
          <w:rFonts w:ascii="Times New Roman" w:hAnsi="Times New Roman" w:cs="Times New Roman"/>
        </w:rPr>
        <w:t>)</w:t>
      </w:r>
      <w:r w:rsidRPr="00810C7D">
        <w:rPr>
          <w:rFonts w:ascii="Times New Roman" w:hAnsi="Times New Roman" w:cs="Times New Roman"/>
        </w:rPr>
        <w:t xml:space="preserve"> and 32</w:t>
      </w:r>
      <w:r w:rsidR="00573E63" w:rsidRPr="00810C7D">
        <w:rPr>
          <w:rFonts w:ascii="Times New Roman" w:hAnsi="Times New Roman" w:cs="Times New Roman"/>
        </w:rPr>
        <w:t xml:space="preserve">.2 </w:t>
      </w:r>
      <w:r w:rsidRPr="00810C7D">
        <w:rPr>
          <w:rFonts w:ascii="Times New Roman" w:hAnsi="Times New Roman" w:cs="Times New Roman"/>
        </w:rPr>
        <w:t>kg</w:t>
      </w:r>
      <w:r w:rsidR="00573E63" w:rsidRPr="00810C7D">
        <w:rPr>
          <w:rFonts w:ascii="Times New Roman" w:hAnsi="Times New Roman" w:cs="Times New Roman"/>
        </w:rPr>
        <w:t>/</w:t>
      </w:r>
      <w:r w:rsidRPr="00810C7D">
        <w:rPr>
          <w:rFonts w:ascii="Times New Roman" w:hAnsi="Times New Roman" w:cs="Times New Roman"/>
        </w:rPr>
        <w:t>m</w:t>
      </w:r>
      <w:r w:rsidRPr="00810C7D">
        <w:rPr>
          <w:rFonts w:ascii="Times New Roman" w:hAnsi="Times New Roman" w:cs="Times New Roman"/>
          <w:vertAlign w:val="superscript"/>
        </w:rPr>
        <w:t>2</w:t>
      </w:r>
      <w:r w:rsidRPr="00810C7D">
        <w:rPr>
          <w:rFonts w:ascii="Times New Roman" w:hAnsi="Times New Roman" w:cs="Times New Roman"/>
        </w:rPr>
        <w:t xml:space="preserve"> (SD 5.3</w:t>
      </w:r>
      <w:r w:rsidR="00573E63" w:rsidRPr="00810C7D">
        <w:rPr>
          <w:rFonts w:ascii="Times New Roman" w:hAnsi="Times New Roman" w:cs="Times New Roman"/>
        </w:rPr>
        <w:t xml:space="preserve"> kg/m</w:t>
      </w:r>
      <w:r w:rsidR="00573E63" w:rsidRPr="00810C7D">
        <w:rPr>
          <w:rFonts w:ascii="Times New Roman" w:hAnsi="Times New Roman" w:cs="Times New Roman"/>
          <w:vertAlign w:val="superscript"/>
        </w:rPr>
        <w:t>2</w:t>
      </w:r>
      <w:r w:rsidRPr="00810C7D">
        <w:rPr>
          <w:rFonts w:ascii="Times New Roman" w:hAnsi="Times New Roman" w:cs="Times New Roman"/>
        </w:rPr>
        <w:t>)</w:t>
      </w:r>
      <w:r w:rsidR="00573E63" w:rsidRPr="00810C7D">
        <w:rPr>
          <w:rFonts w:ascii="Times New Roman" w:hAnsi="Times New Roman" w:cs="Times New Roman"/>
        </w:rPr>
        <w:t>,</w:t>
      </w:r>
      <w:r w:rsidRPr="00810C7D">
        <w:rPr>
          <w:rFonts w:ascii="Times New Roman" w:hAnsi="Times New Roman" w:cs="Times New Roman"/>
        </w:rPr>
        <w:t xml:space="preserve"> respectively</w:t>
      </w:r>
      <w:r w:rsidR="00DD143B" w:rsidRPr="00810C7D">
        <w:rPr>
          <w:rFonts w:ascii="Times New Roman" w:hAnsi="Times New Roman" w:cs="Times New Roman"/>
        </w:rPr>
        <w:t xml:space="preserve"> (Table I</w:t>
      </w:r>
      <w:r w:rsidR="00573E63" w:rsidRPr="00810C7D">
        <w:rPr>
          <w:rFonts w:ascii="Times New Roman" w:hAnsi="Times New Roman" w:cs="Times New Roman"/>
        </w:rPr>
        <w:t>)</w:t>
      </w:r>
      <w:r w:rsidRPr="00810C7D">
        <w:rPr>
          <w:rFonts w:ascii="Times New Roman" w:hAnsi="Times New Roman" w:cs="Times New Roman"/>
        </w:rPr>
        <w:t>. The majority of participants were of White European background (89%), with 11% fr</w:t>
      </w:r>
      <w:r w:rsidR="00FF018B" w:rsidRPr="00810C7D">
        <w:rPr>
          <w:rFonts w:ascii="Times New Roman" w:hAnsi="Times New Roman" w:cs="Times New Roman"/>
        </w:rPr>
        <w:t>om other ethnic groups.  Males comprised</w:t>
      </w:r>
      <w:r w:rsidRPr="00810C7D">
        <w:rPr>
          <w:rFonts w:ascii="Times New Roman" w:hAnsi="Times New Roman" w:cs="Times New Roman"/>
        </w:rPr>
        <w:t xml:space="preserve"> 65% of the study population. </w:t>
      </w:r>
      <w:r w:rsidR="003463CE" w:rsidRPr="00810C7D">
        <w:rPr>
          <w:rFonts w:ascii="Times New Roman" w:hAnsi="Times New Roman" w:cs="Times New Roman"/>
        </w:rPr>
        <w:t>The 102 excluded participants were</w:t>
      </w:r>
      <w:r w:rsidR="00DB363C" w:rsidRPr="00810C7D">
        <w:rPr>
          <w:rFonts w:ascii="Times New Roman" w:hAnsi="Times New Roman" w:cs="Times New Roman"/>
        </w:rPr>
        <w:t>, on average,</w:t>
      </w:r>
      <w:r w:rsidR="003463CE" w:rsidRPr="00810C7D">
        <w:rPr>
          <w:rFonts w:ascii="Times New Roman" w:hAnsi="Times New Roman" w:cs="Times New Roman"/>
        </w:rPr>
        <w:t xml:space="preserve"> younger</w:t>
      </w:r>
      <w:r w:rsidR="00DB363C" w:rsidRPr="00810C7D">
        <w:rPr>
          <w:rFonts w:ascii="Times New Roman" w:hAnsi="Times New Roman" w:cs="Times New Roman"/>
        </w:rPr>
        <w:t xml:space="preserve"> (mean age 58.9 years; p for difference &lt; 0.001) and heavier (mean BMI 34.3kg/m</w:t>
      </w:r>
      <w:r w:rsidR="00DB363C" w:rsidRPr="00810C7D">
        <w:rPr>
          <w:rFonts w:ascii="Times New Roman" w:hAnsi="Times New Roman" w:cs="Times New Roman"/>
          <w:vertAlign w:val="superscript"/>
        </w:rPr>
        <w:t>2</w:t>
      </w:r>
      <w:r w:rsidR="00DB363C" w:rsidRPr="00810C7D">
        <w:rPr>
          <w:rFonts w:ascii="Times New Roman" w:hAnsi="Times New Roman" w:cs="Times New Roman"/>
        </w:rPr>
        <w:t>; p for difference &lt; 0.001)</w:t>
      </w:r>
      <w:r w:rsidR="003463CE" w:rsidRPr="00810C7D">
        <w:rPr>
          <w:rFonts w:ascii="Times New Roman" w:hAnsi="Times New Roman" w:cs="Times New Roman"/>
        </w:rPr>
        <w:t xml:space="preserve"> than those included in the analyses, but </w:t>
      </w:r>
      <w:r w:rsidR="00DB363C" w:rsidRPr="00810C7D">
        <w:rPr>
          <w:rFonts w:ascii="Times New Roman" w:hAnsi="Times New Roman" w:cs="Times New Roman"/>
        </w:rPr>
        <w:t>included</w:t>
      </w:r>
      <w:r w:rsidR="003463CE" w:rsidRPr="00810C7D">
        <w:rPr>
          <w:rFonts w:ascii="Times New Roman" w:hAnsi="Times New Roman" w:cs="Times New Roman"/>
        </w:rPr>
        <w:t xml:space="preserve"> a similar percentage of </w:t>
      </w:r>
      <w:r w:rsidR="00DB363C" w:rsidRPr="00810C7D">
        <w:rPr>
          <w:rFonts w:ascii="Times New Roman" w:hAnsi="Times New Roman" w:cs="Times New Roman"/>
        </w:rPr>
        <w:t xml:space="preserve">White Europeans (84%; p for difference = 0.13) and </w:t>
      </w:r>
      <w:r w:rsidR="003463CE" w:rsidRPr="00810C7D">
        <w:rPr>
          <w:rFonts w:ascii="Times New Roman" w:hAnsi="Times New Roman" w:cs="Times New Roman"/>
        </w:rPr>
        <w:t>males (</w:t>
      </w:r>
      <w:r w:rsidR="00566B28" w:rsidRPr="00810C7D">
        <w:rPr>
          <w:rFonts w:ascii="Times New Roman" w:hAnsi="Times New Roman" w:cs="Times New Roman"/>
        </w:rPr>
        <w:t>56%; p for difference = 0.08</w:t>
      </w:r>
      <w:r w:rsidR="003463CE" w:rsidRPr="00810C7D">
        <w:rPr>
          <w:rFonts w:ascii="Times New Roman" w:hAnsi="Times New Roman" w:cs="Times New Roman"/>
        </w:rPr>
        <w:t>).</w:t>
      </w:r>
    </w:p>
    <w:p w14:paraId="5B1ACD5F" w14:textId="77777777" w:rsidR="00A30070" w:rsidRPr="00810C7D" w:rsidRDefault="00A30070" w:rsidP="00880CFB">
      <w:pPr>
        <w:spacing w:after="0" w:line="360" w:lineRule="auto"/>
        <w:ind w:left="57" w:right="57"/>
        <w:rPr>
          <w:rFonts w:ascii="Times New Roman" w:hAnsi="Times New Roman" w:cs="Times New Roman"/>
          <w:i/>
        </w:rPr>
      </w:pPr>
    </w:p>
    <w:p w14:paraId="4132BDC2" w14:textId="77777777" w:rsidR="008F2252" w:rsidRPr="00810C7D" w:rsidRDefault="008F2252" w:rsidP="00880CFB">
      <w:pPr>
        <w:spacing w:after="0" w:line="360" w:lineRule="auto"/>
        <w:ind w:left="57" w:right="57"/>
        <w:rPr>
          <w:rFonts w:ascii="Times New Roman" w:hAnsi="Times New Roman" w:cs="Times New Roman"/>
          <w:i/>
        </w:rPr>
      </w:pPr>
    </w:p>
    <w:p w14:paraId="2DEEE886" w14:textId="5D677B66" w:rsidR="00E427B2" w:rsidRPr="00810C7D" w:rsidRDefault="00573E63" w:rsidP="00880CFB">
      <w:pPr>
        <w:spacing w:after="0" w:line="360" w:lineRule="auto"/>
        <w:ind w:left="57" w:right="57"/>
        <w:rPr>
          <w:rFonts w:ascii="Times New Roman" w:hAnsi="Times New Roman" w:cs="Times New Roman"/>
        </w:rPr>
      </w:pPr>
      <w:r w:rsidRPr="00810C7D">
        <w:rPr>
          <w:rFonts w:ascii="Times New Roman" w:hAnsi="Times New Roman" w:cs="Times New Roman"/>
          <w:i/>
        </w:rPr>
        <w:t>Cross-sectional associations between walkability and physical activity</w:t>
      </w:r>
      <w:r w:rsidR="00A142F2" w:rsidRPr="00810C7D">
        <w:rPr>
          <w:rFonts w:ascii="Times New Roman" w:hAnsi="Times New Roman" w:cs="Times New Roman"/>
        </w:rPr>
        <w:t xml:space="preserve">  </w:t>
      </w:r>
    </w:p>
    <w:p w14:paraId="378B1117" w14:textId="70D0EF54" w:rsidR="00372359" w:rsidRPr="00810C7D" w:rsidRDefault="00DD143B" w:rsidP="00880CFB">
      <w:pPr>
        <w:spacing w:after="0" w:line="360" w:lineRule="auto"/>
        <w:ind w:left="57" w:right="57"/>
        <w:rPr>
          <w:rFonts w:ascii="Times New Roman" w:hAnsi="Times New Roman" w:cs="Times New Roman"/>
        </w:rPr>
      </w:pPr>
      <w:r w:rsidRPr="00810C7D">
        <w:rPr>
          <w:rFonts w:ascii="Times New Roman" w:hAnsi="Times New Roman" w:cs="Times New Roman"/>
        </w:rPr>
        <w:t>Table II</w:t>
      </w:r>
      <w:r w:rsidR="00573E63" w:rsidRPr="00810C7D">
        <w:rPr>
          <w:rFonts w:ascii="Times New Roman" w:hAnsi="Times New Roman" w:cs="Times New Roman"/>
        </w:rPr>
        <w:t xml:space="preserve"> shows the association between neighbourhood walkability and objectively-measured physical activity at baseline. </w:t>
      </w:r>
      <w:r w:rsidR="0055031F" w:rsidRPr="00810C7D">
        <w:rPr>
          <w:rFonts w:ascii="Times New Roman" w:hAnsi="Times New Roman" w:cs="Times New Roman"/>
        </w:rPr>
        <w:t xml:space="preserve">In unadjusted </w:t>
      </w:r>
      <w:r w:rsidR="00372359" w:rsidRPr="00810C7D">
        <w:rPr>
          <w:rFonts w:ascii="Times New Roman" w:hAnsi="Times New Roman" w:cs="Times New Roman"/>
        </w:rPr>
        <w:t xml:space="preserve">and adjusted </w:t>
      </w:r>
      <w:r w:rsidR="0055031F" w:rsidRPr="00810C7D">
        <w:rPr>
          <w:rFonts w:ascii="Times New Roman" w:hAnsi="Times New Roman" w:cs="Times New Roman"/>
        </w:rPr>
        <w:t xml:space="preserve">analyses, </w:t>
      </w:r>
      <w:r w:rsidR="00372359" w:rsidRPr="00810C7D">
        <w:rPr>
          <w:rFonts w:ascii="Times New Roman" w:hAnsi="Times New Roman" w:cs="Times New Roman"/>
        </w:rPr>
        <w:t>neighbourhood walkability was not s</w:t>
      </w:r>
      <w:r w:rsidR="00861AE9" w:rsidRPr="00810C7D">
        <w:rPr>
          <w:rFonts w:ascii="Times New Roman" w:hAnsi="Times New Roman" w:cs="Times New Roman"/>
        </w:rPr>
        <w:t>ignificantly associated with any</w:t>
      </w:r>
      <w:r w:rsidR="00372359" w:rsidRPr="00810C7D">
        <w:rPr>
          <w:rFonts w:ascii="Times New Roman" w:hAnsi="Times New Roman" w:cs="Times New Roman"/>
        </w:rPr>
        <w:t xml:space="preserve"> of the physical activity measures (p&gt;0.05 for all). The exception to this was that a more walkable neighbourhood was associated with more sedentary time in unadjusted analyses (coefficient [95% confidence interval]: 1.52 [0.02, 3.02], p = 0.048), but this association was attenuated and non-significant after adjustment for confounders.</w:t>
      </w:r>
    </w:p>
    <w:p w14:paraId="74597D42" w14:textId="77777777" w:rsidR="0055031F" w:rsidRPr="00810C7D" w:rsidRDefault="0055031F" w:rsidP="00880CFB">
      <w:pPr>
        <w:spacing w:after="0" w:line="360" w:lineRule="auto"/>
        <w:ind w:left="57" w:right="57"/>
        <w:rPr>
          <w:rFonts w:ascii="Times New Roman" w:hAnsi="Times New Roman" w:cs="Times New Roman"/>
        </w:rPr>
      </w:pPr>
    </w:p>
    <w:p w14:paraId="602FBD03" w14:textId="4D094D3A" w:rsidR="001008EA" w:rsidRPr="00810C7D" w:rsidRDefault="001008EA" w:rsidP="00880CFB">
      <w:pPr>
        <w:spacing w:after="0" w:line="360" w:lineRule="auto"/>
        <w:ind w:left="57" w:right="57"/>
        <w:rPr>
          <w:rFonts w:ascii="Times New Roman" w:hAnsi="Times New Roman" w:cs="Times New Roman"/>
        </w:rPr>
      </w:pPr>
      <w:r w:rsidRPr="00810C7D">
        <w:rPr>
          <w:rFonts w:ascii="Times New Roman" w:hAnsi="Times New Roman" w:cs="Times New Roman"/>
          <w:i/>
        </w:rPr>
        <w:t>Longitudinal associations between walkability and physical activity</w:t>
      </w:r>
      <w:r w:rsidRPr="00810C7D">
        <w:rPr>
          <w:rFonts w:ascii="Times New Roman" w:hAnsi="Times New Roman" w:cs="Times New Roman"/>
        </w:rPr>
        <w:t xml:space="preserve">  </w:t>
      </w:r>
    </w:p>
    <w:p w14:paraId="05E6E81F" w14:textId="60E0FB82" w:rsidR="00147EA7" w:rsidRPr="00810C7D" w:rsidRDefault="001008EA" w:rsidP="00880CFB">
      <w:pPr>
        <w:spacing w:after="0" w:line="360" w:lineRule="auto"/>
        <w:ind w:left="57" w:right="57"/>
        <w:rPr>
          <w:rFonts w:ascii="Times New Roman" w:hAnsi="Times New Roman" w:cs="Times New Roman"/>
        </w:rPr>
      </w:pPr>
      <w:r w:rsidRPr="00810C7D">
        <w:rPr>
          <w:rFonts w:ascii="Times New Roman" w:hAnsi="Times New Roman" w:cs="Times New Roman"/>
        </w:rPr>
        <w:t xml:space="preserve">Table </w:t>
      </w:r>
      <w:r w:rsidR="00DD143B" w:rsidRPr="00810C7D">
        <w:rPr>
          <w:rFonts w:ascii="Times New Roman" w:hAnsi="Times New Roman" w:cs="Times New Roman"/>
        </w:rPr>
        <w:t>III</w:t>
      </w:r>
      <w:r w:rsidRPr="00810C7D">
        <w:rPr>
          <w:rFonts w:ascii="Times New Roman" w:hAnsi="Times New Roman" w:cs="Times New Roman"/>
        </w:rPr>
        <w:t xml:space="preserve"> shows the </w:t>
      </w:r>
      <w:r w:rsidR="00D933C9" w:rsidRPr="00810C7D">
        <w:rPr>
          <w:rFonts w:ascii="Times New Roman" w:hAnsi="Times New Roman" w:cs="Times New Roman"/>
        </w:rPr>
        <w:t xml:space="preserve">adjusted </w:t>
      </w:r>
      <w:r w:rsidRPr="00810C7D">
        <w:rPr>
          <w:rFonts w:ascii="Times New Roman" w:hAnsi="Times New Roman" w:cs="Times New Roman"/>
        </w:rPr>
        <w:t xml:space="preserve">association between baseline walkability and change in </w:t>
      </w:r>
      <w:r w:rsidR="00D933C9" w:rsidRPr="00810C7D">
        <w:rPr>
          <w:rFonts w:ascii="Times New Roman" w:hAnsi="Times New Roman" w:cs="Times New Roman"/>
        </w:rPr>
        <w:t xml:space="preserve">the physical activity measures </w:t>
      </w:r>
      <w:r w:rsidRPr="00810C7D">
        <w:rPr>
          <w:rFonts w:ascii="Times New Roman" w:hAnsi="Times New Roman" w:cs="Times New Roman"/>
        </w:rPr>
        <w:t>from baseline to follow-up at 12, 24, and 36 months.</w:t>
      </w:r>
      <w:r w:rsidR="00ED224C" w:rsidRPr="00810C7D">
        <w:rPr>
          <w:rFonts w:ascii="Times New Roman" w:hAnsi="Times New Roman" w:cs="Times New Roman"/>
        </w:rPr>
        <w:t xml:space="preserve"> </w:t>
      </w:r>
      <w:r w:rsidR="00851E0C" w:rsidRPr="00810C7D">
        <w:rPr>
          <w:rFonts w:ascii="Times New Roman" w:hAnsi="Times New Roman" w:cs="Times New Roman"/>
        </w:rPr>
        <w:t>There was no</w:t>
      </w:r>
      <w:r w:rsidR="00372359" w:rsidRPr="00810C7D">
        <w:rPr>
          <w:rFonts w:ascii="Times New Roman" w:hAnsi="Times New Roman" w:cs="Times New Roman"/>
        </w:rPr>
        <w:t xml:space="preserve"> significant association between neighbourhood walkability and change in physical activity (p &gt; 0.05 for all).</w:t>
      </w:r>
    </w:p>
    <w:p w14:paraId="3711A4B9" w14:textId="77777777" w:rsidR="00147EA7" w:rsidRPr="00810C7D" w:rsidRDefault="00147EA7" w:rsidP="00880CFB">
      <w:pPr>
        <w:spacing w:after="0" w:line="360" w:lineRule="auto"/>
        <w:ind w:left="57" w:right="57"/>
        <w:rPr>
          <w:rFonts w:ascii="Times New Roman" w:hAnsi="Times New Roman" w:cs="Times New Roman"/>
        </w:rPr>
      </w:pPr>
    </w:p>
    <w:p w14:paraId="5D6CDD57" w14:textId="09189810" w:rsidR="00D933C9" w:rsidRPr="00810C7D" w:rsidRDefault="00D933C9" w:rsidP="00880CFB">
      <w:pPr>
        <w:keepNext/>
        <w:spacing w:after="0" w:line="360" w:lineRule="auto"/>
        <w:ind w:left="57" w:right="57"/>
        <w:rPr>
          <w:rFonts w:ascii="Times New Roman" w:hAnsi="Times New Roman" w:cs="Times New Roman"/>
          <w:i/>
        </w:rPr>
      </w:pPr>
      <w:r w:rsidRPr="00810C7D">
        <w:rPr>
          <w:rFonts w:ascii="Times New Roman" w:hAnsi="Times New Roman" w:cs="Times New Roman"/>
          <w:i/>
        </w:rPr>
        <w:t>Association between walkability and intervention effect</w:t>
      </w:r>
    </w:p>
    <w:p w14:paraId="7188949B" w14:textId="38ADCE74" w:rsidR="00E23B31" w:rsidRPr="00810C7D" w:rsidRDefault="00ED224C" w:rsidP="00880CFB">
      <w:pPr>
        <w:spacing w:after="0" w:line="360" w:lineRule="auto"/>
        <w:ind w:left="57" w:right="57"/>
        <w:rPr>
          <w:rFonts w:ascii="Times New Roman" w:hAnsi="Times New Roman" w:cs="Times New Roman"/>
        </w:rPr>
      </w:pPr>
      <w:r w:rsidRPr="00810C7D">
        <w:rPr>
          <w:rFonts w:ascii="Times New Roman" w:hAnsi="Times New Roman" w:cs="Times New Roman"/>
        </w:rPr>
        <w:t xml:space="preserve">When a treatment-walkability interaction term was included </w:t>
      </w:r>
      <w:r w:rsidR="00DD143B" w:rsidRPr="00810C7D">
        <w:rPr>
          <w:rFonts w:ascii="Times New Roman" w:hAnsi="Times New Roman" w:cs="Times New Roman"/>
        </w:rPr>
        <w:t>in each of the models in Table III</w:t>
      </w:r>
      <w:r w:rsidRPr="00810C7D">
        <w:rPr>
          <w:rFonts w:ascii="Times New Roman" w:hAnsi="Times New Roman" w:cs="Times New Roman"/>
        </w:rPr>
        <w:t>, the only significant interaction</w:t>
      </w:r>
      <w:r w:rsidR="007444A6" w:rsidRPr="00810C7D">
        <w:rPr>
          <w:rFonts w:ascii="Times New Roman" w:hAnsi="Times New Roman" w:cs="Times New Roman"/>
        </w:rPr>
        <w:t>s</w:t>
      </w:r>
      <w:r w:rsidRPr="00810C7D">
        <w:rPr>
          <w:rFonts w:ascii="Times New Roman" w:hAnsi="Times New Roman" w:cs="Times New Roman"/>
        </w:rPr>
        <w:t xml:space="preserve"> </w:t>
      </w:r>
      <w:r w:rsidR="007444A6" w:rsidRPr="00810C7D">
        <w:rPr>
          <w:rFonts w:ascii="Times New Roman" w:hAnsi="Times New Roman" w:cs="Times New Roman"/>
        </w:rPr>
        <w:t xml:space="preserve">were </w:t>
      </w:r>
      <w:r w:rsidRPr="00810C7D">
        <w:rPr>
          <w:rFonts w:ascii="Times New Roman" w:hAnsi="Times New Roman" w:cs="Times New Roman"/>
        </w:rPr>
        <w:t xml:space="preserve">between treatment allocation and </w:t>
      </w:r>
      <w:r w:rsidR="007444A6" w:rsidRPr="00810C7D">
        <w:rPr>
          <w:rFonts w:ascii="Times New Roman" w:hAnsi="Times New Roman" w:cs="Times New Roman"/>
        </w:rPr>
        <w:t xml:space="preserve">neighbourhood for total steps </w:t>
      </w:r>
      <w:r w:rsidRPr="00810C7D">
        <w:rPr>
          <w:rFonts w:ascii="Times New Roman" w:hAnsi="Times New Roman" w:cs="Times New Roman"/>
        </w:rPr>
        <w:t>(p = 0.01)</w:t>
      </w:r>
      <w:r w:rsidR="007444A6" w:rsidRPr="00810C7D">
        <w:rPr>
          <w:rFonts w:ascii="Times New Roman" w:hAnsi="Times New Roman" w:cs="Times New Roman"/>
        </w:rPr>
        <w:t xml:space="preserve"> and purposeful steps (p = 0.04)</w:t>
      </w:r>
      <w:r w:rsidR="0014783F" w:rsidRPr="00810C7D">
        <w:rPr>
          <w:rFonts w:ascii="Times New Roman" w:hAnsi="Times New Roman" w:cs="Times New Roman"/>
        </w:rPr>
        <w:t xml:space="preserve"> at 36 months</w:t>
      </w:r>
      <w:r w:rsidRPr="00810C7D">
        <w:rPr>
          <w:rFonts w:ascii="Times New Roman" w:hAnsi="Times New Roman" w:cs="Times New Roman"/>
        </w:rPr>
        <w:t>. These analyses were then stratified by treat</w:t>
      </w:r>
      <w:r w:rsidR="00FF018B" w:rsidRPr="00810C7D">
        <w:rPr>
          <w:rFonts w:ascii="Times New Roman" w:hAnsi="Times New Roman" w:cs="Times New Roman"/>
        </w:rPr>
        <w:t>ment allocation</w:t>
      </w:r>
      <w:r w:rsidR="00634E12" w:rsidRPr="00810C7D">
        <w:rPr>
          <w:rFonts w:ascii="Times New Roman" w:hAnsi="Times New Roman" w:cs="Times New Roman"/>
        </w:rPr>
        <w:t>, which did not demonstrate any significant associations within each treatment arm</w:t>
      </w:r>
      <w:r w:rsidR="00FF018B" w:rsidRPr="00810C7D">
        <w:rPr>
          <w:rFonts w:ascii="Times New Roman" w:hAnsi="Times New Roman" w:cs="Times New Roman"/>
        </w:rPr>
        <w:t xml:space="preserve"> (Table</w:t>
      </w:r>
      <w:r w:rsidR="00E67676" w:rsidRPr="00810C7D">
        <w:rPr>
          <w:rFonts w:ascii="Times New Roman" w:hAnsi="Times New Roman" w:cs="Times New Roman"/>
        </w:rPr>
        <w:t xml:space="preserve"> IV</w:t>
      </w:r>
      <w:r w:rsidR="00FF018B" w:rsidRPr="00810C7D">
        <w:rPr>
          <w:rFonts w:ascii="Times New Roman" w:hAnsi="Times New Roman" w:cs="Times New Roman"/>
        </w:rPr>
        <w:t>).</w:t>
      </w:r>
      <w:r w:rsidRPr="00810C7D">
        <w:rPr>
          <w:rFonts w:ascii="Times New Roman" w:hAnsi="Times New Roman" w:cs="Times New Roman"/>
        </w:rPr>
        <w:t xml:space="preserve"> </w:t>
      </w:r>
    </w:p>
    <w:p w14:paraId="23C2AF60" w14:textId="77777777" w:rsidR="00FF018B" w:rsidRPr="00810C7D" w:rsidRDefault="00FF018B" w:rsidP="00880CFB">
      <w:pPr>
        <w:spacing w:after="0" w:line="360" w:lineRule="auto"/>
        <w:ind w:left="57" w:right="57"/>
        <w:rPr>
          <w:rFonts w:ascii="Times New Roman" w:hAnsi="Times New Roman" w:cs="Times New Roman"/>
        </w:rPr>
      </w:pPr>
    </w:p>
    <w:p w14:paraId="79640229" w14:textId="1FBA00E9" w:rsidR="00D933C9" w:rsidRPr="00810C7D" w:rsidRDefault="00D933C9" w:rsidP="00880CFB">
      <w:pPr>
        <w:spacing w:after="0" w:line="360" w:lineRule="auto"/>
        <w:ind w:left="57" w:right="57"/>
        <w:rPr>
          <w:rFonts w:ascii="Times New Roman" w:hAnsi="Times New Roman" w:cs="Times New Roman"/>
        </w:rPr>
      </w:pPr>
      <w:r w:rsidRPr="00810C7D">
        <w:rPr>
          <w:rFonts w:ascii="Times New Roman" w:hAnsi="Times New Roman" w:cs="Times New Roman"/>
          <w:i/>
        </w:rPr>
        <w:t>Sensitivity analyses</w:t>
      </w:r>
    </w:p>
    <w:p w14:paraId="5A940338" w14:textId="534110F3" w:rsidR="009047F2" w:rsidRPr="00810C7D" w:rsidRDefault="00D933C9" w:rsidP="00880CFB">
      <w:pPr>
        <w:spacing w:after="0" w:line="360" w:lineRule="auto"/>
        <w:ind w:left="57" w:right="57"/>
        <w:rPr>
          <w:rFonts w:ascii="Times New Roman" w:hAnsi="Times New Roman" w:cs="Times New Roman"/>
        </w:rPr>
      </w:pPr>
      <w:r w:rsidRPr="00810C7D">
        <w:rPr>
          <w:rFonts w:ascii="Times New Roman" w:hAnsi="Times New Roman" w:cs="Times New Roman"/>
        </w:rPr>
        <w:t>The analyses were repeated using 400m and 1600m buffers</w:t>
      </w:r>
      <w:r w:rsidR="007D6868" w:rsidRPr="00810C7D">
        <w:rPr>
          <w:rFonts w:ascii="Times New Roman" w:hAnsi="Times New Roman" w:cs="Times New Roman"/>
        </w:rPr>
        <w:t xml:space="preserve"> (data not</w:t>
      </w:r>
      <w:r w:rsidR="00FF018B" w:rsidRPr="00810C7D">
        <w:rPr>
          <w:rFonts w:ascii="Times New Roman" w:hAnsi="Times New Roman" w:cs="Times New Roman"/>
        </w:rPr>
        <w:t xml:space="preserve"> in Table</w:t>
      </w:r>
      <w:r w:rsidR="007D6868" w:rsidRPr="00810C7D">
        <w:rPr>
          <w:rFonts w:ascii="Times New Roman" w:hAnsi="Times New Roman" w:cs="Times New Roman"/>
        </w:rPr>
        <w:t>)</w:t>
      </w:r>
      <w:r w:rsidRPr="00810C7D">
        <w:rPr>
          <w:rFonts w:ascii="Times New Roman" w:hAnsi="Times New Roman" w:cs="Times New Roman"/>
        </w:rPr>
        <w:t xml:space="preserve">, instead of 800m. </w:t>
      </w:r>
    </w:p>
    <w:p w14:paraId="70FB9808" w14:textId="5BED93F8" w:rsidR="009047F2" w:rsidRPr="00810C7D" w:rsidRDefault="00EF627C" w:rsidP="00880CFB">
      <w:pPr>
        <w:spacing w:after="0" w:line="360" w:lineRule="auto"/>
        <w:ind w:left="57" w:right="57"/>
        <w:rPr>
          <w:rFonts w:ascii="Times New Roman" w:hAnsi="Times New Roman" w:cs="Times New Roman"/>
        </w:rPr>
      </w:pPr>
      <w:r w:rsidRPr="00810C7D">
        <w:rPr>
          <w:rFonts w:ascii="Times New Roman" w:hAnsi="Times New Roman" w:cs="Times New Roman"/>
        </w:rPr>
        <w:t>When a 400m buffer was used</w:t>
      </w:r>
      <w:r w:rsidR="00634E12" w:rsidRPr="00810C7D">
        <w:rPr>
          <w:rFonts w:ascii="Times New Roman" w:hAnsi="Times New Roman" w:cs="Times New Roman"/>
        </w:rPr>
        <w:t xml:space="preserve">, the </w:t>
      </w:r>
      <w:r w:rsidR="00CB6B4A" w:rsidRPr="00810C7D">
        <w:rPr>
          <w:rFonts w:ascii="Times New Roman" w:hAnsi="Times New Roman" w:cs="Times New Roman"/>
        </w:rPr>
        <w:t>pattern of results was</w:t>
      </w:r>
      <w:r w:rsidR="00634E12" w:rsidRPr="00810C7D">
        <w:rPr>
          <w:rFonts w:ascii="Times New Roman" w:hAnsi="Times New Roman" w:cs="Times New Roman"/>
        </w:rPr>
        <w:t xml:space="preserve"> the same as with the </w:t>
      </w:r>
      <w:r w:rsidR="009047F2" w:rsidRPr="00810C7D">
        <w:rPr>
          <w:rFonts w:ascii="Times New Roman" w:hAnsi="Times New Roman" w:cs="Times New Roman"/>
        </w:rPr>
        <w:t>800m</w:t>
      </w:r>
      <w:r w:rsidR="00634E12" w:rsidRPr="00810C7D">
        <w:rPr>
          <w:rFonts w:ascii="Times New Roman" w:hAnsi="Times New Roman" w:cs="Times New Roman"/>
        </w:rPr>
        <w:t xml:space="preserve"> buffer</w:t>
      </w:r>
      <w:r w:rsidR="009047F2" w:rsidRPr="00810C7D">
        <w:rPr>
          <w:rFonts w:ascii="Times New Roman" w:hAnsi="Times New Roman" w:cs="Times New Roman"/>
        </w:rPr>
        <w:t xml:space="preserve">, </w:t>
      </w:r>
      <w:r w:rsidR="00634E12" w:rsidRPr="00810C7D">
        <w:rPr>
          <w:rFonts w:ascii="Times New Roman" w:hAnsi="Times New Roman" w:cs="Times New Roman"/>
        </w:rPr>
        <w:t xml:space="preserve">except that </w:t>
      </w:r>
      <w:r w:rsidR="005C5A8F" w:rsidRPr="00810C7D">
        <w:rPr>
          <w:rFonts w:ascii="Times New Roman" w:hAnsi="Times New Roman" w:cs="Times New Roman"/>
        </w:rPr>
        <w:t xml:space="preserve">the interaction between walkability and treatment allocation for purposeful steps was not significant (p = 0.113). When a 1600m buffer was used, all of the results demonstrated the same pattern as with the 800m buffer. </w:t>
      </w:r>
    </w:p>
    <w:p w14:paraId="72515E57" w14:textId="77777777" w:rsidR="00D67541" w:rsidRPr="00810C7D" w:rsidRDefault="00D67541" w:rsidP="00880CFB">
      <w:pPr>
        <w:spacing w:after="0" w:line="360" w:lineRule="auto"/>
        <w:ind w:left="57" w:right="57"/>
        <w:rPr>
          <w:rFonts w:ascii="Times New Roman" w:hAnsi="Times New Roman" w:cs="Times New Roman"/>
        </w:rPr>
      </w:pPr>
    </w:p>
    <w:p w14:paraId="343B9BC6" w14:textId="75AD90A8" w:rsidR="00D67541" w:rsidRPr="00810C7D" w:rsidRDefault="00D67541" w:rsidP="00880CFB">
      <w:pPr>
        <w:spacing w:after="0" w:line="360" w:lineRule="auto"/>
        <w:ind w:left="57" w:right="57"/>
        <w:rPr>
          <w:rFonts w:ascii="Times New Roman" w:hAnsi="Times New Roman" w:cs="Times New Roman"/>
        </w:rPr>
      </w:pPr>
      <w:r w:rsidRPr="00810C7D">
        <w:rPr>
          <w:rFonts w:ascii="Times New Roman" w:hAnsi="Times New Roman" w:cs="Times New Roman"/>
        </w:rPr>
        <w:t xml:space="preserve">The analyses were also repeated using the individual walkability indicators as explanatory variables, rather than the combined walkability index used in the main analyses. These sensitivity </w:t>
      </w:r>
      <w:r w:rsidR="00DD143B" w:rsidRPr="00810C7D">
        <w:rPr>
          <w:rFonts w:ascii="Times New Roman" w:hAnsi="Times New Roman" w:cs="Times New Roman"/>
        </w:rPr>
        <w:t xml:space="preserve">analyses (Supplementary Tables </w:t>
      </w:r>
      <w:r w:rsidR="00E67676" w:rsidRPr="00810C7D">
        <w:rPr>
          <w:rFonts w:ascii="Times New Roman" w:hAnsi="Times New Roman" w:cs="Times New Roman"/>
        </w:rPr>
        <w:t>S</w:t>
      </w:r>
      <w:r w:rsidR="00DD143B" w:rsidRPr="00810C7D">
        <w:rPr>
          <w:rFonts w:ascii="Times New Roman" w:hAnsi="Times New Roman" w:cs="Times New Roman"/>
        </w:rPr>
        <w:t>II</w:t>
      </w:r>
      <w:r w:rsidRPr="00810C7D">
        <w:rPr>
          <w:rFonts w:ascii="Times New Roman" w:hAnsi="Times New Roman" w:cs="Times New Roman"/>
        </w:rPr>
        <w:t xml:space="preserve"> and </w:t>
      </w:r>
      <w:r w:rsidR="00E67676" w:rsidRPr="00810C7D">
        <w:rPr>
          <w:rFonts w:ascii="Times New Roman" w:hAnsi="Times New Roman" w:cs="Times New Roman"/>
        </w:rPr>
        <w:t>S</w:t>
      </w:r>
      <w:r w:rsidR="00DD143B" w:rsidRPr="00810C7D">
        <w:rPr>
          <w:rFonts w:ascii="Times New Roman" w:hAnsi="Times New Roman" w:cs="Times New Roman"/>
        </w:rPr>
        <w:t>III</w:t>
      </w:r>
      <w:r w:rsidRPr="00810C7D">
        <w:rPr>
          <w:rFonts w:ascii="Times New Roman" w:hAnsi="Times New Roman" w:cs="Times New Roman"/>
        </w:rPr>
        <w:t>) demonstrated the same pattern as the main results, i.e. no significant associations, with two exceptions (</w:t>
      </w:r>
      <w:r w:rsidR="00DE3AE3" w:rsidRPr="00810C7D">
        <w:rPr>
          <w:rFonts w:ascii="Times New Roman" w:hAnsi="Times New Roman" w:cs="Times New Roman"/>
        </w:rPr>
        <w:t>fewer junctions was significantly associated with fewer average steps/day at baseline; higher road density was significantly associated with a greater change in average steps/day from baseline to 12 months</w:t>
      </w:r>
      <w:r w:rsidRPr="00810C7D">
        <w:rPr>
          <w:rFonts w:ascii="Times New Roman" w:hAnsi="Times New Roman" w:cs="Times New Roman"/>
        </w:rPr>
        <w:t>).</w:t>
      </w:r>
    </w:p>
    <w:p w14:paraId="27C17788" w14:textId="77777777" w:rsidR="00F055A3" w:rsidRPr="00810C7D" w:rsidRDefault="00F055A3" w:rsidP="00880CFB">
      <w:pPr>
        <w:spacing w:after="0" w:line="360" w:lineRule="auto"/>
        <w:ind w:left="57" w:right="57"/>
        <w:rPr>
          <w:rFonts w:ascii="Times New Roman" w:hAnsi="Times New Roman" w:cs="Times New Roman"/>
          <w:b/>
        </w:rPr>
      </w:pPr>
    </w:p>
    <w:p w14:paraId="52A69311" w14:textId="77777777" w:rsidR="008F2252" w:rsidRPr="00810C7D" w:rsidRDefault="008F2252" w:rsidP="00880CFB">
      <w:pPr>
        <w:spacing w:after="0" w:line="360" w:lineRule="auto"/>
        <w:ind w:left="57" w:right="57"/>
        <w:rPr>
          <w:rFonts w:ascii="Times New Roman" w:hAnsi="Times New Roman" w:cs="Times New Roman"/>
          <w:b/>
        </w:rPr>
      </w:pPr>
    </w:p>
    <w:p w14:paraId="24AB2EA5" w14:textId="77777777" w:rsidR="00880CFB" w:rsidRPr="00810C7D" w:rsidRDefault="00880CFB" w:rsidP="00880CFB">
      <w:pPr>
        <w:spacing w:after="0" w:line="360" w:lineRule="auto"/>
        <w:ind w:right="57"/>
        <w:rPr>
          <w:rFonts w:ascii="Times New Roman" w:hAnsi="Times New Roman" w:cs="Times New Roman"/>
          <w:b/>
        </w:rPr>
      </w:pPr>
    </w:p>
    <w:p w14:paraId="26E7FCA9" w14:textId="56294403" w:rsidR="00E23B31" w:rsidRPr="00810C7D" w:rsidRDefault="00880CFB" w:rsidP="00880CFB">
      <w:pPr>
        <w:spacing w:after="0" w:line="360" w:lineRule="auto"/>
        <w:ind w:right="57"/>
        <w:rPr>
          <w:rFonts w:ascii="Times New Roman" w:hAnsi="Times New Roman" w:cs="Times New Roman"/>
          <w:b/>
        </w:rPr>
      </w:pPr>
      <w:r w:rsidRPr="00810C7D">
        <w:rPr>
          <w:rFonts w:ascii="Times New Roman" w:hAnsi="Times New Roman" w:cs="Times New Roman"/>
          <w:b/>
        </w:rPr>
        <w:t xml:space="preserve"> </w:t>
      </w:r>
      <w:r w:rsidR="00E23B31" w:rsidRPr="00810C7D">
        <w:rPr>
          <w:rFonts w:ascii="Times New Roman" w:hAnsi="Times New Roman" w:cs="Times New Roman"/>
          <w:b/>
        </w:rPr>
        <w:t>Discussion</w:t>
      </w:r>
      <w:r w:rsidR="002C516D" w:rsidRPr="00810C7D">
        <w:rPr>
          <w:rFonts w:ascii="Times New Roman" w:hAnsi="Times New Roman" w:cs="Times New Roman"/>
          <w:b/>
        </w:rPr>
        <w:t xml:space="preserve"> </w:t>
      </w:r>
    </w:p>
    <w:p w14:paraId="3275A8CF" w14:textId="77777777" w:rsidR="00F2037B" w:rsidRPr="00810C7D" w:rsidRDefault="00F2037B" w:rsidP="00880CFB">
      <w:pPr>
        <w:spacing w:after="0" w:line="360" w:lineRule="auto"/>
        <w:ind w:left="57" w:right="57"/>
        <w:rPr>
          <w:rFonts w:ascii="Times New Roman" w:hAnsi="Times New Roman" w:cs="Times New Roman"/>
          <w:i/>
        </w:rPr>
      </w:pPr>
      <w:r w:rsidRPr="00810C7D">
        <w:rPr>
          <w:rFonts w:ascii="Times New Roman" w:hAnsi="Times New Roman" w:cs="Times New Roman"/>
          <w:i/>
        </w:rPr>
        <w:t>Main Finding</w:t>
      </w:r>
    </w:p>
    <w:p w14:paraId="4926D671" w14:textId="66D9E251" w:rsidR="000C4413" w:rsidRPr="00810C7D" w:rsidRDefault="000C4413" w:rsidP="00880CFB">
      <w:pPr>
        <w:spacing w:after="0" w:line="360" w:lineRule="auto"/>
        <w:ind w:left="57" w:right="57"/>
        <w:rPr>
          <w:rFonts w:ascii="Times New Roman" w:hAnsi="Times New Roman" w:cs="Times New Roman"/>
        </w:rPr>
      </w:pPr>
      <w:r w:rsidRPr="00810C7D">
        <w:rPr>
          <w:rFonts w:ascii="Times New Roman" w:hAnsi="Times New Roman" w:cs="Times New Roman"/>
        </w:rPr>
        <w:t>This study used baseline and longitudinal data from the Walking Away from Diabetes randomised controlled trial to explore associations between the walkability of the home neighbourhood and physical activity, where both were objectively-measured.</w:t>
      </w:r>
      <w:r w:rsidR="00F93B1D" w:rsidRPr="00810C7D">
        <w:rPr>
          <w:rFonts w:ascii="Times New Roman" w:hAnsi="Times New Roman" w:cs="Times New Roman"/>
        </w:rPr>
        <w:t xml:space="preserve"> </w:t>
      </w:r>
      <w:r w:rsidRPr="00810C7D">
        <w:rPr>
          <w:rFonts w:ascii="Times New Roman" w:hAnsi="Times New Roman" w:cs="Times New Roman"/>
        </w:rPr>
        <w:t xml:space="preserve"> </w:t>
      </w:r>
      <w:r w:rsidR="00851E0C" w:rsidRPr="00810C7D">
        <w:rPr>
          <w:rFonts w:ascii="Times New Roman" w:hAnsi="Times New Roman" w:cs="Times New Roman"/>
        </w:rPr>
        <w:t>O</w:t>
      </w:r>
      <w:r w:rsidR="00954322" w:rsidRPr="00810C7D">
        <w:rPr>
          <w:rFonts w:ascii="Times New Roman" w:hAnsi="Times New Roman" w:cs="Times New Roman"/>
        </w:rPr>
        <w:t xml:space="preserve">ur data suggested that neighbourhood walkability was not associated with </w:t>
      </w:r>
      <w:r w:rsidRPr="00810C7D">
        <w:rPr>
          <w:rFonts w:ascii="Times New Roman" w:hAnsi="Times New Roman" w:cs="Times New Roman"/>
        </w:rPr>
        <w:t xml:space="preserve">physical activity levels or with </w:t>
      </w:r>
      <w:r w:rsidR="00954322" w:rsidRPr="00810C7D">
        <w:rPr>
          <w:rFonts w:ascii="Times New Roman" w:hAnsi="Times New Roman" w:cs="Times New Roman"/>
        </w:rPr>
        <w:t>the effectiveness of the lifestyle programme</w:t>
      </w:r>
      <w:r w:rsidR="009575C2" w:rsidRPr="00810C7D">
        <w:rPr>
          <w:rFonts w:ascii="Times New Roman" w:hAnsi="Times New Roman" w:cs="Times New Roman"/>
        </w:rPr>
        <w:t xml:space="preserve"> used in the trial</w:t>
      </w:r>
      <w:r w:rsidR="00954322" w:rsidRPr="00810C7D">
        <w:rPr>
          <w:rFonts w:ascii="Times New Roman" w:hAnsi="Times New Roman" w:cs="Times New Roman"/>
        </w:rPr>
        <w:t xml:space="preserve">. </w:t>
      </w:r>
    </w:p>
    <w:p w14:paraId="2671A766" w14:textId="77777777" w:rsidR="000C4413" w:rsidRPr="00810C7D" w:rsidRDefault="000C4413" w:rsidP="00880CFB">
      <w:pPr>
        <w:spacing w:after="0" w:line="360" w:lineRule="auto"/>
        <w:ind w:left="57" w:right="57"/>
        <w:rPr>
          <w:rFonts w:ascii="Times New Roman" w:hAnsi="Times New Roman" w:cs="Times New Roman"/>
        </w:rPr>
      </w:pPr>
    </w:p>
    <w:p w14:paraId="4FCC2474" w14:textId="77777777" w:rsidR="00F2037B" w:rsidRPr="00810C7D" w:rsidRDefault="00F2037B" w:rsidP="00880CFB">
      <w:pPr>
        <w:spacing w:after="0" w:line="360" w:lineRule="auto"/>
        <w:ind w:left="57" w:right="57"/>
        <w:rPr>
          <w:rFonts w:ascii="Times New Roman" w:hAnsi="Times New Roman" w:cs="Times New Roman"/>
          <w:i/>
        </w:rPr>
      </w:pPr>
      <w:r w:rsidRPr="00810C7D">
        <w:rPr>
          <w:rFonts w:ascii="Times New Roman" w:hAnsi="Times New Roman" w:cs="Times New Roman"/>
          <w:i/>
        </w:rPr>
        <w:t>What is already known on this topic</w:t>
      </w:r>
    </w:p>
    <w:p w14:paraId="0362FABE" w14:textId="19DF9687" w:rsidR="000C4413" w:rsidRPr="00810C7D" w:rsidRDefault="000C4413" w:rsidP="00880CFB">
      <w:pPr>
        <w:spacing w:after="0" w:line="360" w:lineRule="auto"/>
        <w:ind w:left="57" w:right="57"/>
        <w:rPr>
          <w:rFonts w:ascii="Times New Roman" w:hAnsi="Times New Roman" w:cs="Times New Roman"/>
        </w:rPr>
      </w:pPr>
      <w:r w:rsidRPr="00810C7D">
        <w:rPr>
          <w:rFonts w:ascii="Times New Roman" w:hAnsi="Times New Roman" w:cs="Times New Roman"/>
        </w:rPr>
        <w:t>Our finding that neighbourhood walkability was not associated with physical activity</w:t>
      </w:r>
      <w:r w:rsidR="00ED49F3" w:rsidRPr="00810C7D">
        <w:rPr>
          <w:rFonts w:ascii="Times New Roman" w:hAnsi="Times New Roman" w:cs="Times New Roman"/>
        </w:rPr>
        <w:t xml:space="preserve"> </w:t>
      </w:r>
      <w:r w:rsidR="00F93B1D" w:rsidRPr="00810C7D">
        <w:rPr>
          <w:rFonts w:ascii="Times New Roman" w:hAnsi="Times New Roman" w:cs="Times New Roman"/>
        </w:rPr>
        <w:t xml:space="preserve">is in contrast to </w:t>
      </w:r>
      <w:r w:rsidR="002C0647" w:rsidRPr="00810C7D">
        <w:rPr>
          <w:rFonts w:ascii="Times New Roman" w:hAnsi="Times New Roman" w:cs="Times New Roman"/>
        </w:rPr>
        <w:t>some earlier studies</w:t>
      </w:r>
      <w:r w:rsidR="00F93B1D" w:rsidRPr="00810C7D">
        <w:rPr>
          <w:rFonts w:ascii="Times New Roman" w:hAnsi="Times New Roman" w:cs="Times New Roman"/>
        </w:rPr>
        <w:t>; however, we used objectively</w:t>
      </w:r>
      <w:r w:rsidR="0014783F" w:rsidRPr="00810C7D">
        <w:rPr>
          <w:rFonts w:ascii="Times New Roman" w:hAnsi="Times New Roman" w:cs="Times New Roman"/>
        </w:rPr>
        <w:t>-</w:t>
      </w:r>
      <w:r w:rsidR="00F93B1D" w:rsidRPr="00810C7D">
        <w:rPr>
          <w:rFonts w:ascii="Times New Roman" w:hAnsi="Times New Roman" w:cs="Times New Roman"/>
        </w:rPr>
        <w:t>measured physical activity whereas previous work has found associations between neighbourhood walkability and self-reported weekly walking</w:t>
      </w:r>
      <w:r w:rsidR="00513C4E" w:rsidRPr="00810C7D">
        <w:rPr>
          <w:rFonts w:ascii="Times New Roman" w:hAnsi="Times New Roman" w:cs="Times New Roman"/>
        </w:rPr>
        <w:t xml:space="preserve"> </w:t>
      </w:r>
      <w:r w:rsidR="00F93B1D" w:rsidRPr="00810C7D">
        <w:rPr>
          <w:rFonts w:ascii="Times New Roman" w:hAnsi="Times New Roman" w:cs="Times New Roman"/>
        </w:rPr>
        <w:fldChar w:fldCharType="begin"/>
      </w:r>
      <w:r w:rsidR="00B41F77" w:rsidRPr="00810C7D">
        <w:rPr>
          <w:rFonts w:ascii="Times New Roman" w:hAnsi="Times New Roman" w:cs="Times New Roman"/>
        </w:rPr>
        <w:instrText>ADDIN RW.CITE{{10384 Berke,EthanM. 2006}}</w:instrText>
      </w:r>
      <w:r w:rsidR="00F93B1D" w:rsidRPr="00810C7D">
        <w:rPr>
          <w:rFonts w:ascii="Times New Roman" w:hAnsi="Times New Roman" w:cs="Times New Roman"/>
        </w:rPr>
        <w:fldChar w:fldCharType="separate"/>
      </w:r>
      <w:r w:rsidR="00B41F77" w:rsidRPr="00810C7D">
        <w:rPr>
          <w:rFonts w:ascii="Times New Roman" w:hAnsi="Times New Roman" w:cs="Times New Roman"/>
          <w:vertAlign w:val="superscript"/>
        </w:rPr>
        <w:t>20</w:t>
      </w:r>
      <w:r w:rsidR="00F93B1D" w:rsidRPr="00810C7D">
        <w:rPr>
          <w:rFonts w:ascii="Times New Roman" w:hAnsi="Times New Roman" w:cs="Times New Roman"/>
        </w:rPr>
        <w:fldChar w:fldCharType="end"/>
      </w:r>
      <w:r w:rsidR="00513C4E" w:rsidRPr="00810C7D">
        <w:rPr>
          <w:rFonts w:ascii="Times New Roman" w:hAnsi="Times New Roman" w:cs="Times New Roman"/>
        </w:rPr>
        <w:t>.</w:t>
      </w:r>
      <w:r w:rsidR="00F93B1D" w:rsidRPr="00810C7D">
        <w:rPr>
          <w:rFonts w:ascii="Times New Roman" w:hAnsi="Times New Roman" w:cs="Times New Roman"/>
        </w:rPr>
        <w:t xml:space="preserve">  </w:t>
      </w:r>
      <w:r w:rsidR="002C0647" w:rsidRPr="00810C7D">
        <w:rPr>
          <w:rFonts w:ascii="Times New Roman" w:hAnsi="Times New Roman" w:cs="Times New Roman"/>
        </w:rPr>
        <w:t>Our results support</w:t>
      </w:r>
      <w:r w:rsidR="00ED49F3" w:rsidRPr="00810C7D">
        <w:rPr>
          <w:rFonts w:ascii="Times New Roman" w:hAnsi="Times New Roman" w:cs="Times New Roman"/>
        </w:rPr>
        <w:t xml:space="preserve"> a systematic review which examined associations between the environment and physical activity in older adults</w:t>
      </w:r>
      <w:r w:rsidR="002C0647" w:rsidRPr="00810C7D">
        <w:rPr>
          <w:rFonts w:ascii="Times New Roman" w:hAnsi="Times New Roman" w:cs="Times New Roman"/>
        </w:rPr>
        <w:t>, and adds to the limited data available in this older population</w:t>
      </w:r>
      <w:r w:rsidR="00513C4E" w:rsidRPr="00810C7D">
        <w:rPr>
          <w:rFonts w:ascii="Times New Roman" w:hAnsi="Times New Roman" w:cs="Times New Roman"/>
        </w:rPr>
        <w:t xml:space="preserve"> </w:t>
      </w:r>
      <w:r w:rsidR="00ED49F3" w:rsidRPr="00810C7D">
        <w:rPr>
          <w:rFonts w:ascii="Times New Roman" w:hAnsi="Times New Roman" w:cs="Times New Roman"/>
        </w:rPr>
        <w:fldChar w:fldCharType="begin"/>
      </w:r>
      <w:r w:rsidR="00B41F77" w:rsidRPr="00810C7D">
        <w:rPr>
          <w:rFonts w:ascii="Times New Roman" w:hAnsi="Times New Roman" w:cs="Times New Roman"/>
        </w:rPr>
        <w:instrText>ADDIN RW.CITE{{10322 VanCauwenberg,Jelle 2011}}</w:instrText>
      </w:r>
      <w:r w:rsidR="00ED49F3" w:rsidRPr="00810C7D">
        <w:rPr>
          <w:rFonts w:ascii="Times New Roman" w:hAnsi="Times New Roman" w:cs="Times New Roman"/>
        </w:rPr>
        <w:fldChar w:fldCharType="separate"/>
      </w:r>
      <w:r w:rsidR="00B41F77" w:rsidRPr="00810C7D">
        <w:rPr>
          <w:rFonts w:ascii="Times New Roman" w:hAnsi="Times New Roman" w:cs="Times New Roman"/>
          <w:vertAlign w:val="superscript"/>
        </w:rPr>
        <w:t>10</w:t>
      </w:r>
      <w:r w:rsidR="00ED49F3" w:rsidRPr="00810C7D">
        <w:rPr>
          <w:rFonts w:ascii="Times New Roman" w:hAnsi="Times New Roman" w:cs="Times New Roman"/>
        </w:rPr>
        <w:fldChar w:fldCharType="end"/>
      </w:r>
      <w:r w:rsidR="00513C4E" w:rsidRPr="00810C7D">
        <w:rPr>
          <w:rFonts w:ascii="Times New Roman" w:hAnsi="Times New Roman" w:cs="Times New Roman"/>
        </w:rPr>
        <w:t>.</w:t>
      </w:r>
      <w:r w:rsidR="00ED49F3" w:rsidRPr="00810C7D">
        <w:rPr>
          <w:rFonts w:ascii="Times New Roman" w:hAnsi="Times New Roman" w:cs="Times New Roman"/>
        </w:rPr>
        <w:t xml:space="preserve"> </w:t>
      </w:r>
      <w:r w:rsidR="005153CE" w:rsidRPr="00810C7D">
        <w:rPr>
          <w:rFonts w:ascii="Times New Roman" w:hAnsi="Times New Roman" w:cs="Times New Roman"/>
        </w:rPr>
        <w:t xml:space="preserve"> </w:t>
      </w:r>
      <w:r w:rsidR="00F93B1D" w:rsidRPr="00810C7D">
        <w:rPr>
          <w:rFonts w:ascii="Times New Roman" w:hAnsi="Times New Roman" w:cs="Times New Roman"/>
        </w:rPr>
        <w:t xml:space="preserve">Findings </w:t>
      </w:r>
      <w:r w:rsidR="00ED49F3" w:rsidRPr="00810C7D">
        <w:rPr>
          <w:rFonts w:ascii="Times New Roman" w:hAnsi="Times New Roman" w:cs="Times New Roman"/>
        </w:rPr>
        <w:t xml:space="preserve">may indicate that other aspects of the environment should be considered when exploring the effect of the neighbourhood </w:t>
      </w:r>
      <w:r w:rsidR="00513C4E" w:rsidRPr="00810C7D">
        <w:rPr>
          <w:rFonts w:ascii="Times New Roman" w:hAnsi="Times New Roman" w:cs="Times New Roman"/>
        </w:rPr>
        <w:t xml:space="preserve">environment and health outcomes </w:t>
      </w:r>
      <w:r w:rsidR="00ED49F3" w:rsidRPr="00810C7D">
        <w:rPr>
          <w:rFonts w:ascii="Times New Roman" w:hAnsi="Times New Roman" w:cs="Times New Roman"/>
        </w:rPr>
        <w:fldChar w:fldCharType="begin"/>
      </w:r>
      <w:r w:rsidR="00B41F77" w:rsidRPr="00810C7D">
        <w:rPr>
          <w:rFonts w:ascii="Times New Roman" w:hAnsi="Times New Roman" w:cs="Times New Roman"/>
        </w:rPr>
        <w:instrText>ADDIN RW.CITE{{10324 Sundquist,Kristina 2015}}</w:instrText>
      </w:r>
      <w:r w:rsidR="00ED49F3" w:rsidRPr="00810C7D">
        <w:rPr>
          <w:rFonts w:ascii="Times New Roman" w:hAnsi="Times New Roman" w:cs="Times New Roman"/>
        </w:rPr>
        <w:fldChar w:fldCharType="separate"/>
      </w:r>
      <w:r w:rsidR="00B41F77" w:rsidRPr="00810C7D">
        <w:rPr>
          <w:rFonts w:ascii="Times New Roman" w:hAnsi="Times New Roman" w:cs="Times New Roman"/>
          <w:vertAlign w:val="superscript"/>
        </w:rPr>
        <w:t>12</w:t>
      </w:r>
      <w:r w:rsidR="00ED49F3" w:rsidRPr="00810C7D">
        <w:rPr>
          <w:rFonts w:ascii="Times New Roman" w:hAnsi="Times New Roman" w:cs="Times New Roman"/>
        </w:rPr>
        <w:fldChar w:fldCharType="end"/>
      </w:r>
      <w:r w:rsidR="00513C4E" w:rsidRPr="00810C7D">
        <w:rPr>
          <w:rFonts w:ascii="Times New Roman" w:hAnsi="Times New Roman" w:cs="Times New Roman"/>
        </w:rPr>
        <w:t>;</w:t>
      </w:r>
      <w:r w:rsidR="00ED49F3" w:rsidRPr="00810C7D">
        <w:rPr>
          <w:rFonts w:ascii="Times New Roman" w:hAnsi="Times New Roman" w:cs="Times New Roman"/>
        </w:rPr>
        <w:t xml:space="preserve"> for example</w:t>
      </w:r>
      <w:r w:rsidR="005153CE" w:rsidRPr="00810C7D">
        <w:rPr>
          <w:rFonts w:ascii="Times New Roman" w:hAnsi="Times New Roman" w:cs="Times New Roman"/>
        </w:rPr>
        <w:t>,</w:t>
      </w:r>
      <w:r w:rsidR="00ED49F3" w:rsidRPr="00810C7D">
        <w:rPr>
          <w:rFonts w:ascii="Times New Roman" w:hAnsi="Times New Roman" w:cs="Times New Roman"/>
        </w:rPr>
        <w:t xml:space="preserve"> we have previously demonstrated strong associations between the number of fast food outlets and risk of developing diabetes in this population</w:t>
      </w:r>
      <w:r w:rsidR="00513C4E" w:rsidRPr="00810C7D">
        <w:rPr>
          <w:rFonts w:ascii="Times New Roman" w:hAnsi="Times New Roman" w:cs="Times New Roman"/>
        </w:rPr>
        <w:t xml:space="preserve"> </w:t>
      </w:r>
      <w:r w:rsidR="00ED49F3" w:rsidRPr="00810C7D">
        <w:rPr>
          <w:rFonts w:ascii="Times New Roman" w:hAnsi="Times New Roman" w:cs="Times New Roman"/>
        </w:rPr>
        <w:fldChar w:fldCharType="begin"/>
      </w:r>
      <w:r w:rsidR="00B41F77" w:rsidRPr="00810C7D">
        <w:rPr>
          <w:rFonts w:ascii="Times New Roman" w:hAnsi="Times New Roman" w:cs="Times New Roman"/>
        </w:rPr>
        <w:instrText>ADDIN RW.CITE{{9658 BodicoatDH 2015}}</w:instrText>
      </w:r>
      <w:r w:rsidR="00ED49F3" w:rsidRPr="00810C7D">
        <w:rPr>
          <w:rFonts w:ascii="Times New Roman" w:hAnsi="Times New Roman" w:cs="Times New Roman"/>
        </w:rPr>
        <w:fldChar w:fldCharType="separate"/>
      </w:r>
      <w:r w:rsidR="00B41F77" w:rsidRPr="00810C7D">
        <w:rPr>
          <w:rFonts w:ascii="Times New Roman" w:hAnsi="Times New Roman" w:cs="Times New Roman"/>
          <w:vertAlign w:val="superscript"/>
        </w:rPr>
        <w:t>21</w:t>
      </w:r>
      <w:r w:rsidR="00ED49F3" w:rsidRPr="00810C7D">
        <w:rPr>
          <w:rFonts w:ascii="Times New Roman" w:hAnsi="Times New Roman" w:cs="Times New Roman"/>
        </w:rPr>
        <w:fldChar w:fldCharType="end"/>
      </w:r>
      <w:r w:rsidR="00513C4E" w:rsidRPr="00810C7D">
        <w:rPr>
          <w:rFonts w:ascii="Times New Roman" w:hAnsi="Times New Roman" w:cs="Times New Roman"/>
        </w:rPr>
        <w:t>.</w:t>
      </w:r>
      <w:r w:rsidR="00A067D0" w:rsidRPr="00810C7D">
        <w:rPr>
          <w:rFonts w:ascii="Times New Roman" w:hAnsi="Times New Roman" w:cs="Times New Roman"/>
        </w:rPr>
        <w:t xml:space="preserve"> </w:t>
      </w:r>
      <w:r w:rsidR="002C0647" w:rsidRPr="00810C7D">
        <w:rPr>
          <w:rFonts w:ascii="Times New Roman" w:hAnsi="Times New Roman" w:cs="Times New Roman"/>
        </w:rPr>
        <w:t xml:space="preserve"> I</w:t>
      </w:r>
      <w:r w:rsidR="00F93B1D" w:rsidRPr="00810C7D">
        <w:rPr>
          <w:rFonts w:ascii="Times New Roman" w:hAnsi="Times New Roman" w:cs="Times New Roman"/>
        </w:rPr>
        <w:t xml:space="preserve">t has </w:t>
      </w:r>
      <w:r w:rsidR="002C0647" w:rsidRPr="00810C7D">
        <w:rPr>
          <w:rFonts w:ascii="Times New Roman" w:hAnsi="Times New Roman" w:cs="Times New Roman"/>
        </w:rPr>
        <w:t xml:space="preserve">also been suggested </w:t>
      </w:r>
      <w:r w:rsidR="00F93B1D" w:rsidRPr="00810C7D">
        <w:rPr>
          <w:rFonts w:ascii="Times New Roman" w:hAnsi="Times New Roman" w:cs="Times New Roman"/>
        </w:rPr>
        <w:t>that there is significant heterogeneity between studies examining ob</w:t>
      </w:r>
      <w:r w:rsidR="00513C4E" w:rsidRPr="00810C7D">
        <w:rPr>
          <w:rFonts w:ascii="Times New Roman" w:hAnsi="Times New Roman" w:cs="Times New Roman"/>
        </w:rPr>
        <w:t xml:space="preserve">esity and the built environment </w:t>
      </w:r>
      <w:r w:rsidR="00F93B1D" w:rsidRPr="00810C7D">
        <w:rPr>
          <w:rFonts w:ascii="Times New Roman" w:hAnsi="Times New Roman" w:cs="Times New Roman"/>
        </w:rPr>
        <w:fldChar w:fldCharType="begin"/>
      </w:r>
      <w:r w:rsidR="00B41F77" w:rsidRPr="00810C7D">
        <w:rPr>
          <w:rFonts w:ascii="Times New Roman" w:hAnsi="Times New Roman" w:cs="Times New Roman"/>
        </w:rPr>
        <w:instrText>ADDIN RW.CITE{{10383 Feng,Jing 2010}}</w:instrText>
      </w:r>
      <w:r w:rsidR="00F93B1D" w:rsidRPr="00810C7D">
        <w:rPr>
          <w:rFonts w:ascii="Times New Roman" w:hAnsi="Times New Roman" w:cs="Times New Roman"/>
        </w:rPr>
        <w:fldChar w:fldCharType="separate"/>
      </w:r>
      <w:r w:rsidR="00B41F77" w:rsidRPr="00810C7D">
        <w:rPr>
          <w:rFonts w:ascii="Times New Roman" w:hAnsi="Times New Roman" w:cs="Times New Roman"/>
          <w:vertAlign w:val="superscript"/>
        </w:rPr>
        <w:t>22</w:t>
      </w:r>
      <w:r w:rsidR="00F93B1D" w:rsidRPr="00810C7D">
        <w:rPr>
          <w:rFonts w:ascii="Times New Roman" w:hAnsi="Times New Roman" w:cs="Times New Roman"/>
        </w:rPr>
        <w:fldChar w:fldCharType="end"/>
      </w:r>
      <w:r w:rsidR="00513C4E" w:rsidRPr="00810C7D">
        <w:rPr>
          <w:rFonts w:ascii="Times New Roman" w:hAnsi="Times New Roman" w:cs="Times New Roman"/>
        </w:rPr>
        <w:t>;</w:t>
      </w:r>
      <w:r w:rsidR="002C0647" w:rsidRPr="00810C7D">
        <w:rPr>
          <w:rFonts w:ascii="Times New Roman" w:hAnsi="Times New Roman" w:cs="Times New Roman"/>
        </w:rPr>
        <w:t xml:space="preserve"> t</w:t>
      </w:r>
      <w:r w:rsidR="00F93B1D" w:rsidRPr="00810C7D">
        <w:rPr>
          <w:rFonts w:ascii="Times New Roman" w:hAnsi="Times New Roman" w:cs="Times New Roman"/>
        </w:rPr>
        <w:t>hus</w:t>
      </w:r>
      <w:r w:rsidR="002C0647" w:rsidRPr="00810C7D">
        <w:rPr>
          <w:rFonts w:ascii="Times New Roman" w:hAnsi="Times New Roman" w:cs="Times New Roman"/>
        </w:rPr>
        <w:t>,</w:t>
      </w:r>
      <w:r w:rsidR="00F93B1D" w:rsidRPr="00810C7D">
        <w:rPr>
          <w:rFonts w:ascii="Times New Roman" w:hAnsi="Times New Roman" w:cs="Times New Roman"/>
        </w:rPr>
        <w:t xml:space="preserve"> r</w:t>
      </w:r>
      <w:r w:rsidR="00ED49F3" w:rsidRPr="00810C7D">
        <w:rPr>
          <w:rFonts w:ascii="Times New Roman" w:hAnsi="Times New Roman" w:cs="Times New Roman"/>
        </w:rPr>
        <w:t>esults should be interpreted with caution</w:t>
      </w:r>
      <w:r w:rsidR="002C0647" w:rsidRPr="00810C7D">
        <w:rPr>
          <w:rFonts w:ascii="Times New Roman" w:hAnsi="Times New Roman" w:cs="Times New Roman"/>
        </w:rPr>
        <w:t>,</w:t>
      </w:r>
      <w:r w:rsidR="00ED49F3" w:rsidRPr="00810C7D">
        <w:rPr>
          <w:rFonts w:ascii="Times New Roman" w:hAnsi="Times New Roman" w:cs="Times New Roman"/>
        </w:rPr>
        <w:t xml:space="preserve"> as different walkability measures examine diffe</w:t>
      </w:r>
      <w:r w:rsidR="002C0647" w:rsidRPr="00810C7D">
        <w:rPr>
          <w:rFonts w:ascii="Times New Roman" w:hAnsi="Times New Roman" w:cs="Times New Roman"/>
        </w:rPr>
        <w:t>rent aspects of the environment.</w:t>
      </w:r>
      <w:r w:rsidR="00E37178" w:rsidRPr="00810C7D">
        <w:rPr>
          <w:rFonts w:ascii="Times New Roman" w:hAnsi="Times New Roman" w:cs="Times New Roman"/>
        </w:rPr>
        <w:t xml:space="preserve"> </w:t>
      </w:r>
      <w:r w:rsidR="00A067D0" w:rsidRPr="00810C7D">
        <w:rPr>
          <w:rFonts w:ascii="Times New Roman" w:hAnsi="Times New Roman" w:cs="Times New Roman"/>
        </w:rPr>
        <w:t>This is an e</w:t>
      </w:r>
      <w:r w:rsidRPr="00810C7D">
        <w:rPr>
          <w:rFonts w:ascii="Times New Roman" w:hAnsi="Times New Roman" w:cs="Times New Roman"/>
        </w:rPr>
        <w:t>merging field</w:t>
      </w:r>
      <w:r w:rsidR="00A067D0" w:rsidRPr="00810C7D">
        <w:rPr>
          <w:rFonts w:ascii="Times New Roman" w:hAnsi="Times New Roman" w:cs="Times New Roman"/>
        </w:rPr>
        <w:t xml:space="preserve"> of research and contrasting data may </w:t>
      </w:r>
      <w:r w:rsidR="00FC0FA3" w:rsidRPr="00810C7D">
        <w:rPr>
          <w:rFonts w:ascii="Times New Roman" w:hAnsi="Times New Roman" w:cs="Times New Roman"/>
        </w:rPr>
        <w:t xml:space="preserve">suggest that we are still at the early stages of understanding the impact </w:t>
      </w:r>
      <w:r w:rsidR="002C0647" w:rsidRPr="00810C7D">
        <w:rPr>
          <w:rFonts w:ascii="Times New Roman" w:hAnsi="Times New Roman" w:cs="Times New Roman"/>
        </w:rPr>
        <w:t xml:space="preserve">of the local environment on individual </w:t>
      </w:r>
      <w:r w:rsidR="00FC0FA3" w:rsidRPr="00810C7D">
        <w:rPr>
          <w:rFonts w:ascii="Times New Roman" w:hAnsi="Times New Roman" w:cs="Times New Roman"/>
        </w:rPr>
        <w:t>behaviours</w:t>
      </w:r>
      <w:r w:rsidR="0014783F" w:rsidRPr="00810C7D">
        <w:rPr>
          <w:rFonts w:ascii="Times New Roman" w:hAnsi="Times New Roman" w:cs="Times New Roman"/>
        </w:rPr>
        <w:t>, and the most appropriate methods by which to measure this</w:t>
      </w:r>
      <w:r w:rsidR="002C0647" w:rsidRPr="00810C7D">
        <w:rPr>
          <w:rFonts w:ascii="Times New Roman" w:hAnsi="Times New Roman" w:cs="Times New Roman"/>
        </w:rPr>
        <w:t>.</w:t>
      </w:r>
    </w:p>
    <w:p w14:paraId="263A71EB" w14:textId="77777777" w:rsidR="00FC0FA3" w:rsidRPr="00810C7D" w:rsidRDefault="00FC0FA3" w:rsidP="00880CFB">
      <w:pPr>
        <w:spacing w:after="0" w:line="360" w:lineRule="auto"/>
        <w:ind w:left="57" w:right="57"/>
        <w:rPr>
          <w:rFonts w:ascii="Times New Roman" w:hAnsi="Times New Roman" w:cs="Times New Roman"/>
        </w:rPr>
      </w:pPr>
    </w:p>
    <w:p w14:paraId="2A64D206" w14:textId="77777777" w:rsidR="00F2037B" w:rsidRPr="00810C7D" w:rsidRDefault="00F2037B" w:rsidP="00880CFB">
      <w:pPr>
        <w:spacing w:after="0" w:line="360" w:lineRule="auto"/>
        <w:ind w:left="57" w:right="57"/>
        <w:rPr>
          <w:rFonts w:ascii="Times New Roman" w:hAnsi="Times New Roman" w:cs="Times New Roman"/>
          <w:i/>
        </w:rPr>
      </w:pPr>
      <w:r w:rsidRPr="00810C7D">
        <w:rPr>
          <w:rFonts w:ascii="Times New Roman" w:hAnsi="Times New Roman" w:cs="Times New Roman"/>
          <w:i/>
        </w:rPr>
        <w:t>What this study adds</w:t>
      </w:r>
    </w:p>
    <w:p w14:paraId="19D0F65B" w14:textId="5C63BA28" w:rsidR="00FC0FA3" w:rsidRPr="00810C7D" w:rsidRDefault="00AE5598" w:rsidP="00880CFB">
      <w:pPr>
        <w:spacing w:after="0" w:line="360" w:lineRule="auto"/>
        <w:ind w:left="57" w:right="57"/>
        <w:rPr>
          <w:rFonts w:ascii="Times New Roman" w:hAnsi="Times New Roman" w:cs="Times New Roman"/>
        </w:rPr>
      </w:pPr>
      <w:r w:rsidRPr="00810C7D">
        <w:rPr>
          <w:rFonts w:ascii="Times New Roman" w:hAnsi="Times New Roman" w:cs="Times New Roman"/>
        </w:rPr>
        <w:t xml:space="preserve">We explored whether the treatment effect of the lifestyle education programme differed according to neighbourhood walkability. Generally, this was not the case. </w:t>
      </w:r>
      <w:r w:rsidR="00A56DEB" w:rsidRPr="00810C7D">
        <w:rPr>
          <w:rFonts w:ascii="Times New Roman" w:hAnsi="Times New Roman" w:cs="Times New Roman"/>
        </w:rPr>
        <w:t>Stratified analyses suggested stronger associations between walkability and total (inverse association) and purposeful (positive association) steps/day in the intervention than the usual care arm</w:t>
      </w:r>
      <w:r w:rsidR="0014783F" w:rsidRPr="00810C7D">
        <w:rPr>
          <w:rFonts w:ascii="Times New Roman" w:hAnsi="Times New Roman" w:cs="Times New Roman"/>
        </w:rPr>
        <w:t>.</w:t>
      </w:r>
      <w:r w:rsidR="00A56DEB" w:rsidRPr="00810C7D">
        <w:rPr>
          <w:rFonts w:ascii="Times New Roman" w:hAnsi="Times New Roman" w:cs="Times New Roman"/>
        </w:rPr>
        <w:t xml:space="preserve"> </w:t>
      </w:r>
      <w:r w:rsidR="0014783F" w:rsidRPr="00810C7D">
        <w:rPr>
          <w:rFonts w:ascii="Times New Roman" w:hAnsi="Times New Roman" w:cs="Times New Roman"/>
        </w:rPr>
        <w:t>N</w:t>
      </w:r>
      <w:r w:rsidR="00A56DEB" w:rsidRPr="00810C7D">
        <w:rPr>
          <w:rFonts w:ascii="Times New Roman" w:hAnsi="Times New Roman" w:cs="Times New Roman"/>
        </w:rPr>
        <w:t xml:space="preserve">one of the stratified associations were </w:t>
      </w:r>
      <w:r w:rsidR="0014783F" w:rsidRPr="00810C7D">
        <w:rPr>
          <w:rFonts w:ascii="Times New Roman" w:hAnsi="Times New Roman" w:cs="Times New Roman"/>
        </w:rPr>
        <w:t xml:space="preserve">however </w:t>
      </w:r>
      <w:r w:rsidR="00851E0C" w:rsidRPr="00810C7D">
        <w:rPr>
          <w:rFonts w:ascii="Times New Roman" w:hAnsi="Times New Roman" w:cs="Times New Roman"/>
        </w:rPr>
        <w:t xml:space="preserve">statistically </w:t>
      </w:r>
      <w:r w:rsidR="00A56DEB" w:rsidRPr="00810C7D">
        <w:rPr>
          <w:rFonts w:ascii="Times New Roman" w:hAnsi="Times New Roman" w:cs="Times New Roman"/>
        </w:rPr>
        <w:t>significant, further suggesting that the impact of walkability on treatment effect wa</w:t>
      </w:r>
      <w:r w:rsidR="00FD4589" w:rsidRPr="00810C7D">
        <w:rPr>
          <w:rFonts w:ascii="Times New Roman" w:hAnsi="Times New Roman" w:cs="Times New Roman"/>
        </w:rPr>
        <w:t>s w</w:t>
      </w:r>
      <w:r w:rsidR="002C0647" w:rsidRPr="00810C7D">
        <w:rPr>
          <w:rFonts w:ascii="Times New Roman" w:hAnsi="Times New Roman" w:cs="Times New Roman"/>
        </w:rPr>
        <w:t>eak</w:t>
      </w:r>
      <w:r w:rsidR="0014783F" w:rsidRPr="00810C7D">
        <w:rPr>
          <w:rFonts w:ascii="Times New Roman" w:hAnsi="Times New Roman" w:cs="Times New Roman"/>
        </w:rPr>
        <w:t>. This may indicate</w:t>
      </w:r>
      <w:r w:rsidR="002C0647" w:rsidRPr="00810C7D">
        <w:rPr>
          <w:rFonts w:ascii="Times New Roman" w:hAnsi="Times New Roman" w:cs="Times New Roman"/>
        </w:rPr>
        <w:t xml:space="preserve"> that lifestyle </w:t>
      </w:r>
      <w:r w:rsidR="00FD4589" w:rsidRPr="00810C7D">
        <w:rPr>
          <w:rFonts w:ascii="Times New Roman" w:hAnsi="Times New Roman" w:cs="Times New Roman"/>
        </w:rPr>
        <w:t>education programmes do not necessarily need t</w:t>
      </w:r>
      <w:r w:rsidR="00C45D7E" w:rsidRPr="00810C7D">
        <w:rPr>
          <w:rFonts w:ascii="Times New Roman" w:hAnsi="Times New Roman" w:cs="Times New Roman"/>
        </w:rPr>
        <w:t>o</w:t>
      </w:r>
      <w:r w:rsidR="002C0647" w:rsidRPr="00810C7D">
        <w:rPr>
          <w:rFonts w:ascii="Times New Roman" w:hAnsi="Times New Roman" w:cs="Times New Roman"/>
        </w:rPr>
        <w:t xml:space="preserve"> be tail</w:t>
      </w:r>
      <w:r w:rsidR="00851E0C" w:rsidRPr="00810C7D">
        <w:rPr>
          <w:rFonts w:ascii="Times New Roman" w:hAnsi="Times New Roman" w:cs="Times New Roman"/>
        </w:rPr>
        <w:t>ored to the environment; although</w:t>
      </w:r>
      <w:r w:rsidR="002C0647" w:rsidRPr="00810C7D">
        <w:rPr>
          <w:rFonts w:ascii="Times New Roman" w:hAnsi="Times New Roman" w:cs="Times New Roman"/>
        </w:rPr>
        <w:t>, we believe this is the first study to examine the social-environmental context on the effect of lifestyle education, and further research should be encouraged.</w:t>
      </w:r>
    </w:p>
    <w:p w14:paraId="0C9E7B45" w14:textId="77777777" w:rsidR="007234B5" w:rsidRPr="00810C7D" w:rsidRDefault="007234B5" w:rsidP="00880CFB">
      <w:pPr>
        <w:spacing w:after="0" w:line="360" w:lineRule="auto"/>
        <w:ind w:left="57" w:right="57"/>
        <w:rPr>
          <w:rFonts w:ascii="Times New Roman" w:hAnsi="Times New Roman" w:cs="Times New Roman"/>
        </w:rPr>
      </w:pPr>
    </w:p>
    <w:p w14:paraId="0B7D95DE" w14:textId="0AF4C3D8" w:rsidR="00DA0D43" w:rsidRPr="00810C7D" w:rsidRDefault="00C45D7E" w:rsidP="00880CFB">
      <w:pPr>
        <w:spacing w:after="0" w:line="360" w:lineRule="auto"/>
        <w:ind w:left="57" w:right="57"/>
        <w:rPr>
          <w:rFonts w:ascii="Times New Roman" w:hAnsi="Times New Roman" w:cs="Times New Roman"/>
        </w:rPr>
      </w:pPr>
      <w:r w:rsidRPr="00810C7D">
        <w:rPr>
          <w:rFonts w:ascii="Times New Roman" w:hAnsi="Times New Roman" w:cs="Times New Roman"/>
        </w:rPr>
        <w:t xml:space="preserve">This study included participants from Leicester City and </w:t>
      </w:r>
      <w:r w:rsidR="00A067D0" w:rsidRPr="00810C7D">
        <w:rPr>
          <w:rFonts w:ascii="Times New Roman" w:hAnsi="Times New Roman" w:cs="Times New Roman"/>
        </w:rPr>
        <w:t>Leicestershire</w:t>
      </w:r>
      <w:r w:rsidRPr="00810C7D">
        <w:rPr>
          <w:rFonts w:ascii="Times New Roman" w:hAnsi="Times New Roman" w:cs="Times New Roman"/>
        </w:rPr>
        <w:t>,</w:t>
      </w:r>
      <w:r w:rsidR="00A067D0" w:rsidRPr="00810C7D">
        <w:rPr>
          <w:rFonts w:ascii="Times New Roman" w:hAnsi="Times New Roman" w:cs="Times New Roman"/>
        </w:rPr>
        <w:t xml:space="preserve"> </w:t>
      </w:r>
      <w:r w:rsidRPr="00810C7D">
        <w:rPr>
          <w:rFonts w:ascii="Times New Roman" w:hAnsi="Times New Roman" w:cs="Times New Roman"/>
        </w:rPr>
        <w:t>comprising</w:t>
      </w:r>
      <w:r w:rsidR="00A067D0" w:rsidRPr="00810C7D">
        <w:rPr>
          <w:rFonts w:ascii="Times New Roman" w:hAnsi="Times New Roman" w:cs="Times New Roman"/>
        </w:rPr>
        <w:t xml:space="preserve"> a broad range o</w:t>
      </w:r>
      <w:r w:rsidRPr="00810C7D">
        <w:rPr>
          <w:rFonts w:ascii="Times New Roman" w:hAnsi="Times New Roman" w:cs="Times New Roman"/>
        </w:rPr>
        <w:t>f environments, from</w:t>
      </w:r>
      <w:r w:rsidR="00A067D0" w:rsidRPr="00810C7D">
        <w:rPr>
          <w:rFonts w:ascii="Times New Roman" w:hAnsi="Times New Roman" w:cs="Times New Roman"/>
        </w:rPr>
        <w:t xml:space="preserve"> inner city to</w:t>
      </w:r>
      <w:r w:rsidR="0014783F" w:rsidRPr="00810C7D">
        <w:rPr>
          <w:rFonts w:ascii="Times New Roman" w:hAnsi="Times New Roman" w:cs="Times New Roman"/>
        </w:rPr>
        <w:t xml:space="preserve"> suburban to</w:t>
      </w:r>
      <w:r w:rsidR="00A067D0" w:rsidRPr="00810C7D">
        <w:rPr>
          <w:rFonts w:ascii="Times New Roman" w:hAnsi="Times New Roman" w:cs="Times New Roman"/>
        </w:rPr>
        <w:t xml:space="preserve"> rural, providing a large variation</w:t>
      </w:r>
      <w:r w:rsidR="0014783F" w:rsidRPr="00810C7D">
        <w:rPr>
          <w:rFonts w:ascii="Times New Roman" w:hAnsi="Times New Roman" w:cs="Times New Roman"/>
        </w:rPr>
        <w:t xml:space="preserve"> in exposure. H</w:t>
      </w:r>
      <w:r w:rsidR="00A067D0" w:rsidRPr="00810C7D">
        <w:rPr>
          <w:rFonts w:ascii="Times New Roman" w:hAnsi="Times New Roman" w:cs="Times New Roman"/>
        </w:rPr>
        <w:t>owever</w:t>
      </w:r>
      <w:r w:rsidRPr="00810C7D">
        <w:rPr>
          <w:rFonts w:ascii="Times New Roman" w:hAnsi="Times New Roman" w:cs="Times New Roman"/>
        </w:rPr>
        <w:t>,</w:t>
      </w:r>
      <w:r w:rsidR="00A067D0" w:rsidRPr="00810C7D">
        <w:rPr>
          <w:rFonts w:ascii="Times New Roman" w:hAnsi="Times New Roman" w:cs="Times New Roman"/>
        </w:rPr>
        <w:t xml:space="preserve"> the measures </w:t>
      </w:r>
      <w:r w:rsidRPr="00810C7D">
        <w:rPr>
          <w:rFonts w:ascii="Times New Roman" w:hAnsi="Times New Roman" w:cs="Times New Roman"/>
        </w:rPr>
        <w:t xml:space="preserve">of walkability </w:t>
      </w:r>
      <w:r w:rsidR="00A067D0" w:rsidRPr="00810C7D">
        <w:rPr>
          <w:rFonts w:ascii="Times New Roman" w:hAnsi="Times New Roman" w:cs="Times New Roman"/>
        </w:rPr>
        <w:t xml:space="preserve">included may not capture all of </w:t>
      </w:r>
      <w:r w:rsidR="002C0647" w:rsidRPr="00810C7D">
        <w:rPr>
          <w:rFonts w:ascii="Times New Roman" w:hAnsi="Times New Roman" w:cs="Times New Roman"/>
        </w:rPr>
        <w:t xml:space="preserve">the </w:t>
      </w:r>
      <w:r w:rsidRPr="00810C7D">
        <w:rPr>
          <w:rFonts w:ascii="Times New Roman" w:hAnsi="Times New Roman" w:cs="Times New Roman"/>
        </w:rPr>
        <w:t xml:space="preserve">differences between </w:t>
      </w:r>
      <w:r w:rsidR="00A067D0" w:rsidRPr="00810C7D">
        <w:rPr>
          <w:rFonts w:ascii="Times New Roman" w:hAnsi="Times New Roman" w:cs="Times New Roman"/>
        </w:rPr>
        <w:t>the environments equally as well.</w:t>
      </w:r>
      <w:r w:rsidRPr="00810C7D">
        <w:rPr>
          <w:rFonts w:ascii="Times New Roman" w:hAnsi="Times New Roman" w:cs="Times New Roman"/>
        </w:rPr>
        <w:t xml:space="preserve"> </w:t>
      </w:r>
      <w:r w:rsidR="0014783F" w:rsidRPr="00810C7D">
        <w:rPr>
          <w:rFonts w:ascii="Times New Roman" w:hAnsi="Times New Roman" w:cs="Times New Roman"/>
        </w:rPr>
        <w:t>For example, road network measures may be less informative in rural settings, where off-road footpaths are available.</w:t>
      </w:r>
      <w:r w:rsidRPr="00810C7D">
        <w:rPr>
          <w:rFonts w:ascii="Times New Roman" w:hAnsi="Times New Roman" w:cs="Times New Roman"/>
        </w:rPr>
        <w:t xml:space="preserve"> </w:t>
      </w:r>
      <w:r w:rsidR="00885854" w:rsidRPr="00810C7D">
        <w:rPr>
          <w:rFonts w:ascii="Times New Roman" w:hAnsi="Times New Roman" w:cs="Times New Roman"/>
        </w:rPr>
        <w:t xml:space="preserve">An important consideration is that only one of the GP practices included is classed as Leicestershire, not Leicester which may limit the generalisability of findings.  However, the percentage of included participants ranged from 5% to 16% across GP practices; demonstrating a relatively even number of participants per cluster.  </w:t>
      </w:r>
      <w:r w:rsidR="00DA0D43" w:rsidRPr="00810C7D">
        <w:rPr>
          <w:rFonts w:ascii="Times New Roman" w:hAnsi="Times New Roman" w:cs="Times New Roman"/>
        </w:rPr>
        <w:t>The overall neighbourhood walkability included in our analysis represents an area of good street connectivity, with mean connected node ratio and footpath density of 0.7 and 0.74 respectively</w:t>
      </w:r>
      <w:r w:rsidR="00513C4E" w:rsidRPr="00810C7D">
        <w:rPr>
          <w:rFonts w:ascii="Times New Roman" w:hAnsi="Times New Roman" w:cs="Times New Roman"/>
        </w:rPr>
        <w:t xml:space="preserve"> </w:t>
      </w:r>
      <w:r w:rsidR="00DA0D43" w:rsidRPr="00810C7D">
        <w:rPr>
          <w:rFonts w:ascii="Times New Roman" w:hAnsi="Times New Roman" w:cs="Times New Roman"/>
        </w:rPr>
        <w:fldChar w:fldCharType="begin"/>
      </w:r>
      <w:r w:rsidR="00B41F77" w:rsidRPr="00810C7D">
        <w:rPr>
          <w:rFonts w:ascii="Times New Roman" w:hAnsi="Times New Roman" w:cs="Times New Roman"/>
        </w:rPr>
        <w:instrText>ADDIN RW.CITE{{10342 D’Sousa,E. 2007}}</w:instrText>
      </w:r>
      <w:r w:rsidR="00DA0D43" w:rsidRPr="00810C7D">
        <w:rPr>
          <w:rFonts w:ascii="Times New Roman" w:hAnsi="Times New Roman" w:cs="Times New Roman"/>
        </w:rPr>
        <w:fldChar w:fldCharType="separate"/>
      </w:r>
      <w:r w:rsidR="00B41F77" w:rsidRPr="00810C7D">
        <w:rPr>
          <w:rFonts w:ascii="Times New Roman" w:hAnsi="Times New Roman" w:cs="Times New Roman"/>
          <w:vertAlign w:val="superscript"/>
        </w:rPr>
        <w:t>16</w:t>
      </w:r>
      <w:r w:rsidR="00DA0D43" w:rsidRPr="00810C7D">
        <w:rPr>
          <w:rFonts w:ascii="Times New Roman" w:hAnsi="Times New Roman" w:cs="Times New Roman"/>
        </w:rPr>
        <w:fldChar w:fldCharType="end"/>
      </w:r>
      <w:r w:rsidR="00513C4E" w:rsidRPr="00810C7D">
        <w:rPr>
          <w:rFonts w:ascii="Times New Roman" w:hAnsi="Times New Roman" w:cs="Times New Roman"/>
        </w:rPr>
        <w:t>.</w:t>
      </w:r>
    </w:p>
    <w:p w14:paraId="06F4784B" w14:textId="77777777" w:rsidR="00A067D0" w:rsidRPr="00810C7D" w:rsidRDefault="00A067D0" w:rsidP="00880CFB">
      <w:pPr>
        <w:spacing w:after="0" w:line="360" w:lineRule="auto"/>
        <w:ind w:left="57" w:right="57"/>
        <w:rPr>
          <w:rFonts w:ascii="Times New Roman" w:hAnsi="Times New Roman" w:cs="Times New Roman"/>
        </w:rPr>
      </w:pPr>
    </w:p>
    <w:p w14:paraId="3A49E919" w14:textId="411D81F7" w:rsidR="00C45D7E" w:rsidRPr="00810C7D" w:rsidRDefault="00DC4887" w:rsidP="00880CFB">
      <w:pPr>
        <w:spacing w:after="0" w:line="360" w:lineRule="auto"/>
        <w:ind w:left="57" w:right="57"/>
        <w:rPr>
          <w:rFonts w:ascii="Times New Roman" w:hAnsi="Times New Roman" w:cs="Times New Roman"/>
        </w:rPr>
      </w:pPr>
      <w:r w:rsidRPr="00810C7D">
        <w:rPr>
          <w:rFonts w:ascii="Times New Roman" w:hAnsi="Times New Roman" w:cs="Times New Roman"/>
        </w:rPr>
        <w:t xml:space="preserve">A consideration </w:t>
      </w:r>
      <w:r w:rsidR="00BB2D25" w:rsidRPr="00810C7D">
        <w:rPr>
          <w:rFonts w:ascii="Times New Roman" w:hAnsi="Times New Roman" w:cs="Times New Roman"/>
        </w:rPr>
        <w:t xml:space="preserve">in interpreting these data </w:t>
      </w:r>
      <w:r w:rsidRPr="00810C7D">
        <w:rPr>
          <w:rFonts w:ascii="Times New Roman" w:hAnsi="Times New Roman" w:cs="Times New Roman"/>
        </w:rPr>
        <w:t xml:space="preserve">should be perceived </w:t>
      </w:r>
      <w:r w:rsidR="002B40A9" w:rsidRPr="00810C7D">
        <w:rPr>
          <w:rFonts w:ascii="Times New Roman" w:hAnsi="Times New Roman" w:cs="Times New Roman"/>
        </w:rPr>
        <w:t>(i.e. participant reported) walkability</w:t>
      </w:r>
      <w:r w:rsidR="00F71154" w:rsidRPr="00810C7D">
        <w:rPr>
          <w:rFonts w:ascii="Times New Roman" w:hAnsi="Times New Roman" w:cs="Times New Roman"/>
        </w:rPr>
        <w:t>; we did not measure this in our study and so</w:t>
      </w:r>
      <w:r w:rsidR="00BB2D25" w:rsidRPr="00810C7D">
        <w:rPr>
          <w:rFonts w:ascii="Times New Roman" w:hAnsi="Times New Roman" w:cs="Times New Roman"/>
        </w:rPr>
        <w:t xml:space="preserve"> were unable to take this measur</w:t>
      </w:r>
      <w:r w:rsidR="00C64EC7" w:rsidRPr="00810C7D">
        <w:rPr>
          <w:rFonts w:ascii="Times New Roman" w:hAnsi="Times New Roman" w:cs="Times New Roman"/>
        </w:rPr>
        <w:t xml:space="preserve">e into account in our analyses.   A </w:t>
      </w:r>
      <w:r w:rsidRPr="00810C7D">
        <w:rPr>
          <w:rFonts w:ascii="Times New Roman" w:hAnsi="Times New Roman" w:cs="Times New Roman"/>
        </w:rPr>
        <w:t>number of studies have demonstrated differences between objectively</w:t>
      </w:r>
      <w:r w:rsidR="0014783F" w:rsidRPr="00810C7D">
        <w:rPr>
          <w:rFonts w:ascii="Times New Roman" w:hAnsi="Times New Roman" w:cs="Times New Roman"/>
        </w:rPr>
        <w:t>-</w:t>
      </w:r>
      <w:r w:rsidRPr="00810C7D">
        <w:rPr>
          <w:rFonts w:ascii="Times New Roman" w:hAnsi="Times New Roman" w:cs="Times New Roman"/>
        </w:rPr>
        <w:t>measured walkabi</w:t>
      </w:r>
      <w:r w:rsidR="00513C4E" w:rsidRPr="00810C7D">
        <w:rPr>
          <w:rFonts w:ascii="Times New Roman" w:hAnsi="Times New Roman" w:cs="Times New Roman"/>
        </w:rPr>
        <w:t xml:space="preserve">lity and perceived walkability </w:t>
      </w:r>
      <w:r w:rsidR="00C46DE1" w:rsidRPr="00810C7D">
        <w:rPr>
          <w:rFonts w:ascii="Times New Roman" w:hAnsi="Times New Roman" w:cs="Times New Roman"/>
        </w:rPr>
        <w:fldChar w:fldCharType="begin"/>
      </w:r>
      <w:r w:rsidR="00B41F77" w:rsidRPr="00810C7D">
        <w:rPr>
          <w:rFonts w:ascii="Times New Roman" w:hAnsi="Times New Roman" w:cs="Times New Roman"/>
        </w:rPr>
        <w:instrText>ADDIN RW.CITE{{10372 Hajna,S. 2016; 10371 Koohsari,M.J. 2015}}</w:instrText>
      </w:r>
      <w:r w:rsidR="00C46DE1" w:rsidRPr="00810C7D">
        <w:rPr>
          <w:rFonts w:ascii="Times New Roman" w:hAnsi="Times New Roman" w:cs="Times New Roman"/>
        </w:rPr>
        <w:fldChar w:fldCharType="separate"/>
      </w:r>
      <w:r w:rsidR="00B41F77" w:rsidRPr="00810C7D">
        <w:rPr>
          <w:rFonts w:ascii="Times New Roman" w:hAnsi="Times New Roman" w:cs="Times New Roman"/>
          <w:vertAlign w:val="superscript"/>
        </w:rPr>
        <w:t>RW.ERROR - Unable to find reference:10371</w:t>
      </w:r>
      <w:r w:rsidR="00C46DE1" w:rsidRPr="00810C7D">
        <w:rPr>
          <w:rFonts w:ascii="Times New Roman" w:hAnsi="Times New Roman" w:cs="Times New Roman"/>
        </w:rPr>
        <w:fldChar w:fldCharType="end"/>
      </w:r>
      <w:r w:rsidR="00513C4E" w:rsidRPr="00810C7D">
        <w:rPr>
          <w:rFonts w:ascii="Times New Roman" w:hAnsi="Times New Roman" w:cs="Times New Roman"/>
        </w:rPr>
        <w:t xml:space="preserve">. </w:t>
      </w:r>
      <w:r w:rsidRPr="00810C7D">
        <w:rPr>
          <w:rFonts w:ascii="Times New Roman" w:hAnsi="Times New Roman" w:cs="Times New Roman"/>
        </w:rPr>
        <w:t xml:space="preserve"> </w:t>
      </w:r>
      <w:r w:rsidR="001F4E58" w:rsidRPr="00810C7D">
        <w:rPr>
          <w:rFonts w:ascii="Times New Roman" w:hAnsi="Times New Roman" w:cs="Times New Roman"/>
        </w:rPr>
        <w:t xml:space="preserve">Hajna </w:t>
      </w:r>
      <w:r w:rsidR="002C0647" w:rsidRPr="00810C7D">
        <w:rPr>
          <w:rFonts w:ascii="Times New Roman" w:hAnsi="Times New Roman" w:cs="Times New Roman"/>
          <w:i/>
        </w:rPr>
        <w:t>et al</w:t>
      </w:r>
      <w:r w:rsidR="002C0647" w:rsidRPr="00810C7D">
        <w:rPr>
          <w:rFonts w:ascii="Times New Roman" w:hAnsi="Times New Roman" w:cs="Times New Roman"/>
        </w:rPr>
        <w:t xml:space="preserve"> </w:t>
      </w:r>
      <w:r w:rsidR="001F4E58" w:rsidRPr="00810C7D">
        <w:rPr>
          <w:rFonts w:ascii="Times New Roman" w:hAnsi="Times New Roman" w:cs="Times New Roman"/>
        </w:rPr>
        <w:t xml:space="preserve">2016 </w:t>
      </w:r>
      <w:r w:rsidR="005E31A8" w:rsidRPr="00810C7D">
        <w:rPr>
          <w:rFonts w:ascii="Times New Roman" w:hAnsi="Times New Roman" w:cs="Times New Roman"/>
        </w:rPr>
        <w:t xml:space="preserve">calculated walkability using both GIS derived walkability measures and self-reported </w:t>
      </w:r>
      <w:r w:rsidR="00B31025" w:rsidRPr="00810C7D">
        <w:rPr>
          <w:rFonts w:ascii="Times New Roman" w:hAnsi="Times New Roman" w:cs="Times New Roman"/>
        </w:rPr>
        <w:t>perceived</w:t>
      </w:r>
      <w:r w:rsidR="00513C4E" w:rsidRPr="00810C7D">
        <w:rPr>
          <w:rFonts w:ascii="Times New Roman" w:hAnsi="Times New Roman" w:cs="Times New Roman"/>
        </w:rPr>
        <w:t xml:space="preserve"> walkability measures </w:t>
      </w:r>
      <w:r w:rsidR="002C0647" w:rsidRPr="00810C7D">
        <w:rPr>
          <w:rFonts w:ascii="Times New Roman" w:hAnsi="Times New Roman" w:cs="Times New Roman"/>
        </w:rPr>
        <w:fldChar w:fldCharType="begin"/>
      </w:r>
      <w:r w:rsidR="00B41F77" w:rsidRPr="00810C7D">
        <w:rPr>
          <w:rFonts w:ascii="Times New Roman" w:hAnsi="Times New Roman" w:cs="Times New Roman"/>
        </w:rPr>
        <w:instrText>ADDIN RW.CITE{{10372 Hajna,S. 2016}}</w:instrText>
      </w:r>
      <w:r w:rsidR="002C0647" w:rsidRPr="00810C7D">
        <w:rPr>
          <w:rFonts w:ascii="Times New Roman" w:hAnsi="Times New Roman" w:cs="Times New Roman"/>
        </w:rPr>
        <w:fldChar w:fldCharType="separate"/>
      </w:r>
      <w:r w:rsidR="00B41F77" w:rsidRPr="00810C7D">
        <w:rPr>
          <w:rFonts w:ascii="Times New Roman" w:hAnsi="Times New Roman" w:cs="Times New Roman"/>
          <w:vertAlign w:val="superscript"/>
        </w:rPr>
        <w:t>23</w:t>
      </w:r>
      <w:r w:rsidR="002C0647" w:rsidRPr="00810C7D">
        <w:rPr>
          <w:rFonts w:ascii="Times New Roman" w:hAnsi="Times New Roman" w:cs="Times New Roman"/>
        </w:rPr>
        <w:fldChar w:fldCharType="end"/>
      </w:r>
      <w:r w:rsidR="00513C4E" w:rsidRPr="00810C7D">
        <w:rPr>
          <w:rFonts w:ascii="Times New Roman" w:hAnsi="Times New Roman" w:cs="Times New Roman"/>
        </w:rPr>
        <w:t>.</w:t>
      </w:r>
      <w:r w:rsidR="005E31A8" w:rsidRPr="00810C7D">
        <w:rPr>
          <w:rFonts w:ascii="Times New Roman" w:hAnsi="Times New Roman" w:cs="Times New Roman"/>
        </w:rPr>
        <w:t xml:space="preserve">  </w:t>
      </w:r>
      <w:r w:rsidR="00B31025" w:rsidRPr="00810C7D">
        <w:rPr>
          <w:rFonts w:ascii="Times New Roman" w:hAnsi="Times New Roman" w:cs="Times New Roman"/>
        </w:rPr>
        <w:t>When using the objectively</w:t>
      </w:r>
      <w:r w:rsidR="0014783F" w:rsidRPr="00810C7D">
        <w:rPr>
          <w:rFonts w:ascii="Times New Roman" w:hAnsi="Times New Roman" w:cs="Times New Roman"/>
        </w:rPr>
        <w:t>-</w:t>
      </w:r>
      <w:r w:rsidR="00B31025" w:rsidRPr="00810C7D">
        <w:rPr>
          <w:rFonts w:ascii="Times New Roman" w:hAnsi="Times New Roman" w:cs="Times New Roman"/>
        </w:rPr>
        <w:t>measured walkability</w:t>
      </w:r>
      <w:r w:rsidR="0014783F" w:rsidRPr="00810C7D">
        <w:rPr>
          <w:rFonts w:ascii="Times New Roman" w:hAnsi="Times New Roman" w:cs="Times New Roman"/>
        </w:rPr>
        <w:t>,</w:t>
      </w:r>
      <w:r w:rsidR="00B31025" w:rsidRPr="00810C7D">
        <w:rPr>
          <w:rFonts w:ascii="Times New Roman" w:hAnsi="Times New Roman" w:cs="Times New Roman"/>
        </w:rPr>
        <w:t xml:space="preserve"> there was a difference of 606 steps per day when</w:t>
      </w:r>
      <w:r w:rsidR="00BB2D25" w:rsidRPr="00810C7D">
        <w:rPr>
          <w:rFonts w:ascii="Times New Roman" w:hAnsi="Times New Roman" w:cs="Times New Roman"/>
        </w:rPr>
        <w:t xml:space="preserve"> comparing the highest to lowest </w:t>
      </w:r>
      <w:r w:rsidR="00B31025" w:rsidRPr="00810C7D">
        <w:rPr>
          <w:rFonts w:ascii="Times New Roman" w:hAnsi="Times New Roman" w:cs="Times New Roman"/>
        </w:rPr>
        <w:t xml:space="preserve">walkability </w:t>
      </w:r>
      <w:r w:rsidR="00BB2D25" w:rsidRPr="00810C7D">
        <w:rPr>
          <w:rFonts w:ascii="Times New Roman" w:hAnsi="Times New Roman" w:cs="Times New Roman"/>
        </w:rPr>
        <w:t>areas</w:t>
      </w:r>
      <w:r w:rsidR="00B31025" w:rsidRPr="00810C7D">
        <w:rPr>
          <w:rFonts w:ascii="Times New Roman" w:hAnsi="Times New Roman" w:cs="Times New Roman"/>
        </w:rPr>
        <w:t xml:space="preserve">. </w:t>
      </w:r>
      <w:r w:rsidR="00BB2D25" w:rsidRPr="00810C7D">
        <w:rPr>
          <w:rFonts w:ascii="Times New Roman" w:hAnsi="Times New Roman" w:cs="Times New Roman"/>
        </w:rPr>
        <w:t xml:space="preserve">Yet when measuring </w:t>
      </w:r>
      <w:r w:rsidR="001F4E58" w:rsidRPr="00810C7D">
        <w:rPr>
          <w:rFonts w:ascii="Times New Roman" w:hAnsi="Times New Roman" w:cs="Times New Roman"/>
        </w:rPr>
        <w:t>perceived walkability</w:t>
      </w:r>
      <w:r w:rsidR="0014783F" w:rsidRPr="00810C7D">
        <w:rPr>
          <w:rFonts w:ascii="Times New Roman" w:hAnsi="Times New Roman" w:cs="Times New Roman"/>
        </w:rPr>
        <w:t>,</w:t>
      </w:r>
      <w:r w:rsidR="001F4E58" w:rsidRPr="00810C7D">
        <w:rPr>
          <w:rFonts w:ascii="Times New Roman" w:hAnsi="Times New Roman" w:cs="Times New Roman"/>
        </w:rPr>
        <w:t xml:space="preserve"> </w:t>
      </w:r>
      <w:r w:rsidR="00BB2D25" w:rsidRPr="00810C7D">
        <w:rPr>
          <w:rFonts w:ascii="Times New Roman" w:hAnsi="Times New Roman" w:cs="Times New Roman"/>
        </w:rPr>
        <w:t xml:space="preserve">there was a difference of </w:t>
      </w:r>
      <w:r w:rsidR="001F4E58" w:rsidRPr="00810C7D">
        <w:rPr>
          <w:rFonts w:ascii="Times New Roman" w:hAnsi="Times New Roman" w:cs="Times New Roman"/>
        </w:rPr>
        <w:t>1345 more steps</w:t>
      </w:r>
      <w:r w:rsidR="00B31025" w:rsidRPr="00810C7D">
        <w:rPr>
          <w:rFonts w:ascii="Times New Roman" w:hAnsi="Times New Roman" w:cs="Times New Roman"/>
        </w:rPr>
        <w:t xml:space="preserve"> between those who perceived the area to b</w:t>
      </w:r>
      <w:r w:rsidR="00F71154" w:rsidRPr="00810C7D">
        <w:rPr>
          <w:rFonts w:ascii="Times New Roman" w:hAnsi="Times New Roman" w:cs="Times New Roman"/>
        </w:rPr>
        <w:t xml:space="preserve">e the most walkable compared with </w:t>
      </w:r>
      <w:r w:rsidR="0004735A" w:rsidRPr="00810C7D">
        <w:rPr>
          <w:rFonts w:ascii="Times New Roman" w:hAnsi="Times New Roman" w:cs="Times New Roman"/>
        </w:rPr>
        <w:t xml:space="preserve">those who perceived the area to be </w:t>
      </w:r>
      <w:r w:rsidR="00B31025" w:rsidRPr="00810C7D">
        <w:rPr>
          <w:rFonts w:ascii="Times New Roman" w:hAnsi="Times New Roman" w:cs="Times New Roman"/>
        </w:rPr>
        <w:t>the least</w:t>
      </w:r>
      <w:r w:rsidR="0004735A" w:rsidRPr="00810C7D">
        <w:rPr>
          <w:rFonts w:ascii="Times New Roman" w:hAnsi="Times New Roman" w:cs="Times New Roman"/>
        </w:rPr>
        <w:t xml:space="preserve"> walkable</w:t>
      </w:r>
      <w:r w:rsidR="00513C4E" w:rsidRPr="00810C7D">
        <w:rPr>
          <w:rFonts w:ascii="Times New Roman" w:hAnsi="Times New Roman" w:cs="Times New Roman"/>
        </w:rPr>
        <w:t xml:space="preserve"> </w:t>
      </w:r>
      <w:r w:rsidR="00C46DE1" w:rsidRPr="00810C7D">
        <w:rPr>
          <w:rFonts w:ascii="Times New Roman" w:hAnsi="Times New Roman" w:cs="Times New Roman"/>
        </w:rPr>
        <w:fldChar w:fldCharType="begin"/>
      </w:r>
      <w:r w:rsidR="00B41F77" w:rsidRPr="00810C7D">
        <w:rPr>
          <w:rFonts w:ascii="Times New Roman" w:hAnsi="Times New Roman" w:cs="Times New Roman"/>
        </w:rPr>
        <w:instrText>ADDIN RW.CITE{{10372 Hajna,S. 2016}}</w:instrText>
      </w:r>
      <w:r w:rsidR="00C46DE1" w:rsidRPr="00810C7D">
        <w:rPr>
          <w:rFonts w:ascii="Times New Roman" w:hAnsi="Times New Roman" w:cs="Times New Roman"/>
        </w:rPr>
        <w:fldChar w:fldCharType="separate"/>
      </w:r>
      <w:r w:rsidR="00B41F77" w:rsidRPr="00810C7D">
        <w:rPr>
          <w:rFonts w:ascii="Times New Roman" w:hAnsi="Times New Roman" w:cs="Times New Roman"/>
          <w:vertAlign w:val="superscript"/>
        </w:rPr>
        <w:t>23</w:t>
      </w:r>
      <w:r w:rsidR="00C46DE1" w:rsidRPr="00810C7D">
        <w:rPr>
          <w:rFonts w:ascii="Times New Roman" w:hAnsi="Times New Roman" w:cs="Times New Roman"/>
        </w:rPr>
        <w:fldChar w:fldCharType="end"/>
      </w:r>
      <w:r w:rsidR="00513C4E" w:rsidRPr="00810C7D">
        <w:rPr>
          <w:rFonts w:ascii="Times New Roman" w:hAnsi="Times New Roman" w:cs="Times New Roman"/>
        </w:rPr>
        <w:t xml:space="preserve">. </w:t>
      </w:r>
      <w:r w:rsidR="00BB2D25" w:rsidRPr="00810C7D">
        <w:rPr>
          <w:rFonts w:ascii="Times New Roman" w:hAnsi="Times New Roman" w:cs="Times New Roman"/>
        </w:rPr>
        <w:t xml:space="preserve"> </w:t>
      </w:r>
      <w:r w:rsidR="00F71154" w:rsidRPr="00810C7D">
        <w:rPr>
          <w:rFonts w:ascii="Times New Roman" w:hAnsi="Times New Roman" w:cs="Times New Roman"/>
        </w:rPr>
        <w:t>A study in Australia also showed clear differences between objectively</w:t>
      </w:r>
      <w:r w:rsidR="0014783F" w:rsidRPr="00810C7D">
        <w:rPr>
          <w:rFonts w:ascii="Times New Roman" w:hAnsi="Times New Roman" w:cs="Times New Roman"/>
        </w:rPr>
        <w:t>-</w:t>
      </w:r>
      <w:r w:rsidR="00F71154" w:rsidRPr="00810C7D">
        <w:rPr>
          <w:rFonts w:ascii="Times New Roman" w:hAnsi="Times New Roman" w:cs="Times New Roman"/>
        </w:rPr>
        <w:t>measured walkability and perceived walkability, and highlights the importance of promoting a positive view of a n</w:t>
      </w:r>
      <w:r w:rsidR="00513C4E" w:rsidRPr="00810C7D">
        <w:rPr>
          <w:rFonts w:ascii="Times New Roman" w:hAnsi="Times New Roman" w:cs="Times New Roman"/>
        </w:rPr>
        <w:t xml:space="preserve">eighbourhood to support walking </w:t>
      </w:r>
      <w:r w:rsidR="00F71154" w:rsidRPr="00810C7D">
        <w:rPr>
          <w:rFonts w:ascii="Times New Roman" w:hAnsi="Times New Roman" w:cs="Times New Roman"/>
        </w:rPr>
        <w:fldChar w:fldCharType="begin"/>
      </w:r>
      <w:r w:rsidR="00B41F77" w:rsidRPr="00810C7D">
        <w:rPr>
          <w:rFonts w:ascii="Times New Roman" w:hAnsi="Times New Roman" w:cs="Times New Roman"/>
        </w:rPr>
        <w:instrText>ADDIN RW.CITE{{10371 Koohsari,M.J. 2015}}</w:instrText>
      </w:r>
      <w:r w:rsidR="00F71154" w:rsidRPr="00810C7D">
        <w:rPr>
          <w:rFonts w:ascii="Times New Roman" w:hAnsi="Times New Roman" w:cs="Times New Roman"/>
        </w:rPr>
        <w:fldChar w:fldCharType="separate"/>
      </w:r>
      <w:r w:rsidR="00B41F77" w:rsidRPr="00810C7D">
        <w:rPr>
          <w:rFonts w:ascii="Times New Roman" w:hAnsi="Times New Roman" w:cs="Times New Roman"/>
          <w:vertAlign w:val="superscript"/>
        </w:rPr>
        <w:t>RW.ERROR - Unable to find reference:10371</w:t>
      </w:r>
      <w:r w:rsidR="00F71154" w:rsidRPr="00810C7D">
        <w:rPr>
          <w:rFonts w:ascii="Times New Roman" w:hAnsi="Times New Roman" w:cs="Times New Roman"/>
        </w:rPr>
        <w:fldChar w:fldCharType="end"/>
      </w:r>
      <w:r w:rsidR="00513C4E" w:rsidRPr="00810C7D">
        <w:rPr>
          <w:rFonts w:ascii="Times New Roman" w:hAnsi="Times New Roman" w:cs="Times New Roman"/>
        </w:rPr>
        <w:t>.</w:t>
      </w:r>
      <w:r w:rsidR="00F71154" w:rsidRPr="00810C7D">
        <w:rPr>
          <w:rFonts w:ascii="Times New Roman" w:hAnsi="Times New Roman" w:cs="Times New Roman"/>
        </w:rPr>
        <w:t xml:space="preserve">  </w:t>
      </w:r>
      <w:r w:rsidR="00BB2D25" w:rsidRPr="00810C7D">
        <w:rPr>
          <w:rFonts w:ascii="Times New Roman" w:hAnsi="Times New Roman" w:cs="Times New Roman"/>
        </w:rPr>
        <w:t xml:space="preserve">People’s </w:t>
      </w:r>
      <w:r w:rsidR="001F4E58" w:rsidRPr="00810C7D">
        <w:rPr>
          <w:rFonts w:ascii="Times New Roman" w:hAnsi="Times New Roman" w:cs="Times New Roman"/>
        </w:rPr>
        <w:t>p</w:t>
      </w:r>
      <w:r w:rsidR="00BB2D25" w:rsidRPr="00810C7D">
        <w:rPr>
          <w:rFonts w:ascii="Times New Roman" w:hAnsi="Times New Roman" w:cs="Times New Roman"/>
        </w:rPr>
        <w:t xml:space="preserve">erception of the environment may be more important </w:t>
      </w:r>
      <w:r w:rsidR="00F71154" w:rsidRPr="00810C7D">
        <w:rPr>
          <w:rFonts w:ascii="Times New Roman" w:hAnsi="Times New Roman" w:cs="Times New Roman"/>
        </w:rPr>
        <w:t xml:space="preserve">than objective walkability measures </w:t>
      </w:r>
      <w:r w:rsidR="00BB2D25" w:rsidRPr="00810C7D">
        <w:rPr>
          <w:rFonts w:ascii="Times New Roman" w:hAnsi="Times New Roman" w:cs="Times New Roman"/>
        </w:rPr>
        <w:t>in determining whether they undertake activity or not</w:t>
      </w:r>
      <w:r w:rsidR="004C5E40" w:rsidRPr="00810C7D">
        <w:rPr>
          <w:rFonts w:ascii="Times New Roman" w:hAnsi="Times New Roman" w:cs="Times New Roman"/>
        </w:rPr>
        <w:t>,</w:t>
      </w:r>
      <w:r w:rsidR="00BB2D25" w:rsidRPr="00810C7D">
        <w:rPr>
          <w:rFonts w:ascii="Times New Roman" w:hAnsi="Times New Roman" w:cs="Times New Roman"/>
        </w:rPr>
        <w:t xml:space="preserve"> and </w:t>
      </w:r>
      <w:r w:rsidRPr="00810C7D">
        <w:rPr>
          <w:rFonts w:ascii="Times New Roman" w:hAnsi="Times New Roman" w:cs="Times New Roman"/>
        </w:rPr>
        <w:t>research into this should be considered.</w:t>
      </w:r>
      <w:r w:rsidR="00E37178" w:rsidRPr="00810C7D">
        <w:rPr>
          <w:rFonts w:ascii="Times New Roman" w:hAnsi="Times New Roman" w:cs="Times New Roman"/>
        </w:rPr>
        <w:t xml:space="preserve">  </w:t>
      </w:r>
      <w:r w:rsidR="00C45D7E" w:rsidRPr="00810C7D">
        <w:rPr>
          <w:rFonts w:ascii="Times New Roman" w:hAnsi="Times New Roman" w:cs="Times New Roman"/>
        </w:rPr>
        <w:t xml:space="preserve">  </w:t>
      </w:r>
      <w:r w:rsidR="00F71154" w:rsidRPr="00810C7D">
        <w:rPr>
          <w:rFonts w:ascii="Times New Roman" w:hAnsi="Times New Roman" w:cs="Times New Roman"/>
        </w:rPr>
        <w:t xml:space="preserve">  </w:t>
      </w:r>
    </w:p>
    <w:p w14:paraId="40804018" w14:textId="77777777" w:rsidR="00C45D7E" w:rsidRPr="00810C7D" w:rsidRDefault="00C45D7E" w:rsidP="00880CFB">
      <w:pPr>
        <w:spacing w:after="0" w:line="360" w:lineRule="auto"/>
        <w:ind w:left="57" w:right="57"/>
        <w:rPr>
          <w:rFonts w:ascii="Times New Roman" w:hAnsi="Times New Roman" w:cs="Times New Roman"/>
        </w:rPr>
      </w:pPr>
    </w:p>
    <w:p w14:paraId="00069CA6" w14:textId="77777777" w:rsidR="00013FA5" w:rsidRPr="00810C7D" w:rsidRDefault="00013FA5" w:rsidP="00880CFB">
      <w:pPr>
        <w:spacing w:after="0" w:line="360" w:lineRule="auto"/>
        <w:ind w:left="57" w:right="57"/>
        <w:rPr>
          <w:rFonts w:ascii="Times New Roman" w:hAnsi="Times New Roman" w:cs="Times New Roman"/>
          <w:i/>
        </w:rPr>
      </w:pPr>
      <w:r w:rsidRPr="00810C7D">
        <w:rPr>
          <w:rFonts w:ascii="Times New Roman" w:hAnsi="Times New Roman" w:cs="Times New Roman"/>
          <w:i/>
        </w:rPr>
        <w:t>Limitations of this study</w:t>
      </w:r>
    </w:p>
    <w:p w14:paraId="5F704C98" w14:textId="6A2EFDD8" w:rsidR="0051032B" w:rsidRPr="00810C7D" w:rsidRDefault="00420B95" w:rsidP="00880CFB">
      <w:pPr>
        <w:spacing w:after="0" w:line="360" w:lineRule="auto"/>
        <w:ind w:left="57" w:right="57"/>
        <w:rPr>
          <w:rFonts w:ascii="Times New Roman" w:hAnsi="Times New Roman" w:cs="Times New Roman"/>
        </w:rPr>
      </w:pPr>
      <w:r w:rsidRPr="00810C7D">
        <w:rPr>
          <w:rFonts w:ascii="Times New Roman" w:hAnsi="Times New Roman" w:cs="Times New Roman"/>
        </w:rPr>
        <w:t xml:space="preserve">A limitation which should be considered is that the Walking Away Programme was not </w:t>
      </w:r>
      <w:r w:rsidR="00C45D7E" w:rsidRPr="00810C7D">
        <w:rPr>
          <w:rFonts w:ascii="Times New Roman" w:hAnsi="Times New Roman" w:cs="Times New Roman"/>
        </w:rPr>
        <w:t xml:space="preserve">originally </w:t>
      </w:r>
      <w:r w:rsidRPr="00810C7D">
        <w:rPr>
          <w:rFonts w:ascii="Times New Roman" w:hAnsi="Times New Roman" w:cs="Times New Roman"/>
        </w:rPr>
        <w:t>designed to investigate walkability</w:t>
      </w:r>
      <w:r w:rsidR="00257EDD" w:rsidRPr="00810C7D">
        <w:rPr>
          <w:rFonts w:ascii="Times New Roman" w:hAnsi="Times New Roman" w:cs="Times New Roman"/>
        </w:rPr>
        <w:t>, thus the sampling frame may not have provided a great enough exposure to maximise potential differences between different neighbourhood walkability variables. F</w:t>
      </w:r>
      <w:r w:rsidR="00851E0C" w:rsidRPr="00810C7D">
        <w:rPr>
          <w:rFonts w:ascii="Times New Roman" w:hAnsi="Times New Roman" w:cs="Times New Roman"/>
        </w:rPr>
        <w:t>urthermore</w:t>
      </w:r>
      <w:r w:rsidR="00257EDD" w:rsidRPr="00810C7D">
        <w:rPr>
          <w:rFonts w:ascii="Times New Roman" w:hAnsi="Times New Roman" w:cs="Times New Roman"/>
        </w:rPr>
        <w:t>,</w:t>
      </w:r>
      <w:r w:rsidR="00851E0C" w:rsidRPr="00810C7D">
        <w:rPr>
          <w:rFonts w:ascii="Times New Roman" w:hAnsi="Times New Roman" w:cs="Times New Roman"/>
        </w:rPr>
        <w:t xml:space="preserve"> the walking environment was not a focus discussed within </w:t>
      </w:r>
      <w:r w:rsidR="00EE7A33" w:rsidRPr="00810C7D">
        <w:rPr>
          <w:rFonts w:ascii="Times New Roman" w:hAnsi="Times New Roman" w:cs="Times New Roman"/>
        </w:rPr>
        <w:t xml:space="preserve">the </w:t>
      </w:r>
      <w:r w:rsidR="00851E0C" w:rsidRPr="00810C7D">
        <w:rPr>
          <w:rFonts w:ascii="Times New Roman" w:hAnsi="Times New Roman" w:cs="Times New Roman"/>
        </w:rPr>
        <w:t xml:space="preserve">intervention curriculum.  </w:t>
      </w:r>
      <w:r w:rsidR="0014783F" w:rsidRPr="00810C7D">
        <w:rPr>
          <w:rFonts w:ascii="Times New Roman" w:hAnsi="Times New Roman" w:cs="Times New Roman"/>
        </w:rPr>
        <w:t>N</w:t>
      </w:r>
      <w:r w:rsidRPr="00810C7D">
        <w:rPr>
          <w:rFonts w:ascii="Times New Roman" w:hAnsi="Times New Roman" w:cs="Times New Roman"/>
        </w:rPr>
        <w:t>onetheless</w:t>
      </w:r>
      <w:r w:rsidR="00C45D7E" w:rsidRPr="00810C7D">
        <w:rPr>
          <w:rFonts w:ascii="Times New Roman" w:hAnsi="Times New Roman" w:cs="Times New Roman"/>
        </w:rPr>
        <w:t>,</w:t>
      </w:r>
      <w:r w:rsidRPr="00810C7D">
        <w:rPr>
          <w:rFonts w:ascii="Times New Roman" w:hAnsi="Times New Roman" w:cs="Times New Roman"/>
        </w:rPr>
        <w:t xml:space="preserve"> </w:t>
      </w:r>
      <w:r w:rsidR="00851E0C" w:rsidRPr="00810C7D">
        <w:rPr>
          <w:rFonts w:ascii="Times New Roman" w:hAnsi="Times New Roman" w:cs="Times New Roman"/>
        </w:rPr>
        <w:t>there is evidence our r</w:t>
      </w:r>
      <w:r w:rsidRPr="00810C7D">
        <w:rPr>
          <w:rFonts w:ascii="Times New Roman" w:hAnsi="Times New Roman" w:cs="Times New Roman"/>
        </w:rPr>
        <w:t xml:space="preserve">esults </w:t>
      </w:r>
      <w:r w:rsidR="00851E0C" w:rsidRPr="00810C7D">
        <w:rPr>
          <w:rFonts w:ascii="Times New Roman" w:hAnsi="Times New Roman" w:cs="Times New Roman"/>
        </w:rPr>
        <w:t>are</w:t>
      </w:r>
      <w:r w:rsidRPr="00810C7D">
        <w:rPr>
          <w:rFonts w:ascii="Times New Roman" w:hAnsi="Times New Roman" w:cs="Times New Roman"/>
        </w:rPr>
        <w:t xml:space="preserve"> robust as the </w:t>
      </w:r>
      <w:r w:rsidR="00851E0C" w:rsidRPr="00810C7D">
        <w:rPr>
          <w:rFonts w:ascii="Times New Roman" w:hAnsi="Times New Roman" w:cs="Times New Roman"/>
        </w:rPr>
        <w:t>findings did</w:t>
      </w:r>
      <w:r w:rsidRPr="00810C7D">
        <w:rPr>
          <w:rFonts w:ascii="Times New Roman" w:hAnsi="Times New Roman" w:cs="Times New Roman"/>
        </w:rPr>
        <w:t xml:space="preserve"> not </w:t>
      </w:r>
      <w:r w:rsidR="00851E0C" w:rsidRPr="00810C7D">
        <w:rPr>
          <w:rFonts w:ascii="Times New Roman" w:hAnsi="Times New Roman" w:cs="Times New Roman"/>
        </w:rPr>
        <w:t xml:space="preserve">substantially </w:t>
      </w:r>
      <w:r w:rsidRPr="00810C7D">
        <w:rPr>
          <w:rFonts w:ascii="Times New Roman" w:hAnsi="Times New Roman" w:cs="Times New Roman"/>
        </w:rPr>
        <w:t xml:space="preserve">alter when two alternative buffer sizes were used, nor when alternative measures of walkability were used.  </w:t>
      </w:r>
      <w:r w:rsidR="00260D39" w:rsidRPr="00810C7D">
        <w:rPr>
          <w:rFonts w:ascii="Times New Roman" w:hAnsi="Times New Roman" w:cs="Times New Roman"/>
        </w:rPr>
        <w:t xml:space="preserve">The population included in this analysis are an “at risk” population and therefore results may not be generalizable to the wider population.  Furthermore we should consider the possibility of selection bias, those excluded were younger and had a higher BMI than those included in the analysis.   </w:t>
      </w:r>
      <w:r w:rsidR="00880CFB" w:rsidRPr="00810C7D">
        <w:rPr>
          <w:rFonts w:ascii="Times New Roman" w:hAnsi="Times New Roman" w:cs="Times New Roman"/>
        </w:rPr>
        <w:t xml:space="preserve">Adjustment </w:t>
      </w:r>
      <w:r w:rsidR="009D4207" w:rsidRPr="00810C7D">
        <w:rPr>
          <w:rFonts w:ascii="Times New Roman" w:hAnsi="Times New Roman" w:cs="Times New Roman"/>
        </w:rPr>
        <w:t>for</w:t>
      </w:r>
      <w:r w:rsidR="00260D39" w:rsidRPr="00810C7D">
        <w:rPr>
          <w:rFonts w:ascii="Times New Roman" w:hAnsi="Times New Roman" w:cs="Times New Roman"/>
        </w:rPr>
        <w:t xml:space="preserve"> age and BMI did not significantly affect overall results</w:t>
      </w:r>
      <w:r w:rsidR="00880CFB" w:rsidRPr="00810C7D">
        <w:rPr>
          <w:rFonts w:ascii="Times New Roman" w:hAnsi="Times New Roman" w:cs="Times New Roman"/>
        </w:rPr>
        <w:t xml:space="preserve">; however, we cannot exclude the possibility that residual confounding factors may have attenuated results.  </w:t>
      </w:r>
      <w:r w:rsidRPr="00810C7D">
        <w:rPr>
          <w:rFonts w:ascii="Times New Roman" w:hAnsi="Times New Roman" w:cs="Times New Roman"/>
        </w:rPr>
        <w:t>W</w:t>
      </w:r>
      <w:r w:rsidR="00C64EC7" w:rsidRPr="00810C7D">
        <w:rPr>
          <w:rFonts w:ascii="Times New Roman" w:hAnsi="Times New Roman" w:cs="Times New Roman"/>
        </w:rPr>
        <w:t xml:space="preserve">e believe our study </w:t>
      </w:r>
      <w:r w:rsidRPr="00810C7D">
        <w:rPr>
          <w:rFonts w:ascii="Times New Roman" w:hAnsi="Times New Roman" w:cs="Times New Roman"/>
        </w:rPr>
        <w:t xml:space="preserve">also </w:t>
      </w:r>
      <w:r w:rsidR="00C64EC7" w:rsidRPr="00810C7D">
        <w:rPr>
          <w:rFonts w:ascii="Times New Roman" w:hAnsi="Times New Roman" w:cs="Times New Roman"/>
        </w:rPr>
        <w:t xml:space="preserve">has a number of </w:t>
      </w:r>
      <w:r w:rsidRPr="00810C7D">
        <w:rPr>
          <w:rFonts w:ascii="Times New Roman" w:hAnsi="Times New Roman" w:cs="Times New Roman"/>
        </w:rPr>
        <w:t xml:space="preserve">additional </w:t>
      </w:r>
      <w:r w:rsidR="00C64EC7" w:rsidRPr="00810C7D">
        <w:rPr>
          <w:rFonts w:ascii="Times New Roman" w:hAnsi="Times New Roman" w:cs="Times New Roman"/>
        </w:rPr>
        <w:t>strengths</w:t>
      </w:r>
      <w:r w:rsidR="0014783F" w:rsidRPr="00810C7D">
        <w:rPr>
          <w:rFonts w:ascii="Times New Roman" w:hAnsi="Times New Roman" w:cs="Times New Roman"/>
        </w:rPr>
        <w:t>. W</w:t>
      </w:r>
      <w:r w:rsidR="00C64EC7" w:rsidRPr="00810C7D">
        <w:rPr>
          <w:rFonts w:ascii="Times New Roman" w:hAnsi="Times New Roman" w:cs="Times New Roman"/>
        </w:rPr>
        <w:t>e used objective measures of step count, sedentary behaviour and activity</w:t>
      </w:r>
      <w:r w:rsidR="0014783F" w:rsidRPr="00810C7D">
        <w:rPr>
          <w:rFonts w:ascii="Times New Roman" w:hAnsi="Times New Roman" w:cs="Times New Roman"/>
        </w:rPr>
        <w:t>;</w:t>
      </w:r>
      <w:r w:rsidR="00C64EC7" w:rsidRPr="00810C7D">
        <w:rPr>
          <w:rFonts w:ascii="Times New Roman" w:hAnsi="Times New Roman" w:cs="Times New Roman"/>
        </w:rPr>
        <w:t xml:space="preserve"> a criticism of previous work is that studies have relied on self-repor</w:t>
      </w:r>
      <w:r w:rsidR="007234B5" w:rsidRPr="00810C7D">
        <w:rPr>
          <w:rFonts w:ascii="Times New Roman" w:hAnsi="Times New Roman" w:cs="Times New Roman"/>
        </w:rPr>
        <w:t>t.  We also examined both cross-</w:t>
      </w:r>
      <w:r w:rsidR="00C64EC7" w:rsidRPr="00810C7D">
        <w:rPr>
          <w:rFonts w:ascii="Times New Roman" w:hAnsi="Times New Roman" w:cs="Times New Roman"/>
        </w:rPr>
        <w:t xml:space="preserve">sectional and longitudinal data to interpret the association between neighbourhood walkability and physical activity. </w:t>
      </w:r>
      <w:r w:rsidR="00DC4887" w:rsidRPr="00810C7D">
        <w:rPr>
          <w:rFonts w:ascii="Times New Roman" w:hAnsi="Times New Roman" w:cs="Times New Roman"/>
        </w:rPr>
        <w:t xml:space="preserve"> </w:t>
      </w:r>
    </w:p>
    <w:p w14:paraId="60181E5D" w14:textId="77777777" w:rsidR="00A30070" w:rsidRPr="00810C7D" w:rsidRDefault="00A30070" w:rsidP="00880CFB">
      <w:pPr>
        <w:spacing w:after="0" w:line="360" w:lineRule="auto"/>
        <w:ind w:left="57" w:right="57"/>
        <w:rPr>
          <w:rFonts w:ascii="Times New Roman" w:hAnsi="Times New Roman" w:cs="Times New Roman"/>
        </w:rPr>
      </w:pPr>
    </w:p>
    <w:p w14:paraId="11C64D6D" w14:textId="723755D2" w:rsidR="007B6D08" w:rsidRPr="00810C7D" w:rsidRDefault="007B6D08" w:rsidP="00880CFB">
      <w:pPr>
        <w:spacing w:after="0" w:line="360" w:lineRule="auto"/>
        <w:ind w:left="57" w:right="57"/>
        <w:rPr>
          <w:rFonts w:ascii="Times New Roman" w:hAnsi="Times New Roman" w:cs="Times New Roman"/>
        </w:rPr>
      </w:pPr>
      <w:r w:rsidRPr="00810C7D">
        <w:rPr>
          <w:rFonts w:ascii="Times New Roman" w:hAnsi="Times New Roman" w:cs="Times New Roman"/>
          <w:b/>
        </w:rPr>
        <w:t>Conclusion</w:t>
      </w:r>
    </w:p>
    <w:p w14:paraId="4A61085F" w14:textId="3DC062C2" w:rsidR="0051032B" w:rsidRPr="00810C7D" w:rsidRDefault="00F71154" w:rsidP="00880CFB">
      <w:pPr>
        <w:pStyle w:val="CommentText"/>
        <w:spacing w:after="0" w:line="360" w:lineRule="auto"/>
        <w:ind w:left="57" w:right="57"/>
        <w:rPr>
          <w:rFonts w:ascii="Times New Roman" w:hAnsi="Times New Roman" w:cs="Times New Roman"/>
          <w:sz w:val="22"/>
          <w:szCs w:val="22"/>
        </w:rPr>
      </w:pPr>
      <w:r w:rsidRPr="00810C7D">
        <w:rPr>
          <w:rFonts w:ascii="Times New Roman" w:hAnsi="Times New Roman" w:cs="Times New Roman"/>
          <w:sz w:val="22"/>
          <w:szCs w:val="22"/>
        </w:rPr>
        <w:t>Objectively</w:t>
      </w:r>
      <w:r w:rsidR="00954322" w:rsidRPr="00810C7D">
        <w:rPr>
          <w:rFonts w:ascii="Times New Roman" w:hAnsi="Times New Roman" w:cs="Times New Roman"/>
          <w:sz w:val="22"/>
          <w:szCs w:val="22"/>
        </w:rPr>
        <w:t>-</w:t>
      </w:r>
      <w:r w:rsidRPr="00810C7D">
        <w:rPr>
          <w:rFonts w:ascii="Times New Roman" w:hAnsi="Times New Roman" w:cs="Times New Roman"/>
          <w:sz w:val="22"/>
          <w:szCs w:val="22"/>
        </w:rPr>
        <w:t xml:space="preserve">measured neighbourhood walkability </w:t>
      </w:r>
      <w:r w:rsidR="00E55651" w:rsidRPr="00810C7D">
        <w:rPr>
          <w:rFonts w:ascii="Times New Roman" w:hAnsi="Times New Roman" w:cs="Times New Roman"/>
          <w:sz w:val="22"/>
          <w:szCs w:val="22"/>
        </w:rPr>
        <w:t xml:space="preserve">was not associated with physical activity in this population.  Walkability also </w:t>
      </w:r>
      <w:r w:rsidRPr="00810C7D">
        <w:rPr>
          <w:rFonts w:ascii="Times New Roman" w:hAnsi="Times New Roman" w:cs="Times New Roman"/>
          <w:sz w:val="22"/>
          <w:szCs w:val="22"/>
        </w:rPr>
        <w:t xml:space="preserve">appeared to </w:t>
      </w:r>
      <w:r w:rsidR="00E55651" w:rsidRPr="00810C7D">
        <w:rPr>
          <w:rFonts w:ascii="Times New Roman" w:hAnsi="Times New Roman" w:cs="Times New Roman"/>
          <w:sz w:val="22"/>
          <w:szCs w:val="22"/>
        </w:rPr>
        <w:t>have</w:t>
      </w:r>
      <w:r w:rsidRPr="00810C7D">
        <w:rPr>
          <w:rFonts w:ascii="Times New Roman" w:hAnsi="Times New Roman" w:cs="Times New Roman"/>
          <w:sz w:val="22"/>
          <w:szCs w:val="22"/>
        </w:rPr>
        <w:t xml:space="preserve"> little </w:t>
      </w:r>
      <w:r w:rsidR="00EE7A33" w:rsidRPr="00810C7D">
        <w:rPr>
          <w:rFonts w:ascii="Times New Roman" w:hAnsi="Times New Roman" w:cs="Times New Roman"/>
          <w:sz w:val="22"/>
          <w:szCs w:val="22"/>
        </w:rPr>
        <w:t>influence</w:t>
      </w:r>
      <w:r w:rsidR="00E55651" w:rsidRPr="00810C7D">
        <w:rPr>
          <w:rFonts w:ascii="Times New Roman" w:hAnsi="Times New Roman" w:cs="Times New Roman"/>
          <w:sz w:val="22"/>
          <w:szCs w:val="22"/>
        </w:rPr>
        <w:t xml:space="preserve"> on the effectiveness of the</w:t>
      </w:r>
      <w:r w:rsidRPr="00810C7D">
        <w:rPr>
          <w:rFonts w:ascii="Times New Roman" w:hAnsi="Times New Roman" w:cs="Times New Roman"/>
          <w:sz w:val="22"/>
          <w:szCs w:val="22"/>
        </w:rPr>
        <w:t xml:space="preserve"> lifestyle programme </w:t>
      </w:r>
      <w:r w:rsidR="00E55651" w:rsidRPr="00810C7D">
        <w:rPr>
          <w:rFonts w:ascii="Times New Roman" w:hAnsi="Times New Roman" w:cs="Times New Roman"/>
          <w:sz w:val="22"/>
          <w:szCs w:val="22"/>
        </w:rPr>
        <w:t>aimed at increasing</w:t>
      </w:r>
      <w:r w:rsidRPr="00810C7D">
        <w:rPr>
          <w:rFonts w:ascii="Times New Roman" w:hAnsi="Times New Roman" w:cs="Times New Roman"/>
          <w:sz w:val="22"/>
          <w:szCs w:val="22"/>
        </w:rPr>
        <w:t xml:space="preserve"> walking.</w:t>
      </w:r>
      <w:r w:rsidR="00E55651" w:rsidRPr="00810C7D">
        <w:rPr>
          <w:rFonts w:ascii="Times New Roman" w:hAnsi="Times New Roman" w:cs="Times New Roman"/>
          <w:sz w:val="22"/>
          <w:szCs w:val="22"/>
        </w:rPr>
        <w:t xml:space="preserve">  </w:t>
      </w:r>
      <w:r w:rsidR="00EE7A33" w:rsidRPr="00810C7D">
        <w:rPr>
          <w:rFonts w:ascii="Times New Roman" w:hAnsi="Times New Roman" w:cs="Times New Roman"/>
          <w:sz w:val="22"/>
          <w:szCs w:val="22"/>
        </w:rPr>
        <w:t>T</w:t>
      </w:r>
      <w:r w:rsidR="00E55651" w:rsidRPr="00810C7D">
        <w:rPr>
          <w:rFonts w:ascii="Times New Roman" w:hAnsi="Times New Roman" w:cs="Times New Roman"/>
          <w:sz w:val="22"/>
          <w:szCs w:val="22"/>
        </w:rPr>
        <w:t xml:space="preserve">his </w:t>
      </w:r>
      <w:r w:rsidR="00EE7A33" w:rsidRPr="00810C7D">
        <w:rPr>
          <w:rFonts w:ascii="Times New Roman" w:hAnsi="Times New Roman" w:cs="Times New Roman"/>
          <w:sz w:val="22"/>
          <w:szCs w:val="22"/>
        </w:rPr>
        <w:t xml:space="preserve">particular </w:t>
      </w:r>
      <w:r w:rsidR="00E55651" w:rsidRPr="00810C7D">
        <w:rPr>
          <w:rFonts w:ascii="Times New Roman" w:hAnsi="Times New Roman" w:cs="Times New Roman"/>
          <w:sz w:val="22"/>
          <w:szCs w:val="22"/>
        </w:rPr>
        <w:t xml:space="preserve">intervention did not </w:t>
      </w:r>
      <w:r w:rsidR="00EE7A33" w:rsidRPr="00810C7D">
        <w:rPr>
          <w:rFonts w:ascii="Times New Roman" w:hAnsi="Times New Roman" w:cs="Times New Roman"/>
          <w:sz w:val="22"/>
          <w:szCs w:val="22"/>
        </w:rPr>
        <w:t xml:space="preserve">include any discussion on walkability or </w:t>
      </w:r>
      <w:r w:rsidR="00E55651" w:rsidRPr="00810C7D">
        <w:rPr>
          <w:rFonts w:ascii="Times New Roman" w:hAnsi="Times New Roman" w:cs="Times New Roman"/>
          <w:sz w:val="22"/>
          <w:szCs w:val="22"/>
        </w:rPr>
        <w:t xml:space="preserve">the </w:t>
      </w:r>
      <w:r w:rsidR="00EE7A33" w:rsidRPr="00810C7D">
        <w:rPr>
          <w:rFonts w:ascii="Times New Roman" w:hAnsi="Times New Roman" w:cs="Times New Roman"/>
          <w:sz w:val="22"/>
          <w:szCs w:val="22"/>
        </w:rPr>
        <w:t xml:space="preserve">neighbourhood </w:t>
      </w:r>
      <w:r w:rsidR="00415D7C" w:rsidRPr="00810C7D">
        <w:rPr>
          <w:rFonts w:ascii="Times New Roman" w:hAnsi="Times New Roman" w:cs="Times New Roman"/>
          <w:sz w:val="22"/>
          <w:szCs w:val="22"/>
        </w:rPr>
        <w:t xml:space="preserve">environment of participants; however to our knowledge this is the first study to examine the social-environmental context of the effect of lifestyle education and </w:t>
      </w:r>
      <w:r w:rsidR="00E55651" w:rsidRPr="00810C7D">
        <w:rPr>
          <w:rFonts w:ascii="Times New Roman" w:hAnsi="Times New Roman" w:cs="Times New Roman"/>
          <w:sz w:val="22"/>
          <w:szCs w:val="22"/>
        </w:rPr>
        <w:t>future work should be encourage</w:t>
      </w:r>
      <w:r w:rsidR="00415D7C" w:rsidRPr="00810C7D">
        <w:rPr>
          <w:rFonts w:ascii="Times New Roman" w:hAnsi="Times New Roman" w:cs="Times New Roman"/>
          <w:sz w:val="22"/>
          <w:szCs w:val="22"/>
        </w:rPr>
        <w:t>d which considers the context in</w:t>
      </w:r>
      <w:r w:rsidR="00E55651" w:rsidRPr="00810C7D">
        <w:rPr>
          <w:rFonts w:ascii="Times New Roman" w:hAnsi="Times New Roman" w:cs="Times New Roman"/>
          <w:sz w:val="22"/>
          <w:szCs w:val="22"/>
        </w:rPr>
        <w:t xml:space="preserve"> which interventions take place</w:t>
      </w:r>
      <w:r w:rsidR="00415D7C" w:rsidRPr="00810C7D">
        <w:rPr>
          <w:rFonts w:ascii="Times New Roman" w:hAnsi="Times New Roman" w:cs="Times New Roman"/>
          <w:sz w:val="22"/>
          <w:szCs w:val="22"/>
        </w:rPr>
        <w:t>,</w:t>
      </w:r>
      <w:r w:rsidR="00E55651" w:rsidRPr="00810C7D">
        <w:rPr>
          <w:rFonts w:ascii="Times New Roman" w:hAnsi="Times New Roman" w:cs="Times New Roman"/>
          <w:sz w:val="22"/>
          <w:szCs w:val="22"/>
        </w:rPr>
        <w:t xml:space="preserve"> and how this may influence both activity and health outcomes.   </w:t>
      </w:r>
    </w:p>
    <w:p w14:paraId="645819E2" w14:textId="77777777" w:rsidR="00955DD7" w:rsidRPr="00810C7D" w:rsidRDefault="00955DD7" w:rsidP="00880CFB">
      <w:pPr>
        <w:pStyle w:val="CommentText"/>
        <w:spacing w:after="0" w:line="360" w:lineRule="auto"/>
        <w:ind w:left="57" w:right="57"/>
        <w:rPr>
          <w:rFonts w:ascii="Times New Roman" w:hAnsi="Times New Roman" w:cs="Times New Roman"/>
          <w:sz w:val="22"/>
          <w:szCs w:val="22"/>
        </w:rPr>
      </w:pPr>
    </w:p>
    <w:p w14:paraId="2D93C2B4" w14:textId="77777777" w:rsidR="00955DD7" w:rsidRPr="00810C7D" w:rsidRDefault="00955DD7" w:rsidP="00880CFB">
      <w:pPr>
        <w:spacing w:after="0" w:line="360" w:lineRule="auto"/>
        <w:ind w:left="57" w:right="57"/>
        <w:rPr>
          <w:rFonts w:ascii="Times New Roman" w:eastAsiaTheme="minorEastAsia" w:hAnsi="Times New Roman" w:cs="Times New Roman"/>
          <w:color w:val="000000"/>
          <w:lang w:eastAsia="zh-CN"/>
        </w:rPr>
      </w:pPr>
      <w:r w:rsidRPr="00810C7D">
        <w:rPr>
          <w:rFonts w:ascii="Times New Roman" w:hAnsi="Times New Roman" w:cs="Times New Roman"/>
          <w:b/>
        </w:rPr>
        <w:t>Acknowledgments:</w:t>
      </w:r>
      <w:r w:rsidRPr="00810C7D">
        <w:rPr>
          <w:rFonts w:ascii="Times New Roman" w:eastAsiaTheme="minorEastAsia" w:hAnsi="Times New Roman" w:cs="Times New Roman"/>
          <w:color w:val="000000"/>
          <w:lang w:eastAsia="zh-CN"/>
        </w:rPr>
        <w:t xml:space="preserve"> The Walking Away trial was funded by The National Institute for Health Research (NIHR) Collaboration for Leadership in Applied Health Research and Care for Leicestershire, Northamptonshire and Rutland </w:t>
      </w:r>
      <w:r w:rsidRPr="00810C7D">
        <w:rPr>
          <w:rFonts w:ascii="Times New Roman" w:eastAsiaTheme="minorEastAsia" w:hAnsi="Times New Roman" w:cs="Times New Roman"/>
          <w:color w:val="000000"/>
          <w:lang w:val="en-US" w:eastAsia="zh-CN"/>
        </w:rPr>
        <w:t>(NIHR CLAHRC – LNR) and East Midlands (NIHR CLAHRC EM)</w:t>
      </w:r>
      <w:r w:rsidRPr="00810C7D">
        <w:rPr>
          <w:rFonts w:ascii="Times New Roman" w:eastAsiaTheme="minorEastAsia" w:hAnsi="Times New Roman" w:cs="Times New Roman"/>
          <w:color w:val="000000"/>
          <w:lang w:eastAsia="zh-CN"/>
        </w:rPr>
        <w:t xml:space="preserve">. The research was further supported by the </w:t>
      </w:r>
      <w:r w:rsidRPr="00810C7D">
        <w:rPr>
          <w:rFonts w:ascii="Times New Roman" w:eastAsiaTheme="minorEastAsia" w:hAnsi="Times New Roman" w:cs="Times New Roman"/>
          <w:color w:val="000000"/>
          <w:lang w:val="en-US" w:eastAsia="zh-CN"/>
        </w:rPr>
        <w:t>University of Leicester Clinical Trials Unit</w:t>
      </w:r>
      <w:r w:rsidRPr="00810C7D">
        <w:rPr>
          <w:rFonts w:ascii="Times New Roman" w:eastAsiaTheme="minorEastAsia" w:hAnsi="Times New Roman" w:cs="Times New Roman"/>
          <w:color w:val="000000"/>
          <w:lang w:eastAsia="zh-CN"/>
        </w:rPr>
        <w:t xml:space="preserve"> and the NIHR Leicester-Loughborough Diet, Lifestyle and Physical Activity Biomedical Research Unit </w:t>
      </w:r>
      <w:r w:rsidRPr="00810C7D">
        <w:rPr>
          <w:rFonts w:ascii="Times New Roman" w:eastAsiaTheme="minorEastAsia" w:hAnsi="Times New Roman" w:cs="Times New Roman"/>
          <w:color w:val="000000"/>
          <w:lang w:val="en-US" w:eastAsia="zh-CN"/>
        </w:rPr>
        <w:t>which is a partnership between University Hospitals of Leicester NHS Trust, Loughborough University and the University of Leicester</w:t>
      </w:r>
      <w:r w:rsidRPr="00810C7D">
        <w:rPr>
          <w:rFonts w:ascii="Times New Roman" w:eastAsiaTheme="minorEastAsia" w:hAnsi="Times New Roman" w:cs="Times New Roman"/>
          <w:color w:val="000000"/>
          <w:lang w:eastAsia="zh-CN"/>
        </w:rPr>
        <w:t>. The views expressed are those of the author(s) and not necessarily those of the NHS, the NIHR or the Department of Health.</w:t>
      </w:r>
    </w:p>
    <w:p w14:paraId="18A151A7" w14:textId="77777777" w:rsidR="00955DD7" w:rsidRPr="00810C7D" w:rsidRDefault="00955DD7" w:rsidP="00880CFB">
      <w:pPr>
        <w:spacing w:after="0" w:line="360" w:lineRule="auto"/>
        <w:ind w:left="57" w:right="57"/>
        <w:rPr>
          <w:rFonts w:ascii="Times New Roman" w:hAnsi="Times New Roman" w:cs="Times New Roman"/>
          <w:b/>
          <w:bCs/>
        </w:rPr>
      </w:pPr>
    </w:p>
    <w:p w14:paraId="7FC63A79" w14:textId="0E229366" w:rsidR="00955DD7" w:rsidRPr="00810C7D" w:rsidRDefault="00D25B3D" w:rsidP="00880CFB">
      <w:pPr>
        <w:spacing w:after="0" w:line="360" w:lineRule="auto"/>
        <w:ind w:left="57" w:right="57"/>
        <w:rPr>
          <w:rFonts w:ascii="Times New Roman" w:hAnsi="Times New Roman" w:cs="Times New Roman"/>
          <w:b/>
          <w:bCs/>
        </w:rPr>
      </w:pPr>
      <w:r w:rsidRPr="00810C7D">
        <w:rPr>
          <w:rFonts w:ascii="Times New Roman" w:hAnsi="Times New Roman" w:cs="Times New Roman"/>
          <w:b/>
        </w:rPr>
        <w:t>Conflict of interest</w:t>
      </w:r>
      <w:r w:rsidR="00955DD7" w:rsidRPr="00810C7D">
        <w:rPr>
          <w:rFonts w:ascii="Times New Roman" w:hAnsi="Times New Roman" w:cs="Times New Roman"/>
          <w:b/>
        </w:rPr>
        <w:t>:</w:t>
      </w:r>
      <w:r w:rsidR="00955DD7" w:rsidRPr="00810C7D">
        <w:rPr>
          <w:rFonts w:ascii="Times New Roman" w:eastAsiaTheme="minorEastAsia" w:hAnsi="Times New Roman" w:cs="Times New Roman"/>
          <w:lang w:eastAsia="zh-CN"/>
        </w:rPr>
        <w:t xml:space="preserve"> Professor Melanie J Davies has acted as consultant, advisory board member and speaker for Novo Nordisk, Sanofi-Aventis, Lilly, Merck Sharp &amp; Dohme, Boehringer Ingelheim, AstraZeneca and Janssen and as a speaker for Mitsubishi Tanabe Pharma Corporation.   She has received grants in support of investigator and investigator initiated trials from Novo Nordisk, Sanofi-Aventis, Boehringer Ingelheim, Janssen and Lilly.  </w:t>
      </w:r>
      <w:r w:rsidR="00955DD7" w:rsidRPr="00810C7D">
        <w:rPr>
          <w:rFonts w:ascii="Times New Roman" w:hAnsi="Times New Roman" w:cs="Times New Roman"/>
          <w:bCs/>
        </w:rPr>
        <w:t>Professor Kamlesh Khunti reports he has acted as consultant, advisory board member and speaker for Novo Nordisk, Sanofi-Aventis, Lilly, Merck Sharp &amp; Dohme, Boehringer Ingelheim, AstraZeneca and Janssen. He has received grants in support of investigator and investigator initiated trials from AstraZeneca, Novartis, Novo Nordisk, Sanofi-Aventis, Lilly, Janssen, Boehringer-Ingelheim and Merck Sharp &amp; Dohme and Roche.</w:t>
      </w:r>
      <w:r w:rsidR="00955DD7" w:rsidRPr="00810C7D">
        <w:rPr>
          <w:rFonts w:ascii="Times New Roman" w:hAnsi="Times New Roman" w:cs="Times New Roman"/>
          <w:b/>
          <w:bCs/>
        </w:rPr>
        <w:t xml:space="preserve"> </w:t>
      </w:r>
      <w:r w:rsidR="00955DD7" w:rsidRPr="00810C7D">
        <w:rPr>
          <w:rFonts w:ascii="Times New Roman" w:hAnsi="Times New Roman" w:cs="Times New Roman"/>
        </w:rPr>
        <w:t xml:space="preserve">KK (Chair), MJD and TY are members of the NICE Public Health Guidance (PH38) </w:t>
      </w:r>
      <w:r w:rsidR="00955DD7" w:rsidRPr="00810C7D">
        <w:rPr>
          <w:rFonts w:ascii="Times New Roman" w:hAnsi="Times New Roman" w:cs="Times New Roman"/>
          <w:lang w:val="en-US"/>
        </w:rPr>
        <w:t>Preventing type 2 diabetes: risk identification and interventions for individuals at high risk</w:t>
      </w:r>
      <w:r w:rsidR="00955DD7" w:rsidRPr="00810C7D">
        <w:rPr>
          <w:rFonts w:ascii="Times New Roman" w:hAnsi="Times New Roman" w:cs="Times New Roman"/>
          <w:b/>
          <w:bCs/>
        </w:rPr>
        <w:t xml:space="preserve">.  </w:t>
      </w:r>
      <w:r w:rsidR="00955DD7" w:rsidRPr="00810C7D">
        <w:rPr>
          <w:rFonts w:ascii="Times New Roman" w:eastAsiaTheme="minorEastAsia" w:hAnsi="Times New Roman" w:cs="Times New Roman"/>
          <w:lang w:eastAsia="zh-CN"/>
        </w:rPr>
        <w:t>All other authors have nothing to declare.</w:t>
      </w:r>
    </w:p>
    <w:p w14:paraId="22E5D243" w14:textId="77777777" w:rsidR="00955DD7" w:rsidRPr="00810C7D" w:rsidRDefault="00955DD7" w:rsidP="008F2252">
      <w:pPr>
        <w:pStyle w:val="CommentText"/>
        <w:spacing w:after="0" w:line="360" w:lineRule="auto"/>
        <w:ind w:left="57" w:right="57"/>
        <w:rPr>
          <w:rFonts w:ascii="Times New Roman" w:hAnsi="Times New Roman" w:cs="Times New Roman"/>
          <w:sz w:val="22"/>
          <w:szCs w:val="22"/>
        </w:rPr>
      </w:pPr>
    </w:p>
    <w:p w14:paraId="60B86390" w14:textId="77777777" w:rsidR="003220B4" w:rsidRPr="00810C7D" w:rsidRDefault="003220B4" w:rsidP="008F2252">
      <w:pPr>
        <w:spacing w:after="0" w:line="360" w:lineRule="auto"/>
        <w:ind w:left="57" w:right="57"/>
        <w:rPr>
          <w:rFonts w:ascii="Times New Roman" w:hAnsi="Times New Roman" w:cs="Times New Roman"/>
          <w:b/>
        </w:rPr>
      </w:pPr>
    </w:p>
    <w:p w14:paraId="54F728CA" w14:textId="77777777" w:rsidR="00E67676" w:rsidRPr="00810C7D" w:rsidRDefault="00E67676" w:rsidP="008F2252">
      <w:pPr>
        <w:spacing w:after="0" w:line="360" w:lineRule="auto"/>
        <w:ind w:left="57" w:right="57"/>
        <w:rPr>
          <w:rFonts w:ascii="Times New Roman" w:hAnsi="Times New Roman" w:cs="Times New Roman"/>
          <w:b/>
        </w:rPr>
      </w:pPr>
    </w:p>
    <w:p w14:paraId="70AFAE7F" w14:textId="77777777" w:rsidR="00880CFB" w:rsidRPr="00810C7D" w:rsidRDefault="00880CFB" w:rsidP="008F2252">
      <w:pPr>
        <w:spacing w:after="0" w:line="360" w:lineRule="auto"/>
        <w:ind w:left="57" w:right="57"/>
        <w:rPr>
          <w:rFonts w:ascii="Times New Roman" w:hAnsi="Times New Roman" w:cs="Times New Roman"/>
          <w:b/>
        </w:rPr>
      </w:pPr>
    </w:p>
    <w:p w14:paraId="3CCE7079" w14:textId="5AEF2E2B" w:rsidR="00F63AA4" w:rsidRPr="00810C7D" w:rsidRDefault="00F63AA4" w:rsidP="008F2252">
      <w:pPr>
        <w:spacing w:after="0" w:line="360" w:lineRule="auto"/>
        <w:ind w:left="57" w:right="57"/>
        <w:rPr>
          <w:rFonts w:ascii="Times New Roman" w:hAnsi="Times New Roman" w:cs="Times New Roman"/>
          <w:b/>
        </w:rPr>
      </w:pPr>
      <w:r w:rsidRPr="00810C7D">
        <w:rPr>
          <w:rFonts w:ascii="Times New Roman" w:hAnsi="Times New Roman" w:cs="Times New Roman"/>
          <w:b/>
        </w:rPr>
        <w:t>References</w:t>
      </w:r>
    </w:p>
    <w:p w14:paraId="56BDA247" w14:textId="77777777" w:rsidR="00F63AA4" w:rsidRPr="00810C7D" w:rsidRDefault="00F63AA4" w:rsidP="008F2252">
      <w:pPr>
        <w:spacing w:after="0" w:line="360" w:lineRule="auto"/>
        <w:ind w:left="57" w:right="57"/>
        <w:rPr>
          <w:rFonts w:ascii="Times New Roman" w:hAnsi="Times New Roman" w:cs="Times New Roman"/>
        </w:rPr>
      </w:pPr>
    </w:p>
    <w:p w14:paraId="0503445C" w14:textId="0CFBC16E" w:rsidR="00B41F77" w:rsidRPr="00810C7D" w:rsidRDefault="00727A87" w:rsidP="005E204A">
      <w:pPr>
        <w:pStyle w:val="NormalWeb"/>
        <w:rPr>
          <w:sz w:val="22"/>
        </w:rPr>
      </w:pPr>
      <w:r w:rsidRPr="00810C7D">
        <w:rPr>
          <w:sz w:val="22"/>
          <w:szCs w:val="22"/>
        </w:rPr>
        <w:fldChar w:fldCharType="begin"/>
      </w:r>
      <w:r w:rsidR="00B41F77" w:rsidRPr="00810C7D">
        <w:instrText>ADDIN RW.BIB</w:instrText>
      </w:r>
      <w:r w:rsidRPr="00810C7D">
        <w:rPr>
          <w:sz w:val="22"/>
          <w:szCs w:val="22"/>
        </w:rPr>
        <w:fldChar w:fldCharType="separate"/>
      </w:r>
      <w:r w:rsidR="00B41F77" w:rsidRPr="00810C7D">
        <w:rPr>
          <w:sz w:val="22"/>
        </w:rPr>
        <w:t xml:space="preserve">1. Diabetes UK. Facts and figures. </w:t>
      </w:r>
      <w:hyperlink r:id="rId8" w:tgtFrame="_blank" w:history="1">
        <w:r w:rsidR="00B41F77" w:rsidRPr="00810C7D">
          <w:rPr>
            <w:rStyle w:val="Hyperlink"/>
            <w:sz w:val="22"/>
          </w:rPr>
          <w:t>https://www.diabetes.org.uk/About_us/What-we-say/Statistics/</w:t>
        </w:r>
      </w:hyperlink>
      <w:r w:rsidR="00B41F77" w:rsidRPr="00810C7D">
        <w:rPr>
          <w:sz w:val="22"/>
        </w:rPr>
        <w:t>. Updated 2015. Accessed 28th June, 2016.</w:t>
      </w:r>
    </w:p>
    <w:p w14:paraId="69622176" w14:textId="03E91EDC" w:rsidR="00B41F77" w:rsidRPr="00810C7D" w:rsidRDefault="00B41F77" w:rsidP="005E204A">
      <w:pPr>
        <w:pStyle w:val="NormalWeb"/>
        <w:rPr>
          <w:sz w:val="22"/>
        </w:rPr>
      </w:pPr>
      <w:r w:rsidRPr="00810C7D">
        <w:rPr>
          <w:sz w:val="22"/>
        </w:rPr>
        <w:t xml:space="preserve">2. Ashra NB, Spong R, Carter P, et al.  A systematic review and meta-analysis assessing the effectiveness of pragmatic lifestyle interventions for the prevention of type 2 diabetes mellitus in routine practice.  </w:t>
      </w:r>
      <w:r w:rsidR="005E204A" w:rsidRPr="00810C7D">
        <w:rPr>
          <w:sz w:val="22"/>
        </w:rPr>
        <w:t>Public</w:t>
      </w:r>
      <w:r w:rsidRPr="00810C7D">
        <w:rPr>
          <w:sz w:val="22"/>
        </w:rPr>
        <w:t xml:space="preserve"> health </w:t>
      </w:r>
      <w:r w:rsidR="005E204A" w:rsidRPr="00810C7D">
        <w:rPr>
          <w:sz w:val="22"/>
        </w:rPr>
        <w:t>England</w:t>
      </w:r>
      <w:r w:rsidRPr="00810C7D">
        <w:rPr>
          <w:sz w:val="22"/>
        </w:rPr>
        <w:t xml:space="preserve"> commissioned rapid review. . 2015.</w:t>
      </w:r>
    </w:p>
    <w:p w14:paraId="74AA93DD" w14:textId="77777777" w:rsidR="00B41F77" w:rsidRPr="00810C7D" w:rsidRDefault="00B41F77" w:rsidP="005E204A">
      <w:pPr>
        <w:pStyle w:val="NormalWeb"/>
        <w:rPr>
          <w:sz w:val="22"/>
        </w:rPr>
      </w:pPr>
      <w:r w:rsidRPr="00810C7D">
        <w:rPr>
          <w:sz w:val="22"/>
        </w:rPr>
        <w:t xml:space="preserve">3. Gillies CL, Abrams KR, Lambert PC, et al. Pharmacological and lifestyle interventions to prevent or delay type 2 diabetes in people with impaired glucose tolerance: Systematic review and meta-analysis. </w:t>
      </w:r>
      <w:r w:rsidRPr="00810C7D">
        <w:rPr>
          <w:i/>
          <w:iCs/>
          <w:sz w:val="22"/>
        </w:rPr>
        <w:t>BMJ</w:t>
      </w:r>
      <w:r w:rsidRPr="00810C7D">
        <w:rPr>
          <w:sz w:val="22"/>
        </w:rPr>
        <w:t>. 2007;344:299.</w:t>
      </w:r>
    </w:p>
    <w:p w14:paraId="4EF789FC" w14:textId="564D31B7" w:rsidR="00B41F77" w:rsidRPr="00810C7D" w:rsidRDefault="00B41F77" w:rsidP="005E204A">
      <w:pPr>
        <w:pStyle w:val="NormalWeb"/>
        <w:rPr>
          <w:sz w:val="22"/>
        </w:rPr>
      </w:pPr>
      <w:r w:rsidRPr="00810C7D">
        <w:rPr>
          <w:sz w:val="22"/>
        </w:rPr>
        <w:t>4. C</w:t>
      </w:r>
      <w:r w:rsidR="005E204A" w:rsidRPr="00810C7D">
        <w:rPr>
          <w:sz w:val="22"/>
        </w:rPr>
        <w:t>aspersen</w:t>
      </w:r>
      <w:r w:rsidRPr="00810C7D">
        <w:rPr>
          <w:sz w:val="22"/>
        </w:rPr>
        <w:t xml:space="preserve"> CJ, F</w:t>
      </w:r>
      <w:r w:rsidR="005E204A" w:rsidRPr="00810C7D">
        <w:rPr>
          <w:sz w:val="22"/>
        </w:rPr>
        <w:t>ulton</w:t>
      </w:r>
      <w:r w:rsidRPr="00810C7D">
        <w:rPr>
          <w:sz w:val="22"/>
        </w:rPr>
        <w:t xml:space="preserve"> JE. Epidemiology of walking and type 2 diabetes. </w:t>
      </w:r>
      <w:r w:rsidRPr="00810C7D">
        <w:rPr>
          <w:i/>
          <w:iCs/>
          <w:sz w:val="22"/>
        </w:rPr>
        <w:t>Medicine &amp; Science in Sports &amp; Exercise</w:t>
      </w:r>
      <w:r w:rsidRPr="00810C7D">
        <w:rPr>
          <w:sz w:val="22"/>
        </w:rPr>
        <w:t>. 2008;40(7).</w:t>
      </w:r>
    </w:p>
    <w:p w14:paraId="09755667" w14:textId="77777777" w:rsidR="00B41F77" w:rsidRPr="00810C7D" w:rsidRDefault="00B41F77" w:rsidP="005E204A">
      <w:pPr>
        <w:pStyle w:val="NormalWeb"/>
        <w:rPr>
          <w:sz w:val="22"/>
        </w:rPr>
      </w:pPr>
      <w:r w:rsidRPr="00810C7D">
        <w:rPr>
          <w:sz w:val="22"/>
        </w:rPr>
        <w:t xml:space="preserve">5. Yates T, Davies MJ, Gorely T, Bull F, Khunti K. Rationale, design and baseline data from the pre-diabetes risk education and physical activity recommendation and encouragement (PREPARE) programme study. A randomized controlled trial. </w:t>
      </w:r>
      <w:r w:rsidRPr="00810C7D">
        <w:rPr>
          <w:i/>
          <w:iCs/>
          <w:sz w:val="22"/>
        </w:rPr>
        <w:t>Patient Education and Counseling</w:t>
      </w:r>
      <w:r w:rsidRPr="00810C7D">
        <w:rPr>
          <w:sz w:val="22"/>
        </w:rPr>
        <w:t>. 2008;73(2):264-271.</w:t>
      </w:r>
    </w:p>
    <w:p w14:paraId="75805653" w14:textId="77777777" w:rsidR="00B41F77" w:rsidRPr="00810C7D" w:rsidRDefault="00B41F77" w:rsidP="005E204A">
      <w:pPr>
        <w:pStyle w:val="NormalWeb"/>
        <w:rPr>
          <w:sz w:val="22"/>
        </w:rPr>
      </w:pPr>
      <w:r w:rsidRPr="00810C7D">
        <w:rPr>
          <w:sz w:val="22"/>
        </w:rPr>
        <w:t xml:space="preserve">6. Yates T, Davies MJ, Henson J, et al. Walking away from type 2 diabetes: Trial protocol of a cluster randomised controlled trial evaluating a structured education programme in those at high risk of developing type 2 diabetes. </w:t>
      </w:r>
      <w:r w:rsidRPr="00810C7D">
        <w:rPr>
          <w:i/>
          <w:iCs/>
          <w:sz w:val="22"/>
        </w:rPr>
        <w:t>BMC Family Practice</w:t>
      </w:r>
      <w:r w:rsidRPr="00810C7D">
        <w:rPr>
          <w:sz w:val="22"/>
        </w:rPr>
        <w:t>. 2012;13(46).</w:t>
      </w:r>
    </w:p>
    <w:p w14:paraId="577CB519" w14:textId="77777777" w:rsidR="00B41F77" w:rsidRPr="00810C7D" w:rsidRDefault="00B41F77" w:rsidP="005E204A">
      <w:pPr>
        <w:pStyle w:val="NormalWeb"/>
        <w:rPr>
          <w:sz w:val="22"/>
        </w:rPr>
      </w:pPr>
      <w:r w:rsidRPr="00810C7D">
        <w:rPr>
          <w:sz w:val="22"/>
        </w:rPr>
        <w:t xml:space="preserve">7. Yates T, Edwardson CL, Henson J, et al. Walking away from type 2 diabetes: A cluster randomized controlled trial. </w:t>
      </w:r>
      <w:r w:rsidRPr="00810C7D">
        <w:rPr>
          <w:i/>
          <w:iCs/>
          <w:sz w:val="22"/>
        </w:rPr>
        <w:t>Diabetic Med</w:t>
      </w:r>
      <w:r w:rsidRPr="00810C7D">
        <w:rPr>
          <w:sz w:val="22"/>
        </w:rPr>
        <w:t>. 2016:n/a-n/a.</w:t>
      </w:r>
    </w:p>
    <w:p w14:paraId="663C5F2A" w14:textId="77777777" w:rsidR="00B41F77" w:rsidRPr="00810C7D" w:rsidRDefault="00B41F77" w:rsidP="005E204A">
      <w:pPr>
        <w:pStyle w:val="NormalWeb"/>
        <w:rPr>
          <w:sz w:val="22"/>
        </w:rPr>
      </w:pPr>
      <w:r w:rsidRPr="00810C7D">
        <w:rPr>
          <w:sz w:val="22"/>
        </w:rPr>
        <w:t xml:space="preserve">8. Bauman AE, Reis RS, Sallis JF, Wells JC, Loos RJ, Martin BW. Correlates of physical activity: Why are some people physically active and others not? </w:t>
      </w:r>
      <w:r w:rsidRPr="00810C7D">
        <w:rPr>
          <w:i/>
          <w:iCs/>
          <w:sz w:val="22"/>
        </w:rPr>
        <w:t>The Lancet</w:t>
      </w:r>
      <w:r w:rsidRPr="00810C7D">
        <w:rPr>
          <w:sz w:val="22"/>
        </w:rPr>
        <w:t>. 2012;380(9838):258-271.</w:t>
      </w:r>
    </w:p>
    <w:p w14:paraId="351BBB5B" w14:textId="77777777" w:rsidR="00B41F77" w:rsidRPr="00810C7D" w:rsidRDefault="00B41F77" w:rsidP="005E204A">
      <w:pPr>
        <w:pStyle w:val="NormalWeb"/>
        <w:rPr>
          <w:sz w:val="22"/>
        </w:rPr>
      </w:pPr>
      <w:r w:rsidRPr="00810C7D">
        <w:rPr>
          <w:sz w:val="22"/>
        </w:rPr>
        <w:t xml:space="preserve">9. Vrazel J, Saunders RP, Wilcox S. An overview and proposed framework of social-environmental influences on the physical-activity behavior of women. </w:t>
      </w:r>
      <w:r w:rsidRPr="00810C7D">
        <w:rPr>
          <w:i/>
          <w:iCs/>
          <w:sz w:val="22"/>
        </w:rPr>
        <w:t>Am J Health Promot</w:t>
      </w:r>
      <w:r w:rsidRPr="00810C7D">
        <w:rPr>
          <w:sz w:val="22"/>
        </w:rPr>
        <w:t>. 2008;23(1):2-12.</w:t>
      </w:r>
    </w:p>
    <w:p w14:paraId="03EF5785" w14:textId="77777777" w:rsidR="00B41F77" w:rsidRPr="00810C7D" w:rsidRDefault="00B41F77" w:rsidP="005E204A">
      <w:pPr>
        <w:pStyle w:val="NormalWeb"/>
        <w:rPr>
          <w:sz w:val="22"/>
        </w:rPr>
      </w:pPr>
      <w:r w:rsidRPr="00810C7D">
        <w:rPr>
          <w:sz w:val="22"/>
        </w:rPr>
        <w:t xml:space="preserve">10. Van Cauwenberg J, De Bourdeaudhuij I, De Meester F, et al. Relationship between the physical environment and physical activity in older adults: A systematic review. </w:t>
      </w:r>
      <w:r w:rsidRPr="00810C7D">
        <w:rPr>
          <w:i/>
          <w:iCs/>
          <w:sz w:val="22"/>
        </w:rPr>
        <w:t>Health Place</w:t>
      </w:r>
      <w:r w:rsidRPr="00810C7D">
        <w:rPr>
          <w:sz w:val="22"/>
        </w:rPr>
        <w:t>. 2011;17(2):458-469.</w:t>
      </w:r>
    </w:p>
    <w:p w14:paraId="0FFD4B68" w14:textId="4456C666" w:rsidR="00B41F77" w:rsidRPr="00810C7D" w:rsidRDefault="00B41F77" w:rsidP="005E204A">
      <w:pPr>
        <w:pStyle w:val="NormalWeb"/>
        <w:rPr>
          <w:sz w:val="22"/>
        </w:rPr>
      </w:pPr>
      <w:r w:rsidRPr="00810C7D">
        <w:rPr>
          <w:sz w:val="22"/>
        </w:rPr>
        <w:t xml:space="preserve">11. Booth GL, Creatore MI, Moineddin R, et al. Unwalkable neighborhoods, poverty, and the risk of diabetes among recent immigrants to </w:t>
      </w:r>
      <w:r w:rsidR="005E204A" w:rsidRPr="00810C7D">
        <w:rPr>
          <w:sz w:val="22"/>
        </w:rPr>
        <w:t>Canada</w:t>
      </w:r>
      <w:r w:rsidRPr="00810C7D">
        <w:rPr>
          <w:sz w:val="22"/>
        </w:rPr>
        <w:t xml:space="preserve"> compared with long-term residents. </w:t>
      </w:r>
      <w:r w:rsidRPr="00810C7D">
        <w:rPr>
          <w:i/>
          <w:iCs/>
          <w:sz w:val="22"/>
        </w:rPr>
        <w:t>Diabetes Care</w:t>
      </w:r>
      <w:r w:rsidRPr="00810C7D">
        <w:rPr>
          <w:sz w:val="22"/>
        </w:rPr>
        <w:t>. 2013;36(2):302-308.</w:t>
      </w:r>
    </w:p>
    <w:p w14:paraId="03429034" w14:textId="11E8A835" w:rsidR="00B41F77" w:rsidRPr="00810C7D" w:rsidRDefault="00B41F77" w:rsidP="005E204A">
      <w:pPr>
        <w:pStyle w:val="NormalWeb"/>
        <w:rPr>
          <w:sz w:val="22"/>
        </w:rPr>
      </w:pPr>
      <w:r w:rsidRPr="00810C7D">
        <w:rPr>
          <w:sz w:val="22"/>
        </w:rPr>
        <w:t xml:space="preserve">12. Sundquist K, Eriksson U, Mezuk B, Ohlsson H. Neighborhood walkability, deprivation and incidence of type 2 diabetes: A population-based study on 512,061 </w:t>
      </w:r>
      <w:r w:rsidR="005E204A" w:rsidRPr="00810C7D">
        <w:rPr>
          <w:sz w:val="22"/>
        </w:rPr>
        <w:t>Swedish</w:t>
      </w:r>
      <w:r w:rsidRPr="00810C7D">
        <w:rPr>
          <w:sz w:val="22"/>
        </w:rPr>
        <w:t xml:space="preserve"> adults. </w:t>
      </w:r>
      <w:r w:rsidRPr="00810C7D">
        <w:rPr>
          <w:i/>
          <w:iCs/>
          <w:sz w:val="22"/>
        </w:rPr>
        <w:t>Health Place</w:t>
      </w:r>
      <w:r w:rsidRPr="00810C7D">
        <w:rPr>
          <w:sz w:val="22"/>
        </w:rPr>
        <w:t>. 2015;31:24-30.</w:t>
      </w:r>
    </w:p>
    <w:p w14:paraId="2BA2CFF1" w14:textId="2C0DC69E" w:rsidR="00B41F77" w:rsidRPr="00810C7D" w:rsidRDefault="00B41F77" w:rsidP="005E204A">
      <w:pPr>
        <w:pStyle w:val="NormalWeb"/>
        <w:rPr>
          <w:sz w:val="22"/>
        </w:rPr>
      </w:pPr>
      <w:r w:rsidRPr="00810C7D">
        <w:rPr>
          <w:sz w:val="22"/>
        </w:rPr>
        <w:t xml:space="preserve">13. Gray LJ, Khunti K, Edwardson C, et al. Implementation of the automated </w:t>
      </w:r>
      <w:r w:rsidR="005E204A" w:rsidRPr="00810C7D">
        <w:rPr>
          <w:sz w:val="22"/>
        </w:rPr>
        <w:t>Leicester</w:t>
      </w:r>
      <w:r w:rsidRPr="00810C7D">
        <w:rPr>
          <w:sz w:val="22"/>
        </w:rPr>
        <w:t xml:space="preserve"> practice risk score in two diabetes prevention trials provides a high yield of people with abnormal glucose tolerance. </w:t>
      </w:r>
      <w:r w:rsidRPr="00810C7D">
        <w:rPr>
          <w:i/>
          <w:iCs/>
          <w:sz w:val="22"/>
        </w:rPr>
        <w:t>Diabetologia</w:t>
      </w:r>
      <w:r w:rsidRPr="00810C7D">
        <w:rPr>
          <w:sz w:val="22"/>
        </w:rPr>
        <w:t>. 2012;55(12):3238-3244.</w:t>
      </w:r>
    </w:p>
    <w:p w14:paraId="20101B1C" w14:textId="27896CC6" w:rsidR="00B41F77" w:rsidRPr="00810C7D" w:rsidRDefault="00B41F77" w:rsidP="005E204A">
      <w:pPr>
        <w:pStyle w:val="NormalWeb"/>
        <w:rPr>
          <w:sz w:val="22"/>
        </w:rPr>
      </w:pPr>
      <w:r w:rsidRPr="00810C7D">
        <w:rPr>
          <w:sz w:val="22"/>
        </w:rPr>
        <w:t>14. Tudor-Locke C, Johnson WD, Katzmarzyk PT. Accelerometer-determined steps per day in</w:t>
      </w:r>
      <w:r w:rsidR="005E204A" w:rsidRPr="00810C7D">
        <w:rPr>
          <w:sz w:val="22"/>
        </w:rPr>
        <w:t xml:space="preserve"> </w:t>
      </w:r>
      <w:r w:rsidRPr="00810C7D">
        <w:rPr>
          <w:sz w:val="22"/>
        </w:rPr>
        <w:t xml:space="preserve">US adults. </w:t>
      </w:r>
      <w:r w:rsidRPr="00810C7D">
        <w:rPr>
          <w:i/>
          <w:iCs/>
          <w:sz w:val="22"/>
        </w:rPr>
        <w:t>Medicine &amp; Science in Sports &amp; Exercise</w:t>
      </w:r>
      <w:r w:rsidRPr="00810C7D">
        <w:rPr>
          <w:sz w:val="22"/>
        </w:rPr>
        <w:t>. 2009;41(7):1384-1391.</w:t>
      </w:r>
    </w:p>
    <w:p w14:paraId="24ECC163" w14:textId="77777777" w:rsidR="00B41F77" w:rsidRPr="00810C7D" w:rsidRDefault="00B41F77" w:rsidP="005E204A">
      <w:pPr>
        <w:pStyle w:val="NormalWeb"/>
        <w:rPr>
          <w:sz w:val="22"/>
        </w:rPr>
      </w:pPr>
      <w:r w:rsidRPr="00810C7D">
        <w:rPr>
          <w:sz w:val="22"/>
        </w:rPr>
        <w:t xml:space="preserve">15. Freedson PS, Melansonward, Sirard J. Calibration of the computer science and applications, inc. accelerometer. </w:t>
      </w:r>
      <w:r w:rsidRPr="00810C7D">
        <w:rPr>
          <w:i/>
          <w:iCs/>
          <w:sz w:val="22"/>
        </w:rPr>
        <w:t>Medicine &amp; Science in Sports &amp; Exercise</w:t>
      </w:r>
      <w:r w:rsidRPr="00810C7D">
        <w:rPr>
          <w:sz w:val="22"/>
        </w:rPr>
        <w:t>. 1998;30(5):777-781.</w:t>
      </w:r>
    </w:p>
    <w:p w14:paraId="29C3BFFE" w14:textId="77777777" w:rsidR="00B41F77" w:rsidRPr="00810C7D" w:rsidRDefault="00B41F77" w:rsidP="005E204A">
      <w:pPr>
        <w:pStyle w:val="NormalWeb"/>
        <w:rPr>
          <w:sz w:val="22"/>
        </w:rPr>
      </w:pPr>
      <w:r w:rsidRPr="00810C7D">
        <w:rPr>
          <w:sz w:val="22"/>
        </w:rPr>
        <w:t>16. D’Sousa E, Forsyth A, Koepp J, et al. . 2007;Environment and Physical Activity: GIS Protocols.:238.</w:t>
      </w:r>
    </w:p>
    <w:p w14:paraId="55A9429F" w14:textId="77777777" w:rsidR="00B41F77" w:rsidRPr="00810C7D" w:rsidRDefault="00B41F77" w:rsidP="005E204A">
      <w:pPr>
        <w:pStyle w:val="NormalWeb"/>
        <w:rPr>
          <w:sz w:val="22"/>
        </w:rPr>
      </w:pPr>
      <w:r w:rsidRPr="00810C7D">
        <w:rPr>
          <w:sz w:val="22"/>
        </w:rPr>
        <w:t xml:space="preserve">17. ArcGIS 10.1. </w:t>
      </w:r>
      <w:hyperlink r:id="rId9" w:tgtFrame="_blank" w:history="1">
        <w:r w:rsidRPr="00810C7D">
          <w:rPr>
            <w:rStyle w:val="Hyperlink"/>
            <w:sz w:val="22"/>
          </w:rPr>
          <w:t>http://www.esri.com/news/arcnews/spring12articles/introducing-arcgis-101.html</w:t>
        </w:r>
      </w:hyperlink>
      <w:r w:rsidRPr="00810C7D">
        <w:rPr>
          <w:sz w:val="22"/>
        </w:rPr>
        <w:t>2016.</w:t>
      </w:r>
    </w:p>
    <w:p w14:paraId="596DB550" w14:textId="77777777" w:rsidR="00B41F77" w:rsidRPr="00810C7D" w:rsidRDefault="00B41F77" w:rsidP="005E204A">
      <w:pPr>
        <w:pStyle w:val="NormalWeb"/>
        <w:rPr>
          <w:sz w:val="22"/>
        </w:rPr>
      </w:pPr>
      <w:r w:rsidRPr="00810C7D">
        <w:rPr>
          <w:sz w:val="22"/>
        </w:rPr>
        <w:t xml:space="preserve">18. Villanueva K, Knuiman M, Nathan A, et al. The impact of neighborhood walkability on walking: Does it differ across adult life stage and does neighborhood buffer size matter? </w:t>
      </w:r>
      <w:r w:rsidRPr="00810C7D">
        <w:rPr>
          <w:i/>
          <w:iCs/>
          <w:sz w:val="22"/>
        </w:rPr>
        <w:t>Health Place</w:t>
      </w:r>
      <w:r w:rsidRPr="00810C7D">
        <w:rPr>
          <w:sz w:val="22"/>
        </w:rPr>
        <w:t>. 2014;25:43-46.</w:t>
      </w:r>
    </w:p>
    <w:p w14:paraId="60D198F3" w14:textId="58BDE51F" w:rsidR="00B41F77" w:rsidRPr="00810C7D" w:rsidRDefault="00B41F77" w:rsidP="005E204A">
      <w:pPr>
        <w:pStyle w:val="NormalWeb"/>
        <w:rPr>
          <w:sz w:val="22"/>
        </w:rPr>
      </w:pPr>
      <w:r w:rsidRPr="00810C7D">
        <w:rPr>
          <w:sz w:val="22"/>
        </w:rPr>
        <w:t xml:space="preserve">19. Department for Communities and Local Government. The </w:t>
      </w:r>
      <w:r w:rsidR="005E204A" w:rsidRPr="00810C7D">
        <w:rPr>
          <w:sz w:val="22"/>
        </w:rPr>
        <w:t>English</w:t>
      </w:r>
      <w:r w:rsidRPr="00810C7D">
        <w:rPr>
          <w:sz w:val="22"/>
        </w:rPr>
        <w:t xml:space="preserve"> indices of deprivation 2007. A summary. </w:t>
      </w:r>
      <w:hyperlink r:id="rId10" w:tgtFrame="_blank" w:history="1">
        <w:r w:rsidRPr="00810C7D">
          <w:rPr>
            <w:rStyle w:val="Hyperlink"/>
            <w:sz w:val="22"/>
          </w:rPr>
          <w:t>http://webarchive.nationalarchives.gov.uk/20120919132719/http:/www.communities.gov.uk/documents/communities/pdf/576659.pdf</w:t>
        </w:r>
      </w:hyperlink>
      <w:r w:rsidRPr="00810C7D">
        <w:rPr>
          <w:sz w:val="22"/>
        </w:rPr>
        <w:t>. Accessed 13th July, 2016.</w:t>
      </w:r>
    </w:p>
    <w:p w14:paraId="63E588C7" w14:textId="77777777" w:rsidR="00B41F77" w:rsidRPr="00810C7D" w:rsidRDefault="00B41F77" w:rsidP="005E204A">
      <w:pPr>
        <w:pStyle w:val="NormalWeb"/>
        <w:rPr>
          <w:sz w:val="22"/>
        </w:rPr>
      </w:pPr>
      <w:r w:rsidRPr="00810C7D">
        <w:rPr>
          <w:sz w:val="22"/>
        </w:rPr>
        <w:t xml:space="preserve">20. Berke EM, Koepsell TD, Moudon AV, Hoskins RE, Larson EB. Association of the built environment with physical activity and obesity in older persons. </w:t>
      </w:r>
      <w:r w:rsidRPr="00810C7D">
        <w:rPr>
          <w:i/>
          <w:iCs/>
          <w:sz w:val="22"/>
        </w:rPr>
        <w:t>Am J Public Health</w:t>
      </w:r>
      <w:r w:rsidRPr="00810C7D">
        <w:rPr>
          <w:sz w:val="22"/>
        </w:rPr>
        <w:t>. 2006;97(3):486-492.</w:t>
      </w:r>
    </w:p>
    <w:p w14:paraId="77BD26B6" w14:textId="46D97FCD" w:rsidR="00B41F77" w:rsidRPr="00810C7D" w:rsidRDefault="00B41F77" w:rsidP="005E204A">
      <w:pPr>
        <w:pStyle w:val="NormalWeb"/>
        <w:rPr>
          <w:sz w:val="22"/>
        </w:rPr>
      </w:pPr>
      <w:r w:rsidRPr="00810C7D">
        <w:rPr>
          <w:sz w:val="22"/>
        </w:rPr>
        <w:t>21. Bodicoat DH, Carter P, Comber A, et al. Is the number of fast-food outlets in the neighbourhood related to screen-detected type 2 diabetes mellit</w:t>
      </w:r>
      <w:r w:rsidR="005E204A" w:rsidRPr="00810C7D">
        <w:rPr>
          <w:sz w:val="22"/>
        </w:rPr>
        <w:t>us and associated risk factors?</w:t>
      </w:r>
      <w:r w:rsidRPr="00810C7D">
        <w:rPr>
          <w:sz w:val="22"/>
        </w:rPr>
        <w:t xml:space="preserve"> </w:t>
      </w:r>
      <w:r w:rsidRPr="00810C7D">
        <w:rPr>
          <w:i/>
          <w:iCs/>
          <w:sz w:val="22"/>
        </w:rPr>
        <w:t>Public Health Nutr</w:t>
      </w:r>
      <w:r w:rsidRPr="00810C7D">
        <w:rPr>
          <w:sz w:val="22"/>
        </w:rPr>
        <w:t>. 2015;18(9):1698-1705.</w:t>
      </w:r>
    </w:p>
    <w:p w14:paraId="2E830DF4" w14:textId="77777777" w:rsidR="00B41F77" w:rsidRPr="00810C7D" w:rsidRDefault="00B41F77" w:rsidP="005E204A">
      <w:pPr>
        <w:pStyle w:val="NormalWeb"/>
        <w:rPr>
          <w:sz w:val="22"/>
        </w:rPr>
      </w:pPr>
      <w:r w:rsidRPr="00810C7D">
        <w:rPr>
          <w:sz w:val="22"/>
        </w:rPr>
        <w:t xml:space="preserve">22. Feng J, Glass TA, Curriero FC, Stewart WF, Schwartz BS. The built environment and obesity: A systematic review of the epidemiologic evidence. </w:t>
      </w:r>
      <w:r w:rsidRPr="00810C7D">
        <w:rPr>
          <w:i/>
          <w:iCs/>
          <w:sz w:val="22"/>
        </w:rPr>
        <w:t>Health Place</w:t>
      </w:r>
      <w:r w:rsidRPr="00810C7D">
        <w:rPr>
          <w:sz w:val="22"/>
        </w:rPr>
        <w:t>. 2010;16(2):175-190.</w:t>
      </w:r>
    </w:p>
    <w:p w14:paraId="74BB0A9A" w14:textId="77777777" w:rsidR="00B41F77" w:rsidRPr="00810C7D" w:rsidRDefault="00B41F77" w:rsidP="005E204A">
      <w:pPr>
        <w:pStyle w:val="NormalWeb"/>
        <w:rPr>
          <w:sz w:val="22"/>
        </w:rPr>
      </w:pPr>
      <w:r w:rsidRPr="00810C7D">
        <w:rPr>
          <w:sz w:val="22"/>
        </w:rPr>
        <w:t xml:space="preserve">23. Hajna S, Ross NA, Joseph L, Harper S, Dasgupta K. Neighourhood walkability and daily steps in adults with type 2 diabetes. </w:t>
      </w:r>
      <w:r w:rsidRPr="00810C7D">
        <w:rPr>
          <w:i/>
          <w:iCs/>
          <w:sz w:val="22"/>
        </w:rPr>
        <w:t>PLoS ONE</w:t>
      </w:r>
      <w:r w:rsidRPr="00810C7D">
        <w:rPr>
          <w:sz w:val="22"/>
        </w:rPr>
        <w:t>. 2016;11(3):e0151544.</w:t>
      </w:r>
    </w:p>
    <w:p w14:paraId="7D841586" w14:textId="0803399C" w:rsidR="00B30BD7" w:rsidRPr="00810C7D" w:rsidRDefault="00B41F77" w:rsidP="005E204A">
      <w:pPr>
        <w:spacing w:line="240" w:lineRule="auto"/>
        <w:rPr>
          <w:rFonts w:ascii="Times New Roman" w:hAnsi="Times New Roman" w:cs="Times New Roman"/>
          <w:b/>
        </w:rPr>
      </w:pPr>
      <w:r w:rsidRPr="00810C7D">
        <w:rPr>
          <w:rFonts w:ascii="Times New Roman" w:eastAsia="Times New Roman" w:hAnsi="Times New Roman" w:cs="Times New Roman"/>
        </w:rPr>
        <w:t> </w:t>
      </w:r>
      <w:r w:rsidR="00727A87" w:rsidRPr="00810C7D">
        <w:rPr>
          <w:rFonts w:ascii="Times New Roman" w:hAnsi="Times New Roman" w:cs="Times New Roman"/>
        </w:rPr>
        <w:fldChar w:fldCharType="end"/>
      </w:r>
      <w:r w:rsidR="00B30BD7" w:rsidRPr="00810C7D">
        <w:rPr>
          <w:rFonts w:ascii="Times New Roman" w:hAnsi="Times New Roman" w:cs="Times New Roman"/>
          <w:b/>
        </w:rPr>
        <w:br w:type="page"/>
      </w:r>
    </w:p>
    <w:p w14:paraId="6765B302" w14:textId="66EF15F2" w:rsidR="00372359" w:rsidRPr="00810C7D" w:rsidRDefault="00DD143B" w:rsidP="00372359">
      <w:pPr>
        <w:rPr>
          <w:rFonts w:ascii="Times New Roman" w:hAnsi="Times New Roman" w:cs="Times New Roman"/>
        </w:rPr>
      </w:pPr>
      <w:r w:rsidRPr="00810C7D">
        <w:rPr>
          <w:rFonts w:ascii="Times New Roman" w:hAnsi="Times New Roman" w:cs="Times New Roman"/>
          <w:b/>
        </w:rPr>
        <w:t>Table I</w:t>
      </w:r>
      <w:r w:rsidR="00372359" w:rsidRPr="00810C7D">
        <w:rPr>
          <w:rFonts w:ascii="Times New Roman" w:hAnsi="Times New Roman" w:cs="Times New Roman"/>
          <w:b/>
        </w:rPr>
        <w:t xml:space="preserve">. </w:t>
      </w:r>
      <w:r w:rsidR="00372359" w:rsidRPr="00810C7D">
        <w:rPr>
          <w:rFonts w:ascii="Times New Roman" w:hAnsi="Times New Roman" w:cs="Times New Roman"/>
        </w:rPr>
        <w:t>Baseline descriptive characteristics of 706 participants from the Walking Away from Diabetes study included in these analyses.</w:t>
      </w:r>
    </w:p>
    <w:tbl>
      <w:tblPr>
        <w:tblStyle w:val="TableGrid"/>
        <w:tblW w:w="7113" w:type="dxa"/>
        <w:jc w:val="center"/>
        <w:tblLook w:val="04A0" w:firstRow="1" w:lastRow="0" w:firstColumn="1" w:lastColumn="0" w:noHBand="0" w:noVBand="1"/>
      </w:tblPr>
      <w:tblGrid>
        <w:gridCol w:w="4364"/>
        <w:gridCol w:w="2749"/>
      </w:tblGrid>
      <w:tr w:rsidR="00372359" w:rsidRPr="00810C7D" w14:paraId="1DC51F6E" w14:textId="77777777" w:rsidTr="00372359">
        <w:trPr>
          <w:jc w:val="center"/>
        </w:trPr>
        <w:tc>
          <w:tcPr>
            <w:tcW w:w="4364" w:type="dxa"/>
          </w:tcPr>
          <w:p w14:paraId="439154D4" w14:textId="6FCB0291" w:rsidR="00372359" w:rsidRPr="00810C7D" w:rsidRDefault="0014783F" w:rsidP="00BB4C0D">
            <w:pPr>
              <w:rPr>
                <w:rFonts w:ascii="Times New Roman" w:hAnsi="Times New Roman" w:cs="Times New Roman"/>
                <w:b/>
              </w:rPr>
            </w:pPr>
            <w:r w:rsidRPr="00810C7D">
              <w:rPr>
                <w:rFonts w:ascii="Times New Roman" w:hAnsi="Times New Roman" w:cs="Times New Roman"/>
                <w:b/>
              </w:rPr>
              <w:t>Variable</w:t>
            </w:r>
          </w:p>
        </w:tc>
        <w:tc>
          <w:tcPr>
            <w:tcW w:w="2749" w:type="dxa"/>
          </w:tcPr>
          <w:p w14:paraId="39702195" w14:textId="77777777" w:rsidR="00372359" w:rsidRPr="00810C7D" w:rsidRDefault="00372359" w:rsidP="00BB4C0D">
            <w:pPr>
              <w:jc w:val="center"/>
              <w:rPr>
                <w:rFonts w:ascii="Times New Roman" w:hAnsi="Times New Roman" w:cs="Times New Roman"/>
                <w:b/>
              </w:rPr>
            </w:pPr>
            <w:r w:rsidRPr="00810C7D">
              <w:rPr>
                <w:rFonts w:ascii="Times New Roman" w:hAnsi="Times New Roman" w:cs="Times New Roman"/>
                <w:b/>
              </w:rPr>
              <w:t>Mean (SD) or Median [IQR]</w:t>
            </w:r>
          </w:p>
        </w:tc>
      </w:tr>
      <w:tr w:rsidR="00372359" w:rsidRPr="00810C7D" w14:paraId="03189339" w14:textId="77777777" w:rsidTr="00372359">
        <w:trPr>
          <w:jc w:val="center"/>
        </w:trPr>
        <w:tc>
          <w:tcPr>
            <w:tcW w:w="4364" w:type="dxa"/>
          </w:tcPr>
          <w:p w14:paraId="2E5391AF" w14:textId="77777777" w:rsidR="00372359" w:rsidRPr="00810C7D" w:rsidRDefault="00372359" w:rsidP="00BB4C0D">
            <w:pPr>
              <w:rPr>
                <w:rFonts w:ascii="Times New Roman" w:hAnsi="Times New Roman" w:cs="Times New Roman"/>
                <w:i/>
              </w:rPr>
            </w:pPr>
            <w:r w:rsidRPr="00810C7D">
              <w:rPr>
                <w:rFonts w:ascii="Times New Roman" w:hAnsi="Times New Roman" w:cs="Times New Roman"/>
                <w:i/>
              </w:rPr>
              <w:t>Demographic characteristics</w:t>
            </w:r>
          </w:p>
        </w:tc>
        <w:tc>
          <w:tcPr>
            <w:tcW w:w="2749" w:type="dxa"/>
          </w:tcPr>
          <w:p w14:paraId="5708AE6E" w14:textId="77777777" w:rsidR="00372359" w:rsidRPr="00810C7D" w:rsidRDefault="00372359" w:rsidP="00BB4C0D">
            <w:pPr>
              <w:rPr>
                <w:rFonts w:ascii="Times New Roman" w:hAnsi="Times New Roman" w:cs="Times New Roman"/>
              </w:rPr>
            </w:pPr>
          </w:p>
        </w:tc>
      </w:tr>
      <w:tr w:rsidR="00372359" w:rsidRPr="00810C7D" w14:paraId="2F5A39AF" w14:textId="77777777" w:rsidTr="00372359">
        <w:trPr>
          <w:jc w:val="center"/>
        </w:trPr>
        <w:tc>
          <w:tcPr>
            <w:tcW w:w="4364" w:type="dxa"/>
          </w:tcPr>
          <w:p w14:paraId="60D49C57"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 xml:space="preserve">  Age, years</w:t>
            </w:r>
          </w:p>
        </w:tc>
        <w:tc>
          <w:tcPr>
            <w:tcW w:w="2749" w:type="dxa"/>
          </w:tcPr>
          <w:p w14:paraId="577E9D02"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63.77 (7.71)</w:t>
            </w:r>
          </w:p>
        </w:tc>
      </w:tr>
      <w:tr w:rsidR="00372359" w:rsidRPr="00810C7D" w14:paraId="75DABCCD" w14:textId="77777777" w:rsidTr="00372359">
        <w:trPr>
          <w:jc w:val="center"/>
        </w:trPr>
        <w:tc>
          <w:tcPr>
            <w:tcW w:w="4364" w:type="dxa"/>
          </w:tcPr>
          <w:p w14:paraId="3363ADE4"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 xml:space="preserve">  Social deprivation score</w:t>
            </w:r>
          </w:p>
        </w:tc>
        <w:tc>
          <w:tcPr>
            <w:tcW w:w="2749" w:type="dxa"/>
          </w:tcPr>
          <w:p w14:paraId="1212C9F7"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18.91 (15.15)</w:t>
            </w:r>
          </w:p>
        </w:tc>
      </w:tr>
      <w:tr w:rsidR="00372359" w:rsidRPr="00810C7D" w14:paraId="3C939200" w14:textId="77777777" w:rsidTr="00372359">
        <w:trPr>
          <w:jc w:val="center"/>
        </w:trPr>
        <w:tc>
          <w:tcPr>
            <w:tcW w:w="4364" w:type="dxa"/>
          </w:tcPr>
          <w:p w14:paraId="638A0DE4" w14:textId="77777777" w:rsidR="00372359" w:rsidRPr="00810C7D" w:rsidRDefault="00372359" w:rsidP="00BB4C0D">
            <w:pPr>
              <w:rPr>
                <w:rFonts w:ascii="Times New Roman" w:hAnsi="Times New Roman" w:cs="Times New Roman"/>
                <w:vertAlign w:val="superscript"/>
              </w:rPr>
            </w:pPr>
            <w:r w:rsidRPr="00810C7D">
              <w:rPr>
                <w:rFonts w:ascii="Times New Roman" w:hAnsi="Times New Roman" w:cs="Times New Roman"/>
              </w:rPr>
              <w:t xml:space="preserve">  BMI, kg/m</w:t>
            </w:r>
            <w:r w:rsidRPr="00810C7D">
              <w:rPr>
                <w:rFonts w:ascii="Times New Roman" w:hAnsi="Times New Roman" w:cs="Times New Roman"/>
                <w:vertAlign w:val="superscript"/>
              </w:rPr>
              <w:t>2</w:t>
            </w:r>
          </w:p>
        </w:tc>
        <w:tc>
          <w:tcPr>
            <w:tcW w:w="2749" w:type="dxa"/>
          </w:tcPr>
          <w:p w14:paraId="4243C2C3"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32.15 (5.31)</w:t>
            </w:r>
          </w:p>
        </w:tc>
      </w:tr>
      <w:tr w:rsidR="00415D7C" w:rsidRPr="00810C7D" w14:paraId="6F6303BA" w14:textId="77777777" w:rsidTr="00415D7C">
        <w:trPr>
          <w:trHeight w:val="193"/>
          <w:jc w:val="center"/>
        </w:trPr>
        <w:tc>
          <w:tcPr>
            <w:tcW w:w="4364" w:type="dxa"/>
          </w:tcPr>
          <w:p w14:paraId="2E5E6DB9" w14:textId="2BB9F17B" w:rsidR="00415D7C" w:rsidRPr="00810C7D" w:rsidRDefault="00415D7C" w:rsidP="00BB4C0D">
            <w:pPr>
              <w:rPr>
                <w:rFonts w:ascii="Times New Roman" w:hAnsi="Times New Roman" w:cs="Times New Roman"/>
              </w:rPr>
            </w:pPr>
            <w:r w:rsidRPr="00810C7D">
              <w:rPr>
                <w:rFonts w:ascii="Times New Roman" w:hAnsi="Times New Roman" w:cs="Times New Roman"/>
              </w:rPr>
              <w:t xml:space="preserve">  Weight, kg</w:t>
            </w:r>
          </w:p>
        </w:tc>
        <w:tc>
          <w:tcPr>
            <w:tcW w:w="2749" w:type="dxa"/>
          </w:tcPr>
          <w:p w14:paraId="77A4266C" w14:textId="1771CF4E" w:rsidR="00415D7C" w:rsidRPr="00810C7D" w:rsidRDefault="00415D7C" w:rsidP="00BB4C0D">
            <w:pPr>
              <w:jc w:val="right"/>
              <w:rPr>
                <w:rFonts w:ascii="Times New Roman" w:hAnsi="Times New Roman" w:cs="Times New Roman"/>
              </w:rPr>
            </w:pPr>
            <w:r w:rsidRPr="00810C7D">
              <w:rPr>
                <w:rFonts w:ascii="Times New Roman" w:hAnsi="Times New Roman" w:cs="Times New Roman"/>
              </w:rPr>
              <w:t>91.59 (16.61)</w:t>
            </w:r>
          </w:p>
        </w:tc>
      </w:tr>
      <w:tr w:rsidR="00372359" w:rsidRPr="00810C7D" w14:paraId="508B2965" w14:textId="77777777" w:rsidTr="00372359">
        <w:trPr>
          <w:jc w:val="center"/>
        </w:trPr>
        <w:tc>
          <w:tcPr>
            <w:tcW w:w="4364" w:type="dxa"/>
          </w:tcPr>
          <w:p w14:paraId="0454D7B4" w14:textId="77777777" w:rsidR="00372359" w:rsidRPr="00810C7D" w:rsidRDefault="00372359" w:rsidP="00BB4C0D">
            <w:pPr>
              <w:rPr>
                <w:rFonts w:ascii="Times New Roman" w:hAnsi="Times New Roman" w:cs="Times New Roman"/>
                <w:i/>
                <w:vertAlign w:val="superscript"/>
              </w:rPr>
            </w:pPr>
            <w:r w:rsidRPr="00810C7D">
              <w:rPr>
                <w:rFonts w:ascii="Times New Roman" w:hAnsi="Times New Roman" w:cs="Times New Roman"/>
                <w:i/>
              </w:rPr>
              <w:t>Walkability measures</w:t>
            </w:r>
            <w:r w:rsidRPr="00810C7D">
              <w:rPr>
                <w:rFonts w:ascii="Times New Roman" w:hAnsi="Times New Roman" w:cs="Times New Roman"/>
                <w:i/>
                <w:vertAlign w:val="superscript"/>
              </w:rPr>
              <w:t>a</w:t>
            </w:r>
          </w:p>
        </w:tc>
        <w:tc>
          <w:tcPr>
            <w:tcW w:w="2749" w:type="dxa"/>
          </w:tcPr>
          <w:p w14:paraId="45E3D5BA" w14:textId="77777777" w:rsidR="00372359" w:rsidRPr="00810C7D" w:rsidRDefault="00372359" w:rsidP="00BB4C0D">
            <w:pPr>
              <w:jc w:val="right"/>
              <w:rPr>
                <w:rFonts w:ascii="Times New Roman" w:hAnsi="Times New Roman" w:cs="Times New Roman"/>
              </w:rPr>
            </w:pPr>
          </w:p>
        </w:tc>
      </w:tr>
      <w:tr w:rsidR="00372359" w:rsidRPr="00810C7D" w14:paraId="59B07034" w14:textId="77777777" w:rsidTr="00372359">
        <w:trPr>
          <w:jc w:val="center"/>
        </w:trPr>
        <w:tc>
          <w:tcPr>
            <w:tcW w:w="4364" w:type="dxa"/>
          </w:tcPr>
          <w:p w14:paraId="05BFE5F5"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 xml:space="preserve">  Effective walkable area</w:t>
            </w:r>
          </w:p>
        </w:tc>
        <w:tc>
          <w:tcPr>
            <w:tcW w:w="2749" w:type="dxa"/>
          </w:tcPr>
          <w:p w14:paraId="2DE58873"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0.47 (0.14)</w:t>
            </w:r>
          </w:p>
        </w:tc>
      </w:tr>
      <w:tr w:rsidR="00372359" w:rsidRPr="00810C7D" w14:paraId="1BA10B65" w14:textId="77777777" w:rsidTr="00372359">
        <w:trPr>
          <w:jc w:val="center"/>
        </w:trPr>
        <w:tc>
          <w:tcPr>
            <w:tcW w:w="4364" w:type="dxa"/>
          </w:tcPr>
          <w:p w14:paraId="60CD5F38"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 xml:space="preserve">  Road density</w:t>
            </w:r>
          </w:p>
        </w:tc>
        <w:tc>
          <w:tcPr>
            <w:tcW w:w="2749" w:type="dxa"/>
          </w:tcPr>
          <w:p w14:paraId="41CAC980"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10.27 (4.07)</w:t>
            </w:r>
          </w:p>
        </w:tc>
      </w:tr>
      <w:tr w:rsidR="00372359" w:rsidRPr="00810C7D" w14:paraId="6FB35106" w14:textId="77777777" w:rsidTr="00372359">
        <w:trPr>
          <w:jc w:val="center"/>
        </w:trPr>
        <w:tc>
          <w:tcPr>
            <w:tcW w:w="4364" w:type="dxa"/>
          </w:tcPr>
          <w:p w14:paraId="0C3ED7A5"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 xml:space="preserve">  Footpath density</w:t>
            </w:r>
          </w:p>
        </w:tc>
        <w:tc>
          <w:tcPr>
            <w:tcW w:w="2749" w:type="dxa"/>
          </w:tcPr>
          <w:p w14:paraId="61E38006"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0.74 (0.86)</w:t>
            </w:r>
          </w:p>
        </w:tc>
      </w:tr>
      <w:tr w:rsidR="00372359" w:rsidRPr="00810C7D" w14:paraId="7B7E6198" w14:textId="77777777" w:rsidTr="00372359">
        <w:trPr>
          <w:jc w:val="center"/>
        </w:trPr>
        <w:tc>
          <w:tcPr>
            <w:tcW w:w="4364" w:type="dxa"/>
          </w:tcPr>
          <w:p w14:paraId="4D385421"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 xml:space="preserve">  Junctions</w:t>
            </w:r>
          </w:p>
        </w:tc>
        <w:tc>
          <w:tcPr>
            <w:tcW w:w="2749" w:type="dxa"/>
          </w:tcPr>
          <w:p w14:paraId="0500670F"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5.40 (1.16)</w:t>
            </w:r>
          </w:p>
        </w:tc>
      </w:tr>
      <w:tr w:rsidR="00372359" w:rsidRPr="00810C7D" w14:paraId="20FB730A" w14:textId="77777777" w:rsidTr="00372359">
        <w:trPr>
          <w:jc w:val="center"/>
        </w:trPr>
        <w:tc>
          <w:tcPr>
            <w:tcW w:w="4364" w:type="dxa"/>
          </w:tcPr>
          <w:p w14:paraId="3A72F86F"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 xml:space="preserve">  Cul-de-sacs</w:t>
            </w:r>
          </w:p>
        </w:tc>
        <w:tc>
          <w:tcPr>
            <w:tcW w:w="2749" w:type="dxa"/>
          </w:tcPr>
          <w:p w14:paraId="67B189AC"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2.23 (1.01)</w:t>
            </w:r>
          </w:p>
        </w:tc>
      </w:tr>
      <w:tr w:rsidR="00372359" w:rsidRPr="00810C7D" w14:paraId="25356354" w14:textId="77777777" w:rsidTr="00372359">
        <w:trPr>
          <w:jc w:val="center"/>
        </w:trPr>
        <w:tc>
          <w:tcPr>
            <w:tcW w:w="4364" w:type="dxa"/>
          </w:tcPr>
          <w:p w14:paraId="6978FB28"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 xml:space="preserve">  Connected node ratio</w:t>
            </w:r>
          </w:p>
        </w:tc>
        <w:tc>
          <w:tcPr>
            <w:tcW w:w="2749" w:type="dxa"/>
          </w:tcPr>
          <w:p w14:paraId="61481408"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0.71 (0.10)</w:t>
            </w:r>
          </w:p>
        </w:tc>
      </w:tr>
      <w:tr w:rsidR="00372359" w:rsidRPr="00810C7D" w14:paraId="6AA7B99D" w14:textId="77777777" w:rsidTr="00372359">
        <w:trPr>
          <w:jc w:val="center"/>
        </w:trPr>
        <w:tc>
          <w:tcPr>
            <w:tcW w:w="4364" w:type="dxa"/>
          </w:tcPr>
          <w:p w14:paraId="0C3060FD"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 xml:space="preserve">  Walkability index</w:t>
            </w:r>
          </w:p>
        </w:tc>
        <w:tc>
          <w:tcPr>
            <w:tcW w:w="2749" w:type="dxa"/>
          </w:tcPr>
          <w:p w14:paraId="37058AB9"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0.00 (3.32)</w:t>
            </w:r>
          </w:p>
        </w:tc>
      </w:tr>
      <w:tr w:rsidR="00372359" w:rsidRPr="00810C7D" w14:paraId="02F84135" w14:textId="77777777" w:rsidTr="00372359">
        <w:trPr>
          <w:jc w:val="center"/>
        </w:trPr>
        <w:tc>
          <w:tcPr>
            <w:tcW w:w="4364" w:type="dxa"/>
          </w:tcPr>
          <w:p w14:paraId="3F88B725" w14:textId="77777777" w:rsidR="00372359" w:rsidRPr="00810C7D" w:rsidRDefault="00372359" w:rsidP="00BB4C0D">
            <w:pPr>
              <w:rPr>
                <w:rFonts w:ascii="Times New Roman" w:hAnsi="Times New Roman" w:cs="Times New Roman"/>
                <w:i/>
              </w:rPr>
            </w:pPr>
            <w:r w:rsidRPr="00810C7D">
              <w:rPr>
                <w:rFonts w:ascii="Times New Roman" w:hAnsi="Times New Roman" w:cs="Times New Roman"/>
                <w:i/>
              </w:rPr>
              <w:t>Physical activity measures</w:t>
            </w:r>
          </w:p>
        </w:tc>
        <w:tc>
          <w:tcPr>
            <w:tcW w:w="2749" w:type="dxa"/>
          </w:tcPr>
          <w:p w14:paraId="7AE6CA9F" w14:textId="77777777" w:rsidR="00372359" w:rsidRPr="00810C7D" w:rsidRDefault="00372359" w:rsidP="00BB4C0D">
            <w:pPr>
              <w:jc w:val="right"/>
              <w:rPr>
                <w:rFonts w:ascii="Times New Roman" w:hAnsi="Times New Roman" w:cs="Times New Roman"/>
              </w:rPr>
            </w:pPr>
          </w:p>
        </w:tc>
      </w:tr>
      <w:tr w:rsidR="00372359" w:rsidRPr="00810C7D" w14:paraId="3AC1C0B9" w14:textId="77777777" w:rsidTr="00372359">
        <w:trPr>
          <w:jc w:val="center"/>
        </w:trPr>
        <w:tc>
          <w:tcPr>
            <w:tcW w:w="4364" w:type="dxa"/>
          </w:tcPr>
          <w:p w14:paraId="08EA4315"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 xml:space="preserve">  Average number of steps/day</w:t>
            </w:r>
          </w:p>
        </w:tc>
        <w:tc>
          <w:tcPr>
            <w:tcW w:w="2749" w:type="dxa"/>
          </w:tcPr>
          <w:p w14:paraId="1E1C3248"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6585.8 (3177.8)</w:t>
            </w:r>
          </w:p>
        </w:tc>
      </w:tr>
      <w:tr w:rsidR="00372359" w:rsidRPr="00810C7D" w14:paraId="17ACD8F8" w14:textId="77777777" w:rsidTr="00372359">
        <w:trPr>
          <w:jc w:val="center"/>
        </w:trPr>
        <w:tc>
          <w:tcPr>
            <w:tcW w:w="4364" w:type="dxa"/>
          </w:tcPr>
          <w:p w14:paraId="360B5C3A"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 xml:space="preserve">  Average number of purposeful steps/day</w:t>
            </w:r>
          </w:p>
        </w:tc>
        <w:tc>
          <w:tcPr>
            <w:tcW w:w="2749" w:type="dxa"/>
          </w:tcPr>
          <w:p w14:paraId="6CDDE526" w14:textId="1F86EF5E" w:rsidR="00372359" w:rsidRPr="00810C7D" w:rsidRDefault="00372359" w:rsidP="00BB4C0D">
            <w:pPr>
              <w:jc w:val="right"/>
              <w:rPr>
                <w:rFonts w:ascii="Times New Roman" w:hAnsi="Times New Roman" w:cs="Times New Roman"/>
              </w:rPr>
            </w:pPr>
            <w:r w:rsidRPr="00810C7D">
              <w:rPr>
                <w:rFonts w:ascii="Times New Roman" w:hAnsi="Times New Roman" w:cs="Times New Roman"/>
              </w:rPr>
              <w:t>4651.3 [3087.7, 6778.6]</w:t>
            </w:r>
          </w:p>
        </w:tc>
      </w:tr>
      <w:tr w:rsidR="00372359" w:rsidRPr="00810C7D" w14:paraId="44E1A95C" w14:textId="77777777" w:rsidTr="00372359">
        <w:trPr>
          <w:jc w:val="center"/>
        </w:trPr>
        <w:tc>
          <w:tcPr>
            <w:tcW w:w="4364" w:type="dxa"/>
          </w:tcPr>
          <w:p w14:paraId="5D0C66CD"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 xml:space="preserve">  Average minutes/day in MVPA</w:t>
            </w:r>
          </w:p>
        </w:tc>
        <w:tc>
          <w:tcPr>
            <w:tcW w:w="2749" w:type="dxa"/>
          </w:tcPr>
          <w:p w14:paraId="3FD0B5F7"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20.4 [9.5, 38.2]</w:t>
            </w:r>
          </w:p>
        </w:tc>
      </w:tr>
      <w:tr w:rsidR="00372359" w:rsidRPr="00810C7D" w14:paraId="57BA81A6" w14:textId="77777777" w:rsidTr="00372359">
        <w:trPr>
          <w:jc w:val="center"/>
        </w:trPr>
        <w:tc>
          <w:tcPr>
            <w:tcW w:w="4364" w:type="dxa"/>
          </w:tcPr>
          <w:p w14:paraId="202B0617"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 xml:space="preserve">  Average minutes/day in sedentary behaviour</w:t>
            </w:r>
          </w:p>
        </w:tc>
        <w:tc>
          <w:tcPr>
            <w:tcW w:w="2749" w:type="dxa"/>
          </w:tcPr>
          <w:p w14:paraId="2D9567C3"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542.63 (99.35)</w:t>
            </w:r>
          </w:p>
        </w:tc>
      </w:tr>
      <w:tr w:rsidR="00372359" w:rsidRPr="00810C7D" w14:paraId="2C383ABF" w14:textId="77777777" w:rsidTr="00372359">
        <w:trPr>
          <w:jc w:val="center"/>
        </w:trPr>
        <w:tc>
          <w:tcPr>
            <w:tcW w:w="4364" w:type="dxa"/>
          </w:tcPr>
          <w:p w14:paraId="290CA708" w14:textId="77777777" w:rsidR="00372359" w:rsidRPr="00810C7D" w:rsidRDefault="00372359" w:rsidP="00BB4C0D">
            <w:pPr>
              <w:rPr>
                <w:rFonts w:ascii="Times New Roman" w:hAnsi="Times New Roman" w:cs="Times New Roman"/>
              </w:rPr>
            </w:pPr>
          </w:p>
        </w:tc>
        <w:tc>
          <w:tcPr>
            <w:tcW w:w="2749" w:type="dxa"/>
          </w:tcPr>
          <w:p w14:paraId="65709CB2" w14:textId="77777777" w:rsidR="00372359" w:rsidRPr="00810C7D" w:rsidRDefault="00372359" w:rsidP="00BB4C0D">
            <w:pPr>
              <w:rPr>
                <w:rFonts w:ascii="Times New Roman" w:hAnsi="Times New Roman" w:cs="Times New Roman"/>
              </w:rPr>
            </w:pPr>
          </w:p>
        </w:tc>
      </w:tr>
      <w:tr w:rsidR="0014783F" w:rsidRPr="00810C7D" w14:paraId="3CD995E7" w14:textId="77777777" w:rsidTr="00372359">
        <w:trPr>
          <w:jc w:val="center"/>
        </w:trPr>
        <w:tc>
          <w:tcPr>
            <w:tcW w:w="4364" w:type="dxa"/>
          </w:tcPr>
          <w:p w14:paraId="7D948197" w14:textId="77777777" w:rsidR="0014783F" w:rsidRPr="00810C7D" w:rsidRDefault="0014783F" w:rsidP="00BB4C0D">
            <w:pPr>
              <w:rPr>
                <w:rFonts w:ascii="Times New Roman" w:hAnsi="Times New Roman" w:cs="Times New Roman"/>
              </w:rPr>
            </w:pPr>
          </w:p>
        </w:tc>
        <w:tc>
          <w:tcPr>
            <w:tcW w:w="2749" w:type="dxa"/>
          </w:tcPr>
          <w:p w14:paraId="453C7ECF" w14:textId="3AC13854" w:rsidR="0014783F" w:rsidRPr="00810C7D" w:rsidRDefault="0014783F" w:rsidP="00BB4C0D">
            <w:pPr>
              <w:jc w:val="right"/>
              <w:rPr>
                <w:rFonts w:ascii="Times New Roman" w:hAnsi="Times New Roman" w:cs="Times New Roman"/>
                <w:b/>
              </w:rPr>
            </w:pPr>
            <w:r w:rsidRPr="00810C7D">
              <w:rPr>
                <w:rFonts w:ascii="Times New Roman" w:hAnsi="Times New Roman" w:cs="Times New Roman"/>
                <w:b/>
              </w:rPr>
              <w:t>Number (%)</w:t>
            </w:r>
          </w:p>
        </w:tc>
      </w:tr>
      <w:tr w:rsidR="00372359" w:rsidRPr="00810C7D" w14:paraId="31D8766D" w14:textId="77777777" w:rsidTr="00372359">
        <w:trPr>
          <w:jc w:val="center"/>
        </w:trPr>
        <w:tc>
          <w:tcPr>
            <w:tcW w:w="4364" w:type="dxa"/>
          </w:tcPr>
          <w:p w14:paraId="04328250"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Sex</w:t>
            </w:r>
          </w:p>
        </w:tc>
        <w:tc>
          <w:tcPr>
            <w:tcW w:w="2749" w:type="dxa"/>
          </w:tcPr>
          <w:p w14:paraId="20BDF122" w14:textId="7463FBD6" w:rsidR="00372359" w:rsidRPr="00810C7D" w:rsidRDefault="00372359" w:rsidP="00BB4C0D">
            <w:pPr>
              <w:jc w:val="right"/>
              <w:rPr>
                <w:rFonts w:ascii="Times New Roman" w:hAnsi="Times New Roman" w:cs="Times New Roman"/>
              </w:rPr>
            </w:pPr>
          </w:p>
        </w:tc>
      </w:tr>
      <w:tr w:rsidR="00372359" w:rsidRPr="00810C7D" w14:paraId="124857D6" w14:textId="77777777" w:rsidTr="00372359">
        <w:trPr>
          <w:jc w:val="center"/>
        </w:trPr>
        <w:tc>
          <w:tcPr>
            <w:tcW w:w="4364" w:type="dxa"/>
          </w:tcPr>
          <w:p w14:paraId="5843FB9A"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 xml:space="preserve">  Men</w:t>
            </w:r>
          </w:p>
        </w:tc>
        <w:tc>
          <w:tcPr>
            <w:tcW w:w="2749" w:type="dxa"/>
          </w:tcPr>
          <w:p w14:paraId="43183224"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457 (64.7)</w:t>
            </w:r>
          </w:p>
        </w:tc>
      </w:tr>
      <w:tr w:rsidR="00372359" w:rsidRPr="00810C7D" w14:paraId="51487209" w14:textId="77777777" w:rsidTr="00372359">
        <w:trPr>
          <w:jc w:val="center"/>
        </w:trPr>
        <w:tc>
          <w:tcPr>
            <w:tcW w:w="4364" w:type="dxa"/>
          </w:tcPr>
          <w:p w14:paraId="7C5E6E87"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 xml:space="preserve">  Women</w:t>
            </w:r>
          </w:p>
        </w:tc>
        <w:tc>
          <w:tcPr>
            <w:tcW w:w="2749" w:type="dxa"/>
          </w:tcPr>
          <w:p w14:paraId="4DC31D50"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249 (35.3)</w:t>
            </w:r>
          </w:p>
        </w:tc>
      </w:tr>
      <w:tr w:rsidR="00372359" w:rsidRPr="00810C7D" w14:paraId="750C642E" w14:textId="77777777" w:rsidTr="00372359">
        <w:trPr>
          <w:jc w:val="center"/>
        </w:trPr>
        <w:tc>
          <w:tcPr>
            <w:tcW w:w="4364" w:type="dxa"/>
          </w:tcPr>
          <w:p w14:paraId="634B934B"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Ethnicity</w:t>
            </w:r>
          </w:p>
        </w:tc>
        <w:tc>
          <w:tcPr>
            <w:tcW w:w="2749" w:type="dxa"/>
          </w:tcPr>
          <w:p w14:paraId="655E7DC9" w14:textId="77777777" w:rsidR="00372359" w:rsidRPr="00810C7D" w:rsidRDefault="00372359" w:rsidP="00BB4C0D">
            <w:pPr>
              <w:jc w:val="right"/>
              <w:rPr>
                <w:rFonts w:ascii="Times New Roman" w:hAnsi="Times New Roman" w:cs="Times New Roman"/>
              </w:rPr>
            </w:pPr>
          </w:p>
        </w:tc>
      </w:tr>
      <w:tr w:rsidR="00372359" w:rsidRPr="00810C7D" w14:paraId="2A739B21" w14:textId="77777777" w:rsidTr="00372359">
        <w:trPr>
          <w:jc w:val="center"/>
        </w:trPr>
        <w:tc>
          <w:tcPr>
            <w:tcW w:w="4364" w:type="dxa"/>
          </w:tcPr>
          <w:p w14:paraId="776C2295"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 xml:space="preserve">  White European</w:t>
            </w:r>
          </w:p>
        </w:tc>
        <w:tc>
          <w:tcPr>
            <w:tcW w:w="2749" w:type="dxa"/>
          </w:tcPr>
          <w:p w14:paraId="0A77A14C"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631 (89.4)</w:t>
            </w:r>
          </w:p>
        </w:tc>
      </w:tr>
      <w:tr w:rsidR="00372359" w:rsidRPr="00810C7D" w14:paraId="4247C317" w14:textId="77777777" w:rsidTr="00372359">
        <w:trPr>
          <w:jc w:val="center"/>
        </w:trPr>
        <w:tc>
          <w:tcPr>
            <w:tcW w:w="4364" w:type="dxa"/>
          </w:tcPr>
          <w:p w14:paraId="30131582"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 xml:space="preserve">  Non-White </w:t>
            </w:r>
          </w:p>
        </w:tc>
        <w:tc>
          <w:tcPr>
            <w:tcW w:w="2749" w:type="dxa"/>
          </w:tcPr>
          <w:p w14:paraId="672CF1DE"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75 (10.6)</w:t>
            </w:r>
          </w:p>
        </w:tc>
      </w:tr>
      <w:tr w:rsidR="004D6105" w:rsidRPr="00810C7D" w14:paraId="75D0B4A8" w14:textId="77777777" w:rsidTr="00372359">
        <w:trPr>
          <w:jc w:val="center"/>
        </w:trPr>
        <w:tc>
          <w:tcPr>
            <w:tcW w:w="4364" w:type="dxa"/>
          </w:tcPr>
          <w:p w14:paraId="77FEFDC3" w14:textId="66B1D090" w:rsidR="004D6105" w:rsidRPr="00810C7D" w:rsidRDefault="004D6105" w:rsidP="00BB4C0D">
            <w:pPr>
              <w:rPr>
                <w:rFonts w:ascii="Times New Roman" w:hAnsi="Times New Roman" w:cs="Times New Roman"/>
              </w:rPr>
            </w:pPr>
            <w:r w:rsidRPr="00810C7D">
              <w:rPr>
                <w:rFonts w:ascii="Times New Roman" w:hAnsi="Times New Roman" w:cs="Times New Roman"/>
              </w:rPr>
              <w:t>Current smoker</w:t>
            </w:r>
          </w:p>
        </w:tc>
        <w:tc>
          <w:tcPr>
            <w:tcW w:w="2749" w:type="dxa"/>
          </w:tcPr>
          <w:p w14:paraId="0C5A0DD1" w14:textId="77777777" w:rsidR="004D6105" w:rsidRPr="00810C7D" w:rsidRDefault="004D6105" w:rsidP="00BB4C0D">
            <w:pPr>
              <w:jc w:val="right"/>
              <w:rPr>
                <w:rFonts w:ascii="Times New Roman" w:hAnsi="Times New Roman" w:cs="Times New Roman"/>
              </w:rPr>
            </w:pPr>
          </w:p>
        </w:tc>
      </w:tr>
      <w:tr w:rsidR="004D6105" w:rsidRPr="00810C7D" w14:paraId="0883E487" w14:textId="77777777" w:rsidTr="00372359">
        <w:trPr>
          <w:jc w:val="center"/>
        </w:trPr>
        <w:tc>
          <w:tcPr>
            <w:tcW w:w="4364" w:type="dxa"/>
          </w:tcPr>
          <w:p w14:paraId="4E25B140" w14:textId="63681DDF" w:rsidR="004D6105" w:rsidRPr="00810C7D" w:rsidRDefault="004D6105" w:rsidP="00BB4C0D">
            <w:pPr>
              <w:rPr>
                <w:rFonts w:ascii="Times New Roman" w:hAnsi="Times New Roman" w:cs="Times New Roman"/>
              </w:rPr>
            </w:pPr>
            <w:r w:rsidRPr="00810C7D">
              <w:rPr>
                <w:rFonts w:ascii="Times New Roman" w:hAnsi="Times New Roman" w:cs="Times New Roman"/>
              </w:rPr>
              <w:t xml:space="preserve">  No</w:t>
            </w:r>
          </w:p>
        </w:tc>
        <w:tc>
          <w:tcPr>
            <w:tcW w:w="2749" w:type="dxa"/>
          </w:tcPr>
          <w:p w14:paraId="170DD3D2" w14:textId="2E70692C" w:rsidR="004D6105" w:rsidRPr="00810C7D" w:rsidRDefault="004D6105" w:rsidP="00BB4C0D">
            <w:pPr>
              <w:jc w:val="right"/>
              <w:rPr>
                <w:rFonts w:ascii="Times New Roman" w:hAnsi="Times New Roman" w:cs="Times New Roman"/>
              </w:rPr>
            </w:pPr>
            <w:r w:rsidRPr="00810C7D">
              <w:rPr>
                <w:rFonts w:ascii="Times New Roman" w:hAnsi="Times New Roman" w:cs="Times New Roman"/>
              </w:rPr>
              <w:t>643 (91.1)</w:t>
            </w:r>
          </w:p>
        </w:tc>
      </w:tr>
      <w:tr w:rsidR="004D6105" w:rsidRPr="00810C7D" w14:paraId="1A11F549" w14:textId="77777777" w:rsidTr="00372359">
        <w:trPr>
          <w:jc w:val="center"/>
        </w:trPr>
        <w:tc>
          <w:tcPr>
            <w:tcW w:w="4364" w:type="dxa"/>
          </w:tcPr>
          <w:p w14:paraId="729BB97B" w14:textId="06AE2FB0" w:rsidR="004D6105" w:rsidRPr="00810C7D" w:rsidRDefault="004D6105" w:rsidP="004D6105">
            <w:pPr>
              <w:rPr>
                <w:rFonts w:ascii="Times New Roman" w:hAnsi="Times New Roman" w:cs="Times New Roman"/>
              </w:rPr>
            </w:pPr>
            <w:r w:rsidRPr="00810C7D">
              <w:rPr>
                <w:rFonts w:ascii="Times New Roman" w:hAnsi="Times New Roman" w:cs="Times New Roman"/>
              </w:rPr>
              <w:t xml:space="preserve">  Yes</w:t>
            </w:r>
          </w:p>
        </w:tc>
        <w:tc>
          <w:tcPr>
            <w:tcW w:w="2749" w:type="dxa"/>
          </w:tcPr>
          <w:p w14:paraId="5B279F2A" w14:textId="1E0956FE" w:rsidR="004D6105" w:rsidRPr="00810C7D" w:rsidRDefault="004D6105" w:rsidP="00BB4C0D">
            <w:pPr>
              <w:jc w:val="right"/>
              <w:rPr>
                <w:rFonts w:ascii="Times New Roman" w:hAnsi="Times New Roman" w:cs="Times New Roman"/>
              </w:rPr>
            </w:pPr>
            <w:r w:rsidRPr="00810C7D">
              <w:rPr>
                <w:rFonts w:ascii="Times New Roman" w:hAnsi="Times New Roman" w:cs="Times New Roman"/>
              </w:rPr>
              <w:t>63 (8.9)</w:t>
            </w:r>
          </w:p>
        </w:tc>
      </w:tr>
      <w:tr w:rsidR="00372359" w:rsidRPr="00810C7D" w14:paraId="627AECE9" w14:textId="77777777" w:rsidTr="00372359">
        <w:trPr>
          <w:jc w:val="center"/>
        </w:trPr>
        <w:tc>
          <w:tcPr>
            <w:tcW w:w="4364" w:type="dxa"/>
          </w:tcPr>
          <w:p w14:paraId="56142358" w14:textId="77777777" w:rsidR="00372359" w:rsidRPr="00810C7D" w:rsidRDefault="00372359" w:rsidP="00BB4C0D">
            <w:pPr>
              <w:rPr>
                <w:rFonts w:ascii="Times New Roman" w:hAnsi="Times New Roman" w:cs="Times New Roman"/>
                <w:b/>
              </w:rPr>
            </w:pPr>
            <w:r w:rsidRPr="00810C7D">
              <w:rPr>
                <w:rFonts w:ascii="Times New Roman" w:hAnsi="Times New Roman" w:cs="Times New Roman"/>
                <w:b/>
              </w:rPr>
              <w:t>Total</w:t>
            </w:r>
          </w:p>
        </w:tc>
        <w:tc>
          <w:tcPr>
            <w:tcW w:w="2749" w:type="dxa"/>
          </w:tcPr>
          <w:p w14:paraId="5D9CC693" w14:textId="77777777" w:rsidR="00372359" w:rsidRPr="00810C7D" w:rsidRDefault="00372359" w:rsidP="00BB4C0D">
            <w:pPr>
              <w:jc w:val="right"/>
              <w:rPr>
                <w:rFonts w:ascii="Times New Roman" w:hAnsi="Times New Roman" w:cs="Times New Roman"/>
                <w:b/>
              </w:rPr>
            </w:pPr>
            <w:r w:rsidRPr="00810C7D">
              <w:rPr>
                <w:rFonts w:ascii="Times New Roman" w:hAnsi="Times New Roman" w:cs="Times New Roman"/>
                <w:b/>
              </w:rPr>
              <w:t>706 (100.0)</w:t>
            </w:r>
          </w:p>
        </w:tc>
      </w:tr>
    </w:tbl>
    <w:p w14:paraId="20DF9BFC" w14:textId="77777777" w:rsidR="00372359" w:rsidRPr="00810C7D" w:rsidRDefault="00372359" w:rsidP="00372359">
      <w:pPr>
        <w:spacing w:line="240" w:lineRule="auto"/>
        <w:rPr>
          <w:rFonts w:ascii="Times New Roman" w:hAnsi="Times New Roman" w:cs="Times New Roman"/>
        </w:rPr>
      </w:pPr>
      <w:r w:rsidRPr="00810C7D">
        <w:rPr>
          <w:rFonts w:ascii="Times New Roman" w:hAnsi="Times New Roman" w:cs="Times New Roman"/>
        </w:rPr>
        <w:t>Abbreviations: BMI, Body Mass Index; IQR, Interquartile Range; MVPA, Moderate-to-Vigorous Physical Activity; SD, Standard Deviation.</w:t>
      </w:r>
    </w:p>
    <w:p w14:paraId="3D6FD742" w14:textId="042AB217" w:rsidR="00372359" w:rsidRPr="00810C7D" w:rsidRDefault="00372359" w:rsidP="00372359">
      <w:pPr>
        <w:spacing w:line="240" w:lineRule="auto"/>
        <w:rPr>
          <w:rFonts w:ascii="Times New Roman" w:hAnsi="Times New Roman" w:cs="Times New Roman"/>
        </w:rPr>
      </w:pPr>
      <w:r w:rsidRPr="00810C7D">
        <w:rPr>
          <w:rFonts w:ascii="Times New Roman" w:hAnsi="Times New Roman" w:cs="Times New Roman"/>
        </w:rPr>
        <w:t xml:space="preserve">Missing data: 36 Social deprivation score; 1 BMI; </w:t>
      </w:r>
      <w:r w:rsidR="00415D7C" w:rsidRPr="00810C7D">
        <w:rPr>
          <w:rFonts w:ascii="Times New Roman" w:hAnsi="Times New Roman" w:cs="Times New Roman"/>
        </w:rPr>
        <w:t xml:space="preserve">1 Weight; </w:t>
      </w:r>
      <w:r w:rsidRPr="00810C7D">
        <w:rPr>
          <w:rFonts w:ascii="Times New Roman" w:hAnsi="Times New Roman" w:cs="Times New Roman"/>
        </w:rPr>
        <w:t xml:space="preserve">0 for all other variables. </w:t>
      </w:r>
    </w:p>
    <w:p w14:paraId="06A1C81C" w14:textId="77777777" w:rsidR="00372359" w:rsidRPr="00810C7D" w:rsidRDefault="00372359" w:rsidP="00372359">
      <w:pPr>
        <w:spacing w:line="240" w:lineRule="auto"/>
        <w:rPr>
          <w:rFonts w:ascii="Times New Roman" w:hAnsi="Times New Roman" w:cs="Times New Roman"/>
        </w:rPr>
      </w:pPr>
      <w:r w:rsidRPr="00810C7D">
        <w:rPr>
          <w:rFonts w:ascii="Times New Roman" w:hAnsi="Times New Roman" w:cs="Times New Roman"/>
          <w:vertAlign w:val="superscript"/>
        </w:rPr>
        <w:t>a</w:t>
      </w:r>
      <w:r w:rsidRPr="00810C7D">
        <w:rPr>
          <w:rFonts w:ascii="Times New Roman" w:hAnsi="Times New Roman" w:cs="Times New Roman"/>
        </w:rPr>
        <w:t xml:space="preserve"> All measured using a 800m road network buffer, which represents a 10 minute walk.</w:t>
      </w:r>
    </w:p>
    <w:p w14:paraId="07869871" w14:textId="77777777" w:rsidR="00372359" w:rsidRPr="00810C7D" w:rsidRDefault="00372359" w:rsidP="00372359">
      <w:pPr>
        <w:rPr>
          <w:rFonts w:ascii="Times New Roman" w:hAnsi="Times New Roman" w:cs="Times New Roman"/>
        </w:rPr>
      </w:pPr>
    </w:p>
    <w:p w14:paraId="5192D85A" w14:textId="77777777" w:rsidR="00372359" w:rsidRPr="00810C7D" w:rsidRDefault="00372359" w:rsidP="00372359">
      <w:pPr>
        <w:rPr>
          <w:rFonts w:ascii="Times New Roman" w:hAnsi="Times New Roman" w:cs="Times New Roman"/>
        </w:rPr>
      </w:pPr>
    </w:p>
    <w:p w14:paraId="0982E278" w14:textId="77777777" w:rsidR="00372359" w:rsidRPr="00810C7D" w:rsidRDefault="00372359" w:rsidP="00372359">
      <w:pPr>
        <w:rPr>
          <w:rFonts w:ascii="Times New Roman" w:hAnsi="Times New Roman" w:cs="Times New Roman"/>
        </w:rPr>
      </w:pPr>
    </w:p>
    <w:p w14:paraId="7D36CD0A" w14:textId="77777777" w:rsidR="00372359" w:rsidRPr="00810C7D" w:rsidRDefault="00372359" w:rsidP="00372359">
      <w:pPr>
        <w:rPr>
          <w:rFonts w:ascii="Times New Roman" w:hAnsi="Times New Roman" w:cs="Times New Roman"/>
          <w:b/>
        </w:rPr>
        <w:sectPr w:rsidR="00372359" w:rsidRPr="00810C7D">
          <w:footerReference w:type="default" r:id="rId11"/>
          <w:pgSz w:w="11906" w:h="16838"/>
          <w:pgMar w:top="1440" w:right="1440" w:bottom="1440" w:left="1440" w:header="708" w:footer="708" w:gutter="0"/>
          <w:cols w:space="708"/>
          <w:docGrid w:linePitch="360"/>
        </w:sectPr>
      </w:pPr>
    </w:p>
    <w:p w14:paraId="3A64E25B" w14:textId="475C4EB4" w:rsidR="00372359" w:rsidRPr="00810C7D" w:rsidRDefault="00DD143B" w:rsidP="00372359">
      <w:pPr>
        <w:rPr>
          <w:rFonts w:ascii="Times New Roman" w:hAnsi="Times New Roman" w:cs="Times New Roman"/>
        </w:rPr>
      </w:pPr>
      <w:r w:rsidRPr="00810C7D">
        <w:rPr>
          <w:rFonts w:ascii="Times New Roman" w:hAnsi="Times New Roman" w:cs="Times New Roman"/>
          <w:b/>
        </w:rPr>
        <w:t>Table II</w:t>
      </w:r>
      <w:r w:rsidR="00372359" w:rsidRPr="00810C7D">
        <w:rPr>
          <w:rFonts w:ascii="Times New Roman" w:hAnsi="Times New Roman" w:cs="Times New Roman"/>
          <w:b/>
        </w:rPr>
        <w:t xml:space="preserve">. </w:t>
      </w:r>
      <w:r w:rsidR="001A7ED9" w:rsidRPr="00810C7D">
        <w:rPr>
          <w:rFonts w:ascii="Times New Roman" w:hAnsi="Times New Roman" w:cs="Times New Roman"/>
        </w:rPr>
        <w:t>Coefficients (95% confidence interval) showing t</w:t>
      </w:r>
      <w:r w:rsidR="00372359" w:rsidRPr="00810C7D">
        <w:rPr>
          <w:rFonts w:ascii="Times New Roman" w:hAnsi="Times New Roman" w:cs="Times New Roman"/>
        </w:rPr>
        <w:t>he association between neighbourhood walkability</w:t>
      </w:r>
      <w:r w:rsidR="00372359" w:rsidRPr="00810C7D">
        <w:rPr>
          <w:rFonts w:ascii="Times New Roman" w:hAnsi="Times New Roman" w:cs="Times New Roman"/>
          <w:vertAlign w:val="superscript"/>
        </w:rPr>
        <w:t>a</w:t>
      </w:r>
      <w:r w:rsidR="00372359" w:rsidRPr="00810C7D">
        <w:rPr>
          <w:rFonts w:ascii="Times New Roman" w:hAnsi="Times New Roman" w:cs="Times New Roman"/>
        </w:rPr>
        <w:t xml:space="preserve"> and objectively-measured physical activity at baseline.</w:t>
      </w:r>
    </w:p>
    <w:tbl>
      <w:tblPr>
        <w:tblStyle w:val="TableGrid"/>
        <w:tblW w:w="1123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2"/>
        <w:gridCol w:w="2540"/>
        <w:gridCol w:w="2409"/>
        <w:gridCol w:w="2409"/>
      </w:tblGrid>
      <w:tr w:rsidR="00372359" w:rsidRPr="00810C7D" w14:paraId="04183497" w14:textId="77777777" w:rsidTr="00BB4C0D">
        <w:trPr>
          <w:jc w:val="center"/>
        </w:trPr>
        <w:tc>
          <w:tcPr>
            <w:tcW w:w="3872" w:type="dxa"/>
            <w:tcBorders>
              <w:bottom w:val="single" w:sz="4" w:space="0" w:color="auto"/>
            </w:tcBorders>
          </w:tcPr>
          <w:p w14:paraId="4B4CA249" w14:textId="77777777" w:rsidR="00372359" w:rsidRPr="00810C7D" w:rsidRDefault="00372359" w:rsidP="00BB4C0D">
            <w:pPr>
              <w:rPr>
                <w:rFonts w:ascii="Times New Roman" w:hAnsi="Times New Roman" w:cs="Times New Roman"/>
                <w:b/>
                <w:vertAlign w:val="superscript"/>
              </w:rPr>
            </w:pPr>
            <w:r w:rsidRPr="00810C7D">
              <w:rPr>
                <w:rFonts w:ascii="Times New Roman" w:hAnsi="Times New Roman" w:cs="Times New Roman"/>
                <w:b/>
              </w:rPr>
              <w:t>Physical activity measure</w:t>
            </w:r>
          </w:p>
        </w:tc>
        <w:tc>
          <w:tcPr>
            <w:tcW w:w="2540" w:type="dxa"/>
            <w:tcBorders>
              <w:top w:val="single" w:sz="4" w:space="0" w:color="auto"/>
              <w:bottom w:val="single" w:sz="4" w:space="0" w:color="auto"/>
            </w:tcBorders>
          </w:tcPr>
          <w:p w14:paraId="55FAB391" w14:textId="77777777" w:rsidR="00372359" w:rsidRPr="00810C7D" w:rsidRDefault="00372359" w:rsidP="00BB4C0D">
            <w:pPr>
              <w:jc w:val="center"/>
              <w:rPr>
                <w:rFonts w:ascii="Times New Roman" w:hAnsi="Times New Roman" w:cs="Times New Roman"/>
                <w:b/>
                <w:vertAlign w:val="superscript"/>
              </w:rPr>
            </w:pPr>
            <w:r w:rsidRPr="00810C7D">
              <w:rPr>
                <w:rFonts w:ascii="Times New Roman" w:hAnsi="Times New Roman" w:cs="Times New Roman"/>
                <w:b/>
              </w:rPr>
              <w:t>Unadjusted</w:t>
            </w:r>
            <w:r w:rsidRPr="00810C7D">
              <w:rPr>
                <w:rFonts w:ascii="Times New Roman" w:hAnsi="Times New Roman" w:cs="Times New Roman"/>
                <w:b/>
                <w:vertAlign w:val="superscript"/>
              </w:rPr>
              <w:t>b</w:t>
            </w:r>
          </w:p>
          <w:p w14:paraId="0DC7B4D8" w14:textId="77777777" w:rsidR="00372359" w:rsidRPr="00810C7D" w:rsidRDefault="00372359" w:rsidP="00BB4C0D">
            <w:pPr>
              <w:jc w:val="center"/>
              <w:rPr>
                <w:rFonts w:ascii="Times New Roman" w:hAnsi="Times New Roman" w:cs="Times New Roman"/>
                <w:b/>
              </w:rPr>
            </w:pPr>
            <w:r w:rsidRPr="00810C7D">
              <w:rPr>
                <w:rFonts w:ascii="Times New Roman" w:hAnsi="Times New Roman" w:cs="Times New Roman"/>
                <w:b/>
              </w:rPr>
              <w:t>(n=706)</w:t>
            </w:r>
          </w:p>
        </w:tc>
        <w:tc>
          <w:tcPr>
            <w:tcW w:w="2409" w:type="dxa"/>
            <w:tcBorders>
              <w:top w:val="single" w:sz="4" w:space="0" w:color="auto"/>
              <w:bottom w:val="single" w:sz="4" w:space="0" w:color="auto"/>
            </w:tcBorders>
          </w:tcPr>
          <w:p w14:paraId="41717CEA" w14:textId="77777777" w:rsidR="00372359" w:rsidRPr="00810C7D" w:rsidRDefault="00372359" w:rsidP="00BB4C0D">
            <w:pPr>
              <w:jc w:val="center"/>
              <w:rPr>
                <w:rFonts w:ascii="Times New Roman" w:hAnsi="Times New Roman" w:cs="Times New Roman"/>
                <w:b/>
                <w:vertAlign w:val="superscript"/>
              </w:rPr>
            </w:pPr>
            <w:r w:rsidRPr="00810C7D">
              <w:rPr>
                <w:rFonts w:ascii="Times New Roman" w:hAnsi="Times New Roman" w:cs="Times New Roman"/>
                <w:b/>
              </w:rPr>
              <w:t>Adjusted Model 1</w:t>
            </w:r>
            <w:r w:rsidRPr="00810C7D">
              <w:rPr>
                <w:rFonts w:ascii="Times New Roman" w:hAnsi="Times New Roman" w:cs="Times New Roman"/>
                <w:b/>
                <w:vertAlign w:val="superscript"/>
              </w:rPr>
              <w:t>c</w:t>
            </w:r>
          </w:p>
          <w:p w14:paraId="39D1EA8F" w14:textId="77777777" w:rsidR="00372359" w:rsidRPr="00810C7D" w:rsidRDefault="00372359" w:rsidP="00BB4C0D">
            <w:pPr>
              <w:jc w:val="center"/>
              <w:rPr>
                <w:rFonts w:ascii="Times New Roman" w:hAnsi="Times New Roman" w:cs="Times New Roman"/>
                <w:b/>
              </w:rPr>
            </w:pPr>
            <w:r w:rsidRPr="00810C7D">
              <w:rPr>
                <w:rFonts w:ascii="Times New Roman" w:hAnsi="Times New Roman" w:cs="Times New Roman"/>
                <w:b/>
              </w:rPr>
              <w:t>(n=670)</w:t>
            </w:r>
          </w:p>
        </w:tc>
        <w:tc>
          <w:tcPr>
            <w:tcW w:w="2409" w:type="dxa"/>
            <w:tcBorders>
              <w:top w:val="single" w:sz="4" w:space="0" w:color="auto"/>
              <w:bottom w:val="single" w:sz="4" w:space="0" w:color="auto"/>
            </w:tcBorders>
          </w:tcPr>
          <w:p w14:paraId="452049B7" w14:textId="77777777" w:rsidR="00372359" w:rsidRPr="00810C7D" w:rsidRDefault="00372359" w:rsidP="00BB4C0D">
            <w:pPr>
              <w:jc w:val="center"/>
              <w:rPr>
                <w:rFonts w:ascii="Times New Roman" w:hAnsi="Times New Roman" w:cs="Times New Roman"/>
                <w:b/>
                <w:vertAlign w:val="superscript"/>
              </w:rPr>
            </w:pPr>
            <w:r w:rsidRPr="00810C7D">
              <w:rPr>
                <w:rFonts w:ascii="Times New Roman" w:hAnsi="Times New Roman" w:cs="Times New Roman"/>
                <w:b/>
              </w:rPr>
              <w:t>Adjusted Model 2</w:t>
            </w:r>
            <w:r w:rsidRPr="00810C7D">
              <w:rPr>
                <w:rFonts w:ascii="Times New Roman" w:hAnsi="Times New Roman" w:cs="Times New Roman"/>
                <w:b/>
                <w:vertAlign w:val="superscript"/>
              </w:rPr>
              <w:t>d</w:t>
            </w:r>
          </w:p>
          <w:p w14:paraId="02B8BC30" w14:textId="77777777" w:rsidR="00372359" w:rsidRPr="00810C7D" w:rsidRDefault="00372359" w:rsidP="00BB4C0D">
            <w:pPr>
              <w:jc w:val="center"/>
              <w:rPr>
                <w:rFonts w:ascii="Times New Roman" w:hAnsi="Times New Roman" w:cs="Times New Roman"/>
                <w:b/>
              </w:rPr>
            </w:pPr>
            <w:r w:rsidRPr="00810C7D">
              <w:rPr>
                <w:rFonts w:ascii="Times New Roman" w:hAnsi="Times New Roman" w:cs="Times New Roman"/>
                <w:b/>
              </w:rPr>
              <w:t>(n=669)</w:t>
            </w:r>
          </w:p>
        </w:tc>
      </w:tr>
      <w:tr w:rsidR="00372359" w:rsidRPr="00810C7D" w14:paraId="222F557A" w14:textId="77777777" w:rsidTr="00BB4C0D">
        <w:trPr>
          <w:jc w:val="center"/>
        </w:trPr>
        <w:tc>
          <w:tcPr>
            <w:tcW w:w="3872" w:type="dxa"/>
          </w:tcPr>
          <w:p w14:paraId="2FA62C59"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Average steps/day</w:t>
            </w:r>
          </w:p>
        </w:tc>
        <w:tc>
          <w:tcPr>
            <w:tcW w:w="2540" w:type="dxa"/>
          </w:tcPr>
          <w:p w14:paraId="1500123D"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-59.19 (-133.81, 15.43)</w:t>
            </w:r>
          </w:p>
        </w:tc>
        <w:tc>
          <w:tcPr>
            <w:tcW w:w="2409" w:type="dxa"/>
          </w:tcPr>
          <w:p w14:paraId="3EC8766E"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-33.79 (-108.47, 40.88)</w:t>
            </w:r>
          </w:p>
        </w:tc>
        <w:tc>
          <w:tcPr>
            <w:tcW w:w="2409" w:type="dxa"/>
          </w:tcPr>
          <w:p w14:paraId="2B742800"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-17.89 (-95.35, 59.57)</w:t>
            </w:r>
          </w:p>
        </w:tc>
      </w:tr>
      <w:tr w:rsidR="00372359" w:rsidRPr="00810C7D" w14:paraId="3C4C4D7C" w14:textId="77777777" w:rsidTr="00BB4C0D">
        <w:trPr>
          <w:jc w:val="center"/>
        </w:trPr>
        <w:tc>
          <w:tcPr>
            <w:tcW w:w="3872" w:type="dxa"/>
          </w:tcPr>
          <w:p w14:paraId="0CEEFC1F" w14:textId="77777777" w:rsidR="00372359" w:rsidRPr="00810C7D" w:rsidRDefault="00372359" w:rsidP="00BB4C0D">
            <w:pPr>
              <w:rPr>
                <w:rFonts w:ascii="Times New Roman" w:hAnsi="Times New Roman" w:cs="Times New Roman"/>
                <w:vertAlign w:val="superscript"/>
              </w:rPr>
            </w:pPr>
            <w:r w:rsidRPr="00810C7D">
              <w:rPr>
                <w:rFonts w:ascii="Times New Roman" w:hAnsi="Times New Roman" w:cs="Times New Roman"/>
              </w:rPr>
              <w:t>Log average purposeful steps/day</w:t>
            </w:r>
            <w:r w:rsidRPr="00810C7D">
              <w:rPr>
                <w:rFonts w:ascii="Times New Roman" w:hAnsi="Times New Roman" w:cs="Times New Roman"/>
                <w:vertAlign w:val="superscript"/>
              </w:rPr>
              <w:t>e</w:t>
            </w:r>
          </w:p>
        </w:tc>
        <w:tc>
          <w:tcPr>
            <w:tcW w:w="2540" w:type="dxa"/>
          </w:tcPr>
          <w:p w14:paraId="474AD9B9"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0.00 (-0.04, 0.05)</w:t>
            </w:r>
          </w:p>
        </w:tc>
        <w:tc>
          <w:tcPr>
            <w:tcW w:w="2409" w:type="dxa"/>
          </w:tcPr>
          <w:p w14:paraId="1D8F6B58"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0.01 (-0.05, 0.06)</w:t>
            </w:r>
          </w:p>
        </w:tc>
        <w:tc>
          <w:tcPr>
            <w:tcW w:w="2409" w:type="dxa"/>
          </w:tcPr>
          <w:p w14:paraId="2215E058"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0.01 (-0.03, 0.06)</w:t>
            </w:r>
          </w:p>
        </w:tc>
      </w:tr>
      <w:tr w:rsidR="00372359" w:rsidRPr="00810C7D" w14:paraId="60812301" w14:textId="77777777" w:rsidTr="00BB4C0D">
        <w:trPr>
          <w:jc w:val="center"/>
        </w:trPr>
        <w:tc>
          <w:tcPr>
            <w:tcW w:w="3872" w:type="dxa"/>
          </w:tcPr>
          <w:p w14:paraId="56456CC1" w14:textId="77777777" w:rsidR="00372359" w:rsidRPr="00810C7D" w:rsidRDefault="00372359" w:rsidP="00BB4C0D">
            <w:pPr>
              <w:rPr>
                <w:rFonts w:ascii="Times New Roman" w:hAnsi="Times New Roman" w:cs="Times New Roman"/>
                <w:vertAlign w:val="superscript"/>
              </w:rPr>
            </w:pPr>
            <w:r w:rsidRPr="00810C7D">
              <w:rPr>
                <w:rFonts w:ascii="Times New Roman" w:hAnsi="Times New Roman" w:cs="Times New Roman"/>
              </w:rPr>
              <w:t>Log MVPA time (Log average mins/day)</w:t>
            </w:r>
            <w:r w:rsidRPr="00810C7D">
              <w:rPr>
                <w:rFonts w:ascii="Times New Roman" w:hAnsi="Times New Roman" w:cs="Times New Roman"/>
                <w:vertAlign w:val="superscript"/>
              </w:rPr>
              <w:t>e</w:t>
            </w:r>
          </w:p>
        </w:tc>
        <w:tc>
          <w:tcPr>
            <w:tcW w:w="2540" w:type="dxa"/>
          </w:tcPr>
          <w:p w14:paraId="406A18BB"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-0.02 (-0.04, 0.00)</w:t>
            </w:r>
          </w:p>
        </w:tc>
        <w:tc>
          <w:tcPr>
            <w:tcW w:w="2409" w:type="dxa"/>
          </w:tcPr>
          <w:p w14:paraId="414397FF"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-0.02 (-0.04, 0.01)</w:t>
            </w:r>
          </w:p>
        </w:tc>
        <w:tc>
          <w:tcPr>
            <w:tcW w:w="2409" w:type="dxa"/>
          </w:tcPr>
          <w:p w14:paraId="592AF836"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-0.01 (-0.04, 0.02)</w:t>
            </w:r>
          </w:p>
        </w:tc>
      </w:tr>
      <w:tr w:rsidR="00372359" w:rsidRPr="00810C7D" w14:paraId="0A80C16C" w14:textId="77777777" w:rsidTr="00BB4C0D">
        <w:trPr>
          <w:jc w:val="center"/>
        </w:trPr>
        <w:tc>
          <w:tcPr>
            <w:tcW w:w="3872" w:type="dxa"/>
          </w:tcPr>
          <w:p w14:paraId="5528D313"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Sedentary time (Average mins/day)</w:t>
            </w:r>
          </w:p>
        </w:tc>
        <w:tc>
          <w:tcPr>
            <w:tcW w:w="2540" w:type="dxa"/>
          </w:tcPr>
          <w:p w14:paraId="1A366775" w14:textId="4F5643BF" w:rsidR="00372359" w:rsidRPr="00810C7D" w:rsidRDefault="00372359" w:rsidP="00BB4C0D">
            <w:pPr>
              <w:jc w:val="right"/>
              <w:rPr>
                <w:rFonts w:ascii="Times New Roman" w:hAnsi="Times New Roman" w:cs="Times New Roman"/>
              </w:rPr>
            </w:pPr>
            <w:r w:rsidRPr="00810C7D">
              <w:rPr>
                <w:rFonts w:ascii="Times New Roman" w:hAnsi="Times New Roman" w:cs="Times New Roman"/>
              </w:rPr>
              <w:t>1.52 (0.02, 3.02)*</w:t>
            </w:r>
          </w:p>
        </w:tc>
        <w:tc>
          <w:tcPr>
            <w:tcW w:w="2409" w:type="dxa"/>
          </w:tcPr>
          <w:p w14:paraId="342BA808"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1.01 (-1.35, 3.37)</w:t>
            </w:r>
          </w:p>
        </w:tc>
        <w:tc>
          <w:tcPr>
            <w:tcW w:w="2409" w:type="dxa"/>
          </w:tcPr>
          <w:p w14:paraId="09D9FB0C"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0.64 (-1.35, 2.62)</w:t>
            </w:r>
          </w:p>
        </w:tc>
      </w:tr>
    </w:tbl>
    <w:p w14:paraId="09D265C9" w14:textId="77777777" w:rsidR="00372359" w:rsidRPr="00810C7D" w:rsidRDefault="00372359" w:rsidP="00372359">
      <w:pPr>
        <w:rPr>
          <w:rFonts w:ascii="Times New Roman" w:hAnsi="Times New Roman" w:cs="Times New Roman"/>
        </w:rPr>
      </w:pPr>
      <w:r w:rsidRPr="00810C7D">
        <w:rPr>
          <w:rFonts w:ascii="Times New Roman" w:hAnsi="Times New Roman" w:cs="Times New Roman"/>
        </w:rPr>
        <w:t>Abbreviations: MVPA, Moderate-to-vigorous physical activity.</w:t>
      </w:r>
    </w:p>
    <w:p w14:paraId="3B71C357" w14:textId="7CAD8672" w:rsidR="00372359" w:rsidRPr="00810C7D" w:rsidRDefault="00372359" w:rsidP="00372359">
      <w:pPr>
        <w:rPr>
          <w:rFonts w:ascii="Times New Roman" w:hAnsi="Times New Roman" w:cs="Times New Roman"/>
        </w:rPr>
      </w:pPr>
      <w:r w:rsidRPr="00810C7D">
        <w:rPr>
          <w:rFonts w:ascii="Times New Roman" w:hAnsi="Times New Roman" w:cs="Times New Roman"/>
        </w:rPr>
        <w:t>* P &lt; 0.05.</w:t>
      </w:r>
    </w:p>
    <w:p w14:paraId="67978810" w14:textId="5ADE8902" w:rsidR="00372359" w:rsidRPr="00810C7D" w:rsidRDefault="00372359" w:rsidP="00372359">
      <w:pPr>
        <w:rPr>
          <w:rFonts w:ascii="Times New Roman" w:hAnsi="Times New Roman" w:cs="Times New Roman"/>
        </w:rPr>
      </w:pPr>
      <w:r w:rsidRPr="00810C7D">
        <w:rPr>
          <w:rFonts w:ascii="Times New Roman" w:hAnsi="Times New Roman" w:cs="Times New Roman"/>
          <w:vertAlign w:val="superscript"/>
        </w:rPr>
        <w:t xml:space="preserve">a </w:t>
      </w:r>
      <w:r w:rsidR="0014783F" w:rsidRPr="00810C7D">
        <w:rPr>
          <w:rFonts w:ascii="Times New Roman" w:hAnsi="Times New Roman" w:cs="Times New Roman"/>
        </w:rPr>
        <w:t>Composite</w:t>
      </w:r>
      <w:r w:rsidRPr="00810C7D">
        <w:rPr>
          <w:rFonts w:ascii="Times New Roman" w:hAnsi="Times New Roman" w:cs="Times New Roman"/>
        </w:rPr>
        <w:t xml:space="preserve"> index measured using a 800m road network buffer, which represents a 10 minute walk.</w:t>
      </w:r>
    </w:p>
    <w:p w14:paraId="3B4BC8EC" w14:textId="54A0372D" w:rsidR="00372359" w:rsidRPr="00810C7D" w:rsidRDefault="00372359" w:rsidP="00372359">
      <w:pPr>
        <w:rPr>
          <w:rFonts w:ascii="Times New Roman" w:hAnsi="Times New Roman" w:cs="Times New Roman"/>
        </w:rPr>
      </w:pPr>
      <w:r w:rsidRPr="00810C7D">
        <w:rPr>
          <w:rFonts w:ascii="Times New Roman" w:hAnsi="Times New Roman" w:cs="Times New Roman"/>
          <w:vertAlign w:val="superscript"/>
        </w:rPr>
        <w:t>b</w:t>
      </w:r>
      <w:r w:rsidRPr="00810C7D">
        <w:rPr>
          <w:rFonts w:ascii="Times New Roman" w:hAnsi="Times New Roman" w:cs="Times New Roman"/>
        </w:rPr>
        <w:t xml:space="preserve"> Estimates were unadjusted for confounders, but accounted for </w:t>
      </w:r>
      <w:r w:rsidR="00043058" w:rsidRPr="00810C7D">
        <w:rPr>
          <w:rFonts w:ascii="Times New Roman" w:hAnsi="Times New Roman" w:cs="Times New Roman"/>
        </w:rPr>
        <w:t xml:space="preserve">change in </w:t>
      </w:r>
      <w:r w:rsidRPr="00810C7D">
        <w:rPr>
          <w:rFonts w:ascii="Times New Roman" w:hAnsi="Times New Roman" w:cs="Times New Roman"/>
        </w:rPr>
        <w:t xml:space="preserve">average wear time and practice-level clustering. </w:t>
      </w:r>
    </w:p>
    <w:p w14:paraId="6567C9EB" w14:textId="6583319C" w:rsidR="00372359" w:rsidRPr="00810C7D" w:rsidRDefault="00372359" w:rsidP="00372359">
      <w:pPr>
        <w:rPr>
          <w:rFonts w:ascii="Times New Roman" w:hAnsi="Times New Roman" w:cs="Times New Roman"/>
        </w:rPr>
      </w:pPr>
      <w:r w:rsidRPr="00810C7D">
        <w:rPr>
          <w:rFonts w:ascii="Times New Roman" w:hAnsi="Times New Roman" w:cs="Times New Roman"/>
          <w:vertAlign w:val="superscript"/>
        </w:rPr>
        <w:t xml:space="preserve">c </w:t>
      </w:r>
      <w:r w:rsidRPr="00810C7D">
        <w:rPr>
          <w:rFonts w:ascii="Times New Roman" w:hAnsi="Times New Roman" w:cs="Times New Roman"/>
        </w:rPr>
        <w:t xml:space="preserve">Estimates accounted for practice-level clustering and were adjusted for </w:t>
      </w:r>
      <w:r w:rsidR="00043058" w:rsidRPr="00810C7D">
        <w:rPr>
          <w:rFonts w:ascii="Times New Roman" w:hAnsi="Times New Roman" w:cs="Times New Roman"/>
        </w:rPr>
        <w:t xml:space="preserve">change in </w:t>
      </w:r>
      <w:r w:rsidRPr="00810C7D">
        <w:rPr>
          <w:rFonts w:ascii="Times New Roman" w:hAnsi="Times New Roman" w:cs="Times New Roman"/>
        </w:rPr>
        <w:t>average wear time, ethnicity, age, sex, and social deprivation score.</w:t>
      </w:r>
    </w:p>
    <w:p w14:paraId="59BA2173" w14:textId="77777777" w:rsidR="00372359" w:rsidRPr="00810C7D" w:rsidRDefault="00372359" w:rsidP="00372359">
      <w:pPr>
        <w:rPr>
          <w:rFonts w:ascii="Times New Roman" w:hAnsi="Times New Roman" w:cs="Times New Roman"/>
        </w:rPr>
      </w:pPr>
      <w:r w:rsidRPr="00810C7D">
        <w:rPr>
          <w:rFonts w:ascii="Times New Roman" w:hAnsi="Times New Roman" w:cs="Times New Roman"/>
          <w:vertAlign w:val="superscript"/>
        </w:rPr>
        <w:t xml:space="preserve">d </w:t>
      </w:r>
      <w:r w:rsidRPr="00810C7D">
        <w:rPr>
          <w:rFonts w:ascii="Times New Roman" w:hAnsi="Times New Roman" w:cs="Times New Roman"/>
        </w:rPr>
        <w:t>Estimates accounted for practice-level clustering and were adjusted for the variables in Model 2 plus body mass index and smoking.</w:t>
      </w:r>
    </w:p>
    <w:p w14:paraId="54A213E4" w14:textId="77777777" w:rsidR="00372359" w:rsidRPr="00810C7D" w:rsidRDefault="00372359" w:rsidP="00372359">
      <w:pPr>
        <w:rPr>
          <w:rFonts w:ascii="Times New Roman" w:hAnsi="Times New Roman" w:cs="Times New Roman"/>
        </w:rPr>
      </w:pPr>
      <w:r w:rsidRPr="00810C7D">
        <w:rPr>
          <w:rFonts w:ascii="Times New Roman" w:hAnsi="Times New Roman" w:cs="Times New Roman"/>
          <w:b/>
          <w:vertAlign w:val="superscript"/>
        </w:rPr>
        <w:t>e</w:t>
      </w:r>
      <w:r w:rsidRPr="00810C7D">
        <w:rPr>
          <w:rFonts w:ascii="Times New Roman" w:hAnsi="Times New Roman" w:cs="Times New Roman"/>
        </w:rPr>
        <w:t xml:space="preserve"> Data were skewed so the model was fitted using log transformed data.</w:t>
      </w:r>
    </w:p>
    <w:p w14:paraId="68E1E6DF" w14:textId="77777777" w:rsidR="00372359" w:rsidRPr="00810C7D" w:rsidRDefault="00372359" w:rsidP="00372359">
      <w:pPr>
        <w:rPr>
          <w:rFonts w:ascii="Times New Roman" w:hAnsi="Times New Roman" w:cs="Times New Roman"/>
          <w:b/>
        </w:rPr>
        <w:sectPr w:rsidR="00372359" w:rsidRPr="00810C7D" w:rsidSect="00BB4C0D">
          <w:pgSz w:w="16838" w:h="11906" w:orient="landscape"/>
          <w:pgMar w:top="1440" w:right="1440" w:bottom="1440" w:left="1440" w:header="708" w:footer="708" w:gutter="0"/>
          <w:cols w:space="708"/>
          <w:docGrid w:linePitch="360"/>
        </w:sectPr>
      </w:pPr>
    </w:p>
    <w:p w14:paraId="3D62D912" w14:textId="43B1AE4B" w:rsidR="00372359" w:rsidRPr="00810C7D" w:rsidRDefault="00DD143B" w:rsidP="00372359">
      <w:pPr>
        <w:rPr>
          <w:rFonts w:ascii="Times New Roman" w:hAnsi="Times New Roman" w:cs="Times New Roman"/>
        </w:rPr>
      </w:pPr>
      <w:r w:rsidRPr="00810C7D">
        <w:rPr>
          <w:rFonts w:ascii="Times New Roman" w:hAnsi="Times New Roman" w:cs="Times New Roman"/>
          <w:b/>
        </w:rPr>
        <w:t>Table III</w:t>
      </w:r>
      <w:r w:rsidR="00372359" w:rsidRPr="00810C7D">
        <w:rPr>
          <w:rFonts w:ascii="Times New Roman" w:hAnsi="Times New Roman" w:cs="Times New Roman"/>
          <w:b/>
        </w:rPr>
        <w:t xml:space="preserve">. </w:t>
      </w:r>
      <w:r w:rsidR="001A7ED9" w:rsidRPr="00810C7D">
        <w:rPr>
          <w:rFonts w:ascii="Times New Roman" w:hAnsi="Times New Roman" w:cs="Times New Roman"/>
        </w:rPr>
        <w:t>Adjusted coefficients (95% confidence interval)</w:t>
      </w:r>
      <w:r w:rsidR="001A7ED9" w:rsidRPr="00810C7D">
        <w:rPr>
          <w:rFonts w:ascii="Times New Roman" w:hAnsi="Times New Roman" w:cs="Times New Roman"/>
          <w:vertAlign w:val="superscript"/>
        </w:rPr>
        <w:t>a</w:t>
      </w:r>
      <w:r w:rsidR="001A7ED9" w:rsidRPr="00810C7D">
        <w:rPr>
          <w:rFonts w:ascii="Times New Roman" w:hAnsi="Times New Roman" w:cs="Times New Roman"/>
        </w:rPr>
        <w:t xml:space="preserve"> showing the a</w:t>
      </w:r>
      <w:r w:rsidR="00372359" w:rsidRPr="00810C7D">
        <w:rPr>
          <w:rFonts w:ascii="Times New Roman" w:hAnsi="Times New Roman" w:cs="Times New Roman"/>
        </w:rPr>
        <w:t>ssociation between neighbourhood walkability</w:t>
      </w:r>
      <w:r w:rsidR="00372359" w:rsidRPr="00810C7D">
        <w:rPr>
          <w:rFonts w:ascii="Times New Roman" w:hAnsi="Times New Roman" w:cs="Times New Roman"/>
          <w:vertAlign w:val="superscript"/>
        </w:rPr>
        <w:t>a</w:t>
      </w:r>
      <w:r w:rsidR="00372359" w:rsidRPr="00810C7D">
        <w:rPr>
          <w:rFonts w:ascii="Times New Roman" w:hAnsi="Times New Roman" w:cs="Times New Roman"/>
        </w:rPr>
        <w:t xml:space="preserve"> and change in physical activity from baseline to follow-up. </w:t>
      </w:r>
    </w:p>
    <w:tbl>
      <w:tblPr>
        <w:tblStyle w:val="TableGrid"/>
        <w:tblW w:w="95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476"/>
        <w:gridCol w:w="2311"/>
        <w:gridCol w:w="2476"/>
      </w:tblGrid>
      <w:tr w:rsidR="00372359" w:rsidRPr="00810C7D" w14:paraId="5141AAB0" w14:textId="77777777" w:rsidTr="00BB4C0D">
        <w:tc>
          <w:tcPr>
            <w:tcW w:w="2310" w:type="dxa"/>
            <w:tcBorders>
              <w:top w:val="single" w:sz="4" w:space="0" w:color="auto"/>
              <w:bottom w:val="nil"/>
            </w:tcBorders>
          </w:tcPr>
          <w:p w14:paraId="142E5C23" w14:textId="77777777" w:rsidR="00372359" w:rsidRPr="00810C7D" w:rsidRDefault="00372359" w:rsidP="00BB4C0D">
            <w:pPr>
              <w:rPr>
                <w:rFonts w:ascii="Times New Roman" w:hAnsi="Times New Roman" w:cs="Times New Roman"/>
              </w:rPr>
            </w:pPr>
          </w:p>
        </w:tc>
        <w:tc>
          <w:tcPr>
            <w:tcW w:w="7263" w:type="dxa"/>
            <w:gridSpan w:val="3"/>
            <w:tcBorders>
              <w:top w:val="single" w:sz="4" w:space="0" w:color="auto"/>
              <w:bottom w:val="single" w:sz="4" w:space="0" w:color="auto"/>
            </w:tcBorders>
          </w:tcPr>
          <w:p w14:paraId="519160F6" w14:textId="75CFE6E1" w:rsidR="00372359" w:rsidRPr="00810C7D" w:rsidRDefault="00372359" w:rsidP="00BB4C0D">
            <w:pPr>
              <w:jc w:val="center"/>
              <w:rPr>
                <w:rFonts w:ascii="Times New Roman" w:hAnsi="Times New Roman" w:cs="Times New Roman"/>
                <w:b/>
                <w:vertAlign w:val="superscript"/>
              </w:rPr>
            </w:pPr>
            <w:r w:rsidRPr="00810C7D">
              <w:rPr>
                <w:rFonts w:ascii="Times New Roman" w:hAnsi="Times New Roman" w:cs="Times New Roman"/>
                <w:b/>
              </w:rPr>
              <w:t>Follow-up time point</w:t>
            </w:r>
          </w:p>
        </w:tc>
      </w:tr>
      <w:tr w:rsidR="00372359" w:rsidRPr="00810C7D" w14:paraId="1AA5F832" w14:textId="77777777" w:rsidTr="00BB4C0D">
        <w:tc>
          <w:tcPr>
            <w:tcW w:w="2310" w:type="dxa"/>
            <w:tcBorders>
              <w:top w:val="nil"/>
              <w:bottom w:val="single" w:sz="4" w:space="0" w:color="auto"/>
            </w:tcBorders>
          </w:tcPr>
          <w:p w14:paraId="5F3DFC4D" w14:textId="77777777" w:rsidR="00372359" w:rsidRPr="00810C7D" w:rsidRDefault="00372359" w:rsidP="00BB4C0D">
            <w:pPr>
              <w:rPr>
                <w:rFonts w:ascii="Times New Roman" w:hAnsi="Times New Roman" w:cs="Times New Roman"/>
                <w:vertAlign w:val="superscript"/>
              </w:rPr>
            </w:pPr>
            <w:r w:rsidRPr="00810C7D">
              <w:rPr>
                <w:rFonts w:ascii="Times New Roman" w:hAnsi="Times New Roman" w:cs="Times New Roman"/>
                <w:b/>
              </w:rPr>
              <w:t>Physical activity measure</w:t>
            </w:r>
          </w:p>
        </w:tc>
        <w:tc>
          <w:tcPr>
            <w:tcW w:w="2476" w:type="dxa"/>
            <w:tcBorders>
              <w:top w:val="single" w:sz="4" w:space="0" w:color="auto"/>
              <w:bottom w:val="single" w:sz="4" w:space="0" w:color="auto"/>
            </w:tcBorders>
          </w:tcPr>
          <w:p w14:paraId="6804F20F" w14:textId="77777777" w:rsidR="00372359" w:rsidRPr="00810C7D" w:rsidRDefault="00372359" w:rsidP="00BB4C0D">
            <w:pPr>
              <w:jc w:val="center"/>
              <w:rPr>
                <w:rFonts w:ascii="Times New Roman" w:hAnsi="Times New Roman" w:cs="Times New Roman"/>
                <w:b/>
              </w:rPr>
            </w:pPr>
            <w:r w:rsidRPr="00810C7D">
              <w:rPr>
                <w:rFonts w:ascii="Times New Roman" w:hAnsi="Times New Roman" w:cs="Times New Roman"/>
                <w:b/>
              </w:rPr>
              <w:t>12 months</w:t>
            </w:r>
          </w:p>
          <w:p w14:paraId="20C70C5B" w14:textId="77777777" w:rsidR="00372359" w:rsidRPr="00810C7D" w:rsidRDefault="00372359" w:rsidP="00BB4C0D">
            <w:pPr>
              <w:jc w:val="center"/>
              <w:rPr>
                <w:rFonts w:ascii="Times New Roman" w:hAnsi="Times New Roman" w:cs="Times New Roman"/>
                <w:b/>
              </w:rPr>
            </w:pPr>
            <w:r w:rsidRPr="00810C7D">
              <w:rPr>
                <w:rFonts w:ascii="Times New Roman" w:hAnsi="Times New Roman" w:cs="Times New Roman"/>
                <w:b/>
              </w:rPr>
              <w:t>(n = 540)</w:t>
            </w:r>
          </w:p>
        </w:tc>
        <w:tc>
          <w:tcPr>
            <w:tcW w:w="2311" w:type="dxa"/>
            <w:tcBorders>
              <w:top w:val="single" w:sz="4" w:space="0" w:color="auto"/>
              <w:bottom w:val="single" w:sz="4" w:space="0" w:color="auto"/>
            </w:tcBorders>
          </w:tcPr>
          <w:p w14:paraId="0F31CFE9" w14:textId="77777777" w:rsidR="00372359" w:rsidRPr="00810C7D" w:rsidRDefault="00372359" w:rsidP="00BB4C0D">
            <w:pPr>
              <w:jc w:val="center"/>
              <w:rPr>
                <w:rFonts w:ascii="Times New Roman" w:hAnsi="Times New Roman" w:cs="Times New Roman"/>
                <w:b/>
              </w:rPr>
            </w:pPr>
            <w:r w:rsidRPr="00810C7D">
              <w:rPr>
                <w:rFonts w:ascii="Times New Roman" w:hAnsi="Times New Roman" w:cs="Times New Roman"/>
                <w:b/>
              </w:rPr>
              <w:t>24 months</w:t>
            </w:r>
          </w:p>
          <w:p w14:paraId="0501D0C0" w14:textId="77777777" w:rsidR="00372359" w:rsidRPr="00810C7D" w:rsidRDefault="00372359" w:rsidP="00BB4C0D">
            <w:pPr>
              <w:jc w:val="center"/>
              <w:rPr>
                <w:rFonts w:ascii="Times New Roman" w:hAnsi="Times New Roman" w:cs="Times New Roman"/>
                <w:b/>
              </w:rPr>
            </w:pPr>
            <w:r w:rsidRPr="00810C7D">
              <w:rPr>
                <w:rFonts w:ascii="Times New Roman" w:hAnsi="Times New Roman" w:cs="Times New Roman"/>
                <w:b/>
              </w:rPr>
              <w:t>(n = 518)</w:t>
            </w:r>
          </w:p>
        </w:tc>
        <w:tc>
          <w:tcPr>
            <w:tcW w:w="2476" w:type="dxa"/>
            <w:tcBorders>
              <w:top w:val="single" w:sz="4" w:space="0" w:color="auto"/>
              <w:bottom w:val="single" w:sz="4" w:space="0" w:color="auto"/>
            </w:tcBorders>
          </w:tcPr>
          <w:p w14:paraId="31B20495" w14:textId="77777777" w:rsidR="00372359" w:rsidRPr="00810C7D" w:rsidRDefault="00372359" w:rsidP="00BB4C0D">
            <w:pPr>
              <w:jc w:val="center"/>
              <w:rPr>
                <w:rFonts w:ascii="Times New Roman" w:hAnsi="Times New Roman" w:cs="Times New Roman"/>
                <w:b/>
              </w:rPr>
            </w:pPr>
            <w:r w:rsidRPr="00810C7D">
              <w:rPr>
                <w:rFonts w:ascii="Times New Roman" w:hAnsi="Times New Roman" w:cs="Times New Roman"/>
                <w:b/>
              </w:rPr>
              <w:t>36 months</w:t>
            </w:r>
          </w:p>
          <w:p w14:paraId="15668FC3" w14:textId="77777777" w:rsidR="00372359" w:rsidRPr="00810C7D" w:rsidRDefault="00372359" w:rsidP="00BB4C0D">
            <w:pPr>
              <w:jc w:val="center"/>
              <w:rPr>
                <w:rFonts w:ascii="Times New Roman" w:hAnsi="Times New Roman" w:cs="Times New Roman"/>
                <w:b/>
              </w:rPr>
            </w:pPr>
            <w:r w:rsidRPr="00810C7D">
              <w:rPr>
                <w:rFonts w:ascii="Times New Roman" w:hAnsi="Times New Roman" w:cs="Times New Roman"/>
                <w:b/>
              </w:rPr>
              <w:t>(n = 493)</w:t>
            </w:r>
          </w:p>
        </w:tc>
      </w:tr>
      <w:tr w:rsidR="00372359" w:rsidRPr="00810C7D" w14:paraId="05E13DB2" w14:textId="77777777" w:rsidTr="00BB4C0D">
        <w:tc>
          <w:tcPr>
            <w:tcW w:w="2310" w:type="dxa"/>
            <w:tcBorders>
              <w:top w:val="single" w:sz="4" w:space="0" w:color="auto"/>
              <w:bottom w:val="nil"/>
            </w:tcBorders>
          </w:tcPr>
          <w:p w14:paraId="6C2F4D29"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Average steps/day</w:t>
            </w:r>
          </w:p>
        </w:tc>
        <w:tc>
          <w:tcPr>
            <w:tcW w:w="2476" w:type="dxa"/>
            <w:tcBorders>
              <w:top w:val="single" w:sz="4" w:space="0" w:color="auto"/>
              <w:bottom w:val="nil"/>
            </w:tcBorders>
          </w:tcPr>
          <w:p w14:paraId="6DB0042B"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-9.00 (-93.00, 75.00)</w:t>
            </w:r>
          </w:p>
        </w:tc>
        <w:tc>
          <w:tcPr>
            <w:tcW w:w="2311" w:type="dxa"/>
            <w:tcBorders>
              <w:top w:val="single" w:sz="4" w:space="0" w:color="auto"/>
              <w:bottom w:val="nil"/>
            </w:tcBorders>
          </w:tcPr>
          <w:p w14:paraId="149CE394"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-17.47 (-103.87, 68.93)</w:t>
            </w:r>
          </w:p>
        </w:tc>
        <w:tc>
          <w:tcPr>
            <w:tcW w:w="2476" w:type="dxa"/>
            <w:tcBorders>
              <w:top w:val="single" w:sz="4" w:space="0" w:color="auto"/>
              <w:bottom w:val="nil"/>
            </w:tcBorders>
          </w:tcPr>
          <w:p w14:paraId="61D36547"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-3.26 (-87.12, 77.61)</w:t>
            </w:r>
          </w:p>
        </w:tc>
      </w:tr>
      <w:tr w:rsidR="00372359" w:rsidRPr="00810C7D" w14:paraId="5979A12D" w14:textId="77777777" w:rsidTr="00BB4C0D">
        <w:tc>
          <w:tcPr>
            <w:tcW w:w="2310" w:type="dxa"/>
            <w:tcBorders>
              <w:top w:val="nil"/>
              <w:bottom w:val="nil"/>
            </w:tcBorders>
          </w:tcPr>
          <w:p w14:paraId="2D089488"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Average purposeful steps/day</w:t>
            </w:r>
          </w:p>
        </w:tc>
        <w:tc>
          <w:tcPr>
            <w:tcW w:w="2476" w:type="dxa"/>
            <w:tcBorders>
              <w:top w:val="nil"/>
              <w:bottom w:val="nil"/>
            </w:tcBorders>
          </w:tcPr>
          <w:p w14:paraId="3D36E818"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-8.51 (-96.23, 79.22)</w:t>
            </w:r>
          </w:p>
        </w:tc>
        <w:tc>
          <w:tcPr>
            <w:tcW w:w="2311" w:type="dxa"/>
            <w:tcBorders>
              <w:top w:val="nil"/>
              <w:bottom w:val="nil"/>
            </w:tcBorders>
          </w:tcPr>
          <w:p w14:paraId="7E72AD84"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-18.17 (-107.97, 71.63)</w:t>
            </w:r>
          </w:p>
        </w:tc>
        <w:tc>
          <w:tcPr>
            <w:tcW w:w="2476" w:type="dxa"/>
            <w:tcBorders>
              <w:top w:val="nil"/>
              <w:bottom w:val="nil"/>
            </w:tcBorders>
          </w:tcPr>
          <w:p w14:paraId="1077A821"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60.82 (-106.46, 228.11)</w:t>
            </w:r>
          </w:p>
        </w:tc>
      </w:tr>
      <w:tr w:rsidR="00372359" w:rsidRPr="00810C7D" w14:paraId="4AC41384" w14:textId="77777777" w:rsidTr="00220D30">
        <w:tc>
          <w:tcPr>
            <w:tcW w:w="2310" w:type="dxa"/>
            <w:tcBorders>
              <w:top w:val="nil"/>
              <w:bottom w:val="nil"/>
            </w:tcBorders>
          </w:tcPr>
          <w:p w14:paraId="2A29151D" w14:textId="77777777" w:rsidR="00372359" w:rsidRPr="00810C7D" w:rsidRDefault="00372359" w:rsidP="00BB4C0D">
            <w:pPr>
              <w:rPr>
                <w:rFonts w:ascii="Times New Roman" w:hAnsi="Times New Roman" w:cs="Times New Roman"/>
                <w:vertAlign w:val="superscript"/>
              </w:rPr>
            </w:pPr>
            <w:r w:rsidRPr="00810C7D">
              <w:rPr>
                <w:rFonts w:ascii="Times New Roman" w:hAnsi="Times New Roman" w:cs="Times New Roman"/>
              </w:rPr>
              <w:t>MVPA time (Average mins/day)</w:t>
            </w:r>
          </w:p>
        </w:tc>
        <w:tc>
          <w:tcPr>
            <w:tcW w:w="2476" w:type="dxa"/>
            <w:tcBorders>
              <w:top w:val="nil"/>
              <w:bottom w:val="nil"/>
            </w:tcBorders>
          </w:tcPr>
          <w:p w14:paraId="051BC43E"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-0.11 (-0.81, 0.59)</w:t>
            </w:r>
          </w:p>
        </w:tc>
        <w:tc>
          <w:tcPr>
            <w:tcW w:w="2311" w:type="dxa"/>
            <w:tcBorders>
              <w:top w:val="nil"/>
              <w:bottom w:val="nil"/>
            </w:tcBorders>
          </w:tcPr>
          <w:p w14:paraId="154435AC"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-0.30 (-1.16, 0.57)</w:t>
            </w:r>
          </w:p>
        </w:tc>
        <w:tc>
          <w:tcPr>
            <w:tcW w:w="2476" w:type="dxa"/>
            <w:tcBorders>
              <w:top w:val="nil"/>
              <w:bottom w:val="nil"/>
            </w:tcBorders>
          </w:tcPr>
          <w:p w14:paraId="74CBD555"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-0.04 (-0.63, 0.55)</w:t>
            </w:r>
          </w:p>
        </w:tc>
      </w:tr>
      <w:tr w:rsidR="00372359" w:rsidRPr="00810C7D" w14:paraId="0F3AEF40" w14:textId="77777777" w:rsidTr="00220D30">
        <w:tc>
          <w:tcPr>
            <w:tcW w:w="2310" w:type="dxa"/>
            <w:tcBorders>
              <w:top w:val="nil"/>
              <w:bottom w:val="single" w:sz="4" w:space="0" w:color="auto"/>
            </w:tcBorders>
          </w:tcPr>
          <w:p w14:paraId="5F2D8FAF" w14:textId="77777777" w:rsidR="00372359" w:rsidRPr="00810C7D" w:rsidRDefault="00372359" w:rsidP="00BB4C0D">
            <w:pPr>
              <w:rPr>
                <w:rFonts w:ascii="Times New Roman" w:hAnsi="Times New Roman" w:cs="Times New Roman"/>
              </w:rPr>
            </w:pPr>
            <w:r w:rsidRPr="00810C7D">
              <w:rPr>
                <w:rFonts w:ascii="Times New Roman" w:hAnsi="Times New Roman" w:cs="Times New Roman"/>
              </w:rPr>
              <w:t>Sedentary time (Average mins/day)</w:t>
            </w:r>
          </w:p>
        </w:tc>
        <w:tc>
          <w:tcPr>
            <w:tcW w:w="2476" w:type="dxa"/>
            <w:tcBorders>
              <w:top w:val="nil"/>
              <w:bottom w:val="single" w:sz="4" w:space="0" w:color="auto"/>
            </w:tcBorders>
          </w:tcPr>
          <w:p w14:paraId="71EE1984"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0.78 (-1.33, 2.89)</w:t>
            </w:r>
          </w:p>
        </w:tc>
        <w:tc>
          <w:tcPr>
            <w:tcW w:w="2311" w:type="dxa"/>
            <w:tcBorders>
              <w:top w:val="nil"/>
              <w:bottom w:val="single" w:sz="4" w:space="0" w:color="auto"/>
            </w:tcBorders>
          </w:tcPr>
          <w:p w14:paraId="5655E133"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-0.42 (-2.16, 1.32)</w:t>
            </w:r>
          </w:p>
        </w:tc>
        <w:tc>
          <w:tcPr>
            <w:tcW w:w="2476" w:type="dxa"/>
            <w:tcBorders>
              <w:top w:val="nil"/>
              <w:bottom w:val="single" w:sz="4" w:space="0" w:color="auto"/>
            </w:tcBorders>
          </w:tcPr>
          <w:p w14:paraId="37AD524C" w14:textId="77777777" w:rsidR="00372359" w:rsidRPr="00810C7D" w:rsidRDefault="00372359" w:rsidP="00BB4C0D">
            <w:pPr>
              <w:jc w:val="right"/>
              <w:rPr>
                <w:rFonts w:ascii="Times New Roman" w:hAnsi="Times New Roman" w:cs="Times New Roman"/>
              </w:rPr>
            </w:pPr>
            <w:r w:rsidRPr="00810C7D">
              <w:rPr>
                <w:rFonts w:ascii="Times New Roman" w:hAnsi="Times New Roman" w:cs="Times New Roman"/>
              </w:rPr>
              <w:t>0.49 (-2.01, 2.99)</w:t>
            </w:r>
          </w:p>
        </w:tc>
      </w:tr>
    </w:tbl>
    <w:p w14:paraId="51CA811A" w14:textId="5F775501" w:rsidR="0014783F" w:rsidRPr="00810C7D" w:rsidRDefault="0014783F" w:rsidP="001A7ED9">
      <w:pPr>
        <w:rPr>
          <w:rFonts w:ascii="Times New Roman" w:hAnsi="Times New Roman" w:cs="Times New Roman"/>
        </w:rPr>
      </w:pPr>
      <w:r w:rsidRPr="00810C7D">
        <w:rPr>
          <w:rFonts w:ascii="Times New Roman" w:hAnsi="Times New Roman" w:cs="Times New Roman"/>
        </w:rPr>
        <w:t>Abbreviations: MVPA, Moderate-to-Vigorous Physical Activity.</w:t>
      </w:r>
    </w:p>
    <w:p w14:paraId="0E244BC6" w14:textId="57691823" w:rsidR="001A7ED9" w:rsidRPr="00810C7D" w:rsidRDefault="001A7ED9" w:rsidP="001A7ED9">
      <w:pPr>
        <w:rPr>
          <w:rFonts w:ascii="Times New Roman" w:hAnsi="Times New Roman" w:cs="Times New Roman"/>
        </w:rPr>
      </w:pPr>
      <w:r w:rsidRPr="00810C7D">
        <w:rPr>
          <w:rFonts w:ascii="Times New Roman" w:hAnsi="Times New Roman" w:cs="Times New Roman"/>
          <w:vertAlign w:val="superscript"/>
        </w:rPr>
        <w:t xml:space="preserve">a </w:t>
      </w:r>
      <w:r w:rsidRPr="00810C7D">
        <w:rPr>
          <w:rFonts w:ascii="Times New Roman" w:hAnsi="Times New Roman" w:cs="Times New Roman"/>
        </w:rPr>
        <w:t>Estimates accounted for practice-level clustering and were adjusted for average wear time, treatment allocation, ethnicity, age, sex, social deprivation score, body mass index, and smoking.</w:t>
      </w:r>
    </w:p>
    <w:p w14:paraId="62F92238" w14:textId="38DEAE1E" w:rsidR="00372359" w:rsidRPr="00810C7D" w:rsidRDefault="001A7ED9" w:rsidP="00372359">
      <w:pPr>
        <w:rPr>
          <w:rFonts w:ascii="Times New Roman" w:hAnsi="Times New Roman" w:cs="Times New Roman"/>
        </w:rPr>
      </w:pPr>
      <w:r w:rsidRPr="00810C7D">
        <w:rPr>
          <w:rFonts w:ascii="Times New Roman" w:hAnsi="Times New Roman" w:cs="Times New Roman"/>
          <w:vertAlign w:val="superscript"/>
        </w:rPr>
        <w:t>b</w:t>
      </w:r>
      <w:r w:rsidR="00372359" w:rsidRPr="00810C7D">
        <w:rPr>
          <w:rFonts w:ascii="Times New Roman" w:hAnsi="Times New Roman" w:cs="Times New Roman"/>
          <w:vertAlign w:val="superscript"/>
        </w:rPr>
        <w:t xml:space="preserve"> </w:t>
      </w:r>
      <w:r w:rsidR="0014783F" w:rsidRPr="00810C7D">
        <w:rPr>
          <w:rFonts w:ascii="Times New Roman" w:hAnsi="Times New Roman" w:cs="Times New Roman"/>
        </w:rPr>
        <w:t>Composite</w:t>
      </w:r>
      <w:r w:rsidR="00372359" w:rsidRPr="00810C7D">
        <w:rPr>
          <w:rFonts w:ascii="Times New Roman" w:hAnsi="Times New Roman" w:cs="Times New Roman"/>
        </w:rPr>
        <w:t xml:space="preserve"> index measured using a 800m road network buffer, which represents a 10 minute walk.</w:t>
      </w:r>
    </w:p>
    <w:p w14:paraId="2DDEB138" w14:textId="77777777" w:rsidR="00F77E60" w:rsidRPr="00810C7D" w:rsidRDefault="00F77E60" w:rsidP="00372359">
      <w:pPr>
        <w:rPr>
          <w:rFonts w:ascii="Times New Roman" w:hAnsi="Times New Roman" w:cs="Times New Roman"/>
        </w:rPr>
      </w:pPr>
    </w:p>
    <w:p w14:paraId="53418EEE" w14:textId="77777777" w:rsidR="00F77E60" w:rsidRPr="00810C7D" w:rsidRDefault="00F77E60" w:rsidP="00372359">
      <w:pPr>
        <w:rPr>
          <w:rFonts w:ascii="Times New Roman" w:hAnsi="Times New Roman" w:cs="Times New Roman"/>
        </w:rPr>
      </w:pPr>
    </w:p>
    <w:p w14:paraId="638148EE" w14:textId="77777777" w:rsidR="00F77E60" w:rsidRPr="00810C7D" w:rsidRDefault="00F77E60">
      <w:pPr>
        <w:rPr>
          <w:rFonts w:ascii="Times New Roman" w:hAnsi="Times New Roman" w:cs="Times New Roman"/>
          <w:b/>
        </w:rPr>
      </w:pPr>
      <w:r w:rsidRPr="00810C7D">
        <w:rPr>
          <w:rFonts w:ascii="Times New Roman" w:hAnsi="Times New Roman" w:cs="Times New Roman"/>
          <w:b/>
        </w:rPr>
        <w:br w:type="page"/>
      </w:r>
    </w:p>
    <w:p w14:paraId="64DE364F" w14:textId="29AE33A2" w:rsidR="00F77E60" w:rsidRPr="00810C7D" w:rsidRDefault="00DD143B" w:rsidP="00F77E60">
      <w:pPr>
        <w:rPr>
          <w:rFonts w:ascii="Times New Roman" w:hAnsi="Times New Roman" w:cs="Times New Roman"/>
        </w:rPr>
      </w:pPr>
      <w:r w:rsidRPr="00810C7D">
        <w:rPr>
          <w:rFonts w:ascii="Times New Roman" w:hAnsi="Times New Roman" w:cs="Times New Roman"/>
          <w:b/>
        </w:rPr>
        <w:t>Table IV</w:t>
      </w:r>
      <w:r w:rsidR="00F77E60" w:rsidRPr="00810C7D">
        <w:rPr>
          <w:rFonts w:ascii="Times New Roman" w:hAnsi="Times New Roman" w:cs="Times New Roman"/>
          <w:b/>
        </w:rPr>
        <w:t xml:space="preserve">. </w:t>
      </w:r>
      <w:r w:rsidR="001A7ED9" w:rsidRPr="00810C7D">
        <w:rPr>
          <w:rFonts w:ascii="Times New Roman" w:hAnsi="Times New Roman" w:cs="Times New Roman"/>
        </w:rPr>
        <w:t>Adjusted coefficients (95% confidence interval)</w:t>
      </w:r>
      <w:r w:rsidR="001A7ED9" w:rsidRPr="00810C7D">
        <w:rPr>
          <w:rFonts w:ascii="Times New Roman" w:hAnsi="Times New Roman" w:cs="Times New Roman"/>
          <w:vertAlign w:val="superscript"/>
        </w:rPr>
        <w:t>a</w:t>
      </w:r>
      <w:r w:rsidR="001A7ED9" w:rsidRPr="00810C7D">
        <w:rPr>
          <w:rFonts w:ascii="Times New Roman" w:hAnsi="Times New Roman" w:cs="Times New Roman"/>
        </w:rPr>
        <w:t xml:space="preserve"> showing the a</w:t>
      </w:r>
      <w:r w:rsidR="00F77E60" w:rsidRPr="00810C7D">
        <w:rPr>
          <w:rFonts w:ascii="Times New Roman" w:hAnsi="Times New Roman" w:cs="Times New Roman"/>
        </w:rPr>
        <w:t>ssociation between neighbourhood walkability</w:t>
      </w:r>
      <w:r w:rsidR="001A7ED9" w:rsidRPr="00810C7D">
        <w:rPr>
          <w:rFonts w:ascii="Times New Roman" w:hAnsi="Times New Roman" w:cs="Times New Roman"/>
          <w:vertAlign w:val="superscript"/>
        </w:rPr>
        <w:t>b</w:t>
      </w:r>
      <w:r w:rsidR="00F77E60" w:rsidRPr="00810C7D">
        <w:rPr>
          <w:rFonts w:ascii="Times New Roman" w:hAnsi="Times New Roman" w:cs="Times New Roman"/>
        </w:rPr>
        <w:t xml:space="preserve"> and change in steps/day from baseline to 36 month follow-up</w:t>
      </w:r>
      <w:r w:rsidR="00220D30" w:rsidRPr="00810C7D">
        <w:rPr>
          <w:rFonts w:ascii="Times New Roman" w:hAnsi="Times New Roman" w:cs="Times New Roman"/>
        </w:rPr>
        <w:t xml:space="preserve"> stratified by treatment allocation</w:t>
      </w:r>
      <w:r w:rsidR="00F77E60" w:rsidRPr="00810C7D">
        <w:rPr>
          <w:rFonts w:ascii="Times New Roman" w:hAnsi="Times New Roman" w:cs="Times New Roman"/>
        </w:rPr>
        <w:t xml:space="preserve">. </w:t>
      </w:r>
    </w:p>
    <w:tbl>
      <w:tblPr>
        <w:tblStyle w:val="TableGrid"/>
        <w:tblW w:w="780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2409"/>
        <w:gridCol w:w="2396"/>
      </w:tblGrid>
      <w:tr w:rsidR="00634E12" w:rsidRPr="00810C7D" w14:paraId="402B64D7" w14:textId="26C37DA1" w:rsidTr="00634E12">
        <w:trPr>
          <w:jc w:val="center"/>
        </w:trPr>
        <w:tc>
          <w:tcPr>
            <w:tcW w:w="3001" w:type="dxa"/>
            <w:tcBorders>
              <w:top w:val="single" w:sz="4" w:space="0" w:color="auto"/>
              <w:bottom w:val="nil"/>
            </w:tcBorders>
          </w:tcPr>
          <w:p w14:paraId="3BD655A8" w14:textId="77777777" w:rsidR="00634E12" w:rsidRPr="00810C7D" w:rsidRDefault="00634E12" w:rsidP="00BB4C0D">
            <w:pPr>
              <w:rPr>
                <w:rFonts w:ascii="Times New Roman" w:hAnsi="Times New Roman" w:cs="Times New Roman"/>
              </w:rPr>
            </w:pPr>
          </w:p>
        </w:tc>
        <w:tc>
          <w:tcPr>
            <w:tcW w:w="4805" w:type="dxa"/>
            <w:gridSpan w:val="2"/>
            <w:tcBorders>
              <w:top w:val="single" w:sz="4" w:space="0" w:color="auto"/>
              <w:bottom w:val="single" w:sz="4" w:space="0" w:color="auto"/>
            </w:tcBorders>
          </w:tcPr>
          <w:p w14:paraId="70D9324F" w14:textId="0FFA4DAA" w:rsidR="00634E12" w:rsidRPr="00810C7D" w:rsidRDefault="00634E12" w:rsidP="00BB4C0D">
            <w:pPr>
              <w:jc w:val="center"/>
              <w:rPr>
                <w:rFonts w:ascii="Times New Roman" w:hAnsi="Times New Roman" w:cs="Times New Roman"/>
                <w:b/>
                <w:vertAlign w:val="superscript"/>
              </w:rPr>
            </w:pPr>
            <w:r w:rsidRPr="00810C7D">
              <w:rPr>
                <w:rFonts w:ascii="Times New Roman" w:hAnsi="Times New Roman" w:cs="Times New Roman"/>
                <w:b/>
              </w:rPr>
              <w:t>Treatment allocation</w:t>
            </w:r>
          </w:p>
        </w:tc>
      </w:tr>
      <w:tr w:rsidR="00634E12" w:rsidRPr="00810C7D" w14:paraId="28148719" w14:textId="7670CCF7" w:rsidTr="00634E12">
        <w:trPr>
          <w:jc w:val="center"/>
        </w:trPr>
        <w:tc>
          <w:tcPr>
            <w:tcW w:w="3001" w:type="dxa"/>
            <w:tcBorders>
              <w:top w:val="nil"/>
              <w:bottom w:val="single" w:sz="4" w:space="0" w:color="auto"/>
            </w:tcBorders>
          </w:tcPr>
          <w:p w14:paraId="5BC8578F" w14:textId="77777777" w:rsidR="00634E12" w:rsidRPr="00810C7D" w:rsidRDefault="00634E12" w:rsidP="00BB4C0D">
            <w:pPr>
              <w:rPr>
                <w:rFonts w:ascii="Times New Roman" w:hAnsi="Times New Roman" w:cs="Times New Roman"/>
                <w:vertAlign w:val="superscript"/>
              </w:rPr>
            </w:pPr>
            <w:r w:rsidRPr="00810C7D">
              <w:rPr>
                <w:rFonts w:ascii="Times New Roman" w:hAnsi="Times New Roman" w:cs="Times New Roman"/>
                <w:b/>
              </w:rPr>
              <w:t>Physical activity measure</w:t>
            </w:r>
          </w:p>
        </w:tc>
        <w:tc>
          <w:tcPr>
            <w:tcW w:w="2409" w:type="dxa"/>
            <w:tcBorders>
              <w:top w:val="single" w:sz="4" w:space="0" w:color="auto"/>
              <w:bottom w:val="single" w:sz="4" w:space="0" w:color="auto"/>
            </w:tcBorders>
          </w:tcPr>
          <w:p w14:paraId="4D8EFE65" w14:textId="77777777" w:rsidR="00634E12" w:rsidRPr="00810C7D" w:rsidRDefault="00634E12" w:rsidP="00BB4C0D">
            <w:pPr>
              <w:jc w:val="center"/>
              <w:rPr>
                <w:rFonts w:ascii="Times New Roman" w:hAnsi="Times New Roman" w:cs="Times New Roman"/>
                <w:b/>
              </w:rPr>
            </w:pPr>
            <w:r w:rsidRPr="00810C7D">
              <w:rPr>
                <w:rFonts w:ascii="Times New Roman" w:hAnsi="Times New Roman" w:cs="Times New Roman"/>
                <w:b/>
              </w:rPr>
              <w:t>Usual care</w:t>
            </w:r>
          </w:p>
          <w:p w14:paraId="6E2ED6DF" w14:textId="01C247B4" w:rsidR="00634E12" w:rsidRPr="00810C7D" w:rsidRDefault="00634E12" w:rsidP="00BB4C0D">
            <w:pPr>
              <w:jc w:val="center"/>
              <w:rPr>
                <w:rFonts w:ascii="Times New Roman" w:hAnsi="Times New Roman" w:cs="Times New Roman"/>
                <w:b/>
              </w:rPr>
            </w:pPr>
            <w:r w:rsidRPr="00810C7D">
              <w:rPr>
                <w:rFonts w:ascii="Times New Roman" w:hAnsi="Times New Roman" w:cs="Times New Roman"/>
                <w:b/>
              </w:rPr>
              <w:t>(n=259)</w:t>
            </w:r>
          </w:p>
        </w:tc>
        <w:tc>
          <w:tcPr>
            <w:tcW w:w="2396" w:type="dxa"/>
            <w:tcBorders>
              <w:top w:val="single" w:sz="4" w:space="0" w:color="auto"/>
              <w:bottom w:val="single" w:sz="4" w:space="0" w:color="auto"/>
            </w:tcBorders>
          </w:tcPr>
          <w:p w14:paraId="3F9E006F" w14:textId="6CF69B44" w:rsidR="00634E12" w:rsidRPr="00810C7D" w:rsidRDefault="003B5E70" w:rsidP="00220D30">
            <w:pPr>
              <w:jc w:val="center"/>
              <w:rPr>
                <w:rFonts w:ascii="Times New Roman" w:hAnsi="Times New Roman" w:cs="Times New Roman"/>
                <w:b/>
              </w:rPr>
            </w:pPr>
            <w:r w:rsidRPr="00810C7D">
              <w:rPr>
                <w:rFonts w:ascii="Times New Roman" w:hAnsi="Times New Roman" w:cs="Times New Roman"/>
                <w:b/>
              </w:rPr>
              <w:t>Intervention</w:t>
            </w:r>
          </w:p>
          <w:p w14:paraId="1E92606C" w14:textId="6E4D8848" w:rsidR="00634E12" w:rsidRPr="00810C7D" w:rsidRDefault="00634E12" w:rsidP="00220D30">
            <w:pPr>
              <w:jc w:val="center"/>
              <w:rPr>
                <w:rFonts w:ascii="Times New Roman" w:hAnsi="Times New Roman" w:cs="Times New Roman"/>
                <w:b/>
              </w:rPr>
            </w:pPr>
            <w:r w:rsidRPr="00810C7D">
              <w:rPr>
                <w:rFonts w:ascii="Times New Roman" w:hAnsi="Times New Roman" w:cs="Times New Roman"/>
                <w:b/>
              </w:rPr>
              <w:t>(n=234)</w:t>
            </w:r>
          </w:p>
        </w:tc>
      </w:tr>
      <w:tr w:rsidR="00634E12" w:rsidRPr="00810C7D" w14:paraId="0D4B878C" w14:textId="6210E489" w:rsidTr="00634E12">
        <w:trPr>
          <w:jc w:val="center"/>
        </w:trPr>
        <w:tc>
          <w:tcPr>
            <w:tcW w:w="3001" w:type="dxa"/>
            <w:tcBorders>
              <w:top w:val="single" w:sz="4" w:space="0" w:color="auto"/>
              <w:bottom w:val="nil"/>
            </w:tcBorders>
          </w:tcPr>
          <w:p w14:paraId="368F9862" w14:textId="77777777" w:rsidR="00634E12" w:rsidRPr="00810C7D" w:rsidRDefault="00634E12" w:rsidP="00BB4C0D">
            <w:pPr>
              <w:rPr>
                <w:rFonts w:ascii="Times New Roman" w:hAnsi="Times New Roman" w:cs="Times New Roman"/>
              </w:rPr>
            </w:pPr>
            <w:r w:rsidRPr="00810C7D">
              <w:rPr>
                <w:rFonts w:ascii="Times New Roman" w:hAnsi="Times New Roman" w:cs="Times New Roman"/>
              </w:rPr>
              <w:t>Average steps/day</w:t>
            </w:r>
          </w:p>
        </w:tc>
        <w:tc>
          <w:tcPr>
            <w:tcW w:w="2409" w:type="dxa"/>
            <w:tcBorders>
              <w:top w:val="single" w:sz="4" w:space="0" w:color="auto"/>
              <w:bottom w:val="nil"/>
            </w:tcBorders>
          </w:tcPr>
          <w:p w14:paraId="3DD5BA53" w14:textId="06EC61EE" w:rsidR="00634E12" w:rsidRPr="00810C7D" w:rsidRDefault="00634E12" w:rsidP="00BB4C0D">
            <w:pPr>
              <w:jc w:val="right"/>
              <w:rPr>
                <w:rFonts w:ascii="Times New Roman" w:hAnsi="Times New Roman" w:cs="Times New Roman"/>
              </w:rPr>
            </w:pPr>
            <w:r w:rsidRPr="00810C7D">
              <w:rPr>
                <w:rFonts w:ascii="Times New Roman" w:hAnsi="Times New Roman" w:cs="Times New Roman"/>
              </w:rPr>
              <w:t>19.68 (-100.20, 139.57)</w:t>
            </w:r>
          </w:p>
        </w:tc>
        <w:tc>
          <w:tcPr>
            <w:tcW w:w="2396" w:type="dxa"/>
            <w:tcBorders>
              <w:top w:val="single" w:sz="4" w:space="0" w:color="auto"/>
              <w:bottom w:val="nil"/>
            </w:tcBorders>
          </w:tcPr>
          <w:p w14:paraId="4B59CA02" w14:textId="65AF2C7F" w:rsidR="00634E12" w:rsidRPr="00810C7D" w:rsidRDefault="00634E12" w:rsidP="00BB4C0D">
            <w:pPr>
              <w:jc w:val="right"/>
              <w:rPr>
                <w:rFonts w:ascii="Times New Roman" w:hAnsi="Times New Roman" w:cs="Times New Roman"/>
              </w:rPr>
            </w:pPr>
            <w:r w:rsidRPr="00810C7D">
              <w:rPr>
                <w:rFonts w:ascii="Times New Roman" w:hAnsi="Times New Roman" w:cs="Times New Roman"/>
              </w:rPr>
              <w:t>-63.38 (-206.95, 80.18)</w:t>
            </w:r>
          </w:p>
        </w:tc>
      </w:tr>
      <w:tr w:rsidR="00634E12" w:rsidRPr="00810C7D" w14:paraId="11807DB3" w14:textId="000A7EC9" w:rsidTr="00634E12">
        <w:trPr>
          <w:jc w:val="center"/>
        </w:trPr>
        <w:tc>
          <w:tcPr>
            <w:tcW w:w="3001" w:type="dxa"/>
            <w:tcBorders>
              <w:top w:val="nil"/>
              <w:bottom w:val="single" w:sz="4" w:space="0" w:color="auto"/>
            </w:tcBorders>
          </w:tcPr>
          <w:p w14:paraId="259BC6E6" w14:textId="77777777" w:rsidR="00634E12" w:rsidRPr="00810C7D" w:rsidRDefault="00634E12" w:rsidP="00634E12">
            <w:pPr>
              <w:rPr>
                <w:rFonts w:ascii="Times New Roman" w:hAnsi="Times New Roman" w:cs="Times New Roman"/>
              </w:rPr>
            </w:pPr>
            <w:r w:rsidRPr="00810C7D">
              <w:rPr>
                <w:rFonts w:ascii="Times New Roman" w:hAnsi="Times New Roman" w:cs="Times New Roman"/>
              </w:rPr>
              <w:t>Average purposeful steps/day</w:t>
            </w:r>
          </w:p>
        </w:tc>
        <w:tc>
          <w:tcPr>
            <w:tcW w:w="2409" w:type="dxa"/>
            <w:tcBorders>
              <w:top w:val="nil"/>
              <w:bottom w:val="single" w:sz="4" w:space="0" w:color="auto"/>
            </w:tcBorders>
          </w:tcPr>
          <w:p w14:paraId="642A3281" w14:textId="6631E59A" w:rsidR="00634E12" w:rsidRPr="00810C7D" w:rsidRDefault="00634E12" w:rsidP="00634E12">
            <w:pPr>
              <w:jc w:val="right"/>
              <w:rPr>
                <w:rFonts w:ascii="Times New Roman" w:hAnsi="Times New Roman" w:cs="Times New Roman"/>
              </w:rPr>
            </w:pPr>
            <w:r w:rsidRPr="00810C7D">
              <w:rPr>
                <w:rFonts w:ascii="Times New Roman" w:hAnsi="Times New Roman" w:cs="Times New Roman"/>
              </w:rPr>
              <w:t>25.77 (-99.04, 150.58)</w:t>
            </w:r>
          </w:p>
        </w:tc>
        <w:tc>
          <w:tcPr>
            <w:tcW w:w="2396" w:type="dxa"/>
            <w:tcBorders>
              <w:top w:val="nil"/>
              <w:bottom w:val="single" w:sz="4" w:space="0" w:color="auto"/>
            </w:tcBorders>
          </w:tcPr>
          <w:p w14:paraId="41E06D9C" w14:textId="687EF097" w:rsidR="00634E12" w:rsidRPr="00810C7D" w:rsidRDefault="00634E12" w:rsidP="00634E12">
            <w:pPr>
              <w:jc w:val="right"/>
              <w:rPr>
                <w:rFonts w:ascii="Times New Roman" w:hAnsi="Times New Roman" w:cs="Times New Roman"/>
              </w:rPr>
            </w:pPr>
            <w:r w:rsidRPr="00810C7D">
              <w:rPr>
                <w:rFonts w:ascii="Times New Roman" w:hAnsi="Times New Roman" w:cs="Times New Roman"/>
              </w:rPr>
              <w:t>42.97 (-327.63, 413.58)</w:t>
            </w:r>
          </w:p>
        </w:tc>
      </w:tr>
    </w:tbl>
    <w:p w14:paraId="53540C44" w14:textId="4BBBD555" w:rsidR="001A7ED9" w:rsidRPr="00810C7D" w:rsidRDefault="001A7ED9" w:rsidP="001A7ED9">
      <w:pPr>
        <w:rPr>
          <w:rFonts w:ascii="Times New Roman" w:hAnsi="Times New Roman" w:cs="Times New Roman"/>
        </w:rPr>
      </w:pPr>
      <w:r w:rsidRPr="00810C7D">
        <w:rPr>
          <w:rFonts w:ascii="Times New Roman" w:hAnsi="Times New Roman" w:cs="Times New Roman"/>
          <w:vertAlign w:val="superscript"/>
        </w:rPr>
        <w:t xml:space="preserve">a </w:t>
      </w:r>
      <w:r w:rsidRPr="00810C7D">
        <w:rPr>
          <w:rFonts w:ascii="Times New Roman" w:hAnsi="Times New Roman" w:cs="Times New Roman"/>
        </w:rPr>
        <w:t>Estimates accounted for practice-level clustering and were adjusted for average wear time, treatment allocation, ethnicity, age, sex, social deprivation score, body mass index, and smoking.</w:t>
      </w:r>
    </w:p>
    <w:p w14:paraId="0B1B9CE6" w14:textId="7787A215" w:rsidR="00F77E60" w:rsidRPr="00ED2850" w:rsidRDefault="001A7ED9" w:rsidP="00F77E60">
      <w:pPr>
        <w:rPr>
          <w:rFonts w:ascii="Times New Roman" w:hAnsi="Times New Roman" w:cs="Times New Roman"/>
        </w:rPr>
      </w:pPr>
      <w:r w:rsidRPr="00810C7D">
        <w:rPr>
          <w:rFonts w:ascii="Times New Roman" w:hAnsi="Times New Roman" w:cs="Times New Roman"/>
          <w:vertAlign w:val="superscript"/>
        </w:rPr>
        <w:t>b</w:t>
      </w:r>
      <w:r w:rsidR="00F77E60" w:rsidRPr="00810C7D">
        <w:rPr>
          <w:rFonts w:ascii="Times New Roman" w:hAnsi="Times New Roman" w:cs="Times New Roman"/>
          <w:vertAlign w:val="superscript"/>
        </w:rPr>
        <w:t xml:space="preserve"> </w:t>
      </w:r>
      <w:r w:rsidR="0014783F" w:rsidRPr="00810C7D">
        <w:rPr>
          <w:rFonts w:ascii="Times New Roman" w:hAnsi="Times New Roman" w:cs="Times New Roman"/>
        </w:rPr>
        <w:t>Composite</w:t>
      </w:r>
      <w:r w:rsidR="00F77E60" w:rsidRPr="00810C7D">
        <w:rPr>
          <w:rFonts w:ascii="Times New Roman" w:hAnsi="Times New Roman" w:cs="Times New Roman"/>
        </w:rPr>
        <w:t xml:space="preserve"> index measured using a 800m road network buffer, which represents a 10 minute walk.</w:t>
      </w:r>
    </w:p>
    <w:p w14:paraId="15151548" w14:textId="77777777" w:rsidR="00F77E60" w:rsidRPr="00ED2850" w:rsidRDefault="00F77E60" w:rsidP="00372359">
      <w:pPr>
        <w:rPr>
          <w:rFonts w:ascii="Times New Roman" w:hAnsi="Times New Roman" w:cs="Times New Roman"/>
        </w:rPr>
      </w:pPr>
    </w:p>
    <w:p w14:paraId="5211EE72" w14:textId="77777777" w:rsidR="00A142F2" w:rsidRPr="00ED2850" w:rsidRDefault="00A142F2" w:rsidP="00A142F2">
      <w:pPr>
        <w:spacing w:after="0" w:line="360" w:lineRule="auto"/>
        <w:ind w:left="57" w:right="57"/>
        <w:rPr>
          <w:rFonts w:ascii="Times New Roman" w:hAnsi="Times New Roman" w:cs="Times New Roman"/>
        </w:rPr>
      </w:pPr>
    </w:p>
    <w:sectPr w:rsidR="00A142F2" w:rsidRPr="00ED285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226FD" w14:textId="77777777" w:rsidR="000E371B" w:rsidRDefault="000E371B" w:rsidP="0095589A">
      <w:pPr>
        <w:spacing w:after="0" w:line="240" w:lineRule="auto"/>
      </w:pPr>
      <w:r>
        <w:separator/>
      </w:r>
    </w:p>
  </w:endnote>
  <w:endnote w:type="continuationSeparator" w:id="0">
    <w:p w14:paraId="06289960" w14:textId="77777777" w:rsidR="000E371B" w:rsidRDefault="000E371B" w:rsidP="0095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607910"/>
      <w:docPartObj>
        <w:docPartGallery w:val="Page Numbers (Bottom of Page)"/>
        <w:docPartUnique/>
      </w:docPartObj>
    </w:sdtPr>
    <w:sdtEndPr>
      <w:rPr>
        <w:noProof/>
      </w:rPr>
    </w:sdtEndPr>
    <w:sdtContent>
      <w:p w14:paraId="00A6D08A" w14:textId="331A7050" w:rsidR="00BB4C0D" w:rsidRDefault="00BB4C0D">
        <w:pPr>
          <w:pStyle w:val="Footer"/>
          <w:jc w:val="right"/>
        </w:pPr>
        <w:r>
          <w:fldChar w:fldCharType="begin"/>
        </w:r>
        <w:r>
          <w:instrText xml:space="preserve"> PAGE   \* MERGEFORMAT </w:instrText>
        </w:r>
        <w:r>
          <w:fldChar w:fldCharType="separate"/>
        </w:r>
        <w:r w:rsidR="00810C7D">
          <w:rPr>
            <w:noProof/>
          </w:rPr>
          <w:t>1</w:t>
        </w:r>
        <w:r>
          <w:rPr>
            <w:noProof/>
          </w:rPr>
          <w:fldChar w:fldCharType="end"/>
        </w:r>
      </w:p>
    </w:sdtContent>
  </w:sdt>
  <w:p w14:paraId="1A9AF7E8" w14:textId="77777777" w:rsidR="00BB4C0D" w:rsidRDefault="00BB4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047631"/>
      <w:docPartObj>
        <w:docPartGallery w:val="Page Numbers (Bottom of Page)"/>
        <w:docPartUnique/>
      </w:docPartObj>
    </w:sdtPr>
    <w:sdtEndPr>
      <w:rPr>
        <w:noProof/>
      </w:rPr>
    </w:sdtEndPr>
    <w:sdtContent>
      <w:p w14:paraId="3BA4C1B0" w14:textId="143228B3" w:rsidR="00BB4C0D" w:rsidRDefault="00BB4C0D">
        <w:pPr>
          <w:pStyle w:val="Footer"/>
          <w:jc w:val="right"/>
        </w:pPr>
        <w:r>
          <w:fldChar w:fldCharType="begin"/>
        </w:r>
        <w:r>
          <w:instrText xml:space="preserve"> PAGE   \* MERGEFORMAT </w:instrText>
        </w:r>
        <w:r>
          <w:fldChar w:fldCharType="separate"/>
        </w:r>
        <w:r w:rsidR="00810C7D">
          <w:rPr>
            <w:noProof/>
          </w:rPr>
          <w:t>16</w:t>
        </w:r>
        <w:r>
          <w:rPr>
            <w:noProof/>
          </w:rPr>
          <w:fldChar w:fldCharType="end"/>
        </w:r>
      </w:p>
    </w:sdtContent>
  </w:sdt>
  <w:p w14:paraId="4D422844" w14:textId="77777777" w:rsidR="00BB4C0D" w:rsidRDefault="00BB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F764F" w14:textId="77777777" w:rsidR="000E371B" w:rsidRDefault="000E371B" w:rsidP="0095589A">
      <w:pPr>
        <w:spacing w:after="0" w:line="240" w:lineRule="auto"/>
      </w:pPr>
      <w:r>
        <w:separator/>
      </w:r>
    </w:p>
  </w:footnote>
  <w:footnote w:type="continuationSeparator" w:id="0">
    <w:p w14:paraId="6289B579" w14:textId="77777777" w:rsidR="000E371B" w:rsidRDefault="000E371B" w:rsidP="00955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91C6C"/>
    <w:multiLevelType w:val="hybridMultilevel"/>
    <w:tmpl w:val="468266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FB0CB4"/>
    <w:multiLevelType w:val="hybridMultilevel"/>
    <w:tmpl w:val="0314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CD"/>
    <w:rsid w:val="00000A10"/>
    <w:rsid w:val="00013FA5"/>
    <w:rsid w:val="00042FA8"/>
    <w:rsid w:val="00043058"/>
    <w:rsid w:val="0004735A"/>
    <w:rsid w:val="00055264"/>
    <w:rsid w:val="00057404"/>
    <w:rsid w:val="00073B61"/>
    <w:rsid w:val="00084FD8"/>
    <w:rsid w:val="0009175A"/>
    <w:rsid w:val="000A4670"/>
    <w:rsid w:val="000B34E7"/>
    <w:rsid w:val="000C4413"/>
    <w:rsid w:val="000D2ADD"/>
    <w:rsid w:val="000E371B"/>
    <w:rsid w:val="001008EA"/>
    <w:rsid w:val="001237AD"/>
    <w:rsid w:val="001455CD"/>
    <w:rsid w:val="00147257"/>
    <w:rsid w:val="0014783F"/>
    <w:rsid w:val="00147EA7"/>
    <w:rsid w:val="0015335D"/>
    <w:rsid w:val="00162CB9"/>
    <w:rsid w:val="0017676D"/>
    <w:rsid w:val="001A7ED9"/>
    <w:rsid w:val="001E3CBA"/>
    <w:rsid w:val="001E3E46"/>
    <w:rsid w:val="001F4E58"/>
    <w:rsid w:val="001F6F02"/>
    <w:rsid w:val="00202017"/>
    <w:rsid w:val="00220D30"/>
    <w:rsid w:val="002275A5"/>
    <w:rsid w:val="00236CE7"/>
    <w:rsid w:val="00257EDD"/>
    <w:rsid w:val="00260D39"/>
    <w:rsid w:val="002652E8"/>
    <w:rsid w:val="00271F47"/>
    <w:rsid w:val="00285876"/>
    <w:rsid w:val="002862B4"/>
    <w:rsid w:val="002950F9"/>
    <w:rsid w:val="002B40A9"/>
    <w:rsid w:val="002B4605"/>
    <w:rsid w:val="002C0647"/>
    <w:rsid w:val="002C21AC"/>
    <w:rsid w:val="002C516D"/>
    <w:rsid w:val="002C57D7"/>
    <w:rsid w:val="002D0C72"/>
    <w:rsid w:val="002D26C9"/>
    <w:rsid w:val="002D3512"/>
    <w:rsid w:val="002F4CA4"/>
    <w:rsid w:val="003056FF"/>
    <w:rsid w:val="0030677C"/>
    <w:rsid w:val="003106D3"/>
    <w:rsid w:val="003220B4"/>
    <w:rsid w:val="0033122B"/>
    <w:rsid w:val="003463CE"/>
    <w:rsid w:val="00364FDE"/>
    <w:rsid w:val="00372102"/>
    <w:rsid w:val="00372359"/>
    <w:rsid w:val="00381ABF"/>
    <w:rsid w:val="003860B9"/>
    <w:rsid w:val="003B2CE0"/>
    <w:rsid w:val="003B5E70"/>
    <w:rsid w:val="003B7CAC"/>
    <w:rsid w:val="003D4299"/>
    <w:rsid w:val="003E2533"/>
    <w:rsid w:val="003E57D6"/>
    <w:rsid w:val="00415D7C"/>
    <w:rsid w:val="00420353"/>
    <w:rsid w:val="00420B95"/>
    <w:rsid w:val="00431A40"/>
    <w:rsid w:val="00432D04"/>
    <w:rsid w:val="00433DA6"/>
    <w:rsid w:val="004344AD"/>
    <w:rsid w:val="004708FB"/>
    <w:rsid w:val="00472AF4"/>
    <w:rsid w:val="0048255C"/>
    <w:rsid w:val="004857A2"/>
    <w:rsid w:val="004B1F54"/>
    <w:rsid w:val="004C5E40"/>
    <w:rsid w:val="004C735D"/>
    <w:rsid w:val="004D6105"/>
    <w:rsid w:val="004E323F"/>
    <w:rsid w:val="004E51A1"/>
    <w:rsid w:val="004E7330"/>
    <w:rsid w:val="004F6DB5"/>
    <w:rsid w:val="0051032B"/>
    <w:rsid w:val="00513C4E"/>
    <w:rsid w:val="005153CE"/>
    <w:rsid w:val="0055031F"/>
    <w:rsid w:val="00553694"/>
    <w:rsid w:val="00566B28"/>
    <w:rsid w:val="00573E63"/>
    <w:rsid w:val="005B2F21"/>
    <w:rsid w:val="005B4FCF"/>
    <w:rsid w:val="005C5A8F"/>
    <w:rsid w:val="005E204A"/>
    <w:rsid w:val="005E31A8"/>
    <w:rsid w:val="005E5E08"/>
    <w:rsid w:val="005F2669"/>
    <w:rsid w:val="006011C2"/>
    <w:rsid w:val="00622B6D"/>
    <w:rsid w:val="00634E12"/>
    <w:rsid w:val="00637EDF"/>
    <w:rsid w:val="006404DE"/>
    <w:rsid w:val="00640C31"/>
    <w:rsid w:val="0067401A"/>
    <w:rsid w:val="00694805"/>
    <w:rsid w:val="006B3D44"/>
    <w:rsid w:val="006B6FA9"/>
    <w:rsid w:val="006D2ADB"/>
    <w:rsid w:val="006F0102"/>
    <w:rsid w:val="00710167"/>
    <w:rsid w:val="007126C0"/>
    <w:rsid w:val="00715A1C"/>
    <w:rsid w:val="007234B5"/>
    <w:rsid w:val="0072739B"/>
    <w:rsid w:val="00727A87"/>
    <w:rsid w:val="00731102"/>
    <w:rsid w:val="00735565"/>
    <w:rsid w:val="007444A6"/>
    <w:rsid w:val="007503CE"/>
    <w:rsid w:val="00751872"/>
    <w:rsid w:val="0075699F"/>
    <w:rsid w:val="00757063"/>
    <w:rsid w:val="0076611C"/>
    <w:rsid w:val="00776F3C"/>
    <w:rsid w:val="00793A42"/>
    <w:rsid w:val="007B08FE"/>
    <w:rsid w:val="007B6D08"/>
    <w:rsid w:val="007C7ECD"/>
    <w:rsid w:val="007D6868"/>
    <w:rsid w:val="007E03C7"/>
    <w:rsid w:val="007F30B4"/>
    <w:rsid w:val="007F3F97"/>
    <w:rsid w:val="00810C7D"/>
    <w:rsid w:val="00816352"/>
    <w:rsid w:val="0082739A"/>
    <w:rsid w:val="008326BB"/>
    <w:rsid w:val="008433F3"/>
    <w:rsid w:val="00851E0C"/>
    <w:rsid w:val="00861AE9"/>
    <w:rsid w:val="00880CFB"/>
    <w:rsid w:val="00885854"/>
    <w:rsid w:val="008A7BC3"/>
    <w:rsid w:val="008B36BF"/>
    <w:rsid w:val="008B74B7"/>
    <w:rsid w:val="008D7A27"/>
    <w:rsid w:val="008F2252"/>
    <w:rsid w:val="009047F2"/>
    <w:rsid w:val="00905248"/>
    <w:rsid w:val="0090674F"/>
    <w:rsid w:val="00913CA8"/>
    <w:rsid w:val="0092511E"/>
    <w:rsid w:val="00940AF1"/>
    <w:rsid w:val="00947387"/>
    <w:rsid w:val="00954322"/>
    <w:rsid w:val="0095589A"/>
    <w:rsid w:val="00955DD7"/>
    <w:rsid w:val="009575C2"/>
    <w:rsid w:val="00975D25"/>
    <w:rsid w:val="009A3BAB"/>
    <w:rsid w:val="009B0390"/>
    <w:rsid w:val="009B645E"/>
    <w:rsid w:val="009D4207"/>
    <w:rsid w:val="009D58F7"/>
    <w:rsid w:val="00A00DB7"/>
    <w:rsid w:val="00A05B7F"/>
    <w:rsid w:val="00A067D0"/>
    <w:rsid w:val="00A06CA8"/>
    <w:rsid w:val="00A142F2"/>
    <w:rsid w:val="00A22E80"/>
    <w:rsid w:val="00A30070"/>
    <w:rsid w:val="00A40464"/>
    <w:rsid w:val="00A56DEB"/>
    <w:rsid w:val="00A625C9"/>
    <w:rsid w:val="00A63B83"/>
    <w:rsid w:val="00A869CA"/>
    <w:rsid w:val="00A95002"/>
    <w:rsid w:val="00A95CC6"/>
    <w:rsid w:val="00AC004A"/>
    <w:rsid w:val="00AC03FA"/>
    <w:rsid w:val="00AC1D53"/>
    <w:rsid w:val="00AD27EA"/>
    <w:rsid w:val="00AE067F"/>
    <w:rsid w:val="00AE5598"/>
    <w:rsid w:val="00AF2F3A"/>
    <w:rsid w:val="00B0008E"/>
    <w:rsid w:val="00B00173"/>
    <w:rsid w:val="00B00483"/>
    <w:rsid w:val="00B1133A"/>
    <w:rsid w:val="00B13644"/>
    <w:rsid w:val="00B222F2"/>
    <w:rsid w:val="00B30BD7"/>
    <w:rsid w:val="00B31025"/>
    <w:rsid w:val="00B316E8"/>
    <w:rsid w:val="00B41F77"/>
    <w:rsid w:val="00B43C90"/>
    <w:rsid w:val="00B46ADA"/>
    <w:rsid w:val="00B63A0B"/>
    <w:rsid w:val="00B64468"/>
    <w:rsid w:val="00B7046C"/>
    <w:rsid w:val="00B72498"/>
    <w:rsid w:val="00B75B2F"/>
    <w:rsid w:val="00B76E81"/>
    <w:rsid w:val="00B94A5A"/>
    <w:rsid w:val="00BA698D"/>
    <w:rsid w:val="00BB2ABB"/>
    <w:rsid w:val="00BB2D25"/>
    <w:rsid w:val="00BB4C0D"/>
    <w:rsid w:val="00BB786F"/>
    <w:rsid w:val="00BE0922"/>
    <w:rsid w:val="00BF3CBB"/>
    <w:rsid w:val="00C23FF7"/>
    <w:rsid w:val="00C25A72"/>
    <w:rsid w:val="00C3419D"/>
    <w:rsid w:val="00C410AA"/>
    <w:rsid w:val="00C45D7E"/>
    <w:rsid w:val="00C46DE1"/>
    <w:rsid w:val="00C5587B"/>
    <w:rsid w:val="00C55FCD"/>
    <w:rsid w:val="00C63655"/>
    <w:rsid w:val="00C64EC7"/>
    <w:rsid w:val="00C721E3"/>
    <w:rsid w:val="00C860C0"/>
    <w:rsid w:val="00CB03DA"/>
    <w:rsid w:val="00CB6B4A"/>
    <w:rsid w:val="00CB6E96"/>
    <w:rsid w:val="00CC4D3F"/>
    <w:rsid w:val="00CC57AB"/>
    <w:rsid w:val="00CE550A"/>
    <w:rsid w:val="00CE7C49"/>
    <w:rsid w:val="00CF0DB4"/>
    <w:rsid w:val="00CF7A13"/>
    <w:rsid w:val="00D03624"/>
    <w:rsid w:val="00D06BC0"/>
    <w:rsid w:val="00D2265D"/>
    <w:rsid w:val="00D24643"/>
    <w:rsid w:val="00D246F8"/>
    <w:rsid w:val="00D25B3D"/>
    <w:rsid w:val="00D469FF"/>
    <w:rsid w:val="00D5145D"/>
    <w:rsid w:val="00D67541"/>
    <w:rsid w:val="00D81436"/>
    <w:rsid w:val="00D933C9"/>
    <w:rsid w:val="00DA0D43"/>
    <w:rsid w:val="00DA4A1D"/>
    <w:rsid w:val="00DA62F1"/>
    <w:rsid w:val="00DB363C"/>
    <w:rsid w:val="00DB4F0E"/>
    <w:rsid w:val="00DC4887"/>
    <w:rsid w:val="00DC53F5"/>
    <w:rsid w:val="00DD143B"/>
    <w:rsid w:val="00DE21E3"/>
    <w:rsid w:val="00DE3AE3"/>
    <w:rsid w:val="00DE3DAE"/>
    <w:rsid w:val="00E14C86"/>
    <w:rsid w:val="00E23B31"/>
    <w:rsid w:val="00E25F42"/>
    <w:rsid w:val="00E26D3E"/>
    <w:rsid w:val="00E3276E"/>
    <w:rsid w:val="00E37178"/>
    <w:rsid w:val="00E427B2"/>
    <w:rsid w:val="00E55651"/>
    <w:rsid w:val="00E67676"/>
    <w:rsid w:val="00E70A69"/>
    <w:rsid w:val="00E76581"/>
    <w:rsid w:val="00E95EA8"/>
    <w:rsid w:val="00EA16D0"/>
    <w:rsid w:val="00ED1697"/>
    <w:rsid w:val="00ED186E"/>
    <w:rsid w:val="00ED224C"/>
    <w:rsid w:val="00ED2850"/>
    <w:rsid w:val="00ED49F3"/>
    <w:rsid w:val="00EE314B"/>
    <w:rsid w:val="00EE7A33"/>
    <w:rsid w:val="00EF4B2A"/>
    <w:rsid w:val="00EF627C"/>
    <w:rsid w:val="00F04A92"/>
    <w:rsid w:val="00F055A3"/>
    <w:rsid w:val="00F05C19"/>
    <w:rsid w:val="00F06F39"/>
    <w:rsid w:val="00F1582A"/>
    <w:rsid w:val="00F2037B"/>
    <w:rsid w:val="00F223FD"/>
    <w:rsid w:val="00F41EE3"/>
    <w:rsid w:val="00F4475B"/>
    <w:rsid w:val="00F63AA4"/>
    <w:rsid w:val="00F71154"/>
    <w:rsid w:val="00F77E60"/>
    <w:rsid w:val="00F93B1D"/>
    <w:rsid w:val="00FC0FA3"/>
    <w:rsid w:val="00FD4589"/>
    <w:rsid w:val="00FF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C1B1B5"/>
  <w15:docId w15:val="{8214322F-5974-4D16-8CC5-F0678E12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AA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F63AA4"/>
    <w:rPr>
      <w:color w:val="0000FF"/>
      <w:u w:val="single"/>
    </w:rPr>
  </w:style>
  <w:style w:type="paragraph" w:styleId="BalloonText">
    <w:name w:val="Balloon Text"/>
    <w:basedOn w:val="Normal"/>
    <w:link w:val="BalloonTextChar"/>
    <w:uiPriority w:val="99"/>
    <w:semiHidden/>
    <w:unhideWhenUsed/>
    <w:rsid w:val="00832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BB"/>
    <w:rPr>
      <w:rFonts w:ascii="Tahoma" w:hAnsi="Tahoma" w:cs="Tahoma"/>
      <w:sz w:val="16"/>
      <w:szCs w:val="16"/>
    </w:rPr>
  </w:style>
  <w:style w:type="paragraph" w:styleId="ListParagraph">
    <w:name w:val="List Paragraph"/>
    <w:basedOn w:val="Normal"/>
    <w:uiPriority w:val="34"/>
    <w:qFormat/>
    <w:rsid w:val="000D2ADD"/>
    <w:pPr>
      <w:ind w:left="720"/>
      <w:contextualSpacing/>
    </w:pPr>
  </w:style>
  <w:style w:type="character" w:styleId="CommentReference">
    <w:name w:val="annotation reference"/>
    <w:basedOn w:val="DefaultParagraphFont"/>
    <w:uiPriority w:val="99"/>
    <w:semiHidden/>
    <w:unhideWhenUsed/>
    <w:rsid w:val="006B3D44"/>
    <w:rPr>
      <w:sz w:val="16"/>
      <w:szCs w:val="16"/>
    </w:rPr>
  </w:style>
  <w:style w:type="paragraph" w:styleId="CommentText">
    <w:name w:val="annotation text"/>
    <w:basedOn w:val="Normal"/>
    <w:link w:val="CommentTextChar"/>
    <w:uiPriority w:val="99"/>
    <w:unhideWhenUsed/>
    <w:rsid w:val="006B3D44"/>
    <w:pPr>
      <w:spacing w:line="240" w:lineRule="auto"/>
    </w:pPr>
    <w:rPr>
      <w:sz w:val="20"/>
      <w:szCs w:val="20"/>
    </w:rPr>
  </w:style>
  <w:style w:type="character" w:customStyle="1" w:styleId="CommentTextChar">
    <w:name w:val="Comment Text Char"/>
    <w:basedOn w:val="DefaultParagraphFont"/>
    <w:link w:val="CommentText"/>
    <w:uiPriority w:val="99"/>
    <w:rsid w:val="006B3D44"/>
    <w:rPr>
      <w:sz w:val="20"/>
      <w:szCs w:val="20"/>
    </w:rPr>
  </w:style>
  <w:style w:type="paragraph" w:styleId="CommentSubject">
    <w:name w:val="annotation subject"/>
    <w:basedOn w:val="CommentText"/>
    <w:next w:val="CommentText"/>
    <w:link w:val="CommentSubjectChar"/>
    <w:uiPriority w:val="99"/>
    <w:semiHidden/>
    <w:unhideWhenUsed/>
    <w:rsid w:val="006B3D44"/>
    <w:rPr>
      <w:b/>
      <w:bCs/>
    </w:rPr>
  </w:style>
  <w:style w:type="character" w:customStyle="1" w:styleId="CommentSubjectChar">
    <w:name w:val="Comment Subject Char"/>
    <w:basedOn w:val="CommentTextChar"/>
    <w:link w:val="CommentSubject"/>
    <w:uiPriority w:val="99"/>
    <w:semiHidden/>
    <w:rsid w:val="006B3D44"/>
    <w:rPr>
      <w:b/>
      <w:bCs/>
      <w:sz w:val="20"/>
      <w:szCs w:val="20"/>
    </w:rPr>
  </w:style>
  <w:style w:type="table" w:styleId="TableGrid">
    <w:name w:val="Table Grid"/>
    <w:basedOn w:val="TableNormal"/>
    <w:uiPriority w:val="59"/>
    <w:rsid w:val="00A1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89A"/>
  </w:style>
  <w:style w:type="paragraph" w:styleId="Footer">
    <w:name w:val="footer"/>
    <w:basedOn w:val="Normal"/>
    <w:link w:val="FooterChar"/>
    <w:uiPriority w:val="99"/>
    <w:unhideWhenUsed/>
    <w:rsid w:val="0095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89A"/>
  </w:style>
  <w:style w:type="character" w:styleId="FollowedHyperlink">
    <w:name w:val="FollowedHyperlink"/>
    <w:basedOn w:val="DefaultParagraphFont"/>
    <w:uiPriority w:val="99"/>
    <w:semiHidden/>
    <w:unhideWhenUsed/>
    <w:rsid w:val="007273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308">
      <w:bodyDiv w:val="1"/>
      <w:marLeft w:val="0"/>
      <w:marRight w:val="0"/>
      <w:marTop w:val="0"/>
      <w:marBottom w:val="0"/>
      <w:divBdr>
        <w:top w:val="none" w:sz="0" w:space="0" w:color="auto"/>
        <w:left w:val="none" w:sz="0" w:space="0" w:color="auto"/>
        <w:bottom w:val="none" w:sz="0" w:space="0" w:color="auto"/>
        <w:right w:val="none" w:sz="0" w:space="0" w:color="auto"/>
      </w:divBdr>
    </w:div>
    <w:div w:id="41946780">
      <w:bodyDiv w:val="1"/>
      <w:marLeft w:val="0"/>
      <w:marRight w:val="0"/>
      <w:marTop w:val="0"/>
      <w:marBottom w:val="0"/>
      <w:divBdr>
        <w:top w:val="none" w:sz="0" w:space="0" w:color="auto"/>
        <w:left w:val="none" w:sz="0" w:space="0" w:color="auto"/>
        <w:bottom w:val="none" w:sz="0" w:space="0" w:color="auto"/>
        <w:right w:val="none" w:sz="0" w:space="0" w:color="auto"/>
      </w:divBdr>
    </w:div>
    <w:div w:id="85002064">
      <w:bodyDiv w:val="1"/>
      <w:marLeft w:val="0"/>
      <w:marRight w:val="0"/>
      <w:marTop w:val="0"/>
      <w:marBottom w:val="0"/>
      <w:divBdr>
        <w:top w:val="none" w:sz="0" w:space="0" w:color="auto"/>
        <w:left w:val="none" w:sz="0" w:space="0" w:color="auto"/>
        <w:bottom w:val="none" w:sz="0" w:space="0" w:color="auto"/>
        <w:right w:val="none" w:sz="0" w:space="0" w:color="auto"/>
      </w:divBdr>
    </w:div>
    <w:div w:id="102039702">
      <w:bodyDiv w:val="1"/>
      <w:marLeft w:val="0"/>
      <w:marRight w:val="0"/>
      <w:marTop w:val="0"/>
      <w:marBottom w:val="0"/>
      <w:divBdr>
        <w:top w:val="none" w:sz="0" w:space="0" w:color="auto"/>
        <w:left w:val="none" w:sz="0" w:space="0" w:color="auto"/>
        <w:bottom w:val="none" w:sz="0" w:space="0" w:color="auto"/>
        <w:right w:val="none" w:sz="0" w:space="0" w:color="auto"/>
      </w:divBdr>
    </w:div>
    <w:div w:id="104468328">
      <w:bodyDiv w:val="1"/>
      <w:marLeft w:val="0"/>
      <w:marRight w:val="0"/>
      <w:marTop w:val="0"/>
      <w:marBottom w:val="0"/>
      <w:divBdr>
        <w:top w:val="none" w:sz="0" w:space="0" w:color="auto"/>
        <w:left w:val="none" w:sz="0" w:space="0" w:color="auto"/>
        <w:bottom w:val="none" w:sz="0" w:space="0" w:color="auto"/>
        <w:right w:val="none" w:sz="0" w:space="0" w:color="auto"/>
      </w:divBdr>
    </w:div>
    <w:div w:id="160043781">
      <w:bodyDiv w:val="1"/>
      <w:marLeft w:val="0"/>
      <w:marRight w:val="0"/>
      <w:marTop w:val="0"/>
      <w:marBottom w:val="0"/>
      <w:divBdr>
        <w:top w:val="none" w:sz="0" w:space="0" w:color="auto"/>
        <w:left w:val="none" w:sz="0" w:space="0" w:color="auto"/>
        <w:bottom w:val="none" w:sz="0" w:space="0" w:color="auto"/>
        <w:right w:val="none" w:sz="0" w:space="0" w:color="auto"/>
      </w:divBdr>
    </w:div>
    <w:div w:id="165633930">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172962018">
      <w:bodyDiv w:val="1"/>
      <w:marLeft w:val="0"/>
      <w:marRight w:val="0"/>
      <w:marTop w:val="0"/>
      <w:marBottom w:val="0"/>
      <w:divBdr>
        <w:top w:val="none" w:sz="0" w:space="0" w:color="auto"/>
        <w:left w:val="none" w:sz="0" w:space="0" w:color="auto"/>
        <w:bottom w:val="none" w:sz="0" w:space="0" w:color="auto"/>
        <w:right w:val="none" w:sz="0" w:space="0" w:color="auto"/>
      </w:divBdr>
    </w:div>
    <w:div w:id="211314435">
      <w:bodyDiv w:val="1"/>
      <w:marLeft w:val="0"/>
      <w:marRight w:val="0"/>
      <w:marTop w:val="0"/>
      <w:marBottom w:val="0"/>
      <w:divBdr>
        <w:top w:val="none" w:sz="0" w:space="0" w:color="auto"/>
        <w:left w:val="none" w:sz="0" w:space="0" w:color="auto"/>
        <w:bottom w:val="none" w:sz="0" w:space="0" w:color="auto"/>
        <w:right w:val="none" w:sz="0" w:space="0" w:color="auto"/>
      </w:divBdr>
    </w:div>
    <w:div w:id="23081940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70863923">
      <w:bodyDiv w:val="1"/>
      <w:marLeft w:val="0"/>
      <w:marRight w:val="0"/>
      <w:marTop w:val="0"/>
      <w:marBottom w:val="0"/>
      <w:divBdr>
        <w:top w:val="none" w:sz="0" w:space="0" w:color="auto"/>
        <w:left w:val="none" w:sz="0" w:space="0" w:color="auto"/>
        <w:bottom w:val="none" w:sz="0" w:space="0" w:color="auto"/>
        <w:right w:val="none" w:sz="0" w:space="0" w:color="auto"/>
      </w:divBdr>
    </w:div>
    <w:div w:id="276722836">
      <w:bodyDiv w:val="1"/>
      <w:marLeft w:val="0"/>
      <w:marRight w:val="0"/>
      <w:marTop w:val="0"/>
      <w:marBottom w:val="0"/>
      <w:divBdr>
        <w:top w:val="none" w:sz="0" w:space="0" w:color="auto"/>
        <w:left w:val="none" w:sz="0" w:space="0" w:color="auto"/>
        <w:bottom w:val="none" w:sz="0" w:space="0" w:color="auto"/>
        <w:right w:val="none" w:sz="0" w:space="0" w:color="auto"/>
      </w:divBdr>
    </w:div>
    <w:div w:id="276912675">
      <w:bodyDiv w:val="1"/>
      <w:marLeft w:val="0"/>
      <w:marRight w:val="0"/>
      <w:marTop w:val="0"/>
      <w:marBottom w:val="0"/>
      <w:divBdr>
        <w:top w:val="none" w:sz="0" w:space="0" w:color="auto"/>
        <w:left w:val="none" w:sz="0" w:space="0" w:color="auto"/>
        <w:bottom w:val="none" w:sz="0" w:space="0" w:color="auto"/>
        <w:right w:val="none" w:sz="0" w:space="0" w:color="auto"/>
      </w:divBdr>
    </w:div>
    <w:div w:id="277033801">
      <w:bodyDiv w:val="1"/>
      <w:marLeft w:val="0"/>
      <w:marRight w:val="0"/>
      <w:marTop w:val="0"/>
      <w:marBottom w:val="0"/>
      <w:divBdr>
        <w:top w:val="none" w:sz="0" w:space="0" w:color="auto"/>
        <w:left w:val="none" w:sz="0" w:space="0" w:color="auto"/>
        <w:bottom w:val="none" w:sz="0" w:space="0" w:color="auto"/>
        <w:right w:val="none" w:sz="0" w:space="0" w:color="auto"/>
      </w:divBdr>
    </w:div>
    <w:div w:id="286931131">
      <w:bodyDiv w:val="1"/>
      <w:marLeft w:val="0"/>
      <w:marRight w:val="0"/>
      <w:marTop w:val="0"/>
      <w:marBottom w:val="0"/>
      <w:divBdr>
        <w:top w:val="none" w:sz="0" w:space="0" w:color="auto"/>
        <w:left w:val="none" w:sz="0" w:space="0" w:color="auto"/>
        <w:bottom w:val="none" w:sz="0" w:space="0" w:color="auto"/>
        <w:right w:val="none" w:sz="0" w:space="0" w:color="auto"/>
      </w:divBdr>
    </w:div>
    <w:div w:id="297536881">
      <w:bodyDiv w:val="1"/>
      <w:marLeft w:val="0"/>
      <w:marRight w:val="0"/>
      <w:marTop w:val="0"/>
      <w:marBottom w:val="0"/>
      <w:divBdr>
        <w:top w:val="none" w:sz="0" w:space="0" w:color="auto"/>
        <w:left w:val="none" w:sz="0" w:space="0" w:color="auto"/>
        <w:bottom w:val="none" w:sz="0" w:space="0" w:color="auto"/>
        <w:right w:val="none" w:sz="0" w:space="0" w:color="auto"/>
      </w:divBdr>
    </w:div>
    <w:div w:id="300043064">
      <w:bodyDiv w:val="1"/>
      <w:marLeft w:val="0"/>
      <w:marRight w:val="0"/>
      <w:marTop w:val="0"/>
      <w:marBottom w:val="0"/>
      <w:divBdr>
        <w:top w:val="none" w:sz="0" w:space="0" w:color="auto"/>
        <w:left w:val="none" w:sz="0" w:space="0" w:color="auto"/>
        <w:bottom w:val="none" w:sz="0" w:space="0" w:color="auto"/>
        <w:right w:val="none" w:sz="0" w:space="0" w:color="auto"/>
      </w:divBdr>
    </w:div>
    <w:div w:id="305596607">
      <w:bodyDiv w:val="1"/>
      <w:marLeft w:val="0"/>
      <w:marRight w:val="0"/>
      <w:marTop w:val="0"/>
      <w:marBottom w:val="0"/>
      <w:divBdr>
        <w:top w:val="none" w:sz="0" w:space="0" w:color="auto"/>
        <w:left w:val="none" w:sz="0" w:space="0" w:color="auto"/>
        <w:bottom w:val="none" w:sz="0" w:space="0" w:color="auto"/>
        <w:right w:val="none" w:sz="0" w:space="0" w:color="auto"/>
      </w:divBdr>
    </w:div>
    <w:div w:id="325598528">
      <w:bodyDiv w:val="1"/>
      <w:marLeft w:val="0"/>
      <w:marRight w:val="0"/>
      <w:marTop w:val="0"/>
      <w:marBottom w:val="0"/>
      <w:divBdr>
        <w:top w:val="none" w:sz="0" w:space="0" w:color="auto"/>
        <w:left w:val="none" w:sz="0" w:space="0" w:color="auto"/>
        <w:bottom w:val="none" w:sz="0" w:space="0" w:color="auto"/>
        <w:right w:val="none" w:sz="0" w:space="0" w:color="auto"/>
      </w:divBdr>
    </w:div>
    <w:div w:id="336427604">
      <w:bodyDiv w:val="1"/>
      <w:marLeft w:val="0"/>
      <w:marRight w:val="0"/>
      <w:marTop w:val="0"/>
      <w:marBottom w:val="0"/>
      <w:divBdr>
        <w:top w:val="none" w:sz="0" w:space="0" w:color="auto"/>
        <w:left w:val="none" w:sz="0" w:space="0" w:color="auto"/>
        <w:bottom w:val="none" w:sz="0" w:space="0" w:color="auto"/>
        <w:right w:val="none" w:sz="0" w:space="0" w:color="auto"/>
      </w:divBdr>
    </w:div>
    <w:div w:id="337319343">
      <w:bodyDiv w:val="1"/>
      <w:marLeft w:val="0"/>
      <w:marRight w:val="0"/>
      <w:marTop w:val="0"/>
      <w:marBottom w:val="0"/>
      <w:divBdr>
        <w:top w:val="none" w:sz="0" w:space="0" w:color="auto"/>
        <w:left w:val="none" w:sz="0" w:space="0" w:color="auto"/>
        <w:bottom w:val="none" w:sz="0" w:space="0" w:color="auto"/>
        <w:right w:val="none" w:sz="0" w:space="0" w:color="auto"/>
      </w:divBdr>
    </w:div>
    <w:div w:id="374893084">
      <w:bodyDiv w:val="1"/>
      <w:marLeft w:val="0"/>
      <w:marRight w:val="0"/>
      <w:marTop w:val="0"/>
      <w:marBottom w:val="0"/>
      <w:divBdr>
        <w:top w:val="none" w:sz="0" w:space="0" w:color="auto"/>
        <w:left w:val="none" w:sz="0" w:space="0" w:color="auto"/>
        <w:bottom w:val="none" w:sz="0" w:space="0" w:color="auto"/>
        <w:right w:val="none" w:sz="0" w:space="0" w:color="auto"/>
      </w:divBdr>
    </w:div>
    <w:div w:id="394357865">
      <w:bodyDiv w:val="1"/>
      <w:marLeft w:val="0"/>
      <w:marRight w:val="0"/>
      <w:marTop w:val="0"/>
      <w:marBottom w:val="0"/>
      <w:divBdr>
        <w:top w:val="none" w:sz="0" w:space="0" w:color="auto"/>
        <w:left w:val="none" w:sz="0" w:space="0" w:color="auto"/>
        <w:bottom w:val="none" w:sz="0" w:space="0" w:color="auto"/>
        <w:right w:val="none" w:sz="0" w:space="0" w:color="auto"/>
      </w:divBdr>
    </w:div>
    <w:div w:id="405689456">
      <w:bodyDiv w:val="1"/>
      <w:marLeft w:val="0"/>
      <w:marRight w:val="0"/>
      <w:marTop w:val="0"/>
      <w:marBottom w:val="0"/>
      <w:divBdr>
        <w:top w:val="none" w:sz="0" w:space="0" w:color="auto"/>
        <w:left w:val="none" w:sz="0" w:space="0" w:color="auto"/>
        <w:bottom w:val="none" w:sz="0" w:space="0" w:color="auto"/>
        <w:right w:val="none" w:sz="0" w:space="0" w:color="auto"/>
      </w:divBdr>
    </w:div>
    <w:div w:id="408768686">
      <w:bodyDiv w:val="1"/>
      <w:marLeft w:val="0"/>
      <w:marRight w:val="0"/>
      <w:marTop w:val="0"/>
      <w:marBottom w:val="0"/>
      <w:divBdr>
        <w:top w:val="none" w:sz="0" w:space="0" w:color="auto"/>
        <w:left w:val="none" w:sz="0" w:space="0" w:color="auto"/>
        <w:bottom w:val="none" w:sz="0" w:space="0" w:color="auto"/>
        <w:right w:val="none" w:sz="0" w:space="0" w:color="auto"/>
      </w:divBdr>
    </w:div>
    <w:div w:id="423110909">
      <w:bodyDiv w:val="1"/>
      <w:marLeft w:val="0"/>
      <w:marRight w:val="0"/>
      <w:marTop w:val="0"/>
      <w:marBottom w:val="0"/>
      <w:divBdr>
        <w:top w:val="none" w:sz="0" w:space="0" w:color="auto"/>
        <w:left w:val="none" w:sz="0" w:space="0" w:color="auto"/>
        <w:bottom w:val="none" w:sz="0" w:space="0" w:color="auto"/>
        <w:right w:val="none" w:sz="0" w:space="0" w:color="auto"/>
      </w:divBdr>
    </w:div>
    <w:div w:id="499009694">
      <w:bodyDiv w:val="1"/>
      <w:marLeft w:val="0"/>
      <w:marRight w:val="0"/>
      <w:marTop w:val="0"/>
      <w:marBottom w:val="0"/>
      <w:divBdr>
        <w:top w:val="none" w:sz="0" w:space="0" w:color="auto"/>
        <w:left w:val="none" w:sz="0" w:space="0" w:color="auto"/>
        <w:bottom w:val="none" w:sz="0" w:space="0" w:color="auto"/>
        <w:right w:val="none" w:sz="0" w:space="0" w:color="auto"/>
      </w:divBdr>
    </w:div>
    <w:div w:id="535852577">
      <w:bodyDiv w:val="1"/>
      <w:marLeft w:val="0"/>
      <w:marRight w:val="0"/>
      <w:marTop w:val="0"/>
      <w:marBottom w:val="0"/>
      <w:divBdr>
        <w:top w:val="none" w:sz="0" w:space="0" w:color="auto"/>
        <w:left w:val="none" w:sz="0" w:space="0" w:color="auto"/>
        <w:bottom w:val="none" w:sz="0" w:space="0" w:color="auto"/>
        <w:right w:val="none" w:sz="0" w:space="0" w:color="auto"/>
      </w:divBdr>
    </w:div>
    <w:div w:id="571425464">
      <w:bodyDiv w:val="1"/>
      <w:marLeft w:val="0"/>
      <w:marRight w:val="0"/>
      <w:marTop w:val="0"/>
      <w:marBottom w:val="0"/>
      <w:divBdr>
        <w:top w:val="none" w:sz="0" w:space="0" w:color="auto"/>
        <w:left w:val="none" w:sz="0" w:space="0" w:color="auto"/>
        <w:bottom w:val="none" w:sz="0" w:space="0" w:color="auto"/>
        <w:right w:val="none" w:sz="0" w:space="0" w:color="auto"/>
      </w:divBdr>
    </w:div>
    <w:div w:id="580145657">
      <w:bodyDiv w:val="1"/>
      <w:marLeft w:val="0"/>
      <w:marRight w:val="0"/>
      <w:marTop w:val="0"/>
      <w:marBottom w:val="0"/>
      <w:divBdr>
        <w:top w:val="none" w:sz="0" w:space="0" w:color="auto"/>
        <w:left w:val="none" w:sz="0" w:space="0" w:color="auto"/>
        <w:bottom w:val="none" w:sz="0" w:space="0" w:color="auto"/>
        <w:right w:val="none" w:sz="0" w:space="0" w:color="auto"/>
      </w:divBdr>
    </w:div>
    <w:div w:id="586352890">
      <w:bodyDiv w:val="1"/>
      <w:marLeft w:val="0"/>
      <w:marRight w:val="0"/>
      <w:marTop w:val="0"/>
      <w:marBottom w:val="0"/>
      <w:divBdr>
        <w:top w:val="none" w:sz="0" w:space="0" w:color="auto"/>
        <w:left w:val="none" w:sz="0" w:space="0" w:color="auto"/>
        <w:bottom w:val="none" w:sz="0" w:space="0" w:color="auto"/>
        <w:right w:val="none" w:sz="0" w:space="0" w:color="auto"/>
      </w:divBdr>
    </w:div>
    <w:div w:id="587156257">
      <w:bodyDiv w:val="1"/>
      <w:marLeft w:val="0"/>
      <w:marRight w:val="0"/>
      <w:marTop w:val="0"/>
      <w:marBottom w:val="0"/>
      <w:divBdr>
        <w:top w:val="none" w:sz="0" w:space="0" w:color="auto"/>
        <w:left w:val="none" w:sz="0" w:space="0" w:color="auto"/>
        <w:bottom w:val="none" w:sz="0" w:space="0" w:color="auto"/>
        <w:right w:val="none" w:sz="0" w:space="0" w:color="auto"/>
      </w:divBdr>
    </w:div>
    <w:div w:id="599411401">
      <w:bodyDiv w:val="1"/>
      <w:marLeft w:val="0"/>
      <w:marRight w:val="0"/>
      <w:marTop w:val="0"/>
      <w:marBottom w:val="0"/>
      <w:divBdr>
        <w:top w:val="none" w:sz="0" w:space="0" w:color="auto"/>
        <w:left w:val="none" w:sz="0" w:space="0" w:color="auto"/>
        <w:bottom w:val="none" w:sz="0" w:space="0" w:color="auto"/>
        <w:right w:val="none" w:sz="0" w:space="0" w:color="auto"/>
      </w:divBdr>
    </w:div>
    <w:div w:id="613754606">
      <w:bodyDiv w:val="1"/>
      <w:marLeft w:val="0"/>
      <w:marRight w:val="0"/>
      <w:marTop w:val="0"/>
      <w:marBottom w:val="0"/>
      <w:divBdr>
        <w:top w:val="none" w:sz="0" w:space="0" w:color="auto"/>
        <w:left w:val="none" w:sz="0" w:space="0" w:color="auto"/>
        <w:bottom w:val="none" w:sz="0" w:space="0" w:color="auto"/>
        <w:right w:val="none" w:sz="0" w:space="0" w:color="auto"/>
      </w:divBdr>
    </w:div>
    <w:div w:id="616957789">
      <w:bodyDiv w:val="1"/>
      <w:marLeft w:val="0"/>
      <w:marRight w:val="0"/>
      <w:marTop w:val="0"/>
      <w:marBottom w:val="0"/>
      <w:divBdr>
        <w:top w:val="none" w:sz="0" w:space="0" w:color="auto"/>
        <w:left w:val="none" w:sz="0" w:space="0" w:color="auto"/>
        <w:bottom w:val="none" w:sz="0" w:space="0" w:color="auto"/>
        <w:right w:val="none" w:sz="0" w:space="0" w:color="auto"/>
      </w:divBdr>
    </w:div>
    <w:div w:id="634260426">
      <w:bodyDiv w:val="1"/>
      <w:marLeft w:val="0"/>
      <w:marRight w:val="0"/>
      <w:marTop w:val="0"/>
      <w:marBottom w:val="0"/>
      <w:divBdr>
        <w:top w:val="none" w:sz="0" w:space="0" w:color="auto"/>
        <w:left w:val="none" w:sz="0" w:space="0" w:color="auto"/>
        <w:bottom w:val="none" w:sz="0" w:space="0" w:color="auto"/>
        <w:right w:val="none" w:sz="0" w:space="0" w:color="auto"/>
      </w:divBdr>
    </w:div>
    <w:div w:id="644579270">
      <w:bodyDiv w:val="1"/>
      <w:marLeft w:val="0"/>
      <w:marRight w:val="0"/>
      <w:marTop w:val="0"/>
      <w:marBottom w:val="0"/>
      <w:divBdr>
        <w:top w:val="none" w:sz="0" w:space="0" w:color="auto"/>
        <w:left w:val="none" w:sz="0" w:space="0" w:color="auto"/>
        <w:bottom w:val="none" w:sz="0" w:space="0" w:color="auto"/>
        <w:right w:val="none" w:sz="0" w:space="0" w:color="auto"/>
      </w:divBdr>
    </w:div>
    <w:div w:id="668097646">
      <w:bodyDiv w:val="1"/>
      <w:marLeft w:val="0"/>
      <w:marRight w:val="0"/>
      <w:marTop w:val="0"/>
      <w:marBottom w:val="0"/>
      <w:divBdr>
        <w:top w:val="none" w:sz="0" w:space="0" w:color="auto"/>
        <w:left w:val="none" w:sz="0" w:space="0" w:color="auto"/>
        <w:bottom w:val="none" w:sz="0" w:space="0" w:color="auto"/>
        <w:right w:val="none" w:sz="0" w:space="0" w:color="auto"/>
      </w:divBdr>
    </w:div>
    <w:div w:id="718015531">
      <w:bodyDiv w:val="1"/>
      <w:marLeft w:val="0"/>
      <w:marRight w:val="0"/>
      <w:marTop w:val="0"/>
      <w:marBottom w:val="0"/>
      <w:divBdr>
        <w:top w:val="none" w:sz="0" w:space="0" w:color="auto"/>
        <w:left w:val="none" w:sz="0" w:space="0" w:color="auto"/>
        <w:bottom w:val="none" w:sz="0" w:space="0" w:color="auto"/>
        <w:right w:val="none" w:sz="0" w:space="0" w:color="auto"/>
      </w:divBdr>
    </w:div>
    <w:div w:id="775952169">
      <w:bodyDiv w:val="1"/>
      <w:marLeft w:val="0"/>
      <w:marRight w:val="0"/>
      <w:marTop w:val="0"/>
      <w:marBottom w:val="0"/>
      <w:divBdr>
        <w:top w:val="none" w:sz="0" w:space="0" w:color="auto"/>
        <w:left w:val="none" w:sz="0" w:space="0" w:color="auto"/>
        <w:bottom w:val="none" w:sz="0" w:space="0" w:color="auto"/>
        <w:right w:val="none" w:sz="0" w:space="0" w:color="auto"/>
      </w:divBdr>
    </w:div>
    <w:div w:id="791896295">
      <w:bodyDiv w:val="1"/>
      <w:marLeft w:val="0"/>
      <w:marRight w:val="0"/>
      <w:marTop w:val="0"/>
      <w:marBottom w:val="0"/>
      <w:divBdr>
        <w:top w:val="none" w:sz="0" w:space="0" w:color="auto"/>
        <w:left w:val="none" w:sz="0" w:space="0" w:color="auto"/>
        <w:bottom w:val="none" w:sz="0" w:space="0" w:color="auto"/>
        <w:right w:val="none" w:sz="0" w:space="0" w:color="auto"/>
      </w:divBdr>
    </w:div>
    <w:div w:id="809052105">
      <w:bodyDiv w:val="1"/>
      <w:marLeft w:val="0"/>
      <w:marRight w:val="0"/>
      <w:marTop w:val="0"/>
      <w:marBottom w:val="0"/>
      <w:divBdr>
        <w:top w:val="none" w:sz="0" w:space="0" w:color="auto"/>
        <w:left w:val="none" w:sz="0" w:space="0" w:color="auto"/>
        <w:bottom w:val="none" w:sz="0" w:space="0" w:color="auto"/>
        <w:right w:val="none" w:sz="0" w:space="0" w:color="auto"/>
      </w:divBdr>
    </w:div>
    <w:div w:id="824516465">
      <w:bodyDiv w:val="1"/>
      <w:marLeft w:val="0"/>
      <w:marRight w:val="0"/>
      <w:marTop w:val="0"/>
      <w:marBottom w:val="0"/>
      <w:divBdr>
        <w:top w:val="none" w:sz="0" w:space="0" w:color="auto"/>
        <w:left w:val="none" w:sz="0" w:space="0" w:color="auto"/>
        <w:bottom w:val="none" w:sz="0" w:space="0" w:color="auto"/>
        <w:right w:val="none" w:sz="0" w:space="0" w:color="auto"/>
      </w:divBdr>
    </w:div>
    <w:div w:id="841243496">
      <w:bodyDiv w:val="1"/>
      <w:marLeft w:val="0"/>
      <w:marRight w:val="0"/>
      <w:marTop w:val="0"/>
      <w:marBottom w:val="0"/>
      <w:divBdr>
        <w:top w:val="none" w:sz="0" w:space="0" w:color="auto"/>
        <w:left w:val="none" w:sz="0" w:space="0" w:color="auto"/>
        <w:bottom w:val="none" w:sz="0" w:space="0" w:color="auto"/>
        <w:right w:val="none" w:sz="0" w:space="0" w:color="auto"/>
      </w:divBdr>
    </w:div>
    <w:div w:id="851069068">
      <w:bodyDiv w:val="1"/>
      <w:marLeft w:val="0"/>
      <w:marRight w:val="0"/>
      <w:marTop w:val="0"/>
      <w:marBottom w:val="0"/>
      <w:divBdr>
        <w:top w:val="none" w:sz="0" w:space="0" w:color="auto"/>
        <w:left w:val="none" w:sz="0" w:space="0" w:color="auto"/>
        <w:bottom w:val="none" w:sz="0" w:space="0" w:color="auto"/>
        <w:right w:val="none" w:sz="0" w:space="0" w:color="auto"/>
      </w:divBdr>
    </w:div>
    <w:div w:id="859393698">
      <w:bodyDiv w:val="1"/>
      <w:marLeft w:val="0"/>
      <w:marRight w:val="0"/>
      <w:marTop w:val="0"/>
      <w:marBottom w:val="0"/>
      <w:divBdr>
        <w:top w:val="none" w:sz="0" w:space="0" w:color="auto"/>
        <w:left w:val="none" w:sz="0" w:space="0" w:color="auto"/>
        <w:bottom w:val="none" w:sz="0" w:space="0" w:color="auto"/>
        <w:right w:val="none" w:sz="0" w:space="0" w:color="auto"/>
      </w:divBdr>
    </w:div>
    <w:div w:id="864244543">
      <w:bodyDiv w:val="1"/>
      <w:marLeft w:val="0"/>
      <w:marRight w:val="0"/>
      <w:marTop w:val="0"/>
      <w:marBottom w:val="0"/>
      <w:divBdr>
        <w:top w:val="none" w:sz="0" w:space="0" w:color="auto"/>
        <w:left w:val="none" w:sz="0" w:space="0" w:color="auto"/>
        <w:bottom w:val="none" w:sz="0" w:space="0" w:color="auto"/>
        <w:right w:val="none" w:sz="0" w:space="0" w:color="auto"/>
      </w:divBdr>
    </w:div>
    <w:div w:id="870459819">
      <w:bodyDiv w:val="1"/>
      <w:marLeft w:val="0"/>
      <w:marRight w:val="0"/>
      <w:marTop w:val="0"/>
      <w:marBottom w:val="0"/>
      <w:divBdr>
        <w:top w:val="none" w:sz="0" w:space="0" w:color="auto"/>
        <w:left w:val="none" w:sz="0" w:space="0" w:color="auto"/>
        <w:bottom w:val="none" w:sz="0" w:space="0" w:color="auto"/>
        <w:right w:val="none" w:sz="0" w:space="0" w:color="auto"/>
      </w:divBdr>
    </w:div>
    <w:div w:id="888029709">
      <w:bodyDiv w:val="1"/>
      <w:marLeft w:val="0"/>
      <w:marRight w:val="0"/>
      <w:marTop w:val="0"/>
      <w:marBottom w:val="0"/>
      <w:divBdr>
        <w:top w:val="none" w:sz="0" w:space="0" w:color="auto"/>
        <w:left w:val="none" w:sz="0" w:space="0" w:color="auto"/>
        <w:bottom w:val="none" w:sz="0" w:space="0" w:color="auto"/>
        <w:right w:val="none" w:sz="0" w:space="0" w:color="auto"/>
      </w:divBdr>
    </w:div>
    <w:div w:id="906568910">
      <w:bodyDiv w:val="1"/>
      <w:marLeft w:val="0"/>
      <w:marRight w:val="0"/>
      <w:marTop w:val="0"/>
      <w:marBottom w:val="0"/>
      <w:divBdr>
        <w:top w:val="none" w:sz="0" w:space="0" w:color="auto"/>
        <w:left w:val="none" w:sz="0" w:space="0" w:color="auto"/>
        <w:bottom w:val="none" w:sz="0" w:space="0" w:color="auto"/>
        <w:right w:val="none" w:sz="0" w:space="0" w:color="auto"/>
      </w:divBdr>
    </w:div>
    <w:div w:id="910850842">
      <w:bodyDiv w:val="1"/>
      <w:marLeft w:val="0"/>
      <w:marRight w:val="0"/>
      <w:marTop w:val="0"/>
      <w:marBottom w:val="0"/>
      <w:divBdr>
        <w:top w:val="none" w:sz="0" w:space="0" w:color="auto"/>
        <w:left w:val="none" w:sz="0" w:space="0" w:color="auto"/>
        <w:bottom w:val="none" w:sz="0" w:space="0" w:color="auto"/>
        <w:right w:val="none" w:sz="0" w:space="0" w:color="auto"/>
      </w:divBdr>
    </w:div>
    <w:div w:id="949509644">
      <w:bodyDiv w:val="1"/>
      <w:marLeft w:val="0"/>
      <w:marRight w:val="0"/>
      <w:marTop w:val="0"/>
      <w:marBottom w:val="0"/>
      <w:divBdr>
        <w:top w:val="none" w:sz="0" w:space="0" w:color="auto"/>
        <w:left w:val="none" w:sz="0" w:space="0" w:color="auto"/>
        <w:bottom w:val="none" w:sz="0" w:space="0" w:color="auto"/>
        <w:right w:val="none" w:sz="0" w:space="0" w:color="auto"/>
      </w:divBdr>
    </w:div>
    <w:div w:id="963853830">
      <w:bodyDiv w:val="1"/>
      <w:marLeft w:val="0"/>
      <w:marRight w:val="0"/>
      <w:marTop w:val="0"/>
      <w:marBottom w:val="0"/>
      <w:divBdr>
        <w:top w:val="none" w:sz="0" w:space="0" w:color="auto"/>
        <w:left w:val="none" w:sz="0" w:space="0" w:color="auto"/>
        <w:bottom w:val="none" w:sz="0" w:space="0" w:color="auto"/>
        <w:right w:val="none" w:sz="0" w:space="0" w:color="auto"/>
      </w:divBdr>
    </w:div>
    <w:div w:id="968979096">
      <w:bodyDiv w:val="1"/>
      <w:marLeft w:val="0"/>
      <w:marRight w:val="0"/>
      <w:marTop w:val="0"/>
      <w:marBottom w:val="0"/>
      <w:divBdr>
        <w:top w:val="none" w:sz="0" w:space="0" w:color="auto"/>
        <w:left w:val="none" w:sz="0" w:space="0" w:color="auto"/>
        <w:bottom w:val="none" w:sz="0" w:space="0" w:color="auto"/>
        <w:right w:val="none" w:sz="0" w:space="0" w:color="auto"/>
      </w:divBdr>
    </w:div>
    <w:div w:id="976688278">
      <w:bodyDiv w:val="1"/>
      <w:marLeft w:val="0"/>
      <w:marRight w:val="0"/>
      <w:marTop w:val="0"/>
      <w:marBottom w:val="0"/>
      <w:divBdr>
        <w:top w:val="none" w:sz="0" w:space="0" w:color="auto"/>
        <w:left w:val="none" w:sz="0" w:space="0" w:color="auto"/>
        <w:bottom w:val="none" w:sz="0" w:space="0" w:color="auto"/>
        <w:right w:val="none" w:sz="0" w:space="0" w:color="auto"/>
      </w:divBdr>
    </w:div>
    <w:div w:id="979112355">
      <w:bodyDiv w:val="1"/>
      <w:marLeft w:val="0"/>
      <w:marRight w:val="0"/>
      <w:marTop w:val="0"/>
      <w:marBottom w:val="0"/>
      <w:divBdr>
        <w:top w:val="none" w:sz="0" w:space="0" w:color="auto"/>
        <w:left w:val="none" w:sz="0" w:space="0" w:color="auto"/>
        <w:bottom w:val="none" w:sz="0" w:space="0" w:color="auto"/>
        <w:right w:val="none" w:sz="0" w:space="0" w:color="auto"/>
      </w:divBdr>
    </w:div>
    <w:div w:id="996153133">
      <w:bodyDiv w:val="1"/>
      <w:marLeft w:val="0"/>
      <w:marRight w:val="0"/>
      <w:marTop w:val="0"/>
      <w:marBottom w:val="0"/>
      <w:divBdr>
        <w:top w:val="none" w:sz="0" w:space="0" w:color="auto"/>
        <w:left w:val="none" w:sz="0" w:space="0" w:color="auto"/>
        <w:bottom w:val="none" w:sz="0" w:space="0" w:color="auto"/>
        <w:right w:val="none" w:sz="0" w:space="0" w:color="auto"/>
      </w:divBdr>
    </w:div>
    <w:div w:id="1031105486">
      <w:bodyDiv w:val="1"/>
      <w:marLeft w:val="0"/>
      <w:marRight w:val="0"/>
      <w:marTop w:val="0"/>
      <w:marBottom w:val="0"/>
      <w:divBdr>
        <w:top w:val="none" w:sz="0" w:space="0" w:color="auto"/>
        <w:left w:val="none" w:sz="0" w:space="0" w:color="auto"/>
        <w:bottom w:val="none" w:sz="0" w:space="0" w:color="auto"/>
        <w:right w:val="none" w:sz="0" w:space="0" w:color="auto"/>
      </w:divBdr>
    </w:div>
    <w:div w:id="1033964558">
      <w:bodyDiv w:val="1"/>
      <w:marLeft w:val="0"/>
      <w:marRight w:val="0"/>
      <w:marTop w:val="0"/>
      <w:marBottom w:val="0"/>
      <w:divBdr>
        <w:top w:val="none" w:sz="0" w:space="0" w:color="auto"/>
        <w:left w:val="none" w:sz="0" w:space="0" w:color="auto"/>
        <w:bottom w:val="none" w:sz="0" w:space="0" w:color="auto"/>
        <w:right w:val="none" w:sz="0" w:space="0" w:color="auto"/>
      </w:divBdr>
    </w:div>
    <w:div w:id="1103960369">
      <w:bodyDiv w:val="1"/>
      <w:marLeft w:val="0"/>
      <w:marRight w:val="0"/>
      <w:marTop w:val="0"/>
      <w:marBottom w:val="0"/>
      <w:divBdr>
        <w:top w:val="none" w:sz="0" w:space="0" w:color="auto"/>
        <w:left w:val="none" w:sz="0" w:space="0" w:color="auto"/>
        <w:bottom w:val="none" w:sz="0" w:space="0" w:color="auto"/>
        <w:right w:val="none" w:sz="0" w:space="0" w:color="auto"/>
      </w:divBdr>
    </w:div>
    <w:div w:id="1123500533">
      <w:bodyDiv w:val="1"/>
      <w:marLeft w:val="0"/>
      <w:marRight w:val="0"/>
      <w:marTop w:val="0"/>
      <w:marBottom w:val="0"/>
      <w:divBdr>
        <w:top w:val="none" w:sz="0" w:space="0" w:color="auto"/>
        <w:left w:val="none" w:sz="0" w:space="0" w:color="auto"/>
        <w:bottom w:val="none" w:sz="0" w:space="0" w:color="auto"/>
        <w:right w:val="none" w:sz="0" w:space="0" w:color="auto"/>
      </w:divBdr>
    </w:div>
    <w:div w:id="1157723573">
      <w:bodyDiv w:val="1"/>
      <w:marLeft w:val="0"/>
      <w:marRight w:val="0"/>
      <w:marTop w:val="0"/>
      <w:marBottom w:val="0"/>
      <w:divBdr>
        <w:top w:val="none" w:sz="0" w:space="0" w:color="auto"/>
        <w:left w:val="none" w:sz="0" w:space="0" w:color="auto"/>
        <w:bottom w:val="none" w:sz="0" w:space="0" w:color="auto"/>
        <w:right w:val="none" w:sz="0" w:space="0" w:color="auto"/>
      </w:divBdr>
    </w:div>
    <w:div w:id="1184443914">
      <w:bodyDiv w:val="1"/>
      <w:marLeft w:val="0"/>
      <w:marRight w:val="0"/>
      <w:marTop w:val="0"/>
      <w:marBottom w:val="0"/>
      <w:divBdr>
        <w:top w:val="none" w:sz="0" w:space="0" w:color="auto"/>
        <w:left w:val="none" w:sz="0" w:space="0" w:color="auto"/>
        <w:bottom w:val="none" w:sz="0" w:space="0" w:color="auto"/>
        <w:right w:val="none" w:sz="0" w:space="0" w:color="auto"/>
      </w:divBdr>
    </w:div>
    <w:div w:id="1201632033">
      <w:bodyDiv w:val="1"/>
      <w:marLeft w:val="0"/>
      <w:marRight w:val="0"/>
      <w:marTop w:val="0"/>
      <w:marBottom w:val="0"/>
      <w:divBdr>
        <w:top w:val="none" w:sz="0" w:space="0" w:color="auto"/>
        <w:left w:val="none" w:sz="0" w:space="0" w:color="auto"/>
        <w:bottom w:val="none" w:sz="0" w:space="0" w:color="auto"/>
        <w:right w:val="none" w:sz="0" w:space="0" w:color="auto"/>
      </w:divBdr>
    </w:div>
    <w:div w:id="1214348234">
      <w:bodyDiv w:val="1"/>
      <w:marLeft w:val="0"/>
      <w:marRight w:val="0"/>
      <w:marTop w:val="0"/>
      <w:marBottom w:val="0"/>
      <w:divBdr>
        <w:top w:val="none" w:sz="0" w:space="0" w:color="auto"/>
        <w:left w:val="none" w:sz="0" w:space="0" w:color="auto"/>
        <w:bottom w:val="none" w:sz="0" w:space="0" w:color="auto"/>
        <w:right w:val="none" w:sz="0" w:space="0" w:color="auto"/>
      </w:divBdr>
    </w:div>
    <w:div w:id="1232080214">
      <w:bodyDiv w:val="1"/>
      <w:marLeft w:val="0"/>
      <w:marRight w:val="0"/>
      <w:marTop w:val="0"/>
      <w:marBottom w:val="0"/>
      <w:divBdr>
        <w:top w:val="none" w:sz="0" w:space="0" w:color="auto"/>
        <w:left w:val="none" w:sz="0" w:space="0" w:color="auto"/>
        <w:bottom w:val="none" w:sz="0" w:space="0" w:color="auto"/>
        <w:right w:val="none" w:sz="0" w:space="0" w:color="auto"/>
      </w:divBdr>
    </w:div>
    <w:div w:id="1243293475">
      <w:bodyDiv w:val="1"/>
      <w:marLeft w:val="0"/>
      <w:marRight w:val="0"/>
      <w:marTop w:val="0"/>
      <w:marBottom w:val="0"/>
      <w:divBdr>
        <w:top w:val="none" w:sz="0" w:space="0" w:color="auto"/>
        <w:left w:val="none" w:sz="0" w:space="0" w:color="auto"/>
        <w:bottom w:val="none" w:sz="0" w:space="0" w:color="auto"/>
        <w:right w:val="none" w:sz="0" w:space="0" w:color="auto"/>
      </w:divBdr>
    </w:div>
    <w:div w:id="1249970136">
      <w:bodyDiv w:val="1"/>
      <w:marLeft w:val="0"/>
      <w:marRight w:val="0"/>
      <w:marTop w:val="0"/>
      <w:marBottom w:val="0"/>
      <w:divBdr>
        <w:top w:val="none" w:sz="0" w:space="0" w:color="auto"/>
        <w:left w:val="none" w:sz="0" w:space="0" w:color="auto"/>
        <w:bottom w:val="none" w:sz="0" w:space="0" w:color="auto"/>
        <w:right w:val="none" w:sz="0" w:space="0" w:color="auto"/>
      </w:divBdr>
    </w:div>
    <w:div w:id="1254781539">
      <w:bodyDiv w:val="1"/>
      <w:marLeft w:val="0"/>
      <w:marRight w:val="0"/>
      <w:marTop w:val="0"/>
      <w:marBottom w:val="0"/>
      <w:divBdr>
        <w:top w:val="none" w:sz="0" w:space="0" w:color="auto"/>
        <w:left w:val="none" w:sz="0" w:space="0" w:color="auto"/>
        <w:bottom w:val="none" w:sz="0" w:space="0" w:color="auto"/>
        <w:right w:val="none" w:sz="0" w:space="0" w:color="auto"/>
      </w:divBdr>
    </w:div>
    <w:div w:id="1282810459">
      <w:bodyDiv w:val="1"/>
      <w:marLeft w:val="0"/>
      <w:marRight w:val="0"/>
      <w:marTop w:val="0"/>
      <w:marBottom w:val="0"/>
      <w:divBdr>
        <w:top w:val="none" w:sz="0" w:space="0" w:color="auto"/>
        <w:left w:val="none" w:sz="0" w:space="0" w:color="auto"/>
        <w:bottom w:val="none" w:sz="0" w:space="0" w:color="auto"/>
        <w:right w:val="none" w:sz="0" w:space="0" w:color="auto"/>
      </w:divBdr>
    </w:div>
    <w:div w:id="1300647881">
      <w:bodyDiv w:val="1"/>
      <w:marLeft w:val="0"/>
      <w:marRight w:val="0"/>
      <w:marTop w:val="0"/>
      <w:marBottom w:val="0"/>
      <w:divBdr>
        <w:top w:val="none" w:sz="0" w:space="0" w:color="auto"/>
        <w:left w:val="none" w:sz="0" w:space="0" w:color="auto"/>
        <w:bottom w:val="none" w:sz="0" w:space="0" w:color="auto"/>
        <w:right w:val="none" w:sz="0" w:space="0" w:color="auto"/>
      </w:divBdr>
    </w:div>
    <w:div w:id="1310130785">
      <w:bodyDiv w:val="1"/>
      <w:marLeft w:val="0"/>
      <w:marRight w:val="0"/>
      <w:marTop w:val="0"/>
      <w:marBottom w:val="0"/>
      <w:divBdr>
        <w:top w:val="none" w:sz="0" w:space="0" w:color="auto"/>
        <w:left w:val="none" w:sz="0" w:space="0" w:color="auto"/>
        <w:bottom w:val="none" w:sz="0" w:space="0" w:color="auto"/>
        <w:right w:val="none" w:sz="0" w:space="0" w:color="auto"/>
      </w:divBdr>
    </w:div>
    <w:div w:id="1324310026">
      <w:bodyDiv w:val="1"/>
      <w:marLeft w:val="0"/>
      <w:marRight w:val="0"/>
      <w:marTop w:val="0"/>
      <w:marBottom w:val="0"/>
      <w:divBdr>
        <w:top w:val="none" w:sz="0" w:space="0" w:color="auto"/>
        <w:left w:val="none" w:sz="0" w:space="0" w:color="auto"/>
        <w:bottom w:val="none" w:sz="0" w:space="0" w:color="auto"/>
        <w:right w:val="none" w:sz="0" w:space="0" w:color="auto"/>
      </w:divBdr>
    </w:div>
    <w:div w:id="1326788593">
      <w:bodyDiv w:val="1"/>
      <w:marLeft w:val="0"/>
      <w:marRight w:val="0"/>
      <w:marTop w:val="0"/>
      <w:marBottom w:val="0"/>
      <w:divBdr>
        <w:top w:val="none" w:sz="0" w:space="0" w:color="auto"/>
        <w:left w:val="none" w:sz="0" w:space="0" w:color="auto"/>
        <w:bottom w:val="none" w:sz="0" w:space="0" w:color="auto"/>
        <w:right w:val="none" w:sz="0" w:space="0" w:color="auto"/>
      </w:divBdr>
    </w:div>
    <w:div w:id="1364089740">
      <w:bodyDiv w:val="1"/>
      <w:marLeft w:val="0"/>
      <w:marRight w:val="0"/>
      <w:marTop w:val="0"/>
      <w:marBottom w:val="0"/>
      <w:divBdr>
        <w:top w:val="none" w:sz="0" w:space="0" w:color="auto"/>
        <w:left w:val="none" w:sz="0" w:space="0" w:color="auto"/>
        <w:bottom w:val="none" w:sz="0" w:space="0" w:color="auto"/>
        <w:right w:val="none" w:sz="0" w:space="0" w:color="auto"/>
      </w:divBdr>
    </w:div>
    <w:div w:id="1366371385">
      <w:bodyDiv w:val="1"/>
      <w:marLeft w:val="0"/>
      <w:marRight w:val="0"/>
      <w:marTop w:val="0"/>
      <w:marBottom w:val="0"/>
      <w:divBdr>
        <w:top w:val="none" w:sz="0" w:space="0" w:color="auto"/>
        <w:left w:val="none" w:sz="0" w:space="0" w:color="auto"/>
        <w:bottom w:val="none" w:sz="0" w:space="0" w:color="auto"/>
        <w:right w:val="none" w:sz="0" w:space="0" w:color="auto"/>
      </w:divBdr>
    </w:div>
    <w:div w:id="1375232149">
      <w:bodyDiv w:val="1"/>
      <w:marLeft w:val="0"/>
      <w:marRight w:val="0"/>
      <w:marTop w:val="0"/>
      <w:marBottom w:val="0"/>
      <w:divBdr>
        <w:top w:val="none" w:sz="0" w:space="0" w:color="auto"/>
        <w:left w:val="none" w:sz="0" w:space="0" w:color="auto"/>
        <w:bottom w:val="none" w:sz="0" w:space="0" w:color="auto"/>
        <w:right w:val="none" w:sz="0" w:space="0" w:color="auto"/>
      </w:divBdr>
    </w:div>
    <w:div w:id="1376352996">
      <w:bodyDiv w:val="1"/>
      <w:marLeft w:val="0"/>
      <w:marRight w:val="0"/>
      <w:marTop w:val="0"/>
      <w:marBottom w:val="0"/>
      <w:divBdr>
        <w:top w:val="none" w:sz="0" w:space="0" w:color="auto"/>
        <w:left w:val="none" w:sz="0" w:space="0" w:color="auto"/>
        <w:bottom w:val="none" w:sz="0" w:space="0" w:color="auto"/>
        <w:right w:val="none" w:sz="0" w:space="0" w:color="auto"/>
      </w:divBdr>
    </w:div>
    <w:div w:id="1404185013">
      <w:bodyDiv w:val="1"/>
      <w:marLeft w:val="0"/>
      <w:marRight w:val="0"/>
      <w:marTop w:val="0"/>
      <w:marBottom w:val="0"/>
      <w:divBdr>
        <w:top w:val="none" w:sz="0" w:space="0" w:color="auto"/>
        <w:left w:val="none" w:sz="0" w:space="0" w:color="auto"/>
        <w:bottom w:val="none" w:sz="0" w:space="0" w:color="auto"/>
        <w:right w:val="none" w:sz="0" w:space="0" w:color="auto"/>
      </w:divBdr>
    </w:div>
    <w:div w:id="1409889250">
      <w:bodyDiv w:val="1"/>
      <w:marLeft w:val="0"/>
      <w:marRight w:val="0"/>
      <w:marTop w:val="0"/>
      <w:marBottom w:val="0"/>
      <w:divBdr>
        <w:top w:val="none" w:sz="0" w:space="0" w:color="auto"/>
        <w:left w:val="none" w:sz="0" w:space="0" w:color="auto"/>
        <w:bottom w:val="none" w:sz="0" w:space="0" w:color="auto"/>
        <w:right w:val="none" w:sz="0" w:space="0" w:color="auto"/>
      </w:divBdr>
    </w:div>
    <w:div w:id="1442140073">
      <w:bodyDiv w:val="1"/>
      <w:marLeft w:val="0"/>
      <w:marRight w:val="0"/>
      <w:marTop w:val="0"/>
      <w:marBottom w:val="0"/>
      <w:divBdr>
        <w:top w:val="none" w:sz="0" w:space="0" w:color="auto"/>
        <w:left w:val="none" w:sz="0" w:space="0" w:color="auto"/>
        <w:bottom w:val="none" w:sz="0" w:space="0" w:color="auto"/>
        <w:right w:val="none" w:sz="0" w:space="0" w:color="auto"/>
      </w:divBdr>
    </w:div>
    <w:div w:id="1443987263">
      <w:bodyDiv w:val="1"/>
      <w:marLeft w:val="0"/>
      <w:marRight w:val="0"/>
      <w:marTop w:val="0"/>
      <w:marBottom w:val="0"/>
      <w:divBdr>
        <w:top w:val="none" w:sz="0" w:space="0" w:color="auto"/>
        <w:left w:val="none" w:sz="0" w:space="0" w:color="auto"/>
        <w:bottom w:val="none" w:sz="0" w:space="0" w:color="auto"/>
        <w:right w:val="none" w:sz="0" w:space="0" w:color="auto"/>
      </w:divBdr>
    </w:div>
    <w:div w:id="1463578124">
      <w:bodyDiv w:val="1"/>
      <w:marLeft w:val="0"/>
      <w:marRight w:val="0"/>
      <w:marTop w:val="0"/>
      <w:marBottom w:val="0"/>
      <w:divBdr>
        <w:top w:val="none" w:sz="0" w:space="0" w:color="auto"/>
        <w:left w:val="none" w:sz="0" w:space="0" w:color="auto"/>
        <w:bottom w:val="none" w:sz="0" w:space="0" w:color="auto"/>
        <w:right w:val="none" w:sz="0" w:space="0" w:color="auto"/>
      </w:divBdr>
    </w:div>
    <w:div w:id="1478761953">
      <w:bodyDiv w:val="1"/>
      <w:marLeft w:val="0"/>
      <w:marRight w:val="0"/>
      <w:marTop w:val="0"/>
      <w:marBottom w:val="0"/>
      <w:divBdr>
        <w:top w:val="none" w:sz="0" w:space="0" w:color="auto"/>
        <w:left w:val="none" w:sz="0" w:space="0" w:color="auto"/>
        <w:bottom w:val="none" w:sz="0" w:space="0" w:color="auto"/>
        <w:right w:val="none" w:sz="0" w:space="0" w:color="auto"/>
      </w:divBdr>
    </w:div>
    <w:div w:id="1494488767">
      <w:bodyDiv w:val="1"/>
      <w:marLeft w:val="0"/>
      <w:marRight w:val="0"/>
      <w:marTop w:val="0"/>
      <w:marBottom w:val="0"/>
      <w:divBdr>
        <w:top w:val="none" w:sz="0" w:space="0" w:color="auto"/>
        <w:left w:val="none" w:sz="0" w:space="0" w:color="auto"/>
        <w:bottom w:val="none" w:sz="0" w:space="0" w:color="auto"/>
        <w:right w:val="none" w:sz="0" w:space="0" w:color="auto"/>
      </w:divBdr>
    </w:div>
    <w:div w:id="1495149694">
      <w:bodyDiv w:val="1"/>
      <w:marLeft w:val="0"/>
      <w:marRight w:val="0"/>
      <w:marTop w:val="0"/>
      <w:marBottom w:val="0"/>
      <w:divBdr>
        <w:top w:val="none" w:sz="0" w:space="0" w:color="auto"/>
        <w:left w:val="none" w:sz="0" w:space="0" w:color="auto"/>
        <w:bottom w:val="none" w:sz="0" w:space="0" w:color="auto"/>
        <w:right w:val="none" w:sz="0" w:space="0" w:color="auto"/>
      </w:divBdr>
    </w:div>
    <w:div w:id="1496649956">
      <w:bodyDiv w:val="1"/>
      <w:marLeft w:val="0"/>
      <w:marRight w:val="0"/>
      <w:marTop w:val="0"/>
      <w:marBottom w:val="0"/>
      <w:divBdr>
        <w:top w:val="none" w:sz="0" w:space="0" w:color="auto"/>
        <w:left w:val="none" w:sz="0" w:space="0" w:color="auto"/>
        <w:bottom w:val="none" w:sz="0" w:space="0" w:color="auto"/>
        <w:right w:val="none" w:sz="0" w:space="0" w:color="auto"/>
      </w:divBdr>
    </w:div>
    <w:div w:id="1498039562">
      <w:bodyDiv w:val="1"/>
      <w:marLeft w:val="0"/>
      <w:marRight w:val="0"/>
      <w:marTop w:val="0"/>
      <w:marBottom w:val="0"/>
      <w:divBdr>
        <w:top w:val="none" w:sz="0" w:space="0" w:color="auto"/>
        <w:left w:val="none" w:sz="0" w:space="0" w:color="auto"/>
        <w:bottom w:val="none" w:sz="0" w:space="0" w:color="auto"/>
        <w:right w:val="none" w:sz="0" w:space="0" w:color="auto"/>
      </w:divBdr>
    </w:div>
    <w:div w:id="1511019149">
      <w:bodyDiv w:val="1"/>
      <w:marLeft w:val="0"/>
      <w:marRight w:val="0"/>
      <w:marTop w:val="0"/>
      <w:marBottom w:val="0"/>
      <w:divBdr>
        <w:top w:val="none" w:sz="0" w:space="0" w:color="auto"/>
        <w:left w:val="none" w:sz="0" w:space="0" w:color="auto"/>
        <w:bottom w:val="none" w:sz="0" w:space="0" w:color="auto"/>
        <w:right w:val="none" w:sz="0" w:space="0" w:color="auto"/>
      </w:divBdr>
    </w:div>
    <w:div w:id="1520510289">
      <w:bodyDiv w:val="1"/>
      <w:marLeft w:val="0"/>
      <w:marRight w:val="0"/>
      <w:marTop w:val="0"/>
      <w:marBottom w:val="0"/>
      <w:divBdr>
        <w:top w:val="none" w:sz="0" w:space="0" w:color="auto"/>
        <w:left w:val="none" w:sz="0" w:space="0" w:color="auto"/>
        <w:bottom w:val="none" w:sz="0" w:space="0" w:color="auto"/>
        <w:right w:val="none" w:sz="0" w:space="0" w:color="auto"/>
      </w:divBdr>
    </w:div>
    <w:div w:id="1548446096">
      <w:bodyDiv w:val="1"/>
      <w:marLeft w:val="0"/>
      <w:marRight w:val="0"/>
      <w:marTop w:val="0"/>
      <w:marBottom w:val="0"/>
      <w:divBdr>
        <w:top w:val="none" w:sz="0" w:space="0" w:color="auto"/>
        <w:left w:val="none" w:sz="0" w:space="0" w:color="auto"/>
        <w:bottom w:val="none" w:sz="0" w:space="0" w:color="auto"/>
        <w:right w:val="none" w:sz="0" w:space="0" w:color="auto"/>
      </w:divBdr>
    </w:div>
    <w:div w:id="1559854873">
      <w:bodyDiv w:val="1"/>
      <w:marLeft w:val="0"/>
      <w:marRight w:val="0"/>
      <w:marTop w:val="0"/>
      <w:marBottom w:val="0"/>
      <w:divBdr>
        <w:top w:val="none" w:sz="0" w:space="0" w:color="auto"/>
        <w:left w:val="none" w:sz="0" w:space="0" w:color="auto"/>
        <w:bottom w:val="none" w:sz="0" w:space="0" w:color="auto"/>
        <w:right w:val="none" w:sz="0" w:space="0" w:color="auto"/>
      </w:divBdr>
    </w:div>
    <w:div w:id="1559973402">
      <w:bodyDiv w:val="1"/>
      <w:marLeft w:val="0"/>
      <w:marRight w:val="0"/>
      <w:marTop w:val="0"/>
      <w:marBottom w:val="0"/>
      <w:divBdr>
        <w:top w:val="none" w:sz="0" w:space="0" w:color="auto"/>
        <w:left w:val="none" w:sz="0" w:space="0" w:color="auto"/>
        <w:bottom w:val="none" w:sz="0" w:space="0" w:color="auto"/>
        <w:right w:val="none" w:sz="0" w:space="0" w:color="auto"/>
      </w:divBdr>
    </w:div>
    <w:div w:id="1575234575">
      <w:bodyDiv w:val="1"/>
      <w:marLeft w:val="0"/>
      <w:marRight w:val="0"/>
      <w:marTop w:val="0"/>
      <w:marBottom w:val="0"/>
      <w:divBdr>
        <w:top w:val="none" w:sz="0" w:space="0" w:color="auto"/>
        <w:left w:val="none" w:sz="0" w:space="0" w:color="auto"/>
        <w:bottom w:val="none" w:sz="0" w:space="0" w:color="auto"/>
        <w:right w:val="none" w:sz="0" w:space="0" w:color="auto"/>
      </w:divBdr>
    </w:div>
    <w:div w:id="1579436567">
      <w:bodyDiv w:val="1"/>
      <w:marLeft w:val="0"/>
      <w:marRight w:val="0"/>
      <w:marTop w:val="0"/>
      <w:marBottom w:val="0"/>
      <w:divBdr>
        <w:top w:val="none" w:sz="0" w:space="0" w:color="auto"/>
        <w:left w:val="none" w:sz="0" w:space="0" w:color="auto"/>
        <w:bottom w:val="none" w:sz="0" w:space="0" w:color="auto"/>
        <w:right w:val="none" w:sz="0" w:space="0" w:color="auto"/>
      </w:divBdr>
    </w:div>
    <w:div w:id="1635330404">
      <w:bodyDiv w:val="1"/>
      <w:marLeft w:val="0"/>
      <w:marRight w:val="0"/>
      <w:marTop w:val="0"/>
      <w:marBottom w:val="0"/>
      <w:divBdr>
        <w:top w:val="none" w:sz="0" w:space="0" w:color="auto"/>
        <w:left w:val="none" w:sz="0" w:space="0" w:color="auto"/>
        <w:bottom w:val="none" w:sz="0" w:space="0" w:color="auto"/>
        <w:right w:val="none" w:sz="0" w:space="0" w:color="auto"/>
      </w:divBdr>
    </w:div>
    <w:div w:id="1635405149">
      <w:bodyDiv w:val="1"/>
      <w:marLeft w:val="0"/>
      <w:marRight w:val="0"/>
      <w:marTop w:val="0"/>
      <w:marBottom w:val="0"/>
      <w:divBdr>
        <w:top w:val="none" w:sz="0" w:space="0" w:color="auto"/>
        <w:left w:val="none" w:sz="0" w:space="0" w:color="auto"/>
        <w:bottom w:val="none" w:sz="0" w:space="0" w:color="auto"/>
        <w:right w:val="none" w:sz="0" w:space="0" w:color="auto"/>
      </w:divBdr>
    </w:div>
    <w:div w:id="1664553943">
      <w:bodyDiv w:val="1"/>
      <w:marLeft w:val="0"/>
      <w:marRight w:val="0"/>
      <w:marTop w:val="0"/>
      <w:marBottom w:val="0"/>
      <w:divBdr>
        <w:top w:val="none" w:sz="0" w:space="0" w:color="auto"/>
        <w:left w:val="none" w:sz="0" w:space="0" w:color="auto"/>
        <w:bottom w:val="none" w:sz="0" w:space="0" w:color="auto"/>
        <w:right w:val="none" w:sz="0" w:space="0" w:color="auto"/>
      </w:divBdr>
    </w:div>
    <w:div w:id="1694723100">
      <w:bodyDiv w:val="1"/>
      <w:marLeft w:val="0"/>
      <w:marRight w:val="0"/>
      <w:marTop w:val="0"/>
      <w:marBottom w:val="0"/>
      <w:divBdr>
        <w:top w:val="none" w:sz="0" w:space="0" w:color="auto"/>
        <w:left w:val="none" w:sz="0" w:space="0" w:color="auto"/>
        <w:bottom w:val="none" w:sz="0" w:space="0" w:color="auto"/>
        <w:right w:val="none" w:sz="0" w:space="0" w:color="auto"/>
      </w:divBdr>
    </w:div>
    <w:div w:id="1703361606">
      <w:bodyDiv w:val="1"/>
      <w:marLeft w:val="0"/>
      <w:marRight w:val="0"/>
      <w:marTop w:val="0"/>
      <w:marBottom w:val="0"/>
      <w:divBdr>
        <w:top w:val="none" w:sz="0" w:space="0" w:color="auto"/>
        <w:left w:val="none" w:sz="0" w:space="0" w:color="auto"/>
        <w:bottom w:val="none" w:sz="0" w:space="0" w:color="auto"/>
        <w:right w:val="none" w:sz="0" w:space="0" w:color="auto"/>
      </w:divBdr>
    </w:div>
    <w:div w:id="1712729975">
      <w:bodyDiv w:val="1"/>
      <w:marLeft w:val="0"/>
      <w:marRight w:val="0"/>
      <w:marTop w:val="0"/>
      <w:marBottom w:val="0"/>
      <w:divBdr>
        <w:top w:val="none" w:sz="0" w:space="0" w:color="auto"/>
        <w:left w:val="none" w:sz="0" w:space="0" w:color="auto"/>
        <w:bottom w:val="none" w:sz="0" w:space="0" w:color="auto"/>
        <w:right w:val="none" w:sz="0" w:space="0" w:color="auto"/>
      </w:divBdr>
    </w:div>
    <w:div w:id="1720976270">
      <w:bodyDiv w:val="1"/>
      <w:marLeft w:val="0"/>
      <w:marRight w:val="0"/>
      <w:marTop w:val="0"/>
      <w:marBottom w:val="0"/>
      <w:divBdr>
        <w:top w:val="none" w:sz="0" w:space="0" w:color="auto"/>
        <w:left w:val="none" w:sz="0" w:space="0" w:color="auto"/>
        <w:bottom w:val="none" w:sz="0" w:space="0" w:color="auto"/>
        <w:right w:val="none" w:sz="0" w:space="0" w:color="auto"/>
      </w:divBdr>
    </w:div>
    <w:div w:id="1725912688">
      <w:bodyDiv w:val="1"/>
      <w:marLeft w:val="0"/>
      <w:marRight w:val="0"/>
      <w:marTop w:val="0"/>
      <w:marBottom w:val="0"/>
      <w:divBdr>
        <w:top w:val="none" w:sz="0" w:space="0" w:color="auto"/>
        <w:left w:val="none" w:sz="0" w:space="0" w:color="auto"/>
        <w:bottom w:val="none" w:sz="0" w:space="0" w:color="auto"/>
        <w:right w:val="none" w:sz="0" w:space="0" w:color="auto"/>
      </w:divBdr>
    </w:div>
    <w:div w:id="1757285394">
      <w:bodyDiv w:val="1"/>
      <w:marLeft w:val="0"/>
      <w:marRight w:val="0"/>
      <w:marTop w:val="0"/>
      <w:marBottom w:val="0"/>
      <w:divBdr>
        <w:top w:val="none" w:sz="0" w:space="0" w:color="auto"/>
        <w:left w:val="none" w:sz="0" w:space="0" w:color="auto"/>
        <w:bottom w:val="none" w:sz="0" w:space="0" w:color="auto"/>
        <w:right w:val="none" w:sz="0" w:space="0" w:color="auto"/>
      </w:divBdr>
    </w:div>
    <w:div w:id="1776973740">
      <w:bodyDiv w:val="1"/>
      <w:marLeft w:val="0"/>
      <w:marRight w:val="0"/>
      <w:marTop w:val="0"/>
      <w:marBottom w:val="0"/>
      <w:divBdr>
        <w:top w:val="none" w:sz="0" w:space="0" w:color="auto"/>
        <w:left w:val="none" w:sz="0" w:space="0" w:color="auto"/>
        <w:bottom w:val="none" w:sz="0" w:space="0" w:color="auto"/>
        <w:right w:val="none" w:sz="0" w:space="0" w:color="auto"/>
      </w:divBdr>
    </w:div>
    <w:div w:id="1792431690">
      <w:bodyDiv w:val="1"/>
      <w:marLeft w:val="0"/>
      <w:marRight w:val="0"/>
      <w:marTop w:val="0"/>
      <w:marBottom w:val="0"/>
      <w:divBdr>
        <w:top w:val="none" w:sz="0" w:space="0" w:color="auto"/>
        <w:left w:val="none" w:sz="0" w:space="0" w:color="auto"/>
        <w:bottom w:val="none" w:sz="0" w:space="0" w:color="auto"/>
        <w:right w:val="none" w:sz="0" w:space="0" w:color="auto"/>
      </w:divBdr>
    </w:div>
    <w:div w:id="1792825271">
      <w:bodyDiv w:val="1"/>
      <w:marLeft w:val="0"/>
      <w:marRight w:val="0"/>
      <w:marTop w:val="0"/>
      <w:marBottom w:val="0"/>
      <w:divBdr>
        <w:top w:val="none" w:sz="0" w:space="0" w:color="auto"/>
        <w:left w:val="none" w:sz="0" w:space="0" w:color="auto"/>
        <w:bottom w:val="none" w:sz="0" w:space="0" w:color="auto"/>
        <w:right w:val="none" w:sz="0" w:space="0" w:color="auto"/>
      </w:divBdr>
    </w:div>
    <w:div w:id="1825775131">
      <w:bodyDiv w:val="1"/>
      <w:marLeft w:val="0"/>
      <w:marRight w:val="0"/>
      <w:marTop w:val="0"/>
      <w:marBottom w:val="0"/>
      <w:divBdr>
        <w:top w:val="none" w:sz="0" w:space="0" w:color="auto"/>
        <w:left w:val="none" w:sz="0" w:space="0" w:color="auto"/>
        <w:bottom w:val="none" w:sz="0" w:space="0" w:color="auto"/>
        <w:right w:val="none" w:sz="0" w:space="0" w:color="auto"/>
      </w:divBdr>
    </w:div>
    <w:div w:id="1838304948">
      <w:bodyDiv w:val="1"/>
      <w:marLeft w:val="0"/>
      <w:marRight w:val="0"/>
      <w:marTop w:val="0"/>
      <w:marBottom w:val="0"/>
      <w:divBdr>
        <w:top w:val="none" w:sz="0" w:space="0" w:color="auto"/>
        <w:left w:val="none" w:sz="0" w:space="0" w:color="auto"/>
        <w:bottom w:val="none" w:sz="0" w:space="0" w:color="auto"/>
        <w:right w:val="none" w:sz="0" w:space="0" w:color="auto"/>
      </w:divBdr>
    </w:div>
    <w:div w:id="1838810602">
      <w:bodyDiv w:val="1"/>
      <w:marLeft w:val="0"/>
      <w:marRight w:val="0"/>
      <w:marTop w:val="0"/>
      <w:marBottom w:val="0"/>
      <w:divBdr>
        <w:top w:val="none" w:sz="0" w:space="0" w:color="auto"/>
        <w:left w:val="none" w:sz="0" w:space="0" w:color="auto"/>
        <w:bottom w:val="none" w:sz="0" w:space="0" w:color="auto"/>
        <w:right w:val="none" w:sz="0" w:space="0" w:color="auto"/>
      </w:divBdr>
    </w:div>
    <w:div w:id="1852793397">
      <w:bodyDiv w:val="1"/>
      <w:marLeft w:val="0"/>
      <w:marRight w:val="0"/>
      <w:marTop w:val="0"/>
      <w:marBottom w:val="0"/>
      <w:divBdr>
        <w:top w:val="none" w:sz="0" w:space="0" w:color="auto"/>
        <w:left w:val="none" w:sz="0" w:space="0" w:color="auto"/>
        <w:bottom w:val="none" w:sz="0" w:space="0" w:color="auto"/>
        <w:right w:val="none" w:sz="0" w:space="0" w:color="auto"/>
      </w:divBdr>
    </w:div>
    <w:div w:id="1892618806">
      <w:bodyDiv w:val="1"/>
      <w:marLeft w:val="0"/>
      <w:marRight w:val="0"/>
      <w:marTop w:val="0"/>
      <w:marBottom w:val="0"/>
      <w:divBdr>
        <w:top w:val="none" w:sz="0" w:space="0" w:color="auto"/>
        <w:left w:val="none" w:sz="0" w:space="0" w:color="auto"/>
        <w:bottom w:val="none" w:sz="0" w:space="0" w:color="auto"/>
        <w:right w:val="none" w:sz="0" w:space="0" w:color="auto"/>
      </w:divBdr>
    </w:div>
    <w:div w:id="1911382950">
      <w:bodyDiv w:val="1"/>
      <w:marLeft w:val="0"/>
      <w:marRight w:val="0"/>
      <w:marTop w:val="0"/>
      <w:marBottom w:val="0"/>
      <w:divBdr>
        <w:top w:val="none" w:sz="0" w:space="0" w:color="auto"/>
        <w:left w:val="none" w:sz="0" w:space="0" w:color="auto"/>
        <w:bottom w:val="none" w:sz="0" w:space="0" w:color="auto"/>
        <w:right w:val="none" w:sz="0" w:space="0" w:color="auto"/>
      </w:divBdr>
    </w:div>
    <w:div w:id="1912881861">
      <w:bodyDiv w:val="1"/>
      <w:marLeft w:val="0"/>
      <w:marRight w:val="0"/>
      <w:marTop w:val="0"/>
      <w:marBottom w:val="0"/>
      <w:divBdr>
        <w:top w:val="none" w:sz="0" w:space="0" w:color="auto"/>
        <w:left w:val="none" w:sz="0" w:space="0" w:color="auto"/>
        <w:bottom w:val="none" w:sz="0" w:space="0" w:color="auto"/>
        <w:right w:val="none" w:sz="0" w:space="0" w:color="auto"/>
      </w:divBdr>
    </w:div>
    <w:div w:id="1927038034">
      <w:bodyDiv w:val="1"/>
      <w:marLeft w:val="0"/>
      <w:marRight w:val="0"/>
      <w:marTop w:val="0"/>
      <w:marBottom w:val="0"/>
      <w:divBdr>
        <w:top w:val="none" w:sz="0" w:space="0" w:color="auto"/>
        <w:left w:val="none" w:sz="0" w:space="0" w:color="auto"/>
        <w:bottom w:val="none" w:sz="0" w:space="0" w:color="auto"/>
        <w:right w:val="none" w:sz="0" w:space="0" w:color="auto"/>
      </w:divBdr>
    </w:div>
    <w:div w:id="1934047924">
      <w:bodyDiv w:val="1"/>
      <w:marLeft w:val="0"/>
      <w:marRight w:val="0"/>
      <w:marTop w:val="0"/>
      <w:marBottom w:val="0"/>
      <w:divBdr>
        <w:top w:val="none" w:sz="0" w:space="0" w:color="auto"/>
        <w:left w:val="none" w:sz="0" w:space="0" w:color="auto"/>
        <w:bottom w:val="none" w:sz="0" w:space="0" w:color="auto"/>
        <w:right w:val="none" w:sz="0" w:space="0" w:color="auto"/>
      </w:divBdr>
    </w:div>
    <w:div w:id="1988581837">
      <w:bodyDiv w:val="1"/>
      <w:marLeft w:val="0"/>
      <w:marRight w:val="0"/>
      <w:marTop w:val="0"/>
      <w:marBottom w:val="0"/>
      <w:divBdr>
        <w:top w:val="none" w:sz="0" w:space="0" w:color="auto"/>
        <w:left w:val="none" w:sz="0" w:space="0" w:color="auto"/>
        <w:bottom w:val="none" w:sz="0" w:space="0" w:color="auto"/>
        <w:right w:val="none" w:sz="0" w:space="0" w:color="auto"/>
      </w:divBdr>
    </w:div>
    <w:div w:id="2090154745">
      <w:bodyDiv w:val="1"/>
      <w:marLeft w:val="0"/>
      <w:marRight w:val="0"/>
      <w:marTop w:val="0"/>
      <w:marBottom w:val="0"/>
      <w:divBdr>
        <w:top w:val="none" w:sz="0" w:space="0" w:color="auto"/>
        <w:left w:val="none" w:sz="0" w:space="0" w:color="auto"/>
        <w:bottom w:val="none" w:sz="0" w:space="0" w:color="auto"/>
        <w:right w:val="none" w:sz="0" w:space="0" w:color="auto"/>
      </w:divBdr>
    </w:div>
    <w:div w:id="2109542189">
      <w:bodyDiv w:val="1"/>
      <w:marLeft w:val="0"/>
      <w:marRight w:val="0"/>
      <w:marTop w:val="0"/>
      <w:marBottom w:val="0"/>
      <w:divBdr>
        <w:top w:val="none" w:sz="0" w:space="0" w:color="auto"/>
        <w:left w:val="none" w:sz="0" w:space="0" w:color="auto"/>
        <w:bottom w:val="none" w:sz="0" w:space="0" w:color="auto"/>
        <w:right w:val="none" w:sz="0" w:space="0" w:color="auto"/>
      </w:divBdr>
    </w:div>
    <w:div w:id="2123767127">
      <w:bodyDiv w:val="1"/>
      <w:marLeft w:val="0"/>
      <w:marRight w:val="0"/>
      <w:marTop w:val="0"/>
      <w:marBottom w:val="0"/>
      <w:divBdr>
        <w:top w:val="none" w:sz="0" w:space="0" w:color="auto"/>
        <w:left w:val="none" w:sz="0" w:space="0" w:color="auto"/>
        <w:bottom w:val="none" w:sz="0" w:space="0" w:color="auto"/>
        <w:right w:val="none" w:sz="0" w:space="0" w:color="auto"/>
      </w:divBdr>
    </w:div>
    <w:div w:id="2128961942">
      <w:bodyDiv w:val="1"/>
      <w:marLeft w:val="0"/>
      <w:marRight w:val="0"/>
      <w:marTop w:val="0"/>
      <w:marBottom w:val="0"/>
      <w:divBdr>
        <w:top w:val="none" w:sz="0" w:space="0" w:color="auto"/>
        <w:left w:val="none" w:sz="0" w:space="0" w:color="auto"/>
        <w:bottom w:val="none" w:sz="0" w:space="0" w:color="auto"/>
        <w:right w:val="none" w:sz="0" w:space="0" w:color="auto"/>
      </w:divBdr>
    </w:div>
    <w:div w:id="2137211505">
      <w:bodyDiv w:val="1"/>
      <w:marLeft w:val="0"/>
      <w:marRight w:val="0"/>
      <w:marTop w:val="0"/>
      <w:marBottom w:val="0"/>
      <w:divBdr>
        <w:top w:val="none" w:sz="0" w:space="0" w:color="auto"/>
        <w:left w:val="none" w:sz="0" w:space="0" w:color="auto"/>
        <w:bottom w:val="none" w:sz="0" w:space="0" w:color="auto"/>
        <w:right w:val="none" w:sz="0" w:space="0" w:color="auto"/>
      </w:divBdr>
    </w:div>
    <w:div w:id="21379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betes.org.uk/About_us/What-we-say/Statist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rchive.nationalarchives.gov.uk/20120919132719/http:/www.communities.gov.uk/documents/communities/pdf/576659.pdf" TargetMode="External"/><Relationship Id="rId4" Type="http://schemas.openxmlformats.org/officeDocument/2006/relationships/settings" Target="settings.xml"/><Relationship Id="rId9" Type="http://schemas.openxmlformats.org/officeDocument/2006/relationships/hyperlink" Target="http://www.esri.com/news/arcnews/spring12articles/introducing-arcgis-10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21508-2972-4529-B62F-93BB9330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5491</Words>
  <Characters>31300</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_</vt:lpstr>
    </vt:vector>
  </TitlesOfParts>
  <Company>University of Leicester</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pc154</dc:creator>
  <cp:lastModifiedBy>Patrice Carter</cp:lastModifiedBy>
  <cp:revision>2</cp:revision>
  <cp:lastPrinted>2016-09-02T10:48:00Z</cp:lastPrinted>
  <dcterms:created xsi:type="dcterms:W3CDTF">2018-10-04T10:27:00Z</dcterms:created>
  <dcterms:modified xsi:type="dcterms:W3CDTF">2018-10-04T10:27:00Z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3631</vt:lpwstr>
  </property>
  <property fmtid="{D5CDD505-2E9C-101B-9397-08002B2CF9AE}" pid="3" name="WnCSubscriberId">
    <vt:lpwstr>3055</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Documents///Walkabilitypaper_JPH_amended</vt:lpwstr>
  </property>
  <property fmtid="{D5CDD505-2E9C-101B-9397-08002B2CF9AE}" pid="7" name="WinDIP File ID">
    <vt:lpwstr>34dd2f33-0149-4d1a-9d17-4b0f1229848e</vt:lpwstr>
  </property>
</Properties>
</file>