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C0D7D" w14:textId="4134D5AA" w:rsidR="00976EDD" w:rsidRPr="00512C60" w:rsidRDefault="005A2941" w:rsidP="00065B26">
      <w:pPr>
        <w:rPr>
          <w:rStyle w:val="Strong"/>
        </w:rPr>
      </w:pPr>
      <w:bookmarkStart w:id="0" w:name="_GoBack"/>
      <w:bookmarkEnd w:id="0"/>
      <w:r w:rsidRPr="00512C60">
        <w:rPr>
          <w:rStyle w:val="Strong"/>
        </w:rPr>
        <w:t>P</w:t>
      </w:r>
      <w:r w:rsidR="00024BA7" w:rsidRPr="00512C60">
        <w:rPr>
          <w:rStyle w:val="Strong"/>
        </w:rPr>
        <w:t>rospective</w:t>
      </w:r>
      <w:r w:rsidR="007C2EA6">
        <w:rPr>
          <w:rStyle w:val="Strong"/>
        </w:rPr>
        <w:t>, non-randomized, multicenter,</w:t>
      </w:r>
      <w:r w:rsidR="00024BA7" w:rsidRPr="00512C60">
        <w:rPr>
          <w:rStyle w:val="Strong"/>
        </w:rPr>
        <w:t xml:space="preserve"> </w:t>
      </w:r>
      <w:r w:rsidR="007C2EA6">
        <w:rPr>
          <w:rStyle w:val="Strong"/>
        </w:rPr>
        <w:t xml:space="preserve">phase 2 </w:t>
      </w:r>
      <w:r w:rsidRPr="00512C60">
        <w:rPr>
          <w:rStyle w:val="Strong"/>
        </w:rPr>
        <w:t>trial</w:t>
      </w:r>
      <w:r w:rsidR="00976EDD" w:rsidRPr="00512C60">
        <w:rPr>
          <w:rStyle w:val="Strong"/>
        </w:rPr>
        <w:t xml:space="preserve"> of crizotini</w:t>
      </w:r>
      <w:r w:rsidRPr="00512C60">
        <w:rPr>
          <w:rStyle w:val="Strong"/>
        </w:rPr>
        <w:t xml:space="preserve">b </w:t>
      </w:r>
      <w:r w:rsidR="00976EDD" w:rsidRPr="00512C60">
        <w:rPr>
          <w:rStyle w:val="Strong"/>
        </w:rPr>
        <w:t>in patients with advanced, inoperable inflammatory myofibroblastic tumor with and without</w:t>
      </w:r>
      <w:r w:rsidR="00024BA7" w:rsidRPr="00512C60">
        <w:rPr>
          <w:rStyle w:val="Strong"/>
        </w:rPr>
        <w:t xml:space="preserve"> anaplastic lymphoma kinase</w:t>
      </w:r>
      <w:r w:rsidR="00976EDD" w:rsidRPr="00512C60">
        <w:rPr>
          <w:rStyle w:val="Strong"/>
        </w:rPr>
        <w:t xml:space="preserve"> </w:t>
      </w:r>
      <w:r w:rsidR="007229E9" w:rsidRPr="00512C60">
        <w:rPr>
          <w:rStyle w:val="Strong"/>
        </w:rPr>
        <w:t>gene</w:t>
      </w:r>
      <w:r w:rsidR="00024BA7" w:rsidRPr="00512C60">
        <w:rPr>
          <w:rStyle w:val="Strong"/>
        </w:rPr>
        <w:t xml:space="preserve"> alterations</w:t>
      </w:r>
      <w:r w:rsidR="00122394" w:rsidRPr="00512C60">
        <w:rPr>
          <w:rStyle w:val="Strong"/>
        </w:rPr>
        <w:t xml:space="preserve">: EORTC </w:t>
      </w:r>
      <w:r w:rsidR="00976EDD" w:rsidRPr="00512C60">
        <w:rPr>
          <w:rStyle w:val="Strong"/>
        </w:rPr>
        <w:t>study 90101 "CREATE"</w:t>
      </w:r>
    </w:p>
    <w:p w14:paraId="7A3FD0F2" w14:textId="77777777" w:rsidR="00DB642A" w:rsidRPr="00512C60" w:rsidRDefault="00DB642A" w:rsidP="00490E17">
      <w:pPr>
        <w:rPr>
          <w:rStyle w:val="Hyperlink"/>
          <w:color w:val="auto"/>
          <w:u w:val="none"/>
        </w:rPr>
      </w:pPr>
    </w:p>
    <w:p w14:paraId="7D3FBB29" w14:textId="1CF73775" w:rsidR="00E045A2" w:rsidRPr="00512C60" w:rsidRDefault="00E045A2" w:rsidP="00DB248E">
      <w:pPr>
        <w:rPr>
          <w:rStyle w:val="Hyperlink"/>
          <w:color w:val="auto"/>
          <w:u w:val="none"/>
        </w:rPr>
      </w:pPr>
    </w:p>
    <w:p w14:paraId="4320E68D" w14:textId="6592098F" w:rsidR="00C673D8" w:rsidRPr="00524D52" w:rsidRDefault="00C673D8" w:rsidP="00DB248E">
      <w:r w:rsidRPr="00524D52">
        <w:t>Prof Patrick Schöffski, MD</w:t>
      </w:r>
      <w:r w:rsidR="00122394" w:rsidRPr="00524D52">
        <w:rPr>
          <w:vertAlign w:val="superscript"/>
        </w:rPr>
        <w:t>1,</w:t>
      </w:r>
      <w:r w:rsidR="001D05A3">
        <w:rPr>
          <w:vertAlign w:val="superscript"/>
        </w:rPr>
        <w:t>2</w:t>
      </w:r>
      <w:r w:rsidRPr="00524D52">
        <w:t xml:space="preserve">*, </w:t>
      </w:r>
      <w:r w:rsidR="00122394" w:rsidRPr="00524D52">
        <w:t xml:space="preserve">Jozef Sufliarsky, </w:t>
      </w:r>
      <w:r w:rsidR="001D05A3" w:rsidRPr="00524D52">
        <w:t>MD</w:t>
      </w:r>
      <w:r w:rsidR="001D05A3">
        <w:rPr>
          <w:vertAlign w:val="superscript"/>
        </w:rPr>
        <w:t>3</w:t>
      </w:r>
      <w:r w:rsidRPr="00524D52">
        <w:t>, Prof Hans Gelderblom, MD</w:t>
      </w:r>
      <w:r w:rsidR="00122394" w:rsidRPr="00524D52">
        <w:rPr>
          <w:vertAlign w:val="superscript"/>
        </w:rPr>
        <w:t>4</w:t>
      </w:r>
      <w:r w:rsidRPr="00524D52">
        <w:t>, Prof Jean-Yves Blay, MD</w:t>
      </w:r>
      <w:r w:rsidR="00122394" w:rsidRPr="00524D52">
        <w:rPr>
          <w:vertAlign w:val="superscript"/>
        </w:rPr>
        <w:t>5</w:t>
      </w:r>
      <w:r w:rsidRPr="00524D52">
        <w:t xml:space="preserve">, Sandra </w:t>
      </w:r>
      <w:r w:rsidR="00BA32EA">
        <w:t xml:space="preserve">J </w:t>
      </w:r>
      <w:r w:rsidRPr="00524D52">
        <w:t>Strauss, MD</w:t>
      </w:r>
      <w:r w:rsidR="00122394" w:rsidRPr="00524D52">
        <w:rPr>
          <w:vertAlign w:val="superscript"/>
        </w:rPr>
        <w:t>6</w:t>
      </w:r>
      <w:r w:rsidR="00122394" w:rsidRPr="00524D52">
        <w:t>, Silvia Stacchiotti</w:t>
      </w:r>
      <w:r w:rsidRPr="00524D52">
        <w:t>, MD</w:t>
      </w:r>
      <w:r w:rsidR="00122394" w:rsidRPr="00524D52">
        <w:rPr>
          <w:vertAlign w:val="superscript"/>
        </w:rPr>
        <w:t>7</w:t>
      </w:r>
      <w:r w:rsidRPr="00524D52">
        <w:t>, Prof Piotr Rutkowski, MD</w:t>
      </w:r>
      <w:r w:rsidR="00122394" w:rsidRPr="00524D52">
        <w:rPr>
          <w:vertAlign w:val="superscript"/>
        </w:rPr>
        <w:t>8</w:t>
      </w:r>
      <w:r w:rsidRPr="00524D52">
        <w:t>, Prof Lars H Lindner, MD</w:t>
      </w:r>
      <w:r w:rsidR="00122394" w:rsidRPr="00524D52">
        <w:rPr>
          <w:vertAlign w:val="superscript"/>
        </w:rPr>
        <w:t>9</w:t>
      </w:r>
      <w:r w:rsidRPr="00524D52">
        <w:t>, Michael G Leahy, MD</w:t>
      </w:r>
      <w:r w:rsidR="00122394" w:rsidRPr="00524D52">
        <w:rPr>
          <w:vertAlign w:val="superscript"/>
        </w:rPr>
        <w:t>10</w:t>
      </w:r>
      <w:r w:rsidRPr="00524D52">
        <w:t>, Prof Antoine Italiano, MD</w:t>
      </w:r>
      <w:r w:rsidR="00122394" w:rsidRPr="00524D52">
        <w:rPr>
          <w:vertAlign w:val="superscript"/>
        </w:rPr>
        <w:t>11</w:t>
      </w:r>
      <w:r w:rsidRPr="00524D52">
        <w:t>, Nicolas Isambert, MD</w:t>
      </w:r>
      <w:r w:rsidR="00122394" w:rsidRPr="00524D52">
        <w:rPr>
          <w:vertAlign w:val="superscript"/>
        </w:rPr>
        <w:t>12</w:t>
      </w:r>
      <w:r w:rsidRPr="00524D52">
        <w:t>,  Prof Maria Debiec-Rychter, MD</w:t>
      </w:r>
      <w:r w:rsidR="00122394" w:rsidRPr="00524D52">
        <w:rPr>
          <w:vertAlign w:val="superscript"/>
        </w:rPr>
        <w:t>13</w:t>
      </w:r>
      <w:r w:rsidRPr="00524D52">
        <w:t>, Prof Raf Sciot, MD</w:t>
      </w:r>
      <w:r w:rsidR="00122394" w:rsidRPr="00524D52">
        <w:rPr>
          <w:vertAlign w:val="superscript"/>
        </w:rPr>
        <w:t>14</w:t>
      </w:r>
      <w:r w:rsidRPr="00524D52">
        <w:t>, Thomas Van Cann, MD</w:t>
      </w:r>
      <w:r w:rsidR="00122394" w:rsidRPr="00524D52">
        <w:rPr>
          <w:vertAlign w:val="superscript"/>
        </w:rPr>
        <w:t>1,</w:t>
      </w:r>
      <w:r w:rsidR="001D05A3">
        <w:rPr>
          <w:vertAlign w:val="superscript"/>
        </w:rPr>
        <w:t>2</w:t>
      </w:r>
      <w:r w:rsidR="001D05A3" w:rsidRPr="00524D52">
        <w:t xml:space="preserve"> </w:t>
      </w:r>
      <w:r w:rsidRPr="00524D52">
        <w:t>, Sandrine Marréaud, MD</w:t>
      </w:r>
      <w:r w:rsidR="00122394" w:rsidRPr="00524D52">
        <w:rPr>
          <w:vertAlign w:val="superscript"/>
        </w:rPr>
        <w:t>15</w:t>
      </w:r>
      <w:r w:rsidRPr="00524D52">
        <w:t>, Axelle Nzokirantevye, MSc</w:t>
      </w:r>
      <w:r w:rsidR="00122394" w:rsidRPr="00524D52">
        <w:rPr>
          <w:vertAlign w:val="superscript"/>
        </w:rPr>
        <w:t>15</w:t>
      </w:r>
      <w:r w:rsidRPr="00524D52">
        <w:t>, Sandra Collette, MSc</w:t>
      </w:r>
      <w:r w:rsidR="00122394" w:rsidRPr="00524D52">
        <w:rPr>
          <w:vertAlign w:val="superscript"/>
        </w:rPr>
        <w:t>15</w:t>
      </w:r>
      <w:r w:rsidRPr="00524D52">
        <w:t xml:space="preserve">, </w:t>
      </w:r>
      <w:r w:rsidR="00122394" w:rsidRPr="00524D52">
        <w:t xml:space="preserve">Agnieszka Wozniak, </w:t>
      </w:r>
      <w:r w:rsidR="001D05A3" w:rsidRPr="00524D52">
        <w:t>PhD</w:t>
      </w:r>
      <w:r w:rsidR="001D05A3">
        <w:rPr>
          <w:vertAlign w:val="superscript"/>
        </w:rPr>
        <w:t>2</w:t>
      </w:r>
      <w:r w:rsidR="001D05A3" w:rsidRPr="00524D52">
        <w:rPr>
          <w:vertAlign w:val="superscript"/>
        </w:rPr>
        <w:t xml:space="preserve"> </w:t>
      </w:r>
    </w:p>
    <w:p w14:paraId="60398A2F" w14:textId="77777777" w:rsidR="00C673D8" w:rsidRPr="00524D52" w:rsidRDefault="00C673D8" w:rsidP="003E1FE2"/>
    <w:p w14:paraId="1A771A8C" w14:textId="77777777" w:rsidR="00C673D8" w:rsidRDefault="00C673D8" w:rsidP="003E1FE2">
      <w:r w:rsidRPr="00524D52">
        <w:rPr>
          <w:vertAlign w:val="superscript"/>
        </w:rPr>
        <w:t>1</w:t>
      </w:r>
      <w:r w:rsidRPr="00524D52">
        <w:t>University Hospitals Leuven, Department of General Medical Oncology, Leuven Cancer Institute, Leuven, Belgium</w:t>
      </w:r>
    </w:p>
    <w:p w14:paraId="1DDA5D16" w14:textId="4A72135D" w:rsidR="001D05A3" w:rsidRPr="00524D52" w:rsidRDefault="001D05A3" w:rsidP="003E1FE2">
      <w:r>
        <w:rPr>
          <w:vertAlign w:val="superscript"/>
        </w:rPr>
        <w:t>2</w:t>
      </w:r>
      <w:r w:rsidRPr="00524D52">
        <w:t xml:space="preserve">KU Leuven, Laboratory of Experimental Oncology, Department of Oncology, Leuven, Belgium </w:t>
      </w:r>
    </w:p>
    <w:p w14:paraId="75C448F5" w14:textId="590E9E29" w:rsidR="00122394" w:rsidRPr="00524D52" w:rsidRDefault="001D05A3" w:rsidP="002D5A07">
      <w:r>
        <w:rPr>
          <w:vertAlign w:val="superscript"/>
        </w:rPr>
        <w:t>3</w:t>
      </w:r>
      <w:r w:rsidR="00AD56A7" w:rsidRPr="00524D52">
        <w:t xml:space="preserve">National </w:t>
      </w:r>
      <w:r w:rsidR="00122394" w:rsidRPr="00524D52">
        <w:t>Cancer Institute, Bratislava, Slovakia</w:t>
      </w:r>
    </w:p>
    <w:p w14:paraId="140A1BF5" w14:textId="1E9FDA78" w:rsidR="00C673D8" w:rsidRPr="00524D52" w:rsidRDefault="00122394" w:rsidP="002D5A07">
      <w:r w:rsidRPr="00524D52">
        <w:rPr>
          <w:vertAlign w:val="superscript"/>
        </w:rPr>
        <w:t>4</w:t>
      </w:r>
      <w:r w:rsidR="00C673D8" w:rsidRPr="00524D52">
        <w:t>Department of Medical Oncology, Leiden University Medical Center, Leiden, Netherlands</w:t>
      </w:r>
    </w:p>
    <w:p w14:paraId="62DF434B" w14:textId="088EB56A" w:rsidR="00C673D8" w:rsidRPr="00524D52" w:rsidRDefault="00122394" w:rsidP="002D5A07">
      <w:r w:rsidRPr="00524D52">
        <w:rPr>
          <w:vertAlign w:val="superscript"/>
        </w:rPr>
        <w:t>5</w:t>
      </w:r>
      <w:r w:rsidR="00C673D8" w:rsidRPr="00524D52">
        <w:t>Centre Léon Bérard &amp; Université Claude Bernard Lyon I, Department of Medical Oncology, Lyon, France</w:t>
      </w:r>
    </w:p>
    <w:p w14:paraId="0294C3EE" w14:textId="5C399B88" w:rsidR="009F54E6" w:rsidRPr="00BD5140" w:rsidRDefault="00122394" w:rsidP="002D5A07">
      <w:pPr>
        <w:rPr>
          <w:rStyle w:val="Hyperlink"/>
          <w:color w:val="auto"/>
          <w:u w:val="none"/>
        </w:rPr>
      </w:pPr>
      <w:r w:rsidRPr="00524D52">
        <w:rPr>
          <w:vertAlign w:val="superscript"/>
        </w:rPr>
        <w:t>6</w:t>
      </w:r>
      <w:r w:rsidR="009F54E6" w:rsidRPr="00BD5140">
        <w:rPr>
          <w:rStyle w:val="Hyperlink"/>
          <w:color w:val="auto"/>
          <w:u w:val="none"/>
        </w:rPr>
        <w:t>University College London Hospitals NHS Trust,</w:t>
      </w:r>
      <w:r w:rsidR="006C7962" w:rsidRPr="00BD5140">
        <w:rPr>
          <w:rStyle w:val="Hyperlink"/>
          <w:color w:val="auto"/>
          <w:u w:val="none"/>
        </w:rPr>
        <w:t xml:space="preserve"> Department of Oncology, </w:t>
      </w:r>
      <w:r w:rsidR="009F54E6" w:rsidRPr="00BD5140">
        <w:rPr>
          <w:rStyle w:val="Hyperlink"/>
          <w:color w:val="auto"/>
          <w:u w:val="none"/>
        </w:rPr>
        <w:t>London, United Kingdom</w:t>
      </w:r>
    </w:p>
    <w:p w14:paraId="7C55AD1F" w14:textId="20FE95FD" w:rsidR="00C673D8" w:rsidRPr="00524D52" w:rsidRDefault="00122394" w:rsidP="002D5A07">
      <w:r w:rsidRPr="00524D52">
        <w:rPr>
          <w:vertAlign w:val="superscript"/>
        </w:rPr>
        <w:t>7</w:t>
      </w:r>
      <w:r w:rsidR="00C673D8" w:rsidRPr="00524D52">
        <w:t>IRCCS Fondazione Istituto Nazionale Tumori, Department of Medical Oncology, Milano, Italy</w:t>
      </w:r>
    </w:p>
    <w:p w14:paraId="7DDF7D90" w14:textId="2B609AB3" w:rsidR="00C673D8" w:rsidRPr="00524D52" w:rsidRDefault="00122394" w:rsidP="002D5A07">
      <w:r w:rsidRPr="00524D52">
        <w:rPr>
          <w:vertAlign w:val="superscript"/>
        </w:rPr>
        <w:t>8</w:t>
      </w:r>
      <w:r w:rsidR="00C673D8" w:rsidRPr="00524D52">
        <w:t>Maria Sklodowska-Curie Institute-Oncology Center, Department of Soft Tissue/Bone Sarcoma and Melanoma, Warsaw, Poland</w:t>
      </w:r>
    </w:p>
    <w:p w14:paraId="01E0EE89" w14:textId="6C8BB715" w:rsidR="00C673D8" w:rsidRPr="00524D52" w:rsidRDefault="00122394" w:rsidP="002D5A07">
      <w:r w:rsidRPr="00524D52">
        <w:rPr>
          <w:vertAlign w:val="superscript"/>
        </w:rPr>
        <w:t>9</w:t>
      </w:r>
      <w:r w:rsidR="00C673D8" w:rsidRPr="00524D52">
        <w:t>Klinikum der Universität München, Medizinische Klinik III, Campus Grosshadern, München, Germany</w:t>
      </w:r>
    </w:p>
    <w:p w14:paraId="2D2B9C91" w14:textId="0426036A" w:rsidR="00C673D8" w:rsidRPr="00524D52" w:rsidRDefault="00122394" w:rsidP="002D5A07">
      <w:r w:rsidRPr="00524D52">
        <w:rPr>
          <w:vertAlign w:val="superscript"/>
        </w:rPr>
        <w:t>10</w:t>
      </w:r>
      <w:r w:rsidR="00C673D8" w:rsidRPr="00524D52">
        <w:t>The Christie NHS Foundation Trust, Manchester, United Kingdom</w:t>
      </w:r>
    </w:p>
    <w:p w14:paraId="7D223340" w14:textId="1D544643" w:rsidR="00C673D8" w:rsidRPr="001340A1" w:rsidRDefault="00122394" w:rsidP="002D5A07">
      <w:pPr>
        <w:rPr>
          <w:lang w:val="fr-FR"/>
        </w:rPr>
      </w:pPr>
      <w:r w:rsidRPr="001340A1">
        <w:rPr>
          <w:vertAlign w:val="superscript"/>
          <w:lang w:val="fr-FR"/>
        </w:rPr>
        <w:t>11</w:t>
      </w:r>
      <w:r w:rsidR="00C673D8" w:rsidRPr="001340A1">
        <w:rPr>
          <w:lang w:val="fr-FR"/>
        </w:rPr>
        <w:t>Sarcoma Unit, Institut Bergonié, Bordeaux, France</w:t>
      </w:r>
    </w:p>
    <w:p w14:paraId="24152785" w14:textId="1F05CEBD" w:rsidR="00C673D8" w:rsidRPr="00524D52" w:rsidRDefault="00122394" w:rsidP="002D5A07">
      <w:r w:rsidRPr="00524D52">
        <w:rPr>
          <w:vertAlign w:val="superscript"/>
        </w:rPr>
        <w:t>12</w:t>
      </w:r>
      <w:r w:rsidR="00C673D8" w:rsidRPr="00524D52">
        <w:t>Centre Georges François Leclerc, Department of Medical Oncology, Dijon, France</w:t>
      </w:r>
    </w:p>
    <w:p w14:paraId="5A99EA2A" w14:textId="43323CEF" w:rsidR="00C673D8" w:rsidRPr="00524D52" w:rsidRDefault="00122394" w:rsidP="002D5A07">
      <w:r w:rsidRPr="00524D52">
        <w:rPr>
          <w:vertAlign w:val="superscript"/>
        </w:rPr>
        <w:t>13</w:t>
      </w:r>
      <w:r w:rsidR="00C673D8" w:rsidRPr="00524D52">
        <w:t>KU Leuven, Department of Human Genetics, Leuven, Belgium</w:t>
      </w:r>
    </w:p>
    <w:p w14:paraId="5DB926B9" w14:textId="3C379F7C" w:rsidR="00C673D8" w:rsidRPr="00524D52" w:rsidRDefault="00122394" w:rsidP="002D5A07">
      <w:r w:rsidRPr="00524D52">
        <w:rPr>
          <w:vertAlign w:val="superscript"/>
        </w:rPr>
        <w:t>14</w:t>
      </w:r>
      <w:r w:rsidR="00C673D8" w:rsidRPr="00524D52">
        <w:t xml:space="preserve">University Hospitals Leuven, </w:t>
      </w:r>
      <w:r w:rsidR="00BC09C1">
        <w:t xml:space="preserve">KULeuven, </w:t>
      </w:r>
      <w:r w:rsidR="00C673D8" w:rsidRPr="00524D52">
        <w:t>Department of Pathology, Leuven, Belgium</w:t>
      </w:r>
    </w:p>
    <w:p w14:paraId="230F5C67" w14:textId="4AB79AEC" w:rsidR="00C673D8" w:rsidRPr="00524D52" w:rsidRDefault="00122394" w:rsidP="002D5A07">
      <w:r w:rsidRPr="00524D52">
        <w:rPr>
          <w:vertAlign w:val="superscript"/>
        </w:rPr>
        <w:t>15</w:t>
      </w:r>
      <w:r w:rsidR="00C673D8" w:rsidRPr="00524D52">
        <w:t>European Organization for Research and Treatment of Cancer, Brussels, Belgium</w:t>
      </w:r>
    </w:p>
    <w:p w14:paraId="069D97F6" w14:textId="77777777" w:rsidR="00C673D8" w:rsidRPr="00524D52" w:rsidRDefault="00C673D8" w:rsidP="002D5A07"/>
    <w:p w14:paraId="5E55F73E" w14:textId="5BD1D4CC" w:rsidR="002A507B" w:rsidRPr="00524D52" w:rsidRDefault="00114EDB" w:rsidP="002D5A07">
      <w:r w:rsidRPr="00524D52">
        <w:t>*Correspondence to: Professor Dr</w:t>
      </w:r>
      <w:r w:rsidR="000376C7" w:rsidRPr="00524D52">
        <w:t>.</w:t>
      </w:r>
      <w:r w:rsidRPr="00524D52">
        <w:t xml:space="preserve"> P. Schöffski,</w:t>
      </w:r>
      <w:r w:rsidR="00CD6DE5" w:rsidRPr="00524D52">
        <w:t xml:space="preserve"> </w:t>
      </w:r>
      <w:r w:rsidR="000361B2" w:rsidRPr="00524D52">
        <w:t xml:space="preserve">MD, </w:t>
      </w:r>
      <w:r w:rsidR="00CD6DE5" w:rsidRPr="00524D52">
        <w:t>MPH,</w:t>
      </w:r>
      <w:r w:rsidRPr="00524D52">
        <w:t xml:space="preserve"> Department of General Medical Oncology</w:t>
      </w:r>
      <w:r w:rsidR="000376C7" w:rsidRPr="00524D52">
        <w:t xml:space="preserve">, </w:t>
      </w:r>
      <w:r w:rsidR="00513D27" w:rsidRPr="00524D52">
        <w:t xml:space="preserve">Leuven Cancer Institute, </w:t>
      </w:r>
      <w:r w:rsidR="000376C7" w:rsidRPr="00524D52">
        <w:t>University Hospitals Leuven,</w:t>
      </w:r>
      <w:r w:rsidRPr="00524D52">
        <w:t xml:space="preserve"> and Laboratory of Experimental Oncology,</w:t>
      </w:r>
      <w:r w:rsidRPr="00524D52">
        <w:rPr>
          <w:vertAlign w:val="superscript"/>
        </w:rPr>
        <w:t xml:space="preserve"> </w:t>
      </w:r>
      <w:r w:rsidR="000376C7" w:rsidRPr="00524D52">
        <w:t xml:space="preserve">KU </w:t>
      </w:r>
      <w:r w:rsidRPr="00524D52">
        <w:t xml:space="preserve">Leuven, Herestraat 49, B-3000 Leuven, Belgium. Tel. +32-16-346900; Fax +32-16-346901; Email: </w:t>
      </w:r>
      <w:hyperlink r:id="rId14" w:history="1">
        <w:r w:rsidRPr="00524D52">
          <w:t>patrick.schoffski@uzleuven.be</w:t>
        </w:r>
      </w:hyperlink>
      <w:r w:rsidR="002A507B" w:rsidRPr="00524D52">
        <w:br w:type="page"/>
      </w:r>
    </w:p>
    <w:p w14:paraId="51AC34CD" w14:textId="77777777" w:rsidR="00654CC8" w:rsidRPr="00BD5140" w:rsidRDefault="00654CC8" w:rsidP="002D5A07">
      <w:pPr>
        <w:pStyle w:val="TNRStrongfontsz11"/>
        <w:rPr>
          <w:rStyle w:val="Strong"/>
        </w:rPr>
      </w:pPr>
      <w:r w:rsidRPr="00BD5140">
        <w:rPr>
          <w:rStyle w:val="Strong"/>
        </w:rPr>
        <w:lastRenderedPageBreak/>
        <w:t>Abstract</w:t>
      </w:r>
    </w:p>
    <w:p w14:paraId="00CA05E2" w14:textId="77777777" w:rsidR="00654CC8" w:rsidRPr="00524D52" w:rsidRDefault="00654CC8" w:rsidP="002D5A07"/>
    <w:p w14:paraId="0D14CE1A" w14:textId="6625B29B" w:rsidR="00976EDD" w:rsidRPr="00524D52" w:rsidRDefault="00976EDD" w:rsidP="002D5A07">
      <w:r w:rsidRPr="00524D52">
        <w:rPr>
          <w:b/>
        </w:rPr>
        <w:t>Background</w:t>
      </w:r>
      <w:r w:rsidRPr="00524D52">
        <w:t xml:space="preserve">: EORTC 90101 </w:t>
      </w:r>
      <w:r w:rsidR="00C6271F">
        <w:t xml:space="preserve">CREATE </w:t>
      </w:r>
      <w:r w:rsidR="00C6271F" w:rsidRPr="00524D52">
        <w:t xml:space="preserve">assessed </w:t>
      </w:r>
      <w:r w:rsidR="00C6271F">
        <w:t xml:space="preserve">the </w:t>
      </w:r>
      <w:r w:rsidR="00C6271F" w:rsidRPr="00524D52">
        <w:rPr>
          <w:color w:val="auto"/>
          <w:lang w:val="en-GB"/>
        </w:rPr>
        <w:t>activity and safety of crizotinib</w:t>
      </w:r>
      <w:r w:rsidR="00C6271F">
        <w:rPr>
          <w:color w:val="auto"/>
          <w:lang w:val="en-GB"/>
        </w:rPr>
        <w:t xml:space="preserve"> in patients with </w:t>
      </w:r>
      <w:r w:rsidR="00C6271F" w:rsidRPr="00524D52">
        <w:rPr>
          <w:color w:val="auto"/>
          <w:lang w:val="en-GB"/>
        </w:rPr>
        <w:t>advanced</w:t>
      </w:r>
      <w:r w:rsidR="00122394" w:rsidRPr="00524D52">
        <w:t xml:space="preserve"> </w:t>
      </w:r>
      <w:r w:rsidR="005A2941" w:rsidRPr="00524D52">
        <w:t>inflammatory myofibroblastic tumor (</w:t>
      </w:r>
      <w:r w:rsidRPr="00524D52">
        <w:t>IMFT</w:t>
      </w:r>
      <w:r w:rsidR="00E97350" w:rsidRPr="00524D52">
        <w:t>)</w:t>
      </w:r>
      <w:r w:rsidR="00C317CB" w:rsidRPr="00524D52">
        <w:t xml:space="preserve">, </w:t>
      </w:r>
      <w:r w:rsidR="00122394" w:rsidRPr="00524D52">
        <w:t xml:space="preserve">a disease characterized by </w:t>
      </w:r>
      <w:r w:rsidR="00C317CB" w:rsidRPr="00524D52">
        <w:rPr>
          <w:rStyle w:val="Strong"/>
          <w:b w:val="0"/>
        </w:rPr>
        <w:t>anaplastic lymphoma kinase</w:t>
      </w:r>
      <w:r w:rsidR="00C317CB" w:rsidRPr="00524D52">
        <w:rPr>
          <w:rStyle w:val="Strong"/>
        </w:rPr>
        <w:t xml:space="preserve"> </w:t>
      </w:r>
      <w:r w:rsidR="00C317CB" w:rsidRPr="00524D52">
        <w:rPr>
          <w:i/>
        </w:rPr>
        <w:t>(</w:t>
      </w:r>
      <w:r w:rsidRPr="00524D52">
        <w:rPr>
          <w:i/>
        </w:rPr>
        <w:t>ALK</w:t>
      </w:r>
      <w:r w:rsidR="00C317CB" w:rsidRPr="00524D52">
        <w:rPr>
          <w:i/>
        </w:rPr>
        <w:t>)</w:t>
      </w:r>
      <w:r w:rsidRPr="00524D52">
        <w:t xml:space="preserve"> rearrangements. </w:t>
      </w:r>
      <w:r w:rsidR="00B24591">
        <w:t>The</w:t>
      </w:r>
      <w:r w:rsidR="00C6271F">
        <w:t xml:space="preserve"> main</w:t>
      </w:r>
      <w:r w:rsidR="00B24591">
        <w:t xml:space="preserve"> aim of the study was to </w:t>
      </w:r>
      <w:r w:rsidR="00C6271F">
        <w:t>determine the objective response rate (ORR)</w:t>
      </w:r>
      <w:r w:rsidR="00B24591" w:rsidRPr="00524D52">
        <w:rPr>
          <w:color w:val="auto"/>
          <w:lang w:val="en-GB"/>
        </w:rPr>
        <w:t xml:space="preserve"> in patients with </w:t>
      </w:r>
      <w:r w:rsidR="007B65D1">
        <w:rPr>
          <w:color w:val="auto"/>
          <w:lang w:val="en-GB"/>
        </w:rPr>
        <w:t>or without</w:t>
      </w:r>
      <w:r w:rsidR="00B24591" w:rsidRPr="00524D52">
        <w:rPr>
          <w:color w:val="auto"/>
          <w:lang w:val="en-GB"/>
        </w:rPr>
        <w:t xml:space="preserve"> </w:t>
      </w:r>
      <w:r w:rsidR="00B24591" w:rsidRPr="00524D52">
        <w:rPr>
          <w:i/>
          <w:color w:val="auto"/>
          <w:lang w:val="en-GB"/>
        </w:rPr>
        <w:t>ALK</w:t>
      </w:r>
      <w:r w:rsidR="00B24591" w:rsidRPr="00524D52">
        <w:rPr>
          <w:color w:val="auto"/>
          <w:lang w:val="en-GB"/>
        </w:rPr>
        <w:t xml:space="preserve"> </w:t>
      </w:r>
      <w:r w:rsidR="007B65D1">
        <w:rPr>
          <w:color w:val="auto"/>
          <w:lang w:val="en-GB"/>
        </w:rPr>
        <w:t xml:space="preserve">alterations, with a focus on </w:t>
      </w:r>
      <w:r w:rsidR="007B65D1" w:rsidRPr="00852732">
        <w:rPr>
          <w:i/>
          <w:color w:val="auto"/>
          <w:lang w:val="en-GB"/>
        </w:rPr>
        <w:t xml:space="preserve">ALK </w:t>
      </w:r>
      <w:r w:rsidR="007B65D1">
        <w:rPr>
          <w:color w:val="auto"/>
          <w:lang w:val="en-GB"/>
        </w:rPr>
        <w:t>positive (+) IMFT</w:t>
      </w:r>
      <w:r w:rsidR="00B24591">
        <w:rPr>
          <w:color w:val="auto"/>
          <w:lang w:val="en-GB"/>
        </w:rPr>
        <w:t>.</w:t>
      </w:r>
    </w:p>
    <w:p w14:paraId="108C06FC" w14:textId="77777777" w:rsidR="00976EDD" w:rsidRPr="00524D52" w:rsidRDefault="00976EDD" w:rsidP="002D5A07"/>
    <w:p w14:paraId="7233847F" w14:textId="642B53A0" w:rsidR="00976EDD" w:rsidRPr="00B97C2B" w:rsidRDefault="00976EDD" w:rsidP="002D5A07">
      <w:pPr>
        <w:rPr>
          <w:color w:val="auto"/>
        </w:rPr>
      </w:pPr>
      <w:r w:rsidRPr="00524D52">
        <w:rPr>
          <w:b/>
        </w:rPr>
        <w:t>Methods</w:t>
      </w:r>
      <w:r w:rsidRPr="00524D52">
        <w:t xml:space="preserve">: </w:t>
      </w:r>
      <w:r w:rsidR="00C8418C">
        <w:t xml:space="preserve">Patients </w:t>
      </w:r>
      <w:r w:rsidR="00682A7C">
        <w:t xml:space="preserve">with the local diagnosis of advanced or metastatic IMFT, measurable disease, </w:t>
      </w:r>
      <w:r w:rsidR="00682A7C" w:rsidRPr="001A54B4">
        <w:rPr>
          <w:color w:val="auto"/>
        </w:rPr>
        <w:t>a</w:t>
      </w:r>
      <w:r w:rsidR="00682A7C">
        <w:rPr>
          <w:color w:val="auto"/>
        </w:rPr>
        <w:t>n</w:t>
      </w:r>
      <w:r w:rsidR="00C8418C" w:rsidRPr="001A54B4">
        <w:rPr>
          <w:color w:val="auto"/>
        </w:rPr>
        <w:t xml:space="preserve"> </w:t>
      </w:r>
      <w:r w:rsidR="00682A7C">
        <w:rPr>
          <w:color w:val="auto"/>
        </w:rPr>
        <w:t xml:space="preserve">age of </w:t>
      </w:r>
      <w:r w:rsidR="00C8418C" w:rsidRPr="001A54B4">
        <w:rPr>
          <w:color w:val="auto"/>
        </w:rPr>
        <w:sym w:font="Symbol" w:char="F0B3"/>
      </w:r>
      <w:r w:rsidR="00C8418C" w:rsidRPr="001A54B4">
        <w:rPr>
          <w:color w:val="auto"/>
        </w:rPr>
        <w:t xml:space="preserve">15 years, </w:t>
      </w:r>
      <w:r w:rsidR="00682A7C">
        <w:t>an</w:t>
      </w:r>
      <w:r w:rsidR="00C8418C">
        <w:t xml:space="preserve"> </w:t>
      </w:r>
      <w:r w:rsidR="00C8418C" w:rsidRPr="001A54B4">
        <w:rPr>
          <w:color w:val="auto"/>
        </w:rPr>
        <w:t xml:space="preserve">Eastern Cooperative Oncology Group (ECOG) performance status 0-2, </w:t>
      </w:r>
      <w:r w:rsidR="00682A7C">
        <w:t>and</w:t>
      </w:r>
      <w:r w:rsidR="00C8418C">
        <w:t xml:space="preserve"> </w:t>
      </w:r>
      <w:r w:rsidR="00C8418C" w:rsidRPr="001A54B4">
        <w:rPr>
          <w:color w:val="auto"/>
        </w:rPr>
        <w:t xml:space="preserve">adequate hematological, renal, and liver function </w:t>
      </w:r>
      <w:r w:rsidR="00C8418C">
        <w:t xml:space="preserve">were enrolled in this study. </w:t>
      </w:r>
      <w:r w:rsidR="00372C69">
        <w:t>After central reference pathology</w:t>
      </w:r>
      <w:r w:rsidR="00A63FE7">
        <w:t xml:space="preserve"> for confirmation of the diagnosis</w:t>
      </w:r>
      <w:r w:rsidR="00372C69">
        <w:t>, e</w:t>
      </w:r>
      <w:r w:rsidRPr="00524D52">
        <w:t xml:space="preserve">ligible </w:t>
      </w:r>
      <w:r w:rsidRPr="00524D52">
        <w:rPr>
          <w:i/>
        </w:rPr>
        <w:t>ALK</w:t>
      </w:r>
      <w:r w:rsidRPr="00524D52">
        <w:t xml:space="preserve">+ and </w:t>
      </w:r>
      <w:r w:rsidR="00A63FE7" w:rsidRPr="0028459D">
        <w:rPr>
          <w:i/>
        </w:rPr>
        <w:t xml:space="preserve">ALK </w:t>
      </w:r>
      <w:r w:rsidR="007229E9" w:rsidRPr="00524D52">
        <w:t>negative (-)</w:t>
      </w:r>
      <w:r w:rsidR="008C1F31" w:rsidRPr="00524D52">
        <w:t xml:space="preserve"> </w:t>
      </w:r>
      <w:r w:rsidR="007C604B" w:rsidRPr="00524D52">
        <w:t xml:space="preserve">patients </w:t>
      </w:r>
      <w:r w:rsidR="007229E9" w:rsidRPr="00524D52">
        <w:t>received oral crizotinib</w:t>
      </w:r>
      <w:r w:rsidRPr="00524D52">
        <w:t xml:space="preserve"> 250 mg twice daily</w:t>
      </w:r>
      <w:r w:rsidR="005D20FB">
        <w:t xml:space="preserve">, </w:t>
      </w:r>
      <w:r w:rsidR="005D20FB" w:rsidRPr="001A54B4">
        <w:rPr>
          <w:color w:val="auto"/>
        </w:rPr>
        <w:t>administered on a continuous daily dosing schedule</w:t>
      </w:r>
      <w:r w:rsidRPr="00524D52">
        <w:t xml:space="preserve">. </w:t>
      </w:r>
      <w:r w:rsidR="00063823" w:rsidRPr="00524D52">
        <w:rPr>
          <w:i/>
        </w:rPr>
        <w:t xml:space="preserve">ALK </w:t>
      </w:r>
      <w:r w:rsidR="00063823" w:rsidRPr="00524D52">
        <w:t xml:space="preserve">positivity was </w:t>
      </w:r>
      <w:r w:rsidR="00063823">
        <w:t xml:space="preserve">assessed centrally using immunohistochemistry and fluorescence </w:t>
      </w:r>
      <w:r w:rsidR="00063823" w:rsidRPr="00852732">
        <w:rPr>
          <w:i/>
        </w:rPr>
        <w:t>in situ</w:t>
      </w:r>
      <w:r w:rsidR="00063823">
        <w:t xml:space="preserve"> hybridization based on archival tumor tissue, and was </w:t>
      </w:r>
      <w:r w:rsidR="00063823" w:rsidRPr="00524D52">
        <w:t>defined as</w:t>
      </w:r>
      <w:r w:rsidR="00063823">
        <w:t xml:space="preserve"> either</w:t>
      </w:r>
      <w:r w:rsidR="00063823" w:rsidRPr="00524D52">
        <w:t xml:space="preserve"> </w:t>
      </w:r>
      <w:r w:rsidR="00063823">
        <w:t xml:space="preserve">ALK immunopositivity or rearrangement in </w:t>
      </w:r>
      <w:r w:rsidR="00063823" w:rsidRPr="00524D52">
        <w:rPr>
          <w:u w:val="single"/>
        </w:rPr>
        <w:t>&gt;</w:t>
      </w:r>
      <w:r w:rsidR="00063823" w:rsidRPr="00524D52">
        <w:t>15% o</w:t>
      </w:r>
      <w:r w:rsidR="00063823">
        <w:t>f tumor cells</w:t>
      </w:r>
      <w:r w:rsidR="00063823" w:rsidRPr="00524D52">
        <w:t xml:space="preserve">. </w:t>
      </w:r>
      <w:r w:rsidR="00063823" w:rsidRPr="00763915">
        <w:t>Th</w:t>
      </w:r>
      <w:r w:rsidR="00063823">
        <w:t>e study</w:t>
      </w:r>
      <w:r w:rsidR="00063823" w:rsidRPr="00763915">
        <w:t xml:space="preserve"> was an </w:t>
      </w:r>
      <w:r w:rsidR="00063823" w:rsidRPr="00763915">
        <w:rPr>
          <w:color w:val="auto"/>
          <w:lang w:val="en-GB"/>
        </w:rPr>
        <w:t>open-label, two-stage phase 2 trial</w:t>
      </w:r>
      <w:r w:rsidR="00063823">
        <w:t>.</w:t>
      </w:r>
      <w:r w:rsidRPr="00524D52">
        <w:t xml:space="preserve"> If </w:t>
      </w:r>
      <w:r w:rsidR="00122394" w:rsidRPr="00524D52">
        <w:rPr>
          <w:u w:val="single"/>
        </w:rPr>
        <w:t>&gt;</w:t>
      </w:r>
      <w:r w:rsidRPr="00524D52">
        <w:t>2 out of the first 12 eligible and evaluabl</w:t>
      </w:r>
      <w:r w:rsidR="00122394" w:rsidRPr="00524D52">
        <w:t xml:space="preserve">e </w:t>
      </w:r>
      <w:r w:rsidRPr="00524D52">
        <w:rPr>
          <w:i/>
        </w:rPr>
        <w:t>ALK+</w:t>
      </w:r>
      <w:r w:rsidRPr="00524D52">
        <w:t xml:space="preserve"> </w:t>
      </w:r>
      <w:r w:rsidR="00BF40D5" w:rsidRPr="00524D52">
        <w:t>patients</w:t>
      </w:r>
      <w:r w:rsidRPr="00524D52">
        <w:t xml:space="preserve"> achieved a confirmed RECIST 1.1 partial or complete response (PR, CR), a maximum of 35 </w:t>
      </w:r>
      <w:r w:rsidR="00BF40D5" w:rsidRPr="00524D52">
        <w:t>patients</w:t>
      </w:r>
      <w:r w:rsidRPr="00524D52">
        <w:t xml:space="preserve"> were to be enrolled. If </w:t>
      </w:r>
      <w:r w:rsidR="00122394" w:rsidRPr="00524D52">
        <w:rPr>
          <w:u w:val="single"/>
        </w:rPr>
        <w:t>&gt;</w:t>
      </w:r>
      <w:r w:rsidRPr="00524D52">
        <w:t xml:space="preserve">6 </w:t>
      </w:r>
      <w:r w:rsidR="00063823" w:rsidRPr="00524D52">
        <w:rPr>
          <w:i/>
        </w:rPr>
        <w:t>ALK</w:t>
      </w:r>
      <w:r w:rsidR="00063823">
        <w:t>+</w:t>
      </w:r>
      <w:r w:rsidR="00063823" w:rsidRPr="00524D52">
        <w:t xml:space="preserve"> </w:t>
      </w:r>
      <w:r w:rsidR="00063823">
        <w:t xml:space="preserve">patients </w:t>
      </w:r>
      <w:r w:rsidRPr="00524D52">
        <w:t xml:space="preserve">achieved a confirmed response, the </w:t>
      </w:r>
      <w:r w:rsidR="0047136B">
        <w:t xml:space="preserve">trial </w:t>
      </w:r>
      <w:r w:rsidRPr="00524D52">
        <w:t>would be deemed successful.</w:t>
      </w:r>
      <w:r w:rsidR="00814335">
        <w:t xml:space="preserve"> </w:t>
      </w:r>
      <w:r w:rsidR="00814335" w:rsidRPr="001A54B4">
        <w:rPr>
          <w:color w:val="auto"/>
        </w:rPr>
        <w:t xml:space="preserve">The primary endpoint was </w:t>
      </w:r>
      <w:r w:rsidR="0047136B">
        <w:rPr>
          <w:color w:val="auto"/>
        </w:rPr>
        <w:t xml:space="preserve">ORR </w:t>
      </w:r>
      <w:r w:rsidR="00814335" w:rsidRPr="001A54B4">
        <w:rPr>
          <w:color w:val="auto"/>
        </w:rPr>
        <w:t>per RECIST version 1</w:t>
      </w:r>
      <w:r w:rsidR="00814335" w:rsidRPr="001A54B4">
        <w:rPr>
          <w:bCs/>
          <w:color w:val="auto"/>
        </w:rPr>
        <w:t>·</w:t>
      </w:r>
      <w:r w:rsidR="00814335" w:rsidRPr="001A54B4">
        <w:rPr>
          <w:color w:val="auto"/>
        </w:rPr>
        <w:t>1</w:t>
      </w:r>
      <w:r w:rsidR="0043033D">
        <w:rPr>
          <w:color w:val="auto"/>
        </w:rPr>
        <w:t xml:space="preserve"> </w:t>
      </w:r>
      <w:r w:rsidR="0043033D" w:rsidRPr="001A54B4">
        <w:rPr>
          <w:color w:val="auto"/>
        </w:rPr>
        <w:t>with response confirmation, ass</w:t>
      </w:r>
      <w:r w:rsidR="0043033D">
        <w:rPr>
          <w:color w:val="auto"/>
        </w:rPr>
        <w:t>essed by the local investigator</w:t>
      </w:r>
      <w:r w:rsidR="0047136B">
        <w:rPr>
          <w:color w:val="auto"/>
        </w:rPr>
        <w:t>.</w:t>
      </w:r>
      <w:r w:rsidR="0043033D">
        <w:rPr>
          <w:color w:val="auto"/>
        </w:rPr>
        <w:t xml:space="preserve"> </w:t>
      </w:r>
      <w:r w:rsidR="0047136B">
        <w:rPr>
          <w:color w:val="auto"/>
        </w:rPr>
        <w:t xml:space="preserve">The </w:t>
      </w:r>
      <w:r w:rsidR="0043033D" w:rsidRPr="001A54B4">
        <w:rPr>
          <w:color w:val="auto"/>
        </w:rPr>
        <w:t xml:space="preserve">activity </w:t>
      </w:r>
      <w:r w:rsidR="0047136B">
        <w:rPr>
          <w:color w:val="auto"/>
        </w:rPr>
        <w:t xml:space="preserve">and safety </w:t>
      </w:r>
      <w:r w:rsidR="0043033D" w:rsidRPr="001A54B4">
        <w:rPr>
          <w:color w:val="auto"/>
        </w:rPr>
        <w:t>endpoints were analyzed in the per protocol population</w:t>
      </w:r>
      <w:r w:rsidR="0047136B">
        <w:rPr>
          <w:color w:val="auto"/>
        </w:rPr>
        <w:t xml:space="preserve"> and this paper presents the final analysis of this completed clinical trial (</w:t>
      </w:r>
      <w:r w:rsidR="0047136B" w:rsidRPr="00B97C2B">
        <w:rPr>
          <w:rStyle w:val="Hyperlink"/>
          <w:color w:val="auto"/>
          <w:u w:val="none"/>
        </w:rPr>
        <w:t>EORTC 90101,</w:t>
      </w:r>
      <w:r w:rsidR="0047136B" w:rsidRPr="001A54B4">
        <w:rPr>
          <w:rStyle w:val="Hyperlink"/>
          <w:color w:val="auto"/>
        </w:rPr>
        <w:t xml:space="preserve"> </w:t>
      </w:r>
      <w:hyperlink r:id="rId15" w:tgtFrame="_blank" w:history="1">
        <w:r w:rsidR="0047136B" w:rsidRPr="001A54B4">
          <w:rPr>
            <w:color w:val="auto"/>
          </w:rPr>
          <w:t>NCT01524926</w:t>
        </w:r>
      </w:hyperlink>
      <w:r w:rsidR="0047136B">
        <w:rPr>
          <w:color w:val="auto"/>
        </w:rPr>
        <w:t>)</w:t>
      </w:r>
      <w:r w:rsidR="003B08EA">
        <w:rPr>
          <w:color w:val="auto"/>
        </w:rPr>
        <w:t xml:space="preserve">. </w:t>
      </w:r>
    </w:p>
    <w:p w14:paraId="2431E289" w14:textId="77777777" w:rsidR="00976EDD" w:rsidRPr="00524D52" w:rsidRDefault="00976EDD" w:rsidP="002D5A07"/>
    <w:p w14:paraId="3D6F0029" w14:textId="5FC0B889" w:rsidR="00976EDD" w:rsidRPr="00524D52" w:rsidRDefault="00347F0C" w:rsidP="002D5A07">
      <w:r w:rsidRPr="00524D52">
        <w:rPr>
          <w:b/>
        </w:rPr>
        <w:t>Findings</w:t>
      </w:r>
      <w:r w:rsidR="00976EDD" w:rsidRPr="00524D52">
        <w:t xml:space="preserve">: </w:t>
      </w:r>
      <w:r w:rsidR="00BF40D5" w:rsidRPr="00524D52">
        <w:t>Among</w:t>
      </w:r>
      <w:r w:rsidR="00976EDD" w:rsidRPr="00524D52">
        <w:t xml:space="preserve"> 35 </w:t>
      </w:r>
      <w:r w:rsidR="00BF40D5" w:rsidRPr="00524D52">
        <w:t>recruited patients</w:t>
      </w:r>
      <w:r w:rsidR="00976EDD" w:rsidRPr="00524D52">
        <w:t xml:space="preserve"> with </w:t>
      </w:r>
      <w:r w:rsidR="0040010D" w:rsidRPr="00524D52">
        <w:t>local diagnos</w:t>
      </w:r>
      <w:r w:rsidR="0040010D">
        <w:t>is of</w:t>
      </w:r>
      <w:r w:rsidR="0040010D" w:rsidRPr="00524D52">
        <w:t xml:space="preserve"> IMFT, 20 had </w:t>
      </w:r>
      <w:r w:rsidR="0040010D">
        <w:t>a</w:t>
      </w:r>
      <w:r w:rsidR="00976EDD" w:rsidRPr="00524D52">
        <w:t xml:space="preserve"> centrally c</w:t>
      </w:r>
      <w:r w:rsidR="005A2941" w:rsidRPr="00524D52">
        <w:t xml:space="preserve">onfirmed </w:t>
      </w:r>
      <w:r w:rsidR="004B03C2" w:rsidRPr="00524D52">
        <w:t xml:space="preserve">IMFT </w:t>
      </w:r>
      <w:r w:rsidR="005A2941" w:rsidRPr="00524D52">
        <w:t xml:space="preserve">and </w:t>
      </w:r>
      <w:r w:rsidR="004B03C2" w:rsidRPr="00524D52">
        <w:t>received</w:t>
      </w:r>
      <w:r w:rsidR="005A2941" w:rsidRPr="00524D52">
        <w:t xml:space="preserve"> </w:t>
      </w:r>
      <w:r w:rsidR="00B56E51">
        <w:t xml:space="preserve">treatment with </w:t>
      </w:r>
      <w:r w:rsidR="005A2941" w:rsidRPr="00524D52">
        <w:t>crizotinib</w:t>
      </w:r>
      <w:r w:rsidR="00976EDD" w:rsidRPr="00524D52">
        <w:t xml:space="preserve">. Among 12 eligible and evaluable </w:t>
      </w:r>
      <w:r w:rsidR="00976EDD" w:rsidRPr="00524D52">
        <w:rPr>
          <w:i/>
        </w:rPr>
        <w:t>ALK+</w:t>
      </w:r>
      <w:r w:rsidR="00976EDD" w:rsidRPr="00524D52">
        <w:t xml:space="preserve"> </w:t>
      </w:r>
      <w:r w:rsidR="00BF40D5" w:rsidRPr="00524D52">
        <w:t>patients</w:t>
      </w:r>
      <w:r w:rsidR="00976EDD" w:rsidRPr="00524D52">
        <w:t xml:space="preserve">, </w:t>
      </w:r>
      <w:r w:rsidR="00B56E51">
        <w:t>6</w:t>
      </w:r>
      <w:r w:rsidR="00B56E51" w:rsidRPr="00524D52">
        <w:t xml:space="preserve"> </w:t>
      </w:r>
      <w:r w:rsidR="007229E9" w:rsidRPr="00524D52">
        <w:t>achieved a confirmed PR or CR, one</w:t>
      </w:r>
      <w:r w:rsidR="0071588E" w:rsidRPr="00524D52">
        <w:t xml:space="preserve"> a non-confirmed PR and </w:t>
      </w:r>
      <w:r w:rsidR="00B56E51">
        <w:t>5</w:t>
      </w:r>
      <w:r w:rsidR="00B56E51" w:rsidRPr="00524D52">
        <w:t xml:space="preserve"> </w:t>
      </w:r>
      <w:r w:rsidR="00976EDD" w:rsidRPr="00524D52">
        <w:t xml:space="preserve">had stable disease (SD) </w:t>
      </w:r>
      <w:r w:rsidR="00D63C77" w:rsidRPr="00524D52">
        <w:t>(ORR:</w:t>
      </w:r>
      <w:r w:rsidR="002171EF">
        <w:t xml:space="preserve"> </w:t>
      </w:r>
      <w:r w:rsidR="00976EDD" w:rsidRPr="00524D52">
        <w:t>50</w:t>
      </w:r>
      <w:r w:rsidR="002F119A" w:rsidRPr="00524D52">
        <w:t>·</w:t>
      </w:r>
      <w:r w:rsidR="00976EDD" w:rsidRPr="00524D52">
        <w:t>0%</w:t>
      </w:r>
      <w:r w:rsidR="000719DD" w:rsidRPr="00524D52">
        <w:t xml:space="preserve">, 95% confidence interval (CI): </w:t>
      </w:r>
      <w:r w:rsidR="00976EDD" w:rsidRPr="00524D52">
        <w:t>21</w:t>
      </w:r>
      <w:r w:rsidR="00122394" w:rsidRPr="00524D52">
        <w:t>·</w:t>
      </w:r>
      <w:r w:rsidR="00976EDD" w:rsidRPr="00524D52">
        <w:t>1-78</w:t>
      </w:r>
      <w:r w:rsidR="00122394" w:rsidRPr="00524D52">
        <w:t>·</w:t>
      </w:r>
      <w:r w:rsidR="00976EDD" w:rsidRPr="00524D52">
        <w:t xml:space="preserve">9%). Further efficacy endpoints in </w:t>
      </w:r>
      <w:r w:rsidR="00B56E51">
        <w:t xml:space="preserve">patients with </w:t>
      </w:r>
      <w:r w:rsidR="00976EDD" w:rsidRPr="00524D52">
        <w:rPr>
          <w:i/>
        </w:rPr>
        <w:t>ALK+</w:t>
      </w:r>
      <w:r w:rsidR="00976EDD" w:rsidRPr="00524D52">
        <w:t xml:space="preserve"> </w:t>
      </w:r>
      <w:r w:rsidR="00B56E51">
        <w:t>tumors</w:t>
      </w:r>
      <w:r w:rsidR="00B56E51" w:rsidRPr="00524D52">
        <w:t xml:space="preserve"> </w:t>
      </w:r>
      <w:r w:rsidR="00976EDD" w:rsidRPr="00524D52">
        <w:t>were a disease control rate (DCR=CR, PR</w:t>
      </w:r>
      <w:r w:rsidR="008D5D20" w:rsidRPr="00524D52">
        <w:t>,</w:t>
      </w:r>
      <w:r w:rsidR="00976EDD" w:rsidRPr="00524D52">
        <w:t xml:space="preserve"> or SD) of 100</w:t>
      </w:r>
      <w:r w:rsidR="00122394" w:rsidRPr="00524D52">
        <w:t>·</w:t>
      </w:r>
      <w:r w:rsidR="00976EDD" w:rsidRPr="00524D52">
        <w:t>0% (95% CI</w:t>
      </w:r>
      <w:r w:rsidR="000518F9" w:rsidRPr="00524D52">
        <w:t>:</w:t>
      </w:r>
      <w:r w:rsidR="002F119A" w:rsidRPr="00524D52">
        <w:t xml:space="preserve"> </w:t>
      </w:r>
      <w:r w:rsidR="000518F9" w:rsidRPr="00524D52">
        <w:t>73</w:t>
      </w:r>
      <w:r w:rsidR="00122394" w:rsidRPr="00524D52">
        <w:t>·</w:t>
      </w:r>
      <w:r w:rsidR="000518F9" w:rsidRPr="00524D52">
        <w:t>5</w:t>
      </w:r>
      <w:r w:rsidR="000719DD" w:rsidRPr="00524D52">
        <w:t>-</w:t>
      </w:r>
      <w:r w:rsidR="00976EDD" w:rsidRPr="00524D52">
        <w:t>100</w:t>
      </w:r>
      <w:r w:rsidR="00122394" w:rsidRPr="00524D52">
        <w:t>·</w:t>
      </w:r>
      <w:r w:rsidR="00976EDD" w:rsidRPr="00524D52">
        <w:t>0%), a 1-year progression</w:t>
      </w:r>
      <w:r w:rsidR="0035290B" w:rsidRPr="00524D52">
        <w:t>-</w:t>
      </w:r>
      <w:r w:rsidR="00976EDD" w:rsidRPr="00524D52">
        <w:t xml:space="preserve">free </w:t>
      </w:r>
      <w:r w:rsidR="0035290B" w:rsidRPr="00524D52">
        <w:t xml:space="preserve">survival </w:t>
      </w:r>
      <w:r w:rsidR="00976EDD" w:rsidRPr="00524D52">
        <w:t>rate (PFR) of 73</w:t>
      </w:r>
      <w:r w:rsidR="00122394" w:rsidRPr="00524D52">
        <w:t>·</w:t>
      </w:r>
      <w:r w:rsidR="00976EDD" w:rsidRPr="00524D52">
        <w:t>3 % (95% CI</w:t>
      </w:r>
      <w:r w:rsidR="000719DD" w:rsidRPr="00524D52">
        <w:t xml:space="preserve">: </w:t>
      </w:r>
      <w:r w:rsidR="00976EDD" w:rsidRPr="00524D52">
        <w:t>37</w:t>
      </w:r>
      <w:r w:rsidR="00122394" w:rsidRPr="00524D52">
        <w:t>·</w:t>
      </w:r>
      <w:r w:rsidR="00976EDD" w:rsidRPr="00524D52">
        <w:t>9-90</w:t>
      </w:r>
      <w:r w:rsidR="00122394" w:rsidRPr="00524D52">
        <w:t>·</w:t>
      </w:r>
      <w:r w:rsidR="00976EDD" w:rsidRPr="00524D52">
        <w:t>6%) and a 1-year OS rate (OSR) of 81</w:t>
      </w:r>
      <w:r w:rsidR="00122394" w:rsidRPr="00524D52">
        <w:t>·</w:t>
      </w:r>
      <w:r w:rsidR="00976EDD" w:rsidRPr="00524D52">
        <w:t>8% (95% CI</w:t>
      </w:r>
      <w:r w:rsidR="000719DD" w:rsidRPr="00524D52">
        <w:t>:</w:t>
      </w:r>
      <w:r w:rsidR="00976EDD" w:rsidRPr="00524D52">
        <w:t xml:space="preserve"> 44</w:t>
      </w:r>
      <w:r w:rsidR="00122394" w:rsidRPr="00524D52">
        <w:t>·</w:t>
      </w:r>
      <w:r w:rsidR="000719DD" w:rsidRPr="00524D52">
        <w:t>7-</w:t>
      </w:r>
      <w:r w:rsidR="00976EDD" w:rsidRPr="00524D52">
        <w:t>95</w:t>
      </w:r>
      <w:r w:rsidR="00122394" w:rsidRPr="00524D52">
        <w:t>·</w:t>
      </w:r>
      <w:r w:rsidR="00976EDD" w:rsidRPr="00524D52">
        <w:t xml:space="preserve">1%). Among </w:t>
      </w:r>
      <w:r w:rsidR="0086788A">
        <w:t>7</w:t>
      </w:r>
      <w:r w:rsidR="0086788A" w:rsidRPr="00524D52">
        <w:t xml:space="preserve"> </w:t>
      </w:r>
      <w:r w:rsidR="00976EDD" w:rsidRPr="00524D52">
        <w:t xml:space="preserve">eligible and evaluable </w:t>
      </w:r>
      <w:r w:rsidR="00976EDD" w:rsidRPr="00524D52">
        <w:rPr>
          <w:i/>
        </w:rPr>
        <w:t>ALK-</w:t>
      </w:r>
      <w:r w:rsidR="007229E9" w:rsidRPr="00524D52">
        <w:t xml:space="preserve"> </w:t>
      </w:r>
      <w:r w:rsidR="00BF40D5" w:rsidRPr="00524D52">
        <w:t>patients</w:t>
      </w:r>
      <w:r w:rsidR="00122394" w:rsidRPr="00524D52">
        <w:t xml:space="preserve">, one achieved </w:t>
      </w:r>
      <w:r w:rsidR="007229E9" w:rsidRPr="00524D52">
        <w:t xml:space="preserve">PR, </w:t>
      </w:r>
      <w:r w:rsidR="0086788A">
        <w:t>5</w:t>
      </w:r>
      <w:r w:rsidR="0086788A" w:rsidRPr="00524D52">
        <w:t xml:space="preserve"> </w:t>
      </w:r>
      <w:r w:rsidR="007229E9" w:rsidRPr="00524D52">
        <w:t>had SD and one</w:t>
      </w:r>
      <w:r w:rsidR="00976EDD" w:rsidRPr="00524D52">
        <w:t xml:space="preserve"> had </w:t>
      </w:r>
      <w:r w:rsidR="003A7128">
        <w:t>progressive disease</w:t>
      </w:r>
      <w:r w:rsidR="003A7128" w:rsidRPr="00524D52">
        <w:t xml:space="preserve"> </w:t>
      </w:r>
      <w:r w:rsidR="00976EDD" w:rsidRPr="00524D52">
        <w:t>(ORR</w:t>
      </w:r>
      <w:r w:rsidR="000719DD" w:rsidRPr="00524D52">
        <w:t>:</w:t>
      </w:r>
      <w:r w:rsidR="00976EDD" w:rsidRPr="00524D52">
        <w:t xml:space="preserve"> 14</w:t>
      </w:r>
      <w:r w:rsidR="00122394" w:rsidRPr="00524D52">
        <w:t>·</w:t>
      </w:r>
      <w:r w:rsidR="00976EDD" w:rsidRPr="00524D52">
        <w:t>3%, 95% CI</w:t>
      </w:r>
      <w:r w:rsidR="000719DD" w:rsidRPr="00524D52">
        <w:t>:</w:t>
      </w:r>
      <w:r w:rsidR="00976EDD" w:rsidRPr="00524D52">
        <w:t xml:space="preserve"> 0</w:t>
      </w:r>
      <w:r w:rsidR="00122394" w:rsidRPr="00524D52">
        <w:t>·</w:t>
      </w:r>
      <w:r w:rsidR="00976EDD" w:rsidRPr="00524D52">
        <w:t>0</w:t>
      </w:r>
      <w:r w:rsidR="000719DD" w:rsidRPr="00524D52">
        <w:t>-</w:t>
      </w:r>
      <w:r w:rsidR="00976EDD" w:rsidRPr="00524D52">
        <w:t>57</w:t>
      </w:r>
      <w:r w:rsidR="00122394" w:rsidRPr="00524D52">
        <w:t>·</w:t>
      </w:r>
      <w:r w:rsidR="00976EDD" w:rsidRPr="00524D52">
        <w:t xml:space="preserve">9%). Further efficacy endpoints in </w:t>
      </w:r>
      <w:r w:rsidR="00976EDD" w:rsidRPr="00524D52">
        <w:rPr>
          <w:i/>
        </w:rPr>
        <w:t>ALK-</w:t>
      </w:r>
      <w:r w:rsidR="00976EDD" w:rsidRPr="00524D52">
        <w:t xml:space="preserve"> cases were a DCR of 85</w:t>
      </w:r>
      <w:r w:rsidR="00122394" w:rsidRPr="00524D52">
        <w:t>·</w:t>
      </w:r>
      <w:r w:rsidR="00976EDD" w:rsidRPr="00524D52">
        <w:t>7% (95% CI</w:t>
      </w:r>
      <w:r w:rsidR="000719DD" w:rsidRPr="00524D52">
        <w:t>:</w:t>
      </w:r>
      <w:r w:rsidR="00976EDD" w:rsidRPr="00524D52">
        <w:t xml:space="preserve"> </w:t>
      </w:r>
      <w:r w:rsidR="00F80EAF" w:rsidRPr="00524D52">
        <w:t>42</w:t>
      </w:r>
      <w:r w:rsidR="00122394" w:rsidRPr="00524D52">
        <w:t>·</w:t>
      </w:r>
      <w:r w:rsidR="00F80EAF" w:rsidRPr="00524D52">
        <w:t>1-99</w:t>
      </w:r>
      <w:r w:rsidR="00122394" w:rsidRPr="00524D52">
        <w:t>·</w:t>
      </w:r>
      <w:r w:rsidR="00F80EAF" w:rsidRPr="00524D52">
        <w:t>6</w:t>
      </w:r>
      <w:r w:rsidR="00976EDD" w:rsidRPr="00524D52">
        <w:t>%), a 1-year PFR</w:t>
      </w:r>
      <w:r w:rsidR="002171EF">
        <w:t xml:space="preserve"> of</w:t>
      </w:r>
      <w:r w:rsidR="00976EDD" w:rsidRPr="00524D52">
        <w:t xml:space="preserve"> 53</w:t>
      </w:r>
      <w:r w:rsidR="00122394" w:rsidRPr="00524D52">
        <w:t>·</w:t>
      </w:r>
      <w:r w:rsidR="00976EDD" w:rsidRPr="00524D52">
        <w:t>6 % (95% CI</w:t>
      </w:r>
      <w:r w:rsidR="000719DD" w:rsidRPr="00524D52">
        <w:t>:</w:t>
      </w:r>
      <w:r w:rsidR="00976EDD" w:rsidRPr="00524D52">
        <w:t xml:space="preserve"> 13</w:t>
      </w:r>
      <w:r w:rsidR="00122394" w:rsidRPr="00524D52">
        <w:t>·</w:t>
      </w:r>
      <w:r w:rsidR="00976EDD" w:rsidRPr="00524D52">
        <w:t>2-82</w:t>
      </w:r>
      <w:r w:rsidR="00122394" w:rsidRPr="00524D52">
        <w:t>·</w:t>
      </w:r>
      <w:r w:rsidR="00976EDD" w:rsidRPr="00524D52">
        <w:t>5%) and 1-year OSR of 83</w:t>
      </w:r>
      <w:r w:rsidR="00122394" w:rsidRPr="00524D52">
        <w:t>·</w:t>
      </w:r>
      <w:r w:rsidR="00976EDD" w:rsidRPr="00524D52">
        <w:t>3% (95% CI</w:t>
      </w:r>
      <w:r w:rsidR="000719DD" w:rsidRPr="00524D52">
        <w:t>:</w:t>
      </w:r>
      <w:r w:rsidR="00976EDD" w:rsidRPr="00524D52">
        <w:t xml:space="preserve"> 27</w:t>
      </w:r>
      <w:r w:rsidR="00122394" w:rsidRPr="00524D52">
        <w:t>·</w:t>
      </w:r>
      <w:r w:rsidR="00976EDD" w:rsidRPr="00524D52">
        <w:t>3</w:t>
      </w:r>
      <w:r w:rsidR="000719DD" w:rsidRPr="00524D52">
        <w:t>-</w:t>
      </w:r>
      <w:r w:rsidR="00976EDD" w:rsidRPr="00524D52">
        <w:t>97</w:t>
      </w:r>
      <w:r w:rsidR="00122394" w:rsidRPr="00524D52">
        <w:t>·5%). C</w:t>
      </w:r>
      <w:r w:rsidR="00976EDD" w:rsidRPr="00524D52">
        <w:t>o</w:t>
      </w:r>
      <w:r w:rsidR="007229E9" w:rsidRPr="00524D52">
        <w:t xml:space="preserve">mmon adverse events </w:t>
      </w:r>
      <w:r w:rsidR="003A7128">
        <w:t>included</w:t>
      </w:r>
      <w:r w:rsidR="003A7128" w:rsidRPr="00524D52">
        <w:t xml:space="preserve"> </w:t>
      </w:r>
      <w:r w:rsidR="00976EDD" w:rsidRPr="00524D52">
        <w:t>nausea (11/20</w:t>
      </w:r>
      <w:r w:rsidR="003B5A3D" w:rsidRPr="00524D52">
        <w:t xml:space="preserve"> </w:t>
      </w:r>
      <w:r w:rsidR="00976EDD" w:rsidRPr="00524D52">
        <w:t xml:space="preserve">[55%]), fatigue (9/20 [45%]), blurred vision (9/20 [45%]), vomiting (7/20 [35%]), and diarrhea (7/20 [35%]). </w:t>
      </w:r>
      <w:r w:rsidR="003A7128" w:rsidRPr="001A54B4">
        <w:rPr>
          <w:color w:val="auto"/>
        </w:rPr>
        <w:t>Treatment-related grade 3/4 adverse events were fatigue, weight gai</w:t>
      </w:r>
      <w:r w:rsidR="003A7128">
        <w:rPr>
          <w:color w:val="auto"/>
        </w:rPr>
        <w:t>n</w:t>
      </w:r>
      <w:r w:rsidR="003A7128" w:rsidRPr="001A54B4">
        <w:rPr>
          <w:color w:val="auto"/>
        </w:rPr>
        <w:t xml:space="preserve">, </w:t>
      </w:r>
      <w:r w:rsidR="003A7128">
        <w:rPr>
          <w:color w:val="auto"/>
        </w:rPr>
        <w:t xml:space="preserve">and </w:t>
      </w:r>
      <w:r w:rsidR="003A7128" w:rsidRPr="001A54B4">
        <w:rPr>
          <w:color w:val="auto"/>
        </w:rPr>
        <w:t>hepatic failure</w:t>
      </w:r>
      <w:r w:rsidR="003A7128">
        <w:rPr>
          <w:color w:val="auto"/>
        </w:rPr>
        <w:t>/</w:t>
      </w:r>
      <w:r w:rsidR="003A7128" w:rsidRPr="001A54B4">
        <w:rPr>
          <w:color w:val="auto"/>
        </w:rPr>
        <w:t>sepsis (one patient</w:t>
      </w:r>
      <w:r w:rsidR="003A7128">
        <w:rPr>
          <w:color w:val="auto"/>
        </w:rPr>
        <w:t xml:space="preserve"> each</w:t>
      </w:r>
      <w:r w:rsidR="003A7128" w:rsidRPr="001A54B4">
        <w:rPr>
          <w:color w:val="auto"/>
        </w:rPr>
        <w:t>).</w:t>
      </w:r>
      <w:r w:rsidR="003A7128">
        <w:rPr>
          <w:color w:val="auto"/>
        </w:rPr>
        <w:t xml:space="preserve"> </w:t>
      </w:r>
      <w:r w:rsidR="003A7128" w:rsidRPr="001A54B4">
        <w:rPr>
          <w:color w:val="auto"/>
        </w:rPr>
        <w:t>A total of 8 serious adverse events were observed in 5 patients</w:t>
      </w:r>
      <w:r w:rsidR="003A7128">
        <w:rPr>
          <w:color w:val="auto"/>
        </w:rPr>
        <w:t xml:space="preserve">, which </w:t>
      </w:r>
      <w:r w:rsidR="003A7128" w:rsidRPr="001A54B4">
        <w:rPr>
          <w:color w:val="auto"/>
        </w:rPr>
        <w:t>included cases of pneumonia, fever of unknown cause, a heart attack with increase in creatinine and possible sepsis, abdominal abscess with acute renal insufficiency, and one</w:t>
      </w:r>
      <w:r w:rsidR="003A7128">
        <w:rPr>
          <w:color w:val="auto"/>
        </w:rPr>
        <w:t xml:space="preserve"> patient with</w:t>
      </w:r>
      <w:r w:rsidR="003A7128" w:rsidRPr="001A54B4">
        <w:rPr>
          <w:color w:val="auto"/>
        </w:rPr>
        <w:t xml:space="preserve"> QT prolongation.</w:t>
      </w:r>
    </w:p>
    <w:p w14:paraId="2FBC8AC7" w14:textId="77777777" w:rsidR="00976EDD" w:rsidRPr="00524D52" w:rsidRDefault="00976EDD" w:rsidP="002D5A07"/>
    <w:p w14:paraId="6798179B" w14:textId="145DA786" w:rsidR="000578AA" w:rsidRPr="00524D52" w:rsidRDefault="00071DF6" w:rsidP="002D5A07">
      <w:r w:rsidRPr="00524D52">
        <w:rPr>
          <w:b/>
        </w:rPr>
        <w:t>Interpretation</w:t>
      </w:r>
      <w:r w:rsidR="00122394" w:rsidRPr="00524D52">
        <w:t xml:space="preserve">: With an ORR of 50%, </w:t>
      </w:r>
      <w:r w:rsidR="00976EDD" w:rsidRPr="00524D52">
        <w:t xml:space="preserve">a DCR of 100% </w:t>
      </w:r>
      <w:r w:rsidR="00122394" w:rsidRPr="00524D52">
        <w:t xml:space="preserve">and long-lasting progression arrest in the vast majority of </w:t>
      </w:r>
      <w:r w:rsidR="00122394" w:rsidRPr="00524D52">
        <w:rPr>
          <w:i/>
        </w:rPr>
        <w:t>ALK+</w:t>
      </w:r>
      <w:r w:rsidR="00122394" w:rsidRPr="00524D52">
        <w:t xml:space="preserve"> patients</w:t>
      </w:r>
      <w:r w:rsidR="005A2941" w:rsidRPr="00524D52">
        <w:t>, crizotinib</w:t>
      </w:r>
      <w:r w:rsidR="00976EDD" w:rsidRPr="00524D52">
        <w:t xml:space="preserve"> met </w:t>
      </w:r>
      <w:r w:rsidR="00122394" w:rsidRPr="00524D52">
        <w:t xml:space="preserve">the </w:t>
      </w:r>
      <w:r w:rsidR="00976EDD" w:rsidRPr="00524D52">
        <w:t>pre-s</w:t>
      </w:r>
      <w:r w:rsidR="00122394" w:rsidRPr="00524D52">
        <w:t xml:space="preserve">pecified success criteria in this trial. </w:t>
      </w:r>
      <w:r w:rsidR="00020554">
        <w:t xml:space="preserve">To the best of our knowledge, </w:t>
      </w:r>
      <w:r w:rsidR="00AC323D">
        <w:t>EORTC 90101</w:t>
      </w:r>
      <w:r w:rsidR="00AC323D" w:rsidRPr="00DB248E">
        <w:t xml:space="preserve"> is the largest prospective series of </w:t>
      </w:r>
      <w:r w:rsidR="00AC323D">
        <w:t xml:space="preserve">treated </w:t>
      </w:r>
      <w:r w:rsidR="00AC323D" w:rsidRPr="00DB248E">
        <w:t>IMFT cases</w:t>
      </w:r>
      <w:r w:rsidR="00AC323D">
        <w:t xml:space="preserve"> in the literature, and the results presented here </w:t>
      </w:r>
      <w:r w:rsidR="00AC323D" w:rsidRPr="00524D52">
        <w:t xml:space="preserve">support the rationale for inhibiting ALK in </w:t>
      </w:r>
      <w:r w:rsidR="00AC323D">
        <w:t>this disease.</w:t>
      </w:r>
      <w:r w:rsidR="00AC323D" w:rsidRPr="00524D52">
        <w:t xml:space="preserve"> </w:t>
      </w:r>
      <w:r w:rsidR="00122394" w:rsidRPr="00524D52">
        <w:t>C</w:t>
      </w:r>
      <w:r w:rsidR="005A2941" w:rsidRPr="00524D52">
        <w:t>rizotinib</w:t>
      </w:r>
      <w:r w:rsidR="00976EDD" w:rsidRPr="00524D52">
        <w:t xml:space="preserve"> should be </w:t>
      </w:r>
      <w:r w:rsidR="00122394" w:rsidRPr="00524D52">
        <w:t xml:space="preserve">considered </w:t>
      </w:r>
      <w:r w:rsidR="00420C27" w:rsidRPr="00524D52">
        <w:t>standard-of-</w:t>
      </w:r>
      <w:r w:rsidR="00976EDD" w:rsidRPr="00524D52">
        <w:t xml:space="preserve">care </w:t>
      </w:r>
      <w:r w:rsidR="00AC323D">
        <w:t xml:space="preserve">for </w:t>
      </w:r>
      <w:r w:rsidR="00020554" w:rsidRPr="00E8654E">
        <w:rPr>
          <w:rStyle w:val="None"/>
          <w:i/>
          <w:iCs/>
          <w:u w:color="0462C1"/>
        </w:rPr>
        <w:t>ALK</w:t>
      </w:r>
      <w:r w:rsidR="00020554" w:rsidRPr="00E8654E">
        <w:rPr>
          <w:u w:color="0462C1"/>
        </w:rPr>
        <w:t xml:space="preserve">+ </w:t>
      </w:r>
      <w:r w:rsidR="00020554">
        <w:rPr>
          <w:u w:color="0462C1"/>
        </w:rPr>
        <w:t xml:space="preserve">IMFT </w:t>
      </w:r>
      <w:r w:rsidR="00AC323D">
        <w:rPr>
          <w:u w:color="0462C1"/>
        </w:rPr>
        <w:t xml:space="preserve">patients </w:t>
      </w:r>
      <w:r w:rsidR="00020554" w:rsidRPr="00E8654E">
        <w:rPr>
          <w:u w:color="0462C1"/>
        </w:rPr>
        <w:t>who do not qualify for curative surgery</w:t>
      </w:r>
      <w:r w:rsidR="00976EDD" w:rsidRPr="00524D52">
        <w:t xml:space="preserve">. </w:t>
      </w:r>
    </w:p>
    <w:p w14:paraId="1FFA17E3" w14:textId="77777777" w:rsidR="000578AA" w:rsidRPr="00524D52" w:rsidRDefault="000578AA" w:rsidP="002D5A07"/>
    <w:p w14:paraId="13709B41" w14:textId="1076F285" w:rsidR="000E3DE9" w:rsidRPr="00524D52" w:rsidRDefault="00795542" w:rsidP="002D5A07">
      <w:r w:rsidRPr="00524D52">
        <w:rPr>
          <w:b/>
        </w:rPr>
        <w:t>Funding</w:t>
      </w:r>
      <w:r w:rsidR="000578AA" w:rsidRPr="00524D52">
        <w:rPr>
          <w:b/>
        </w:rPr>
        <w:t>:</w:t>
      </w:r>
      <w:r w:rsidRPr="00524D52">
        <w:rPr>
          <w:b/>
        </w:rPr>
        <w:t xml:space="preserve"> </w:t>
      </w:r>
      <w:r w:rsidR="00752FF0" w:rsidRPr="00524D52">
        <w:rPr>
          <w:b/>
        </w:rPr>
        <w:t xml:space="preserve"> </w:t>
      </w:r>
      <w:r w:rsidR="00AC323D" w:rsidRPr="00854D35">
        <w:t>Th</w:t>
      </w:r>
      <w:r w:rsidR="00AC323D" w:rsidRPr="00852732">
        <w:t>is trial was investigator-initiated trial with EORTC as the legal sponsor. The study was supported by Pfizer Inc.</w:t>
      </w:r>
      <w:r w:rsidR="00AC323D" w:rsidRPr="00B97C2B">
        <w:rPr>
          <w:rStyle w:val="Hyperlink"/>
          <w:color w:val="auto"/>
          <w:u w:val="none"/>
        </w:rPr>
        <w:t>, and the company provided the investigational agent</w:t>
      </w:r>
      <w:r w:rsidR="004D4725">
        <w:rPr>
          <w:rStyle w:val="Hyperlink"/>
          <w:color w:val="auto"/>
          <w:u w:val="none"/>
        </w:rPr>
        <w:t>.</w:t>
      </w:r>
    </w:p>
    <w:p w14:paraId="6200BF7D" w14:textId="77777777" w:rsidR="004706FC" w:rsidRPr="00524D52" w:rsidRDefault="004706FC" w:rsidP="002D5A07"/>
    <w:p w14:paraId="44ED1DF4" w14:textId="587312CA" w:rsidR="006D71B7" w:rsidRPr="00524D52" w:rsidRDefault="000E3DE9" w:rsidP="002D5A07">
      <w:r w:rsidRPr="00524D52">
        <w:t>Prior presentations</w:t>
      </w:r>
      <w:r w:rsidR="000578AA" w:rsidRPr="00524D52">
        <w:t>:</w:t>
      </w:r>
      <w:r w:rsidRPr="00524D52">
        <w:t xml:space="preserve"> </w:t>
      </w:r>
      <w:r w:rsidR="00180830" w:rsidRPr="00524D52">
        <w:t xml:space="preserve"> </w:t>
      </w:r>
      <w:r w:rsidR="00976EDD" w:rsidRPr="00524D52">
        <w:t>None</w:t>
      </w:r>
    </w:p>
    <w:p w14:paraId="0A2FA70D" w14:textId="771C8277" w:rsidR="00976EDD" w:rsidRPr="00524D52" w:rsidRDefault="00976EDD" w:rsidP="002D5A07"/>
    <w:p w14:paraId="1BC5F942" w14:textId="77777777" w:rsidR="00976EDD" w:rsidRPr="00524D52" w:rsidRDefault="00976EDD" w:rsidP="002D5A07"/>
    <w:p w14:paraId="6C3C5AA8" w14:textId="77777777" w:rsidR="00976EDD" w:rsidRPr="00524D52" w:rsidRDefault="00976EDD" w:rsidP="002D5A07">
      <w:pPr>
        <w:rPr>
          <w:rStyle w:val="Strong"/>
        </w:rPr>
      </w:pPr>
      <w:r w:rsidRPr="00524D52">
        <w:rPr>
          <w:rStyle w:val="Strong"/>
        </w:rPr>
        <w:br w:type="page"/>
      </w:r>
    </w:p>
    <w:p w14:paraId="22D5726E" w14:textId="45AF2C1E" w:rsidR="00114EDB" w:rsidRPr="00524D52" w:rsidRDefault="00114EDB" w:rsidP="002D5A07">
      <w:pPr>
        <w:rPr>
          <w:rStyle w:val="Strong"/>
        </w:rPr>
      </w:pPr>
      <w:r w:rsidRPr="00524D52">
        <w:rPr>
          <w:rStyle w:val="Strong"/>
        </w:rPr>
        <w:lastRenderedPageBreak/>
        <w:t>Introduction</w:t>
      </w:r>
    </w:p>
    <w:p w14:paraId="488E970C" w14:textId="77777777" w:rsidR="00752FF0" w:rsidRPr="00524D52" w:rsidRDefault="00752FF0" w:rsidP="002D5A07"/>
    <w:p w14:paraId="73F51F51" w14:textId="6EBC2CE8" w:rsidR="009F7C71" w:rsidRPr="00524D52" w:rsidRDefault="005A2941" w:rsidP="002D5A07">
      <w:r w:rsidRPr="00524D52">
        <w:t>Inflammatory myofibroblastic tumor (IMFT</w:t>
      </w:r>
      <w:r w:rsidR="00F77DFA" w:rsidRPr="00524D52">
        <w:t xml:space="preserve">) </w:t>
      </w:r>
      <w:r w:rsidR="009F7C71" w:rsidRPr="00524D52">
        <w:t xml:space="preserve">is </w:t>
      </w:r>
      <w:r w:rsidR="0051587B" w:rsidRPr="00524D52">
        <w:t xml:space="preserve">a rare </w:t>
      </w:r>
      <w:r w:rsidR="009F7C71" w:rsidRPr="00524D52">
        <w:t>mesenchymal neoplasm that primarily occurs in children and adolescents.</w:t>
      </w:r>
      <w:r w:rsidR="009F7C71" w:rsidRPr="00524D52">
        <w:rPr>
          <w:vertAlign w:val="superscript"/>
        </w:rPr>
        <w:t>1-6</w:t>
      </w:r>
      <w:r w:rsidR="009F7C71" w:rsidRPr="00524D52">
        <w:t xml:space="preserve"> </w:t>
      </w:r>
      <w:r w:rsidR="00921B19">
        <w:t>IMFTs are commonly found in the lung, retroperitoneum, or abdominopelvic region.</w:t>
      </w:r>
      <w:r w:rsidR="00921B19" w:rsidRPr="00921B19">
        <w:rPr>
          <w:vertAlign w:val="superscript"/>
        </w:rPr>
        <w:t>1</w:t>
      </w:r>
      <w:r w:rsidR="00921B19">
        <w:t xml:space="preserve"> </w:t>
      </w:r>
      <w:r w:rsidR="00CA1233" w:rsidRPr="00524D52">
        <w:t>IMFTs are</w:t>
      </w:r>
      <w:r w:rsidR="00741D00">
        <w:t xml:space="preserve"> considered</w:t>
      </w:r>
      <w:r w:rsidR="00BA32EA">
        <w:t xml:space="preserve"> to be </w:t>
      </w:r>
      <w:r w:rsidR="00CA1233" w:rsidRPr="00524D52">
        <w:t>resistant to conventional chemotherapy and radiation</w:t>
      </w:r>
      <w:r w:rsidR="0051587B" w:rsidRPr="00524D52">
        <w:t>, and surgical excision is the mainstay of treatment</w:t>
      </w:r>
      <w:r w:rsidR="009F7C71" w:rsidRPr="00524D52">
        <w:t>.</w:t>
      </w:r>
      <w:r w:rsidR="009F7C71" w:rsidRPr="00524D52">
        <w:rPr>
          <w:vertAlign w:val="superscript"/>
        </w:rPr>
        <w:t>2</w:t>
      </w:r>
      <w:r w:rsidR="00C141A4" w:rsidRPr="00524D52">
        <w:rPr>
          <w:vertAlign w:val="superscript"/>
        </w:rPr>
        <w:t>,</w:t>
      </w:r>
      <w:r w:rsidR="009336CB" w:rsidRPr="00524D52">
        <w:rPr>
          <w:vertAlign w:val="superscript"/>
        </w:rPr>
        <w:t>7</w:t>
      </w:r>
      <w:r w:rsidR="009F7C71" w:rsidRPr="00524D52">
        <w:t xml:space="preserve"> </w:t>
      </w:r>
      <w:r w:rsidR="00CA1233" w:rsidRPr="00524D52">
        <w:t xml:space="preserve">However, </w:t>
      </w:r>
      <w:r w:rsidR="009F7C71" w:rsidRPr="00524D52">
        <w:t>IMFTs have a tendency for local recurrence after initial surgery, the incidence of which can vary according to anatomical site</w:t>
      </w:r>
      <w:r w:rsidR="007229E9" w:rsidRPr="00524D52">
        <w:t>.</w:t>
      </w:r>
      <w:r w:rsidR="009F7C71" w:rsidRPr="00524D52">
        <w:rPr>
          <w:vertAlign w:val="superscript"/>
        </w:rPr>
        <w:t>1,2,5-</w:t>
      </w:r>
      <w:r w:rsidR="009336CB" w:rsidRPr="00524D52">
        <w:rPr>
          <w:vertAlign w:val="superscript"/>
        </w:rPr>
        <w:t>7</w:t>
      </w:r>
      <w:r w:rsidR="009F7C71" w:rsidRPr="00524D52">
        <w:t xml:space="preserve">  </w:t>
      </w:r>
    </w:p>
    <w:p w14:paraId="5433E4B4" w14:textId="77777777" w:rsidR="00565A07" w:rsidRDefault="00565A07" w:rsidP="00A9399A"/>
    <w:p w14:paraId="1DBF48F5" w14:textId="0A4288D8" w:rsidR="009F7C71" w:rsidRPr="00524D52" w:rsidRDefault="00565A07">
      <w:r w:rsidRPr="00524D52">
        <w:t>Due to their proximity to vital structures, complete re</w:t>
      </w:r>
      <w:r>
        <w:t>section</w:t>
      </w:r>
      <w:r w:rsidRPr="00524D52">
        <w:t xml:space="preserve"> of IMFT tumors may not always be possible.</w:t>
      </w:r>
      <w:r w:rsidR="005A5E16">
        <w:rPr>
          <w:vertAlign w:val="superscript"/>
        </w:rPr>
        <w:t>8</w:t>
      </w:r>
      <w:r w:rsidRPr="00524D52">
        <w:t xml:space="preserve"> If curative surgery is not possible, local recurrence can occur with tumors invading adjacent structures.</w:t>
      </w:r>
      <w:r w:rsidR="005A5E16">
        <w:rPr>
          <w:vertAlign w:val="superscript"/>
        </w:rPr>
        <w:t>8</w:t>
      </w:r>
      <w:r w:rsidRPr="00524D52">
        <w:t xml:space="preserve"> IMFT tumor-related deaths are usually due to local invasion, and not due to distant metastases.</w:t>
      </w:r>
      <w:r w:rsidRPr="00524D52">
        <w:rPr>
          <w:vertAlign w:val="superscript"/>
        </w:rPr>
        <w:t>1</w:t>
      </w:r>
      <w:r w:rsidRPr="00524D52">
        <w:t xml:space="preserve"> Radiotherapy and chemotherapy are not successful in most IMFT patients, making the management of these tumors challenging. For patients with unresectable and/or advanced disease, treatment options are limited.</w:t>
      </w:r>
      <w:r w:rsidRPr="00524D52">
        <w:rPr>
          <w:vertAlign w:val="superscript"/>
        </w:rPr>
        <w:t>3</w:t>
      </w:r>
    </w:p>
    <w:p w14:paraId="65D9C2CD" w14:textId="77777777" w:rsidR="00565A07" w:rsidRDefault="00565A07"/>
    <w:p w14:paraId="4E5EB373" w14:textId="1E43BDE6" w:rsidR="009F7C71" w:rsidRPr="00524D52" w:rsidRDefault="00B858EB">
      <w:pPr>
        <w:rPr>
          <w:vertAlign w:val="superscript"/>
        </w:rPr>
      </w:pPr>
      <w:r w:rsidRPr="00524D52">
        <w:t>The predominant gen</w:t>
      </w:r>
      <w:r w:rsidR="00C42401" w:rsidRPr="00524D52">
        <w:t>etic lesion underlying</w:t>
      </w:r>
      <w:r w:rsidRPr="00524D52">
        <w:t xml:space="preserve"> IMFTs </w:t>
      </w:r>
      <w:r w:rsidR="007E4A4F" w:rsidRPr="00524D52">
        <w:t>are fusions involving the anaplastic lymphoma kinase (</w:t>
      </w:r>
      <w:r w:rsidR="007E4A4F" w:rsidRPr="00524D52">
        <w:rPr>
          <w:i/>
        </w:rPr>
        <w:t>ALK)</w:t>
      </w:r>
      <w:r w:rsidR="00CE388A" w:rsidRPr="00524D52">
        <w:t xml:space="preserve"> </w:t>
      </w:r>
      <w:r w:rsidR="007E4A4F" w:rsidRPr="00524D52">
        <w:t>gene.</w:t>
      </w:r>
      <w:r w:rsidR="00655C11" w:rsidRPr="00524D52">
        <w:rPr>
          <w:vertAlign w:val="superscript"/>
        </w:rPr>
        <w:t xml:space="preserve">7 </w:t>
      </w:r>
      <w:r w:rsidR="009F7C71" w:rsidRPr="00524D52">
        <w:t xml:space="preserve">About 50% of IMFTs have </w:t>
      </w:r>
      <w:r w:rsidR="007163D3" w:rsidRPr="00524D52">
        <w:t>translocations</w:t>
      </w:r>
      <w:r w:rsidR="009F7C71" w:rsidRPr="00524D52">
        <w:t xml:space="preserve"> involving </w:t>
      </w:r>
      <w:r w:rsidR="007163D3" w:rsidRPr="00524D52">
        <w:rPr>
          <w:i/>
        </w:rPr>
        <w:t>ALK</w:t>
      </w:r>
      <w:r w:rsidR="007163D3" w:rsidRPr="00524D52">
        <w:t>,</w:t>
      </w:r>
      <w:r w:rsidR="00655C11" w:rsidRPr="00524D52">
        <w:rPr>
          <w:vertAlign w:val="superscript"/>
        </w:rPr>
        <w:t xml:space="preserve"> </w:t>
      </w:r>
      <w:r w:rsidR="00B87FC4" w:rsidRPr="00524D52">
        <w:t>with</w:t>
      </w:r>
      <w:r w:rsidR="007163D3" w:rsidRPr="00524D52">
        <w:t xml:space="preserve"> more recent data show</w:t>
      </w:r>
      <w:r w:rsidR="00B87FC4" w:rsidRPr="00524D52">
        <w:t>i</w:t>
      </w:r>
      <w:r w:rsidR="007163D3" w:rsidRPr="00524D52">
        <w:t>n</w:t>
      </w:r>
      <w:r w:rsidR="00B87FC4" w:rsidRPr="00524D52">
        <w:t>g</w:t>
      </w:r>
      <w:r w:rsidR="007163D3" w:rsidRPr="00524D52">
        <w:t xml:space="preserve"> </w:t>
      </w:r>
      <w:r w:rsidR="00B87FC4" w:rsidRPr="00524D52">
        <w:t xml:space="preserve">that an additional subset of IMFTs have </w:t>
      </w:r>
      <w:r w:rsidR="00B87FC4" w:rsidRPr="00524D52">
        <w:rPr>
          <w:i/>
        </w:rPr>
        <w:t xml:space="preserve">ALK </w:t>
      </w:r>
      <w:r w:rsidR="00B87FC4" w:rsidRPr="00524D52">
        <w:t xml:space="preserve">fusions with noncanonical breakpoints, which suggests the involvement of </w:t>
      </w:r>
      <w:r w:rsidR="00B87FC4" w:rsidRPr="001340A1">
        <w:t>ALK</w:t>
      </w:r>
      <w:r w:rsidR="00B87FC4" w:rsidRPr="00524D52">
        <w:t xml:space="preserve"> signaling in most of these tumors.</w:t>
      </w:r>
      <w:r w:rsidR="0019556E" w:rsidRPr="00524D52">
        <w:rPr>
          <w:vertAlign w:val="superscript"/>
        </w:rPr>
        <w:t>1-3,5,7</w:t>
      </w:r>
      <w:r w:rsidR="00B87FC4" w:rsidRPr="00524D52">
        <w:t xml:space="preserve"> </w:t>
      </w:r>
      <w:r w:rsidR="00B35FE4">
        <w:t>T</w:t>
      </w:r>
      <w:r w:rsidR="00B35FE4" w:rsidRPr="00524D52">
        <w:t xml:space="preserve">he chromosomal translocation results in </w:t>
      </w:r>
      <w:r w:rsidR="00B35FE4">
        <w:t>expression of</w:t>
      </w:r>
      <w:r w:rsidR="00B35FE4" w:rsidRPr="00524D52">
        <w:t xml:space="preserve"> ALK fusion protein</w:t>
      </w:r>
      <w:r w:rsidR="00B35FE4">
        <w:t xml:space="preserve"> which</w:t>
      </w:r>
      <w:r w:rsidR="00B35FE4" w:rsidRPr="00524D52">
        <w:t xml:space="preserve"> exhibits ligand-independent kinase activity leading to autophosphorylation of the </w:t>
      </w:r>
      <w:r w:rsidR="00B35FE4">
        <w:t>chimeric</w:t>
      </w:r>
      <w:r w:rsidR="00B35FE4" w:rsidRPr="00524D52">
        <w:t xml:space="preserve"> protein, which ultimately results in prolonged tumor cell survival, increased proliferation, and enhanced cell migration</w:t>
      </w:r>
      <w:r w:rsidR="009F7C71" w:rsidRPr="00524D52">
        <w:t>.</w:t>
      </w:r>
      <w:r w:rsidR="009F7C71" w:rsidRPr="00524D52">
        <w:rPr>
          <w:vertAlign w:val="superscript"/>
        </w:rPr>
        <w:t>1,5,</w:t>
      </w:r>
      <w:r w:rsidR="0019556E" w:rsidRPr="00524D52">
        <w:rPr>
          <w:vertAlign w:val="superscript"/>
        </w:rPr>
        <w:t>7,</w:t>
      </w:r>
      <w:r w:rsidR="00B35FE4">
        <w:rPr>
          <w:vertAlign w:val="superscript"/>
        </w:rPr>
        <w:t>9-1</w:t>
      </w:r>
      <w:r w:rsidR="005A5E16">
        <w:rPr>
          <w:vertAlign w:val="superscript"/>
        </w:rPr>
        <w:t>7</w:t>
      </w:r>
      <w:r w:rsidR="005A5E16" w:rsidRPr="00524D52">
        <w:t xml:space="preserve">  </w:t>
      </w:r>
    </w:p>
    <w:p w14:paraId="1796DB6D" w14:textId="20E7E462" w:rsidR="00F77DFA" w:rsidRPr="00524D52" w:rsidRDefault="00F77DFA"/>
    <w:p w14:paraId="0FBC4F70" w14:textId="560F2824" w:rsidR="00F77DFA" w:rsidRPr="00524D52" w:rsidRDefault="007A7D45">
      <w:r w:rsidRPr="00524D52">
        <w:t xml:space="preserve">The presence of </w:t>
      </w:r>
      <w:r w:rsidR="00C42401" w:rsidRPr="00524D52">
        <w:t>specific genetic</w:t>
      </w:r>
      <w:r w:rsidRPr="00524D52">
        <w:t xml:space="preserve"> alterations i</w:t>
      </w:r>
      <w:r w:rsidR="005A2941" w:rsidRPr="00524D52">
        <w:t>n IMFT</w:t>
      </w:r>
      <w:r w:rsidR="009F319E" w:rsidRPr="00524D52">
        <w:t xml:space="preserve"> provide</w:t>
      </w:r>
      <w:r w:rsidR="00C010B7" w:rsidRPr="00524D52">
        <w:t>s</w:t>
      </w:r>
      <w:r w:rsidR="009F319E" w:rsidRPr="00524D52">
        <w:t xml:space="preserve"> a strong rational</w:t>
      </w:r>
      <w:r w:rsidR="00C654B5" w:rsidRPr="00524D52">
        <w:t>e</w:t>
      </w:r>
      <w:r w:rsidR="009F319E" w:rsidRPr="00524D52">
        <w:t xml:space="preserve"> to </w:t>
      </w:r>
      <w:r w:rsidR="00BE1962" w:rsidRPr="00524D52">
        <w:t xml:space="preserve">therapeutically target ALK </w:t>
      </w:r>
      <w:r w:rsidR="00885F7F" w:rsidRPr="00524D52">
        <w:t>in this disease</w:t>
      </w:r>
      <w:r w:rsidR="009F319E" w:rsidRPr="00524D52">
        <w:t xml:space="preserve">. </w:t>
      </w:r>
      <w:r w:rsidR="00C1091F" w:rsidRPr="00524D52">
        <w:t>C</w:t>
      </w:r>
      <w:r w:rsidR="00C97FA0" w:rsidRPr="00524D52">
        <w:t>rizotinib (</w:t>
      </w:r>
      <w:r w:rsidR="00F77DFA" w:rsidRPr="00524D52">
        <w:t>Xalkori</w:t>
      </w:r>
      <w:r w:rsidR="00F77DFA" w:rsidRPr="00524D52">
        <w:rPr>
          <w:vertAlign w:val="superscript"/>
        </w:rPr>
        <w:t>®</w:t>
      </w:r>
      <w:r w:rsidR="00F77DFA" w:rsidRPr="00524D52">
        <w:t>, PF-02341066, Pfizer</w:t>
      </w:r>
      <w:r w:rsidR="00D518DA" w:rsidRPr="00524D52">
        <w:t xml:space="preserve"> Inc.</w:t>
      </w:r>
      <w:r w:rsidR="00DB35B5">
        <w:t xml:space="preserve">, </w:t>
      </w:r>
      <w:r w:rsidR="00DB35B5" w:rsidRPr="005D0618">
        <w:t>New York (NY), United States of America</w:t>
      </w:r>
      <w:r w:rsidR="00F77DFA" w:rsidRPr="00524D52">
        <w:t xml:space="preserve">) is </w:t>
      </w:r>
      <w:r w:rsidR="00DF15E4" w:rsidRPr="00524D52">
        <w:t>a</w:t>
      </w:r>
      <w:r w:rsidR="00F77DFA" w:rsidRPr="00524D52">
        <w:t xml:space="preserve"> </w:t>
      </w:r>
      <w:r w:rsidR="00D518DA" w:rsidRPr="00524D52">
        <w:t xml:space="preserve">small molecule </w:t>
      </w:r>
      <w:r w:rsidR="006115E4">
        <w:t>tyrosine kinase inhibitor (</w:t>
      </w:r>
      <w:r w:rsidR="006115E4" w:rsidRPr="00524D52">
        <w:t>TKI</w:t>
      </w:r>
      <w:r w:rsidR="006115E4">
        <w:t>)</w:t>
      </w:r>
      <w:r w:rsidR="006115E4" w:rsidRPr="00524D52">
        <w:t xml:space="preserve"> </w:t>
      </w:r>
      <w:r w:rsidR="00AF53A2" w:rsidRPr="00524D52">
        <w:t>targeting</w:t>
      </w:r>
      <w:r w:rsidR="005A2941" w:rsidRPr="00524D52">
        <w:t xml:space="preserve"> ALK, MET, </w:t>
      </w:r>
      <w:r w:rsidR="00224CF1" w:rsidRPr="00524D52">
        <w:t>ROS proto-oncogene 1</w:t>
      </w:r>
      <w:r w:rsidR="00D55C1E" w:rsidRPr="00524D52">
        <w:t xml:space="preserve"> receptor tyrosine kinase (ROS1)</w:t>
      </w:r>
      <w:r w:rsidR="00872B95" w:rsidRPr="00524D52">
        <w:t>, and RON (Recepteur d’Origine Nantais)</w:t>
      </w:r>
      <w:r w:rsidR="00AB6A1A" w:rsidRPr="00524D52">
        <w:t>.</w:t>
      </w:r>
      <w:r w:rsidR="0063558B" w:rsidRPr="00524D52">
        <w:rPr>
          <w:vertAlign w:val="superscript"/>
        </w:rPr>
        <w:t>1,</w:t>
      </w:r>
      <w:r w:rsidR="002236FB" w:rsidRPr="00524D52">
        <w:rPr>
          <w:vertAlign w:val="superscript"/>
        </w:rPr>
        <w:t>18</w:t>
      </w:r>
      <w:r w:rsidR="009A6EC3" w:rsidRPr="00524D52">
        <w:rPr>
          <w:vertAlign w:val="superscript"/>
        </w:rPr>
        <w:t>-</w:t>
      </w:r>
      <w:r w:rsidR="002236FB" w:rsidRPr="00524D52">
        <w:rPr>
          <w:vertAlign w:val="superscript"/>
        </w:rPr>
        <w:t>21</w:t>
      </w:r>
      <w:r w:rsidR="00F05177" w:rsidRPr="00524D52">
        <w:t xml:space="preserve"> </w:t>
      </w:r>
      <w:r w:rsidR="005478C6">
        <w:t xml:space="preserve">In non-small cell lung cancer (NSCLC) with </w:t>
      </w:r>
      <w:r w:rsidR="005478C6" w:rsidRPr="007C6DF1">
        <w:rPr>
          <w:i/>
        </w:rPr>
        <w:t>ALK</w:t>
      </w:r>
      <w:r w:rsidR="005478C6">
        <w:t xml:space="preserve"> rearrangements, crizotinib demonstrated striking clinical activity.</w:t>
      </w:r>
      <w:r w:rsidR="005478C6" w:rsidRPr="005478C6">
        <w:rPr>
          <w:vertAlign w:val="superscript"/>
        </w:rPr>
        <w:t>1</w:t>
      </w:r>
      <w:r w:rsidR="005478C6">
        <w:t xml:space="preserve"> </w:t>
      </w:r>
      <w:r w:rsidR="0086788A" w:rsidRPr="00524D52">
        <w:t>Crizotinib</w:t>
      </w:r>
      <w:r w:rsidR="00AF53A2" w:rsidRPr="00524D52">
        <w:t xml:space="preserve"> </w:t>
      </w:r>
      <w:r w:rsidR="001A1F92" w:rsidRPr="00524D52">
        <w:t>interferes with the</w:t>
      </w:r>
      <w:r w:rsidR="005A2941" w:rsidRPr="00524D52">
        <w:t xml:space="preserve"> ALK</w:t>
      </w:r>
      <w:r w:rsidR="002B229D" w:rsidRPr="00524D52">
        <w:t xml:space="preserve"> </w:t>
      </w:r>
      <w:r w:rsidR="001A1F92" w:rsidRPr="00524D52">
        <w:t xml:space="preserve">pathway </w:t>
      </w:r>
      <w:r w:rsidR="002B229D" w:rsidRPr="00524D52">
        <w:t>by competitively inhibiting adenosine triphosphate</w:t>
      </w:r>
      <w:r w:rsidR="009F6798" w:rsidRPr="00524D52">
        <w:t xml:space="preserve"> (ATP)</w:t>
      </w:r>
      <w:r w:rsidR="00D518DA" w:rsidRPr="00524D52">
        <w:t xml:space="preserve"> </w:t>
      </w:r>
      <w:r w:rsidR="00F77DFA" w:rsidRPr="00524D52">
        <w:t>from bin</w:t>
      </w:r>
      <w:r w:rsidR="00D518DA" w:rsidRPr="00524D52">
        <w:t xml:space="preserve">ding to the </w:t>
      </w:r>
      <w:r w:rsidR="00F77DFA" w:rsidRPr="00524D52">
        <w:t>receptor</w:t>
      </w:r>
      <w:r w:rsidR="009F6798" w:rsidRPr="00524D52">
        <w:t>, therefore abrogates its phosphorylation</w:t>
      </w:r>
      <w:r w:rsidR="00AF53A2" w:rsidRPr="00524D52">
        <w:t xml:space="preserve">, </w:t>
      </w:r>
      <w:r w:rsidR="00F77DFA" w:rsidRPr="00524D52">
        <w:t>block</w:t>
      </w:r>
      <w:r w:rsidR="00AF53A2" w:rsidRPr="00524D52">
        <w:t>ing</w:t>
      </w:r>
      <w:r w:rsidR="00F77DFA" w:rsidRPr="00524D52">
        <w:t xml:space="preserve"> the downstream cascade of events, thereby inhibiting</w:t>
      </w:r>
      <w:r w:rsidR="003C45D0" w:rsidRPr="00524D52">
        <w:t xml:space="preserve"> the growth and survival of </w:t>
      </w:r>
      <w:r w:rsidR="005A2941" w:rsidRPr="00524D52">
        <w:t>ALK</w:t>
      </w:r>
      <w:r w:rsidR="003C45D0" w:rsidRPr="00524D52">
        <w:t xml:space="preserve"> </w:t>
      </w:r>
      <w:r w:rsidR="002B229D" w:rsidRPr="00524D52">
        <w:t>dependent cell</w:t>
      </w:r>
      <w:r w:rsidR="00F77DFA" w:rsidRPr="00524D52">
        <w:t>s.</w:t>
      </w:r>
      <w:r w:rsidR="002236FB" w:rsidRPr="00524D52">
        <w:rPr>
          <w:vertAlign w:val="superscript"/>
        </w:rPr>
        <w:t>18-21</w:t>
      </w:r>
      <w:r w:rsidR="009A6EC3" w:rsidRPr="00524D52">
        <w:rPr>
          <w:vertAlign w:val="superscript"/>
        </w:rPr>
        <w:t xml:space="preserve"> </w:t>
      </w:r>
      <w:r w:rsidR="006D7013" w:rsidRPr="00524D52">
        <w:t xml:space="preserve">Crizotinib is approved for the treatment of patients with advanced NSCLC whose </w:t>
      </w:r>
      <w:r w:rsidR="00CE6385" w:rsidRPr="00524D52">
        <w:t>tumor</w:t>
      </w:r>
      <w:r w:rsidR="006D7013" w:rsidRPr="00524D52">
        <w:t xml:space="preserve">s are either </w:t>
      </w:r>
      <w:r w:rsidR="006D7013" w:rsidRPr="00524D52">
        <w:rPr>
          <w:i/>
        </w:rPr>
        <w:t>ALK</w:t>
      </w:r>
      <w:r w:rsidR="006D7013" w:rsidRPr="00524D52">
        <w:t xml:space="preserve">-positive or </w:t>
      </w:r>
      <w:r w:rsidR="006D7013" w:rsidRPr="00524D52">
        <w:rPr>
          <w:i/>
        </w:rPr>
        <w:t>ROS1</w:t>
      </w:r>
      <w:r w:rsidR="006D7013" w:rsidRPr="00524D52">
        <w:t>-positive,</w:t>
      </w:r>
      <w:r w:rsidR="006D7013" w:rsidRPr="00524D52">
        <w:rPr>
          <w:color w:val="0066FF"/>
        </w:rPr>
        <w:t xml:space="preserve"> </w:t>
      </w:r>
      <w:r w:rsidR="006D7013" w:rsidRPr="00524D52">
        <w:t>and the recommended oral dose in adult patients is 250mg twice daily.</w:t>
      </w:r>
      <w:r w:rsidR="002236FB" w:rsidRPr="00524D52">
        <w:rPr>
          <w:vertAlign w:val="superscript"/>
        </w:rPr>
        <w:t>19</w:t>
      </w:r>
    </w:p>
    <w:p w14:paraId="4640329C" w14:textId="5E669666" w:rsidR="00F77DFA" w:rsidRDefault="00F77DFA"/>
    <w:p w14:paraId="27E269FC" w14:textId="18A0CBF1" w:rsidR="00E45385" w:rsidRPr="00524D52" w:rsidRDefault="00532869">
      <w:r>
        <w:t xml:space="preserve">In 2010, Butrynski </w:t>
      </w:r>
      <w:r w:rsidRPr="00BD5140">
        <w:rPr>
          <w:i/>
        </w:rPr>
        <w:t>et al.</w:t>
      </w:r>
      <w:r>
        <w:t xml:space="preserve"> published a first case of an </w:t>
      </w:r>
      <w:r w:rsidRPr="00AA5199">
        <w:rPr>
          <w:i/>
        </w:rPr>
        <w:t>ALK</w:t>
      </w:r>
      <w:r>
        <w:t xml:space="preserve">+ IMFT patient responding to crizotinib in the context of a </w:t>
      </w:r>
      <w:r w:rsidR="00F4372E">
        <w:t>p</w:t>
      </w:r>
      <w:r>
        <w:t>hase 1 clinical trial.</w:t>
      </w:r>
      <w:r w:rsidR="00936A64" w:rsidRPr="00524D52">
        <w:rPr>
          <w:vertAlign w:val="superscript"/>
        </w:rPr>
        <w:t>1</w:t>
      </w:r>
      <w:r w:rsidR="00F4372E">
        <w:rPr>
          <w:vertAlign w:val="superscript"/>
        </w:rPr>
        <w:t xml:space="preserve"> </w:t>
      </w:r>
      <w:r w:rsidR="00F77DFA" w:rsidRPr="00524D52">
        <w:rPr>
          <w:rStyle w:val="st"/>
        </w:rPr>
        <w:t xml:space="preserve">The </w:t>
      </w:r>
      <w:r w:rsidR="00F77DFA" w:rsidRPr="00524D52">
        <w:t>European Organi</w:t>
      </w:r>
      <w:r w:rsidR="00D61BBE" w:rsidRPr="00524D52">
        <w:t>z</w:t>
      </w:r>
      <w:r w:rsidR="00F77DFA" w:rsidRPr="00524D52">
        <w:t xml:space="preserve">ation for Research and Treatment of Cancer (EORTC) </w:t>
      </w:r>
      <w:r w:rsidR="00F97A1B" w:rsidRPr="00524D52">
        <w:t xml:space="preserve">initiated a </w:t>
      </w:r>
      <w:r w:rsidR="00C25D5D" w:rsidRPr="00524D52">
        <w:t>multinational, mu</w:t>
      </w:r>
      <w:r w:rsidR="00E81086" w:rsidRPr="00524D52">
        <w:t>lti-</w:t>
      </w:r>
      <w:r w:rsidR="00CE6385" w:rsidRPr="00524D52">
        <w:t>tumor</w:t>
      </w:r>
      <w:r w:rsidR="00E81086" w:rsidRPr="00524D52">
        <w:t>, prospective phase 2</w:t>
      </w:r>
      <w:r w:rsidR="00F77DFA" w:rsidRPr="00524D52">
        <w:t xml:space="preserve"> clinical trial </w:t>
      </w:r>
      <w:r w:rsidR="00C25D5D" w:rsidRPr="00524D52">
        <w:t>(</w:t>
      </w:r>
      <w:r w:rsidR="00F55172" w:rsidRPr="00524D52">
        <w:t xml:space="preserve">EORTC </w:t>
      </w:r>
      <w:r w:rsidR="00F77DFA" w:rsidRPr="00524D52">
        <w:t>90101 “CREATE”</w:t>
      </w:r>
      <w:r w:rsidR="00C25D5D" w:rsidRPr="00524D52">
        <w:t>)</w:t>
      </w:r>
      <w:r w:rsidR="00F77DFA" w:rsidRPr="00524D52">
        <w:t xml:space="preserve"> </w:t>
      </w:r>
      <w:r w:rsidR="00F97A1B" w:rsidRPr="00524D52">
        <w:t>to evaluate the efficacy</w:t>
      </w:r>
      <w:r w:rsidR="00F77DFA" w:rsidRPr="00524D52">
        <w:t xml:space="preserve"> and safety of crizotinib in patients w</w:t>
      </w:r>
      <w:r w:rsidR="003161D3" w:rsidRPr="00524D52">
        <w:t xml:space="preserve">ith advanced </w:t>
      </w:r>
      <w:r w:rsidR="00CE6385" w:rsidRPr="00524D52">
        <w:t>tumor</w:t>
      </w:r>
      <w:r w:rsidR="003161D3" w:rsidRPr="00524D52">
        <w:t xml:space="preserve">s </w:t>
      </w:r>
      <w:r w:rsidR="00D81C7C" w:rsidRPr="00524D52">
        <w:t>characterized</w:t>
      </w:r>
      <w:r w:rsidR="00D55C1E" w:rsidRPr="00524D52">
        <w:t xml:space="preserve"> by </w:t>
      </w:r>
      <w:r w:rsidR="00F77DFA" w:rsidRPr="00AA5199">
        <w:rPr>
          <w:i/>
        </w:rPr>
        <w:t>ALK</w:t>
      </w:r>
      <w:r w:rsidR="003161D3" w:rsidRPr="00524D52">
        <w:t xml:space="preserve"> </w:t>
      </w:r>
      <w:r w:rsidR="005A2941" w:rsidRPr="00524D52">
        <w:t xml:space="preserve">and/or </w:t>
      </w:r>
      <w:r w:rsidR="005A2941" w:rsidRPr="00AA5199">
        <w:rPr>
          <w:i/>
        </w:rPr>
        <w:t>MET</w:t>
      </w:r>
      <w:r w:rsidR="005A2941" w:rsidRPr="00524D52">
        <w:t xml:space="preserve"> </w:t>
      </w:r>
      <w:r w:rsidR="00D55C1E" w:rsidRPr="00524D52">
        <w:t>alterations</w:t>
      </w:r>
      <w:r w:rsidR="003161D3" w:rsidRPr="00524D52">
        <w:t xml:space="preserve">. CREATE </w:t>
      </w:r>
      <w:r w:rsidR="00F77DFA" w:rsidRPr="00524D52">
        <w:t>included</w:t>
      </w:r>
      <w:r w:rsidR="006115E4">
        <w:t xml:space="preserve"> </w:t>
      </w:r>
      <w:r w:rsidR="0086788A">
        <w:t>6</w:t>
      </w:r>
      <w:r w:rsidR="0086788A" w:rsidRPr="00524D52">
        <w:t xml:space="preserve"> </w:t>
      </w:r>
      <w:r w:rsidR="00C42401" w:rsidRPr="00524D52">
        <w:t>tumor types</w:t>
      </w:r>
      <w:r w:rsidR="00BB0D08" w:rsidRPr="00524D52">
        <w:t>,</w:t>
      </w:r>
      <w:r w:rsidR="00B4299D" w:rsidRPr="00524D52">
        <w:t xml:space="preserve"> </w:t>
      </w:r>
      <w:r w:rsidR="00C42401" w:rsidRPr="00524D52">
        <w:t xml:space="preserve">and </w:t>
      </w:r>
      <w:r w:rsidR="008B7885" w:rsidRPr="00524D52">
        <w:t>w</w:t>
      </w:r>
      <w:r w:rsidR="003161D3" w:rsidRPr="00524D52">
        <w:t xml:space="preserve">e report here the results of the </w:t>
      </w:r>
      <w:r w:rsidR="002B229D" w:rsidRPr="00524D52">
        <w:t xml:space="preserve">independent </w:t>
      </w:r>
      <w:r w:rsidR="005A2941" w:rsidRPr="00524D52">
        <w:t>IMFT</w:t>
      </w:r>
      <w:r w:rsidR="003161D3" w:rsidRPr="00524D52">
        <w:t xml:space="preserve"> cohort. </w:t>
      </w:r>
      <w:r w:rsidR="003F2DDA">
        <w:t>To our knowledge, t</w:t>
      </w:r>
      <w:r w:rsidR="003F2DDA" w:rsidRPr="00524D52">
        <w:t xml:space="preserve">his </w:t>
      </w:r>
      <w:r w:rsidR="003161D3" w:rsidRPr="00524D52">
        <w:t>trial</w:t>
      </w:r>
      <w:r w:rsidR="006D71B7" w:rsidRPr="00524D52">
        <w:t xml:space="preserve"> cohort</w:t>
      </w:r>
      <w:r w:rsidR="003161D3" w:rsidRPr="00524D52">
        <w:t xml:space="preserve"> is </w:t>
      </w:r>
      <w:r w:rsidR="00B4299D" w:rsidRPr="00524D52">
        <w:t xml:space="preserve">the first prospective </w:t>
      </w:r>
      <w:r w:rsidR="00C42401" w:rsidRPr="00524D52">
        <w:t xml:space="preserve">disease-specific </w:t>
      </w:r>
      <w:r w:rsidR="00B4299D" w:rsidRPr="00524D52">
        <w:t xml:space="preserve">study </w:t>
      </w:r>
      <w:r w:rsidR="005A2941" w:rsidRPr="00524D52">
        <w:t xml:space="preserve">in adult patients with IMFT with and without ALK alterations, </w:t>
      </w:r>
      <w:r w:rsidR="00BD33F4" w:rsidRPr="00524D52">
        <w:t xml:space="preserve">and thus serves as a landmark of </w:t>
      </w:r>
      <w:r w:rsidR="002B229D" w:rsidRPr="00524D52">
        <w:t xml:space="preserve">prospective </w:t>
      </w:r>
      <w:r w:rsidR="00BD33F4" w:rsidRPr="00524D52">
        <w:t>clinical research in this orphan malignancy.</w:t>
      </w:r>
    </w:p>
    <w:p w14:paraId="6075A216" w14:textId="3214F0ED" w:rsidR="004B64A7" w:rsidRPr="00524D52" w:rsidRDefault="004B64A7"/>
    <w:p w14:paraId="499B60BF" w14:textId="77777777" w:rsidR="002758F0" w:rsidRPr="00524D52" w:rsidRDefault="002758F0"/>
    <w:p w14:paraId="68DB68F5" w14:textId="77777777" w:rsidR="00A07CA1" w:rsidRPr="00524D52" w:rsidRDefault="00114EDB" w:rsidP="00DA6988">
      <w:pPr>
        <w:pStyle w:val="FreeForm"/>
        <w:rPr>
          <w:rFonts w:ascii="Times New Roman" w:hAnsi="Times New Roman"/>
          <w:b/>
          <w:color w:val="auto"/>
          <w:sz w:val="22"/>
          <w:szCs w:val="22"/>
          <w:lang w:val="en-GB"/>
        </w:rPr>
      </w:pPr>
      <w:r w:rsidRPr="00524D52">
        <w:rPr>
          <w:rFonts w:ascii="Times New Roman" w:hAnsi="Times New Roman"/>
          <w:b/>
          <w:color w:val="auto"/>
          <w:sz w:val="22"/>
          <w:szCs w:val="22"/>
          <w:lang w:val="en-GB"/>
        </w:rPr>
        <w:t>Methods</w:t>
      </w:r>
    </w:p>
    <w:p w14:paraId="44567C95" w14:textId="77777777" w:rsidR="00752FF0" w:rsidRPr="00524D52" w:rsidRDefault="00752FF0" w:rsidP="00DA6988">
      <w:pPr>
        <w:pStyle w:val="FreeForm"/>
        <w:rPr>
          <w:rFonts w:ascii="Times New Roman" w:hAnsi="Times New Roman"/>
          <w:b/>
          <w:color w:val="auto"/>
          <w:sz w:val="22"/>
          <w:szCs w:val="22"/>
          <w:lang w:val="en-GB"/>
        </w:rPr>
      </w:pPr>
    </w:p>
    <w:p w14:paraId="44F64A74" w14:textId="77777777" w:rsidR="00F77516" w:rsidRPr="00524D52" w:rsidRDefault="006F72CD" w:rsidP="00DA6988">
      <w:pPr>
        <w:pStyle w:val="FreeForm"/>
        <w:rPr>
          <w:rFonts w:ascii="Times New Roman" w:hAnsi="Times New Roman"/>
          <w:b/>
          <w:color w:val="auto"/>
          <w:sz w:val="22"/>
          <w:szCs w:val="22"/>
          <w:lang w:val="en-GB"/>
        </w:rPr>
      </w:pPr>
      <w:r w:rsidRPr="00524D52">
        <w:rPr>
          <w:rFonts w:ascii="Times New Roman" w:hAnsi="Times New Roman"/>
          <w:b/>
          <w:color w:val="auto"/>
          <w:sz w:val="22"/>
          <w:szCs w:val="22"/>
          <w:lang w:val="en-GB"/>
        </w:rPr>
        <w:t>Study design</w:t>
      </w:r>
    </w:p>
    <w:p w14:paraId="37931451" w14:textId="77777777" w:rsidR="005A7FF2" w:rsidRPr="00524D52" w:rsidRDefault="005A7FF2" w:rsidP="00DA6988">
      <w:pPr>
        <w:pStyle w:val="FreeForm"/>
        <w:rPr>
          <w:rFonts w:ascii="Times New Roman" w:hAnsi="Times New Roman"/>
          <w:color w:val="auto"/>
          <w:sz w:val="22"/>
          <w:szCs w:val="22"/>
          <w:lang w:val="en-GB"/>
        </w:rPr>
      </w:pPr>
    </w:p>
    <w:p w14:paraId="207F288A" w14:textId="08B74DD3" w:rsidR="00F77516" w:rsidRPr="00524D52" w:rsidRDefault="00D11915" w:rsidP="00DA6988">
      <w:pPr>
        <w:pStyle w:val="FreeForm"/>
        <w:rPr>
          <w:rFonts w:ascii="Times New Roman" w:hAnsi="Times New Roman"/>
          <w:color w:val="auto"/>
          <w:sz w:val="22"/>
          <w:szCs w:val="22"/>
          <w:lang w:val="en-GB"/>
        </w:rPr>
      </w:pPr>
      <w:r w:rsidRPr="00524D52">
        <w:rPr>
          <w:rFonts w:ascii="Times New Roman" w:hAnsi="Times New Roman"/>
          <w:color w:val="auto"/>
          <w:sz w:val="22"/>
          <w:szCs w:val="22"/>
          <w:lang w:val="en-GB"/>
        </w:rPr>
        <w:t>This</w:t>
      </w:r>
      <w:r w:rsidR="002758F0" w:rsidRPr="00524D52">
        <w:rPr>
          <w:rFonts w:ascii="Times New Roman" w:hAnsi="Times New Roman"/>
          <w:color w:val="auto"/>
          <w:sz w:val="22"/>
          <w:szCs w:val="22"/>
          <w:lang w:val="en-GB"/>
        </w:rPr>
        <w:t xml:space="preserve"> was a </w:t>
      </w:r>
      <w:r w:rsidR="001B4593" w:rsidRPr="00524D52">
        <w:rPr>
          <w:rFonts w:ascii="Times New Roman" w:hAnsi="Times New Roman"/>
          <w:color w:val="auto"/>
          <w:sz w:val="22"/>
          <w:szCs w:val="22"/>
          <w:lang w:val="en-GB"/>
        </w:rPr>
        <w:t>multicentre,</w:t>
      </w:r>
      <w:r w:rsidR="0070322F" w:rsidRPr="00524D52">
        <w:rPr>
          <w:rFonts w:ascii="Times New Roman" w:hAnsi="Times New Roman"/>
          <w:color w:val="auto"/>
          <w:sz w:val="22"/>
          <w:szCs w:val="22"/>
          <w:lang w:val="en-GB"/>
        </w:rPr>
        <w:t xml:space="preserve"> biomarker-driven</w:t>
      </w:r>
      <w:r w:rsidR="00A95042" w:rsidRPr="00524D52">
        <w:rPr>
          <w:rFonts w:ascii="Times New Roman" w:hAnsi="Times New Roman"/>
          <w:color w:val="auto"/>
          <w:sz w:val="22"/>
          <w:szCs w:val="22"/>
          <w:lang w:val="en-GB"/>
        </w:rPr>
        <w:t>,</w:t>
      </w:r>
      <w:r w:rsidR="0070322F" w:rsidRPr="00524D52">
        <w:rPr>
          <w:rFonts w:ascii="Times New Roman" w:hAnsi="Times New Roman"/>
          <w:color w:val="auto"/>
          <w:sz w:val="22"/>
          <w:szCs w:val="22"/>
          <w:lang w:val="en-GB"/>
        </w:rPr>
        <w:t xml:space="preserve"> single agent</w:t>
      </w:r>
      <w:r w:rsidR="00A95042" w:rsidRPr="00524D52">
        <w:rPr>
          <w:rFonts w:ascii="Times New Roman" w:hAnsi="Times New Roman"/>
          <w:color w:val="auto"/>
          <w:sz w:val="22"/>
          <w:szCs w:val="22"/>
          <w:lang w:val="en-GB"/>
        </w:rPr>
        <w:t>, non-randomi</w:t>
      </w:r>
      <w:r w:rsidR="00B1665D" w:rsidRPr="00524D52">
        <w:rPr>
          <w:rFonts w:ascii="Times New Roman" w:hAnsi="Times New Roman"/>
          <w:color w:val="auto"/>
          <w:sz w:val="22"/>
          <w:szCs w:val="22"/>
          <w:lang w:val="en-GB"/>
        </w:rPr>
        <w:t>z</w:t>
      </w:r>
      <w:r w:rsidR="00A95042" w:rsidRPr="00524D52">
        <w:rPr>
          <w:rFonts w:ascii="Times New Roman" w:hAnsi="Times New Roman"/>
          <w:color w:val="auto"/>
          <w:sz w:val="22"/>
          <w:szCs w:val="22"/>
          <w:lang w:val="en-GB"/>
        </w:rPr>
        <w:t>ed</w:t>
      </w:r>
      <w:r w:rsidR="00D61BBE" w:rsidRPr="00524D52">
        <w:rPr>
          <w:rFonts w:ascii="Times New Roman" w:hAnsi="Times New Roman"/>
          <w:color w:val="auto"/>
          <w:sz w:val="22"/>
          <w:szCs w:val="22"/>
          <w:lang w:val="en-GB"/>
        </w:rPr>
        <w:t>,</w:t>
      </w:r>
      <w:r w:rsidR="00A95042" w:rsidRPr="00524D52">
        <w:rPr>
          <w:rFonts w:ascii="Times New Roman" w:hAnsi="Times New Roman"/>
          <w:color w:val="auto"/>
          <w:sz w:val="22"/>
          <w:szCs w:val="22"/>
          <w:lang w:val="en-GB"/>
        </w:rPr>
        <w:t xml:space="preserve"> open-label</w:t>
      </w:r>
      <w:r w:rsidR="00B1665D" w:rsidRPr="00524D52">
        <w:rPr>
          <w:rFonts w:ascii="Times New Roman" w:hAnsi="Times New Roman"/>
          <w:color w:val="auto"/>
          <w:sz w:val="22"/>
          <w:szCs w:val="22"/>
          <w:lang w:val="en-GB"/>
        </w:rPr>
        <w:t xml:space="preserve">, </w:t>
      </w:r>
      <w:r w:rsidR="00D61BBE" w:rsidRPr="00524D52">
        <w:rPr>
          <w:rFonts w:ascii="Times New Roman" w:hAnsi="Times New Roman"/>
          <w:color w:val="auto"/>
          <w:sz w:val="22"/>
          <w:szCs w:val="22"/>
          <w:lang w:val="en-GB"/>
        </w:rPr>
        <w:t>two</w:t>
      </w:r>
      <w:r w:rsidR="00B1665D" w:rsidRPr="00524D52">
        <w:rPr>
          <w:rFonts w:ascii="Times New Roman" w:hAnsi="Times New Roman"/>
          <w:color w:val="auto"/>
          <w:sz w:val="22"/>
          <w:szCs w:val="22"/>
          <w:lang w:val="en-GB"/>
        </w:rPr>
        <w:t>-stage</w:t>
      </w:r>
      <w:r w:rsidR="0070322F" w:rsidRPr="00524D52">
        <w:rPr>
          <w:rFonts w:ascii="Times New Roman" w:hAnsi="Times New Roman"/>
          <w:color w:val="auto"/>
          <w:sz w:val="22"/>
          <w:szCs w:val="22"/>
          <w:lang w:val="en-GB"/>
        </w:rPr>
        <w:t xml:space="preserve"> </w:t>
      </w:r>
      <w:r w:rsidR="001B4593" w:rsidRPr="00524D52">
        <w:rPr>
          <w:rFonts w:ascii="Times New Roman" w:hAnsi="Times New Roman"/>
          <w:color w:val="auto"/>
          <w:sz w:val="22"/>
          <w:szCs w:val="22"/>
          <w:lang w:val="en-GB"/>
        </w:rPr>
        <w:t>p</w:t>
      </w:r>
      <w:r w:rsidR="002758F0" w:rsidRPr="00524D52">
        <w:rPr>
          <w:rFonts w:ascii="Times New Roman" w:hAnsi="Times New Roman"/>
          <w:color w:val="auto"/>
          <w:sz w:val="22"/>
          <w:szCs w:val="22"/>
          <w:lang w:val="en-GB"/>
        </w:rPr>
        <w:t>hase 2</w:t>
      </w:r>
      <w:r w:rsidR="00D81C7C" w:rsidRPr="00524D52">
        <w:rPr>
          <w:rFonts w:ascii="Times New Roman" w:hAnsi="Times New Roman"/>
          <w:color w:val="auto"/>
          <w:sz w:val="22"/>
          <w:szCs w:val="22"/>
          <w:lang w:val="en-GB"/>
        </w:rPr>
        <w:t xml:space="preserve"> trial</w:t>
      </w:r>
      <w:r w:rsidR="0070322F" w:rsidRPr="00524D52">
        <w:rPr>
          <w:rFonts w:ascii="Times New Roman" w:hAnsi="Times New Roman"/>
          <w:color w:val="auto"/>
          <w:sz w:val="22"/>
          <w:szCs w:val="22"/>
          <w:lang w:val="en-GB"/>
        </w:rPr>
        <w:t xml:space="preserve"> assess</w:t>
      </w:r>
      <w:r w:rsidR="001B4593" w:rsidRPr="00524D52">
        <w:rPr>
          <w:rFonts w:ascii="Times New Roman" w:hAnsi="Times New Roman"/>
          <w:color w:val="auto"/>
          <w:sz w:val="22"/>
          <w:szCs w:val="22"/>
          <w:lang w:val="en-GB"/>
        </w:rPr>
        <w:t>ing</w:t>
      </w:r>
      <w:r w:rsidR="0070322F" w:rsidRPr="00524D52">
        <w:rPr>
          <w:rFonts w:ascii="Times New Roman" w:hAnsi="Times New Roman"/>
          <w:color w:val="auto"/>
          <w:sz w:val="22"/>
          <w:szCs w:val="22"/>
          <w:lang w:val="en-GB"/>
        </w:rPr>
        <w:t xml:space="preserve"> the </w:t>
      </w:r>
      <w:r w:rsidR="00D61BBE" w:rsidRPr="00524D52">
        <w:rPr>
          <w:rFonts w:ascii="Times New Roman" w:hAnsi="Times New Roman"/>
          <w:color w:val="auto"/>
          <w:sz w:val="22"/>
          <w:szCs w:val="22"/>
          <w:lang w:val="en-GB"/>
        </w:rPr>
        <w:t xml:space="preserve">activity </w:t>
      </w:r>
      <w:r w:rsidR="001B4593" w:rsidRPr="00524D52">
        <w:rPr>
          <w:rFonts w:ascii="Times New Roman" w:hAnsi="Times New Roman"/>
          <w:color w:val="auto"/>
          <w:sz w:val="22"/>
          <w:szCs w:val="22"/>
          <w:lang w:val="en-GB"/>
        </w:rPr>
        <w:t>and safety</w:t>
      </w:r>
      <w:r w:rsidR="0070322F" w:rsidRPr="00524D52">
        <w:rPr>
          <w:rFonts w:ascii="Times New Roman" w:hAnsi="Times New Roman"/>
          <w:color w:val="auto"/>
          <w:sz w:val="22"/>
          <w:szCs w:val="22"/>
          <w:lang w:val="en-GB"/>
        </w:rPr>
        <w:t xml:space="preserve"> of crizotinib in</w:t>
      </w:r>
      <w:r w:rsidR="00C0063C" w:rsidRPr="00524D52">
        <w:rPr>
          <w:rFonts w:ascii="Times New Roman" w:hAnsi="Times New Roman"/>
          <w:color w:val="auto"/>
          <w:sz w:val="22"/>
          <w:szCs w:val="22"/>
          <w:lang w:val="en-GB"/>
        </w:rPr>
        <w:t xml:space="preserve"> </w:t>
      </w:r>
      <w:r w:rsidR="00D5036C" w:rsidRPr="00524D52">
        <w:rPr>
          <w:rFonts w:ascii="Times New Roman" w:hAnsi="Times New Roman"/>
          <w:color w:val="auto"/>
          <w:sz w:val="22"/>
          <w:szCs w:val="22"/>
          <w:lang w:val="en-GB"/>
        </w:rPr>
        <w:t>patients with locally advanced or metastatic</w:t>
      </w:r>
      <w:r w:rsidR="00372C69">
        <w:rPr>
          <w:rFonts w:ascii="Times New Roman" w:hAnsi="Times New Roman"/>
          <w:color w:val="auto"/>
          <w:sz w:val="22"/>
          <w:szCs w:val="22"/>
          <w:lang w:val="en-GB"/>
        </w:rPr>
        <w:t xml:space="preserve"> </w:t>
      </w:r>
      <w:r w:rsidR="00C907B3" w:rsidRPr="00524D52">
        <w:rPr>
          <w:rFonts w:ascii="Times New Roman" w:hAnsi="Times New Roman"/>
          <w:color w:val="auto"/>
          <w:sz w:val="22"/>
          <w:szCs w:val="22"/>
          <w:lang w:val="en-GB"/>
        </w:rPr>
        <w:t>IMFT</w:t>
      </w:r>
      <w:r w:rsidR="00372C69">
        <w:rPr>
          <w:rFonts w:ascii="Times New Roman" w:hAnsi="Times New Roman"/>
          <w:color w:val="auto"/>
          <w:sz w:val="22"/>
          <w:szCs w:val="22"/>
          <w:lang w:val="en-GB"/>
        </w:rPr>
        <w:t xml:space="preserve"> after </w:t>
      </w:r>
      <w:r w:rsidR="00372C69" w:rsidRPr="00BD5140">
        <w:rPr>
          <w:rFonts w:ascii="Times New Roman" w:hAnsi="Times New Roman"/>
          <w:color w:val="auto"/>
          <w:sz w:val="22"/>
          <w:szCs w:val="22"/>
          <w:lang w:val="en-GB"/>
        </w:rPr>
        <w:t>central reference pathology</w:t>
      </w:r>
      <w:r w:rsidR="00372C69">
        <w:rPr>
          <w:rFonts w:ascii="Times New Roman" w:hAnsi="Times New Roman"/>
          <w:color w:val="auto"/>
          <w:sz w:val="22"/>
          <w:szCs w:val="22"/>
          <w:lang w:val="en-GB"/>
        </w:rPr>
        <w:t xml:space="preserve"> confirmation of the diagnosis.</w:t>
      </w:r>
      <w:r w:rsidR="00372C69" w:rsidRPr="00524D52">
        <w:rPr>
          <w:rFonts w:ascii="Times New Roman" w:hAnsi="Times New Roman"/>
          <w:color w:val="auto"/>
          <w:sz w:val="22"/>
          <w:szCs w:val="22"/>
          <w:lang w:val="en-GB"/>
        </w:rPr>
        <w:t xml:space="preserve"> </w:t>
      </w:r>
      <w:r w:rsidR="00D93B95" w:rsidRPr="00524D52">
        <w:rPr>
          <w:rFonts w:ascii="Times New Roman" w:hAnsi="Times New Roman"/>
          <w:color w:val="auto"/>
          <w:sz w:val="22"/>
          <w:szCs w:val="22"/>
          <w:lang w:val="en-GB"/>
        </w:rPr>
        <w:t xml:space="preserve">The </w:t>
      </w:r>
      <w:r w:rsidR="00C907B3" w:rsidRPr="00524D52">
        <w:rPr>
          <w:rFonts w:ascii="Times New Roman" w:hAnsi="Times New Roman"/>
          <w:color w:val="auto"/>
          <w:sz w:val="22"/>
          <w:szCs w:val="22"/>
          <w:lang w:val="en-GB"/>
        </w:rPr>
        <w:t>IMFT</w:t>
      </w:r>
      <w:r w:rsidR="00216F88" w:rsidRPr="00524D52">
        <w:rPr>
          <w:rFonts w:ascii="Times New Roman" w:hAnsi="Times New Roman"/>
          <w:color w:val="auto"/>
          <w:sz w:val="22"/>
          <w:szCs w:val="22"/>
          <w:lang w:val="en-GB"/>
        </w:rPr>
        <w:t xml:space="preserve"> </w:t>
      </w:r>
      <w:r w:rsidR="00224CF1" w:rsidRPr="00524D52">
        <w:rPr>
          <w:rFonts w:ascii="Times New Roman" w:hAnsi="Times New Roman"/>
          <w:color w:val="auto"/>
          <w:sz w:val="22"/>
          <w:szCs w:val="22"/>
          <w:lang w:val="en-GB"/>
        </w:rPr>
        <w:t>patient population</w:t>
      </w:r>
      <w:r w:rsidR="00D93B95" w:rsidRPr="00524D52">
        <w:rPr>
          <w:rFonts w:ascii="Times New Roman" w:hAnsi="Times New Roman"/>
          <w:color w:val="auto"/>
          <w:sz w:val="22"/>
          <w:szCs w:val="22"/>
          <w:lang w:val="en-GB"/>
        </w:rPr>
        <w:t xml:space="preserve"> was divided </w:t>
      </w:r>
      <w:r w:rsidR="00CF4A53" w:rsidRPr="00524D52">
        <w:rPr>
          <w:rFonts w:ascii="Times New Roman" w:hAnsi="Times New Roman"/>
          <w:color w:val="auto"/>
          <w:sz w:val="22"/>
          <w:szCs w:val="22"/>
          <w:lang w:val="en-GB"/>
        </w:rPr>
        <w:t xml:space="preserve">by protocol </w:t>
      </w:r>
      <w:r w:rsidR="00D93B95" w:rsidRPr="00524D52">
        <w:rPr>
          <w:rFonts w:ascii="Times New Roman" w:hAnsi="Times New Roman"/>
          <w:color w:val="auto"/>
          <w:sz w:val="22"/>
          <w:szCs w:val="22"/>
          <w:lang w:val="en-GB"/>
        </w:rPr>
        <w:t xml:space="preserve">into </w:t>
      </w:r>
      <w:r w:rsidR="00C907B3" w:rsidRPr="00524D52">
        <w:rPr>
          <w:rFonts w:ascii="Times New Roman" w:hAnsi="Times New Roman"/>
          <w:i/>
          <w:color w:val="auto"/>
          <w:sz w:val="22"/>
          <w:szCs w:val="22"/>
          <w:lang w:val="en-GB"/>
        </w:rPr>
        <w:t>ALK</w:t>
      </w:r>
      <w:r w:rsidR="007E1EFF" w:rsidRPr="00524D52">
        <w:rPr>
          <w:rFonts w:ascii="Times New Roman" w:hAnsi="Times New Roman"/>
          <w:color w:val="auto"/>
          <w:sz w:val="22"/>
          <w:szCs w:val="22"/>
          <w:lang w:val="en-GB"/>
        </w:rPr>
        <w:t xml:space="preserve"> </w:t>
      </w:r>
      <w:r w:rsidR="006B170C">
        <w:rPr>
          <w:rFonts w:ascii="Times New Roman" w:hAnsi="Times New Roman"/>
          <w:color w:val="auto"/>
          <w:sz w:val="22"/>
          <w:szCs w:val="22"/>
          <w:lang w:val="en-GB"/>
        </w:rPr>
        <w:t>altered</w:t>
      </w:r>
      <w:r w:rsidR="006B170C" w:rsidRPr="00524D52">
        <w:rPr>
          <w:rFonts w:ascii="Times New Roman" w:hAnsi="Times New Roman"/>
          <w:color w:val="auto"/>
          <w:sz w:val="22"/>
          <w:szCs w:val="22"/>
          <w:lang w:val="en-GB"/>
        </w:rPr>
        <w:t xml:space="preserve"> </w:t>
      </w:r>
      <w:r w:rsidR="006F72CD" w:rsidRPr="00524D52">
        <w:rPr>
          <w:rFonts w:ascii="Times New Roman" w:hAnsi="Times New Roman"/>
          <w:color w:val="auto"/>
          <w:sz w:val="22"/>
          <w:szCs w:val="22"/>
          <w:lang w:val="en-GB"/>
        </w:rPr>
        <w:t>(</w:t>
      </w:r>
      <w:r w:rsidR="00C907B3" w:rsidRPr="00524D52">
        <w:rPr>
          <w:rFonts w:ascii="Times New Roman" w:hAnsi="Times New Roman"/>
          <w:i/>
          <w:color w:val="auto"/>
          <w:sz w:val="22"/>
          <w:szCs w:val="22"/>
          <w:lang w:val="en-GB"/>
        </w:rPr>
        <w:t>ALK</w:t>
      </w:r>
      <w:r w:rsidR="006F72CD" w:rsidRPr="00524D52">
        <w:rPr>
          <w:rFonts w:ascii="Times New Roman" w:hAnsi="Times New Roman"/>
          <w:color w:val="auto"/>
          <w:sz w:val="22"/>
          <w:szCs w:val="22"/>
          <w:lang w:val="en-GB"/>
        </w:rPr>
        <w:t xml:space="preserve">+) and </w:t>
      </w:r>
      <w:r w:rsidR="00C907B3" w:rsidRPr="00524D52">
        <w:rPr>
          <w:rFonts w:ascii="Times New Roman" w:hAnsi="Times New Roman"/>
          <w:i/>
          <w:color w:val="auto"/>
          <w:sz w:val="22"/>
          <w:szCs w:val="22"/>
          <w:lang w:val="en-GB"/>
        </w:rPr>
        <w:t>ALK</w:t>
      </w:r>
      <w:r w:rsidR="007E1EFF" w:rsidRPr="00524D52">
        <w:rPr>
          <w:rFonts w:ascii="Times New Roman" w:hAnsi="Times New Roman"/>
          <w:color w:val="auto"/>
          <w:sz w:val="22"/>
          <w:szCs w:val="22"/>
          <w:lang w:val="en-GB"/>
        </w:rPr>
        <w:t xml:space="preserve"> non-</w:t>
      </w:r>
      <w:r w:rsidR="006B170C">
        <w:rPr>
          <w:rFonts w:ascii="Times New Roman" w:hAnsi="Times New Roman"/>
          <w:color w:val="auto"/>
          <w:sz w:val="22"/>
          <w:szCs w:val="22"/>
          <w:lang w:val="en-GB"/>
        </w:rPr>
        <w:t>altered</w:t>
      </w:r>
      <w:r w:rsidR="006B170C" w:rsidRPr="00524D52">
        <w:rPr>
          <w:rFonts w:ascii="Times New Roman" w:hAnsi="Times New Roman"/>
          <w:color w:val="auto"/>
          <w:sz w:val="22"/>
          <w:szCs w:val="22"/>
          <w:lang w:val="en-GB"/>
        </w:rPr>
        <w:t xml:space="preserve"> </w:t>
      </w:r>
      <w:r w:rsidR="006F72CD" w:rsidRPr="00524D52">
        <w:rPr>
          <w:rFonts w:ascii="Times New Roman" w:hAnsi="Times New Roman"/>
          <w:color w:val="auto"/>
          <w:sz w:val="22"/>
          <w:szCs w:val="22"/>
          <w:lang w:val="en-GB"/>
        </w:rPr>
        <w:t>(</w:t>
      </w:r>
      <w:r w:rsidR="00024BA7" w:rsidRPr="00524D52">
        <w:rPr>
          <w:rFonts w:ascii="Times New Roman" w:hAnsi="Times New Roman"/>
          <w:i/>
          <w:color w:val="auto"/>
          <w:sz w:val="22"/>
          <w:szCs w:val="22"/>
          <w:lang w:val="en-GB"/>
        </w:rPr>
        <w:t>ALK</w:t>
      </w:r>
      <w:r w:rsidR="00D81C7C" w:rsidRPr="00524D52">
        <w:rPr>
          <w:rFonts w:ascii="Times New Roman" w:hAnsi="Times New Roman"/>
          <w:i/>
          <w:color w:val="auto"/>
          <w:sz w:val="22"/>
          <w:szCs w:val="22"/>
          <w:lang w:val="en-GB"/>
        </w:rPr>
        <w:t>-</w:t>
      </w:r>
      <w:r w:rsidR="006F72CD" w:rsidRPr="00524D52">
        <w:rPr>
          <w:rFonts w:ascii="Times New Roman" w:hAnsi="Times New Roman"/>
          <w:color w:val="auto"/>
          <w:sz w:val="22"/>
          <w:szCs w:val="22"/>
          <w:lang w:val="en-GB"/>
        </w:rPr>
        <w:t>)</w:t>
      </w:r>
      <w:r w:rsidR="00D93B95" w:rsidRPr="00524D52">
        <w:rPr>
          <w:rFonts w:ascii="Times New Roman" w:hAnsi="Times New Roman"/>
          <w:color w:val="auto"/>
          <w:sz w:val="22"/>
          <w:szCs w:val="22"/>
          <w:lang w:val="en-GB"/>
        </w:rPr>
        <w:t xml:space="preserve"> sub-cohorts</w:t>
      </w:r>
      <w:r w:rsidR="0055548A" w:rsidRPr="00524D52">
        <w:rPr>
          <w:rFonts w:ascii="Times New Roman" w:hAnsi="Times New Roman"/>
          <w:color w:val="auto"/>
          <w:sz w:val="22"/>
          <w:szCs w:val="22"/>
          <w:lang w:val="en-GB"/>
        </w:rPr>
        <w:t>,</w:t>
      </w:r>
      <w:r w:rsidR="001A1F92" w:rsidRPr="00524D52">
        <w:rPr>
          <w:rFonts w:ascii="Times New Roman" w:hAnsi="Times New Roman"/>
          <w:color w:val="auto"/>
          <w:sz w:val="22"/>
          <w:szCs w:val="22"/>
          <w:lang w:val="en-GB"/>
        </w:rPr>
        <w:t xml:space="preserve"> which were </w:t>
      </w:r>
      <w:r w:rsidR="002C6C0E" w:rsidRPr="00524D52">
        <w:rPr>
          <w:rFonts w:ascii="Times New Roman" w:hAnsi="Times New Roman"/>
          <w:color w:val="auto"/>
          <w:sz w:val="22"/>
          <w:szCs w:val="22"/>
          <w:lang w:val="en-GB"/>
        </w:rPr>
        <w:t>analy</w:t>
      </w:r>
      <w:r w:rsidR="002C6C0E">
        <w:rPr>
          <w:rFonts w:ascii="Times New Roman" w:hAnsi="Times New Roman"/>
          <w:color w:val="auto"/>
          <w:sz w:val="22"/>
          <w:szCs w:val="22"/>
          <w:lang w:val="en-GB"/>
        </w:rPr>
        <w:t>z</w:t>
      </w:r>
      <w:r w:rsidR="002C6C0E" w:rsidRPr="00524D52">
        <w:rPr>
          <w:rFonts w:ascii="Times New Roman" w:hAnsi="Times New Roman"/>
          <w:color w:val="auto"/>
          <w:sz w:val="22"/>
          <w:szCs w:val="22"/>
          <w:lang w:val="en-GB"/>
        </w:rPr>
        <w:t xml:space="preserve">ed </w:t>
      </w:r>
      <w:r w:rsidR="001A1F92" w:rsidRPr="00524D52">
        <w:rPr>
          <w:rFonts w:ascii="Times New Roman" w:hAnsi="Times New Roman"/>
          <w:color w:val="auto"/>
          <w:sz w:val="22"/>
          <w:szCs w:val="22"/>
          <w:lang w:val="en-GB"/>
        </w:rPr>
        <w:t>separately</w:t>
      </w:r>
      <w:r w:rsidR="006F72CD" w:rsidRPr="00524D52">
        <w:rPr>
          <w:rFonts w:ascii="Times New Roman" w:hAnsi="Times New Roman"/>
          <w:color w:val="auto"/>
          <w:sz w:val="22"/>
          <w:szCs w:val="22"/>
          <w:lang w:val="en-GB"/>
        </w:rPr>
        <w:t>.</w:t>
      </w:r>
      <w:r w:rsidR="007E1EFF" w:rsidRPr="00524D52">
        <w:rPr>
          <w:rFonts w:ascii="Times New Roman" w:hAnsi="Times New Roman"/>
          <w:color w:val="auto"/>
          <w:sz w:val="22"/>
          <w:szCs w:val="22"/>
          <w:lang w:val="en-GB"/>
        </w:rPr>
        <w:t xml:space="preserve"> </w:t>
      </w:r>
    </w:p>
    <w:p w14:paraId="49430A0D" w14:textId="77777777" w:rsidR="00752FF0" w:rsidRPr="00524D52" w:rsidRDefault="00752FF0" w:rsidP="00DA6988">
      <w:pPr>
        <w:pStyle w:val="FreeForm"/>
        <w:rPr>
          <w:rFonts w:ascii="Times New Roman" w:hAnsi="Times New Roman"/>
          <w:color w:val="auto"/>
          <w:sz w:val="22"/>
          <w:szCs w:val="22"/>
          <w:lang w:val="en-GB"/>
        </w:rPr>
      </w:pPr>
    </w:p>
    <w:p w14:paraId="7EBEBCE3" w14:textId="756C36C5" w:rsidR="0036771D" w:rsidRPr="00524D52" w:rsidRDefault="0036771D" w:rsidP="00065B26">
      <w:r w:rsidRPr="00524D52">
        <w:t>Ethics approval was obtained for this study</w:t>
      </w:r>
      <w:r w:rsidR="00C42401" w:rsidRPr="00524D52">
        <w:t xml:space="preserve"> </w:t>
      </w:r>
      <w:r w:rsidRPr="00524D52">
        <w:t xml:space="preserve">(ClinicalTrials.gov identifier NCT01524926), which was conducted in accordance with the Declaration of Helsinki, </w:t>
      </w:r>
      <w:r w:rsidRPr="00524D52">
        <w:rPr>
          <w:rStyle w:val="st"/>
        </w:rPr>
        <w:t xml:space="preserve">International Conference on </w:t>
      </w:r>
      <w:r w:rsidR="005C6D06" w:rsidRPr="00524D52">
        <w:rPr>
          <w:rStyle w:val="st"/>
        </w:rPr>
        <w:t>Harmonization</w:t>
      </w:r>
      <w:r w:rsidRPr="00524D52">
        <w:rPr>
          <w:rStyle w:val="st"/>
        </w:rPr>
        <w:t>-</w:t>
      </w:r>
      <w:r w:rsidRPr="00524D52">
        <w:t>Good Clinical Practice, and participating country and institution regulations.</w:t>
      </w:r>
    </w:p>
    <w:p w14:paraId="7AA55371" w14:textId="7E1BF595" w:rsidR="009E26C9" w:rsidRPr="00524D52" w:rsidRDefault="002758F0" w:rsidP="00490E17">
      <w:r w:rsidRPr="00524D52">
        <w:t xml:space="preserve"> </w:t>
      </w:r>
    </w:p>
    <w:p w14:paraId="337F11D5" w14:textId="77777777" w:rsidR="006F72CD" w:rsidRPr="00524D52" w:rsidRDefault="0070091E" w:rsidP="00DB248E">
      <w:pPr>
        <w:rPr>
          <w:rStyle w:val="Strong"/>
        </w:rPr>
      </w:pPr>
      <w:r w:rsidRPr="00524D52">
        <w:rPr>
          <w:rStyle w:val="Strong"/>
        </w:rPr>
        <w:t>Patient enrolment</w:t>
      </w:r>
    </w:p>
    <w:p w14:paraId="2CDBF4EB" w14:textId="37EE02CF" w:rsidR="006F72CD" w:rsidRPr="00524D52" w:rsidRDefault="00777A79" w:rsidP="00DB248E">
      <w:r w:rsidRPr="00524D52">
        <w:t xml:space="preserve"> </w:t>
      </w:r>
    </w:p>
    <w:p w14:paraId="0D4F9B5D" w14:textId="090345BE" w:rsidR="009154A4" w:rsidRPr="00524D52" w:rsidRDefault="001132AE" w:rsidP="003E1FE2">
      <w:pPr>
        <w:rPr>
          <w:rStyle w:val="Hyperlink"/>
          <w:color w:val="auto"/>
          <w:u w:val="none"/>
        </w:rPr>
      </w:pPr>
      <w:r w:rsidRPr="00524D52">
        <w:t>Patient enrolment was based on</w:t>
      </w:r>
      <w:r w:rsidR="000954B0">
        <w:t xml:space="preserve"> a</w:t>
      </w:r>
      <w:r w:rsidRPr="00524D52">
        <w:t xml:space="preserve"> multi-step registration procedure. </w:t>
      </w:r>
      <w:r w:rsidRPr="00524D52">
        <w:rPr>
          <w:rStyle w:val="Hyperlink"/>
          <w:color w:val="auto"/>
          <w:u w:val="none"/>
        </w:rPr>
        <w:t xml:space="preserve">Step 1 prerequisites </w:t>
      </w:r>
      <w:r w:rsidRPr="00524D52">
        <w:t>for</w:t>
      </w:r>
      <w:r w:rsidR="00A2079A" w:rsidRPr="00524D52">
        <w:t xml:space="preserve"> registration were a</w:t>
      </w:r>
      <w:r w:rsidR="000F53CF" w:rsidRPr="00524D52">
        <w:t xml:space="preserve"> </w:t>
      </w:r>
      <w:r w:rsidR="00224CF1" w:rsidRPr="00524D52">
        <w:t xml:space="preserve">local diagnosis of </w:t>
      </w:r>
      <w:r w:rsidR="00563A27" w:rsidRPr="00524D52">
        <w:t>advan</w:t>
      </w:r>
      <w:r w:rsidR="00257DD5" w:rsidRPr="00524D52">
        <w:t xml:space="preserve">ced and/or metastatic </w:t>
      </w:r>
      <w:r w:rsidR="00024BA7" w:rsidRPr="00524D52">
        <w:t>IMFT</w:t>
      </w:r>
      <w:r w:rsidR="00563A27" w:rsidRPr="00524D52">
        <w:t xml:space="preserve"> deemed incurable by conv</w:t>
      </w:r>
      <w:r w:rsidR="00257DD5" w:rsidRPr="00524D52">
        <w:t xml:space="preserve">entional surgery, radiotherapy or </w:t>
      </w:r>
      <w:r w:rsidR="00563A27" w:rsidRPr="00524D52">
        <w:t>systemic therapy</w:t>
      </w:r>
      <w:r w:rsidR="00BD3B62" w:rsidRPr="00524D52">
        <w:t>, the</w:t>
      </w:r>
      <w:r w:rsidR="00171994" w:rsidRPr="00524D52">
        <w:t xml:space="preserve"> </w:t>
      </w:r>
      <w:r w:rsidR="00D61BBE" w:rsidRPr="00524D52">
        <w:t xml:space="preserve">availability of a </w:t>
      </w:r>
      <w:r w:rsidR="00171994" w:rsidRPr="00524D52">
        <w:t>formalin-fixed</w:t>
      </w:r>
      <w:r w:rsidR="00563A27" w:rsidRPr="00524D52">
        <w:t xml:space="preserve"> paraffin embedded</w:t>
      </w:r>
      <w:r w:rsidR="00171994" w:rsidRPr="00524D52">
        <w:t xml:space="preserve"> (FFPE)</w:t>
      </w:r>
      <w:r w:rsidR="00693D18" w:rsidRPr="00524D52">
        <w:t xml:space="preserve"> </w:t>
      </w:r>
      <w:r w:rsidR="00CE6385" w:rsidRPr="00524D52">
        <w:t>tumor</w:t>
      </w:r>
      <w:r w:rsidR="00693D18" w:rsidRPr="00524D52">
        <w:t>-containing tissue block</w:t>
      </w:r>
      <w:r w:rsidR="00563A27" w:rsidRPr="00524D52">
        <w:t xml:space="preserve"> from primary </w:t>
      </w:r>
      <w:r w:rsidR="00CE6385" w:rsidRPr="00524D52">
        <w:t>tumor</w:t>
      </w:r>
      <w:r w:rsidR="00563A27" w:rsidRPr="00524D52">
        <w:t xml:space="preserve"> and/or metastatic site</w:t>
      </w:r>
      <w:r w:rsidR="00BD3B62" w:rsidRPr="00524D52">
        <w:t xml:space="preserve"> </w:t>
      </w:r>
      <w:r w:rsidR="00DF2295" w:rsidRPr="00524D52">
        <w:t xml:space="preserve">for trial purposes </w:t>
      </w:r>
      <w:r w:rsidR="00BD3B62" w:rsidRPr="00524D52">
        <w:t xml:space="preserve">and </w:t>
      </w:r>
      <w:r w:rsidR="00563A27" w:rsidRPr="00524D52">
        <w:t xml:space="preserve">written informed consent </w:t>
      </w:r>
      <w:r w:rsidR="00DF2295" w:rsidRPr="00524D52">
        <w:t xml:space="preserve">of the patient </w:t>
      </w:r>
      <w:r w:rsidR="00563A27" w:rsidRPr="00524D52">
        <w:t xml:space="preserve">for central collection of </w:t>
      </w:r>
      <w:r w:rsidR="00BD3B62" w:rsidRPr="00524D52">
        <w:t xml:space="preserve">the </w:t>
      </w:r>
      <w:r w:rsidR="00693D18" w:rsidRPr="00524D52">
        <w:t xml:space="preserve">tissue </w:t>
      </w:r>
      <w:r w:rsidR="00BD3B62" w:rsidRPr="00524D52">
        <w:t>and all</w:t>
      </w:r>
      <w:r w:rsidR="00563A27" w:rsidRPr="00524D52">
        <w:t xml:space="preserve"> other trial-specific procedures</w:t>
      </w:r>
      <w:r w:rsidR="0024498B" w:rsidRPr="00524D52">
        <w:t>.</w:t>
      </w:r>
    </w:p>
    <w:p w14:paraId="4207F6E8" w14:textId="77777777" w:rsidR="00BD3B62" w:rsidRPr="00524D52" w:rsidRDefault="00BD3B62" w:rsidP="003E1FE2">
      <w:pPr>
        <w:rPr>
          <w:rStyle w:val="Hyperlink"/>
          <w:color w:val="auto"/>
          <w:u w:val="none"/>
        </w:rPr>
      </w:pPr>
    </w:p>
    <w:p w14:paraId="4697FDFE" w14:textId="7B315AEF" w:rsidR="004A75D6" w:rsidRPr="00524D52" w:rsidRDefault="00840104" w:rsidP="003E1FE2">
      <w:r w:rsidRPr="00524D52">
        <w:t xml:space="preserve">Criteria for step 2 included receipt of the tissue by a central biorepository (BioRep, Milan, Italy) with presence of tumor in the shipped material and confirmation of the correct diagnosis of </w:t>
      </w:r>
      <w:r w:rsidR="00024BA7" w:rsidRPr="00524D52">
        <w:t>IMFT</w:t>
      </w:r>
      <w:r w:rsidR="00BD3B62" w:rsidRPr="00524D52">
        <w:t xml:space="preserve"> by </w:t>
      </w:r>
      <w:r w:rsidR="008620BD" w:rsidRPr="00524D52">
        <w:t xml:space="preserve">central </w:t>
      </w:r>
      <w:r w:rsidR="00BD3B62" w:rsidRPr="00524D52">
        <w:t>reference pathology</w:t>
      </w:r>
      <w:r w:rsidR="00A2079A" w:rsidRPr="00524D52">
        <w:t>.</w:t>
      </w:r>
      <w:r w:rsidR="00A12A99">
        <w:t xml:space="preserve"> The reference pathology review was based on the diagnostic criteria for IMFT as described by Coffin and Fletcher (2013).</w:t>
      </w:r>
      <w:r w:rsidR="002B5BBD" w:rsidRPr="00BD5140">
        <w:rPr>
          <w:vertAlign w:val="superscript"/>
        </w:rPr>
        <w:t>22</w:t>
      </w:r>
    </w:p>
    <w:p w14:paraId="4FF7DFB3" w14:textId="77777777" w:rsidR="00BD3B62" w:rsidRPr="00524D52" w:rsidRDefault="00BD3B62" w:rsidP="002D5A07"/>
    <w:p w14:paraId="02478659" w14:textId="2B03AD2E" w:rsidR="000466C6" w:rsidRPr="00524D52" w:rsidRDefault="007B6053" w:rsidP="002D5A07">
      <w:r w:rsidRPr="00524D52">
        <w:t xml:space="preserve">Screened patients were treated after completion of both steps, </w:t>
      </w:r>
      <w:r w:rsidR="008620BD" w:rsidRPr="00524D52">
        <w:t>provided</w:t>
      </w:r>
      <w:r w:rsidR="000D10E6" w:rsidRPr="00524D52">
        <w:t xml:space="preserve"> all other eligibility criteria were met: age </w:t>
      </w:r>
      <w:r w:rsidR="00F55132" w:rsidRPr="00524D52">
        <w:sym w:font="Symbol" w:char="F0B3"/>
      </w:r>
      <w:r w:rsidR="000D10E6" w:rsidRPr="00524D52">
        <w:t>15 years,</w:t>
      </w:r>
      <w:r w:rsidR="00F55132" w:rsidRPr="00524D52">
        <w:t xml:space="preserve"> East</w:t>
      </w:r>
      <w:r w:rsidR="000D10E6" w:rsidRPr="00524D52">
        <w:t>ern Cooperative Oncology Group</w:t>
      </w:r>
      <w:r w:rsidR="008E610F" w:rsidRPr="00524D52">
        <w:t xml:space="preserve"> (ECOG)</w:t>
      </w:r>
      <w:r w:rsidR="000D10E6" w:rsidRPr="00524D52">
        <w:t xml:space="preserve"> </w:t>
      </w:r>
      <w:r w:rsidR="00F55132" w:rsidRPr="00524D52">
        <w:t>performance status 0-2</w:t>
      </w:r>
      <w:r w:rsidR="000D10E6" w:rsidRPr="00524D52">
        <w:t>,</w:t>
      </w:r>
      <w:r w:rsidR="004C3F7B" w:rsidRPr="00524D52">
        <w:t xml:space="preserve"> </w:t>
      </w:r>
      <w:r w:rsidR="000D10E6" w:rsidRPr="00524D52">
        <w:t xml:space="preserve">adequate </w:t>
      </w:r>
      <w:r w:rsidR="00690C3B" w:rsidRPr="00524D52">
        <w:t>hematological</w:t>
      </w:r>
      <w:r w:rsidR="000D10E6" w:rsidRPr="00524D52">
        <w:t xml:space="preserve">, renal, and liver function and </w:t>
      </w:r>
      <w:r w:rsidR="00F55132" w:rsidRPr="00524D52">
        <w:t xml:space="preserve">measurable disease according to </w:t>
      </w:r>
      <w:r w:rsidR="006B170C" w:rsidRPr="00AC57E3">
        <w:t>Response Evaluation Criteria In Solid Tumors</w:t>
      </w:r>
      <w:r w:rsidR="006B170C">
        <w:t xml:space="preserve"> (</w:t>
      </w:r>
      <w:r w:rsidR="006B170C" w:rsidRPr="00524D52">
        <w:t>RECIST</w:t>
      </w:r>
      <w:r w:rsidR="006B170C">
        <w:t>)</w:t>
      </w:r>
      <w:r w:rsidR="006B170C" w:rsidRPr="00524D52">
        <w:t xml:space="preserve"> </w:t>
      </w:r>
      <w:r w:rsidR="00F55132" w:rsidRPr="00524D52">
        <w:t>1</w:t>
      </w:r>
      <w:r w:rsidR="003C1C98" w:rsidRPr="00524D52">
        <w:t>·</w:t>
      </w:r>
      <w:r w:rsidR="00F55132" w:rsidRPr="00524D52">
        <w:t>1</w:t>
      </w:r>
      <w:r w:rsidR="000D10E6" w:rsidRPr="00524D52">
        <w:t xml:space="preserve">. There </w:t>
      </w:r>
      <w:r w:rsidR="00411C28" w:rsidRPr="00524D52">
        <w:t xml:space="preserve">was </w:t>
      </w:r>
      <w:r w:rsidR="000D10E6" w:rsidRPr="00524D52">
        <w:t xml:space="preserve">no limitation in terms of </w:t>
      </w:r>
      <w:r w:rsidR="009154A4" w:rsidRPr="00524D52">
        <w:t xml:space="preserve">previous systemic </w:t>
      </w:r>
      <w:r w:rsidR="001A1F92" w:rsidRPr="00524D52">
        <w:t>or local treatment</w:t>
      </w:r>
      <w:r w:rsidR="00D20BC7" w:rsidRPr="00524D52">
        <w:t xml:space="preserve"> for </w:t>
      </w:r>
      <w:r w:rsidR="00024BA7" w:rsidRPr="00524D52">
        <w:t>IMFT</w:t>
      </w:r>
      <w:r w:rsidR="001A1F92" w:rsidRPr="00524D52">
        <w:t xml:space="preserve">, only </w:t>
      </w:r>
      <w:r w:rsidR="000D10E6" w:rsidRPr="00524D52">
        <w:t xml:space="preserve">prior exposure to crizotinib or other </w:t>
      </w:r>
      <w:r w:rsidR="00A2079A" w:rsidRPr="00524D52">
        <w:t xml:space="preserve">specific </w:t>
      </w:r>
      <w:r w:rsidR="00024BA7" w:rsidRPr="00524D52">
        <w:t>ALK</w:t>
      </w:r>
      <w:r w:rsidR="000D10E6" w:rsidRPr="00524D52">
        <w:t>-inhibiting agents was not allowed.</w:t>
      </w:r>
      <w:r w:rsidR="009154A4" w:rsidRPr="00524D52">
        <w:t xml:space="preserve"> </w:t>
      </w:r>
      <w:r w:rsidR="00042E33" w:rsidRPr="00524D52">
        <w:t>Exclusion criteria included</w:t>
      </w:r>
      <w:r w:rsidR="0024498B" w:rsidRPr="00524D52">
        <w:t xml:space="preserve"> acute or chronic seve</w:t>
      </w:r>
      <w:r w:rsidR="00B3451A" w:rsidRPr="00524D52">
        <w:t xml:space="preserve">re gastrointestinal conditions, </w:t>
      </w:r>
      <w:r w:rsidR="0024498B" w:rsidRPr="00524D52">
        <w:t>current co</w:t>
      </w:r>
      <w:r w:rsidR="00B3451A" w:rsidRPr="00524D52">
        <w:t xml:space="preserve">ngestive heart failure or </w:t>
      </w:r>
      <w:r w:rsidR="0024498B" w:rsidRPr="00524D52">
        <w:t>cardiac dys</w:t>
      </w:r>
      <w:r w:rsidR="00A03596" w:rsidRPr="00524D52">
        <w:t xml:space="preserve">rhythmias </w:t>
      </w:r>
      <w:r w:rsidR="00B3451A" w:rsidRPr="00524D52">
        <w:t>N</w:t>
      </w:r>
      <w:r w:rsidR="00D81C7C" w:rsidRPr="00524D52">
        <w:t xml:space="preserve">ational </w:t>
      </w:r>
      <w:r w:rsidR="00B3451A" w:rsidRPr="00524D52">
        <w:t>C</w:t>
      </w:r>
      <w:r w:rsidR="00D81C7C" w:rsidRPr="00524D52">
        <w:t xml:space="preserve">ancer </w:t>
      </w:r>
      <w:r w:rsidR="00B3451A" w:rsidRPr="00524D52">
        <w:t>I</w:t>
      </w:r>
      <w:r w:rsidR="00D81C7C" w:rsidRPr="00524D52">
        <w:t>nstitute</w:t>
      </w:r>
      <w:r w:rsidR="00B3451A" w:rsidRPr="00524D52">
        <w:t xml:space="preserve"> C</w:t>
      </w:r>
      <w:r w:rsidR="00D81C7C" w:rsidRPr="00524D52">
        <w:t xml:space="preserve">ommon </w:t>
      </w:r>
      <w:r w:rsidR="00B3451A" w:rsidRPr="00524D52">
        <w:t>T</w:t>
      </w:r>
      <w:r w:rsidR="00D81C7C" w:rsidRPr="00524D52">
        <w:t>oxicity Criteria (NCI CTC</w:t>
      </w:r>
      <w:r w:rsidR="00A03596" w:rsidRPr="00524D52">
        <w:t>AE</w:t>
      </w:r>
      <w:r w:rsidR="00D81C7C" w:rsidRPr="00524D52">
        <w:t>)</w:t>
      </w:r>
      <w:r w:rsidR="00A03596" w:rsidRPr="00524D52">
        <w:t xml:space="preserve"> grade &gt;2</w:t>
      </w:r>
      <w:r w:rsidR="00B3451A" w:rsidRPr="00524D52">
        <w:t xml:space="preserve"> including </w:t>
      </w:r>
      <w:r w:rsidR="0024498B" w:rsidRPr="00524D52">
        <w:t>uncontrolled atrial fibrillation</w:t>
      </w:r>
      <w:r w:rsidR="00042E33" w:rsidRPr="00524D52">
        <w:t xml:space="preserve">. </w:t>
      </w:r>
      <w:r w:rsidR="00D20BC7" w:rsidRPr="00524D52">
        <w:t>Further details on the patient selection are d</w:t>
      </w:r>
      <w:r w:rsidR="00EE1CE4" w:rsidRPr="00524D52">
        <w:t>escribed in the study protocol (</w:t>
      </w:r>
      <w:r w:rsidR="00D20BC7" w:rsidRPr="00524D52">
        <w:t>available at</w:t>
      </w:r>
      <w:r w:rsidR="00EE1CE4" w:rsidRPr="00524D52">
        <w:t>:</w:t>
      </w:r>
      <w:r w:rsidR="00922381" w:rsidRPr="00524D52">
        <w:t xml:space="preserve"> </w:t>
      </w:r>
      <w:hyperlink r:id="rId16" w:history="1">
        <w:r w:rsidR="00EE1CE4" w:rsidRPr="00524D52">
          <w:rPr>
            <w:rStyle w:val="Hyperlink"/>
          </w:rPr>
          <w:t>http://www.eortc.be/services/doc/protocols/90101v10.0.pdf</w:t>
        </w:r>
      </w:hyperlink>
      <w:r w:rsidR="00EE1CE4" w:rsidRPr="00524D52">
        <w:t>)</w:t>
      </w:r>
    </w:p>
    <w:p w14:paraId="1C784ECC" w14:textId="2F03D802" w:rsidR="00D20BC7" w:rsidRPr="00524D52" w:rsidRDefault="00D20BC7" w:rsidP="00A9399A"/>
    <w:p w14:paraId="081E3547" w14:textId="1EA7B3B7" w:rsidR="000D10E6" w:rsidRPr="00524D52" w:rsidRDefault="00114057">
      <w:r w:rsidRPr="00524D52">
        <w:t>D</w:t>
      </w:r>
      <w:r w:rsidR="00E73078" w:rsidRPr="00524D52">
        <w:t xml:space="preserve">ocumentation of </w:t>
      </w:r>
      <w:r w:rsidR="000466C6" w:rsidRPr="00524D52">
        <w:t xml:space="preserve">the </w:t>
      </w:r>
      <w:r w:rsidR="000D10E6" w:rsidRPr="00524D52">
        <w:t xml:space="preserve">presence of a specific </w:t>
      </w:r>
      <w:r w:rsidR="00024BA7" w:rsidRPr="00524D52">
        <w:rPr>
          <w:i/>
        </w:rPr>
        <w:t>ALK</w:t>
      </w:r>
      <w:r w:rsidR="000D10E6" w:rsidRPr="00524D52">
        <w:t xml:space="preserve"> alteration was not required </w:t>
      </w:r>
      <w:r w:rsidR="000466C6" w:rsidRPr="00524D52">
        <w:t xml:space="preserve">for a patient </w:t>
      </w:r>
      <w:r w:rsidR="000D10E6" w:rsidRPr="00524D52">
        <w:t>to enter the clinical screening and treatment phase</w:t>
      </w:r>
      <w:r w:rsidR="00D20BC7" w:rsidRPr="00524D52">
        <w:t xml:space="preserve"> (step 3)</w:t>
      </w:r>
      <w:r w:rsidR="000D10E6" w:rsidRPr="00524D52">
        <w:t>.</w:t>
      </w:r>
      <w:r w:rsidR="00B3451A" w:rsidRPr="00524D52">
        <w:t xml:space="preserve"> The </w:t>
      </w:r>
      <w:r w:rsidR="00CC267A">
        <w:t xml:space="preserve">central </w:t>
      </w:r>
      <w:r w:rsidR="00024BA7" w:rsidRPr="00524D52">
        <w:t>molecular/genetic</w:t>
      </w:r>
      <w:r w:rsidR="00D20BC7" w:rsidRPr="00524D52">
        <w:t xml:space="preserve"> analysis was done </w:t>
      </w:r>
      <w:r w:rsidR="0065793A" w:rsidRPr="00524D52">
        <w:t>while patients wer</w:t>
      </w:r>
      <w:r w:rsidR="00A62A18" w:rsidRPr="00524D52">
        <w:t>e already receiving therapy</w:t>
      </w:r>
      <w:r w:rsidR="00CC267A">
        <w:t xml:space="preserve">, and in many cases results of local ALK testing were available. The attribution of patients to the </w:t>
      </w:r>
      <w:r w:rsidR="00CC267A" w:rsidRPr="00AA5199">
        <w:rPr>
          <w:i/>
        </w:rPr>
        <w:t>ALK</w:t>
      </w:r>
      <w:r w:rsidR="00CC267A">
        <w:t xml:space="preserve">+ or </w:t>
      </w:r>
      <w:r w:rsidR="00CC267A" w:rsidRPr="00AA5199">
        <w:rPr>
          <w:i/>
        </w:rPr>
        <w:t>ALK</w:t>
      </w:r>
      <w:r w:rsidR="00CC267A">
        <w:t>- subcohorts was based exclusively on central testing.</w:t>
      </w:r>
    </w:p>
    <w:p w14:paraId="23488A3D" w14:textId="77777777" w:rsidR="003452CC" w:rsidRPr="00524D52" w:rsidRDefault="003452CC"/>
    <w:p w14:paraId="30EC0507" w14:textId="77777777" w:rsidR="005A7FF2" w:rsidRPr="00524D52" w:rsidRDefault="0070091E">
      <w:pPr>
        <w:rPr>
          <w:rStyle w:val="Strong"/>
        </w:rPr>
      </w:pPr>
      <w:r w:rsidRPr="00524D52">
        <w:rPr>
          <w:rStyle w:val="Strong"/>
        </w:rPr>
        <w:t>Treatment</w:t>
      </w:r>
      <w:r w:rsidR="00BA6159" w:rsidRPr="00524D52">
        <w:rPr>
          <w:rStyle w:val="Strong"/>
        </w:rPr>
        <w:t xml:space="preserve">, </w:t>
      </w:r>
      <w:r w:rsidRPr="00524D52">
        <w:rPr>
          <w:rStyle w:val="Strong"/>
        </w:rPr>
        <w:t xml:space="preserve">safety </w:t>
      </w:r>
      <w:r w:rsidR="00BA6159" w:rsidRPr="00524D52">
        <w:rPr>
          <w:rStyle w:val="Strong"/>
        </w:rPr>
        <w:t xml:space="preserve">and efficacy </w:t>
      </w:r>
      <w:r w:rsidRPr="00524D52">
        <w:rPr>
          <w:rStyle w:val="Strong"/>
        </w:rPr>
        <w:t>assessment</w:t>
      </w:r>
    </w:p>
    <w:p w14:paraId="6989A03A" w14:textId="77777777" w:rsidR="006D58D6" w:rsidRPr="00524D52" w:rsidRDefault="006D58D6"/>
    <w:p w14:paraId="5FD4C43C" w14:textId="5A549E84" w:rsidR="00124A64" w:rsidRPr="00524D52" w:rsidRDefault="00C31378">
      <w:r w:rsidRPr="00524D52">
        <w:lastRenderedPageBreak/>
        <w:t>E</w:t>
      </w:r>
      <w:r w:rsidR="0070091E" w:rsidRPr="00524D52">
        <w:t>ligible pa</w:t>
      </w:r>
      <w:r w:rsidR="008F18F1" w:rsidRPr="00524D52">
        <w:t xml:space="preserve">tients </w:t>
      </w:r>
      <w:r w:rsidR="00695878" w:rsidRPr="00524D52">
        <w:t xml:space="preserve">with centrally confirmed diagnosis of </w:t>
      </w:r>
      <w:r w:rsidR="00024BA7" w:rsidRPr="00524D52">
        <w:t>IMFT</w:t>
      </w:r>
      <w:r w:rsidR="00695878" w:rsidRPr="00524D52">
        <w:t xml:space="preserve"> </w:t>
      </w:r>
      <w:r w:rsidR="008F18F1" w:rsidRPr="00524D52">
        <w:t>were t</w:t>
      </w:r>
      <w:r w:rsidR="006D58D6" w:rsidRPr="00524D52">
        <w:t>reat</w:t>
      </w:r>
      <w:r w:rsidR="008F18F1" w:rsidRPr="00524D52">
        <w:t>ed with oral</w:t>
      </w:r>
      <w:r w:rsidR="006D58D6" w:rsidRPr="00524D52">
        <w:t xml:space="preserve"> crizotinib</w:t>
      </w:r>
      <w:r w:rsidR="00B7010F" w:rsidRPr="00524D52">
        <w:t xml:space="preserve"> </w:t>
      </w:r>
      <w:r w:rsidR="006D58D6" w:rsidRPr="00524D52">
        <w:t xml:space="preserve">at a </w:t>
      </w:r>
      <w:r w:rsidR="008F18F1" w:rsidRPr="00524D52">
        <w:t xml:space="preserve">starting </w:t>
      </w:r>
      <w:r w:rsidR="006D58D6" w:rsidRPr="00524D52">
        <w:t>dose of 250 mg twice daily</w:t>
      </w:r>
      <w:r w:rsidR="008F18F1" w:rsidRPr="00524D52">
        <w:t xml:space="preserve">. </w:t>
      </w:r>
      <w:r w:rsidR="00C404A1">
        <w:t>This dose was based on the approved crizotinib</w:t>
      </w:r>
      <w:r w:rsidR="005807CC">
        <w:t xml:space="preserve"> adult</w:t>
      </w:r>
      <w:r w:rsidR="00C404A1">
        <w:t xml:space="preserve"> dose for </w:t>
      </w:r>
      <w:r w:rsidR="00C404A1" w:rsidRPr="00AA3793">
        <w:rPr>
          <w:i/>
        </w:rPr>
        <w:t>ALK</w:t>
      </w:r>
      <w:r w:rsidR="00C404A1">
        <w:t>+ NSCLC.</w:t>
      </w:r>
      <w:r w:rsidR="00B1748F" w:rsidRPr="00B1748F">
        <w:rPr>
          <w:vertAlign w:val="superscript"/>
        </w:rPr>
        <w:t>19</w:t>
      </w:r>
      <w:r w:rsidR="00C404A1">
        <w:t xml:space="preserve"> </w:t>
      </w:r>
      <w:r w:rsidR="0051723F" w:rsidRPr="005D0618">
        <w:t>Crizotinib was administered orally at approximately the same time each day on a continuous daily dosing schedule, i.e. no break in dosing, in the absence of drug related toxicity. Crizotinib was provided as capsules containing 200 or 250 mg of study medication. Capsules were stored at room temperature (15 to 30</w:t>
      </w:r>
      <w:r w:rsidR="0051723F" w:rsidRPr="005D0618">
        <w:rPr>
          <w:lang w:val="it-IT"/>
        </w:rPr>
        <w:t>°</w:t>
      </w:r>
      <w:r w:rsidR="0051723F" w:rsidRPr="005D0618">
        <w:rPr>
          <w:lang w:val="pt-PT"/>
        </w:rPr>
        <w:t>C).</w:t>
      </w:r>
      <w:r w:rsidR="0051723F">
        <w:rPr>
          <w:lang w:val="pt-PT"/>
        </w:rPr>
        <w:t xml:space="preserve"> </w:t>
      </w:r>
      <w:r w:rsidR="008F18F1" w:rsidRPr="00524D52">
        <w:t>One</w:t>
      </w:r>
      <w:r w:rsidR="006D58D6" w:rsidRPr="00524D52">
        <w:t xml:space="preserve"> </w:t>
      </w:r>
      <w:r w:rsidR="008F18F1" w:rsidRPr="00524D52">
        <w:t>treatment cycle was defined as 21 days in duration.</w:t>
      </w:r>
      <w:r w:rsidR="00B13699" w:rsidRPr="00524D52">
        <w:t xml:space="preserve"> </w:t>
      </w:r>
      <w:r w:rsidR="006D58D6" w:rsidRPr="00524D52">
        <w:t xml:space="preserve">Treatment was continued until documented disease progression, unacceptable toxicity, or patient refusal. </w:t>
      </w:r>
      <w:r w:rsidR="00563448" w:rsidRPr="00524D52">
        <w:t>Treatment dose and schedule modifications were defined in the protocol</w:t>
      </w:r>
      <w:r w:rsidR="00B13699" w:rsidRPr="00524D52">
        <w:t>.</w:t>
      </w:r>
      <w:r w:rsidR="00124A64" w:rsidRPr="00524D52">
        <w:t xml:space="preserve"> </w:t>
      </w:r>
    </w:p>
    <w:p w14:paraId="0079129C" w14:textId="77777777" w:rsidR="00124A64" w:rsidRPr="00524D52" w:rsidRDefault="00124A64"/>
    <w:p w14:paraId="3FCB91DC" w14:textId="4FC80602" w:rsidR="008B4846" w:rsidRPr="00524D52" w:rsidRDefault="00815996">
      <w:r w:rsidRPr="00524D52">
        <w:t xml:space="preserve">Safety information </w:t>
      </w:r>
      <w:r w:rsidR="00B13699" w:rsidRPr="00524D52">
        <w:t>was</w:t>
      </w:r>
      <w:r w:rsidR="00324DE5" w:rsidRPr="00524D52">
        <w:t xml:space="preserve"> collected at baseline, </w:t>
      </w:r>
      <w:r w:rsidRPr="00524D52">
        <w:t>day 15 of cycle 1</w:t>
      </w:r>
      <w:r w:rsidR="00695878" w:rsidRPr="00524D52">
        <w:t xml:space="preserve"> and</w:t>
      </w:r>
      <w:r w:rsidR="00872839" w:rsidRPr="00524D52">
        <w:t xml:space="preserve"> </w:t>
      </w:r>
      <w:r w:rsidR="00697E45" w:rsidRPr="00524D52">
        <w:t>2</w:t>
      </w:r>
      <w:r w:rsidR="008A4BC4" w:rsidRPr="00524D52">
        <w:t>,</w:t>
      </w:r>
      <w:r w:rsidR="00697E45" w:rsidRPr="00524D52">
        <w:t xml:space="preserve"> </w:t>
      </w:r>
      <w:r w:rsidRPr="00524D52">
        <w:t>and a</w:t>
      </w:r>
      <w:r w:rsidR="0070091E" w:rsidRPr="00524D52">
        <w:t xml:space="preserve">t the end of every cycle </w:t>
      </w:r>
      <w:r w:rsidR="00A03596" w:rsidRPr="00524D52">
        <w:t xml:space="preserve">using </w:t>
      </w:r>
      <w:r w:rsidR="00563448" w:rsidRPr="00524D52">
        <w:t>Common Terminology Criteria for Adverse Events (</w:t>
      </w:r>
      <w:r w:rsidR="00A03596" w:rsidRPr="00524D52">
        <w:t>CTCAE</w:t>
      </w:r>
      <w:r w:rsidR="00563448" w:rsidRPr="00524D52">
        <w:t>)</w:t>
      </w:r>
      <w:r w:rsidR="00A03596" w:rsidRPr="00524D52">
        <w:t xml:space="preserve"> criteria</w:t>
      </w:r>
      <w:r w:rsidR="00F76544" w:rsidRPr="00524D52">
        <w:t xml:space="preserve"> version 4</w:t>
      </w:r>
      <w:r w:rsidR="00F76544" w:rsidRPr="00524D52">
        <w:rPr>
          <w:bCs/>
        </w:rPr>
        <w:t>·</w:t>
      </w:r>
      <w:r w:rsidR="008A4BC4" w:rsidRPr="00524D52">
        <w:t>0</w:t>
      </w:r>
      <w:r w:rsidR="0070091E" w:rsidRPr="00524D52">
        <w:t>.</w:t>
      </w:r>
      <w:r w:rsidR="0086024D" w:rsidRPr="00524D52">
        <w:t xml:space="preserve"> </w:t>
      </w:r>
      <w:r w:rsidR="00CE6385" w:rsidRPr="00524D52">
        <w:t>Tumor</w:t>
      </w:r>
      <w:r w:rsidRPr="00524D52">
        <w:t xml:space="preserve"> assessment</w:t>
      </w:r>
      <w:r w:rsidR="00527BF9" w:rsidRPr="00524D52">
        <w:t>s</w:t>
      </w:r>
      <w:r w:rsidRPr="00524D52">
        <w:t xml:space="preserve"> </w:t>
      </w:r>
      <w:r w:rsidR="0086024D" w:rsidRPr="00524D52">
        <w:t>were</w:t>
      </w:r>
      <w:r w:rsidRPr="00524D52">
        <w:t xml:space="preserve"> performed every </w:t>
      </w:r>
      <w:r w:rsidR="00271801" w:rsidRPr="00524D52">
        <w:t xml:space="preserve">other cycle </w:t>
      </w:r>
      <w:r w:rsidR="008A4BC4" w:rsidRPr="00524D52">
        <w:t xml:space="preserve">by the </w:t>
      </w:r>
      <w:r w:rsidR="00E85B9B" w:rsidRPr="00524D52">
        <w:t>local investigator or his/her</w:t>
      </w:r>
      <w:r w:rsidR="008A4BC4" w:rsidRPr="00524D52">
        <w:t xml:space="preserve"> radiologist </w:t>
      </w:r>
      <w:r w:rsidR="001A1F92" w:rsidRPr="00524D52">
        <w:t xml:space="preserve">according to </w:t>
      </w:r>
      <w:r w:rsidRPr="00524D52">
        <w:t>RECIST 1</w:t>
      </w:r>
      <w:r w:rsidR="000E1102" w:rsidRPr="00524D52">
        <w:rPr>
          <w:bCs/>
        </w:rPr>
        <w:t>·</w:t>
      </w:r>
      <w:r w:rsidR="00BA6159" w:rsidRPr="00524D52">
        <w:t>1</w:t>
      </w:r>
      <w:r w:rsidR="00F76544" w:rsidRPr="00524D52">
        <w:t xml:space="preserve"> on the basis of computer tomography or magnetic resonance imaging</w:t>
      </w:r>
      <w:r w:rsidR="001A1F92" w:rsidRPr="00524D52">
        <w:t xml:space="preserve">. Digital images were </w:t>
      </w:r>
      <w:r w:rsidR="00F76544" w:rsidRPr="00524D52">
        <w:t>collected</w:t>
      </w:r>
      <w:r w:rsidR="001A1F92" w:rsidRPr="00524D52">
        <w:t xml:space="preserve"> and </w:t>
      </w:r>
      <w:r w:rsidR="00695878" w:rsidRPr="00524D52">
        <w:t xml:space="preserve">objective </w:t>
      </w:r>
      <w:r w:rsidR="001A1F92" w:rsidRPr="00524D52">
        <w:t xml:space="preserve">responses </w:t>
      </w:r>
      <w:r w:rsidR="00C42401" w:rsidRPr="00524D52">
        <w:t>were centrally reviewed</w:t>
      </w:r>
      <w:r w:rsidR="00F76544" w:rsidRPr="00524D52">
        <w:t>.</w:t>
      </w:r>
    </w:p>
    <w:p w14:paraId="57B3FC1B" w14:textId="77777777" w:rsidR="00BA6159" w:rsidRPr="00524D52" w:rsidRDefault="00BA6159"/>
    <w:p w14:paraId="2EDB6D74" w14:textId="70486098" w:rsidR="00BA6159" w:rsidRPr="00524D52" w:rsidRDefault="00BA6159">
      <w:pPr>
        <w:rPr>
          <w:rStyle w:val="Strong"/>
        </w:rPr>
      </w:pPr>
      <w:r w:rsidRPr="00524D52">
        <w:rPr>
          <w:rStyle w:val="Strong"/>
        </w:rPr>
        <w:t xml:space="preserve">Assessment of </w:t>
      </w:r>
      <w:r w:rsidR="00024BA7" w:rsidRPr="00AA5199">
        <w:rPr>
          <w:rStyle w:val="Strong"/>
          <w:i/>
        </w:rPr>
        <w:t>ALK</w:t>
      </w:r>
      <w:r w:rsidRPr="00524D52">
        <w:rPr>
          <w:rStyle w:val="Strong"/>
        </w:rPr>
        <w:t xml:space="preserve"> alterations</w:t>
      </w:r>
    </w:p>
    <w:p w14:paraId="3302C638" w14:textId="77777777" w:rsidR="00BA6159" w:rsidRPr="00524D52" w:rsidRDefault="00BA6159"/>
    <w:p w14:paraId="0C7B2C56" w14:textId="4717809F" w:rsidR="001B7C5B" w:rsidRPr="00524D52" w:rsidRDefault="00BA6159">
      <w:r w:rsidRPr="00524D52">
        <w:t>According to protocol, p</w:t>
      </w:r>
      <w:r w:rsidR="006B209E" w:rsidRPr="00524D52">
        <w:t xml:space="preserve">atients were attributed to </w:t>
      </w:r>
      <w:r w:rsidR="00024BA7" w:rsidRPr="00524D52">
        <w:rPr>
          <w:i/>
        </w:rPr>
        <w:t>ALK</w:t>
      </w:r>
      <w:r w:rsidR="006B209E" w:rsidRPr="00524D52">
        <w:t xml:space="preserve">+ or </w:t>
      </w:r>
      <w:r w:rsidR="00024BA7" w:rsidRPr="00524D52">
        <w:rPr>
          <w:i/>
        </w:rPr>
        <w:t>ALK</w:t>
      </w:r>
      <w:r w:rsidR="006B209E" w:rsidRPr="00524D52">
        <w:t xml:space="preserve">- </w:t>
      </w:r>
      <w:r w:rsidR="00024BA7" w:rsidRPr="00524D52">
        <w:t xml:space="preserve">IMFT </w:t>
      </w:r>
      <w:r w:rsidR="006B209E" w:rsidRPr="00524D52">
        <w:t>sub-cohorts</w:t>
      </w:r>
      <w:r w:rsidR="00EF54CC" w:rsidRPr="00524D52">
        <w:t xml:space="preserve"> based on </w:t>
      </w:r>
      <w:r w:rsidR="006B170C">
        <w:t xml:space="preserve">fluorescence </w:t>
      </w:r>
      <w:r w:rsidR="006B170C" w:rsidRPr="0064070A">
        <w:rPr>
          <w:i/>
        </w:rPr>
        <w:t>in situ</w:t>
      </w:r>
      <w:r w:rsidR="006B170C">
        <w:t xml:space="preserve"> hybridization (</w:t>
      </w:r>
      <w:r w:rsidR="006B170C" w:rsidRPr="00524D52">
        <w:t>FISH</w:t>
      </w:r>
      <w:r w:rsidR="006B170C">
        <w:t>)</w:t>
      </w:r>
      <w:r w:rsidR="006B170C" w:rsidRPr="00524D52">
        <w:t xml:space="preserve"> </w:t>
      </w:r>
      <w:r w:rsidR="00EF54CC" w:rsidRPr="00524D52">
        <w:t>and/or immunohistochemistry</w:t>
      </w:r>
      <w:r w:rsidR="00024BA7" w:rsidRPr="00524D52">
        <w:t xml:space="preserve">. </w:t>
      </w:r>
      <w:r w:rsidR="00024BA7" w:rsidRPr="00524D52">
        <w:rPr>
          <w:i/>
        </w:rPr>
        <w:t xml:space="preserve">ALK </w:t>
      </w:r>
      <w:r w:rsidR="00024BA7" w:rsidRPr="00524D52">
        <w:t xml:space="preserve">positivity was defined as at least 15% of tumor cells with rearrangement using the Vysis LSI </w:t>
      </w:r>
      <w:r w:rsidR="00024BA7" w:rsidRPr="00524D52">
        <w:rPr>
          <w:i/>
        </w:rPr>
        <w:t>ALK</w:t>
      </w:r>
      <w:r w:rsidR="00024BA7" w:rsidRPr="00524D52">
        <w:t xml:space="preserve"> Dual Color Break Apart Rearrangement Probe (Abbott Molecular) using FISH and/or positivity on immuno</w:t>
      </w:r>
      <w:r w:rsidR="00C42401" w:rsidRPr="00524D52">
        <w:t>histochemistry using the ALK monoclonal antibody</w:t>
      </w:r>
      <w:r w:rsidR="00024BA7" w:rsidRPr="00524D52">
        <w:t xml:space="preserve"> Clone CD246 (DAKO).</w:t>
      </w:r>
      <w:r w:rsidR="000F0365" w:rsidRPr="00524D52">
        <w:t xml:space="preserve"> </w:t>
      </w:r>
      <w:r w:rsidR="00024BA7" w:rsidRPr="00524D52">
        <w:t>The molecular</w:t>
      </w:r>
      <w:r w:rsidR="000F0365" w:rsidRPr="00524D52">
        <w:t xml:space="preserve"> </w:t>
      </w:r>
      <w:r w:rsidR="00644BFC" w:rsidRPr="00524D52">
        <w:t xml:space="preserve">and immunohistochemical </w:t>
      </w:r>
      <w:r w:rsidR="000F0365" w:rsidRPr="00524D52">
        <w:t xml:space="preserve">testing was done </w:t>
      </w:r>
      <w:r w:rsidR="00C42401" w:rsidRPr="00524D52">
        <w:t xml:space="preserve">centrally </w:t>
      </w:r>
      <w:r w:rsidR="000F0365" w:rsidRPr="00524D52">
        <w:t>at the University Hospitals Leuven</w:t>
      </w:r>
      <w:r w:rsidR="00F75C92" w:rsidRPr="00524D52">
        <w:t xml:space="preserve"> (</w:t>
      </w:r>
      <w:r w:rsidR="00E85B9B" w:rsidRPr="00524D52">
        <w:t>Belgium)</w:t>
      </w:r>
      <w:r w:rsidR="008C7641" w:rsidRPr="00524D52">
        <w:t>,</w:t>
      </w:r>
      <w:r w:rsidR="00695878" w:rsidRPr="00524D52">
        <w:t xml:space="preserve"> </w:t>
      </w:r>
      <w:r w:rsidR="008C7641" w:rsidRPr="00524D52">
        <w:t xml:space="preserve">using </w:t>
      </w:r>
      <w:r w:rsidR="00644BFC" w:rsidRPr="00524D52">
        <w:t>on average 4</w:t>
      </w:r>
      <w:r w:rsidR="008C7641" w:rsidRPr="00524D52">
        <w:t xml:space="preserve"> unstained </w:t>
      </w:r>
      <w:r w:rsidR="00676C34" w:rsidRPr="00524D52">
        <w:t>4</w:t>
      </w:r>
      <w:r w:rsidR="000F0365" w:rsidRPr="00524D52">
        <w:t xml:space="preserve">µm slides </w:t>
      </w:r>
      <w:r w:rsidR="00C42401" w:rsidRPr="00524D52">
        <w:t>from archival primary or metastatic</w:t>
      </w:r>
      <w:r w:rsidRPr="00524D52">
        <w:t xml:space="preserve"> </w:t>
      </w:r>
      <w:r w:rsidR="00E73078" w:rsidRPr="00524D52">
        <w:t>FFPE</w:t>
      </w:r>
      <w:r w:rsidR="005F32C4" w:rsidRPr="00524D52">
        <w:t xml:space="preserve"> </w:t>
      </w:r>
      <w:r w:rsidRPr="00524D52">
        <w:t>tissue</w:t>
      </w:r>
      <w:r w:rsidR="00695878" w:rsidRPr="00524D52">
        <w:t xml:space="preserve"> provided b</w:t>
      </w:r>
      <w:r w:rsidR="000466C6" w:rsidRPr="00524D52">
        <w:t>y the local investigators to a</w:t>
      </w:r>
      <w:r w:rsidR="00695878" w:rsidRPr="00524D52">
        <w:t xml:space="preserve"> central biorepository</w:t>
      </w:r>
      <w:r w:rsidR="00E85B9B" w:rsidRPr="00524D52">
        <w:t xml:space="preserve"> in Milan (Italy)</w:t>
      </w:r>
      <w:r w:rsidR="00695878" w:rsidRPr="00524D52">
        <w:t>.</w:t>
      </w:r>
    </w:p>
    <w:p w14:paraId="724ED8AD" w14:textId="554F74C9" w:rsidR="00872839" w:rsidRPr="00524D52" w:rsidRDefault="00872839" w:rsidP="00DA6988">
      <w:pPr>
        <w:pStyle w:val="FreeForm"/>
        <w:rPr>
          <w:rFonts w:ascii="Times New Roman" w:hAnsi="Times New Roman"/>
          <w:b/>
          <w:color w:val="auto"/>
          <w:sz w:val="22"/>
          <w:szCs w:val="22"/>
          <w:lang w:val="en-GB"/>
        </w:rPr>
      </w:pPr>
    </w:p>
    <w:p w14:paraId="55DB505E" w14:textId="77777777" w:rsidR="00114EDB" w:rsidRPr="00524D52" w:rsidRDefault="00114EDB" w:rsidP="00DA6988">
      <w:pPr>
        <w:pStyle w:val="FreeForm"/>
        <w:rPr>
          <w:rFonts w:ascii="Times New Roman" w:hAnsi="Times New Roman"/>
          <w:b/>
          <w:color w:val="auto"/>
          <w:sz w:val="22"/>
          <w:szCs w:val="22"/>
          <w:lang w:val="en-GB"/>
        </w:rPr>
      </w:pPr>
      <w:r w:rsidRPr="00524D52">
        <w:rPr>
          <w:rFonts w:ascii="Times New Roman" w:hAnsi="Times New Roman"/>
          <w:b/>
          <w:color w:val="auto"/>
          <w:sz w:val="22"/>
          <w:szCs w:val="22"/>
          <w:lang w:val="en-GB"/>
        </w:rPr>
        <w:t>Outcomes</w:t>
      </w:r>
    </w:p>
    <w:p w14:paraId="59A7192A" w14:textId="77777777" w:rsidR="00752FF0" w:rsidRPr="00524D52" w:rsidRDefault="00752FF0" w:rsidP="00065B26"/>
    <w:p w14:paraId="7A7D3320" w14:textId="6BAE3577" w:rsidR="003D7A4F" w:rsidRPr="00524D52" w:rsidRDefault="000466C6" w:rsidP="00490E17">
      <w:r w:rsidRPr="00524D52">
        <w:t xml:space="preserve">The main </w:t>
      </w:r>
      <w:r w:rsidR="00987711" w:rsidRPr="00524D52">
        <w:t xml:space="preserve">objective was to study the </w:t>
      </w:r>
      <w:r w:rsidR="00FD1117" w:rsidRPr="00524D52">
        <w:t>anti-</w:t>
      </w:r>
      <w:r w:rsidR="00CE6385" w:rsidRPr="00524D52">
        <w:t>tumor</w:t>
      </w:r>
      <w:r w:rsidR="00FD1117" w:rsidRPr="00524D52">
        <w:t xml:space="preserve"> </w:t>
      </w:r>
      <w:r w:rsidR="00697E45" w:rsidRPr="00524D52">
        <w:t xml:space="preserve">activity </w:t>
      </w:r>
      <w:r w:rsidR="00987711" w:rsidRPr="00524D52">
        <w:t xml:space="preserve">of crizotinib in </w:t>
      </w:r>
      <w:r w:rsidR="008C7641" w:rsidRPr="00524D52">
        <w:rPr>
          <w:i/>
        </w:rPr>
        <w:t>ALK</w:t>
      </w:r>
      <w:r w:rsidR="00987711" w:rsidRPr="00524D52">
        <w:t xml:space="preserve">+ </w:t>
      </w:r>
      <w:r w:rsidR="008C7641" w:rsidRPr="00524D52">
        <w:t>IMFT</w:t>
      </w:r>
      <w:r w:rsidR="00FF0F4A" w:rsidRPr="00524D52">
        <w:t xml:space="preserve"> </w:t>
      </w:r>
      <w:r w:rsidR="00987711" w:rsidRPr="00524D52">
        <w:t>p</w:t>
      </w:r>
      <w:r w:rsidR="006227E3" w:rsidRPr="00524D52">
        <w:t xml:space="preserve">atients. The primary endpoint was </w:t>
      </w:r>
      <w:r w:rsidR="0065793A" w:rsidRPr="00524D52">
        <w:t xml:space="preserve">the objective </w:t>
      </w:r>
      <w:r w:rsidR="006227E3" w:rsidRPr="00524D52">
        <w:t>r</w:t>
      </w:r>
      <w:r w:rsidR="00F76544" w:rsidRPr="00524D52">
        <w:t>esponse rate (</w:t>
      </w:r>
      <w:r w:rsidR="009C0551" w:rsidRPr="00524D52">
        <w:t>O</w:t>
      </w:r>
      <w:r w:rsidR="00F76544" w:rsidRPr="00524D52">
        <w:t xml:space="preserve">RR) per </w:t>
      </w:r>
      <w:r w:rsidR="006227E3" w:rsidRPr="00524D52">
        <w:t>RECIST</w:t>
      </w:r>
      <w:r w:rsidR="00697E45" w:rsidRPr="00524D52">
        <w:t xml:space="preserve"> version</w:t>
      </w:r>
      <w:r w:rsidR="006227E3" w:rsidRPr="00524D52">
        <w:t xml:space="preserve"> 1</w:t>
      </w:r>
      <w:r w:rsidR="000E1102" w:rsidRPr="00524D52">
        <w:rPr>
          <w:bCs/>
        </w:rPr>
        <w:t>·</w:t>
      </w:r>
      <w:r w:rsidR="003B145D" w:rsidRPr="00524D52">
        <w:t>1</w:t>
      </w:r>
      <w:r w:rsidR="006227E3" w:rsidRPr="00524D52">
        <w:t xml:space="preserve"> </w:t>
      </w:r>
      <w:r w:rsidR="00F76544" w:rsidRPr="00524D52">
        <w:t>with response confirmation,</w:t>
      </w:r>
      <w:r w:rsidR="00FF0F4A" w:rsidRPr="00524D52">
        <w:t xml:space="preserve"> assessed by the local investigator. </w:t>
      </w:r>
      <w:r w:rsidR="000E727B" w:rsidRPr="00524D52">
        <w:t xml:space="preserve">This endpoint was chosen based on </w:t>
      </w:r>
      <w:r w:rsidR="008C3AB9" w:rsidRPr="00524D52">
        <w:t>response pattern</w:t>
      </w:r>
      <w:r w:rsidR="000E727B" w:rsidRPr="00524D52">
        <w:t xml:space="preserve"> seen with crizotinib in the lab</w:t>
      </w:r>
      <w:r w:rsidR="00E85B9B" w:rsidRPr="00524D52">
        <w:t>elled indication of NSC</w:t>
      </w:r>
      <w:r w:rsidR="003F4762" w:rsidRPr="00524D52">
        <w:t>LC</w:t>
      </w:r>
      <w:r w:rsidR="00E85B9B" w:rsidRPr="00524D52">
        <w:t xml:space="preserve"> and due to</w:t>
      </w:r>
      <w:r w:rsidR="000E727B" w:rsidRPr="00524D52">
        <w:t xml:space="preserve"> the absence of reliable reference data on progression-free survival </w:t>
      </w:r>
      <w:r w:rsidR="00092D4D" w:rsidRPr="00524D52">
        <w:t xml:space="preserve">(PFS) </w:t>
      </w:r>
      <w:r w:rsidR="000E727B" w:rsidRPr="00524D52">
        <w:t xml:space="preserve">or progression-free </w:t>
      </w:r>
      <w:r w:rsidR="00056AF7" w:rsidRPr="00524D52">
        <w:t xml:space="preserve">survival </w:t>
      </w:r>
      <w:r w:rsidR="000E727B" w:rsidRPr="00524D52">
        <w:t xml:space="preserve">rate </w:t>
      </w:r>
      <w:r w:rsidR="00092D4D" w:rsidRPr="00524D52">
        <w:t xml:space="preserve">(PFR) </w:t>
      </w:r>
      <w:r w:rsidR="00FD1117" w:rsidRPr="00524D52">
        <w:t xml:space="preserve">in this rare disease </w:t>
      </w:r>
      <w:r w:rsidR="00E85B9B" w:rsidRPr="00524D52">
        <w:t>when the protocol was written</w:t>
      </w:r>
      <w:r w:rsidR="000E727B" w:rsidRPr="00524D52">
        <w:t xml:space="preserve">. </w:t>
      </w:r>
      <w:r w:rsidR="006227E3" w:rsidRPr="00524D52">
        <w:t xml:space="preserve">Secondary endpoints included: </w:t>
      </w:r>
      <w:r w:rsidR="00354582" w:rsidRPr="00524D52">
        <w:t>duration of response</w:t>
      </w:r>
      <w:r w:rsidR="009C0551" w:rsidRPr="00524D52">
        <w:t xml:space="preserve"> (DOR)</w:t>
      </w:r>
      <w:r w:rsidR="00354582" w:rsidRPr="00524D52">
        <w:t xml:space="preserve">, </w:t>
      </w:r>
      <w:r w:rsidR="006B170C">
        <w:t>disease control rate (</w:t>
      </w:r>
      <w:r w:rsidR="006B170C" w:rsidRPr="00524D52">
        <w:t>DCR</w:t>
      </w:r>
      <w:r w:rsidR="006B170C">
        <w:t>)</w:t>
      </w:r>
      <w:r w:rsidR="00092D4D" w:rsidRPr="00524D52">
        <w:t>, PFS</w:t>
      </w:r>
      <w:r w:rsidR="006227E3" w:rsidRPr="00524D52">
        <w:t>,</w:t>
      </w:r>
      <w:r w:rsidR="00092D4D" w:rsidRPr="00524D52">
        <w:t xml:space="preserve"> PFR</w:t>
      </w:r>
      <w:r w:rsidR="006746C6" w:rsidRPr="00524D52">
        <w:t xml:space="preserve">, </w:t>
      </w:r>
      <w:r w:rsidR="006227E3" w:rsidRPr="00524D52">
        <w:t>overall survival (OS), safety</w:t>
      </w:r>
      <w:r w:rsidR="00F76544" w:rsidRPr="00524D52">
        <w:t>, and correlative</w:t>
      </w:r>
      <w:r w:rsidR="00CC527F" w:rsidRPr="00524D52">
        <w:t xml:space="preserve"> or </w:t>
      </w:r>
      <w:r w:rsidR="00F76544" w:rsidRPr="00524D52">
        <w:t xml:space="preserve">translational </w:t>
      </w:r>
      <w:r w:rsidR="006227E3" w:rsidRPr="00524D52">
        <w:t xml:space="preserve">research endpoints. </w:t>
      </w:r>
      <w:r w:rsidR="004C3E01" w:rsidRPr="00524D52">
        <w:t>DCR</w:t>
      </w:r>
      <w:r w:rsidR="003E466E" w:rsidRPr="00524D52">
        <w:t xml:space="preserve"> </w:t>
      </w:r>
      <w:r w:rsidR="004C3E01" w:rsidRPr="00524D52">
        <w:t>was defined as</w:t>
      </w:r>
      <w:r w:rsidR="00354582" w:rsidRPr="00524D52">
        <w:t xml:space="preserve"> the percentage of patients achieving</w:t>
      </w:r>
      <w:r w:rsidR="00092D4D" w:rsidRPr="00524D52">
        <w:t xml:space="preserve"> </w:t>
      </w:r>
      <w:r w:rsidR="006F1BFB" w:rsidRPr="00524D52">
        <w:t xml:space="preserve">either </w:t>
      </w:r>
      <w:r w:rsidR="00092D4D" w:rsidRPr="00524D52">
        <w:t>a complete (CR) or</w:t>
      </w:r>
      <w:r w:rsidR="004C3E01" w:rsidRPr="00524D52">
        <w:t xml:space="preserve"> partial response (PR) or stable disease (SD)</w:t>
      </w:r>
      <w:r w:rsidR="005F1E34" w:rsidRPr="00524D52">
        <w:t>.</w:t>
      </w:r>
    </w:p>
    <w:p w14:paraId="43B18F0B" w14:textId="5B28D62F" w:rsidR="00512C60" w:rsidRPr="00524D52" w:rsidRDefault="00512C60" w:rsidP="00DB248E"/>
    <w:p w14:paraId="6BE7A319" w14:textId="77777777" w:rsidR="00114EDB" w:rsidRPr="00524D52" w:rsidRDefault="00114EDB" w:rsidP="00DB248E">
      <w:r w:rsidRPr="00524D52">
        <w:rPr>
          <w:rStyle w:val="Strong"/>
        </w:rPr>
        <w:t>Statistical analysis</w:t>
      </w:r>
    </w:p>
    <w:p w14:paraId="0CAFF3D9" w14:textId="77777777" w:rsidR="00512C60" w:rsidRPr="00524D52" w:rsidRDefault="00512C60" w:rsidP="003E1FE2"/>
    <w:p w14:paraId="46191C21" w14:textId="3663A79A" w:rsidR="00045B17" w:rsidRPr="00524D52" w:rsidRDefault="009D5ED3" w:rsidP="003E1FE2">
      <w:r w:rsidRPr="00524D52">
        <w:t>A</w:t>
      </w:r>
      <w:r w:rsidR="00177DA3" w:rsidRPr="00524D52">
        <w:t xml:space="preserve"> Simon's optimal two</w:t>
      </w:r>
      <w:r w:rsidR="00697E45" w:rsidRPr="00524D52">
        <w:t>-</w:t>
      </w:r>
      <w:r w:rsidR="00177DA3" w:rsidRPr="00524D52">
        <w:t>stage design</w:t>
      </w:r>
      <w:r w:rsidR="00C8685E" w:rsidRPr="00524D52">
        <w:t xml:space="preserve"> </w:t>
      </w:r>
      <w:r w:rsidR="00177DA3" w:rsidRPr="00524D52">
        <w:t>was implemented</w:t>
      </w:r>
      <w:r w:rsidR="00872839" w:rsidRPr="00524D52">
        <w:t xml:space="preserve"> </w:t>
      </w:r>
      <w:r w:rsidR="0065793A" w:rsidRPr="00524D52">
        <w:t xml:space="preserve">separately for </w:t>
      </w:r>
      <w:r w:rsidRPr="00524D52">
        <w:t>the</w:t>
      </w:r>
      <w:r w:rsidR="00741A3C" w:rsidRPr="00524D52">
        <w:t xml:space="preserve"> </w:t>
      </w:r>
      <w:r w:rsidR="008C7641" w:rsidRPr="00524D52">
        <w:t>IMFT</w:t>
      </w:r>
      <w:r w:rsidRPr="00524D52">
        <w:t xml:space="preserve"> </w:t>
      </w:r>
      <w:r w:rsidR="008C7641" w:rsidRPr="00524D52">
        <w:rPr>
          <w:i/>
        </w:rPr>
        <w:t>ALK</w:t>
      </w:r>
      <w:r w:rsidRPr="00524D52">
        <w:t xml:space="preserve">+ and </w:t>
      </w:r>
      <w:r w:rsidR="008C7641" w:rsidRPr="00524D52">
        <w:rPr>
          <w:i/>
        </w:rPr>
        <w:t>ALK</w:t>
      </w:r>
      <w:r w:rsidRPr="00524D52">
        <w:t>- sub-cohorts</w:t>
      </w:r>
      <w:r w:rsidR="00CE2481" w:rsidRPr="00524D52">
        <w:t xml:space="preserve"> with the aim of excluding an ORR ≤10% under the alternative assumption that</w:t>
      </w:r>
      <w:r w:rsidR="00B0634F" w:rsidRPr="00524D52">
        <w:t xml:space="preserve"> a</w:t>
      </w:r>
      <w:r w:rsidR="00CE2481" w:rsidRPr="00524D52">
        <w:t xml:space="preserve"> 30% ORR can be achieved with crizotinib</w:t>
      </w:r>
      <w:r w:rsidRPr="00524D52">
        <w:t>.</w:t>
      </w:r>
      <w:r w:rsidR="00B87FC5" w:rsidRPr="00524D52">
        <w:t xml:space="preserve"> </w:t>
      </w:r>
      <w:r w:rsidR="00872839" w:rsidRPr="00524D52">
        <w:t xml:space="preserve">The type I </w:t>
      </w:r>
      <w:r w:rsidR="009952F8" w:rsidRPr="00524D52">
        <w:t xml:space="preserve">and type II </w:t>
      </w:r>
      <w:r w:rsidR="00872839" w:rsidRPr="00524D52">
        <w:t>error</w:t>
      </w:r>
      <w:r w:rsidR="009952F8" w:rsidRPr="00524D52">
        <w:t>s</w:t>
      </w:r>
      <w:r w:rsidR="00872839" w:rsidRPr="00524D52">
        <w:t xml:space="preserve"> were set at 10%. </w:t>
      </w:r>
      <w:r w:rsidR="00F735DB" w:rsidRPr="00524D52">
        <w:t xml:space="preserve">The </w:t>
      </w:r>
      <w:r w:rsidR="008B1E53" w:rsidRPr="00524D52">
        <w:t xml:space="preserve">study was </w:t>
      </w:r>
      <w:r w:rsidR="005F32C4" w:rsidRPr="00524D52">
        <w:t xml:space="preserve">conceptually </w:t>
      </w:r>
      <w:r w:rsidR="00F735DB" w:rsidRPr="00524D52">
        <w:t xml:space="preserve">focused on </w:t>
      </w:r>
      <w:r w:rsidR="008C7641" w:rsidRPr="00524D52">
        <w:rPr>
          <w:i/>
        </w:rPr>
        <w:t>ALK</w:t>
      </w:r>
      <w:r w:rsidR="00F735DB" w:rsidRPr="00524D52">
        <w:t>+ disease, w</w:t>
      </w:r>
      <w:r w:rsidR="008B1E53" w:rsidRPr="00524D52">
        <w:t>hile</w:t>
      </w:r>
      <w:r w:rsidR="00F735DB" w:rsidRPr="00524D52">
        <w:t xml:space="preserve"> </w:t>
      </w:r>
      <w:r w:rsidR="008C7641" w:rsidRPr="00524D52">
        <w:rPr>
          <w:i/>
        </w:rPr>
        <w:t>ALK</w:t>
      </w:r>
      <w:r w:rsidR="00F735DB" w:rsidRPr="00524D52">
        <w:t>- patients served as a non-randomized</w:t>
      </w:r>
      <w:r w:rsidR="008B1E53" w:rsidRPr="00524D52">
        <w:t>,</w:t>
      </w:r>
      <w:r w:rsidR="00F735DB" w:rsidRPr="00524D52">
        <w:t xml:space="preserve"> treated internal control.</w:t>
      </w:r>
      <w:r w:rsidR="0065793A" w:rsidRPr="00524D52">
        <w:t xml:space="preserve"> The entry of “all comers”</w:t>
      </w:r>
      <w:r w:rsidR="006F1BFB" w:rsidRPr="00524D52">
        <w:t>,</w:t>
      </w:r>
      <w:r w:rsidR="00741A3C" w:rsidRPr="00524D52">
        <w:t xml:space="preserve"> </w:t>
      </w:r>
      <w:r w:rsidR="0065793A" w:rsidRPr="00524D52">
        <w:t xml:space="preserve">independent of their </w:t>
      </w:r>
      <w:r w:rsidR="00BE1962" w:rsidRPr="00524D52">
        <w:rPr>
          <w:i/>
        </w:rPr>
        <w:t>ALK</w:t>
      </w:r>
      <w:r w:rsidR="0065793A" w:rsidRPr="00524D52">
        <w:rPr>
          <w:i/>
        </w:rPr>
        <w:t xml:space="preserve"> </w:t>
      </w:r>
      <w:r w:rsidR="0065793A" w:rsidRPr="00524D52">
        <w:t>status</w:t>
      </w:r>
      <w:r w:rsidR="006F1BFB" w:rsidRPr="00524D52">
        <w:t>,</w:t>
      </w:r>
      <w:r w:rsidR="0065793A" w:rsidRPr="00524D52">
        <w:t xml:space="preserve"> </w:t>
      </w:r>
      <w:r w:rsidR="00CC267A">
        <w:t xml:space="preserve">served the main purpose </w:t>
      </w:r>
      <w:r w:rsidR="008C3AB9" w:rsidRPr="00524D52">
        <w:t xml:space="preserve">to </w:t>
      </w:r>
      <w:r w:rsidR="001A1F92" w:rsidRPr="00524D52">
        <w:t>provide</w:t>
      </w:r>
      <w:r w:rsidR="0065793A" w:rsidRPr="00524D52">
        <w:t xml:space="preserve"> reference data</w:t>
      </w:r>
      <w:r w:rsidR="00741A3C" w:rsidRPr="00524D52">
        <w:t xml:space="preserve"> for </w:t>
      </w:r>
      <w:r w:rsidR="006F1BFB" w:rsidRPr="00524D52">
        <w:t xml:space="preserve">future research for </w:t>
      </w:r>
      <w:r w:rsidR="00741A3C" w:rsidRPr="00524D52">
        <w:t>both subsets</w:t>
      </w:r>
      <w:r w:rsidR="0065793A" w:rsidRPr="00524D52">
        <w:t xml:space="preserve"> in the absence of </w:t>
      </w:r>
      <w:r w:rsidR="00653F77" w:rsidRPr="00524D52">
        <w:t xml:space="preserve">other, specific </w:t>
      </w:r>
      <w:r w:rsidR="008C7641" w:rsidRPr="00524D52">
        <w:lastRenderedPageBreak/>
        <w:t>prospective trials in IMFT</w:t>
      </w:r>
      <w:r w:rsidR="00653F77" w:rsidRPr="00524D52">
        <w:t xml:space="preserve"> in the literature</w:t>
      </w:r>
      <w:r w:rsidR="0065793A" w:rsidRPr="00524D52">
        <w:t>.</w:t>
      </w:r>
      <w:r w:rsidR="00450F85" w:rsidRPr="00524D52">
        <w:t xml:space="preserve"> The entry of </w:t>
      </w:r>
      <w:r w:rsidR="008C7641" w:rsidRPr="00524D52">
        <w:rPr>
          <w:i/>
        </w:rPr>
        <w:t>ALK</w:t>
      </w:r>
      <w:r w:rsidR="00450F85" w:rsidRPr="00524D52">
        <w:t xml:space="preserve">- </w:t>
      </w:r>
      <w:r w:rsidR="003E1338" w:rsidRPr="00524D52">
        <w:t xml:space="preserve">cases </w:t>
      </w:r>
      <w:r w:rsidR="00450F85" w:rsidRPr="00524D52">
        <w:t>was considered ethical due to the lack of validated treatment alternatives</w:t>
      </w:r>
      <w:r w:rsidR="003E1338" w:rsidRPr="00524D52">
        <w:t xml:space="preserve"> for this disease</w:t>
      </w:r>
      <w:r w:rsidR="008C7641" w:rsidRPr="00524D52">
        <w:t>.</w:t>
      </w:r>
    </w:p>
    <w:p w14:paraId="20B2BD0E" w14:textId="77777777" w:rsidR="003E1338" w:rsidRPr="00524D52" w:rsidRDefault="003E1338" w:rsidP="003E1FE2"/>
    <w:p w14:paraId="4C58ED90" w14:textId="59A1674B" w:rsidR="0031318C" w:rsidRPr="00524D52" w:rsidRDefault="00045B17" w:rsidP="002D5A07">
      <w:r w:rsidRPr="00524D52">
        <w:t>In</w:t>
      </w:r>
      <w:r w:rsidR="00F25C5E" w:rsidRPr="00524D52">
        <w:t xml:space="preserve"> </w:t>
      </w:r>
      <w:r w:rsidR="00A15560" w:rsidRPr="00524D52">
        <w:t>s</w:t>
      </w:r>
      <w:r w:rsidR="00F25C5E" w:rsidRPr="00524D52">
        <w:t xml:space="preserve">tage 1, if at least two out of the first </w:t>
      </w:r>
      <w:r w:rsidR="00A15560" w:rsidRPr="00524D52">
        <w:t xml:space="preserve">12 </w:t>
      </w:r>
      <w:r w:rsidR="008C7641" w:rsidRPr="00524D52">
        <w:t>eligible and evaluable IMFT</w:t>
      </w:r>
      <w:r w:rsidR="00F25C5E" w:rsidRPr="00524D52">
        <w:t xml:space="preserve"> </w:t>
      </w:r>
      <w:r w:rsidR="008C7641" w:rsidRPr="00524D52">
        <w:rPr>
          <w:i/>
        </w:rPr>
        <w:t>ALK</w:t>
      </w:r>
      <w:r w:rsidR="00F25C5E" w:rsidRPr="00524D52">
        <w:t xml:space="preserve">+ patients achieved a confirmed </w:t>
      </w:r>
      <w:r w:rsidR="0065793A" w:rsidRPr="00524D52">
        <w:t xml:space="preserve">RECIST </w:t>
      </w:r>
      <w:r w:rsidR="00F25C5E" w:rsidRPr="00524D52">
        <w:t xml:space="preserve">PR or CR, a </w:t>
      </w:r>
      <w:r w:rsidR="00A61220" w:rsidRPr="00524D52">
        <w:t>maximum</w:t>
      </w:r>
      <w:r w:rsidR="00F25C5E" w:rsidRPr="00524D52">
        <w:t xml:space="preserve"> of 35 patients were </w:t>
      </w:r>
      <w:r w:rsidR="008B1E53" w:rsidRPr="00524D52">
        <w:t xml:space="preserve">to be </w:t>
      </w:r>
      <w:r w:rsidR="00F25C5E" w:rsidRPr="00524D52">
        <w:t>enrolled.</w:t>
      </w:r>
      <w:r w:rsidRPr="00524D52">
        <w:t xml:space="preserve"> In </w:t>
      </w:r>
      <w:r w:rsidR="00A15560" w:rsidRPr="00524D52">
        <w:t>s</w:t>
      </w:r>
      <w:r w:rsidRPr="00524D52">
        <w:t xml:space="preserve">tage 2, if less than </w:t>
      </w:r>
      <w:r w:rsidR="00A15560" w:rsidRPr="00524D52">
        <w:t xml:space="preserve">6 </w:t>
      </w:r>
      <w:r w:rsidRPr="00524D52">
        <w:t xml:space="preserve">out of the 35 </w:t>
      </w:r>
      <w:r w:rsidR="008F47C7" w:rsidRPr="00524D52">
        <w:t xml:space="preserve">eligible and evaluable </w:t>
      </w:r>
      <w:r w:rsidRPr="00524D52">
        <w:t xml:space="preserve">patients responded, the treatment was declared ineffective. If at least </w:t>
      </w:r>
      <w:r w:rsidR="00A15560" w:rsidRPr="00524D52">
        <w:t xml:space="preserve">6 </w:t>
      </w:r>
      <w:r w:rsidRPr="00524D52">
        <w:t xml:space="preserve">out of the 35 patients responded, further study of crizotinib </w:t>
      </w:r>
      <w:r w:rsidR="008C7641" w:rsidRPr="00524D52">
        <w:t>in IMFT</w:t>
      </w:r>
      <w:r w:rsidR="00F76544" w:rsidRPr="00524D52">
        <w:t xml:space="preserve"> </w:t>
      </w:r>
      <w:r w:rsidRPr="00524D52">
        <w:t xml:space="preserve">was </w:t>
      </w:r>
      <w:r w:rsidR="00A46EEB" w:rsidRPr="00524D52">
        <w:t>warranted</w:t>
      </w:r>
      <w:r w:rsidRPr="00524D52">
        <w:t>.</w:t>
      </w:r>
      <w:r w:rsidR="005F32C4" w:rsidRPr="00524D52">
        <w:t xml:space="preserve"> </w:t>
      </w:r>
    </w:p>
    <w:p w14:paraId="489850BD" w14:textId="77777777" w:rsidR="003E1338" w:rsidRPr="00524D52" w:rsidRDefault="003E1338" w:rsidP="002D5A07"/>
    <w:p w14:paraId="0A9E8369" w14:textId="31F0575E" w:rsidR="00705184" w:rsidRPr="00524D52" w:rsidRDefault="005F32C4" w:rsidP="00A9399A">
      <w:r w:rsidRPr="00524D52">
        <w:t xml:space="preserve">The protocol </w:t>
      </w:r>
      <w:r w:rsidR="0055548A" w:rsidRPr="00524D52">
        <w:t xml:space="preserve">also </w:t>
      </w:r>
      <w:r w:rsidR="000B22E2" w:rsidRPr="00524D52">
        <w:t>defined stopping rules for</w:t>
      </w:r>
      <w:r w:rsidR="008F47C7" w:rsidRPr="00524D52">
        <w:t xml:space="preserve"> </w:t>
      </w:r>
      <w:r w:rsidRPr="00524D52">
        <w:t xml:space="preserve">low incidence of </w:t>
      </w:r>
      <w:r w:rsidR="008C7641" w:rsidRPr="00524D52">
        <w:rPr>
          <w:i/>
        </w:rPr>
        <w:t>ALK</w:t>
      </w:r>
      <w:r w:rsidRPr="00524D52">
        <w:t xml:space="preserve"> positivity in the study population. </w:t>
      </w:r>
      <w:r w:rsidR="009D7271" w:rsidRPr="00524D52">
        <w:t>If the true prevalence of</w:t>
      </w:r>
      <w:r w:rsidR="00ED2CC1" w:rsidRPr="00524D52">
        <w:t xml:space="preserve"> </w:t>
      </w:r>
      <w:r w:rsidR="008C7641" w:rsidRPr="00524D52">
        <w:rPr>
          <w:i/>
          <w:iCs/>
        </w:rPr>
        <w:t>ALK</w:t>
      </w:r>
      <w:r w:rsidR="0031318C" w:rsidRPr="00524D52">
        <w:rPr>
          <w:i/>
          <w:iCs/>
        </w:rPr>
        <w:t>+</w:t>
      </w:r>
      <w:r w:rsidR="0031318C" w:rsidRPr="00524D52">
        <w:t xml:space="preserve"> cases was ≤25%</w:t>
      </w:r>
      <w:r w:rsidR="00E55C3E" w:rsidRPr="00524D52">
        <w:t xml:space="preserve"> of a</w:t>
      </w:r>
      <w:r w:rsidR="008C7641" w:rsidRPr="00524D52">
        <w:t>ll patients with confirmed IMFT</w:t>
      </w:r>
      <w:r w:rsidR="0031318C" w:rsidRPr="00524D52">
        <w:t xml:space="preserve">, inclusion was to be stopped due to non-feasibility. </w:t>
      </w:r>
      <w:r w:rsidR="00F65C04" w:rsidRPr="00524D52">
        <w:t xml:space="preserve">In case of closure of the </w:t>
      </w:r>
      <w:r w:rsidR="008C7641" w:rsidRPr="00524D52">
        <w:rPr>
          <w:i/>
        </w:rPr>
        <w:t>ALK</w:t>
      </w:r>
      <w:r w:rsidR="00F65C04" w:rsidRPr="00524D52">
        <w:t xml:space="preserve">+ sub-cohort, further recruitment to the </w:t>
      </w:r>
      <w:r w:rsidR="008C7641" w:rsidRPr="00524D52">
        <w:rPr>
          <w:i/>
        </w:rPr>
        <w:t>ALK</w:t>
      </w:r>
      <w:r w:rsidR="00F65C04" w:rsidRPr="00524D52">
        <w:t>- group</w:t>
      </w:r>
      <w:r w:rsidR="00E55C3E" w:rsidRPr="00524D52">
        <w:t xml:space="preserve"> had</w:t>
      </w:r>
      <w:r w:rsidR="00863CD6" w:rsidRPr="00524D52">
        <w:t xml:space="preserve"> to be discontinued as well, in the absence of non-anticipated activity </w:t>
      </w:r>
      <w:r w:rsidR="00E55C3E" w:rsidRPr="00524D52">
        <w:t xml:space="preserve">of crizotinib in this </w:t>
      </w:r>
      <w:r w:rsidR="00741A3C" w:rsidRPr="00524D52">
        <w:t>sub-cohort</w:t>
      </w:r>
      <w:r w:rsidR="00863CD6" w:rsidRPr="00524D52">
        <w:t>.</w:t>
      </w:r>
    </w:p>
    <w:p w14:paraId="7E23FB4D" w14:textId="77777777" w:rsidR="00F735DB" w:rsidRPr="00524D52" w:rsidRDefault="00F735DB"/>
    <w:p w14:paraId="456CC6F6" w14:textId="240B10A5" w:rsidR="00E26BFC" w:rsidRPr="00524D52" w:rsidRDefault="002F55C4">
      <w:r w:rsidRPr="00524D52">
        <w:t>All activity</w:t>
      </w:r>
      <w:r w:rsidR="00AA0E80" w:rsidRPr="00524D52">
        <w:t xml:space="preserve"> endpoints </w:t>
      </w:r>
      <w:r w:rsidR="000F039A" w:rsidRPr="00524D52">
        <w:t xml:space="preserve">were </w:t>
      </w:r>
      <w:r w:rsidR="00690C3B" w:rsidRPr="00524D52">
        <w:t>analyzed</w:t>
      </w:r>
      <w:r w:rsidR="008B701D" w:rsidRPr="00524D52">
        <w:t xml:space="preserve"> in the per</w:t>
      </w:r>
      <w:r w:rsidR="000F039A" w:rsidRPr="00524D52">
        <w:t xml:space="preserve"> </w:t>
      </w:r>
      <w:r w:rsidR="008B701D" w:rsidRPr="00524D52">
        <w:t>protocol population</w:t>
      </w:r>
      <w:r w:rsidR="00AA0E80" w:rsidRPr="00524D52">
        <w:t xml:space="preserve">, defined </w:t>
      </w:r>
      <w:r w:rsidR="00F76544" w:rsidRPr="00524D52">
        <w:t xml:space="preserve">here </w:t>
      </w:r>
      <w:r w:rsidR="00AA0E80" w:rsidRPr="00524D52">
        <w:t xml:space="preserve">as all eligible patients </w:t>
      </w:r>
      <w:r w:rsidR="009B2E34" w:rsidRPr="00524D52">
        <w:t>with centra</w:t>
      </w:r>
      <w:r w:rsidR="008C7641" w:rsidRPr="00524D52">
        <w:t>lly confirmed diagnosis of IMFT</w:t>
      </w:r>
      <w:r w:rsidR="009B2E34" w:rsidRPr="00524D52">
        <w:t xml:space="preserve"> </w:t>
      </w:r>
      <w:r w:rsidR="00AA0E80" w:rsidRPr="00524D52">
        <w:t>who started crizotinib, with imaging assessment at baseline and at least an</w:t>
      </w:r>
      <w:r w:rsidR="00AC1059" w:rsidRPr="00524D52">
        <w:t>other imaging assessment after two</w:t>
      </w:r>
      <w:r w:rsidR="00AA0E80" w:rsidRPr="00524D52">
        <w:t xml:space="preserve"> </w:t>
      </w:r>
      <w:r w:rsidR="00741A3C" w:rsidRPr="00524D52">
        <w:t xml:space="preserve">or </w:t>
      </w:r>
      <w:r w:rsidR="00724127" w:rsidRPr="00524D52">
        <w:t xml:space="preserve">more cycles </w:t>
      </w:r>
      <w:r w:rsidR="00AA0E80" w:rsidRPr="00524D52">
        <w:t>of crizotinib</w:t>
      </w:r>
      <w:r w:rsidR="000F039A" w:rsidRPr="00524D52">
        <w:t xml:space="preserve">; </w:t>
      </w:r>
      <w:r w:rsidR="008B701D" w:rsidRPr="00524D52">
        <w:t>PFS and OS</w:t>
      </w:r>
      <w:r w:rsidR="000F039A" w:rsidRPr="00524D52">
        <w:t xml:space="preserve"> were </w:t>
      </w:r>
      <w:r w:rsidRPr="00524D52">
        <w:t>estimated</w:t>
      </w:r>
      <w:r w:rsidR="008B701D" w:rsidRPr="00524D52">
        <w:t xml:space="preserve"> using the Kaplan Meier method. </w:t>
      </w:r>
      <w:r w:rsidR="00AA0E80" w:rsidRPr="00524D52">
        <w:t xml:space="preserve">The safety was </w:t>
      </w:r>
      <w:r w:rsidR="00690C3B" w:rsidRPr="00524D52">
        <w:t>analyzed</w:t>
      </w:r>
      <w:r w:rsidR="00AA0E80" w:rsidRPr="00524D52">
        <w:t xml:space="preserve"> in all</w:t>
      </w:r>
      <w:r w:rsidR="009B2E34" w:rsidRPr="00524D52">
        <w:t xml:space="preserve"> patients who started </w:t>
      </w:r>
      <w:r w:rsidR="00F76544" w:rsidRPr="00524D52">
        <w:t>treatment</w:t>
      </w:r>
      <w:r w:rsidR="00AA0E80" w:rsidRPr="00524D52">
        <w:t xml:space="preserve">. </w:t>
      </w:r>
      <w:r w:rsidR="008B701D" w:rsidRPr="00524D52">
        <w:t xml:space="preserve">A descriptive analysis </w:t>
      </w:r>
      <w:r w:rsidR="008B4846" w:rsidRPr="00524D52">
        <w:t>was used</w:t>
      </w:r>
      <w:r w:rsidR="008B701D" w:rsidRPr="00524D52">
        <w:t xml:space="preserve"> to assess the </w:t>
      </w:r>
      <w:r w:rsidR="008C7641" w:rsidRPr="00524D52">
        <w:rPr>
          <w:i/>
        </w:rPr>
        <w:t>ALK</w:t>
      </w:r>
      <w:r w:rsidR="008B701D" w:rsidRPr="00524D52">
        <w:t xml:space="preserve"> status as a predictor for treatment response. </w:t>
      </w:r>
    </w:p>
    <w:p w14:paraId="7919AD4C" w14:textId="77777777" w:rsidR="00E26BFC" w:rsidRPr="00524D52" w:rsidRDefault="00E26BFC"/>
    <w:p w14:paraId="691A25F5" w14:textId="3999E83B" w:rsidR="00AA0E80" w:rsidRPr="00524D52" w:rsidRDefault="00AA0E80">
      <w:r w:rsidRPr="00524D52">
        <w:t>Analyses</w:t>
      </w:r>
      <w:r w:rsidR="00F76544" w:rsidRPr="00524D52">
        <w:t xml:space="preserve"> were performed </w:t>
      </w:r>
      <w:r w:rsidR="00C42401" w:rsidRPr="00524D52">
        <w:t xml:space="preserve">by EORTC </w:t>
      </w:r>
      <w:r w:rsidR="00F76544" w:rsidRPr="00524D52">
        <w:t>using the SAS software</w:t>
      </w:r>
      <w:r w:rsidRPr="00524D52">
        <w:t xml:space="preserve"> version 9</w:t>
      </w:r>
      <w:r w:rsidR="00A45317" w:rsidRPr="00524D52">
        <w:t>·</w:t>
      </w:r>
      <w:r w:rsidRPr="00524D52">
        <w:t>4 (SAS Institute</w:t>
      </w:r>
      <w:r w:rsidR="00741A3C" w:rsidRPr="00524D52">
        <w:t>, Cary, United States</w:t>
      </w:r>
      <w:r w:rsidRPr="00524D52">
        <w:t>).</w:t>
      </w:r>
      <w:r w:rsidR="00A15560" w:rsidRPr="00524D52">
        <w:t xml:space="preserve"> </w:t>
      </w:r>
      <w:r w:rsidR="00F76544" w:rsidRPr="00524D52">
        <w:t>Patient a</w:t>
      </w:r>
      <w:r w:rsidRPr="00524D52">
        <w:t>ccrual, eligibility</w:t>
      </w:r>
      <w:r w:rsidR="00C92809" w:rsidRPr="00524D52">
        <w:t xml:space="preserve"> and safety data were </w:t>
      </w:r>
      <w:r w:rsidRPr="00524D52">
        <w:t xml:space="preserve">monitored </w:t>
      </w:r>
      <w:r w:rsidR="00C92809" w:rsidRPr="00524D52">
        <w:t xml:space="preserve">on a regular basis </w:t>
      </w:r>
      <w:r w:rsidRPr="00524D52">
        <w:t xml:space="preserve">by the </w:t>
      </w:r>
      <w:r w:rsidR="00582F5B" w:rsidRPr="00524D52">
        <w:t xml:space="preserve">EORTC </w:t>
      </w:r>
      <w:r w:rsidRPr="00524D52">
        <w:t xml:space="preserve">medical review team and </w:t>
      </w:r>
      <w:r w:rsidR="00582F5B" w:rsidRPr="00524D52">
        <w:t xml:space="preserve">the </w:t>
      </w:r>
      <w:r w:rsidR="00C92809" w:rsidRPr="00524D52">
        <w:t>study coordinator, and</w:t>
      </w:r>
      <w:r w:rsidR="002F55C4" w:rsidRPr="00524D52">
        <w:t xml:space="preserve"> a </w:t>
      </w:r>
      <w:r w:rsidRPr="00524D52">
        <w:t>trial steering committ</w:t>
      </w:r>
      <w:r w:rsidR="00582F5B" w:rsidRPr="00524D52">
        <w:t xml:space="preserve">ee </w:t>
      </w:r>
      <w:r w:rsidR="002F55C4" w:rsidRPr="00524D52">
        <w:t>was involved in all critical decisions</w:t>
      </w:r>
      <w:r w:rsidRPr="00524D52">
        <w:t>.</w:t>
      </w:r>
      <w:r w:rsidR="00431979" w:rsidRPr="00524D52">
        <w:t xml:space="preserve"> </w:t>
      </w:r>
    </w:p>
    <w:p w14:paraId="6964241B" w14:textId="5C8A3A0C" w:rsidR="00C92809" w:rsidRDefault="00C92809">
      <w:pPr>
        <w:rPr>
          <w:rStyle w:val="Strong"/>
        </w:rPr>
      </w:pPr>
    </w:p>
    <w:p w14:paraId="19DCFD55" w14:textId="2D0352CA" w:rsidR="00B70EAA" w:rsidRPr="00524D52" w:rsidRDefault="00B70EAA">
      <w:pPr>
        <w:rPr>
          <w:rStyle w:val="Strong"/>
        </w:rPr>
      </w:pPr>
      <w:r>
        <w:rPr>
          <w:rStyle w:val="Strong"/>
        </w:rPr>
        <w:t>Role of funding source</w:t>
      </w:r>
    </w:p>
    <w:p w14:paraId="5257D53B" w14:textId="77777777" w:rsidR="00665A8A" w:rsidRDefault="00665A8A">
      <w:pPr>
        <w:rPr>
          <w:rStyle w:val="Strong"/>
        </w:rPr>
      </w:pPr>
    </w:p>
    <w:p w14:paraId="6153B587" w14:textId="41CE0602" w:rsidR="005D4BE9" w:rsidRDefault="0033579F">
      <w:pPr>
        <w:rPr>
          <w:rStyle w:val="Hyperlink"/>
          <w:color w:val="auto"/>
        </w:rPr>
      </w:pPr>
      <w:r>
        <w:rPr>
          <w:rFonts w:eastAsia="ScalaLancetPro"/>
        </w:rPr>
        <w:t>EORTC 90101</w:t>
      </w:r>
      <w:r w:rsidR="005D4BE9" w:rsidRPr="00512C60">
        <w:rPr>
          <w:rFonts w:eastAsia="ScalaLancetPro"/>
        </w:rPr>
        <w:t xml:space="preserve"> CREATE was sponsored by EORTC and supported by Pfizer</w:t>
      </w:r>
      <w:r w:rsidR="005D4BE9">
        <w:rPr>
          <w:rFonts w:eastAsia="ScalaLancetPro"/>
        </w:rPr>
        <w:t xml:space="preserve">. </w:t>
      </w:r>
      <w:r w:rsidR="005D4BE9" w:rsidRPr="00E96AF0">
        <w:rPr>
          <w:rStyle w:val="Hyperlink"/>
          <w:color w:val="auto"/>
          <w:u w:val="none"/>
        </w:rPr>
        <w:t>This work was an investigator-initiated trial. EORTC was the legal sponsor. Pfizer Inc. provided the investigational agent and funding, but had no role in the study design, data collection, analysis, interpretation, writing of the report, or decision to publish this report. The database is held by EORTC, and EORTC statisticians performed the analysis.</w:t>
      </w:r>
      <w:r w:rsidR="005D4BE9">
        <w:rPr>
          <w:rStyle w:val="Hyperlink"/>
          <w:color w:val="auto"/>
        </w:rPr>
        <w:br/>
      </w:r>
    </w:p>
    <w:p w14:paraId="3C0B0F9D" w14:textId="0F62C424" w:rsidR="005D4BE9" w:rsidRDefault="005D4BE9">
      <w:pPr>
        <w:rPr>
          <w:rFonts w:eastAsia="ScalaLancetPro"/>
        </w:rPr>
      </w:pPr>
      <w:r w:rsidRPr="00512C60">
        <w:rPr>
          <w:rFonts w:eastAsia="ScalaLancetPro"/>
        </w:rPr>
        <w:t>PS had the original idea for this trial, proposed it to EORTC and Pfizer, developed and designed the study, and searched the published works. Protocol writing was a collaboration effort between PS, EORTC Headquarters staff and AW. AW coordinated the molecular analysis. RS was responsible for reference pathology and MDR did the FISH analysis. PS, JS, HG, JYB, S</w:t>
      </w:r>
      <w:r>
        <w:rPr>
          <w:rFonts w:eastAsia="ScalaLancetPro"/>
        </w:rPr>
        <w:t>J</w:t>
      </w:r>
      <w:r w:rsidRPr="00512C60">
        <w:rPr>
          <w:rFonts w:eastAsia="ScalaLancetPro"/>
        </w:rPr>
        <w:t xml:space="preserve">S, SiS, PR, LHL, MGL, AI and NI contributed to data collection and patient accrual. AN maintained the trial database. SC did the data analysis and PS and SM oversaw the management of the clinical trial and data collection. AW and PS coordinated reference pathology, FISH testing and the central review of radiological responses (TvC) and reported results to EORTC. All authors made substantial contributions to the concept and design of the study, contributed to the interpretation of the data, were involved in the preparation of the manuscript, contributed to revisions of the manuscript and approved the final version of the manuscript. The corresponding author had full access to the data and </w:t>
      </w:r>
      <w:r w:rsidRPr="00512C60">
        <w:t xml:space="preserve">was responsible for providing </w:t>
      </w:r>
      <w:r w:rsidRPr="00512C60">
        <w:lastRenderedPageBreak/>
        <w:t xml:space="preserve">regular information to the relevant committees monitoring this trial, and </w:t>
      </w:r>
      <w:r w:rsidRPr="00512C60">
        <w:rPr>
          <w:rFonts w:eastAsia="ScalaLancetPro"/>
        </w:rPr>
        <w:t>final responsibility for the decision to submit for publication. This article was reviewed and approved by all authors.</w:t>
      </w:r>
    </w:p>
    <w:p w14:paraId="21AA6F18" w14:textId="77777777" w:rsidR="005D4BE9" w:rsidRDefault="005D4BE9">
      <w:pPr>
        <w:rPr>
          <w:rFonts w:eastAsia="ScalaLancetPro"/>
        </w:rPr>
      </w:pPr>
    </w:p>
    <w:p w14:paraId="2274B5E6" w14:textId="77777777" w:rsidR="005D4BE9" w:rsidRPr="00524D52" w:rsidRDefault="005D4BE9">
      <w:pPr>
        <w:rPr>
          <w:rStyle w:val="Strong"/>
        </w:rPr>
      </w:pPr>
    </w:p>
    <w:p w14:paraId="0E9C14C0" w14:textId="77777777" w:rsidR="00114EDB" w:rsidRPr="00524D52" w:rsidRDefault="00114EDB">
      <w:pPr>
        <w:rPr>
          <w:rStyle w:val="Strong"/>
        </w:rPr>
      </w:pPr>
      <w:r w:rsidRPr="00524D52">
        <w:rPr>
          <w:rStyle w:val="Strong"/>
        </w:rPr>
        <w:t>Results</w:t>
      </w:r>
    </w:p>
    <w:p w14:paraId="14D4B4D6" w14:textId="77777777" w:rsidR="00E934D0" w:rsidRPr="00524D52" w:rsidRDefault="00E934D0"/>
    <w:p w14:paraId="3F2A3A3A" w14:textId="1DB6CA95" w:rsidR="0077640E" w:rsidRPr="00524D52" w:rsidRDefault="00AC1059">
      <w:pPr>
        <w:rPr>
          <w:rStyle w:val="Strong"/>
        </w:rPr>
      </w:pPr>
      <w:r w:rsidRPr="00524D52">
        <w:rPr>
          <w:rStyle w:val="Strong"/>
        </w:rPr>
        <w:t xml:space="preserve">Patient disposition, </w:t>
      </w:r>
      <w:r w:rsidR="0077640E" w:rsidRPr="00524D52">
        <w:rPr>
          <w:rStyle w:val="Strong"/>
        </w:rPr>
        <w:t>reference pathology</w:t>
      </w:r>
      <w:r w:rsidRPr="00524D52">
        <w:rPr>
          <w:rStyle w:val="Strong"/>
        </w:rPr>
        <w:t>, clinical screening and enrolment</w:t>
      </w:r>
    </w:p>
    <w:p w14:paraId="5D0880A2" w14:textId="77777777" w:rsidR="00512C60" w:rsidRPr="00524D52" w:rsidRDefault="00512C60"/>
    <w:p w14:paraId="64E35A65" w14:textId="37D733BA" w:rsidR="001653A5" w:rsidRPr="00524D52" w:rsidRDefault="00E934D0">
      <w:r w:rsidRPr="00524D52">
        <w:t>Between</w:t>
      </w:r>
      <w:r w:rsidR="004509A6" w:rsidRPr="00524D52">
        <w:t xml:space="preserve"> </w:t>
      </w:r>
      <w:r w:rsidR="00EF54CC" w:rsidRPr="00524D52">
        <w:t>October</w:t>
      </w:r>
      <w:r w:rsidR="00644BFC" w:rsidRPr="00524D52">
        <w:t xml:space="preserve"> </w:t>
      </w:r>
      <w:r w:rsidR="00B12A48" w:rsidRPr="00524D52">
        <w:t>03</w:t>
      </w:r>
      <w:r w:rsidR="00846068" w:rsidRPr="00524D52">
        <w:t>,</w:t>
      </w:r>
      <w:r w:rsidR="004509A6" w:rsidRPr="00524D52">
        <w:t xml:space="preserve"> 201</w:t>
      </w:r>
      <w:r w:rsidR="00846068" w:rsidRPr="00524D52">
        <w:t>2</w:t>
      </w:r>
      <w:r w:rsidR="004509A6" w:rsidRPr="00524D52">
        <w:t xml:space="preserve"> </w:t>
      </w:r>
      <w:r w:rsidRPr="00524D52">
        <w:t>and</w:t>
      </w:r>
      <w:r w:rsidR="00EF54CC" w:rsidRPr="00524D52">
        <w:t xml:space="preserve"> April</w:t>
      </w:r>
      <w:r w:rsidR="00644BFC" w:rsidRPr="00524D52">
        <w:t xml:space="preserve"> </w:t>
      </w:r>
      <w:r w:rsidR="00B12A48" w:rsidRPr="00524D52">
        <w:t>12</w:t>
      </w:r>
      <w:r w:rsidR="00644BFC" w:rsidRPr="00524D52">
        <w:t>, 2017</w:t>
      </w:r>
      <w:r w:rsidRPr="00524D52">
        <w:t>,</w:t>
      </w:r>
      <w:r w:rsidR="004509A6" w:rsidRPr="00524D52">
        <w:t xml:space="preserve"> </w:t>
      </w:r>
      <w:r w:rsidR="00EF54CC" w:rsidRPr="00524D52">
        <w:t>13</w:t>
      </w:r>
      <w:r w:rsidR="00A15560" w:rsidRPr="00524D52">
        <w:t xml:space="preserve"> </w:t>
      </w:r>
      <w:r w:rsidR="001653A5" w:rsidRPr="00524D52">
        <w:t>study</w:t>
      </w:r>
      <w:r w:rsidR="004509A6" w:rsidRPr="00524D52">
        <w:t xml:space="preserve"> sites in </w:t>
      </w:r>
      <w:r w:rsidR="00707D64">
        <w:t>eight</w:t>
      </w:r>
      <w:r w:rsidR="00707D64" w:rsidRPr="00524D52">
        <w:t xml:space="preserve"> </w:t>
      </w:r>
      <w:r w:rsidR="004509A6" w:rsidRPr="00524D52">
        <w:t>European countries recruited</w:t>
      </w:r>
      <w:r w:rsidR="00EF54CC" w:rsidRPr="00524D52">
        <w:t xml:space="preserve"> 35</w:t>
      </w:r>
      <w:r w:rsidR="00644BFC" w:rsidRPr="00524D52">
        <w:t xml:space="preserve"> </w:t>
      </w:r>
      <w:r w:rsidR="00FC55CF" w:rsidRPr="00524D52">
        <w:t>patients</w:t>
      </w:r>
      <w:r w:rsidR="00E67ECE" w:rsidRPr="00524D52">
        <w:t xml:space="preserve"> w</w:t>
      </w:r>
      <w:r w:rsidR="00644BFC" w:rsidRPr="00524D52">
        <w:t>ith the local diagnosis of IMFT</w:t>
      </w:r>
      <w:r w:rsidR="00537214" w:rsidRPr="00524D52">
        <w:t xml:space="preserve">. </w:t>
      </w:r>
      <w:r w:rsidR="007C608A" w:rsidRPr="00524D52">
        <w:t>O</w:t>
      </w:r>
      <w:r w:rsidR="00EF54CC" w:rsidRPr="00524D52">
        <w:t xml:space="preserve">nly </w:t>
      </w:r>
      <w:r w:rsidR="00B12A48" w:rsidRPr="00524D52">
        <w:t>24</w:t>
      </w:r>
      <w:r w:rsidR="00537214" w:rsidRPr="00524D52">
        <w:t xml:space="preserve"> (</w:t>
      </w:r>
      <w:r w:rsidR="00B12A48" w:rsidRPr="00524D52">
        <w:t>68</w:t>
      </w:r>
      <w:r w:rsidR="000438B8" w:rsidRPr="00524D52">
        <w:t>·</w:t>
      </w:r>
      <w:r w:rsidR="00B12A48" w:rsidRPr="00524D52">
        <w:t>6</w:t>
      </w:r>
      <w:r w:rsidR="00330163" w:rsidRPr="00524D52">
        <w:t>%</w:t>
      </w:r>
      <w:r w:rsidR="00537214" w:rsidRPr="00524D52">
        <w:t>) of t</w:t>
      </w:r>
      <w:r w:rsidR="00244B98" w:rsidRPr="00524D52">
        <w:t>he</w:t>
      </w:r>
      <w:r w:rsidR="0038236D" w:rsidRPr="00524D52">
        <w:t>se</w:t>
      </w:r>
      <w:r w:rsidR="001653A5" w:rsidRPr="00524D52">
        <w:t xml:space="preserve"> </w:t>
      </w:r>
      <w:r w:rsidR="00537214" w:rsidRPr="00524D52">
        <w:t xml:space="preserve">patients </w:t>
      </w:r>
      <w:r w:rsidR="004509A6" w:rsidRPr="00524D52">
        <w:t xml:space="preserve">had a centrally confirmed </w:t>
      </w:r>
      <w:r w:rsidR="00C20190" w:rsidRPr="00524D52">
        <w:t>IMFT</w:t>
      </w:r>
      <w:r w:rsidR="00BA1CCB" w:rsidRPr="00524D52">
        <w:t xml:space="preserve">. These patients were </w:t>
      </w:r>
      <w:r w:rsidR="009539A2" w:rsidRPr="00524D52">
        <w:t>eligible for screening and</w:t>
      </w:r>
      <w:r w:rsidR="00BA1CCB" w:rsidRPr="00524D52">
        <w:t xml:space="preserve"> potential</w:t>
      </w:r>
      <w:r w:rsidR="009539A2" w:rsidRPr="00524D52">
        <w:t xml:space="preserve"> treatment</w:t>
      </w:r>
      <w:r w:rsidR="001653A5" w:rsidRPr="00524D52">
        <w:t xml:space="preserve"> in this trial</w:t>
      </w:r>
      <w:r w:rsidR="00537214" w:rsidRPr="00524D52">
        <w:t>.</w:t>
      </w:r>
      <w:r w:rsidR="00244B98" w:rsidRPr="00524D52">
        <w:rPr>
          <w:rStyle w:val="Hyperlink"/>
          <w:color w:val="auto"/>
          <w:u w:val="none"/>
        </w:rPr>
        <w:t xml:space="preserve"> </w:t>
      </w:r>
    </w:p>
    <w:p w14:paraId="1ACD0A0C" w14:textId="77777777" w:rsidR="006F0AD5" w:rsidRPr="00524D52" w:rsidRDefault="006F0AD5"/>
    <w:p w14:paraId="0BF4762F" w14:textId="3057D2ED" w:rsidR="00537214" w:rsidRDefault="00174D80">
      <w:r>
        <w:t>R</w:t>
      </w:r>
      <w:r w:rsidRPr="00524D52">
        <w:t>eference pathology was completed within a median time of 3·5 days (range: 1-8) after receipt of technically useful slides from the central biorepository.</w:t>
      </w:r>
      <w:r>
        <w:t xml:space="preserve"> </w:t>
      </w:r>
      <w:r w:rsidR="00122CDE" w:rsidRPr="00524D52">
        <w:t>Among t</w:t>
      </w:r>
      <w:r w:rsidR="00EF54CC" w:rsidRPr="00524D52">
        <w:t xml:space="preserve">he </w:t>
      </w:r>
      <w:r w:rsidR="00B12A48" w:rsidRPr="00524D52">
        <w:t>11</w:t>
      </w:r>
      <w:r w:rsidR="00537214" w:rsidRPr="00524D52">
        <w:t xml:space="preserve"> non-confirmed, non-eligible cases</w:t>
      </w:r>
      <w:r w:rsidR="00122CDE" w:rsidRPr="00524D52">
        <w:t xml:space="preserve">, </w:t>
      </w:r>
      <w:r w:rsidR="001436BD">
        <w:t>9</w:t>
      </w:r>
      <w:r w:rsidR="001436BD" w:rsidRPr="00524D52">
        <w:t xml:space="preserve"> </w:t>
      </w:r>
      <w:r w:rsidR="00122CDE" w:rsidRPr="00524D52">
        <w:t>patients had</w:t>
      </w:r>
      <w:r w:rsidR="00537214" w:rsidRPr="00524D52">
        <w:t xml:space="preserve"> </w:t>
      </w:r>
      <w:r w:rsidR="00122CDE" w:rsidRPr="00524D52">
        <w:t>other diagnoses and</w:t>
      </w:r>
      <w:r w:rsidR="00EE133B">
        <w:t xml:space="preserve"> from</w:t>
      </w:r>
      <w:r w:rsidR="00122CDE" w:rsidRPr="00524D52">
        <w:t xml:space="preserve"> </w:t>
      </w:r>
      <w:r w:rsidR="00264565" w:rsidRPr="00524D52">
        <w:t xml:space="preserve">two </w:t>
      </w:r>
      <w:r w:rsidR="00122CDE" w:rsidRPr="00524D52">
        <w:t xml:space="preserve">patients </w:t>
      </w:r>
      <w:r w:rsidR="00EE133B">
        <w:t>the</w:t>
      </w:r>
      <w:r w:rsidR="00A12A99">
        <w:t xml:space="preserve"> tissue samples were not available.</w:t>
      </w:r>
      <w:r w:rsidR="00EE4FAD">
        <w:t xml:space="preserve"> </w:t>
      </w:r>
      <w:r w:rsidR="00A12A99">
        <w:t xml:space="preserve">The misclassified cases included one case of myoepithelioma, one case of a presumed calcifying fibrous pseudotumour </w:t>
      </w:r>
      <w:r w:rsidR="00EE4FAD">
        <w:t xml:space="preserve">and </w:t>
      </w:r>
      <w:r w:rsidR="001436BD">
        <w:t xml:space="preserve">7 </w:t>
      </w:r>
      <w:r w:rsidR="00A12A99">
        <w:t xml:space="preserve">cases </w:t>
      </w:r>
      <w:r w:rsidR="00EE4FAD">
        <w:t>not matching the morphological and immunohistochemical  criteria of Coffin and Fletcher (2013).</w:t>
      </w:r>
      <w:r w:rsidR="002B5BBD" w:rsidRPr="00724585">
        <w:rPr>
          <w:vertAlign w:val="superscript"/>
        </w:rPr>
        <w:t>22</w:t>
      </w:r>
      <w:r w:rsidR="00EE4FAD">
        <w:t xml:space="preserve"> The reference pathologist did not establish an alternative diagnosis in the latter cases. </w:t>
      </w:r>
      <w:r w:rsidRPr="00524D52">
        <w:t>None of these patients entered the screening or treatment phase of the trial.</w:t>
      </w:r>
    </w:p>
    <w:p w14:paraId="3C66919C" w14:textId="77777777" w:rsidR="006368B6" w:rsidRPr="00524D52" w:rsidRDefault="006368B6"/>
    <w:p w14:paraId="45ECF1C7" w14:textId="22A63977" w:rsidR="00244B98" w:rsidRPr="00524D52" w:rsidRDefault="00230FE4">
      <w:r w:rsidRPr="00524D52">
        <w:t>Twenty</w:t>
      </w:r>
      <w:r w:rsidR="0010606B" w:rsidRPr="00524D52">
        <w:t xml:space="preserve"> </w:t>
      </w:r>
      <w:r w:rsidR="00EF54CC" w:rsidRPr="00524D52">
        <w:t xml:space="preserve">of the </w:t>
      </w:r>
      <w:r w:rsidR="00122CDE" w:rsidRPr="00524D52">
        <w:t>24</w:t>
      </w:r>
      <w:r w:rsidR="00244B98" w:rsidRPr="00524D52">
        <w:t xml:space="preserve"> patient</w:t>
      </w:r>
      <w:r w:rsidR="00C20190" w:rsidRPr="00524D52">
        <w:t>s with centrally confirmed IMFT</w:t>
      </w:r>
      <w:r w:rsidR="009C4DB0" w:rsidRPr="00524D52">
        <w:t xml:space="preserve"> were enrolled in the study and</w:t>
      </w:r>
      <w:r w:rsidR="00244B98" w:rsidRPr="00524D52">
        <w:t xml:space="preserve"> started treatment</w:t>
      </w:r>
      <w:r w:rsidR="00AC1059" w:rsidRPr="00524D52">
        <w:t xml:space="preserve"> with crizotinib</w:t>
      </w:r>
      <w:r w:rsidR="00244B98" w:rsidRPr="00524D52">
        <w:t>. Reasons for not enteri</w:t>
      </w:r>
      <w:r w:rsidR="008B394B" w:rsidRPr="00524D52">
        <w:t>ng the</w:t>
      </w:r>
      <w:r w:rsidR="009C4DB0" w:rsidRPr="00524D52">
        <w:t xml:space="preserve"> </w:t>
      </w:r>
      <w:r w:rsidR="008B394B" w:rsidRPr="00524D52">
        <w:t xml:space="preserve">treatment phase in the </w:t>
      </w:r>
      <w:r w:rsidR="009E5751" w:rsidRPr="00524D52">
        <w:t xml:space="preserve">four </w:t>
      </w:r>
      <w:r w:rsidR="008B394B" w:rsidRPr="00524D52">
        <w:t xml:space="preserve">remaining </w:t>
      </w:r>
      <w:r w:rsidR="00244B98" w:rsidRPr="00524D52">
        <w:t>patients were</w:t>
      </w:r>
      <w:r w:rsidR="00AC1059" w:rsidRPr="00524D52">
        <w:t xml:space="preserve"> </w:t>
      </w:r>
      <w:r w:rsidRPr="00524D52">
        <w:t>death (n=2), consent withdrawal,</w:t>
      </w:r>
      <w:r w:rsidR="00207D97">
        <w:t xml:space="preserve"> or</w:t>
      </w:r>
      <w:r w:rsidRPr="00524D52">
        <w:t xml:space="preserve"> start of another treatment</w:t>
      </w:r>
      <w:r w:rsidR="00244B98" w:rsidRPr="00524D52">
        <w:t>.</w:t>
      </w:r>
      <w:r w:rsidR="00AC1059" w:rsidRPr="00524D52">
        <w:t xml:space="preserve"> </w:t>
      </w:r>
      <w:r w:rsidR="00EF54CC" w:rsidRPr="00524D52">
        <w:t>Nineteen out of the 20</w:t>
      </w:r>
      <w:r w:rsidR="009C4DB0" w:rsidRPr="00524D52">
        <w:t xml:space="preserve"> eligible</w:t>
      </w:r>
      <w:r w:rsidR="00244B98" w:rsidRPr="00524D52">
        <w:t xml:space="preserve"> </w:t>
      </w:r>
      <w:r w:rsidR="00C20190" w:rsidRPr="00524D52">
        <w:t>patients with confirmed IMFT</w:t>
      </w:r>
      <w:r w:rsidR="0010606B" w:rsidRPr="00524D52">
        <w:t xml:space="preserve"> </w:t>
      </w:r>
      <w:r w:rsidR="00AC1059" w:rsidRPr="00524D52">
        <w:t xml:space="preserve">who </w:t>
      </w:r>
      <w:r w:rsidR="00244B98" w:rsidRPr="00524D52">
        <w:t>started treatment with crizotinib</w:t>
      </w:r>
      <w:r w:rsidR="0010606B" w:rsidRPr="00524D52">
        <w:t xml:space="preserve"> </w:t>
      </w:r>
      <w:r w:rsidR="009C4DB0" w:rsidRPr="00524D52">
        <w:t xml:space="preserve">were </w:t>
      </w:r>
      <w:r w:rsidR="00244B98" w:rsidRPr="00524D52">
        <w:t xml:space="preserve">evaluable for the primary </w:t>
      </w:r>
      <w:r w:rsidR="0010606B" w:rsidRPr="00524D52">
        <w:t xml:space="preserve">and secondary </w:t>
      </w:r>
      <w:r w:rsidR="00244B98" w:rsidRPr="00524D52">
        <w:t>endpoint</w:t>
      </w:r>
      <w:r w:rsidR="0010606B" w:rsidRPr="00524D52">
        <w:t>s</w:t>
      </w:r>
      <w:r w:rsidR="0064225B" w:rsidRPr="00524D52">
        <w:t xml:space="preserve"> of this trial</w:t>
      </w:r>
      <w:r w:rsidR="00244B98" w:rsidRPr="00524D52">
        <w:t xml:space="preserve">. </w:t>
      </w:r>
      <w:r w:rsidR="00AC1059" w:rsidRPr="00524D52">
        <w:t xml:space="preserve">The trial profile is shown in </w:t>
      </w:r>
      <w:r w:rsidR="0082200D" w:rsidRPr="00524D52">
        <w:rPr>
          <w:u w:val="single"/>
        </w:rPr>
        <w:t xml:space="preserve">figure </w:t>
      </w:r>
      <w:r w:rsidR="003106AB" w:rsidRPr="00524D52">
        <w:rPr>
          <w:u w:val="single"/>
        </w:rPr>
        <w:t>1</w:t>
      </w:r>
      <w:r w:rsidR="00AC1059" w:rsidRPr="00524D52">
        <w:t>.</w:t>
      </w:r>
      <w:r w:rsidR="00AC1059" w:rsidRPr="00524D52">
        <w:rPr>
          <w:rStyle w:val="Hyperlink"/>
          <w:color w:val="auto"/>
          <w:u w:val="none"/>
        </w:rPr>
        <w:t xml:space="preserve"> </w:t>
      </w:r>
      <w:r w:rsidR="00AC1059" w:rsidRPr="00524D52">
        <w:t xml:space="preserve"> </w:t>
      </w:r>
    </w:p>
    <w:p w14:paraId="712DB4BF" w14:textId="77777777" w:rsidR="0077640E" w:rsidRPr="00524D52" w:rsidRDefault="0077640E"/>
    <w:p w14:paraId="017C04F1" w14:textId="16C86335" w:rsidR="0077640E" w:rsidRPr="00524D52" w:rsidRDefault="00207D97">
      <w:pPr>
        <w:rPr>
          <w:rStyle w:val="Strong"/>
        </w:rPr>
      </w:pPr>
      <w:r>
        <w:rPr>
          <w:rStyle w:val="Strong"/>
        </w:rPr>
        <w:t>M</w:t>
      </w:r>
      <w:r w:rsidR="001A1F92" w:rsidRPr="00524D52">
        <w:rPr>
          <w:rStyle w:val="Strong"/>
        </w:rPr>
        <w:t>olecular</w:t>
      </w:r>
      <w:r>
        <w:rPr>
          <w:rStyle w:val="Strong"/>
        </w:rPr>
        <w:t xml:space="preserve"> characterization and</w:t>
      </w:r>
      <w:r w:rsidR="001A1F92" w:rsidRPr="00524D52">
        <w:rPr>
          <w:rStyle w:val="Strong"/>
        </w:rPr>
        <w:t xml:space="preserve"> epidemiology</w:t>
      </w:r>
    </w:p>
    <w:p w14:paraId="0DD64747" w14:textId="77777777" w:rsidR="0077640E" w:rsidRPr="00524D52" w:rsidRDefault="0077640E"/>
    <w:p w14:paraId="5C2F4657" w14:textId="67777159" w:rsidR="00FB30A7" w:rsidRPr="00524D52" w:rsidRDefault="00512C60">
      <w:pPr>
        <w:rPr>
          <w:lang w:val="en-GB"/>
        </w:rPr>
      </w:pPr>
      <w:r w:rsidRPr="00524D52">
        <w:t xml:space="preserve">Immunohistochemistry and FISH testing were done within </w:t>
      </w:r>
      <w:r w:rsidRPr="00524D52">
        <w:rPr>
          <w:lang w:val="en-GB"/>
        </w:rPr>
        <w:t>4</w:t>
      </w:r>
      <w:r w:rsidR="00CE60E9" w:rsidRPr="00524D52">
        <w:t>·</w:t>
      </w:r>
      <w:r w:rsidRPr="00524D52">
        <w:rPr>
          <w:lang w:val="en-GB"/>
        </w:rPr>
        <w:t>5 days (range: 1-8 days).</w:t>
      </w:r>
    </w:p>
    <w:p w14:paraId="4DB430DB" w14:textId="77777777" w:rsidR="00512C60" w:rsidRPr="00524D52" w:rsidRDefault="00512C60">
      <w:pPr>
        <w:rPr>
          <w:lang w:val="en-GB"/>
        </w:rPr>
      </w:pPr>
    </w:p>
    <w:p w14:paraId="14D76D83" w14:textId="0935C10C" w:rsidR="0077640E" w:rsidRPr="00524D52" w:rsidRDefault="00EF54CC">
      <w:r w:rsidRPr="00524D52">
        <w:t xml:space="preserve">Among the </w:t>
      </w:r>
      <w:r w:rsidR="00230FE4" w:rsidRPr="00524D52">
        <w:t>24</w:t>
      </w:r>
      <w:r w:rsidR="00C504A8" w:rsidRPr="00524D52">
        <w:t xml:space="preserve"> patients with </w:t>
      </w:r>
      <w:r w:rsidR="0064225B" w:rsidRPr="00524D52">
        <w:t>centrally confirmed</w:t>
      </w:r>
      <w:r w:rsidR="00C20190" w:rsidRPr="00524D52">
        <w:t xml:space="preserve"> IMFT</w:t>
      </w:r>
      <w:r w:rsidR="0064225B" w:rsidRPr="00524D52">
        <w:t xml:space="preserve"> diagnosis</w:t>
      </w:r>
      <w:r w:rsidR="00280DD4" w:rsidRPr="00524D52">
        <w:t>,</w:t>
      </w:r>
      <w:r w:rsidR="0064225B" w:rsidRPr="00524D52">
        <w:t xml:space="preserve"> </w:t>
      </w:r>
      <w:r w:rsidR="00230FE4" w:rsidRPr="00524D52">
        <w:t>16</w:t>
      </w:r>
      <w:r w:rsidR="00C20190" w:rsidRPr="00524D52">
        <w:t xml:space="preserve"> (</w:t>
      </w:r>
      <w:r w:rsidR="00230FE4" w:rsidRPr="00524D52">
        <w:t>66</w:t>
      </w:r>
      <w:r w:rsidR="000438B8" w:rsidRPr="00524D52">
        <w:t>·</w:t>
      </w:r>
      <w:r w:rsidR="00230FE4" w:rsidRPr="00524D52">
        <w:t>7</w:t>
      </w:r>
      <w:r w:rsidR="009C4DB0" w:rsidRPr="00524D52">
        <w:t xml:space="preserve">%) </w:t>
      </w:r>
      <w:r w:rsidR="00330163" w:rsidRPr="00524D52">
        <w:t>were</w:t>
      </w:r>
      <w:r w:rsidR="001A2748" w:rsidRPr="00524D52">
        <w:t xml:space="preserve"> defined as</w:t>
      </w:r>
      <w:r w:rsidRPr="00524D52">
        <w:t xml:space="preserve"> </w:t>
      </w:r>
      <w:r w:rsidR="00C20190" w:rsidRPr="00524D52">
        <w:rPr>
          <w:i/>
        </w:rPr>
        <w:t>ALK</w:t>
      </w:r>
      <w:r w:rsidR="00330163" w:rsidRPr="00524D52">
        <w:t xml:space="preserve">+ </w:t>
      </w:r>
      <w:r w:rsidR="001A2748" w:rsidRPr="00524D52">
        <w:t>cases</w:t>
      </w:r>
      <w:r w:rsidR="00C20190" w:rsidRPr="00524D52">
        <w:t xml:space="preserve">, </w:t>
      </w:r>
      <w:r w:rsidR="00207D97" w:rsidRPr="00524D52">
        <w:t>11 based on FISH and immunohistochemistry</w:t>
      </w:r>
      <w:r w:rsidR="00207D97">
        <w:t>,</w:t>
      </w:r>
      <w:r w:rsidR="00207D97" w:rsidRPr="00524D52">
        <w:t xml:space="preserve"> </w:t>
      </w:r>
      <w:r w:rsidR="00AD363D" w:rsidRPr="00524D52">
        <w:t xml:space="preserve">three </w:t>
      </w:r>
      <w:r w:rsidR="00C20190" w:rsidRPr="00524D52">
        <w:t xml:space="preserve">based on immunohistochemistry only, and </w:t>
      </w:r>
      <w:r w:rsidR="00771960">
        <w:t>two based on FISH only</w:t>
      </w:r>
      <w:r w:rsidR="005E0C25" w:rsidRPr="00524D52">
        <w:t xml:space="preserve">. </w:t>
      </w:r>
      <w:r w:rsidR="00230FE4" w:rsidRPr="00524D52">
        <w:t>Eight</w:t>
      </w:r>
      <w:r w:rsidR="001A2748" w:rsidRPr="00524D52">
        <w:t xml:space="preserve"> patients</w:t>
      </w:r>
      <w:r w:rsidR="009C4DB0" w:rsidRPr="00524D52">
        <w:t xml:space="preserve"> </w:t>
      </w:r>
      <w:r w:rsidR="003C1014" w:rsidRPr="00524D52">
        <w:t>(</w:t>
      </w:r>
      <w:r w:rsidR="00230FE4" w:rsidRPr="00524D52">
        <w:t>33</w:t>
      </w:r>
      <w:r w:rsidR="000438B8" w:rsidRPr="00524D52">
        <w:t>·</w:t>
      </w:r>
      <w:r w:rsidR="00230FE4" w:rsidRPr="00524D52">
        <w:t>3</w:t>
      </w:r>
      <w:r w:rsidR="003C1014" w:rsidRPr="00524D52">
        <w:t xml:space="preserve">%) </w:t>
      </w:r>
      <w:r w:rsidR="00C20190" w:rsidRPr="00524D52">
        <w:t xml:space="preserve">were </w:t>
      </w:r>
      <w:r w:rsidR="00C20190" w:rsidRPr="00524D52">
        <w:rPr>
          <w:i/>
        </w:rPr>
        <w:t>ALK</w:t>
      </w:r>
      <w:r w:rsidR="00C20190" w:rsidRPr="00524D52">
        <w:t xml:space="preserve">-. </w:t>
      </w:r>
      <w:r w:rsidR="0077640E" w:rsidRPr="00524D52">
        <w:t xml:space="preserve">An overview on the </w:t>
      </w:r>
      <w:r w:rsidR="00771960">
        <w:t>molecular</w:t>
      </w:r>
      <w:r w:rsidR="00771960" w:rsidRPr="00524D52">
        <w:t xml:space="preserve"> </w:t>
      </w:r>
      <w:r w:rsidR="0077640E" w:rsidRPr="00524D52">
        <w:t xml:space="preserve">findings is shown in </w:t>
      </w:r>
      <w:r w:rsidR="0077640E" w:rsidRPr="00524D52">
        <w:rPr>
          <w:u w:val="single"/>
        </w:rPr>
        <w:t xml:space="preserve">table </w:t>
      </w:r>
      <w:r w:rsidR="0082200D" w:rsidRPr="00524D52">
        <w:rPr>
          <w:u w:val="single"/>
        </w:rPr>
        <w:t>1</w:t>
      </w:r>
      <w:r w:rsidR="0077640E" w:rsidRPr="00524D52">
        <w:t>.</w:t>
      </w:r>
      <w:r w:rsidR="0077640E" w:rsidRPr="00524D52">
        <w:rPr>
          <w:rStyle w:val="Hyperlink"/>
          <w:color w:val="auto"/>
          <w:u w:val="none"/>
        </w:rPr>
        <w:t xml:space="preserve"> </w:t>
      </w:r>
    </w:p>
    <w:p w14:paraId="2790FFE6" w14:textId="77777777" w:rsidR="0077640E" w:rsidRPr="00524D52" w:rsidRDefault="0077640E"/>
    <w:p w14:paraId="00B5F512" w14:textId="1A7CC537" w:rsidR="003C1014" w:rsidRPr="00524D52" w:rsidRDefault="00D87A2F">
      <w:r>
        <w:t>R</w:t>
      </w:r>
      <w:r w:rsidR="00C7353A" w:rsidRPr="00524D52">
        <w:t xml:space="preserve">ecruitment to </w:t>
      </w:r>
      <w:r w:rsidR="00DE43B1" w:rsidRPr="00524D52">
        <w:t xml:space="preserve">both the </w:t>
      </w:r>
      <w:r w:rsidR="00C20190" w:rsidRPr="00524D52">
        <w:rPr>
          <w:i/>
        </w:rPr>
        <w:t>ALK</w:t>
      </w:r>
      <w:r w:rsidR="00DE43B1" w:rsidRPr="00524D52">
        <w:t xml:space="preserve">+ and </w:t>
      </w:r>
      <w:r w:rsidR="00C20190" w:rsidRPr="00524D52">
        <w:rPr>
          <w:i/>
        </w:rPr>
        <w:t>ALK</w:t>
      </w:r>
      <w:r w:rsidR="00DE43B1" w:rsidRPr="00524D52">
        <w:t xml:space="preserve">- </w:t>
      </w:r>
      <w:r w:rsidR="00C20190" w:rsidRPr="00524D52">
        <w:t>IMFT</w:t>
      </w:r>
      <w:r w:rsidR="00C7353A" w:rsidRPr="00524D52">
        <w:t xml:space="preserve"> </w:t>
      </w:r>
      <w:r w:rsidR="00DE43B1" w:rsidRPr="00524D52">
        <w:t>sub-</w:t>
      </w:r>
      <w:r w:rsidR="00C7353A" w:rsidRPr="00524D52">
        <w:t>cohort</w:t>
      </w:r>
      <w:r w:rsidR="00DE43B1" w:rsidRPr="00524D52">
        <w:t>s</w:t>
      </w:r>
      <w:r w:rsidR="00C7353A" w:rsidRPr="00524D52">
        <w:t xml:space="preserve"> of </w:t>
      </w:r>
      <w:r w:rsidR="000C13E0" w:rsidRPr="00524D52">
        <w:t xml:space="preserve">EORTC </w:t>
      </w:r>
      <w:r w:rsidR="00280DD4" w:rsidRPr="00524D52">
        <w:t xml:space="preserve">trial </w:t>
      </w:r>
      <w:r w:rsidR="000C13E0" w:rsidRPr="00524D52">
        <w:t>90101</w:t>
      </w:r>
      <w:r w:rsidR="00C7353A" w:rsidRPr="00524D52">
        <w:t xml:space="preserve"> was suspended on </w:t>
      </w:r>
      <w:r w:rsidR="00BD4555" w:rsidRPr="00524D52">
        <w:t>June 30</w:t>
      </w:r>
      <w:r w:rsidR="00C20190" w:rsidRPr="00524D52">
        <w:t>, 2017</w:t>
      </w:r>
      <w:r w:rsidR="00C7353A" w:rsidRPr="00524D52">
        <w:t>.</w:t>
      </w:r>
      <w:r>
        <w:t xml:space="preserve"> The trial was stopped without having reached the recruitment of a maximum of 35 </w:t>
      </w:r>
      <w:r w:rsidRPr="00BD5140">
        <w:rPr>
          <w:i/>
        </w:rPr>
        <w:t>ALK</w:t>
      </w:r>
      <w:r>
        <w:t>+ patients, as patient entry was slow due to the low incidence of IMFT and because both the stage 1 and stage 2 success criteria of the trial were already met (at least 2 objective responses among the first 12 eligible and evaluable patients, and at least 6 responses in the stage 2 population). This pragmatic decision was endorsed</w:t>
      </w:r>
      <w:r w:rsidRPr="00524D52">
        <w:t xml:space="preserve"> by the trial steering committee and the EORTC Independent Data Monitoring Committee</w:t>
      </w:r>
      <w:r>
        <w:t>.</w:t>
      </w:r>
    </w:p>
    <w:p w14:paraId="6AF4BA30" w14:textId="77777777" w:rsidR="0077640E" w:rsidRPr="00524D52" w:rsidRDefault="0077640E"/>
    <w:p w14:paraId="4997C6DD" w14:textId="51B99180" w:rsidR="0077640E" w:rsidRPr="00524D52" w:rsidRDefault="00E80B6C">
      <w:pPr>
        <w:rPr>
          <w:rStyle w:val="Strong"/>
        </w:rPr>
      </w:pPr>
      <w:r w:rsidRPr="00524D52">
        <w:rPr>
          <w:rStyle w:val="Strong"/>
        </w:rPr>
        <w:t>Patient characteristics</w:t>
      </w:r>
    </w:p>
    <w:p w14:paraId="5EB4D6D6" w14:textId="77777777" w:rsidR="0077640E" w:rsidRPr="00524D52" w:rsidRDefault="0077640E"/>
    <w:p w14:paraId="0F0ED0DD" w14:textId="539C9DD0" w:rsidR="0063728F" w:rsidRPr="00524D52" w:rsidRDefault="005E0C25">
      <w:r w:rsidRPr="00524D52">
        <w:t>Among the total group with confirmed diagno</w:t>
      </w:r>
      <w:r w:rsidR="004205DD" w:rsidRPr="00524D52">
        <w:t>sis of IMFT</w:t>
      </w:r>
      <w:r w:rsidRPr="00524D52">
        <w:t xml:space="preserve">, </w:t>
      </w:r>
      <w:r w:rsidR="00085DFD" w:rsidRPr="00524D52">
        <w:t>12</w:t>
      </w:r>
      <w:r w:rsidR="001A1F92" w:rsidRPr="00524D52">
        <w:t xml:space="preserve"> </w:t>
      </w:r>
      <w:r w:rsidRPr="00524D52">
        <w:t xml:space="preserve">patients with </w:t>
      </w:r>
      <w:r w:rsidR="004205DD" w:rsidRPr="00524D52">
        <w:rPr>
          <w:i/>
        </w:rPr>
        <w:t>ALK</w:t>
      </w:r>
      <w:r w:rsidRPr="00524D52">
        <w:t>+ disease were treated</w:t>
      </w:r>
      <w:r w:rsidR="00085DFD" w:rsidRPr="00524D52">
        <w:t xml:space="preserve"> and </w:t>
      </w:r>
      <w:r w:rsidR="008E627A">
        <w:t>8</w:t>
      </w:r>
      <w:r w:rsidR="008E627A" w:rsidRPr="00524D52">
        <w:t xml:space="preserve"> </w:t>
      </w:r>
      <w:r w:rsidRPr="00524D52">
        <w:t xml:space="preserve">patients with </w:t>
      </w:r>
      <w:r w:rsidR="004205DD" w:rsidRPr="00524D52">
        <w:rPr>
          <w:i/>
        </w:rPr>
        <w:t>ALK</w:t>
      </w:r>
      <w:r w:rsidR="004205DD" w:rsidRPr="00524D52">
        <w:t>- IMFT</w:t>
      </w:r>
      <w:r w:rsidRPr="00524D52">
        <w:t xml:space="preserve"> entered the treatment phase.</w:t>
      </w:r>
      <w:r w:rsidR="00653F77" w:rsidRPr="00524D52">
        <w:t xml:space="preserve"> </w:t>
      </w:r>
      <w:r w:rsidR="00824F03" w:rsidRPr="00524D52">
        <w:t>C</w:t>
      </w:r>
      <w:r w:rsidR="0063728F" w:rsidRPr="00524D52">
        <w:t>haracteristics</w:t>
      </w:r>
      <w:r w:rsidR="00824F03" w:rsidRPr="00524D52">
        <w:t xml:space="preserve"> of the </w:t>
      </w:r>
      <w:r w:rsidR="00085DFD" w:rsidRPr="00524D52">
        <w:t>20</w:t>
      </w:r>
      <w:r w:rsidR="0064225B" w:rsidRPr="00524D52">
        <w:t xml:space="preserve"> </w:t>
      </w:r>
      <w:r w:rsidR="00824F03" w:rsidRPr="00524D52">
        <w:t>treated patient</w:t>
      </w:r>
      <w:r w:rsidR="0064225B" w:rsidRPr="00524D52">
        <w:t xml:space="preserve">s </w:t>
      </w:r>
      <w:r w:rsidR="005E0EEE" w:rsidRPr="00524D52">
        <w:t xml:space="preserve">are shown in </w:t>
      </w:r>
      <w:r w:rsidR="005E0EEE" w:rsidRPr="00524D52">
        <w:rPr>
          <w:u w:val="single"/>
        </w:rPr>
        <w:t>t</w:t>
      </w:r>
      <w:r w:rsidR="00DF27C2" w:rsidRPr="00524D52">
        <w:rPr>
          <w:u w:val="single"/>
        </w:rPr>
        <w:t>able 2</w:t>
      </w:r>
      <w:r w:rsidR="00B44E48" w:rsidRPr="00524D52">
        <w:t>.</w:t>
      </w:r>
      <w:r w:rsidR="00B27C1E" w:rsidRPr="00524D52">
        <w:t xml:space="preserve"> </w:t>
      </w:r>
      <w:r w:rsidR="003D7C44" w:rsidRPr="00524D52">
        <w:t xml:space="preserve">The median </w:t>
      </w:r>
      <w:r w:rsidR="00EA2FDF" w:rsidRPr="00524D52">
        <w:t xml:space="preserve">age was </w:t>
      </w:r>
      <w:r w:rsidR="00085DFD" w:rsidRPr="00524D52">
        <w:t>45</w:t>
      </w:r>
      <w:r w:rsidR="00CE60E9" w:rsidRPr="00524D52">
        <w:t>·</w:t>
      </w:r>
      <w:r w:rsidR="00085DFD" w:rsidRPr="00524D52">
        <w:t>5</w:t>
      </w:r>
      <w:r w:rsidR="0092232C" w:rsidRPr="00524D52">
        <w:t xml:space="preserve"> years</w:t>
      </w:r>
      <w:r w:rsidR="00A510A0" w:rsidRPr="00524D52">
        <w:t xml:space="preserve"> (range: </w:t>
      </w:r>
      <w:r w:rsidR="00085DFD" w:rsidRPr="00524D52">
        <w:t>15</w:t>
      </w:r>
      <w:r w:rsidR="00CE60E9" w:rsidRPr="00524D52">
        <w:t>·</w:t>
      </w:r>
      <w:r w:rsidR="00085DFD" w:rsidRPr="00524D52">
        <w:t>0</w:t>
      </w:r>
      <w:r w:rsidR="00CE60E9" w:rsidRPr="00524D52">
        <w:t>-</w:t>
      </w:r>
      <w:r w:rsidR="00085DFD" w:rsidRPr="00524D52">
        <w:t>78</w:t>
      </w:r>
      <w:r w:rsidR="00CE60E9" w:rsidRPr="00524D52">
        <w:t>·</w:t>
      </w:r>
      <w:r w:rsidR="00085DFD" w:rsidRPr="00524D52">
        <w:t>0</w:t>
      </w:r>
      <w:r w:rsidR="00A510A0" w:rsidRPr="00524D52">
        <w:t>)</w:t>
      </w:r>
      <w:r w:rsidR="00EA2FDF" w:rsidRPr="00524D52">
        <w:t xml:space="preserve">, </w:t>
      </w:r>
      <w:r w:rsidR="00085DFD" w:rsidRPr="00524D52">
        <w:t>40</w:t>
      </w:r>
      <w:r w:rsidR="00CE60E9" w:rsidRPr="00524D52">
        <w:t>·</w:t>
      </w:r>
      <w:r w:rsidR="00085DFD" w:rsidRPr="00524D52">
        <w:t>0</w:t>
      </w:r>
      <w:r w:rsidR="00EA2FDF" w:rsidRPr="00524D52">
        <w:t>% (</w:t>
      </w:r>
      <w:r w:rsidR="00085DFD" w:rsidRPr="00524D52">
        <w:t>8/20</w:t>
      </w:r>
      <w:r w:rsidR="00E15BD2" w:rsidRPr="00524D52">
        <w:t xml:space="preserve">) </w:t>
      </w:r>
      <w:r w:rsidR="001651EF" w:rsidRPr="00524D52">
        <w:t>had an ECOG PS</w:t>
      </w:r>
      <w:r w:rsidR="00C368AB" w:rsidRPr="00524D52">
        <w:t xml:space="preserve"> of 1</w:t>
      </w:r>
      <w:r w:rsidR="00AA1589" w:rsidRPr="00524D52">
        <w:t xml:space="preserve">, </w:t>
      </w:r>
      <w:r w:rsidR="00085DFD" w:rsidRPr="00524D52">
        <w:t>half of the patients</w:t>
      </w:r>
      <w:r w:rsidR="004205DD" w:rsidRPr="00524D52">
        <w:t xml:space="preserve"> had prior </w:t>
      </w:r>
      <w:r w:rsidR="00085DFD" w:rsidRPr="00524D52">
        <w:t xml:space="preserve">major </w:t>
      </w:r>
      <w:r w:rsidR="001651EF" w:rsidRPr="00524D52">
        <w:t xml:space="preserve">surgery </w:t>
      </w:r>
      <w:r w:rsidR="00AA1589" w:rsidRPr="00524D52">
        <w:t xml:space="preserve">but only </w:t>
      </w:r>
      <w:r w:rsidR="00085DFD" w:rsidRPr="00524D52">
        <w:t>40</w:t>
      </w:r>
      <w:r w:rsidR="00E009D8" w:rsidRPr="00524D52">
        <w:t>·</w:t>
      </w:r>
      <w:r w:rsidR="00085DFD" w:rsidRPr="00524D52">
        <w:t>0</w:t>
      </w:r>
      <w:r w:rsidR="00AA1589" w:rsidRPr="00524D52">
        <w:t>% (</w:t>
      </w:r>
      <w:r w:rsidR="00085DFD" w:rsidRPr="00524D52">
        <w:t>8</w:t>
      </w:r>
      <w:r w:rsidR="004205DD" w:rsidRPr="00524D52">
        <w:t>/</w:t>
      </w:r>
      <w:r w:rsidR="00085DFD" w:rsidRPr="00524D52">
        <w:t>20</w:t>
      </w:r>
      <w:r w:rsidR="005F4D86" w:rsidRPr="00524D52">
        <w:t>) h</w:t>
      </w:r>
      <w:r w:rsidR="00AA1589" w:rsidRPr="00524D52">
        <w:t>ad received prior systemic therapy</w:t>
      </w:r>
      <w:r w:rsidR="006E4DAD" w:rsidRPr="00524D52">
        <w:t>,</w:t>
      </w:r>
      <w:r w:rsidR="001651EF" w:rsidRPr="00524D52">
        <w:t xml:space="preserve"> the latter</w:t>
      </w:r>
      <w:r w:rsidR="006E4DAD" w:rsidRPr="00524D52">
        <w:t xml:space="preserve"> illustrating the limited </w:t>
      </w:r>
      <w:r w:rsidR="0064225B" w:rsidRPr="00524D52">
        <w:t xml:space="preserve">systemic </w:t>
      </w:r>
      <w:r w:rsidR="006E4DAD" w:rsidRPr="00524D52">
        <w:t>treatment options for this malignancy</w:t>
      </w:r>
      <w:r w:rsidR="00C368AB" w:rsidRPr="00524D52">
        <w:t xml:space="preserve">. </w:t>
      </w:r>
      <w:r w:rsidR="0054171D" w:rsidRPr="00524D52">
        <w:t xml:space="preserve"> </w:t>
      </w:r>
      <w:r w:rsidR="00E67ECE" w:rsidRPr="00524D52">
        <w:t xml:space="preserve">Prior systemic treatments </w:t>
      </w:r>
      <w:r w:rsidR="0054171D" w:rsidRPr="00524D52">
        <w:t xml:space="preserve">in these patients mainly </w:t>
      </w:r>
      <w:r w:rsidR="00E67ECE" w:rsidRPr="00524D52">
        <w:t>included</w:t>
      </w:r>
      <w:r w:rsidR="00D65912" w:rsidRPr="00524D52">
        <w:t xml:space="preserve"> </w:t>
      </w:r>
      <w:r w:rsidR="0054171D" w:rsidRPr="00524D52">
        <w:t>doxorubicin/ifosfamide-</w:t>
      </w:r>
      <w:r w:rsidR="00D65912" w:rsidRPr="00524D52">
        <w:t>based chemotherapy</w:t>
      </w:r>
      <w:r w:rsidR="0054171D" w:rsidRPr="00524D52">
        <w:t xml:space="preserve"> </w:t>
      </w:r>
      <w:r w:rsidR="00D65912" w:rsidRPr="00524D52">
        <w:t>combinations</w:t>
      </w:r>
      <w:r w:rsidR="0054171D" w:rsidRPr="00524D52">
        <w:t xml:space="preserve"> (</w:t>
      </w:r>
      <w:r w:rsidR="008E627A">
        <w:t>5</w:t>
      </w:r>
      <w:r w:rsidR="008E627A" w:rsidRPr="00524D52">
        <w:t xml:space="preserve"> </w:t>
      </w:r>
      <w:r w:rsidR="0054171D" w:rsidRPr="00524D52">
        <w:t xml:space="preserve">patients) and single cases of treatments with trabectedin, gemcitabine/docetaxel, pazopanib, carboplatinum/paclitaxel, trofosfamide, single-agent doxorubicin and some experimental agents. The only documented objective response to prior chemotherapy </w:t>
      </w:r>
      <w:r w:rsidR="000438B8" w:rsidRPr="00524D52">
        <w:t xml:space="preserve">among </w:t>
      </w:r>
      <w:r w:rsidR="008E627A">
        <w:t>8</w:t>
      </w:r>
      <w:r w:rsidR="008E627A" w:rsidRPr="00524D52">
        <w:t xml:space="preserve"> </w:t>
      </w:r>
      <w:r w:rsidR="000438B8" w:rsidRPr="00524D52">
        <w:t xml:space="preserve">treated cases </w:t>
      </w:r>
      <w:r w:rsidR="0054171D" w:rsidRPr="00524D52">
        <w:t xml:space="preserve">was a </w:t>
      </w:r>
      <w:r w:rsidR="000438B8" w:rsidRPr="00524D52">
        <w:t xml:space="preserve">single </w:t>
      </w:r>
      <w:r w:rsidR="0054171D" w:rsidRPr="00524D52">
        <w:t xml:space="preserve">PR in an </w:t>
      </w:r>
      <w:r w:rsidR="0054171D" w:rsidRPr="00524D52">
        <w:rPr>
          <w:i/>
        </w:rPr>
        <w:t>ALK</w:t>
      </w:r>
      <w:r w:rsidR="0054171D" w:rsidRPr="00524D52">
        <w:t>+ patient</w:t>
      </w:r>
      <w:r w:rsidR="00D65912" w:rsidRPr="00524D52">
        <w:t xml:space="preserve"> </w:t>
      </w:r>
      <w:r w:rsidR="0054171D" w:rsidRPr="00524D52">
        <w:t>who responded to doxorubicin/ifosfamide.</w:t>
      </w:r>
    </w:p>
    <w:p w14:paraId="466F6F8C" w14:textId="77777777" w:rsidR="000C07A6" w:rsidRPr="00524D52" w:rsidRDefault="000C07A6"/>
    <w:p w14:paraId="608E61DC" w14:textId="77777777" w:rsidR="00C93503" w:rsidRPr="00524D52" w:rsidRDefault="00C93503">
      <w:pPr>
        <w:rPr>
          <w:rStyle w:val="Strong"/>
        </w:rPr>
      </w:pPr>
      <w:r w:rsidRPr="00524D52">
        <w:rPr>
          <w:rStyle w:val="Strong"/>
        </w:rPr>
        <w:t>Crizotinib treatment</w:t>
      </w:r>
    </w:p>
    <w:p w14:paraId="514D21B8" w14:textId="77777777" w:rsidR="00C93503" w:rsidRPr="00524D52" w:rsidRDefault="00C93503"/>
    <w:p w14:paraId="5123F2DC" w14:textId="0BC99A68" w:rsidR="00E15BD2" w:rsidRPr="00524D52" w:rsidRDefault="00EA2FDF">
      <w:r w:rsidRPr="00524D52">
        <w:t xml:space="preserve">As of </w:t>
      </w:r>
      <w:r w:rsidR="00085DFD" w:rsidRPr="00524D52">
        <w:t>November 09,</w:t>
      </w:r>
      <w:r w:rsidR="00A807B7" w:rsidRPr="00524D52">
        <w:t xml:space="preserve"> 2017</w:t>
      </w:r>
      <w:r w:rsidR="007C5043" w:rsidRPr="00524D52">
        <w:t>,</w:t>
      </w:r>
      <w:r w:rsidR="00E15BD2" w:rsidRPr="00524D52">
        <w:t xml:space="preserve"> and with a median follow-up of </w:t>
      </w:r>
      <w:r w:rsidR="009F3AB1" w:rsidRPr="00524D52">
        <w:t>863</w:t>
      </w:r>
      <w:r w:rsidR="00A807B7" w:rsidRPr="00524D52">
        <w:t xml:space="preserve"> </w:t>
      </w:r>
      <w:r w:rsidRPr="00524D52">
        <w:t>days</w:t>
      </w:r>
      <w:r w:rsidR="00A807B7" w:rsidRPr="00524D52">
        <w:t xml:space="preserve"> (range </w:t>
      </w:r>
      <w:r w:rsidR="00085DFD" w:rsidRPr="00524D52">
        <w:t>168-1438</w:t>
      </w:r>
      <w:r w:rsidR="009F3AB1" w:rsidRPr="00524D52">
        <w:t xml:space="preserve"> days</w:t>
      </w:r>
      <w:r w:rsidR="00433573" w:rsidRPr="00524D52">
        <w:t>)</w:t>
      </w:r>
      <w:r w:rsidR="00085DFD" w:rsidRPr="00524D52">
        <w:t xml:space="preserve"> </w:t>
      </w:r>
      <w:r w:rsidR="000438B8" w:rsidRPr="00524D52">
        <w:t>in the</w:t>
      </w:r>
      <w:r w:rsidR="00085DFD" w:rsidRPr="00524D52">
        <w:t xml:space="preserve"> treated patients</w:t>
      </w:r>
      <w:r w:rsidR="00E15BD2" w:rsidRPr="00524D52">
        <w:t xml:space="preserve">, </w:t>
      </w:r>
      <w:r w:rsidR="00085DFD" w:rsidRPr="00524D52">
        <w:t>35</w:t>
      </w:r>
      <w:r w:rsidR="000438B8" w:rsidRPr="00524D52">
        <w:t>·</w:t>
      </w:r>
      <w:r w:rsidR="00085DFD" w:rsidRPr="00524D52">
        <w:t>0</w:t>
      </w:r>
      <w:r w:rsidRPr="00524D52">
        <w:t>% (</w:t>
      </w:r>
      <w:r w:rsidR="00085DFD" w:rsidRPr="00524D52">
        <w:t>7/20</w:t>
      </w:r>
      <w:r w:rsidR="000438B8" w:rsidRPr="00524D52">
        <w:t xml:space="preserve">) </w:t>
      </w:r>
      <w:r w:rsidR="00CC0819" w:rsidRPr="00524D52">
        <w:t>we</w:t>
      </w:r>
      <w:r w:rsidR="00313BC0" w:rsidRPr="00524D52">
        <w:t>re</w:t>
      </w:r>
      <w:r w:rsidR="00E63740" w:rsidRPr="00524D52">
        <w:t xml:space="preserve"> still receiving active treatment.</w:t>
      </w:r>
      <w:r w:rsidR="005143C5" w:rsidRPr="00524D52">
        <w:t xml:space="preserve"> </w:t>
      </w:r>
      <w:r w:rsidR="0082200D" w:rsidRPr="00524D52">
        <w:t xml:space="preserve">The mean relative dose intensity achieved was </w:t>
      </w:r>
      <w:r w:rsidR="004012C2" w:rsidRPr="00524D52">
        <w:t>94</w:t>
      </w:r>
      <w:r w:rsidR="00E009D8" w:rsidRPr="00524D52">
        <w:t>·</w:t>
      </w:r>
      <w:r w:rsidR="004012C2" w:rsidRPr="00524D52">
        <w:t>4</w:t>
      </w:r>
      <w:r w:rsidR="00433573" w:rsidRPr="00524D52">
        <w:t xml:space="preserve">%, with </w:t>
      </w:r>
      <w:r w:rsidR="00783307">
        <w:t>5</w:t>
      </w:r>
      <w:r w:rsidR="00783307" w:rsidRPr="00524D52">
        <w:t xml:space="preserve"> </w:t>
      </w:r>
      <w:r w:rsidR="00433573" w:rsidRPr="00524D52">
        <w:t xml:space="preserve">out of </w:t>
      </w:r>
      <w:r w:rsidR="009F3AB1" w:rsidRPr="00524D52">
        <w:t>20</w:t>
      </w:r>
      <w:r w:rsidR="00433573" w:rsidRPr="00524D52">
        <w:t xml:space="preserve"> treated patients (</w:t>
      </w:r>
      <w:r w:rsidR="009F3AB1" w:rsidRPr="00524D52">
        <w:t>25</w:t>
      </w:r>
      <w:r w:rsidR="000438B8" w:rsidRPr="00524D52">
        <w:t>·</w:t>
      </w:r>
      <w:r w:rsidR="009F3AB1" w:rsidRPr="00524D52">
        <w:t>0</w:t>
      </w:r>
      <w:r w:rsidR="0082200D" w:rsidRPr="00524D52">
        <w:t xml:space="preserve">%) requiring dose reductions or dose </w:t>
      </w:r>
      <w:r w:rsidR="00E73254" w:rsidRPr="00524D52">
        <w:t>interruption</w:t>
      </w:r>
      <w:r w:rsidR="0082200D" w:rsidRPr="00524D52">
        <w:t xml:space="preserve">. </w:t>
      </w:r>
      <w:r w:rsidR="003B34E7" w:rsidRPr="00524D52">
        <w:t xml:space="preserve">The total treatment duration </w:t>
      </w:r>
      <w:r w:rsidR="009001E0" w:rsidRPr="00524D52">
        <w:t>ranged</w:t>
      </w:r>
      <w:r w:rsidR="003B34E7" w:rsidRPr="00524D52">
        <w:t xml:space="preserve"> from </w:t>
      </w:r>
      <w:r w:rsidR="004012C2" w:rsidRPr="00524D52">
        <w:t>1</w:t>
      </w:r>
      <w:r w:rsidR="000438B8" w:rsidRPr="00524D52">
        <w:t>·</w:t>
      </w:r>
      <w:r w:rsidR="004012C2" w:rsidRPr="00524D52">
        <w:t>3</w:t>
      </w:r>
      <w:r w:rsidR="003B34E7" w:rsidRPr="00524D52">
        <w:t xml:space="preserve"> to </w:t>
      </w:r>
      <w:r w:rsidR="004012C2" w:rsidRPr="00524D52">
        <w:t>28</w:t>
      </w:r>
      <w:r w:rsidR="000438B8" w:rsidRPr="00524D52">
        <w:t>·</w:t>
      </w:r>
      <w:r w:rsidR="004012C2" w:rsidRPr="00524D52">
        <w:t>3</w:t>
      </w:r>
      <w:r w:rsidR="003B34E7" w:rsidRPr="00524D52">
        <w:t xml:space="preserve"> </w:t>
      </w:r>
      <w:r w:rsidR="004012C2" w:rsidRPr="00524D52">
        <w:t>months</w:t>
      </w:r>
      <w:r w:rsidR="003B34E7" w:rsidRPr="00524D52">
        <w:t xml:space="preserve">, with a median duration of </w:t>
      </w:r>
      <w:r w:rsidR="004012C2" w:rsidRPr="00524D52">
        <w:t>7</w:t>
      </w:r>
      <w:r w:rsidR="000438B8" w:rsidRPr="00524D52">
        <w:t>·</w:t>
      </w:r>
      <w:r w:rsidR="004012C2" w:rsidRPr="00524D52">
        <w:t xml:space="preserve">2 </w:t>
      </w:r>
      <w:r w:rsidR="003B34E7" w:rsidRPr="00524D52">
        <w:t xml:space="preserve">and </w:t>
      </w:r>
      <w:r w:rsidR="004012C2" w:rsidRPr="00524D52">
        <w:t>4</w:t>
      </w:r>
      <w:r w:rsidR="000438B8" w:rsidRPr="00524D52">
        <w:t>·</w:t>
      </w:r>
      <w:r w:rsidR="004012C2" w:rsidRPr="00524D52">
        <w:t>1</w:t>
      </w:r>
      <w:r w:rsidR="003B34E7" w:rsidRPr="00524D52">
        <w:t xml:space="preserve"> </w:t>
      </w:r>
      <w:r w:rsidR="004012C2" w:rsidRPr="00524D52">
        <w:t>months</w:t>
      </w:r>
      <w:r w:rsidR="003B34E7" w:rsidRPr="00524D52">
        <w:t xml:space="preserve"> in the </w:t>
      </w:r>
      <w:r w:rsidR="00433573" w:rsidRPr="00524D52">
        <w:rPr>
          <w:i/>
        </w:rPr>
        <w:t>ALK</w:t>
      </w:r>
      <w:r w:rsidR="004012C2" w:rsidRPr="00524D52">
        <w:t>+ and</w:t>
      </w:r>
      <w:r w:rsidR="003B34E7" w:rsidRPr="00524D52">
        <w:t xml:space="preserve"> </w:t>
      </w:r>
      <w:r w:rsidR="00433573" w:rsidRPr="00524D52">
        <w:rPr>
          <w:i/>
        </w:rPr>
        <w:t>ALK</w:t>
      </w:r>
      <w:r w:rsidR="004012C2" w:rsidRPr="00524D52">
        <w:t>-</w:t>
      </w:r>
      <w:r w:rsidR="003B34E7" w:rsidRPr="00524D52">
        <w:t xml:space="preserve"> population</w:t>
      </w:r>
      <w:r w:rsidR="00F36B28" w:rsidRPr="00524D52">
        <w:t>s</w:t>
      </w:r>
      <w:r w:rsidR="003B34E7" w:rsidRPr="00524D52">
        <w:t>, respectively</w:t>
      </w:r>
      <w:r w:rsidR="00E5172E" w:rsidRPr="00524D52">
        <w:t>.</w:t>
      </w:r>
      <w:r w:rsidR="002150AF" w:rsidRPr="00524D52">
        <w:t xml:space="preserve"> </w:t>
      </w:r>
      <w:r w:rsidR="00CC0819" w:rsidRPr="00524D52">
        <w:t>A total of</w:t>
      </w:r>
      <w:r w:rsidR="004012C2" w:rsidRPr="00524D52">
        <w:t xml:space="preserve"> </w:t>
      </w:r>
      <w:r w:rsidR="00783307">
        <w:t>9</w:t>
      </w:r>
      <w:r w:rsidR="00783307" w:rsidRPr="00524D52">
        <w:t xml:space="preserve"> </w:t>
      </w:r>
      <w:r w:rsidR="005143C5" w:rsidRPr="00524D52">
        <w:t>patients came off study due to disease progression</w:t>
      </w:r>
      <w:r w:rsidR="004012C2" w:rsidRPr="00524D52">
        <w:t xml:space="preserve"> (</w:t>
      </w:r>
      <w:r w:rsidR="00783307">
        <w:t>6</w:t>
      </w:r>
      <w:r w:rsidR="00783307" w:rsidRPr="00524D52">
        <w:t xml:space="preserve"> </w:t>
      </w:r>
      <w:r w:rsidR="004012C2" w:rsidRPr="00524D52">
        <w:t xml:space="preserve">with radiological evidence, </w:t>
      </w:r>
      <w:r w:rsidR="00783307">
        <w:t>3</w:t>
      </w:r>
      <w:r w:rsidR="00783307" w:rsidRPr="00524D52">
        <w:t xml:space="preserve"> </w:t>
      </w:r>
      <w:r w:rsidR="004012C2" w:rsidRPr="00524D52">
        <w:t>without)</w:t>
      </w:r>
      <w:r w:rsidR="005143C5" w:rsidRPr="00524D52">
        <w:t xml:space="preserve">, </w:t>
      </w:r>
      <w:r w:rsidR="00625DDB" w:rsidRPr="00524D52">
        <w:t xml:space="preserve">one </w:t>
      </w:r>
      <w:r w:rsidR="005143C5" w:rsidRPr="00524D52">
        <w:t xml:space="preserve">due to adverse events, </w:t>
      </w:r>
      <w:r w:rsidR="009F1965" w:rsidRPr="00524D52">
        <w:t xml:space="preserve">two </w:t>
      </w:r>
      <w:r w:rsidR="004012C2" w:rsidRPr="00524D52">
        <w:t>due to patient’s decision,</w:t>
      </w:r>
      <w:r w:rsidR="00AA55D4" w:rsidRPr="00524D52">
        <w:t xml:space="preserve"> </w:t>
      </w:r>
      <w:r w:rsidR="005143C5" w:rsidRPr="00524D52">
        <w:t xml:space="preserve">and </w:t>
      </w:r>
      <w:r w:rsidR="009F1965" w:rsidRPr="00524D52">
        <w:t xml:space="preserve">one </w:t>
      </w:r>
      <w:r w:rsidR="004012C2" w:rsidRPr="00524D52">
        <w:t>due to surgery</w:t>
      </w:r>
      <w:r w:rsidR="0082200D" w:rsidRPr="00524D52">
        <w:t xml:space="preserve"> (</w:t>
      </w:r>
      <w:r w:rsidR="0082200D" w:rsidRPr="00524D52">
        <w:rPr>
          <w:u w:val="single"/>
        </w:rPr>
        <w:t xml:space="preserve">table </w:t>
      </w:r>
      <w:r w:rsidR="0036416F" w:rsidRPr="00524D52">
        <w:rPr>
          <w:u w:val="single"/>
        </w:rPr>
        <w:t>3</w:t>
      </w:r>
      <w:r w:rsidR="0082200D" w:rsidRPr="00524D52">
        <w:t>)</w:t>
      </w:r>
      <w:r w:rsidR="00AA55D4" w:rsidRPr="00524D52">
        <w:rPr>
          <w:rStyle w:val="Hyperlink"/>
          <w:color w:val="auto"/>
          <w:u w:val="none"/>
        </w:rPr>
        <w:t>.</w:t>
      </w:r>
    </w:p>
    <w:p w14:paraId="315F460B" w14:textId="77777777" w:rsidR="00D27A11" w:rsidRPr="00524D52" w:rsidRDefault="00D27A11"/>
    <w:p w14:paraId="66A52C01" w14:textId="77777777" w:rsidR="003B34E7" w:rsidRPr="00524D52" w:rsidRDefault="003B34E7">
      <w:pPr>
        <w:rPr>
          <w:rStyle w:val="Strong"/>
        </w:rPr>
      </w:pPr>
      <w:r w:rsidRPr="00524D52">
        <w:rPr>
          <w:rStyle w:val="Strong"/>
        </w:rPr>
        <w:t>Activity of crizotinib</w:t>
      </w:r>
    </w:p>
    <w:p w14:paraId="69961022" w14:textId="77777777" w:rsidR="00D27A11" w:rsidRPr="00524D52" w:rsidRDefault="00D27A11"/>
    <w:p w14:paraId="3CF5C62A" w14:textId="50353929" w:rsidR="0064225B" w:rsidRPr="00524D52" w:rsidRDefault="009C0551">
      <w:r w:rsidRPr="00524D52">
        <w:t>O</w:t>
      </w:r>
      <w:r w:rsidR="003B34E7" w:rsidRPr="00524D52">
        <w:t xml:space="preserve">bjective </w:t>
      </w:r>
      <w:r w:rsidR="004012C2" w:rsidRPr="00524D52">
        <w:t xml:space="preserve">confirmed </w:t>
      </w:r>
      <w:r w:rsidR="003B34E7" w:rsidRPr="00524D52">
        <w:t>responses</w:t>
      </w:r>
      <w:r w:rsidR="00783307">
        <w:t xml:space="preserve"> (CR and PR)</w:t>
      </w:r>
      <w:r w:rsidR="003B34E7" w:rsidRPr="00524D52">
        <w:t xml:space="preserve"> </w:t>
      </w:r>
      <w:r w:rsidR="0064225B" w:rsidRPr="00524D52">
        <w:t xml:space="preserve">were observed in </w:t>
      </w:r>
      <w:r w:rsidR="00881BED" w:rsidRPr="00524D52">
        <w:t xml:space="preserve">six </w:t>
      </w:r>
      <w:r w:rsidR="00657397" w:rsidRPr="00524D52">
        <w:t>out of 12</w:t>
      </w:r>
      <w:r w:rsidR="008B4227" w:rsidRPr="00524D52">
        <w:t xml:space="preserve"> </w:t>
      </w:r>
      <w:r w:rsidR="00657397" w:rsidRPr="00524D52">
        <w:rPr>
          <w:i/>
        </w:rPr>
        <w:t>ALK</w:t>
      </w:r>
      <w:r w:rsidR="008B4227" w:rsidRPr="00524D52">
        <w:t xml:space="preserve">+ patients </w:t>
      </w:r>
      <w:r w:rsidR="00221CB4" w:rsidRPr="00524D52">
        <w:t>(</w:t>
      </w:r>
      <w:r w:rsidR="00657397" w:rsidRPr="00524D52">
        <w:t>50</w:t>
      </w:r>
      <w:r w:rsidR="000438B8" w:rsidRPr="00524D52">
        <w:t>·</w:t>
      </w:r>
      <w:r w:rsidR="00657397" w:rsidRPr="00524D52">
        <w:t>0</w:t>
      </w:r>
      <w:r w:rsidR="00221CB4" w:rsidRPr="00524D52">
        <w:t>%</w:t>
      </w:r>
      <w:r w:rsidR="000075B4" w:rsidRPr="00524D52">
        <w:t xml:space="preserve"> </w:t>
      </w:r>
      <w:r w:rsidRPr="00524D52">
        <w:t>ORR</w:t>
      </w:r>
      <w:r w:rsidR="00221CB4" w:rsidRPr="00524D52">
        <w:t>; 95% confidence interval</w:t>
      </w:r>
      <w:r w:rsidR="00266998" w:rsidRPr="00524D52">
        <w:t xml:space="preserve"> (CI)</w:t>
      </w:r>
      <w:r w:rsidR="000F2C04" w:rsidRPr="00524D52">
        <w:t xml:space="preserve"> </w:t>
      </w:r>
      <w:r w:rsidR="00657397" w:rsidRPr="00524D52">
        <w:t>21</w:t>
      </w:r>
      <w:r w:rsidR="000438B8" w:rsidRPr="00524D52">
        <w:t>·</w:t>
      </w:r>
      <w:r w:rsidR="00657397" w:rsidRPr="00524D52">
        <w:t>1-78</w:t>
      </w:r>
      <w:r w:rsidR="000438B8" w:rsidRPr="00524D52">
        <w:t>·</w:t>
      </w:r>
      <w:r w:rsidR="00657397" w:rsidRPr="00524D52">
        <w:t>9</w:t>
      </w:r>
      <w:r w:rsidR="00710C76" w:rsidRPr="00524D52">
        <w:t>%</w:t>
      </w:r>
      <w:r w:rsidR="00657397" w:rsidRPr="00524D52">
        <w:t>) and</w:t>
      </w:r>
      <w:r w:rsidR="00221CB4" w:rsidRPr="00524D52">
        <w:t xml:space="preserve"> </w:t>
      </w:r>
      <w:r w:rsidR="008B4227" w:rsidRPr="00524D52">
        <w:t xml:space="preserve">in </w:t>
      </w:r>
      <w:r w:rsidRPr="00524D52">
        <w:t>one</w:t>
      </w:r>
      <w:r w:rsidR="003C1014" w:rsidRPr="00524D52">
        <w:t xml:space="preserve"> out of</w:t>
      </w:r>
      <w:r w:rsidR="00221CB4" w:rsidRPr="00524D52">
        <w:t xml:space="preserve"> </w:t>
      </w:r>
      <w:r w:rsidR="00881BED" w:rsidRPr="00524D52">
        <w:t xml:space="preserve">seven </w:t>
      </w:r>
      <w:r w:rsidR="004F5FB4" w:rsidRPr="00524D52">
        <w:rPr>
          <w:i/>
        </w:rPr>
        <w:t>ALK</w:t>
      </w:r>
      <w:r w:rsidR="00221CB4" w:rsidRPr="00524D52">
        <w:t>- patients</w:t>
      </w:r>
      <w:r w:rsidR="003C1014" w:rsidRPr="00524D52">
        <w:t xml:space="preserve"> </w:t>
      </w:r>
      <w:r w:rsidR="00221CB4" w:rsidRPr="00524D52">
        <w:t>(</w:t>
      </w:r>
      <w:r w:rsidR="00657397" w:rsidRPr="00524D52">
        <w:t>14</w:t>
      </w:r>
      <w:r w:rsidR="000438B8" w:rsidRPr="00524D52">
        <w:t>·</w:t>
      </w:r>
      <w:r w:rsidR="00657397" w:rsidRPr="00524D52">
        <w:t>3</w:t>
      </w:r>
      <w:r w:rsidR="00266998" w:rsidRPr="00524D52">
        <w:t>%; 95% CI</w:t>
      </w:r>
      <w:r w:rsidR="00657397" w:rsidRPr="00524D52">
        <w:t xml:space="preserve"> 0</w:t>
      </w:r>
      <w:r w:rsidR="000438B8" w:rsidRPr="00524D52">
        <w:t>·</w:t>
      </w:r>
      <w:r w:rsidR="00657397" w:rsidRPr="00524D52">
        <w:t>0</w:t>
      </w:r>
      <w:r w:rsidR="00221CB4" w:rsidRPr="00524D52">
        <w:t>-</w:t>
      </w:r>
      <w:r w:rsidR="00657397" w:rsidRPr="00524D52">
        <w:t>57</w:t>
      </w:r>
      <w:r w:rsidR="000438B8" w:rsidRPr="00524D52">
        <w:t>·</w:t>
      </w:r>
      <w:r w:rsidR="00657397" w:rsidRPr="00524D52">
        <w:t>9)</w:t>
      </w:r>
      <w:r w:rsidR="00BD21A6" w:rsidRPr="00524D52">
        <w:t>.</w:t>
      </w:r>
      <w:r w:rsidR="004012C2" w:rsidRPr="00524D52">
        <w:t xml:space="preserve"> One </w:t>
      </w:r>
      <w:r w:rsidR="004012C2" w:rsidRPr="00524D52">
        <w:rPr>
          <w:i/>
        </w:rPr>
        <w:t>ALK</w:t>
      </w:r>
      <w:r w:rsidR="004012C2" w:rsidRPr="00524D52">
        <w:t xml:space="preserve">+ patient had </w:t>
      </w:r>
      <w:r w:rsidR="000438B8" w:rsidRPr="00524D52">
        <w:t>a non-confirmed PR</w:t>
      </w:r>
      <w:r w:rsidR="004012C2" w:rsidRPr="00524D52">
        <w:t>.</w:t>
      </w:r>
    </w:p>
    <w:p w14:paraId="3BBFFC9E" w14:textId="77777777" w:rsidR="00BD21A6" w:rsidRPr="00524D52" w:rsidRDefault="00BD21A6"/>
    <w:p w14:paraId="1C062643" w14:textId="5B3FF477" w:rsidR="00BD21A6" w:rsidRPr="00524D52" w:rsidRDefault="00BD21A6">
      <w:r w:rsidRPr="00524D52">
        <w:t xml:space="preserve">RECIST SD as best response was observed in </w:t>
      </w:r>
      <w:r w:rsidR="00783307">
        <w:t>5</w:t>
      </w:r>
      <w:r w:rsidR="00783307" w:rsidRPr="00524D52">
        <w:t xml:space="preserve"> </w:t>
      </w:r>
      <w:r w:rsidR="004F5FB4" w:rsidRPr="00524D52">
        <w:t xml:space="preserve">out of </w:t>
      </w:r>
      <w:r w:rsidR="004012C2" w:rsidRPr="00524D52">
        <w:t>12</w:t>
      </w:r>
      <w:r w:rsidRPr="00524D52">
        <w:t xml:space="preserve"> </w:t>
      </w:r>
      <w:r w:rsidR="004F5FB4" w:rsidRPr="00524D52">
        <w:rPr>
          <w:i/>
        </w:rPr>
        <w:t>ALK</w:t>
      </w:r>
      <w:r w:rsidRPr="00524D52">
        <w:t>+ patients (</w:t>
      </w:r>
      <w:r w:rsidR="00B2687E">
        <w:t>4</w:t>
      </w:r>
      <w:r w:rsidR="004012C2" w:rsidRPr="00524D52">
        <w:t>1</w:t>
      </w:r>
      <w:r w:rsidR="005A575E" w:rsidRPr="00524D52">
        <w:t>·</w:t>
      </w:r>
      <w:r w:rsidR="00B2687E">
        <w:t>7</w:t>
      </w:r>
      <w:r w:rsidR="00710C76" w:rsidRPr="00524D52">
        <w:t>%</w:t>
      </w:r>
      <w:r w:rsidR="004012C2" w:rsidRPr="00524D52">
        <w:t>) and</w:t>
      </w:r>
      <w:r w:rsidRPr="00524D52">
        <w:t xml:space="preserve"> in </w:t>
      </w:r>
      <w:r w:rsidR="00783307">
        <w:t>5</w:t>
      </w:r>
      <w:r w:rsidR="00783307" w:rsidRPr="00524D52">
        <w:t xml:space="preserve"> </w:t>
      </w:r>
      <w:r w:rsidRPr="00524D52">
        <w:t xml:space="preserve">out of </w:t>
      </w:r>
      <w:r w:rsidR="00D16372" w:rsidRPr="00524D52">
        <w:t xml:space="preserve">seven </w:t>
      </w:r>
      <w:r w:rsidR="004F5FB4" w:rsidRPr="00524D52">
        <w:rPr>
          <w:i/>
        </w:rPr>
        <w:t>ALK</w:t>
      </w:r>
      <w:r w:rsidRPr="00524D52">
        <w:t>- patients (</w:t>
      </w:r>
      <w:r w:rsidR="00B2687E">
        <w:t>7</w:t>
      </w:r>
      <w:r w:rsidR="004012C2" w:rsidRPr="00524D52">
        <w:t>1</w:t>
      </w:r>
      <w:r w:rsidR="005A575E" w:rsidRPr="00524D52">
        <w:t>·</w:t>
      </w:r>
      <w:r w:rsidR="00B2687E">
        <w:t>4</w:t>
      </w:r>
      <w:r w:rsidR="00710C76" w:rsidRPr="00524D52">
        <w:t>%</w:t>
      </w:r>
      <w:r w:rsidR="004012C2" w:rsidRPr="00524D52">
        <w:t xml:space="preserve">). </w:t>
      </w:r>
      <w:r w:rsidRPr="00524D52">
        <w:t xml:space="preserve">Disease progression </w:t>
      </w:r>
      <w:r w:rsidR="001D49B6" w:rsidRPr="00524D52">
        <w:t xml:space="preserve">as best response </w:t>
      </w:r>
      <w:r w:rsidR="003B34E7" w:rsidRPr="00524D52">
        <w:t>w</w:t>
      </w:r>
      <w:r w:rsidRPr="00524D52">
        <w:t xml:space="preserve">as </w:t>
      </w:r>
      <w:r w:rsidR="009C0551" w:rsidRPr="00524D52">
        <w:t>seen</w:t>
      </w:r>
      <w:r w:rsidR="003B34E7" w:rsidRPr="00524D52">
        <w:t xml:space="preserve"> </w:t>
      </w:r>
      <w:r w:rsidRPr="00524D52">
        <w:t xml:space="preserve">in </w:t>
      </w:r>
      <w:r w:rsidR="00783307">
        <w:t>1</w:t>
      </w:r>
      <w:r w:rsidR="00783307" w:rsidRPr="00524D52">
        <w:t xml:space="preserve"> </w:t>
      </w:r>
      <w:r w:rsidR="004F5FB4" w:rsidRPr="00524D52">
        <w:t xml:space="preserve">out of </w:t>
      </w:r>
      <w:r w:rsidR="00783307">
        <w:t>7</w:t>
      </w:r>
      <w:r w:rsidR="00783307" w:rsidRPr="00524D52">
        <w:t xml:space="preserve"> </w:t>
      </w:r>
      <w:r w:rsidR="004F5FB4" w:rsidRPr="00524D52">
        <w:rPr>
          <w:i/>
        </w:rPr>
        <w:t>ALK</w:t>
      </w:r>
      <w:r w:rsidR="004012C2" w:rsidRPr="00524D52">
        <w:t>-</w:t>
      </w:r>
      <w:r w:rsidRPr="00524D52">
        <w:t xml:space="preserve"> patients (</w:t>
      </w:r>
      <w:r w:rsidR="004012C2" w:rsidRPr="00524D52">
        <w:t>14</w:t>
      </w:r>
      <w:r w:rsidR="005A575E" w:rsidRPr="00524D52">
        <w:t>·</w:t>
      </w:r>
      <w:r w:rsidR="004012C2" w:rsidRPr="00524D52">
        <w:t>3</w:t>
      </w:r>
      <w:r w:rsidRPr="00524D52">
        <w:t>%</w:t>
      </w:r>
      <w:r w:rsidR="00710C76" w:rsidRPr="00524D52">
        <w:t>)</w:t>
      </w:r>
      <w:r w:rsidR="004012C2" w:rsidRPr="00524D52">
        <w:t xml:space="preserve"> but not in </w:t>
      </w:r>
      <w:r w:rsidR="00BE1962" w:rsidRPr="00524D52">
        <w:rPr>
          <w:i/>
        </w:rPr>
        <w:t>ALK</w:t>
      </w:r>
      <w:r w:rsidR="00782F22" w:rsidRPr="00524D52">
        <w:t>+</w:t>
      </w:r>
      <w:r w:rsidR="004012C2" w:rsidRPr="00524D52">
        <w:t xml:space="preserve"> patients.</w:t>
      </w:r>
    </w:p>
    <w:p w14:paraId="32F69269" w14:textId="59A498AF" w:rsidR="00BD21A6" w:rsidRPr="00524D52" w:rsidRDefault="00BD21A6"/>
    <w:p w14:paraId="5D6487DC" w14:textId="3867B0D3" w:rsidR="002150AF" w:rsidRPr="00524D52" w:rsidRDefault="009C0551">
      <w:r w:rsidRPr="00524D52">
        <w:t xml:space="preserve">Disease control (CR+PR+SD as best response) was </w:t>
      </w:r>
      <w:r w:rsidR="002150AF" w:rsidRPr="00524D52">
        <w:t xml:space="preserve">achieved </w:t>
      </w:r>
      <w:r w:rsidR="00CB455D" w:rsidRPr="00524D52">
        <w:t>in all 12</w:t>
      </w:r>
      <w:r w:rsidRPr="00524D52">
        <w:t xml:space="preserve"> </w:t>
      </w:r>
      <w:r w:rsidR="008E6E61" w:rsidRPr="00524D52">
        <w:rPr>
          <w:i/>
        </w:rPr>
        <w:t>ALK</w:t>
      </w:r>
      <w:r w:rsidR="00CB455D" w:rsidRPr="00524D52">
        <w:t>+ patients (100</w:t>
      </w:r>
      <w:r w:rsidR="005A575E" w:rsidRPr="00524D52">
        <w:t>·</w:t>
      </w:r>
      <w:r w:rsidR="00CB455D" w:rsidRPr="00524D52">
        <w:t>0%; 95% CI 73</w:t>
      </w:r>
      <w:r w:rsidR="005A575E" w:rsidRPr="00524D52">
        <w:t>·</w:t>
      </w:r>
      <w:r w:rsidR="00CB455D" w:rsidRPr="00524D52">
        <w:t>5-100</w:t>
      </w:r>
      <w:r w:rsidR="005A575E" w:rsidRPr="00524D52">
        <w:t>·</w:t>
      </w:r>
      <w:r w:rsidR="00CB455D" w:rsidRPr="00524D52">
        <w:t xml:space="preserve">0%) and in </w:t>
      </w:r>
      <w:r w:rsidR="008F35F9">
        <w:t>6</w:t>
      </w:r>
      <w:r w:rsidR="008F35F9" w:rsidRPr="00524D52">
        <w:t xml:space="preserve"> </w:t>
      </w:r>
      <w:r w:rsidR="00CB455D" w:rsidRPr="00524D52">
        <w:t xml:space="preserve">out of </w:t>
      </w:r>
      <w:r w:rsidR="008F35F9">
        <w:t>7</w:t>
      </w:r>
      <w:r w:rsidR="008F35F9" w:rsidRPr="00524D52">
        <w:t xml:space="preserve"> </w:t>
      </w:r>
      <w:r w:rsidR="008E6E61" w:rsidRPr="00524D52">
        <w:rPr>
          <w:i/>
        </w:rPr>
        <w:t>ALK</w:t>
      </w:r>
      <w:r w:rsidRPr="00524D52">
        <w:t xml:space="preserve">- patients </w:t>
      </w:r>
      <w:r w:rsidR="00CB455D" w:rsidRPr="00524D52">
        <w:t>(85</w:t>
      </w:r>
      <w:r w:rsidR="005A575E" w:rsidRPr="00524D52">
        <w:t>·</w:t>
      </w:r>
      <w:r w:rsidR="00CB455D" w:rsidRPr="00524D52">
        <w:t xml:space="preserve">7%; 95% CI </w:t>
      </w:r>
      <w:r w:rsidR="00BD4555" w:rsidRPr="00524D52">
        <w:t>42</w:t>
      </w:r>
      <w:r w:rsidR="005A575E" w:rsidRPr="00524D52">
        <w:t>·</w:t>
      </w:r>
      <w:r w:rsidR="00BD4555" w:rsidRPr="00524D52">
        <w:t>1</w:t>
      </w:r>
      <w:r w:rsidR="00CB455D" w:rsidRPr="00524D52">
        <w:t>-</w:t>
      </w:r>
      <w:r w:rsidR="00BD4555" w:rsidRPr="00524D52">
        <w:t>99</w:t>
      </w:r>
      <w:r w:rsidR="003C01CB" w:rsidRPr="00524D52">
        <w:t>·</w:t>
      </w:r>
      <w:r w:rsidR="00BD4555" w:rsidRPr="00524D52">
        <w:t>6</w:t>
      </w:r>
      <w:r w:rsidR="00CB455D" w:rsidRPr="00524D52">
        <w:t>%)</w:t>
      </w:r>
      <w:r w:rsidRPr="00524D52">
        <w:t xml:space="preserve">. </w:t>
      </w:r>
    </w:p>
    <w:p w14:paraId="6EC4703C" w14:textId="77A63546" w:rsidR="009C0551" w:rsidRPr="00524D52" w:rsidRDefault="009C0551"/>
    <w:p w14:paraId="72D9C94B" w14:textId="5DF756BB" w:rsidR="00792657" w:rsidRPr="00524D52" w:rsidRDefault="008E6E61">
      <w:r w:rsidRPr="00524D52">
        <w:t xml:space="preserve">The </w:t>
      </w:r>
      <w:r w:rsidR="00BD4555" w:rsidRPr="00524D52">
        <w:t xml:space="preserve">median </w:t>
      </w:r>
      <w:r w:rsidRPr="00524D52">
        <w:t xml:space="preserve">DOR was </w:t>
      </w:r>
      <w:r w:rsidR="00A406DB" w:rsidRPr="00524D52">
        <w:t>9</w:t>
      </w:r>
      <w:r w:rsidR="003C01CB" w:rsidRPr="00524D52">
        <w:t>·</w:t>
      </w:r>
      <w:r w:rsidR="00A406DB" w:rsidRPr="00524D52">
        <w:t>0 months</w:t>
      </w:r>
      <w:r w:rsidRPr="00524D52">
        <w:t xml:space="preserve"> in the</w:t>
      </w:r>
      <w:r w:rsidR="009C0551" w:rsidRPr="00524D52">
        <w:t xml:space="preserve"> </w:t>
      </w:r>
      <w:r w:rsidRPr="00524D52">
        <w:rPr>
          <w:i/>
        </w:rPr>
        <w:t>ALK</w:t>
      </w:r>
      <w:r w:rsidR="009C0551" w:rsidRPr="00524D52">
        <w:t>+ patien</w:t>
      </w:r>
      <w:r w:rsidR="00EF1D60" w:rsidRPr="00524D52">
        <w:t>t</w:t>
      </w:r>
      <w:r w:rsidRPr="00524D52">
        <w:t xml:space="preserve">s (range </w:t>
      </w:r>
      <w:r w:rsidR="00A406DB" w:rsidRPr="00524D52">
        <w:t>1</w:t>
      </w:r>
      <w:r w:rsidR="003C01CB" w:rsidRPr="00524D52">
        <w:t>·</w:t>
      </w:r>
      <w:r w:rsidR="00A406DB" w:rsidRPr="00524D52">
        <w:t>4 - 41</w:t>
      </w:r>
      <w:r w:rsidR="003C01CB" w:rsidRPr="00524D52">
        <w:t>·</w:t>
      </w:r>
      <w:r w:rsidR="00A406DB" w:rsidRPr="00524D52">
        <w:t>6 months</w:t>
      </w:r>
      <w:r w:rsidRPr="00524D52">
        <w:t>)</w:t>
      </w:r>
      <w:r w:rsidR="00EF1D60" w:rsidRPr="00524D52">
        <w:t>.</w:t>
      </w:r>
      <w:r w:rsidR="00C73A8F" w:rsidRPr="00524D52">
        <w:t xml:space="preserve"> </w:t>
      </w:r>
      <w:r w:rsidRPr="00524D52">
        <w:t xml:space="preserve">In the responding </w:t>
      </w:r>
      <w:r w:rsidRPr="00524D52">
        <w:rPr>
          <w:i/>
        </w:rPr>
        <w:t>ALK</w:t>
      </w:r>
      <w:r w:rsidRPr="00524D52">
        <w:t>- patient, the DOR was</w:t>
      </w:r>
      <w:r w:rsidR="00EF1D60" w:rsidRPr="00524D52">
        <w:t xml:space="preserve"> </w:t>
      </w:r>
      <w:r w:rsidR="00A406DB" w:rsidRPr="00524D52">
        <w:t>7</w:t>
      </w:r>
      <w:r w:rsidR="003C01CB" w:rsidRPr="00524D52">
        <w:t>·</w:t>
      </w:r>
      <w:r w:rsidR="00A406DB" w:rsidRPr="00524D52">
        <w:t>6 months</w:t>
      </w:r>
      <w:r w:rsidR="002A1CBD" w:rsidRPr="00524D52">
        <w:t xml:space="preserve">. </w:t>
      </w:r>
      <w:r w:rsidRPr="00524D52">
        <w:t xml:space="preserve">At the data cut-off of </w:t>
      </w:r>
      <w:r w:rsidR="00A406DB" w:rsidRPr="00524D52">
        <w:t>November 09,</w:t>
      </w:r>
      <w:r w:rsidRPr="00524D52">
        <w:t xml:space="preserve"> 2017, </w:t>
      </w:r>
      <w:r w:rsidR="009661F3">
        <w:t>4</w:t>
      </w:r>
      <w:r w:rsidR="009661F3" w:rsidRPr="00524D52">
        <w:t xml:space="preserve"> </w:t>
      </w:r>
      <w:r w:rsidR="00A406DB" w:rsidRPr="00524D52">
        <w:rPr>
          <w:i/>
        </w:rPr>
        <w:t>ALK</w:t>
      </w:r>
      <w:r w:rsidR="00A406DB" w:rsidRPr="00524D52">
        <w:t xml:space="preserve">+ </w:t>
      </w:r>
      <w:r w:rsidRPr="00524D52">
        <w:t>responders are</w:t>
      </w:r>
      <w:r w:rsidR="009C0551" w:rsidRPr="00524D52">
        <w:t xml:space="preserve"> still responding </w:t>
      </w:r>
      <w:r w:rsidR="00EF1D60" w:rsidRPr="00524D52">
        <w:t>and receiving acti</w:t>
      </w:r>
      <w:r w:rsidRPr="00524D52">
        <w:t>ve treatment</w:t>
      </w:r>
      <w:r w:rsidR="00792657" w:rsidRPr="00524D52">
        <w:t>.</w:t>
      </w:r>
      <w:r w:rsidR="009C0551" w:rsidRPr="00524D52">
        <w:t xml:space="preserve"> </w:t>
      </w:r>
      <w:r w:rsidR="0082200D" w:rsidRPr="00524D52">
        <w:t xml:space="preserve">Key efficacy data are summarized in </w:t>
      </w:r>
      <w:r w:rsidR="0082200D" w:rsidRPr="00524D52">
        <w:rPr>
          <w:u w:val="single"/>
        </w:rPr>
        <w:t xml:space="preserve">table </w:t>
      </w:r>
      <w:r w:rsidR="0036416F" w:rsidRPr="00524D52">
        <w:rPr>
          <w:u w:val="single"/>
        </w:rPr>
        <w:t>4</w:t>
      </w:r>
      <w:r w:rsidR="0082200D" w:rsidRPr="00524D52">
        <w:t>.</w:t>
      </w:r>
    </w:p>
    <w:p w14:paraId="11429EA3" w14:textId="5F7578CB" w:rsidR="00757BFD" w:rsidRPr="00524D52" w:rsidRDefault="00757BFD"/>
    <w:p w14:paraId="5EDAF02A" w14:textId="434079BB" w:rsidR="000075B4" w:rsidRPr="00524D52" w:rsidRDefault="00A70B07">
      <w:r w:rsidRPr="00524D52">
        <w:t>T</w:t>
      </w:r>
      <w:r w:rsidR="003D7596" w:rsidRPr="00524D52">
        <w:t xml:space="preserve">he 1-year </w:t>
      </w:r>
      <w:r w:rsidR="00EF1D60" w:rsidRPr="00524D52">
        <w:t>PFR</w:t>
      </w:r>
      <w:r w:rsidR="003D7596" w:rsidRPr="00524D52">
        <w:t xml:space="preserve"> was</w:t>
      </w:r>
      <w:r w:rsidR="00CB455D" w:rsidRPr="00524D52">
        <w:t xml:space="preserve"> 73</w:t>
      </w:r>
      <w:r w:rsidR="003C01CB" w:rsidRPr="00524D52">
        <w:t>·</w:t>
      </w:r>
      <w:r w:rsidR="00CB455D" w:rsidRPr="00524D52">
        <w:t>3</w:t>
      </w:r>
      <w:r w:rsidR="00EF1D60" w:rsidRPr="00524D52">
        <w:t>% (95 % CI</w:t>
      </w:r>
      <w:r w:rsidR="00CB455D" w:rsidRPr="00524D52">
        <w:t xml:space="preserve"> 37</w:t>
      </w:r>
      <w:r w:rsidR="003C01CB" w:rsidRPr="00524D52">
        <w:t>·</w:t>
      </w:r>
      <w:r w:rsidR="00CB455D" w:rsidRPr="00524D52">
        <w:t>9-90</w:t>
      </w:r>
      <w:r w:rsidR="003C01CB" w:rsidRPr="00524D52">
        <w:t>·</w:t>
      </w:r>
      <w:r w:rsidR="00CB455D" w:rsidRPr="00524D52">
        <w:t>6</w:t>
      </w:r>
      <w:r w:rsidRPr="00524D52">
        <w:t xml:space="preserve">) in </w:t>
      </w:r>
      <w:r w:rsidR="008E6E61" w:rsidRPr="00524D52">
        <w:rPr>
          <w:i/>
        </w:rPr>
        <w:t>ALK</w:t>
      </w:r>
      <w:r w:rsidR="00CB455D" w:rsidRPr="00524D52">
        <w:t>+ patients and</w:t>
      </w:r>
      <w:r w:rsidR="00EF1D60" w:rsidRPr="00524D52">
        <w:t xml:space="preserve"> </w:t>
      </w:r>
      <w:r w:rsidR="00CB455D" w:rsidRPr="00524D52">
        <w:t>53</w:t>
      </w:r>
      <w:r w:rsidR="003C01CB" w:rsidRPr="00524D52">
        <w:t>·</w:t>
      </w:r>
      <w:r w:rsidR="00CB455D" w:rsidRPr="00524D52">
        <w:t>6</w:t>
      </w:r>
      <w:r w:rsidR="002A0BC3" w:rsidRPr="00524D52">
        <w:t>% (9</w:t>
      </w:r>
      <w:r w:rsidR="00CB455D" w:rsidRPr="00524D52">
        <w:t>5% CI 13</w:t>
      </w:r>
      <w:r w:rsidR="003C01CB" w:rsidRPr="00524D52">
        <w:t>·</w:t>
      </w:r>
      <w:r w:rsidR="00CB455D" w:rsidRPr="00524D52">
        <w:t>2-82</w:t>
      </w:r>
      <w:r w:rsidR="003C01CB" w:rsidRPr="00524D52">
        <w:t>·</w:t>
      </w:r>
      <w:r w:rsidR="00CB455D" w:rsidRPr="00524D52">
        <w:t>5</w:t>
      </w:r>
      <w:r w:rsidR="000E2AD5" w:rsidRPr="00524D52">
        <w:t xml:space="preserve">%) </w:t>
      </w:r>
      <w:r w:rsidRPr="00524D52">
        <w:t xml:space="preserve">in </w:t>
      </w:r>
      <w:r w:rsidR="008E6E61" w:rsidRPr="00524D52">
        <w:rPr>
          <w:i/>
        </w:rPr>
        <w:t>ALK</w:t>
      </w:r>
      <w:r w:rsidRPr="00524D52">
        <w:t xml:space="preserve">- </w:t>
      </w:r>
      <w:r w:rsidR="00CB455D" w:rsidRPr="00524D52">
        <w:t>cases</w:t>
      </w:r>
      <w:r w:rsidR="00C558F6" w:rsidRPr="00524D52">
        <w:t xml:space="preserve"> (</w:t>
      </w:r>
      <w:r w:rsidR="00C558F6" w:rsidRPr="00524D52">
        <w:rPr>
          <w:u w:val="single"/>
        </w:rPr>
        <w:t>figure 2</w:t>
      </w:r>
      <w:r w:rsidR="00C558F6" w:rsidRPr="00524D52">
        <w:t>)</w:t>
      </w:r>
      <w:r w:rsidRPr="00524D52">
        <w:t>.</w:t>
      </w:r>
      <w:r w:rsidR="000075B4" w:rsidRPr="00524D52">
        <w:t xml:space="preserve"> </w:t>
      </w:r>
    </w:p>
    <w:p w14:paraId="749326FE" w14:textId="68FA2143" w:rsidR="000075B4" w:rsidRPr="00524D52" w:rsidRDefault="000075B4"/>
    <w:p w14:paraId="5837F828" w14:textId="4A79BF1B" w:rsidR="00664CEE" w:rsidRPr="00524D52" w:rsidRDefault="00EF1D60">
      <w:pPr>
        <w:rPr>
          <w:rStyle w:val="Hyperlink"/>
          <w:color w:val="auto"/>
          <w:u w:val="none"/>
        </w:rPr>
      </w:pPr>
      <w:r w:rsidRPr="00524D52">
        <w:t>The 1-</w:t>
      </w:r>
      <w:r w:rsidR="006B3572" w:rsidRPr="00524D52">
        <w:t>year OSR</w:t>
      </w:r>
      <w:r w:rsidR="00A70B07" w:rsidRPr="00524D52">
        <w:t xml:space="preserve"> </w:t>
      </w:r>
      <w:r w:rsidR="006B3572" w:rsidRPr="00524D52">
        <w:t>was</w:t>
      </w:r>
      <w:r w:rsidR="003D7596" w:rsidRPr="00524D52">
        <w:t xml:space="preserve"> </w:t>
      </w:r>
      <w:r w:rsidR="00CB455D" w:rsidRPr="00524D52">
        <w:t>81</w:t>
      </w:r>
      <w:r w:rsidR="003C01CB" w:rsidRPr="00524D52">
        <w:t>·</w:t>
      </w:r>
      <w:r w:rsidR="00CB455D" w:rsidRPr="00524D52">
        <w:t>8</w:t>
      </w:r>
      <w:r w:rsidR="006B3572" w:rsidRPr="00524D52">
        <w:t>% (95% CI</w:t>
      </w:r>
      <w:r w:rsidR="00A70B07" w:rsidRPr="00524D52">
        <w:t xml:space="preserve"> </w:t>
      </w:r>
      <w:r w:rsidR="00CB455D" w:rsidRPr="00524D52">
        <w:t>44</w:t>
      </w:r>
      <w:r w:rsidR="003C01CB" w:rsidRPr="00524D52">
        <w:t>·</w:t>
      </w:r>
      <w:r w:rsidR="00CB455D" w:rsidRPr="00524D52">
        <w:t>7</w:t>
      </w:r>
      <w:r w:rsidR="003D7596" w:rsidRPr="00524D52">
        <w:t>-</w:t>
      </w:r>
      <w:r w:rsidR="00CB455D" w:rsidRPr="00524D52">
        <w:t>95</w:t>
      </w:r>
      <w:r w:rsidR="003C01CB" w:rsidRPr="00524D52">
        <w:t>·</w:t>
      </w:r>
      <w:r w:rsidR="00CB455D" w:rsidRPr="00524D52">
        <w:t>1</w:t>
      </w:r>
      <w:r w:rsidR="000075B4" w:rsidRPr="00524D52">
        <w:t xml:space="preserve">%) in </w:t>
      </w:r>
      <w:r w:rsidR="00AE0694" w:rsidRPr="00524D52">
        <w:rPr>
          <w:i/>
        </w:rPr>
        <w:t>ALK</w:t>
      </w:r>
      <w:r w:rsidR="00CB455D" w:rsidRPr="00524D52">
        <w:t>+ patients and</w:t>
      </w:r>
      <w:r w:rsidR="003D7596" w:rsidRPr="00524D52">
        <w:t xml:space="preserve"> </w:t>
      </w:r>
      <w:r w:rsidR="00CB455D" w:rsidRPr="00524D52">
        <w:t>83</w:t>
      </w:r>
      <w:r w:rsidR="003C01CB" w:rsidRPr="00524D52">
        <w:t>·</w:t>
      </w:r>
      <w:r w:rsidR="00CB455D" w:rsidRPr="00524D52">
        <w:t>3</w:t>
      </w:r>
      <w:r w:rsidR="006B3572" w:rsidRPr="00524D52">
        <w:t>% (95% CI</w:t>
      </w:r>
      <w:r w:rsidR="003D7596" w:rsidRPr="00524D52">
        <w:t xml:space="preserve"> </w:t>
      </w:r>
      <w:r w:rsidR="00CB455D" w:rsidRPr="00524D52">
        <w:t>27</w:t>
      </w:r>
      <w:r w:rsidR="003C01CB" w:rsidRPr="00524D52">
        <w:t>·</w:t>
      </w:r>
      <w:r w:rsidR="00CB455D" w:rsidRPr="00524D52">
        <w:t>3</w:t>
      </w:r>
      <w:r w:rsidR="003D7596" w:rsidRPr="00524D52">
        <w:t>-</w:t>
      </w:r>
      <w:r w:rsidR="00CB455D" w:rsidRPr="00524D52">
        <w:t>97</w:t>
      </w:r>
      <w:r w:rsidR="003C01CB" w:rsidRPr="00524D52">
        <w:t>·</w:t>
      </w:r>
      <w:r w:rsidR="00CB455D" w:rsidRPr="00524D52">
        <w:t>5</w:t>
      </w:r>
      <w:r w:rsidR="00A70B07" w:rsidRPr="00524D52">
        <w:t xml:space="preserve">%) in </w:t>
      </w:r>
      <w:r w:rsidR="00AE0694" w:rsidRPr="00524D52">
        <w:rPr>
          <w:i/>
        </w:rPr>
        <w:t>ALK</w:t>
      </w:r>
      <w:r w:rsidR="00CB455D" w:rsidRPr="00524D52">
        <w:t xml:space="preserve">- cases </w:t>
      </w:r>
      <w:r w:rsidR="0082200D" w:rsidRPr="00524D52">
        <w:t>(</w:t>
      </w:r>
      <w:r w:rsidR="006D705B" w:rsidRPr="00524D52">
        <w:rPr>
          <w:u w:val="single"/>
        </w:rPr>
        <w:t xml:space="preserve">table </w:t>
      </w:r>
      <w:r w:rsidR="0036416F" w:rsidRPr="00524D52">
        <w:rPr>
          <w:u w:val="single"/>
        </w:rPr>
        <w:t>4</w:t>
      </w:r>
      <w:r w:rsidR="006D705B" w:rsidRPr="00524D52">
        <w:t xml:space="preserve"> and </w:t>
      </w:r>
      <w:r w:rsidR="00C558F6" w:rsidRPr="00524D52">
        <w:rPr>
          <w:u w:val="single"/>
        </w:rPr>
        <w:t>figure 3</w:t>
      </w:r>
      <w:r w:rsidR="0082200D" w:rsidRPr="00524D52">
        <w:t>)</w:t>
      </w:r>
      <w:r w:rsidR="003D7596" w:rsidRPr="00524D52">
        <w:t>.</w:t>
      </w:r>
      <w:r w:rsidR="00664CEE" w:rsidRPr="00524D52" w:rsidDel="00664CEE">
        <w:rPr>
          <w:rStyle w:val="Hyperlink"/>
          <w:color w:val="auto"/>
          <w:u w:val="none"/>
        </w:rPr>
        <w:t xml:space="preserve"> </w:t>
      </w:r>
    </w:p>
    <w:p w14:paraId="425A2D55" w14:textId="2D4ED391" w:rsidR="0082200D" w:rsidRPr="00524D52" w:rsidRDefault="0082200D">
      <w:pPr>
        <w:rPr>
          <w:rStyle w:val="Hyperlink"/>
          <w:color w:val="auto"/>
          <w:u w:val="none"/>
        </w:rPr>
      </w:pPr>
    </w:p>
    <w:p w14:paraId="44173AC4" w14:textId="4C522963" w:rsidR="0082200D" w:rsidRDefault="001815DB">
      <w:pPr>
        <w:rPr>
          <w:rStyle w:val="Hyperlink"/>
          <w:color w:val="auto"/>
          <w:u w:val="none"/>
        </w:rPr>
      </w:pPr>
      <w:r w:rsidRPr="00524D52">
        <w:rPr>
          <w:rStyle w:val="Hyperlink"/>
          <w:color w:val="auto"/>
        </w:rPr>
        <w:lastRenderedPageBreak/>
        <w:t>Figure 4</w:t>
      </w:r>
      <w:r w:rsidR="0082200D" w:rsidRPr="00524D52">
        <w:rPr>
          <w:rStyle w:val="Hyperlink"/>
          <w:color w:val="auto"/>
          <w:u w:val="none"/>
        </w:rPr>
        <w:t xml:space="preserve"> illustrates the maximum </w:t>
      </w:r>
      <w:r w:rsidR="00C45A3F" w:rsidRPr="00524D52">
        <w:rPr>
          <w:rStyle w:val="Hyperlink"/>
          <w:color w:val="auto"/>
          <w:u w:val="none"/>
        </w:rPr>
        <w:t xml:space="preserve">target lesion </w:t>
      </w:r>
      <w:r w:rsidR="0082200D" w:rsidRPr="00524D52">
        <w:rPr>
          <w:rStyle w:val="Hyperlink"/>
          <w:color w:val="auto"/>
          <w:u w:val="none"/>
        </w:rPr>
        <w:t>shrinkage</w:t>
      </w:r>
      <w:r w:rsidRPr="00524D52">
        <w:rPr>
          <w:rStyle w:val="Hyperlink"/>
          <w:color w:val="auto"/>
          <w:u w:val="none"/>
        </w:rPr>
        <w:t xml:space="preserve">, </w:t>
      </w:r>
      <w:r w:rsidRPr="00524D52">
        <w:rPr>
          <w:rStyle w:val="Hyperlink"/>
          <w:color w:val="auto"/>
        </w:rPr>
        <w:t>figure 5</w:t>
      </w:r>
      <w:r w:rsidR="006B3572" w:rsidRPr="00524D52">
        <w:rPr>
          <w:rStyle w:val="Hyperlink"/>
          <w:color w:val="auto"/>
          <w:u w:val="none"/>
        </w:rPr>
        <w:t xml:space="preserve"> summarizes</w:t>
      </w:r>
      <w:r w:rsidR="0082200D" w:rsidRPr="00524D52">
        <w:rPr>
          <w:rStyle w:val="Hyperlink"/>
          <w:color w:val="auto"/>
          <w:u w:val="none"/>
        </w:rPr>
        <w:t xml:space="preserve"> the clinical course of </w:t>
      </w:r>
      <w:r w:rsidR="006B3572" w:rsidRPr="00524D52">
        <w:rPr>
          <w:rStyle w:val="Hyperlink"/>
          <w:color w:val="auto"/>
          <w:u w:val="none"/>
        </w:rPr>
        <w:t xml:space="preserve">the </w:t>
      </w:r>
      <w:r w:rsidR="0082200D" w:rsidRPr="00524D52">
        <w:rPr>
          <w:rStyle w:val="Hyperlink"/>
          <w:color w:val="auto"/>
          <w:u w:val="none"/>
        </w:rPr>
        <w:t xml:space="preserve">treated </w:t>
      </w:r>
      <w:r w:rsidR="00AE0694" w:rsidRPr="00524D52">
        <w:rPr>
          <w:rStyle w:val="Hyperlink"/>
          <w:color w:val="auto"/>
          <w:u w:val="none"/>
        </w:rPr>
        <w:t>IMFT</w:t>
      </w:r>
      <w:r w:rsidR="002A1CBD" w:rsidRPr="00524D52">
        <w:rPr>
          <w:rStyle w:val="Hyperlink"/>
          <w:color w:val="auto"/>
          <w:u w:val="none"/>
        </w:rPr>
        <w:t xml:space="preserve"> </w:t>
      </w:r>
      <w:r w:rsidR="0082200D" w:rsidRPr="00524D52">
        <w:rPr>
          <w:rStyle w:val="Hyperlink"/>
          <w:color w:val="auto"/>
          <w:u w:val="none"/>
        </w:rPr>
        <w:t>patients.</w:t>
      </w:r>
      <w:r w:rsidR="00DC5B3A">
        <w:rPr>
          <w:rStyle w:val="Hyperlink"/>
          <w:color w:val="auto"/>
          <w:u w:val="none"/>
        </w:rPr>
        <w:br/>
      </w:r>
    </w:p>
    <w:p w14:paraId="070A9A81" w14:textId="325557E7" w:rsidR="00DC5B3A" w:rsidRPr="00524D52" w:rsidRDefault="0075556B">
      <w:pPr>
        <w:rPr>
          <w:rStyle w:val="Hyperlink"/>
          <w:color w:val="auto"/>
          <w:u w:val="none"/>
        </w:rPr>
      </w:pPr>
      <w:r>
        <w:rPr>
          <w:rStyle w:val="Hyperlink"/>
          <w:color w:val="auto"/>
          <w:u w:val="none"/>
        </w:rPr>
        <w:t xml:space="preserve">Interpretation of a </w:t>
      </w:r>
      <w:r w:rsidR="00DC5B3A">
        <w:rPr>
          <w:rStyle w:val="Hyperlink"/>
          <w:color w:val="auto"/>
          <w:u w:val="none"/>
        </w:rPr>
        <w:t>subgroup analysis by</w:t>
      </w:r>
      <w:r w:rsidR="009661F3">
        <w:rPr>
          <w:rStyle w:val="Hyperlink"/>
          <w:color w:val="auto"/>
          <w:u w:val="none"/>
        </w:rPr>
        <w:t xml:space="preserve"> site of the</w:t>
      </w:r>
      <w:r w:rsidR="00DC5B3A">
        <w:rPr>
          <w:rStyle w:val="Hyperlink"/>
          <w:color w:val="auto"/>
          <w:u w:val="none"/>
        </w:rPr>
        <w:t xml:space="preserve"> primary tumor at diagnosis and response to crizotinib therapy</w:t>
      </w:r>
      <w:r>
        <w:rPr>
          <w:rStyle w:val="Hyperlink"/>
          <w:color w:val="auto"/>
          <w:u w:val="none"/>
        </w:rPr>
        <w:t xml:space="preserve"> would be limited due to the small patient numbers </w:t>
      </w:r>
      <w:r w:rsidR="00E53524">
        <w:rPr>
          <w:rStyle w:val="Hyperlink"/>
          <w:color w:val="auto"/>
          <w:u w:val="none"/>
        </w:rPr>
        <w:t>of this type of sub-analysis</w:t>
      </w:r>
      <w:r>
        <w:rPr>
          <w:rStyle w:val="Hyperlink"/>
          <w:color w:val="auto"/>
          <w:u w:val="none"/>
        </w:rPr>
        <w:t xml:space="preserve">. However, </w:t>
      </w:r>
      <w:r w:rsidRPr="0075556B">
        <w:rPr>
          <w:rStyle w:val="Hyperlink"/>
          <w:color w:val="auto"/>
        </w:rPr>
        <w:t>t</w:t>
      </w:r>
      <w:r w:rsidR="00DC5B3A" w:rsidRPr="0075556B">
        <w:rPr>
          <w:rStyle w:val="Hyperlink"/>
          <w:color w:val="auto"/>
        </w:rPr>
        <w:t>able 1</w:t>
      </w:r>
      <w:r w:rsidR="00DC5B3A">
        <w:rPr>
          <w:rStyle w:val="Hyperlink"/>
          <w:color w:val="auto"/>
          <w:u w:val="none"/>
        </w:rPr>
        <w:t xml:space="preserve"> </w:t>
      </w:r>
      <w:r>
        <w:rPr>
          <w:rStyle w:val="Hyperlink"/>
          <w:color w:val="auto"/>
          <w:u w:val="none"/>
        </w:rPr>
        <w:t xml:space="preserve">provides details on the </w:t>
      </w:r>
      <w:r w:rsidR="009661F3">
        <w:rPr>
          <w:rStyle w:val="Hyperlink"/>
          <w:color w:val="auto"/>
          <w:u w:val="none"/>
        </w:rPr>
        <w:t xml:space="preserve">site of the </w:t>
      </w:r>
      <w:r>
        <w:rPr>
          <w:rStyle w:val="Hyperlink"/>
          <w:color w:val="auto"/>
          <w:u w:val="none"/>
        </w:rPr>
        <w:t>primary tumor at diagnosis per patient and the subsequent response to crizotinib therapy (ORR</w:t>
      </w:r>
      <w:r w:rsidR="00420D1A">
        <w:rPr>
          <w:rStyle w:val="Hyperlink"/>
          <w:color w:val="auto"/>
          <w:u w:val="none"/>
        </w:rPr>
        <w:t>,</w:t>
      </w:r>
      <w:r>
        <w:rPr>
          <w:rStyle w:val="Hyperlink"/>
          <w:color w:val="auto"/>
          <w:u w:val="none"/>
        </w:rPr>
        <w:t xml:space="preserve"> OS</w:t>
      </w:r>
      <w:r w:rsidR="00420D1A">
        <w:rPr>
          <w:rStyle w:val="Hyperlink"/>
          <w:color w:val="auto"/>
          <w:u w:val="none"/>
        </w:rPr>
        <w:t>, and current survival status</w:t>
      </w:r>
      <w:r>
        <w:rPr>
          <w:rStyle w:val="Hyperlink"/>
          <w:color w:val="auto"/>
          <w:u w:val="none"/>
        </w:rPr>
        <w:t xml:space="preserve">). Interestingly, </w:t>
      </w:r>
      <w:r w:rsidR="00DA31B6">
        <w:rPr>
          <w:rStyle w:val="Hyperlink"/>
          <w:color w:val="auto"/>
          <w:u w:val="none"/>
        </w:rPr>
        <w:t xml:space="preserve">in </w:t>
      </w:r>
      <w:r w:rsidR="009661F3">
        <w:rPr>
          <w:rStyle w:val="Hyperlink"/>
          <w:color w:val="auto"/>
          <w:u w:val="none"/>
        </w:rPr>
        <w:t>4</w:t>
      </w:r>
      <w:r w:rsidR="00DC5B3A">
        <w:rPr>
          <w:rStyle w:val="Hyperlink"/>
          <w:color w:val="auto"/>
          <w:u w:val="none"/>
        </w:rPr>
        <w:t xml:space="preserve"> patients </w:t>
      </w:r>
      <w:r w:rsidR="00420D1A">
        <w:rPr>
          <w:rStyle w:val="Hyperlink"/>
          <w:color w:val="auto"/>
          <w:u w:val="none"/>
        </w:rPr>
        <w:t>with</w:t>
      </w:r>
      <w:r w:rsidR="00DC5B3A">
        <w:rPr>
          <w:rStyle w:val="Hyperlink"/>
          <w:color w:val="auto"/>
          <w:u w:val="none"/>
        </w:rPr>
        <w:t xml:space="preserve"> thoracic primary tumors</w:t>
      </w:r>
      <w:r w:rsidR="00420D1A">
        <w:rPr>
          <w:rStyle w:val="Hyperlink"/>
          <w:color w:val="auto"/>
          <w:u w:val="none"/>
        </w:rPr>
        <w:t xml:space="preserve"> </w:t>
      </w:r>
      <w:r w:rsidR="00D624D7">
        <w:rPr>
          <w:rStyle w:val="Hyperlink"/>
          <w:color w:val="auto"/>
          <w:u w:val="none"/>
        </w:rPr>
        <w:t xml:space="preserve">at diagnosis </w:t>
      </w:r>
      <w:r w:rsidR="00420D1A">
        <w:rPr>
          <w:rStyle w:val="Hyperlink"/>
          <w:color w:val="auto"/>
          <w:u w:val="none"/>
        </w:rPr>
        <w:t>(</w:t>
      </w:r>
      <w:r w:rsidR="00D624D7">
        <w:rPr>
          <w:rStyle w:val="Hyperlink"/>
          <w:color w:val="auto"/>
          <w:u w:val="none"/>
        </w:rPr>
        <w:t xml:space="preserve">consisting of </w:t>
      </w:r>
      <w:r w:rsidR="00DC5B3A">
        <w:rPr>
          <w:rStyle w:val="Hyperlink"/>
          <w:color w:val="auto"/>
          <w:u w:val="none"/>
        </w:rPr>
        <w:t xml:space="preserve">two </w:t>
      </w:r>
      <w:r w:rsidR="00DC5B3A" w:rsidRPr="005912AE">
        <w:rPr>
          <w:rStyle w:val="Hyperlink"/>
          <w:i/>
          <w:color w:val="auto"/>
          <w:u w:val="none"/>
        </w:rPr>
        <w:t>ALK</w:t>
      </w:r>
      <w:r w:rsidR="00DC5B3A">
        <w:rPr>
          <w:rStyle w:val="Hyperlink"/>
          <w:color w:val="auto"/>
          <w:u w:val="none"/>
        </w:rPr>
        <w:t xml:space="preserve">+ and two </w:t>
      </w:r>
      <w:r w:rsidR="00DC5B3A" w:rsidRPr="005912AE">
        <w:rPr>
          <w:rStyle w:val="Hyperlink"/>
          <w:i/>
          <w:color w:val="auto"/>
          <w:u w:val="none"/>
        </w:rPr>
        <w:t>ALK</w:t>
      </w:r>
      <w:r w:rsidR="00DC5B3A">
        <w:rPr>
          <w:rStyle w:val="Hyperlink"/>
          <w:color w:val="auto"/>
          <w:u w:val="none"/>
        </w:rPr>
        <w:t>-</w:t>
      </w:r>
      <w:r w:rsidR="00D624D7">
        <w:rPr>
          <w:rStyle w:val="Hyperlink"/>
          <w:color w:val="auto"/>
          <w:u w:val="none"/>
        </w:rPr>
        <w:t xml:space="preserve"> patients</w:t>
      </w:r>
      <w:r w:rsidR="00420D1A">
        <w:rPr>
          <w:rStyle w:val="Hyperlink"/>
          <w:color w:val="auto"/>
          <w:u w:val="none"/>
        </w:rPr>
        <w:t>)</w:t>
      </w:r>
      <w:r w:rsidR="00DA31B6">
        <w:rPr>
          <w:rStyle w:val="Hyperlink"/>
          <w:color w:val="auto"/>
          <w:u w:val="none"/>
        </w:rPr>
        <w:t xml:space="preserve">, one of the </w:t>
      </w:r>
      <w:r w:rsidR="00DA31B6" w:rsidRPr="00DA31B6">
        <w:rPr>
          <w:rStyle w:val="Hyperlink"/>
          <w:i/>
          <w:color w:val="auto"/>
          <w:u w:val="none"/>
        </w:rPr>
        <w:t>ALK</w:t>
      </w:r>
      <w:r w:rsidR="00DA31B6">
        <w:rPr>
          <w:rStyle w:val="Hyperlink"/>
          <w:color w:val="auto"/>
          <w:u w:val="none"/>
        </w:rPr>
        <w:t>-</w:t>
      </w:r>
      <w:r w:rsidR="00420D1A">
        <w:rPr>
          <w:rStyle w:val="Hyperlink"/>
          <w:color w:val="auto"/>
          <w:u w:val="none"/>
        </w:rPr>
        <w:t xml:space="preserve"> </w:t>
      </w:r>
      <w:r w:rsidR="00DA31B6">
        <w:rPr>
          <w:rStyle w:val="Hyperlink"/>
          <w:color w:val="auto"/>
          <w:u w:val="none"/>
        </w:rPr>
        <w:t xml:space="preserve">patients experienced a </w:t>
      </w:r>
      <w:r w:rsidR="00A53A7A">
        <w:rPr>
          <w:rStyle w:val="Hyperlink"/>
          <w:color w:val="auto"/>
          <w:u w:val="none"/>
        </w:rPr>
        <w:t>PR</w:t>
      </w:r>
      <w:r w:rsidR="00DA31B6">
        <w:rPr>
          <w:rStyle w:val="Hyperlink"/>
          <w:color w:val="auto"/>
          <w:u w:val="none"/>
        </w:rPr>
        <w:t xml:space="preserve"> and the other three patients experienced </w:t>
      </w:r>
      <w:r w:rsidR="00A53A7A">
        <w:rPr>
          <w:rStyle w:val="Hyperlink"/>
          <w:color w:val="auto"/>
          <w:u w:val="none"/>
        </w:rPr>
        <w:t>SD</w:t>
      </w:r>
      <w:r w:rsidR="00310486">
        <w:rPr>
          <w:rStyle w:val="Hyperlink"/>
          <w:color w:val="auto"/>
          <w:u w:val="none"/>
        </w:rPr>
        <w:t xml:space="preserve"> (</w:t>
      </w:r>
      <w:r w:rsidR="00310486" w:rsidRPr="00F27A91">
        <w:rPr>
          <w:rStyle w:val="Hyperlink"/>
          <w:color w:val="auto"/>
        </w:rPr>
        <w:t>table 1</w:t>
      </w:r>
      <w:r w:rsidR="00310486">
        <w:rPr>
          <w:rStyle w:val="Hyperlink"/>
          <w:color w:val="auto"/>
          <w:u w:val="none"/>
        </w:rPr>
        <w:t>)</w:t>
      </w:r>
      <w:r w:rsidR="00420D1A">
        <w:rPr>
          <w:rStyle w:val="Hyperlink"/>
          <w:color w:val="auto"/>
          <w:u w:val="none"/>
        </w:rPr>
        <w:t xml:space="preserve">. </w:t>
      </w:r>
    </w:p>
    <w:p w14:paraId="7ACA7421" w14:textId="46E6AA16" w:rsidR="00E77D97" w:rsidRPr="00524D52" w:rsidRDefault="00E77D97"/>
    <w:p w14:paraId="5C91AEC5" w14:textId="77777777" w:rsidR="004F7F8D" w:rsidRPr="00524D52" w:rsidRDefault="004F7F8D">
      <w:pPr>
        <w:rPr>
          <w:rStyle w:val="Strong"/>
        </w:rPr>
      </w:pPr>
      <w:r w:rsidRPr="00524D52">
        <w:rPr>
          <w:rStyle w:val="Strong"/>
        </w:rPr>
        <w:t>Safety and toxicity</w:t>
      </w:r>
    </w:p>
    <w:p w14:paraId="5BEA9CD2" w14:textId="77777777" w:rsidR="004F7F8D" w:rsidRPr="00524D52" w:rsidRDefault="004F7F8D"/>
    <w:p w14:paraId="4794FEA5" w14:textId="77777777" w:rsidR="00CB455D" w:rsidRPr="00524D52" w:rsidRDefault="00CB455D">
      <w:r w:rsidRPr="00524D52">
        <w:t xml:space="preserve">The most common adverse events related to crizotinib were nausea (11/20 [55%]), fatigue (9/20 [45%]), blurred vision (9/20 [45%]), vomiting (7/20 [35%]), and diarrhea (7/20 [35%]). </w:t>
      </w:r>
    </w:p>
    <w:p w14:paraId="24CCE7D5" w14:textId="5FF7BD51" w:rsidR="00595FA6" w:rsidRPr="00524D52" w:rsidRDefault="008F609F">
      <w:r w:rsidRPr="00524D52">
        <w:t>The reported treatment-related grade</w:t>
      </w:r>
      <w:r w:rsidR="00984F88" w:rsidRPr="00524D52">
        <w:t xml:space="preserve"> 3/4 adverse events were </w:t>
      </w:r>
      <w:r w:rsidR="0035290B" w:rsidRPr="00524D52">
        <w:t>fatigue</w:t>
      </w:r>
      <w:r w:rsidR="00984F88" w:rsidRPr="00524D52">
        <w:t xml:space="preserve"> (</w:t>
      </w:r>
      <w:r w:rsidR="00F252A3" w:rsidRPr="00524D52">
        <w:t xml:space="preserve">one </w:t>
      </w:r>
      <w:r w:rsidRPr="00524D52">
        <w:t xml:space="preserve">patient), </w:t>
      </w:r>
      <w:r w:rsidR="0035290B" w:rsidRPr="00524D52">
        <w:t xml:space="preserve">weight gain </w:t>
      </w:r>
      <w:r w:rsidR="00984F88" w:rsidRPr="00524D52">
        <w:t>(</w:t>
      </w:r>
      <w:r w:rsidR="00F252A3" w:rsidRPr="00524D52">
        <w:t xml:space="preserve">one </w:t>
      </w:r>
      <w:r w:rsidR="0035290B" w:rsidRPr="00524D52">
        <w:t>patient</w:t>
      </w:r>
      <w:r w:rsidR="00984F88" w:rsidRPr="00524D52">
        <w:t>)</w:t>
      </w:r>
      <w:r w:rsidR="0035290B" w:rsidRPr="00524D52">
        <w:t xml:space="preserve">, hepatic failure and sepsis </w:t>
      </w:r>
      <w:r w:rsidR="00984F88" w:rsidRPr="00524D52">
        <w:t>(</w:t>
      </w:r>
      <w:r w:rsidR="00F252A3" w:rsidRPr="00524D52">
        <w:t xml:space="preserve">one </w:t>
      </w:r>
      <w:r w:rsidR="0035290B" w:rsidRPr="00524D52">
        <w:t>patient)</w:t>
      </w:r>
      <w:r w:rsidR="00984F88" w:rsidRPr="00524D52">
        <w:t xml:space="preserve">. </w:t>
      </w:r>
      <w:r w:rsidR="007940E5" w:rsidRPr="00524D52">
        <w:t>A</w:t>
      </w:r>
      <w:r w:rsidR="0082200D" w:rsidRPr="00524D52">
        <w:t xml:space="preserve">dverse events </w:t>
      </w:r>
      <w:r w:rsidR="007940E5" w:rsidRPr="00524D52">
        <w:t>details are</w:t>
      </w:r>
      <w:r w:rsidR="0082200D" w:rsidRPr="00524D52">
        <w:t xml:space="preserve"> shown in </w:t>
      </w:r>
      <w:r w:rsidR="0082200D" w:rsidRPr="00524D52">
        <w:rPr>
          <w:u w:val="single"/>
        </w:rPr>
        <w:t xml:space="preserve">tables </w:t>
      </w:r>
      <w:r w:rsidR="0036416F" w:rsidRPr="00524D52">
        <w:rPr>
          <w:u w:val="single"/>
        </w:rPr>
        <w:t>5</w:t>
      </w:r>
      <w:r w:rsidR="0082200D" w:rsidRPr="00524D52">
        <w:t xml:space="preserve"> and </w:t>
      </w:r>
      <w:r w:rsidR="0036416F" w:rsidRPr="00524D52">
        <w:rPr>
          <w:u w:val="single"/>
        </w:rPr>
        <w:t>6</w:t>
      </w:r>
      <w:r w:rsidR="0082200D" w:rsidRPr="00524D52">
        <w:t>.</w:t>
      </w:r>
      <w:r w:rsidR="008A49E0" w:rsidRPr="00524D52">
        <w:t xml:space="preserve"> No new or unexpected safe</w:t>
      </w:r>
      <w:r w:rsidRPr="00524D52">
        <w:t>t</w:t>
      </w:r>
      <w:r w:rsidR="00984F88" w:rsidRPr="00524D52">
        <w:t>y signals were detected in IMFT</w:t>
      </w:r>
      <w:r w:rsidRPr="00524D52">
        <w:t xml:space="preserve"> patients</w:t>
      </w:r>
      <w:r w:rsidR="001051F2" w:rsidRPr="00524D52">
        <w:t>.</w:t>
      </w:r>
    </w:p>
    <w:p w14:paraId="1F6B7AEA" w14:textId="77777777" w:rsidR="00595FA6" w:rsidRPr="00524D52" w:rsidRDefault="00595FA6"/>
    <w:p w14:paraId="572496B4" w14:textId="2A9EBC55" w:rsidR="005143C5" w:rsidRPr="00524D52" w:rsidRDefault="003C01CB">
      <w:r w:rsidRPr="00524D52">
        <w:t xml:space="preserve">A total of </w:t>
      </w:r>
      <w:r w:rsidR="00E21EAD">
        <w:t>8</w:t>
      </w:r>
      <w:r w:rsidR="00E21EAD" w:rsidRPr="00524D52">
        <w:t xml:space="preserve"> </w:t>
      </w:r>
      <w:r w:rsidR="009D3249" w:rsidRPr="00524D52">
        <w:t>s</w:t>
      </w:r>
      <w:r w:rsidR="004F7F8D" w:rsidRPr="00524D52">
        <w:t xml:space="preserve">erious adverse events </w:t>
      </w:r>
      <w:r w:rsidR="009D3249" w:rsidRPr="00524D52">
        <w:t xml:space="preserve">were observed in </w:t>
      </w:r>
      <w:r w:rsidR="00E21EAD">
        <w:t>5</w:t>
      </w:r>
      <w:r w:rsidR="00E21EAD" w:rsidRPr="00524D52">
        <w:t xml:space="preserve"> </w:t>
      </w:r>
      <w:r w:rsidR="009D3249" w:rsidRPr="00524D52">
        <w:t xml:space="preserve">patients. These included </w:t>
      </w:r>
      <w:r w:rsidR="00471417" w:rsidRPr="00524D52">
        <w:t xml:space="preserve">individual cases of </w:t>
      </w:r>
      <w:r w:rsidR="009D3249" w:rsidRPr="00524D52">
        <w:t>pneumonia</w:t>
      </w:r>
      <w:r w:rsidR="00471417" w:rsidRPr="00524D52">
        <w:t xml:space="preserve">, fever of unknown cause, a heart attack with increase in creatinine and possible sepsis, abdominal abscess with acute renal insufficiency, and one case of QT prolongation. </w:t>
      </w:r>
      <w:r w:rsidR="006B0A76" w:rsidRPr="00524D52">
        <w:t>No</w:t>
      </w:r>
      <w:r w:rsidR="00283D40" w:rsidRPr="00524D52">
        <w:t xml:space="preserve"> </w:t>
      </w:r>
      <w:r w:rsidR="005143C5" w:rsidRPr="00524D52">
        <w:t xml:space="preserve">death occurred on treatment or within </w:t>
      </w:r>
      <w:r w:rsidR="007577C7">
        <w:t>4</w:t>
      </w:r>
      <w:r w:rsidR="007577C7" w:rsidRPr="00524D52">
        <w:t xml:space="preserve"> </w:t>
      </w:r>
      <w:r w:rsidR="005143C5" w:rsidRPr="00524D52">
        <w:t xml:space="preserve">weeks of treatment discontinuation. </w:t>
      </w:r>
    </w:p>
    <w:p w14:paraId="31B66AB5" w14:textId="77777777" w:rsidR="005143C5" w:rsidRPr="00524D52" w:rsidRDefault="005143C5"/>
    <w:p w14:paraId="3E286A23" w14:textId="77777777" w:rsidR="00462EEF" w:rsidRPr="00524D52" w:rsidRDefault="00462EEF"/>
    <w:p w14:paraId="2F7C8606" w14:textId="77777777" w:rsidR="00114EDB" w:rsidRPr="00524D52" w:rsidRDefault="00114EDB" w:rsidP="00DA6988">
      <w:pPr>
        <w:pStyle w:val="FreeForm"/>
        <w:rPr>
          <w:rFonts w:ascii="Times New Roman" w:hAnsi="Times New Roman"/>
          <w:b/>
          <w:color w:val="auto"/>
          <w:sz w:val="22"/>
          <w:szCs w:val="22"/>
          <w:lang w:val="en-GB"/>
        </w:rPr>
      </w:pPr>
      <w:r w:rsidRPr="00524D52">
        <w:rPr>
          <w:rFonts w:ascii="Times New Roman" w:hAnsi="Times New Roman"/>
          <w:b/>
          <w:color w:val="auto"/>
          <w:sz w:val="22"/>
          <w:szCs w:val="22"/>
          <w:lang w:val="en-GB"/>
        </w:rPr>
        <w:t>Discussion</w:t>
      </w:r>
      <w:r w:rsidR="00A93689" w:rsidRPr="00524D52">
        <w:rPr>
          <w:rFonts w:ascii="Times New Roman" w:hAnsi="Times New Roman"/>
          <w:b/>
          <w:color w:val="auto"/>
          <w:sz w:val="22"/>
          <w:szCs w:val="22"/>
          <w:lang w:val="en-GB"/>
        </w:rPr>
        <w:t xml:space="preserve">  </w:t>
      </w:r>
    </w:p>
    <w:p w14:paraId="2B596653" w14:textId="5F5016DD" w:rsidR="001A1F92" w:rsidRPr="00524D52" w:rsidRDefault="001A1F92" w:rsidP="00065B26"/>
    <w:p w14:paraId="7A83514B" w14:textId="462CC853" w:rsidR="0003337A" w:rsidRDefault="00961552" w:rsidP="00490E17">
      <w:r>
        <w:t xml:space="preserve">The main findings of this study showed that crizotinib </w:t>
      </w:r>
      <w:r w:rsidR="001E3EBD">
        <w:t>is</w:t>
      </w:r>
      <w:r>
        <w:t xml:space="preserve"> an active treatment in </w:t>
      </w:r>
      <w:r w:rsidRPr="00606E02">
        <w:rPr>
          <w:i/>
        </w:rPr>
        <w:t>ALK</w:t>
      </w:r>
      <w:r w:rsidRPr="00606E02">
        <w:t xml:space="preserve">+ </w:t>
      </w:r>
      <w:r w:rsidR="001E3EBD">
        <w:t xml:space="preserve">IMFT </w:t>
      </w:r>
      <w:r w:rsidRPr="00606E02">
        <w:t>patients</w:t>
      </w:r>
      <w:r>
        <w:t xml:space="preserve"> with </w:t>
      </w:r>
      <w:r w:rsidR="001E3EBD">
        <w:t xml:space="preserve">objective responses seen in </w:t>
      </w:r>
      <w:r>
        <w:t xml:space="preserve">6/12 </w:t>
      </w:r>
      <w:r w:rsidRPr="00606E02">
        <w:rPr>
          <w:i/>
        </w:rPr>
        <w:t>ALK</w:t>
      </w:r>
      <w:r w:rsidRPr="00606E02">
        <w:t>+ patients</w:t>
      </w:r>
      <w:r>
        <w:t xml:space="preserve"> </w:t>
      </w:r>
      <w:r w:rsidRPr="00606E02">
        <w:t xml:space="preserve">(50·0% ORR; 95% </w:t>
      </w:r>
      <w:r>
        <w:t>CI:</w:t>
      </w:r>
      <w:r w:rsidRPr="00606E02">
        <w:t xml:space="preserve"> 21·1-78·9%)</w:t>
      </w:r>
      <w:r>
        <w:t xml:space="preserve">, with </w:t>
      </w:r>
      <w:r w:rsidR="00DD4808">
        <w:t>disease control</w:t>
      </w:r>
      <w:r>
        <w:t xml:space="preserve"> </w:t>
      </w:r>
      <w:r w:rsidRPr="00606E02">
        <w:t xml:space="preserve">achieved in all 12 </w:t>
      </w:r>
      <w:r w:rsidRPr="00606E02">
        <w:rPr>
          <w:i/>
        </w:rPr>
        <w:t>ALK</w:t>
      </w:r>
      <w:r w:rsidRPr="00606E02">
        <w:t>+ patients (100·0%; 95% CI</w:t>
      </w:r>
      <w:r>
        <w:t>:</w:t>
      </w:r>
      <w:r w:rsidRPr="00606E02">
        <w:t xml:space="preserve"> 73·5-100·0%)</w:t>
      </w:r>
      <w:r>
        <w:t xml:space="preserve">, </w:t>
      </w:r>
      <w:r w:rsidRPr="00606E02">
        <w:t xml:space="preserve">a 1-year </w:t>
      </w:r>
      <w:r>
        <w:t>PFR</w:t>
      </w:r>
      <w:r w:rsidRPr="00606E02">
        <w:t xml:space="preserve"> of 73·3 % (95% CI: 37·9-90·6%) and a 1-year OS</w:t>
      </w:r>
      <w:r>
        <w:t>R</w:t>
      </w:r>
      <w:r w:rsidRPr="00606E02">
        <w:t xml:space="preserve"> of 81·8% (95% CI: 44·7-95·1%)</w:t>
      </w:r>
      <w:r>
        <w:t xml:space="preserve">. In </w:t>
      </w:r>
      <w:r w:rsidRPr="00606E02">
        <w:rPr>
          <w:i/>
        </w:rPr>
        <w:t>ALK</w:t>
      </w:r>
      <w:r w:rsidRPr="00606E02">
        <w:t>- patients</w:t>
      </w:r>
      <w:r>
        <w:t xml:space="preserve">, 1/7 patients had an objective response </w:t>
      </w:r>
      <w:r w:rsidRPr="00606E02">
        <w:t>(14·3%; 95% CI</w:t>
      </w:r>
      <w:r>
        <w:t>:</w:t>
      </w:r>
      <w:r w:rsidRPr="00606E02">
        <w:t xml:space="preserve"> 0·0-57·9)</w:t>
      </w:r>
      <w:r>
        <w:t xml:space="preserve">, DCR was achieved in </w:t>
      </w:r>
      <w:r w:rsidRPr="00606E02">
        <w:t>6</w:t>
      </w:r>
      <w:r>
        <w:t>/</w:t>
      </w:r>
      <w:r w:rsidRPr="00606E02">
        <w:t xml:space="preserve">7 </w:t>
      </w:r>
      <w:r w:rsidRPr="00606E02">
        <w:rPr>
          <w:i/>
        </w:rPr>
        <w:t>ALK</w:t>
      </w:r>
      <w:r w:rsidRPr="00606E02">
        <w:t>- patients (85·7%; 95% CI</w:t>
      </w:r>
      <w:r>
        <w:t>:</w:t>
      </w:r>
      <w:r w:rsidRPr="00606E02">
        <w:t xml:space="preserve"> 42·1-99·6%)</w:t>
      </w:r>
      <w:r>
        <w:t xml:space="preserve">, with a 1-year PFR of </w:t>
      </w:r>
      <w:r w:rsidRPr="00606E02">
        <w:t>53·6% (95% CI</w:t>
      </w:r>
      <w:r>
        <w:t>:</w:t>
      </w:r>
      <w:r w:rsidRPr="00606E02">
        <w:t xml:space="preserve"> 13·2-82·5%)</w:t>
      </w:r>
      <w:r>
        <w:t xml:space="preserve"> and an OSR of </w:t>
      </w:r>
      <w:r w:rsidRPr="00606E02">
        <w:t>83·3% (95% CI: 27·3-97·5%)</w:t>
      </w:r>
      <w:r>
        <w:t xml:space="preserve">. </w:t>
      </w:r>
      <w:r w:rsidR="0003337A" w:rsidRPr="00524D52">
        <w:t xml:space="preserve">The main objective of this prospective trial was to study the anti-tumor activity of crizotinib in patients with locally advanced or metastatic </w:t>
      </w:r>
      <w:r w:rsidR="0003337A" w:rsidRPr="00524D52">
        <w:rPr>
          <w:i/>
        </w:rPr>
        <w:t>ALK</w:t>
      </w:r>
      <w:r w:rsidR="0003337A" w:rsidRPr="00524D52">
        <w:t>+ IMFT. The primary endpoint (ORR per RECIST 1</w:t>
      </w:r>
      <w:r w:rsidR="0003337A" w:rsidRPr="00524D52">
        <w:rPr>
          <w:bCs/>
        </w:rPr>
        <w:t>·</w:t>
      </w:r>
      <w:r w:rsidR="0003337A" w:rsidRPr="00524D52">
        <w:t xml:space="preserve">1) was chosen based on the response pattern seen with crizotinib in the labelled indication of </w:t>
      </w:r>
      <w:r w:rsidR="003617E6" w:rsidRPr="00524D52">
        <w:rPr>
          <w:i/>
        </w:rPr>
        <w:t>ALK</w:t>
      </w:r>
      <w:r w:rsidR="003617E6" w:rsidRPr="00524D52">
        <w:t xml:space="preserve"> driven </w:t>
      </w:r>
      <w:r w:rsidR="0003337A" w:rsidRPr="00524D52">
        <w:t>NSCLC and due to the absence of reliable reference data on PFS, PFR and OR in this rare disease when the protocol was conceived. In general, PFS and PFR are regarded as more reliable endpoints when exploring new agents in mesenchymal malignancies</w:t>
      </w:r>
      <w:r w:rsidR="00D73A53" w:rsidRPr="00524D52">
        <w:t>, as objective responses in</w:t>
      </w:r>
      <w:r w:rsidR="0003337A" w:rsidRPr="00524D52">
        <w:t xml:space="preserve"> </w:t>
      </w:r>
      <w:r w:rsidR="007577C7">
        <w:t xml:space="preserve">soft tissue sarcoma </w:t>
      </w:r>
      <w:r w:rsidR="0003337A" w:rsidRPr="00524D52">
        <w:t>trials tend to occur only in a minority of patients.</w:t>
      </w:r>
      <w:r w:rsidR="003617E6" w:rsidRPr="00524D52">
        <w:t xml:space="preserve"> We also decided not to test crizotinib in IMFT in a randomized trial, considering the epidemiology of this orphan malignancy and the absence of a reli</w:t>
      </w:r>
      <w:r w:rsidR="00D73A53" w:rsidRPr="00524D52">
        <w:t>able reference treatment</w:t>
      </w:r>
      <w:r w:rsidR="003617E6" w:rsidRPr="00524D52">
        <w:t xml:space="preserve">. The entry of both </w:t>
      </w:r>
      <w:r w:rsidR="003617E6" w:rsidRPr="00524D52">
        <w:rPr>
          <w:i/>
        </w:rPr>
        <w:t>ALK</w:t>
      </w:r>
      <w:r w:rsidR="003617E6" w:rsidRPr="00524D52">
        <w:t xml:space="preserve">+ and </w:t>
      </w:r>
      <w:r w:rsidR="003617E6" w:rsidRPr="00524D52">
        <w:rPr>
          <w:i/>
        </w:rPr>
        <w:t>ALK</w:t>
      </w:r>
      <w:r w:rsidR="003617E6" w:rsidRPr="00524D52">
        <w:t>- cases, however, allowed us to assess the activity and safety of crizotinib in two important subset</w:t>
      </w:r>
      <w:r w:rsidR="00D73A53" w:rsidRPr="00524D52">
        <w:t>s of this rare cancer</w:t>
      </w:r>
      <w:r w:rsidR="007577C7">
        <w:t xml:space="preserve"> in parallel</w:t>
      </w:r>
      <w:r w:rsidR="00D73A53" w:rsidRPr="00524D52">
        <w:t xml:space="preserve">, and </w:t>
      </w:r>
      <w:r w:rsidR="007577C7">
        <w:t xml:space="preserve">to </w:t>
      </w:r>
      <w:r w:rsidR="003617E6" w:rsidRPr="00524D52">
        <w:t>use</w:t>
      </w:r>
      <w:r w:rsidR="007577C7">
        <w:t xml:space="preserve"> the</w:t>
      </w:r>
      <w:r w:rsidR="003617E6" w:rsidRPr="00524D52">
        <w:t xml:space="preserve"> </w:t>
      </w:r>
      <w:r w:rsidR="003617E6" w:rsidRPr="00524D52">
        <w:rPr>
          <w:i/>
        </w:rPr>
        <w:t>ALK</w:t>
      </w:r>
      <w:r w:rsidR="003617E6" w:rsidRPr="00524D52">
        <w:t>- cases as a non-historical control population</w:t>
      </w:r>
      <w:r w:rsidR="00D12BD2">
        <w:t xml:space="preserve">. </w:t>
      </w:r>
      <w:r w:rsidR="00D63168" w:rsidRPr="00E8739C">
        <w:t xml:space="preserve">As there is no established standard of care for advanced, inoperable </w:t>
      </w:r>
      <w:r w:rsidR="00D63168" w:rsidRPr="00DB248E">
        <w:rPr>
          <w:i/>
        </w:rPr>
        <w:t>ALK</w:t>
      </w:r>
      <w:r w:rsidR="00D63168" w:rsidRPr="00DB248E">
        <w:t xml:space="preserve">- IMFT, this study also assessed the effectiveness of crizotinib in this subset of IMFT patients. The </w:t>
      </w:r>
      <w:r w:rsidR="00D63168" w:rsidRPr="003E1FE2">
        <w:rPr>
          <w:i/>
        </w:rPr>
        <w:t>ALK-</w:t>
      </w:r>
      <w:r w:rsidR="00D63168" w:rsidRPr="003E1FE2">
        <w:t xml:space="preserve"> </w:t>
      </w:r>
      <w:r w:rsidR="00D63168" w:rsidRPr="003E1FE2">
        <w:lastRenderedPageBreak/>
        <w:t>subgroup also provides valuable insight on the selectivity of crizotinib and our understanding of this disease.</w:t>
      </w:r>
    </w:p>
    <w:p w14:paraId="54F6E10D" w14:textId="77777777" w:rsidR="00C530F9" w:rsidRDefault="00C530F9" w:rsidP="00490E17"/>
    <w:p w14:paraId="1E2491A8" w14:textId="4E66A54C" w:rsidR="00C530F9" w:rsidRPr="00524D52" w:rsidRDefault="00C530F9" w:rsidP="00CA3E9E">
      <w:r w:rsidRPr="00065B26">
        <w:t xml:space="preserve">Limitations of this study include that it is a non-comparative, single-arm study with patient numbers that would be considered small in relation to the </w:t>
      </w:r>
      <w:r w:rsidR="00210914">
        <w:t>typical</w:t>
      </w:r>
      <w:r w:rsidRPr="00065B26">
        <w:t xml:space="preserve"> phase 3 clinical trials with other tumor types, such as NSCLC or breast cancer. However, from an epidemiological point of view, IMFT is an extremely rare typ</w:t>
      </w:r>
      <w:r w:rsidRPr="00490E17">
        <w:t xml:space="preserve">e of cancer </w:t>
      </w:r>
      <w:r w:rsidRPr="00490E17">
        <w:rPr>
          <w:color w:val="000000"/>
        </w:rPr>
        <w:t>with a prevalence ranging from 0.04-0.7% of the world population.</w:t>
      </w:r>
      <w:r w:rsidRPr="00CA3E9E">
        <w:rPr>
          <w:color w:val="000000"/>
          <w:vertAlign w:val="superscript"/>
        </w:rPr>
        <w:t>23</w:t>
      </w:r>
      <w:r w:rsidRPr="00E8739C">
        <w:rPr>
          <w:color w:val="000000"/>
        </w:rPr>
        <w:t xml:space="preserve"> </w:t>
      </w:r>
      <w:r w:rsidRPr="00DB248E">
        <w:rPr>
          <w:rFonts w:cstheme="minorHAnsi"/>
          <w:lang w:eastAsia="en-GB"/>
        </w:rPr>
        <w:t xml:space="preserve">Thus, with this </w:t>
      </w:r>
      <w:r w:rsidR="008B0AB0" w:rsidRPr="00DB248E">
        <w:rPr>
          <w:rFonts w:cstheme="minorHAnsi"/>
          <w:lang w:eastAsia="en-GB"/>
        </w:rPr>
        <w:t>rare disease</w:t>
      </w:r>
      <w:r w:rsidRPr="00DB248E">
        <w:rPr>
          <w:rFonts w:cstheme="minorHAnsi"/>
          <w:lang w:eastAsia="en-GB"/>
        </w:rPr>
        <w:t xml:space="preserve">, it is not possible to conduct the typical large randomized trials that occur with </w:t>
      </w:r>
      <w:r w:rsidR="00E31144" w:rsidRPr="00DB248E">
        <w:rPr>
          <w:rFonts w:cstheme="minorHAnsi"/>
          <w:lang w:eastAsia="en-GB"/>
        </w:rPr>
        <w:t xml:space="preserve">the </w:t>
      </w:r>
      <w:r w:rsidRPr="00DB248E">
        <w:rPr>
          <w:rFonts w:cstheme="minorHAnsi"/>
          <w:lang w:eastAsia="en-GB"/>
        </w:rPr>
        <w:t xml:space="preserve">more prevalent tumor types. </w:t>
      </w:r>
      <w:r w:rsidRPr="00DB248E">
        <w:t>Our study is the largest prospective series of IMFT cases and a non-randomized cohort study is likely the best evidence that will ever be generated by the sarcoma community in this rare malignancy. Of note, the National Comprehensive Cancer Network, a not-for-profit alliance of 27 leadin</w:t>
      </w:r>
      <w:r w:rsidRPr="003E1FE2">
        <w:t xml:space="preserve">g cancer centers, already recommends in their Clinical Practice Guidelines the use of crizotinib as a systemic treatment for IMFT with </w:t>
      </w:r>
      <w:r w:rsidRPr="003E1FE2">
        <w:rPr>
          <w:i/>
        </w:rPr>
        <w:t>ALK</w:t>
      </w:r>
      <w:r w:rsidRPr="003E1FE2">
        <w:t xml:space="preserve"> translocation.</w:t>
      </w:r>
      <w:r w:rsidR="00C1547B" w:rsidRPr="003E1FE2">
        <w:rPr>
          <w:vertAlign w:val="superscript"/>
        </w:rPr>
        <w:t>24</w:t>
      </w:r>
      <w:r w:rsidRPr="003E1FE2">
        <w:t xml:space="preserve"> This recommendation was based on only two cases, one </w:t>
      </w:r>
      <w:r w:rsidRPr="002D5A07">
        <w:rPr>
          <w:i/>
        </w:rPr>
        <w:t>ALK</w:t>
      </w:r>
      <w:r w:rsidRPr="002D5A07">
        <w:t xml:space="preserve">+ and one </w:t>
      </w:r>
      <w:r w:rsidRPr="002D5A07">
        <w:rPr>
          <w:i/>
        </w:rPr>
        <w:t>ALK</w:t>
      </w:r>
      <w:r w:rsidRPr="002D5A07">
        <w:t>-, treated with crizotinib in the context of a Phase 1 trial.</w:t>
      </w:r>
      <w:r w:rsidRPr="002D5A07">
        <w:rPr>
          <w:vertAlign w:val="superscript"/>
        </w:rPr>
        <w:t>1</w:t>
      </w:r>
      <w:r w:rsidRPr="002D5A07">
        <w:t xml:space="preserve"> In our phase 2 study, we present evidence from 19 prospectively treated IMFT patients in a disease-specific trial who were evaluable for all primary and secondary endpoints, with centralized tissue collection, reference path</w:t>
      </w:r>
      <w:r w:rsidRPr="00A9399A">
        <w:t>ology and FISH testing. It is very unlikely that there will be further attempts to run a similar or even larger trial in this orphan disease</w:t>
      </w:r>
      <w:r w:rsidR="00210914">
        <w:t xml:space="preserve"> with this drug</w:t>
      </w:r>
      <w:r>
        <w:t>.</w:t>
      </w:r>
    </w:p>
    <w:p w14:paraId="27CF3249" w14:textId="6AE94BCC" w:rsidR="003617E6" w:rsidRPr="00524D52" w:rsidRDefault="003617E6" w:rsidP="00DB248E"/>
    <w:p w14:paraId="612F571E" w14:textId="3316AFD8" w:rsidR="000A3615" w:rsidRPr="00AA5199" w:rsidRDefault="003617E6" w:rsidP="00AA5199">
      <w:r w:rsidRPr="00524D52">
        <w:t xml:space="preserve">The study met </w:t>
      </w:r>
      <w:r w:rsidR="00A93DD5" w:rsidRPr="00524D52">
        <w:t xml:space="preserve">all </w:t>
      </w:r>
      <w:r w:rsidRPr="00524D52">
        <w:t>its scientific objectives</w:t>
      </w:r>
      <w:r w:rsidR="0041474C">
        <w:t>,</w:t>
      </w:r>
      <w:r w:rsidR="0041474C" w:rsidRPr="00524D52">
        <w:t xml:space="preserve"> </w:t>
      </w:r>
      <w:r w:rsidR="0041474C">
        <w:t>but p</w:t>
      </w:r>
      <w:r w:rsidR="0041474C" w:rsidRPr="00524D52">
        <w:t xml:space="preserve">atient </w:t>
      </w:r>
      <w:r w:rsidRPr="00524D52">
        <w:t>rec</w:t>
      </w:r>
      <w:r w:rsidR="00A93DD5" w:rsidRPr="00524D52">
        <w:t xml:space="preserve">ruitment was slow, confirming </w:t>
      </w:r>
      <w:r w:rsidRPr="00524D52">
        <w:t>the orphan character of IMFT. Among 35 patients with the local diagnosis of IMFT in the 13 involved high</w:t>
      </w:r>
      <w:r w:rsidR="00D73A53" w:rsidRPr="00524D52">
        <w:t>-volume sites</w:t>
      </w:r>
      <w:r w:rsidRPr="00524D52">
        <w:t>, the diagnosis could not be confirmed by central reference pathology</w:t>
      </w:r>
      <w:r w:rsidR="00D73A53" w:rsidRPr="00524D52">
        <w:t xml:space="preserve"> in </w:t>
      </w:r>
      <w:r w:rsidR="0041474C">
        <w:t>9</w:t>
      </w:r>
      <w:r w:rsidR="0041474C" w:rsidRPr="00524D52">
        <w:t xml:space="preserve"> </w:t>
      </w:r>
      <w:r w:rsidR="00D73A53" w:rsidRPr="00524D52">
        <w:t>cases</w:t>
      </w:r>
      <w:r w:rsidRPr="00524D52">
        <w:t>, illustrating the complexity of proper morphological classification of such tumors.</w:t>
      </w:r>
      <w:r w:rsidR="00A93DD5" w:rsidRPr="00524D52">
        <w:t xml:space="preserve"> </w:t>
      </w:r>
      <w:r w:rsidR="000A3615" w:rsidRPr="00016807">
        <w:rPr>
          <w:u w:color="0432FF"/>
        </w:rPr>
        <w:t xml:space="preserve">Misclassification of </w:t>
      </w:r>
      <w:r w:rsidR="000A3615">
        <w:rPr>
          <w:u w:color="0432FF"/>
        </w:rPr>
        <w:t>diseases</w:t>
      </w:r>
      <w:r w:rsidR="000A3615" w:rsidRPr="00016807">
        <w:rPr>
          <w:u w:color="0432FF"/>
        </w:rPr>
        <w:t xml:space="preserve"> is a common finding in sarcoma trials, given the orphan character of mesenchymal malignancies and their morphological and genetic heterogeneity, with more than 70 entities described in the literature. IMFT</w:t>
      </w:r>
      <w:r w:rsidR="000A3615">
        <w:rPr>
          <w:u w:color="0432FF"/>
        </w:rPr>
        <w:t>,</w:t>
      </w:r>
      <w:r w:rsidR="000A3615" w:rsidRPr="00016807">
        <w:rPr>
          <w:u w:color="0432FF"/>
        </w:rPr>
        <w:t xml:space="preserve"> one of the rarest </w:t>
      </w:r>
      <w:r w:rsidR="000A3615">
        <w:rPr>
          <w:u w:color="0432FF"/>
        </w:rPr>
        <w:t>of soft tissue sarcomas</w:t>
      </w:r>
      <w:r w:rsidR="000A3615" w:rsidRPr="00016807">
        <w:rPr>
          <w:u w:color="0432FF"/>
        </w:rPr>
        <w:t xml:space="preserve">, can have a very variable clinical presentation and can occur throughout the body, which makes the diagnosis even more difficult. </w:t>
      </w:r>
      <w:r w:rsidR="000A3615">
        <w:rPr>
          <w:u w:color="0432FF"/>
        </w:rPr>
        <w:t>The World Health Organization (</w:t>
      </w:r>
      <w:r w:rsidR="000A3615" w:rsidRPr="00016807">
        <w:rPr>
          <w:u w:color="0432FF"/>
        </w:rPr>
        <w:t>WHO</w:t>
      </w:r>
      <w:r w:rsidR="000A3615">
        <w:rPr>
          <w:u w:color="0432FF"/>
        </w:rPr>
        <w:t>)</w:t>
      </w:r>
      <w:r w:rsidR="000A3615" w:rsidRPr="00016807">
        <w:rPr>
          <w:u w:color="0432FF"/>
        </w:rPr>
        <w:t xml:space="preserve"> refers to 6 different synonyms for this diagnosis (plasma cell granuloma; inflammatory myofibrohistiocytic proliferation; omental mesenteric myxoid hamartoma; inflammatory pseudotumour; inflammatory fibrosarcoma; inflammatory myofibroblastic sarcoma), illustrating the difficulty to classify IMFT properly.</w:t>
      </w:r>
      <w:r w:rsidR="000A3615" w:rsidRPr="006D71F1">
        <w:rPr>
          <w:u w:color="0432FF"/>
          <w:vertAlign w:val="superscript"/>
        </w:rPr>
        <w:t>22</w:t>
      </w:r>
      <w:r w:rsidR="000A3615" w:rsidRPr="00016807">
        <w:rPr>
          <w:u w:color="0432FF"/>
        </w:rPr>
        <w:t xml:space="preserve"> WHO also highlights that pseudosarcomatous myofibroblastic proliferations can be </w:t>
      </w:r>
      <w:r w:rsidR="000A3615">
        <w:rPr>
          <w:u w:color="0432FF"/>
        </w:rPr>
        <w:t>difficult to distinguish from I</w:t>
      </w:r>
      <w:r w:rsidR="000A3615" w:rsidRPr="00016807">
        <w:rPr>
          <w:u w:color="0432FF"/>
        </w:rPr>
        <w:t>M</w:t>
      </w:r>
      <w:r w:rsidR="000A3615">
        <w:rPr>
          <w:u w:color="0432FF"/>
        </w:rPr>
        <w:t>F</w:t>
      </w:r>
      <w:r w:rsidR="000A3615" w:rsidRPr="00016807">
        <w:rPr>
          <w:u w:color="0432FF"/>
        </w:rPr>
        <w:t>T. There is also some overlap with IgG4-related sclerosing disease, another rare entity subdivided into 5 microscopic subtypes, all of them showing inflammatory cell populations.</w:t>
      </w:r>
      <w:r w:rsidR="000A3615">
        <w:rPr>
          <w:u w:color="0432FF"/>
        </w:rPr>
        <w:t xml:space="preserve"> </w:t>
      </w:r>
      <w:r w:rsidR="000A3615" w:rsidRPr="00016807">
        <w:rPr>
          <w:u w:color="0432FF"/>
        </w:rPr>
        <w:t>The diag</w:t>
      </w:r>
      <w:r w:rsidR="000A3615">
        <w:rPr>
          <w:u w:color="0432FF"/>
        </w:rPr>
        <w:t>nosis of I</w:t>
      </w:r>
      <w:r w:rsidR="000A3615" w:rsidRPr="00016807">
        <w:rPr>
          <w:u w:color="0432FF"/>
        </w:rPr>
        <w:t xml:space="preserve">MFT is relatively easy if ALK positivity is confirmed by immunohistochemistry and/or fluorescence </w:t>
      </w:r>
      <w:r w:rsidR="000A3615" w:rsidRPr="00016807">
        <w:rPr>
          <w:i/>
          <w:iCs/>
          <w:u w:color="0432FF"/>
        </w:rPr>
        <w:t>in situ</w:t>
      </w:r>
      <w:r w:rsidR="000A3615" w:rsidRPr="00016807">
        <w:rPr>
          <w:u w:color="0432FF"/>
        </w:rPr>
        <w:t xml:space="preserve"> hybridization. </w:t>
      </w:r>
      <w:r w:rsidR="000A3615">
        <w:rPr>
          <w:u w:color="0432FF"/>
        </w:rPr>
        <w:t>As o</w:t>
      </w:r>
      <w:r w:rsidR="000A3615" w:rsidRPr="00016807">
        <w:rPr>
          <w:u w:color="0432FF"/>
        </w:rPr>
        <w:t xml:space="preserve">ur trial accepted both </w:t>
      </w:r>
      <w:r w:rsidR="000A3615" w:rsidRPr="002D1658">
        <w:rPr>
          <w:i/>
          <w:u w:color="0432FF"/>
        </w:rPr>
        <w:t>ALK</w:t>
      </w:r>
      <w:r w:rsidR="000A3615" w:rsidRPr="00016807">
        <w:rPr>
          <w:u w:color="0432FF"/>
        </w:rPr>
        <w:t xml:space="preserve">+ and </w:t>
      </w:r>
      <w:r w:rsidR="000A3615" w:rsidRPr="002D1658">
        <w:rPr>
          <w:i/>
          <w:u w:color="0432FF"/>
        </w:rPr>
        <w:t>ALK</w:t>
      </w:r>
      <w:r w:rsidR="000A3615" w:rsidRPr="00016807">
        <w:rPr>
          <w:u w:color="0432FF"/>
        </w:rPr>
        <w:t xml:space="preserve">- cases, so the reference pathologist had the difficult task to confirm the diagnosis based on morphological features in the </w:t>
      </w:r>
      <w:r w:rsidR="000A3615" w:rsidRPr="002D1658">
        <w:rPr>
          <w:i/>
          <w:u w:color="0432FF"/>
        </w:rPr>
        <w:t>ALK</w:t>
      </w:r>
      <w:r w:rsidR="000A3615" w:rsidRPr="00016807">
        <w:rPr>
          <w:u w:color="0432FF"/>
        </w:rPr>
        <w:t>- cases using archival tissue. If there we</w:t>
      </w:r>
      <w:r w:rsidR="000A3615">
        <w:rPr>
          <w:u w:color="0432FF"/>
        </w:rPr>
        <w:t>re</w:t>
      </w:r>
      <w:r w:rsidR="000A3615" w:rsidRPr="00016807">
        <w:rPr>
          <w:u w:color="0432FF"/>
        </w:rPr>
        <w:t xml:space="preserve"> no convincing arguments for IMFT, the cases were rejected for </w:t>
      </w:r>
      <w:r w:rsidR="000A3615">
        <w:rPr>
          <w:u w:color="0432FF"/>
        </w:rPr>
        <w:t>study entry</w:t>
      </w:r>
      <w:r w:rsidR="000A3615" w:rsidRPr="00016807">
        <w:rPr>
          <w:u w:color="0432FF"/>
        </w:rPr>
        <w:t>, as we wanted to have a very well defined patient population and wanted to reduce the number of patients who were unlikely to respond to an ALK/ROS1 inhibitor.</w:t>
      </w:r>
    </w:p>
    <w:p w14:paraId="2DC7B31E" w14:textId="77777777" w:rsidR="000A3615" w:rsidRDefault="000A3615" w:rsidP="00DB248E"/>
    <w:p w14:paraId="130DB298" w14:textId="37A3B0E0" w:rsidR="003617E6" w:rsidRDefault="00A93DD5" w:rsidP="00DB248E">
      <w:r w:rsidRPr="00524D52">
        <w:t xml:space="preserve">The frequency of </w:t>
      </w:r>
      <w:r w:rsidRPr="00524D52">
        <w:rPr>
          <w:i/>
        </w:rPr>
        <w:t>ALK</w:t>
      </w:r>
      <w:r w:rsidRPr="00524D52">
        <w:t xml:space="preserve"> alterations in our patients with confirmed </w:t>
      </w:r>
      <w:r w:rsidR="00C1443A">
        <w:t xml:space="preserve">IMFT </w:t>
      </w:r>
      <w:r w:rsidRPr="00524D52">
        <w:t xml:space="preserve">diagnosis was more or less in line with the literature, with 66·7% of patients being </w:t>
      </w:r>
      <w:r w:rsidRPr="00524D52">
        <w:rPr>
          <w:i/>
        </w:rPr>
        <w:t>ALK</w:t>
      </w:r>
      <w:r w:rsidR="00D73A53" w:rsidRPr="00524D52">
        <w:t xml:space="preserve">+ </w:t>
      </w:r>
      <w:r w:rsidRPr="00524D52">
        <w:t>based on immunohistochemistry and/or FISH. We cannot exclude some preselection of patients in the involved academic study</w:t>
      </w:r>
      <w:r w:rsidR="00D73A53" w:rsidRPr="00524D52">
        <w:t xml:space="preserve"> sites, as ALK testing has</w:t>
      </w:r>
      <w:r w:rsidRPr="00524D52">
        <w:t xml:space="preserve"> </w:t>
      </w:r>
      <w:r w:rsidR="002310AD" w:rsidRPr="00524D52">
        <w:t>become</w:t>
      </w:r>
      <w:r w:rsidR="00D73A53" w:rsidRPr="00524D52">
        <w:t xml:space="preserve"> </w:t>
      </w:r>
      <w:r w:rsidRPr="00524D52">
        <w:t>part of the diagnostic routine in presumed IMFT cases, and the investigators were aware of the potential molecular targets of crizotinib.</w:t>
      </w:r>
    </w:p>
    <w:p w14:paraId="47C91553" w14:textId="0ECC248E" w:rsidR="007427D4" w:rsidRPr="00524D52" w:rsidRDefault="007427D4" w:rsidP="00DB248E"/>
    <w:p w14:paraId="6EE27A68" w14:textId="2491933C" w:rsidR="00172F57" w:rsidRDefault="00580216" w:rsidP="003E1FE2">
      <w:r>
        <w:lastRenderedPageBreak/>
        <w:t xml:space="preserve">In NSCLC, crizotinib </w:t>
      </w:r>
      <w:r w:rsidR="00C1443A">
        <w:t>is known</w:t>
      </w:r>
      <w:r>
        <w:t xml:space="preserve"> to be highly effective in patients with </w:t>
      </w:r>
      <w:r w:rsidRPr="00580216">
        <w:rPr>
          <w:i/>
        </w:rPr>
        <w:t>ALK</w:t>
      </w:r>
      <w:r>
        <w:rPr>
          <w:i/>
        </w:rPr>
        <w:t>+</w:t>
      </w:r>
      <w:r>
        <w:t xml:space="preserve"> disease</w:t>
      </w:r>
      <w:r w:rsidR="000D4FA7">
        <w:t>,</w:t>
      </w:r>
      <w:r w:rsidR="000D4FA7" w:rsidRPr="000D4FA7">
        <w:rPr>
          <w:vertAlign w:val="superscript"/>
        </w:rPr>
        <w:t>15,18,21</w:t>
      </w:r>
      <w:r>
        <w:t xml:space="preserve"> and we also found this to be the case in</w:t>
      </w:r>
      <w:r w:rsidR="000D4FA7">
        <w:t xml:space="preserve"> </w:t>
      </w:r>
      <w:r w:rsidR="000D4FA7" w:rsidRPr="00524D52">
        <w:rPr>
          <w:i/>
        </w:rPr>
        <w:t>ALK</w:t>
      </w:r>
      <w:r w:rsidR="000D4FA7" w:rsidRPr="00524D52">
        <w:t xml:space="preserve">+ </w:t>
      </w:r>
      <w:r w:rsidR="000D4FA7">
        <w:t>IMFT</w:t>
      </w:r>
      <w:r w:rsidR="00C1443A">
        <w:t xml:space="preserve">, </w:t>
      </w:r>
      <w:r w:rsidR="000B7366">
        <w:t>considering</w:t>
      </w:r>
      <w:r w:rsidR="007427D4" w:rsidRPr="00524D52">
        <w:t xml:space="preserve"> both the primary and multiple secondary endpoints</w:t>
      </w:r>
      <w:r w:rsidR="006235CA" w:rsidRPr="00524D52">
        <w:t xml:space="preserve"> used in this trial</w:t>
      </w:r>
      <w:r w:rsidR="007427D4" w:rsidRPr="00524D52">
        <w:t xml:space="preserve">. Among 12 eligible and evaluable </w:t>
      </w:r>
      <w:r w:rsidR="007427D4" w:rsidRPr="00524D52">
        <w:rPr>
          <w:i/>
        </w:rPr>
        <w:t>ALK+</w:t>
      </w:r>
      <w:r w:rsidR="007427D4" w:rsidRPr="00524D52">
        <w:t xml:space="preserve"> patients, </w:t>
      </w:r>
      <w:r w:rsidR="005705D8">
        <w:t>6</w:t>
      </w:r>
      <w:r w:rsidR="005705D8" w:rsidRPr="00524D52">
        <w:t xml:space="preserve"> </w:t>
      </w:r>
      <w:r w:rsidR="007427D4" w:rsidRPr="00524D52">
        <w:t xml:space="preserve">achieved a confirmed PR or CR, one a non-confirmed PR and </w:t>
      </w:r>
      <w:r w:rsidR="005705D8">
        <w:t>5</w:t>
      </w:r>
      <w:r w:rsidR="005705D8" w:rsidRPr="00524D52">
        <w:t xml:space="preserve"> </w:t>
      </w:r>
      <w:r w:rsidR="007427D4" w:rsidRPr="00524D52">
        <w:t xml:space="preserve">had SD, translating in an ORR of 50·0%, disease control in 100·0% of patients, a 1-year PFR of 73·3 % </w:t>
      </w:r>
      <w:r w:rsidR="006235CA" w:rsidRPr="00524D52">
        <w:t>and 1-year overall survival</w:t>
      </w:r>
      <w:r w:rsidR="007427D4" w:rsidRPr="00524D52">
        <w:t xml:space="preserve"> of 81·8%.</w:t>
      </w:r>
      <w:r w:rsidR="006235CA" w:rsidRPr="00524D52">
        <w:t xml:space="preserve"> Considering the fact that only one patient in the total series had </w:t>
      </w:r>
      <w:r w:rsidR="00BA32EA">
        <w:t xml:space="preserve">previously </w:t>
      </w:r>
      <w:r w:rsidR="006235CA" w:rsidRPr="00524D52">
        <w:t xml:space="preserve">responded to conventional systemic chemotherapy, this is a spectacular result. </w:t>
      </w:r>
      <w:r w:rsidR="0073469D" w:rsidRPr="00524D52">
        <w:t xml:space="preserve">This is also reflected in the duration of treatment or number of treatment cycles in the </w:t>
      </w:r>
      <w:r w:rsidR="0073469D" w:rsidRPr="00524D52">
        <w:rPr>
          <w:i/>
        </w:rPr>
        <w:t>ALK</w:t>
      </w:r>
      <w:r w:rsidR="0073469D" w:rsidRPr="00524D52">
        <w:t>+ patient subset. The median duration on trial was 7</w:t>
      </w:r>
      <w:r w:rsidR="00263314" w:rsidRPr="00524D52">
        <w:t>·</w:t>
      </w:r>
      <w:r w:rsidR="0073469D" w:rsidRPr="00524D52">
        <w:t>2 months, ranging from 3</w:t>
      </w:r>
      <w:r w:rsidR="00263314" w:rsidRPr="00524D52">
        <w:t>·</w:t>
      </w:r>
      <w:r w:rsidR="0073469D" w:rsidRPr="00524D52">
        <w:t>4 to 42</w:t>
      </w:r>
      <w:r w:rsidR="00263314" w:rsidRPr="00524D52">
        <w:t>·</w:t>
      </w:r>
      <w:r w:rsidR="0073469D" w:rsidRPr="00524D52">
        <w:t xml:space="preserve">3 months, also illustrating that crizotinib was </w:t>
      </w:r>
      <w:r w:rsidR="00D87AE9" w:rsidRPr="00524D52">
        <w:t xml:space="preserve">well </w:t>
      </w:r>
      <w:r w:rsidR="0073469D" w:rsidRPr="00524D52">
        <w:t>tolerated with very high dose intensity</w:t>
      </w:r>
      <w:r w:rsidR="00D73A53" w:rsidRPr="00524D52">
        <w:t xml:space="preserve"> over a long period of time</w:t>
      </w:r>
      <w:r w:rsidR="0073469D" w:rsidRPr="00524D52">
        <w:t xml:space="preserve">. </w:t>
      </w:r>
      <w:r w:rsidR="00D73A53" w:rsidRPr="00524D52">
        <w:t>Four patients we</w:t>
      </w:r>
      <w:r w:rsidR="00F81499" w:rsidRPr="00524D52">
        <w:t xml:space="preserve">re </w:t>
      </w:r>
      <w:r w:rsidR="0073469D" w:rsidRPr="00524D52">
        <w:t xml:space="preserve">still on active treatment </w:t>
      </w:r>
      <w:r w:rsidR="00F81499" w:rsidRPr="00524D52">
        <w:t xml:space="preserve">when performing the </w:t>
      </w:r>
      <w:r w:rsidR="00D73A53" w:rsidRPr="00524D52">
        <w:t>statistical analysis for this publication</w:t>
      </w:r>
      <w:r w:rsidR="0073469D" w:rsidRPr="00524D52">
        <w:t>.</w:t>
      </w:r>
      <w:r w:rsidR="00A66615" w:rsidRPr="00524D52">
        <w:t xml:space="preserve"> </w:t>
      </w:r>
      <w:r w:rsidR="00172F57">
        <w:t xml:space="preserve">A notable finding in this trial is the consistency of the efficacy signal achieved with crizotinib in </w:t>
      </w:r>
      <w:r w:rsidR="00172F57" w:rsidRPr="00BD5140">
        <w:rPr>
          <w:i/>
        </w:rPr>
        <w:t>ALK</w:t>
      </w:r>
      <w:r w:rsidR="00172F57">
        <w:t>+ IMFT, irrespective of the endpoint (ORR, DCR, DOR, PFR and survival), which provides strong evidence for the activity of the compound in this setting even in the absence of a randomized control group.</w:t>
      </w:r>
    </w:p>
    <w:p w14:paraId="7D9120A9" w14:textId="77777777" w:rsidR="009809D9" w:rsidRDefault="009809D9" w:rsidP="003E1FE2"/>
    <w:p w14:paraId="439EE6A2" w14:textId="470D2C2D" w:rsidR="009809D9" w:rsidRDefault="00CD0F62" w:rsidP="003E1FE2">
      <w:r w:rsidRPr="00E8654E">
        <w:t xml:space="preserve">In ALK-driven NSCLC crizotinib achieves a high rate of objective responses. Among </w:t>
      </w:r>
      <w:r w:rsidRPr="00E8654E">
        <w:rPr>
          <w:rStyle w:val="None"/>
        </w:rPr>
        <w:t xml:space="preserve">149 </w:t>
      </w:r>
      <w:r w:rsidRPr="00AA5199">
        <w:rPr>
          <w:rStyle w:val="None"/>
          <w:i/>
        </w:rPr>
        <w:t>ALK</w:t>
      </w:r>
      <w:r w:rsidR="00C91A99">
        <w:rPr>
          <w:rStyle w:val="None"/>
        </w:rPr>
        <w:t>+</w:t>
      </w:r>
      <w:r w:rsidRPr="00E8654E">
        <w:rPr>
          <w:rStyle w:val="None"/>
        </w:rPr>
        <w:t xml:space="preserve"> patients enrolled in the initial Phase 1 study, 87 of 143 patients had an objective response (60</w:t>
      </w:r>
      <w:r w:rsidRPr="00E8654E">
        <w:rPr>
          <w:rStyle w:val="None"/>
          <w:lang w:val="de-DE"/>
        </w:rPr>
        <w:t>·</w:t>
      </w:r>
      <w:r w:rsidRPr="00E8654E">
        <w:rPr>
          <w:rStyle w:val="None"/>
          <w:lang w:val="pt-PT"/>
        </w:rPr>
        <w:t>8%, 95% CI 52</w:t>
      </w:r>
      <w:r w:rsidRPr="00E8654E">
        <w:rPr>
          <w:rStyle w:val="None"/>
          <w:lang w:val="de-DE"/>
        </w:rPr>
        <w:t>·</w:t>
      </w:r>
      <w:r w:rsidRPr="00E8654E">
        <w:rPr>
          <w:rStyle w:val="None"/>
        </w:rPr>
        <w:t>3-68</w:t>
      </w:r>
      <w:r w:rsidRPr="00E8654E">
        <w:rPr>
          <w:rStyle w:val="None"/>
          <w:lang w:val="de-DE"/>
        </w:rPr>
        <w:t>·</w:t>
      </w:r>
      <w:r w:rsidRPr="00E8654E">
        <w:rPr>
          <w:rStyle w:val="None"/>
        </w:rPr>
        <w:t>9), including three CR and 84 PR.</w:t>
      </w:r>
      <w:r w:rsidR="00D1115D" w:rsidRPr="00E94A98">
        <w:rPr>
          <w:rStyle w:val="None"/>
          <w:vertAlign w:val="superscript"/>
        </w:rPr>
        <w:t>25</w:t>
      </w:r>
      <w:r w:rsidRPr="00E8654E">
        <w:rPr>
          <w:rStyle w:val="None"/>
        </w:rPr>
        <w:t xml:space="preserve"> Responses were durable with a median DOR of 49</w:t>
      </w:r>
      <w:r w:rsidRPr="00E8654E">
        <w:rPr>
          <w:rStyle w:val="None"/>
          <w:lang w:val="de-DE"/>
        </w:rPr>
        <w:t>·</w:t>
      </w:r>
      <w:r w:rsidRPr="00E8654E">
        <w:rPr>
          <w:rStyle w:val="None"/>
        </w:rPr>
        <w:t xml:space="preserve">1 weeks. Results observed in EORTC 90101 in ALK+ IMFT are very similar, with </w:t>
      </w:r>
      <w:r w:rsidRPr="00E8654E">
        <w:t>an ORR of 50</w:t>
      </w:r>
      <w:r w:rsidRPr="00E8654E">
        <w:rPr>
          <w:lang w:val="de-DE"/>
        </w:rPr>
        <w:t>·</w:t>
      </w:r>
      <w:r w:rsidRPr="00E8654E">
        <w:rPr>
          <w:lang w:val="it-IT"/>
        </w:rPr>
        <w:t>0% (95% CI 21</w:t>
      </w:r>
      <w:r w:rsidRPr="00E8654E">
        <w:rPr>
          <w:lang w:val="de-DE"/>
        </w:rPr>
        <w:t>·</w:t>
      </w:r>
      <w:r w:rsidRPr="00E8654E">
        <w:t>1-78</w:t>
      </w:r>
      <w:r w:rsidRPr="00E8654E">
        <w:rPr>
          <w:lang w:val="de-DE"/>
        </w:rPr>
        <w:t>·</w:t>
      </w:r>
      <w:r w:rsidRPr="00E8654E">
        <w:t>9%) and a median DOR of 9</w:t>
      </w:r>
      <w:r w:rsidRPr="00E8654E">
        <w:rPr>
          <w:lang w:val="de-DE"/>
        </w:rPr>
        <w:t>·</w:t>
      </w:r>
      <w:r w:rsidRPr="00E8654E">
        <w:t>0 months. Of note, 7 IMFT patients are still receiving active treatment as of November 09, 2017, after having achieved either RECIST PR or SD. Some of these patients are still having progressive shrinkage of their RECIST target lesions, may still convert to a PR/CR and the final DOR may be even longer than the reported 9</w:t>
      </w:r>
      <w:r w:rsidRPr="00E8654E">
        <w:rPr>
          <w:lang w:val="de-DE"/>
        </w:rPr>
        <w:t>·</w:t>
      </w:r>
      <w:r w:rsidRPr="00E8654E">
        <w:t>0 months.</w:t>
      </w:r>
    </w:p>
    <w:p w14:paraId="6A785012" w14:textId="77777777" w:rsidR="00172F57" w:rsidRDefault="00172F57" w:rsidP="003E1FE2"/>
    <w:p w14:paraId="70373C58" w14:textId="06F68F42" w:rsidR="003848A4" w:rsidRDefault="00172F57" w:rsidP="003E1FE2">
      <w:r>
        <w:t xml:space="preserve">Further supportive evidence is coming from </w:t>
      </w:r>
      <w:r w:rsidR="00A66615" w:rsidRPr="00524D52">
        <w:t>Mossé et al.</w:t>
      </w:r>
      <w:r>
        <w:t>, who</w:t>
      </w:r>
      <w:r w:rsidR="00A66615" w:rsidRPr="00524D52">
        <w:t xml:space="preserve"> recently p</w:t>
      </w:r>
      <w:r>
        <w:t xml:space="preserve">ublished </w:t>
      </w:r>
      <w:r w:rsidR="00A66615" w:rsidRPr="00524D52">
        <w:t xml:space="preserve">complementary data from </w:t>
      </w:r>
      <w:r w:rsidR="00D73A53" w:rsidRPr="00524D52">
        <w:t xml:space="preserve">14 </w:t>
      </w:r>
      <w:r w:rsidR="00A66615" w:rsidRPr="00524D52">
        <w:t xml:space="preserve">pediatric and adolescent patients with </w:t>
      </w:r>
      <w:r w:rsidR="00A66615" w:rsidRPr="00524D52">
        <w:rPr>
          <w:i/>
        </w:rPr>
        <w:t>ALK</w:t>
      </w:r>
      <w:r w:rsidR="00A66615" w:rsidRPr="00524D52">
        <w:t>+ IMFT. In their patient population they saw robust clinical responses to c</w:t>
      </w:r>
      <w:r w:rsidR="00D73A53" w:rsidRPr="00524D52">
        <w:t>rizotinib with an ORR of 86%</w:t>
      </w:r>
      <w:r w:rsidR="00ED1026">
        <w:t xml:space="preserve"> (12/14)</w:t>
      </w:r>
      <w:r w:rsidR="00D73A53" w:rsidRPr="00524D52">
        <w:t xml:space="preserve"> including</w:t>
      </w:r>
      <w:r w:rsidR="00A66615" w:rsidRPr="00524D52">
        <w:t xml:space="preserve"> </w:t>
      </w:r>
      <w:r w:rsidR="00D73A53" w:rsidRPr="00524D52">
        <w:t>36%</w:t>
      </w:r>
      <w:r w:rsidR="00ED1026">
        <w:t xml:space="preserve"> (5/14)</w:t>
      </w:r>
      <w:r w:rsidR="00D73A53" w:rsidRPr="00524D52">
        <w:t xml:space="preserve"> </w:t>
      </w:r>
      <w:r w:rsidR="00C91A99">
        <w:t>CR</w:t>
      </w:r>
      <w:r w:rsidR="00A66615" w:rsidRPr="00524D52">
        <w:t>.</w:t>
      </w:r>
      <w:r w:rsidR="00A66615" w:rsidRPr="00524D52">
        <w:rPr>
          <w:vertAlign w:val="superscript"/>
        </w:rPr>
        <w:t>7</w:t>
      </w:r>
      <w:r w:rsidR="00A66615" w:rsidRPr="00524D52">
        <w:rPr>
          <w:color w:val="0070C0"/>
        </w:rPr>
        <w:t xml:space="preserve"> </w:t>
      </w:r>
      <w:r w:rsidR="00785020" w:rsidRPr="00AA08F5">
        <w:t>The number of prospective, disease-specific clinical trials of crizotinib in IMFT is very limited. With the exception of the pediatric trial by Mossé et al.,</w:t>
      </w:r>
      <w:r w:rsidR="00785020" w:rsidRPr="00AA08F5">
        <w:rPr>
          <w:vertAlign w:val="superscript"/>
        </w:rPr>
        <w:t>7</w:t>
      </w:r>
      <w:r w:rsidR="00785020" w:rsidRPr="00AA08F5">
        <w:t xml:space="preserve"> there have  been no disease-specific prospective trials in </w:t>
      </w:r>
      <w:r w:rsidR="00D40E00">
        <w:t>IMFT</w:t>
      </w:r>
      <w:r w:rsidR="00785020" w:rsidRPr="00236315">
        <w:t xml:space="preserve"> with crizotinib, but a small number</w:t>
      </w:r>
      <w:r w:rsidR="00785020" w:rsidRPr="00910EE8">
        <w:t xml:space="preserve"> of </w:t>
      </w:r>
      <w:r w:rsidR="003848A4">
        <w:t>multi-tumor studies</w:t>
      </w:r>
      <w:r w:rsidR="00785020" w:rsidRPr="00910EE8">
        <w:t xml:space="preserve"> have allowed entry of ALK-driven IMFTs.</w:t>
      </w:r>
      <w:r w:rsidR="00785020" w:rsidRPr="00065B26">
        <w:t xml:space="preserve"> EORTC 90101 is a unique, academic, multinational trial in both </w:t>
      </w:r>
      <w:r w:rsidR="00785020" w:rsidRPr="00065B26">
        <w:rPr>
          <w:i/>
        </w:rPr>
        <w:t>ALK</w:t>
      </w:r>
      <w:r w:rsidR="00785020" w:rsidRPr="00065B26">
        <w:t xml:space="preserve">+ and </w:t>
      </w:r>
      <w:r w:rsidR="00785020" w:rsidRPr="00065B26">
        <w:rPr>
          <w:i/>
        </w:rPr>
        <w:t>ALK</w:t>
      </w:r>
      <w:r w:rsidR="00785020" w:rsidRPr="00065B26">
        <w:t xml:space="preserve">- IMFT with prospective tissue collection, reference pathology, centralized ALK testing. With only one prospective, disease-specific pediatric trial recently published by Mossé </w:t>
      </w:r>
      <w:r w:rsidR="00785020" w:rsidRPr="00490E17">
        <w:t>et al. plus a series of non-controlled case reports since Butrinsky’s original two-case initial observation,</w:t>
      </w:r>
      <w:r w:rsidR="00785020" w:rsidRPr="00CA3E9E">
        <w:rPr>
          <w:vertAlign w:val="superscript"/>
        </w:rPr>
        <w:t>1,7</w:t>
      </w:r>
      <w:r w:rsidR="00785020" w:rsidRPr="00CA3E9E">
        <w:t xml:space="preserve"> our study provides novel insights into the treatment of adult IMFT patients with </w:t>
      </w:r>
      <w:r w:rsidR="00785020" w:rsidRPr="00CA3E9E">
        <w:rPr>
          <w:i/>
        </w:rPr>
        <w:t>ALK</w:t>
      </w:r>
      <w:r w:rsidR="00785020" w:rsidRPr="00CA3E9E">
        <w:t xml:space="preserve">+ and </w:t>
      </w:r>
      <w:r w:rsidR="00785020" w:rsidRPr="00CA3E9E">
        <w:rPr>
          <w:i/>
        </w:rPr>
        <w:t>ALK</w:t>
      </w:r>
      <w:r w:rsidR="00785020" w:rsidRPr="00CA3E9E">
        <w:t xml:space="preserve">- disease. </w:t>
      </w:r>
    </w:p>
    <w:p w14:paraId="7BB4A913" w14:textId="77777777" w:rsidR="003848A4" w:rsidRDefault="003848A4" w:rsidP="003E1FE2"/>
    <w:p w14:paraId="741763C9" w14:textId="126FCA6E" w:rsidR="00CF06B4" w:rsidRDefault="00785020" w:rsidP="003E1FE2">
      <w:r w:rsidRPr="00CA3E9E">
        <w:t>The excellent series published by Mossé et al.</w:t>
      </w:r>
      <w:r w:rsidRPr="00DB248E">
        <w:rPr>
          <w:vertAlign w:val="superscript"/>
        </w:rPr>
        <w:t xml:space="preserve"> 7</w:t>
      </w:r>
      <w:r w:rsidRPr="00DB248E">
        <w:t xml:space="preserve"> is very different from our EORTC 90101 study and both trials provide complementary scientific information. Major differences between the Mossé et al.</w:t>
      </w:r>
      <w:r w:rsidRPr="003E1FE2">
        <w:rPr>
          <w:vertAlign w:val="superscript"/>
        </w:rPr>
        <w:t xml:space="preserve"> 7</w:t>
      </w:r>
      <w:r w:rsidRPr="003E1FE2">
        <w:t xml:space="preserve"> and the EORTC 90101 studies, respectively, include: pediatric (median age 7 years) vs. </w:t>
      </w:r>
      <w:r w:rsidR="001B6D01">
        <w:t xml:space="preserve">predominantly an </w:t>
      </w:r>
      <w:r w:rsidRPr="003E1FE2">
        <w:t xml:space="preserve">adult patient population (median age 45·5 years); US vs. Europe study centers; IMFT as an “add-on” to an anaplastic lymphoma trial vs. IMFT as part of the original disease-specific study design; confirmation of IMFT only based on pathology report vs. prospective reference pathology based on archival material; PET CT vs. CT or MRI for response assessment; </w:t>
      </w:r>
      <w:r w:rsidRPr="002D5A07">
        <w:rPr>
          <w:i/>
        </w:rPr>
        <w:t>ALK</w:t>
      </w:r>
      <w:r w:rsidRPr="002D5A07">
        <w:t xml:space="preserve">+ only vs. </w:t>
      </w:r>
      <w:r w:rsidRPr="002D5A07">
        <w:rPr>
          <w:i/>
        </w:rPr>
        <w:t>ALK</w:t>
      </w:r>
      <w:r w:rsidRPr="002D5A07">
        <w:t xml:space="preserve">+ and </w:t>
      </w:r>
      <w:r w:rsidRPr="002D5A07">
        <w:rPr>
          <w:i/>
        </w:rPr>
        <w:t>ALK</w:t>
      </w:r>
      <w:r w:rsidRPr="002D5A07">
        <w:t>- subcohorts; 14 vs. 19 cases; higher response rate in pediatric</w:t>
      </w:r>
      <w:r w:rsidR="00910EE8">
        <w:t xml:space="preserve"> </w:t>
      </w:r>
      <w:r w:rsidR="00910EE8" w:rsidRPr="00635E00">
        <w:t>(</w:t>
      </w:r>
      <w:r w:rsidR="00ED1026">
        <w:t>12/14 [</w:t>
      </w:r>
      <w:r w:rsidR="00910EE8" w:rsidRPr="00635E00">
        <w:t>85·7%</w:t>
      </w:r>
      <w:r w:rsidR="00ED1026">
        <w:t>]</w:t>
      </w:r>
      <w:r w:rsidR="00910EE8" w:rsidRPr="00635E00">
        <w:t>)</w:t>
      </w:r>
      <w:r w:rsidRPr="00910EE8">
        <w:t xml:space="preserve"> vs adult patients</w:t>
      </w:r>
      <w:r w:rsidR="00910EE8">
        <w:t xml:space="preserve"> (</w:t>
      </w:r>
      <w:r w:rsidR="00ED1026">
        <w:t>6/12 [</w:t>
      </w:r>
      <w:r w:rsidR="00910EE8" w:rsidRPr="00635E00">
        <w:t>50·0%</w:t>
      </w:r>
      <w:r w:rsidR="00ED1026">
        <w:t>]</w:t>
      </w:r>
      <w:r w:rsidR="00910EE8" w:rsidRPr="00635E00">
        <w:t xml:space="preserve"> in </w:t>
      </w:r>
      <w:r w:rsidR="00910EE8" w:rsidRPr="00635E00">
        <w:rPr>
          <w:i/>
        </w:rPr>
        <w:t>ALK</w:t>
      </w:r>
      <w:r w:rsidR="00910EE8" w:rsidRPr="00635E00">
        <w:t xml:space="preserve">+ patients and 14·3% in </w:t>
      </w:r>
      <w:r w:rsidR="00910EE8" w:rsidRPr="00635E00">
        <w:rPr>
          <w:i/>
        </w:rPr>
        <w:t>ALK</w:t>
      </w:r>
      <w:r w:rsidR="00910EE8" w:rsidRPr="00635E00">
        <w:t>- patients</w:t>
      </w:r>
      <w:r w:rsidR="00910EE8">
        <w:t>)</w:t>
      </w:r>
      <w:r w:rsidRPr="00910EE8">
        <w:t xml:space="preserve">; relatively short vs. very long follow-up; </w:t>
      </w:r>
      <w:r w:rsidR="00B011BF">
        <w:t>crizotinib dos</w:t>
      </w:r>
      <w:r w:rsidR="004562C4">
        <w:t>ing per m</w:t>
      </w:r>
      <w:r w:rsidR="004562C4" w:rsidRPr="008007A5">
        <w:rPr>
          <w:vertAlign w:val="superscript"/>
        </w:rPr>
        <w:t>2</w:t>
      </w:r>
      <w:r w:rsidR="00B011BF">
        <w:t xml:space="preserve"> </w:t>
      </w:r>
      <w:r w:rsidR="004562C4">
        <w:t>vs. flat dosing</w:t>
      </w:r>
      <w:r w:rsidR="00815110">
        <w:t>:</w:t>
      </w:r>
      <w:r w:rsidR="004562C4">
        <w:t xml:space="preserve"> </w:t>
      </w:r>
      <w:r w:rsidR="00B011BF">
        <w:t>(</w:t>
      </w:r>
      <w:r w:rsidRPr="00910EE8">
        <w:t xml:space="preserve">86% of pediatric patients treated </w:t>
      </w:r>
      <w:r w:rsidRPr="00AA08F5">
        <w:t>at 280 mg/m</w:t>
      </w:r>
      <w:r w:rsidRPr="00AA08F5">
        <w:rPr>
          <w:vertAlign w:val="superscript"/>
        </w:rPr>
        <w:t>2</w:t>
      </w:r>
      <w:r w:rsidR="004562C4">
        <w:t xml:space="preserve">) </w:t>
      </w:r>
      <w:r w:rsidRPr="00AA08F5">
        <w:t xml:space="preserve">vs. </w:t>
      </w:r>
      <w:r w:rsidR="00B011BF">
        <w:t xml:space="preserve">standard crizotinib </w:t>
      </w:r>
      <w:r w:rsidR="004562C4">
        <w:t xml:space="preserve">adult </w:t>
      </w:r>
      <w:r w:rsidR="00B011BF">
        <w:t>treatment dose</w:t>
      </w:r>
      <w:r w:rsidR="00B011BF" w:rsidRPr="00AA08F5">
        <w:t xml:space="preserve"> </w:t>
      </w:r>
      <w:r w:rsidR="00D64443">
        <w:t>(</w:t>
      </w:r>
      <w:r w:rsidRPr="00AA08F5">
        <w:t>250 mg twice daily</w:t>
      </w:r>
      <w:r w:rsidR="00D64443">
        <w:t>)</w:t>
      </w:r>
      <w:r w:rsidRPr="00AA08F5">
        <w:t xml:space="preserve">; a longer median duration of therapy of 1·63 years </w:t>
      </w:r>
      <w:r w:rsidRPr="00AA08F5">
        <w:lastRenderedPageBreak/>
        <w:t xml:space="preserve">vs. a median duration of 7·2 and 4·1 months in the </w:t>
      </w:r>
      <w:r w:rsidRPr="00AA08F5">
        <w:rPr>
          <w:i/>
        </w:rPr>
        <w:t>ALK</w:t>
      </w:r>
      <w:r w:rsidRPr="00AA08F5">
        <w:t xml:space="preserve">+ and </w:t>
      </w:r>
      <w:r w:rsidRPr="00AA08F5">
        <w:rPr>
          <w:i/>
        </w:rPr>
        <w:t>ALK</w:t>
      </w:r>
      <w:r w:rsidRPr="00AA08F5">
        <w:t>- adult populations</w:t>
      </w:r>
      <w:r w:rsidR="003F48E6">
        <w:t xml:space="preserve"> respectively</w:t>
      </w:r>
      <w:r w:rsidRPr="00AA08F5">
        <w:t>, etc.</w:t>
      </w:r>
      <w:r w:rsidR="00AA08F5">
        <w:t xml:space="preserve"> Both </w:t>
      </w:r>
      <w:r w:rsidR="00AA08F5" w:rsidRPr="00B017CD">
        <w:t xml:space="preserve">Mossé </w:t>
      </w:r>
      <w:r w:rsidR="00AA08F5" w:rsidRPr="00EA28AC">
        <w:t>et al</w:t>
      </w:r>
      <w:r w:rsidR="00AA08F5">
        <w:t xml:space="preserve"> and our study provide new insights into the treatment of IMFT pediatric and adult patients, respectively, and these studies </w:t>
      </w:r>
      <w:r w:rsidR="00A66615" w:rsidRPr="00524D52">
        <w:t>support the rationale for inhibiting ALK in IMFT.</w:t>
      </w:r>
      <w:r w:rsidR="00CF06B4">
        <w:br/>
      </w:r>
    </w:p>
    <w:p w14:paraId="372F1B8B" w14:textId="000CDC14" w:rsidR="00A66615" w:rsidRDefault="00052FEA" w:rsidP="003E1FE2">
      <w:r>
        <w:t xml:space="preserve">The </w:t>
      </w:r>
      <w:r w:rsidR="00CF06B4" w:rsidRPr="00C70511">
        <w:t>safe dose for crizotinib in pediatric patients was only established while EORTC 90101 CREATE had already started accruing. For this reason the original version of the protocol focused on adult patients. While the trial was running, the Children’s Oncology Group completed a pediatric dose finding study. In that study, crizotinib was well tolerated and the recommended pediatric phase 2 dose was 280 mg/m</w:t>
      </w:r>
      <w:r w:rsidR="00CF06B4" w:rsidRPr="00E76C6E">
        <w:rPr>
          <w:vertAlign w:val="superscript"/>
        </w:rPr>
        <w:t>2</w:t>
      </w:r>
      <w:r w:rsidR="00CF06B4" w:rsidRPr="00C70511">
        <w:t xml:space="preserve"> twice daily.</w:t>
      </w:r>
      <w:r w:rsidR="00CF06B4" w:rsidRPr="00CF06B4">
        <w:rPr>
          <w:vertAlign w:val="superscript"/>
        </w:rPr>
        <w:t>2</w:t>
      </w:r>
      <w:r w:rsidR="00D1115D">
        <w:rPr>
          <w:vertAlign w:val="superscript"/>
        </w:rPr>
        <w:t>6</w:t>
      </w:r>
      <w:r w:rsidR="00CF06B4" w:rsidRPr="00C70511">
        <w:t xml:space="preserve"> EORTC 90101 was then amended to allow inclusion of pediatric patients. We included IMFT patients in the age range of 15-78 years, with a median age of 45</w:t>
      </w:r>
      <w:r w:rsidR="00CF06B4" w:rsidRPr="00C70511">
        <w:rPr>
          <w:lang w:val="de-DE"/>
        </w:rPr>
        <w:t>·</w:t>
      </w:r>
      <w:r w:rsidR="00CF06B4" w:rsidRPr="00C70511">
        <w:t>5. Of note, the vast majority of patients in EORTC 90101 were adults and were treated</w:t>
      </w:r>
      <w:r w:rsidR="00B01C92">
        <w:t xml:space="preserve"> with a flat dose of crizotinib, </w:t>
      </w:r>
      <w:r w:rsidR="00B01C92" w:rsidRPr="00E8654E">
        <w:rPr>
          <w:u w:color="0462C1"/>
        </w:rPr>
        <w:t>in contrast to the dosing schedule used in Moss</w:t>
      </w:r>
      <w:r w:rsidR="00B01C92" w:rsidRPr="00E8654E">
        <w:rPr>
          <w:u w:color="0462C1"/>
          <w:lang w:val="fr-FR"/>
        </w:rPr>
        <w:t>é’</w:t>
      </w:r>
      <w:r w:rsidR="00B01C92" w:rsidRPr="00E8654E">
        <w:rPr>
          <w:u w:color="0462C1"/>
        </w:rPr>
        <w:t>s pediatrics</w:t>
      </w:r>
      <w:r w:rsidR="00B01C92">
        <w:rPr>
          <w:u w:color="0462C1"/>
        </w:rPr>
        <w:t xml:space="preserve"> p</w:t>
      </w:r>
      <w:r w:rsidR="00B01C92" w:rsidRPr="00E8654E">
        <w:rPr>
          <w:u w:color="0462C1"/>
        </w:rPr>
        <w:t>hase 1 and 2 trials with the agent</w:t>
      </w:r>
      <w:r w:rsidR="00B01C92">
        <w:rPr>
          <w:u w:color="0462C1"/>
        </w:rPr>
        <w:t>.</w:t>
      </w:r>
      <w:r w:rsidR="00B01C92" w:rsidRPr="00B01C92">
        <w:rPr>
          <w:u w:color="0462C1"/>
          <w:vertAlign w:val="superscript"/>
        </w:rPr>
        <w:t>7,26</w:t>
      </w:r>
      <w:r w:rsidR="000D5C9A">
        <w:br/>
      </w:r>
    </w:p>
    <w:p w14:paraId="717017EB" w14:textId="29E9B271" w:rsidR="000D5C9A" w:rsidRPr="00524D52" w:rsidRDefault="000D5C9A" w:rsidP="003E1FE2">
      <w:r w:rsidRPr="005F3C3E">
        <w:t xml:space="preserve">Objective confirmed responses were observed in </w:t>
      </w:r>
      <w:r w:rsidR="007F6C0B">
        <w:t>6</w:t>
      </w:r>
      <w:r w:rsidRPr="005F3C3E">
        <w:t xml:space="preserve"> out of 12 </w:t>
      </w:r>
      <w:r w:rsidRPr="005F3C3E">
        <w:rPr>
          <w:i/>
          <w:iCs/>
        </w:rPr>
        <w:t>ALK</w:t>
      </w:r>
      <w:r w:rsidRPr="005F3C3E">
        <w:t>+ patients (50</w:t>
      </w:r>
      <w:r w:rsidRPr="005F3C3E">
        <w:rPr>
          <w:lang w:val="de-DE"/>
        </w:rPr>
        <w:t>·</w:t>
      </w:r>
      <w:r w:rsidRPr="005F3C3E">
        <w:t>0% ORR; 95% confidence interval (CI) 21</w:t>
      </w:r>
      <w:r w:rsidRPr="005F3C3E">
        <w:rPr>
          <w:lang w:val="de-DE"/>
        </w:rPr>
        <w:t>·</w:t>
      </w:r>
      <w:r w:rsidRPr="005F3C3E">
        <w:t>1-78</w:t>
      </w:r>
      <w:r w:rsidRPr="005F3C3E">
        <w:rPr>
          <w:lang w:val="de-DE"/>
        </w:rPr>
        <w:t>·</w:t>
      </w:r>
      <w:r w:rsidRPr="005F3C3E">
        <w:t xml:space="preserve">9%) and in one out of </w:t>
      </w:r>
      <w:r w:rsidR="007F6C0B">
        <w:t>7</w:t>
      </w:r>
      <w:r w:rsidRPr="005F3C3E">
        <w:t xml:space="preserve"> </w:t>
      </w:r>
      <w:r w:rsidRPr="005F3C3E">
        <w:rPr>
          <w:i/>
          <w:iCs/>
        </w:rPr>
        <w:t>ALK</w:t>
      </w:r>
      <w:r w:rsidRPr="005F3C3E">
        <w:rPr>
          <w:lang w:val="fr-FR"/>
        </w:rPr>
        <w:t>- patients (14</w:t>
      </w:r>
      <w:r w:rsidRPr="005F3C3E">
        <w:rPr>
          <w:lang w:val="de-DE"/>
        </w:rPr>
        <w:t>·</w:t>
      </w:r>
      <w:r w:rsidRPr="005F3C3E">
        <w:rPr>
          <w:lang w:val="it-IT"/>
        </w:rPr>
        <w:t>3%; 95% CI 0</w:t>
      </w:r>
      <w:r w:rsidRPr="005F3C3E">
        <w:rPr>
          <w:lang w:val="de-DE"/>
        </w:rPr>
        <w:t>·</w:t>
      </w:r>
      <w:r w:rsidRPr="005F3C3E">
        <w:t>0-57</w:t>
      </w:r>
      <w:r w:rsidRPr="005F3C3E">
        <w:rPr>
          <w:lang w:val="de-DE"/>
        </w:rPr>
        <w:t>·</w:t>
      </w:r>
      <w:r w:rsidRPr="005F3C3E">
        <w:t>9)</w:t>
      </w:r>
      <w:r w:rsidR="007F6C0B">
        <w:t xml:space="preserve"> in our trial</w:t>
      </w:r>
      <w:r w:rsidRPr="005F3C3E">
        <w:t xml:space="preserve">. One </w:t>
      </w:r>
      <w:r w:rsidRPr="005F3C3E">
        <w:rPr>
          <w:i/>
          <w:iCs/>
        </w:rPr>
        <w:t>ALK</w:t>
      </w:r>
      <w:r w:rsidRPr="005F3C3E">
        <w:t xml:space="preserve">+ patient had a non-confirmed PR. RECIST SD as best response was observed in </w:t>
      </w:r>
      <w:r w:rsidR="001F5A5E">
        <w:t>5</w:t>
      </w:r>
      <w:r w:rsidRPr="005F3C3E">
        <w:t xml:space="preserve"> out of 12 </w:t>
      </w:r>
      <w:r w:rsidRPr="005F3C3E">
        <w:rPr>
          <w:i/>
          <w:iCs/>
        </w:rPr>
        <w:t>ALK</w:t>
      </w:r>
      <w:r w:rsidRPr="005F3C3E">
        <w:t>+ patients (41</w:t>
      </w:r>
      <w:r w:rsidRPr="005F3C3E">
        <w:rPr>
          <w:lang w:val="de-DE"/>
        </w:rPr>
        <w:t>·</w:t>
      </w:r>
      <w:r w:rsidRPr="005F3C3E">
        <w:t xml:space="preserve">7%) and in </w:t>
      </w:r>
      <w:r w:rsidR="001F5A5E">
        <w:t>5</w:t>
      </w:r>
      <w:r w:rsidRPr="005F3C3E">
        <w:t xml:space="preserve"> out of </w:t>
      </w:r>
      <w:r w:rsidR="001F5A5E">
        <w:t>7</w:t>
      </w:r>
      <w:r w:rsidRPr="005F3C3E">
        <w:t xml:space="preserve"> </w:t>
      </w:r>
      <w:r w:rsidRPr="005F3C3E">
        <w:rPr>
          <w:i/>
          <w:iCs/>
        </w:rPr>
        <w:t>ALK</w:t>
      </w:r>
      <w:r w:rsidRPr="005F3C3E">
        <w:rPr>
          <w:lang w:val="fr-FR"/>
        </w:rPr>
        <w:t>- patients (71</w:t>
      </w:r>
      <w:r w:rsidRPr="005F3C3E">
        <w:rPr>
          <w:lang w:val="de-DE"/>
        </w:rPr>
        <w:t>·</w:t>
      </w:r>
      <w:r w:rsidRPr="005F3C3E">
        <w:t xml:space="preserve">4%). Disease progression as best response was seen in one out of </w:t>
      </w:r>
      <w:r w:rsidR="001F5A5E">
        <w:t>7</w:t>
      </w:r>
      <w:r w:rsidRPr="005F3C3E">
        <w:t xml:space="preserve"> </w:t>
      </w:r>
      <w:r w:rsidRPr="005F3C3E">
        <w:rPr>
          <w:i/>
          <w:iCs/>
        </w:rPr>
        <w:t>ALK</w:t>
      </w:r>
      <w:r w:rsidRPr="005F3C3E">
        <w:rPr>
          <w:lang w:val="fr-FR"/>
        </w:rPr>
        <w:t>- patients (14</w:t>
      </w:r>
      <w:r w:rsidRPr="005F3C3E">
        <w:rPr>
          <w:lang w:val="de-DE"/>
        </w:rPr>
        <w:t>·</w:t>
      </w:r>
      <w:r w:rsidRPr="005F3C3E">
        <w:t xml:space="preserve">3%) but not in </w:t>
      </w:r>
      <w:r w:rsidRPr="005F3C3E">
        <w:rPr>
          <w:i/>
          <w:iCs/>
        </w:rPr>
        <w:t>ALK</w:t>
      </w:r>
      <w:r w:rsidRPr="005F3C3E">
        <w:t>+ patients.</w:t>
      </w:r>
      <w:r>
        <w:t xml:space="preserve"> </w:t>
      </w:r>
      <w:r w:rsidRPr="005F3C3E">
        <w:t>In the recent publication by Moss</w:t>
      </w:r>
      <w:r w:rsidRPr="005F3C3E">
        <w:rPr>
          <w:lang w:val="fr-FR"/>
        </w:rPr>
        <w:t xml:space="preserve">é </w:t>
      </w:r>
      <w:r w:rsidRPr="005F3C3E">
        <w:t>et al., the objective response rate to crizotinib in ALK+ pediatric IMFT patients was 86% (95% confidence interval 57-98%).</w:t>
      </w:r>
      <w:r w:rsidRPr="00D150BB">
        <w:rPr>
          <w:vertAlign w:val="superscript"/>
        </w:rPr>
        <w:t>7</w:t>
      </w:r>
      <w:r w:rsidRPr="005F3C3E">
        <w:t xml:space="preserve"> In the Moss</w:t>
      </w:r>
      <w:r w:rsidRPr="005F3C3E">
        <w:rPr>
          <w:lang w:val="fr-FR"/>
        </w:rPr>
        <w:t xml:space="preserve">é </w:t>
      </w:r>
      <w:r w:rsidRPr="005F3C3E">
        <w:t>series, two IMFT patients were still continuing treatment at the data cut-off.</w:t>
      </w:r>
      <w:r w:rsidRPr="00D150BB">
        <w:rPr>
          <w:vertAlign w:val="superscript"/>
        </w:rPr>
        <w:t xml:space="preserve"> 7</w:t>
      </w:r>
      <w:r w:rsidRPr="005F3C3E">
        <w:t xml:space="preserve"> In EORTC 90101, 35</w:t>
      </w:r>
      <w:r w:rsidRPr="005F3C3E">
        <w:rPr>
          <w:lang w:val="de-DE"/>
        </w:rPr>
        <w:t>·</w:t>
      </w:r>
      <w:r w:rsidRPr="005F3C3E">
        <w:t>0% (7 patients) are still receiving active treatment as of November 09, 2017, after having achieved either RECIST PR or SD. Some of these patients are still having progressive shrinkage of their RECIST target lesions while continuing treatment with crizotinib, including patients currently treated by the first author of this manuscript. It is likely that some patients with RECIST SD still convert to PR</w:t>
      </w:r>
      <w:r w:rsidR="001F5A5E">
        <w:t xml:space="preserve"> or CR</w:t>
      </w:r>
      <w:r w:rsidRPr="005F3C3E">
        <w:t>, which will lead to a higher ORR than currently reported. From a scientific point of view we should not try to perform cross-trial comparisons, as patient selection criteria and trial methodology in EORTC 90101 and Moss</w:t>
      </w:r>
      <w:r w:rsidRPr="005F3C3E">
        <w:rPr>
          <w:lang w:val="fr-FR"/>
        </w:rPr>
        <w:t xml:space="preserve">é </w:t>
      </w:r>
      <w:r w:rsidRPr="005F3C3E">
        <w:t>et al. were different.</w:t>
      </w:r>
      <w:r w:rsidRPr="00D150BB">
        <w:rPr>
          <w:vertAlign w:val="superscript"/>
        </w:rPr>
        <w:t>7</w:t>
      </w:r>
      <w:r w:rsidRPr="005F3C3E">
        <w:t xml:space="preserve"> The key message from both trials is that a significant proportion of pediatric and adult IMFT patients derive dramatic benefit from crizotinib treatment, reflected by </w:t>
      </w:r>
      <w:r w:rsidR="001F5A5E">
        <w:t>a high frequency of objective response and long term disease control</w:t>
      </w:r>
      <w:r w:rsidRPr="005F3C3E">
        <w:t>.</w:t>
      </w:r>
    </w:p>
    <w:p w14:paraId="3CF0980F" w14:textId="7A056B4F" w:rsidR="00F81499" w:rsidRPr="00524D52" w:rsidRDefault="00F81499" w:rsidP="003E1FE2"/>
    <w:p w14:paraId="7B37F0A5" w14:textId="0929C8A0" w:rsidR="00F81499" w:rsidRDefault="00785EE2" w:rsidP="002D5A07">
      <w:pPr>
        <w:rPr>
          <w:vertAlign w:val="superscript"/>
        </w:rPr>
      </w:pPr>
      <w:r w:rsidRPr="00524D52">
        <w:t xml:space="preserve">The outcome of the </w:t>
      </w:r>
      <w:r w:rsidR="00845098">
        <w:t>7</w:t>
      </w:r>
      <w:r w:rsidR="00845098" w:rsidRPr="00524D52">
        <w:t xml:space="preserve"> </w:t>
      </w:r>
      <w:r w:rsidRPr="00524D52">
        <w:t xml:space="preserve">fully eligible and evaluable patients with </w:t>
      </w:r>
      <w:r w:rsidRPr="00524D52">
        <w:rPr>
          <w:i/>
        </w:rPr>
        <w:t>ALK</w:t>
      </w:r>
      <w:r w:rsidR="00A66615" w:rsidRPr="00524D52">
        <w:t>- IMFT in our</w:t>
      </w:r>
      <w:r w:rsidRPr="00524D52">
        <w:t xml:space="preserve"> series was different from results observed in the larger </w:t>
      </w:r>
      <w:r w:rsidRPr="00524D52">
        <w:rPr>
          <w:i/>
        </w:rPr>
        <w:t>ALK</w:t>
      </w:r>
      <w:r w:rsidRPr="00524D52">
        <w:t>+ sub</w:t>
      </w:r>
      <w:r w:rsidR="00D73A53" w:rsidRPr="00524D52">
        <w:t>-</w:t>
      </w:r>
      <w:r w:rsidRPr="00524D52">
        <w:t xml:space="preserve">cohort. Results with crizotinib were clearly better in </w:t>
      </w:r>
      <w:r w:rsidRPr="00524D52">
        <w:rPr>
          <w:i/>
        </w:rPr>
        <w:t>ALK</w:t>
      </w:r>
      <w:r w:rsidRPr="00524D52">
        <w:t>+ disease in terms of objective responses, DCR, and the different survival estimates we looked at. This sup</w:t>
      </w:r>
      <w:r w:rsidR="00775CC8" w:rsidRPr="00524D52">
        <w:t>ports the original hypothesis of</w:t>
      </w:r>
      <w:r w:rsidRPr="00524D52">
        <w:t xml:space="preserve"> this precision medicine trial</w:t>
      </w:r>
      <w:r w:rsidR="00A835C8" w:rsidRPr="00524D52">
        <w:t xml:space="preserve"> </w:t>
      </w:r>
      <w:r w:rsidR="00775CC8" w:rsidRPr="00524D52">
        <w:t xml:space="preserve">that the </w:t>
      </w:r>
      <w:r w:rsidRPr="00524D52">
        <w:t xml:space="preserve">inhibition of the </w:t>
      </w:r>
      <w:r w:rsidR="00681E6C" w:rsidRPr="00524D52">
        <w:t xml:space="preserve">genetically altered </w:t>
      </w:r>
      <w:r w:rsidR="00775CC8" w:rsidRPr="00524D52">
        <w:t>ALK pathway with crizotinib w</w:t>
      </w:r>
      <w:r w:rsidR="00681E6C" w:rsidRPr="00524D52">
        <w:t>ould translate</w:t>
      </w:r>
      <w:r w:rsidRPr="00524D52">
        <w:t xml:space="preserve"> into </w:t>
      </w:r>
      <w:r w:rsidR="00681E6C" w:rsidRPr="00524D52">
        <w:t>clinically relevant</w:t>
      </w:r>
      <w:r w:rsidR="00775CC8" w:rsidRPr="00524D52">
        <w:t xml:space="preserve"> and target-specific</w:t>
      </w:r>
      <w:r w:rsidR="00681E6C" w:rsidRPr="00524D52">
        <w:t xml:space="preserve"> </w:t>
      </w:r>
      <w:r w:rsidR="00775CC8" w:rsidRPr="00524D52">
        <w:t>antitumor effects</w:t>
      </w:r>
      <w:r w:rsidRPr="00524D52">
        <w:t>.</w:t>
      </w:r>
      <w:r w:rsidR="00775CC8" w:rsidRPr="00524D52">
        <w:t xml:space="preserve"> Only one patient with </w:t>
      </w:r>
      <w:r w:rsidR="00775CC8" w:rsidRPr="00524D52">
        <w:rPr>
          <w:i/>
        </w:rPr>
        <w:t>ALK</w:t>
      </w:r>
      <w:r w:rsidR="00775CC8" w:rsidRPr="00524D52">
        <w:t>- IMFT had an objective response</w:t>
      </w:r>
      <w:r w:rsidR="00D73A53" w:rsidRPr="00524D52">
        <w:t xml:space="preserve"> in our cohort trial</w:t>
      </w:r>
      <w:r w:rsidR="00762733">
        <w:t>, however other patients benefitted from the treatment clinically and radiologically</w:t>
      </w:r>
      <w:r w:rsidR="00775CC8" w:rsidRPr="00524D52">
        <w:t xml:space="preserve">. Tumor shrinkage observed in </w:t>
      </w:r>
      <w:r w:rsidR="00775CC8" w:rsidRPr="00524D52">
        <w:rPr>
          <w:i/>
        </w:rPr>
        <w:t>ALK</w:t>
      </w:r>
      <w:r w:rsidR="00775CC8" w:rsidRPr="00524D52">
        <w:t xml:space="preserve">- cases </w:t>
      </w:r>
      <w:r w:rsidR="00D73A53" w:rsidRPr="00524D52">
        <w:t xml:space="preserve">as illustrated in our waterfall plot </w:t>
      </w:r>
      <w:r w:rsidR="00845098">
        <w:t>(</w:t>
      </w:r>
      <w:r w:rsidR="00845098" w:rsidRPr="00845098">
        <w:rPr>
          <w:u w:val="single"/>
        </w:rPr>
        <w:t>figure 4</w:t>
      </w:r>
      <w:r w:rsidR="00845098">
        <w:t xml:space="preserve">) </w:t>
      </w:r>
      <w:r w:rsidR="00775CC8" w:rsidRPr="00524D52">
        <w:t xml:space="preserve">could either be explained by limitations of the immunohistochemistry and FISH testing used in this trial (including the cut-offs defined for </w:t>
      </w:r>
      <w:r w:rsidR="00775CC8" w:rsidRPr="00524D52">
        <w:rPr>
          <w:i/>
        </w:rPr>
        <w:t>ALK</w:t>
      </w:r>
      <w:r w:rsidR="00775CC8" w:rsidRPr="00524D52">
        <w:t xml:space="preserve"> positivity </w:t>
      </w:r>
      <w:r w:rsidR="005E42B1">
        <w:t>per protocol</w:t>
      </w:r>
      <w:r w:rsidR="00775CC8" w:rsidRPr="00524D52">
        <w:t>), or the presence of other targets of crizotinib in these tumors</w:t>
      </w:r>
      <w:r w:rsidR="00402DDE">
        <w:t xml:space="preserve"> (e.g. </w:t>
      </w:r>
      <w:r w:rsidR="00402DDE" w:rsidRPr="0064070A">
        <w:rPr>
          <w:i/>
        </w:rPr>
        <w:t>ROS1</w:t>
      </w:r>
      <w:r w:rsidR="00402DDE">
        <w:t xml:space="preserve"> alteration, which can also be present in IMFT).</w:t>
      </w:r>
      <w:r w:rsidR="00402DDE">
        <w:rPr>
          <w:vertAlign w:val="superscript"/>
        </w:rPr>
        <w:t>3</w:t>
      </w:r>
    </w:p>
    <w:p w14:paraId="28035F3F" w14:textId="77777777" w:rsidR="008452EC" w:rsidRDefault="008452EC" w:rsidP="002D5A07">
      <w:pPr>
        <w:rPr>
          <w:vertAlign w:val="superscript"/>
        </w:rPr>
      </w:pPr>
    </w:p>
    <w:p w14:paraId="5132925A" w14:textId="75FC9170" w:rsidR="00DE3CCB" w:rsidRDefault="00DE3CCB" w:rsidP="002D5A07">
      <w:r w:rsidRPr="00065B26">
        <w:t xml:space="preserve">The </w:t>
      </w:r>
      <w:r w:rsidRPr="00065B26">
        <w:rPr>
          <w:i/>
        </w:rPr>
        <w:t>ALK-</w:t>
      </w:r>
      <w:r w:rsidRPr="00065B26">
        <w:t xml:space="preserve"> subgroup taught us a lot about the selectivity of crizotinib in </w:t>
      </w:r>
      <w:r w:rsidRPr="00065B26">
        <w:rPr>
          <w:i/>
        </w:rPr>
        <w:t>ALK+</w:t>
      </w:r>
      <w:r w:rsidRPr="00065B26">
        <w:t xml:space="preserve"> vs </w:t>
      </w:r>
      <w:r w:rsidRPr="00065B26">
        <w:rPr>
          <w:i/>
        </w:rPr>
        <w:t>ALK-</w:t>
      </w:r>
      <w:r w:rsidRPr="00065B26">
        <w:t xml:space="preserve"> patients. The interaction between crizoti</w:t>
      </w:r>
      <w:r w:rsidRPr="00490E17">
        <w:t xml:space="preserve">nib and ALK in IMFT is more complex than originally thought. While the original Butrynski et al. series (n=2 patients, 1 </w:t>
      </w:r>
      <w:r w:rsidRPr="00CA3E9E">
        <w:rPr>
          <w:i/>
        </w:rPr>
        <w:t>ALK</w:t>
      </w:r>
      <w:r w:rsidRPr="00CA3E9E">
        <w:t xml:space="preserve">+, 1 </w:t>
      </w:r>
      <w:r w:rsidRPr="00E8739C">
        <w:rPr>
          <w:i/>
        </w:rPr>
        <w:t>ALK</w:t>
      </w:r>
      <w:r w:rsidRPr="00E8739C">
        <w:t>-) suggested a strong selective effect,</w:t>
      </w:r>
      <w:r w:rsidRPr="00B34D4F">
        <w:rPr>
          <w:vertAlign w:val="superscript"/>
        </w:rPr>
        <w:t>1</w:t>
      </w:r>
      <w:r w:rsidRPr="00B34D4F">
        <w:t xml:space="preserve"> we </w:t>
      </w:r>
      <w:r w:rsidRPr="00B34D4F">
        <w:lastRenderedPageBreak/>
        <w:t xml:space="preserve">documented that a few </w:t>
      </w:r>
      <w:r w:rsidRPr="00DB248E">
        <w:rPr>
          <w:i/>
        </w:rPr>
        <w:t>ALK-</w:t>
      </w:r>
      <w:r w:rsidRPr="00DB248E">
        <w:t xml:space="preserve"> patients can also derive some benefit from such treatment, albeit fewer than </w:t>
      </w:r>
      <w:r w:rsidRPr="003E1FE2">
        <w:rPr>
          <w:i/>
        </w:rPr>
        <w:t>ALK</w:t>
      </w:r>
      <w:r w:rsidRPr="003E1FE2">
        <w:t xml:space="preserve">+ patients. Some of the potential reasons for activity in </w:t>
      </w:r>
      <w:r w:rsidRPr="003E1FE2">
        <w:rPr>
          <w:i/>
        </w:rPr>
        <w:t>ALK</w:t>
      </w:r>
      <w:r w:rsidRPr="003E1FE2">
        <w:t xml:space="preserve">- patients may include the multiple partners ALK potentially has in this disease and other drugable kinases can play a role, which may impact on the differential sensitivity to crizotinib. Furthermore, there are limitations of current </w:t>
      </w:r>
      <w:r w:rsidRPr="003E1FE2">
        <w:rPr>
          <w:i/>
        </w:rPr>
        <w:t>ALK</w:t>
      </w:r>
      <w:r w:rsidRPr="003E1FE2">
        <w:t xml:space="preserve"> testing. </w:t>
      </w:r>
      <w:r w:rsidRPr="003E1FE2">
        <w:rPr>
          <w:i/>
        </w:rPr>
        <w:t>ALK</w:t>
      </w:r>
      <w:r w:rsidRPr="003E1FE2">
        <w:t xml:space="preserve"> positivity was defined in our trial as at least 15% of tumor cells with rearrangement using the Vysis LSI ALK Dual Color Break Apart Rearrangem</w:t>
      </w:r>
      <w:r w:rsidRPr="002D5A07">
        <w:t>ent Probe (Abbott Molecular) using FISH and/or positivity on immunohistochemistry using the ALK monoclonal antibody Clone CD246 (DAKO). Other laboratories apply other assays and different cutoffs, and significant variation ha</w:t>
      </w:r>
      <w:r w:rsidR="00A923EC">
        <w:t>s</w:t>
      </w:r>
      <w:r w:rsidRPr="002D5A07">
        <w:t xml:space="preserve"> been observed in the reporting of </w:t>
      </w:r>
      <w:r w:rsidRPr="002D5A07">
        <w:rPr>
          <w:i/>
        </w:rPr>
        <w:t>ALK</w:t>
      </w:r>
      <w:r w:rsidRPr="002D5A07">
        <w:t xml:space="preserve"> FISH and </w:t>
      </w:r>
      <w:r w:rsidRPr="002D5A07">
        <w:rPr>
          <w:i/>
        </w:rPr>
        <w:t>ALK</w:t>
      </w:r>
      <w:r w:rsidRPr="002D5A07">
        <w:t xml:space="preserve"> immunohistochemistray in clinical routine in patients with ALK-driven malignancies (lung, lymphoma, IMFT, etc.) depending on the used methodology and the involved diagnostic laboratory. Thus, a patient defined by one laboratory as </w:t>
      </w:r>
      <w:r w:rsidRPr="00A9399A">
        <w:rPr>
          <w:i/>
        </w:rPr>
        <w:t>ALK</w:t>
      </w:r>
      <w:r w:rsidRPr="00E04084">
        <w:t xml:space="preserve">+ can be </w:t>
      </w:r>
      <w:r w:rsidRPr="00DC5B3A">
        <w:rPr>
          <w:i/>
        </w:rPr>
        <w:t>ALK</w:t>
      </w:r>
      <w:r w:rsidRPr="00DC5B3A">
        <w:t xml:space="preserve">- in the other laboratory. We cannot exclude limitations of the assays and cutoffs that we have used in our trial, but the assay was standardized and centralized, and biological material was kept for validation if required. </w:t>
      </w:r>
      <w:r w:rsidR="005F6628">
        <w:br/>
      </w:r>
    </w:p>
    <w:p w14:paraId="2E1CAAC7" w14:textId="77777777" w:rsidR="00B96D65" w:rsidRDefault="005F6628" w:rsidP="005F6628">
      <w:pPr>
        <w:pStyle w:val="Default"/>
        <w:rPr>
          <w:rFonts w:ascii="Times New Roman" w:hAnsi="Times New Roman" w:cs="Times New Roman"/>
          <w:lang w:val="en-US"/>
        </w:rPr>
      </w:pPr>
      <w:r w:rsidRPr="002D5408">
        <w:rPr>
          <w:rFonts w:ascii="Times New Roman" w:hAnsi="Times New Roman" w:cs="Times New Roman"/>
          <w:lang w:val="en-US"/>
        </w:rPr>
        <w:t>Eight patients (33</w:t>
      </w:r>
      <w:r w:rsidRPr="002D5408">
        <w:rPr>
          <w:rFonts w:ascii="Times New Roman" w:hAnsi="Times New Roman" w:cs="Times New Roman"/>
          <w:lang w:val="de-DE"/>
        </w:rPr>
        <w:t>·</w:t>
      </w:r>
      <w:r w:rsidRPr="002D5408">
        <w:rPr>
          <w:rFonts w:ascii="Times New Roman" w:hAnsi="Times New Roman" w:cs="Times New Roman"/>
          <w:lang w:val="en-US"/>
        </w:rPr>
        <w:t xml:space="preserve">3%) with confirmed diagnosis of IMFT in our trial were </w:t>
      </w:r>
      <w:r w:rsidRPr="002D5408">
        <w:rPr>
          <w:rFonts w:ascii="Times New Roman" w:hAnsi="Times New Roman" w:cs="Times New Roman"/>
          <w:i/>
          <w:iCs/>
        </w:rPr>
        <w:t>ALK</w:t>
      </w:r>
      <w:r w:rsidRPr="002D5408">
        <w:rPr>
          <w:rFonts w:ascii="Times New Roman" w:hAnsi="Times New Roman" w:cs="Times New Roman"/>
          <w:lang w:val="en-US"/>
        </w:rPr>
        <w:t>- according to the criteria described in the protocol. More than a third of them (3/8 patients) showed tumor shrinkage during crizotinib treatment (including 1 PR).</w:t>
      </w:r>
      <w:r w:rsidR="003E023F">
        <w:rPr>
          <w:rFonts w:ascii="Times New Roman" w:eastAsia="Times New Roman" w:hAnsi="Times New Roman" w:cs="Times New Roman"/>
        </w:rPr>
        <w:t xml:space="preserve"> </w:t>
      </w:r>
      <w:r w:rsidRPr="002D5408">
        <w:rPr>
          <w:rFonts w:ascii="Times New Roman" w:hAnsi="Times New Roman" w:cs="Times New Roman"/>
          <w:lang w:val="en-US"/>
        </w:rPr>
        <w:t xml:space="preserve">A further analysis of the archival tissue from </w:t>
      </w:r>
      <w:r w:rsidRPr="002D5408">
        <w:rPr>
          <w:rFonts w:ascii="Times New Roman" w:hAnsi="Times New Roman" w:cs="Times New Roman"/>
          <w:i/>
          <w:iCs/>
        </w:rPr>
        <w:t>ALK</w:t>
      </w:r>
      <w:r w:rsidRPr="002D5408">
        <w:rPr>
          <w:rFonts w:ascii="Times New Roman" w:hAnsi="Times New Roman" w:cs="Times New Roman"/>
          <w:lang w:val="en-US"/>
        </w:rPr>
        <w:t>- patients was not part of EORTC 90101. The protocol however allows</w:t>
      </w:r>
      <w:r w:rsidRPr="002D5408">
        <w:rPr>
          <w:rFonts w:ascii="Times New Roman" w:hAnsi="Times New Roman" w:cs="Times New Roman"/>
        </w:rPr>
        <w:t xml:space="preserve"> us</w:t>
      </w:r>
      <w:r w:rsidRPr="002D5408">
        <w:rPr>
          <w:rFonts w:ascii="Times New Roman" w:hAnsi="Times New Roman" w:cs="Times New Roman"/>
          <w:lang w:val="en-US"/>
        </w:rPr>
        <w:t xml:space="preserve"> to perform an in-depth molecular/genetic analysis of all cases, and the according work is currently in the planning phase and will be part of separate publications. </w:t>
      </w:r>
    </w:p>
    <w:p w14:paraId="7FC8266E" w14:textId="77777777" w:rsidR="00B96D65" w:rsidRDefault="00B96D65" w:rsidP="005F6628">
      <w:pPr>
        <w:pStyle w:val="Default"/>
        <w:rPr>
          <w:rFonts w:ascii="Times New Roman" w:hAnsi="Times New Roman" w:cs="Times New Roman"/>
          <w:lang w:val="en-US"/>
        </w:rPr>
      </w:pPr>
    </w:p>
    <w:p w14:paraId="25DD1965" w14:textId="57C08AB0" w:rsidR="005F6628" w:rsidRDefault="005F6628" w:rsidP="005F6628">
      <w:pPr>
        <w:pStyle w:val="Default"/>
        <w:rPr>
          <w:rFonts w:ascii="Times New Roman" w:hAnsi="Times New Roman" w:cs="Times New Roman"/>
          <w:lang w:val="en-US"/>
        </w:rPr>
      </w:pPr>
      <w:r w:rsidRPr="002D5408">
        <w:rPr>
          <w:rFonts w:ascii="Times New Roman" w:hAnsi="Times New Roman" w:cs="Times New Roman"/>
          <w:lang w:val="en-US"/>
        </w:rPr>
        <w:t>In the labelled indication of NCSCL it is very well known that discordances can occur comparing immunohistochemistry with FISH, and comparing different commercially available FISH assays with each other. Cabillic et al published the experience in 3244 NSCLC patients that around a quarter of patients with ALK+ NSCLC can be missed when relying only on either immunohistochemistry or FISH as a single diagnostic assay.</w:t>
      </w:r>
      <w:r w:rsidR="00020723" w:rsidRPr="00020723">
        <w:rPr>
          <w:rFonts w:ascii="Times New Roman" w:hAnsi="Times New Roman" w:cs="Times New Roman"/>
          <w:vertAlign w:val="superscript"/>
          <w:lang w:val="en-US"/>
        </w:rPr>
        <w:t>2</w:t>
      </w:r>
      <w:r w:rsidR="00CE2922">
        <w:rPr>
          <w:rFonts w:ascii="Times New Roman" w:hAnsi="Times New Roman" w:cs="Times New Roman"/>
          <w:vertAlign w:val="superscript"/>
          <w:lang w:val="en-US"/>
        </w:rPr>
        <w:t>7</w:t>
      </w:r>
      <w:r w:rsidRPr="002D5408">
        <w:rPr>
          <w:rFonts w:ascii="Times New Roman" w:hAnsi="Times New Roman" w:cs="Times New Roman"/>
          <w:lang w:val="en-US"/>
        </w:rPr>
        <w:t xml:space="preserve"> In many countries crizotinib is only reimbursed for ALK+ NSCLC when a positive ALK immunohistochemistry result (used as a prescreening test) has been confirmed by a positive </w:t>
      </w:r>
      <w:r w:rsidRPr="00E97DA1">
        <w:rPr>
          <w:rFonts w:ascii="Times New Roman" w:hAnsi="Times New Roman" w:cs="Times New Roman"/>
          <w:i/>
          <w:lang w:val="en-US"/>
        </w:rPr>
        <w:t>ALK</w:t>
      </w:r>
      <w:r w:rsidRPr="002D5408">
        <w:rPr>
          <w:rFonts w:ascii="Times New Roman" w:hAnsi="Times New Roman" w:cs="Times New Roman"/>
          <w:lang w:val="en-US"/>
        </w:rPr>
        <w:t xml:space="preserve"> FISH result (confirmatory test). In lung cancer, many patients with ALK+ NSCLC are still not diagnosed because of a false negative immunohistochemistry results (quality of the tissue sample and/or other technical or biological reasons).</w:t>
      </w:r>
      <w:r w:rsidR="00244ADD">
        <w:rPr>
          <w:rFonts w:ascii="Times New Roman" w:eastAsia="Times New Roman" w:hAnsi="Times New Roman" w:cs="Times New Roman"/>
        </w:rPr>
        <w:t xml:space="preserve"> </w:t>
      </w:r>
      <w:r w:rsidRPr="002D5408">
        <w:rPr>
          <w:rFonts w:ascii="Times New Roman" w:hAnsi="Times New Roman" w:cs="Times New Roman"/>
          <w:lang w:val="en-US"/>
        </w:rPr>
        <w:t>As part of our exploratory work we are considering the following</w:t>
      </w:r>
      <w:r w:rsidR="00CE573B">
        <w:rPr>
          <w:rFonts w:ascii="Times New Roman" w:hAnsi="Times New Roman" w:cs="Times New Roman"/>
          <w:lang w:val="en-US"/>
        </w:rPr>
        <w:t xml:space="preserve"> using left over material from this trial</w:t>
      </w:r>
      <w:r w:rsidRPr="002D5408">
        <w:rPr>
          <w:rFonts w:ascii="Times New Roman" w:hAnsi="Times New Roman" w:cs="Times New Roman"/>
          <w:lang w:val="en-US"/>
        </w:rPr>
        <w:t>: repeat ALK immunohistochemistry with a more sensitive ALK antibody (</w:t>
      </w:r>
      <w:r w:rsidR="00CE573B">
        <w:rPr>
          <w:rFonts w:ascii="Times New Roman" w:hAnsi="Times New Roman" w:cs="Times New Roman"/>
          <w:lang w:val="en-US"/>
        </w:rPr>
        <w:t xml:space="preserve">e.g. </w:t>
      </w:r>
      <w:r w:rsidRPr="002D5408">
        <w:rPr>
          <w:rFonts w:ascii="Times New Roman" w:hAnsi="Times New Roman" w:cs="Times New Roman"/>
          <w:lang w:val="en-US"/>
        </w:rPr>
        <w:t xml:space="preserve">D5F3 from </w:t>
      </w:r>
      <w:r w:rsidRPr="002D5408">
        <w:rPr>
          <w:rFonts w:ascii="Times New Roman" w:hAnsi="Times New Roman" w:cs="Times New Roman"/>
        </w:rPr>
        <w:t>Ventana or 5A4 from Novocastra)</w:t>
      </w:r>
      <w:r w:rsidRPr="002D5408">
        <w:rPr>
          <w:rFonts w:ascii="Times New Roman" w:hAnsi="Times New Roman" w:cs="Times New Roman"/>
          <w:lang w:val="en-US"/>
        </w:rPr>
        <w:t>; to perform a reliable ROS1 immunohistochemistry assay (</w:t>
      </w:r>
      <w:r w:rsidRPr="002D5408">
        <w:rPr>
          <w:rFonts w:ascii="Times New Roman" w:hAnsi="Times New Roman" w:cs="Times New Roman"/>
        </w:rPr>
        <w:t>e.g.</w:t>
      </w:r>
      <w:r w:rsidR="00CE573B">
        <w:rPr>
          <w:rFonts w:ascii="Times New Roman" w:hAnsi="Times New Roman" w:cs="Times New Roman"/>
          <w:lang w:val="en-US"/>
        </w:rPr>
        <w:t xml:space="preserve"> using the </w:t>
      </w:r>
      <w:r w:rsidRPr="002D5408">
        <w:rPr>
          <w:rFonts w:ascii="Times New Roman" w:hAnsi="Times New Roman" w:cs="Times New Roman"/>
          <w:lang w:val="en-US"/>
        </w:rPr>
        <w:t xml:space="preserve">D4D6 clone from Cell Signalling); </w:t>
      </w:r>
      <w:r w:rsidR="00CE573B">
        <w:rPr>
          <w:rFonts w:ascii="Times New Roman" w:hAnsi="Times New Roman" w:cs="Times New Roman"/>
          <w:lang w:val="en-US"/>
        </w:rPr>
        <w:t xml:space="preserve">add </w:t>
      </w:r>
      <w:r w:rsidRPr="002D5408">
        <w:rPr>
          <w:rFonts w:ascii="Times New Roman" w:hAnsi="Times New Roman" w:cs="Times New Roman"/>
          <w:lang w:val="en-US"/>
        </w:rPr>
        <w:t xml:space="preserve">FISH for </w:t>
      </w:r>
      <w:r w:rsidRPr="005D608A">
        <w:rPr>
          <w:rFonts w:ascii="Times New Roman" w:hAnsi="Times New Roman" w:cs="Times New Roman"/>
          <w:i/>
          <w:lang w:val="en-US"/>
        </w:rPr>
        <w:t>ROS1</w:t>
      </w:r>
      <w:r w:rsidRPr="002D5408">
        <w:rPr>
          <w:rFonts w:ascii="Times New Roman" w:hAnsi="Times New Roman" w:cs="Times New Roman"/>
          <w:lang w:val="en-US"/>
        </w:rPr>
        <w:t xml:space="preserve"> (</w:t>
      </w:r>
      <w:r w:rsidR="00CE573B">
        <w:rPr>
          <w:rFonts w:ascii="Times New Roman" w:hAnsi="Times New Roman" w:cs="Times New Roman"/>
          <w:lang w:val="en-US"/>
        </w:rPr>
        <w:t xml:space="preserve">e.g. </w:t>
      </w:r>
      <w:r w:rsidRPr="002D5408">
        <w:rPr>
          <w:rFonts w:ascii="Times New Roman" w:hAnsi="Times New Roman" w:cs="Times New Roman"/>
          <w:lang w:val="en-US"/>
        </w:rPr>
        <w:t>from Abbott, Cytocell or Zytovision/Zytomed); run next generation fusion assays (</w:t>
      </w:r>
      <w:r w:rsidR="005D608A">
        <w:rPr>
          <w:rFonts w:ascii="Times New Roman" w:hAnsi="Times New Roman" w:cs="Times New Roman"/>
          <w:lang w:val="en-US"/>
        </w:rPr>
        <w:t xml:space="preserve">e.g. </w:t>
      </w:r>
      <w:r w:rsidRPr="002D5408">
        <w:rPr>
          <w:rFonts w:ascii="Times New Roman" w:hAnsi="Times New Roman" w:cs="Times New Roman"/>
          <w:lang w:val="en-US"/>
        </w:rPr>
        <w:t xml:space="preserve">Thermo Fisher's Oncomine Fusion panel that includes </w:t>
      </w:r>
      <w:r w:rsidRPr="005D608A">
        <w:rPr>
          <w:rFonts w:ascii="Times New Roman" w:hAnsi="Times New Roman" w:cs="Times New Roman"/>
          <w:i/>
          <w:lang w:val="en-US"/>
        </w:rPr>
        <w:t>ALK</w:t>
      </w:r>
      <w:r w:rsidRPr="002D5408">
        <w:rPr>
          <w:rFonts w:ascii="Times New Roman" w:hAnsi="Times New Roman" w:cs="Times New Roman"/>
          <w:lang w:val="en-US"/>
        </w:rPr>
        <w:t xml:space="preserve"> and </w:t>
      </w:r>
      <w:r w:rsidRPr="005D608A">
        <w:rPr>
          <w:rFonts w:ascii="Times New Roman" w:hAnsi="Times New Roman" w:cs="Times New Roman"/>
          <w:i/>
          <w:lang w:val="en-US"/>
        </w:rPr>
        <w:t>ROS1</w:t>
      </w:r>
      <w:r w:rsidRPr="002D5408">
        <w:rPr>
          <w:rFonts w:ascii="Times New Roman" w:hAnsi="Times New Roman" w:cs="Times New Roman"/>
          <w:lang w:val="en-US"/>
        </w:rPr>
        <w:t xml:space="preserve"> fusions). Of note, such additional work may only be done with full approval by the EORTC Headquarters, which is pending, and requires additional funding, for which we are currently applying.</w:t>
      </w:r>
      <w:r w:rsidR="00570284">
        <w:rPr>
          <w:rFonts w:ascii="Times New Roman" w:hAnsi="Times New Roman" w:cs="Times New Roman"/>
          <w:lang w:val="en-US"/>
        </w:rPr>
        <w:br/>
      </w:r>
    </w:p>
    <w:p w14:paraId="24B79FA0" w14:textId="75355892" w:rsidR="00570284" w:rsidRPr="00244ADD" w:rsidRDefault="00570284" w:rsidP="005F6628">
      <w:pPr>
        <w:pStyle w:val="Default"/>
        <w:rPr>
          <w:rFonts w:ascii="Times New Roman" w:eastAsia="Times New Roman" w:hAnsi="Times New Roman" w:cs="Times New Roman"/>
        </w:rPr>
      </w:pPr>
      <w:r w:rsidRPr="00E8654E">
        <w:rPr>
          <w:rFonts w:ascii="Times New Roman" w:hAnsi="Times New Roman" w:cs="Times New Roman"/>
          <w:lang w:val="en-US"/>
        </w:rPr>
        <w:t xml:space="preserve">IMFT can have a very variable clinical presentation and natural course, shows morphological overlap with some other diseases and possibly represents a spectrum of different entities which are yet to be defined. Based on our current knowledge we cannot exclude that </w:t>
      </w:r>
      <w:r w:rsidRPr="00EA6F7F">
        <w:rPr>
          <w:rFonts w:ascii="Times New Roman" w:hAnsi="Times New Roman" w:cs="Times New Roman"/>
          <w:i/>
          <w:lang w:val="en-US"/>
        </w:rPr>
        <w:t>ALK</w:t>
      </w:r>
      <w:r w:rsidRPr="00E8654E">
        <w:rPr>
          <w:rFonts w:ascii="Times New Roman" w:hAnsi="Times New Roman" w:cs="Times New Roman"/>
          <w:lang w:val="en-US"/>
        </w:rPr>
        <w:t xml:space="preserve">- IMFT may be an independent disease, with a different natural history and clinical course. In this context it is important to highlight the disease stabilization rate observed in EORTC 90101 in </w:t>
      </w:r>
      <w:r w:rsidRPr="00EA6F7F">
        <w:rPr>
          <w:rFonts w:ascii="Times New Roman" w:hAnsi="Times New Roman" w:cs="Times New Roman"/>
          <w:i/>
          <w:lang w:val="en-US"/>
        </w:rPr>
        <w:t>ALK</w:t>
      </w:r>
      <w:r w:rsidRPr="00E8654E">
        <w:rPr>
          <w:rFonts w:ascii="Times New Roman" w:hAnsi="Times New Roman" w:cs="Times New Roman"/>
          <w:lang w:val="en-US"/>
        </w:rPr>
        <w:t xml:space="preserve">- patients. During treatment with crizotinib, disease control was achieved in </w:t>
      </w:r>
      <w:r w:rsidR="00647548">
        <w:rPr>
          <w:rFonts w:ascii="Times New Roman" w:hAnsi="Times New Roman" w:cs="Times New Roman"/>
          <w:lang w:val="en-US"/>
        </w:rPr>
        <w:t>6</w:t>
      </w:r>
      <w:r w:rsidRPr="00E8654E">
        <w:rPr>
          <w:rFonts w:ascii="Times New Roman" w:hAnsi="Times New Roman" w:cs="Times New Roman"/>
          <w:lang w:val="en-US"/>
        </w:rPr>
        <w:t xml:space="preserve"> out of </w:t>
      </w:r>
      <w:r w:rsidR="00647548">
        <w:rPr>
          <w:rFonts w:ascii="Times New Roman" w:hAnsi="Times New Roman" w:cs="Times New Roman"/>
          <w:lang w:val="en-US"/>
        </w:rPr>
        <w:t>7</w:t>
      </w:r>
      <w:r w:rsidRPr="00E8654E">
        <w:rPr>
          <w:rFonts w:ascii="Times New Roman" w:hAnsi="Times New Roman" w:cs="Times New Roman"/>
          <w:lang w:val="en-US"/>
        </w:rPr>
        <w:t xml:space="preserve"> </w:t>
      </w:r>
      <w:r w:rsidRPr="00E8654E">
        <w:rPr>
          <w:rStyle w:val="None"/>
          <w:rFonts w:ascii="Times New Roman" w:hAnsi="Times New Roman" w:cs="Times New Roman"/>
          <w:i/>
          <w:iCs/>
        </w:rPr>
        <w:t>ALK</w:t>
      </w:r>
      <w:r w:rsidRPr="00E8654E">
        <w:rPr>
          <w:rFonts w:ascii="Times New Roman" w:hAnsi="Times New Roman" w:cs="Times New Roman"/>
          <w:lang w:val="fr-FR"/>
        </w:rPr>
        <w:t>- patients (85</w:t>
      </w:r>
      <w:r w:rsidRPr="00E8654E">
        <w:rPr>
          <w:rFonts w:ascii="Times New Roman" w:hAnsi="Times New Roman" w:cs="Times New Roman"/>
          <w:lang w:val="de-DE"/>
        </w:rPr>
        <w:t>·</w:t>
      </w:r>
      <w:r w:rsidRPr="00E8654E">
        <w:rPr>
          <w:rFonts w:ascii="Times New Roman" w:hAnsi="Times New Roman" w:cs="Times New Roman"/>
          <w:lang w:val="it-IT"/>
        </w:rPr>
        <w:t>7%; 95% CI 42</w:t>
      </w:r>
      <w:r w:rsidRPr="00E8654E">
        <w:rPr>
          <w:rFonts w:ascii="Times New Roman" w:hAnsi="Times New Roman" w:cs="Times New Roman"/>
          <w:lang w:val="de-DE"/>
        </w:rPr>
        <w:t>·</w:t>
      </w:r>
      <w:r w:rsidRPr="00E8654E">
        <w:rPr>
          <w:rFonts w:ascii="Times New Roman" w:hAnsi="Times New Roman" w:cs="Times New Roman"/>
        </w:rPr>
        <w:t>1-99</w:t>
      </w:r>
      <w:r w:rsidRPr="00E8654E">
        <w:rPr>
          <w:rFonts w:ascii="Times New Roman" w:hAnsi="Times New Roman" w:cs="Times New Roman"/>
          <w:lang w:val="de-DE"/>
        </w:rPr>
        <w:t>·</w:t>
      </w:r>
      <w:r w:rsidRPr="00E8654E">
        <w:rPr>
          <w:rFonts w:ascii="Times New Roman" w:hAnsi="Times New Roman" w:cs="Times New Roman"/>
          <w:lang w:val="en-US"/>
        </w:rPr>
        <w:t>6%), one patient had an objective response lasting 7</w:t>
      </w:r>
      <w:r w:rsidRPr="00E8654E">
        <w:rPr>
          <w:rFonts w:ascii="Times New Roman" w:hAnsi="Times New Roman" w:cs="Times New Roman"/>
          <w:lang w:val="de-DE"/>
        </w:rPr>
        <w:t>·</w:t>
      </w:r>
      <w:r w:rsidRPr="00E8654E">
        <w:rPr>
          <w:rFonts w:ascii="Times New Roman" w:hAnsi="Times New Roman" w:cs="Times New Roman"/>
          <w:lang w:val="en-US"/>
        </w:rPr>
        <w:t xml:space="preserve">6 months and the 1-year PFR in the </w:t>
      </w:r>
      <w:r w:rsidRPr="00EA6F7F">
        <w:rPr>
          <w:rFonts w:ascii="Times New Roman" w:hAnsi="Times New Roman" w:cs="Times New Roman"/>
          <w:i/>
          <w:lang w:val="en-US"/>
        </w:rPr>
        <w:t>ALK</w:t>
      </w:r>
      <w:r w:rsidRPr="00E8654E">
        <w:rPr>
          <w:rFonts w:ascii="Times New Roman" w:hAnsi="Times New Roman" w:cs="Times New Roman"/>
          <w:lang w:val="en-US"/>
        </w:rPr>
        <w:t>- subset according to protocol was 53</w:t>
      </w:r>
      <w:r w:rsidRPr="00E8654E">
        <w:rPr>
          <w:rFonts w:ascii="Times New Roman" w:hAnsi="Times New Roman" w:cs="Times New Roman"/>
          <w:lang w:val="de-DE"/>
        </w:rPr>
        <w:t>·</w:t>
      </w:r>
      <w:r w:rsidRPr="00E8654E">
        <w:rPr>
          <w:rFonts w:ascii="Times New Roman" w:hAnsi="Times New Roman" w:cs="Times New Roman"/>
          <w:lang w:val="it-IT"/>
        </w:rPr>
        <w:t>6% (95% CI 13</w:t>
      </w:r>
      <w:r w:rsidRPr="00E8654E">
        <w:rPr>
          <w:rFonts w:ascii="Times New Roman" w:hAnsi="Times New Roman" w:cs="Times New Roman"/>
          <w:lang w:val="de-DE"/>
        </w:rPr>
        <w:t>·</w:t>
      </w:r>
      <w:r w:rsidRPr="00E8654E">
        <w:rPr>
          <w:rFonts w:ascii="Times New Roman" w:hAnsi="Times New Roman" w:cs="Times New Roman"/>
        </w:rPr>
        <w:t>2-82</w:t>
      </w:r>
      <w:r w:rsidRPr="00E8654E">
        <w:rPr>
          <w:rFonts w:ascii="Times New Roman" w:hAnsi="Times New Roman" w:cs="Times New Roman"/>
          <w:lang w:val="de-DE"/>
        </w:rPr>
        <w:t>·</w:t>
      </w:r>
      <w:r w:rsidRPr="00E8654E">
        <w:rPr>
          <w:rFonts w:ascii="Times New Roman" w:hAnsi="Times New Roman" w:cs="Times New Roman"/>
          <w:lang w:val="en-US"/>
        </w:rPr>
        <w:t xml:space="preserve">5%). Some of these data may be a reflection of a somewhat indolent character of </w:t>
      </w:r>
      <w:r w:rsidRPr="00EA6F7F">
        <w:rPr>
          <w:rFonts w:ascii="Times New Roman" w:hAnsi="Times New Roman" w:cs="Times New Roman"/>
          <w:i/>
          <w:lang w:val="en-US"/>
        </w:rPr>
        <w:t>ALK</w:t>
      </w:r>
      <w:r w:rsidRPr="00E8654E">
        <w:rPr>
          <w:rFonts w:ascii="Times New Roman" w:hAnsi="Times New Roman" w:cs="Times New Roman"/>
          <w:lang w:val="en-US"/>
        </w:rPr>
        <w:t xml:space="preserve">- IMFT, or may be the result of therapeutic effects of crizotinib on targets </w:t>
      </w:r>
      <w:r w:rsidRPr="00E8654E">
        <w:rPr>
          <w:rFonts w:ascii="Times New Roman" w:hAnsi="Times New Roman" w:cs="Times New Roman"/>
          <w:lang w:val="en-US"/>
        </w:rPr>
        <w:lastRenderedPageBreak/>
        <w:t xml:space="preserve">other than ALK, such ROS1, MET or similar. </w:t>
      </w:r>
      <w:r w:rsidR="00721C2D">
        <w:rPr>
          <w:rFonts w:ascii="Times New Roman" w:hAnsi="Times New Roman" w:cs="Times New Roman"/>
          <w:lang w:val="en-US"/>
        </w:rPr>
        <w:t>Given the limitations of immunohistochemistry and FISH described above,</w:t>
      </w:r>
      <w:r w:rsidR="00721C2D" w:rsidRPr="00E8654E">
        <w:rPr>
          <w:rFonts w:ascii="Times New Roman" w:hAnsi="Times New Roman" w:cs="Times New Roman"/>
          <w:lang w:val="en-US"/>
        </w:rPr>
        <w:t xml:space="preserve"> </w:t>
      </w:r>
      <w:r w:rsidRPr="00E8654E">
        <w:rPr>
          <w:rFonts w:ascii="Times New Roman" w:hAnsi="Times New Roman" w:cs="Times New Roman"/>
          <w:lang w:val="en-US"/>
        </w:rPr>
        <w:t xml:space="preserve">in theory the </w:t>
      </w:r>
      <w:r w:rsidRPr="00EA6F7F">
        <w:rPr>
          <w:rFonts w:ascii="Times New Roman" w:hAnsi="Times New Roman" w:cs="Times New Roman"/>
          <w:i/>
          <w:lang w:val="en-US"/>
        </w:rPr>
        <w:t>ALK</w:t>
      </w:r>
      <w:r w:rsidRPr="00E8654E">
        <w:rPr>
          <w:rFonts w:ascii="Times New Roman" w:hAnsi="Times New Roman" w:cs="Times New Roman"/>
          <w:lang w:val="en-US"/>
        </w:rPr>
        <w:t xml:space="preserve">- subset of EORTC 90101 may have included patients with </w:t>
      </w:r>
      <w:r w:rsidRPr="003F3034">
        <w:rPr>
          <w:rFonts w:ascii="Times New Roman" w:hAnsi="Times New Roman" w:cs="Times New Roman"/>
          <w:i/>
          <w:lang w:val="en-US"/>
        </w:rPr>
        <w:t>ALK</w:t>
      </w:r>
      <w:r w:rsidRPr="00E8654E">
        <w:rPr>
          <w:rFonts w:ascii="Times New Roman" w:hAnsi="Times New Roman" w:cs="Times New Roman"/>
          <w:lang w:val="en-US"/>
        </w:rPr>
        <w:t>+ disease not detected by the diagnostic tools that were used in this trial, and may also have</w:t>
      </w:r>
      <w:r w:rsidR="00721C2D">
        <w:rPr>
          <w:rFonts w:ascii="Times New Roman" w:hAnsi="Times New Roman" w:cs="Times New Roman"/>
          <w:lang w:val="en-US"/>
        </w:rPr>
        <w:t xml:space="preserve"> had</w:t>
      </w:r>
      <w:r w:rsidRPr="00E8654E">
        <w:rPr>
          <w:rFonts w:ascii="Times New Roman" w:hAnsi="Times New Roman" w:cs="Times New Roman"/>
          <w:lang w:val="en-US"/>
        </w:rPr>
        <w:t xml:space="preserve"> </w:t>
      </w:r>
      <w:r w:rsidRPr="00E8654E">
        <w:rPr>
          <w:rFonts w:ascii="Times New Roman" w:hAnsi="Times New Roman" w:cs="Times New Roman"/>
        </w:rPr>
        <w:t>tumors</w:t>
      </w:r>
      <w:r w:rsidRPr="00E8654E">
        <w:rPr>
          <w:rFonts w:ascii="Times New Roman" w:hAnsi="Times New Roman" w:cs="Times New Roman"/>
          <w:lang w:val="en-US"/>
        </w:rPr>
        <w:t xml:space="preserve"> with other relevant driver mutations that may </w:t>
      </w:r>
      <w:r w:rsidR="00721C2D">
        <w:rPr>
          <w:rFonts w:ascii="Times New Roman" w:hAnsi="Times New Roman" w:cs="Times New Roman"/>
          <w:lang w:val="en-US"/>
        </w:rPr>
        <w:t xml:space="preserve">be inhibited </w:t>
      </w:r>
      <w:r w:rsidRPr="00E8654E">
        <w:rPr>
          <w:rFonts w:ascii="Times New Roman" w:hAnsi="Times New Roman" w:cs="Times New Roman"/>
          <w:lang w:val="en-US"/>
        </w:rPr>
        <w:t>by crizotinib.</w:t>
      </w:r>
    </w:p>
    <w:p w14:paraId="03E33A29" w14:textId="42C68DD3" w:rsidR="00A66615" w:rsidRPr="00524D52" w:rsidRDefault="00A66615" w:rsidP="002D5A07"/>
    <w:p w14:paraId="11AA391F" w14:textId="43D8E3B4" w:rsidR="003C2CFA" w:rsidRDefault="00A66615" w:rsidP="00A9399A">
      <w:r w:rsidRPr="00524D52">
        <w:t xml:space="preserve">Due to the long follow-up of </w:t>
      </w:r>
      <w:r w:rsidR="003C2CFA" w:rsidRPr="00524D52">
        <w:t xml:space="preserve">patients in </w:t>
      </w:r>
      <w:r w:rsidRPr="00524D52">
        <w:t xml:space="preserve">our prospective series, our trial will be a key reference for future research in this field, as we are providing not only response data, but also PFS and OS estimates for </w:t>
      </w:r>
      <w:r w:rsidR="003C2CFA" w:rsidRPr="00524D52">
        <w:t>a well-defined</w:t>
      </w:r>
      <w:r w:rsidR="00C14B51">
        <w:t>, mainly adult</w:t>
      </w:r>
      <w:r w:rsidR="003C2CFA" w:rsidRPr="00524D52">
        <w:t xml:space="preserve"> patient population</w:t>
      </w:r>
      <w:r w:rsidRPr="00524D52">
        <w:t xml:space="preserve"> with advanced, inoperable IMFT, both for </w:t>
      </w:r>
      <w:r w:rsidRPr="00524D52">
        <w:rPr>
          <w:i/>
        </w:rPr>
        <w:t>ALK</w:t>
      </w:r>
      <w:r w:rsidRPr="00524D52">
        <w:t>+ and</w:t>
      </w:r>
      <w:r w:rsidR="00D73A53" w:rsidRPr="00524D52">
        <w:t xml:space="preserve"> the rare</w:t>
      </w:r>
      <w:r w:rsidRPr="00524D52">
        <w:t xml:space="preserve"> </w:t>
      </w:r>
      <w:r w:rsidRPr="00524D52">
        <w:rPr>
          <w:i/>
        </w:rPr>
        <w:t>ALK</w:t>
      </w:r>
      <w:r w:rsidRPr="00524D52">
        <w:t>- cases.</w:t>
      </w:r>
      <w:r w:rsidR="00D73A53" w:rsidRPr="00524D52">
        <w:t xml:space="preserve"> </w:t>
      </w:r>
      <w:r w:rsidR="003C2CFA" w:rsidRPr="00524D52">
        <w:t>Furthermore, we have collected tissue blocks from all patients in the trial. This material is a precious resource for planned exploratory work. Together with the clinical data from EORTC 90101, this biorepository will enable us to perform further studies on the biology of IMFT</w:t>
      </w:r>
      <w:r w:rsidR="00A76DDC">
        <w:t>.</w:t>
      </w:r>
      <w:r w:rsidR="003C2CFA" w:rsidRPr="00524D52">
        <w:t xml:space="preserve"> </w:t>
      </w:r>
      <w:r w:rsidR="00D1740A">
        <w:rPr>
          <w:lang w:val="en-GB"/>
        </w:rPr>
        <w:t>Furthermore</w:t>
      </w:r>
      <w:r w:rsidR="003E20EB">
        <w:rPr>
          <w:lang w:val="en-GB"/>
        </w:rPr>
        <w:t>,</w:t>
      </w:r>
      <w:r w:rsidR="00A76DDC">
        <w:rPr>
          <w:lang w:val="en-GB"/>
        </w:rPr>
        <w:t xml:space="preserve"> </w:t>
      </w:r>
      <w:r w:rsidR="00A76DDC" w:rsidRPr="00EA2E21">
        <w:t xml:space="preserve">we </w:t>
      </w:r>
      <w:r w:rsidR="00C14B51">
        <w:t xml:space="preserve">will </w:t>
      </w:r>
      <w:r w:rsidR="00D1740A">
        <w:t>also</w:t>
      </w:r>
      <w:r w:rsidR="00A76DDC" w:rsidRPr="00EA2E21">
        <w:t xml:space="preserve"> </w:t>
      </w:r>
      <w:r w:rsidR="00C14B51">
        <w:t xml:space="preserve">be </w:t>
      </w:r>
      <w:r w:rsidR="00A76DDC" w:rsidRPr="00EA2E21">
        <w:t>performing correlative</w:t>
      </w:r>
      <w:r w:rsidR="00A76DDC">
        <w:t xml:space="preserve"> </w:t>
      </w:r>
      <w:r w:rsidR="00A76DDC" w:rsidRPr="00EA2E21">
        <w:t xml:space="preserve">studies </w:t>
      </w:r>
      <w:r w:rsidR="00A76DDC">
        <w:t xml:space="preserve">evaluating mutational status and </w:t>
      </w:r>
      <w:r w:rsidR="00D1740A">
        <w:t xml:space="preserve">the </w:t>
      </w:r>
      <w:r w:rsidR="00A76DDC">
        <w:t>genomic profile</w:t>
      </w:r>
      <w:r w:rsidR="00D1740A">
        <w:t>,</w:t>
      </w:r>
      <w:r w:rsidR="00A76DDC">
        <w:t xml:space="preserve"> as well as research on </w:t>
      </w:r>
      <w:r w:rsidR="00D1740A">
        <w:t>the protein level</w:t>
      </w:r>
      <w:r w:rsidR="00A76DDC">
        <w:t xml:space="preserve"> </w:t>
      </w:r>
      <w:r w:rsidR="00A76DDC" w:rsidRPr="00EA2E21">
        <w:t>using tissue microarrays to</w:t>
      </w:r>
      <w:r w:rsidR="00A76DDC">
        <w:t xml:space="preserve"> </w:t>
      </w:r>
      <w:r w:rsidR="00A76DDC" w:rsidRPr="00EA2E21">
        <w:t xml:space="preserve">better understand the molecular background of </w:t>
      </w:r>
      <w:r w:rsidR="00A76DDC">
        <w:t>IMFT</w:t>
      </w:r>
      <w:r w:rsidR="00D1740A">
        <w:t>.</w:t>
      </w:r>
      <w:r w:rsidR="00A76DDC">
        <w:t xml:space="preserve"> </w:t>
      </w:r>
      <w:r w:rsidR="00D1740A">
        <w:t xml:space="preserve">This will help us </w:t>
      </w:r>
      <w:r w:rsidR="00A76DDC" w:rsidRPr="00524D52">
        <w:t>to identify potential markers of sensitivity for crizotinib</w:t>
      </w:r>
      <w:r w:rsidR="00A76DDC">
        <w:t xml:space="preserve"> and novel targets for therapy</w:t>
      </w:r>
      <w:r w:rsidR="00A76DDC" w:rsidRPr="00524D52">
        <w:t xml:space="preserve"> in this rare malignancy.</w:t>
      </w:r>
      <w:r w:rsidR="00B04CD2">
        <w:br/>
      </w:r>
    </w:p>
    <w:p w14:paraId="2149BBE6" w14:textId="24BA3262" w:rsidR="00B04CD2" w:rsidRDefault="00B04CD2" w:rsidP="00A9399A">
      <w:r w:rsidRPr="00E8654E">
        <w:rPr>
          <w:u w:color="0462C1"/>
        </w:rPr>
        <w:t xml:space="preserve">The findings of EORTC 90101 as the largest prospective trial performed so far in IMFT are supported by a number of case reports that have been published in the literature since Butrinsky’s first observation of an objective response in an </w:t>
      </w:r>
      <w:r w:rsidRPr="00D54A4D">
        <w:rPr>
          <w:i/>
          <w:u w:color="0462C1"/>
        </w:rPr>
        <w:t>ALK</w:t>
      </w:r>
      <w:r w:rsidRPr="00E8654E">
        <w:rPr>
          <w:u w:color="0462C1"/>
        </w:rPr>
        <w:t xml:space="preserve">+ patient. Responses have not been restricted to crizotinib but have also been seen with other ALK/ROS1 inhibitors, and some patients had benefit from sequential treatment with different ALK inhibitors. The role of ROS1 as a driver and a potential target in this disease has been documented in single cases. Responses have also been observed in difficult to treat anatomical localizations, such as brain, orbita and conjunctiva. Responses have been seen in tumors driven by a variety of alternative gene fusions involving </w:t>
      </w:r>
      <w:r w:rsidRPr="00E8654E">
        <w:rPr>
          <w:rStyle w:val="None"/>
          <w:i/>
          <w:iCs/>
          <w:u w:color="0462C1"/>
        </w:rPr>
        <w:t>ALK</w:t>
      </w:r>
      <w:r w:rsidRPr="00E8654E">
        <w:rPr>
          <w:u w:color="0462C1"/>
        </w:rPr>
        <w:t>.</w:t>
      </w:r>
    </w:p>
    <w:p w14:paraId="3BDB9353" w14:textId="280150C4" w:rsidR="003C2CFA" w:rsidRDefault="004C2F86" w:rsidP="0075556B">
      <w:r>
        <w:br/>
      </w:r>
      <w:r w:rsidRPr="00C2776E">
        <w:t>A variety of different mechanisms mediating ac</w:t>
      </w:r>
      <w:r>
        <w:t>quired resistance to crizotinib</w:t>
      </w:r>
      <w:r w:rsidRPr="00C2776E">
        <w:t xml:space="preserve"> inhibition of ALK have been described, mainly in NSCLC patients. In lung cancer, resistance is mediated by secondary mutations in the </w:t>
      </w:r>
      <w:r w:rsidRPr="00C2776E">
        <w:rPr>
          <w:i/>
          <w:iCs/>
        </w:rPr>
        <w:t>ALK</w:t>
      </w:r>
      <w:r w:rsidRPr="00C2776E">
        <w:t xml:space="preserve"> kinase domain, impairing binding of the inhibitor to the ALK receptor, or by </w:t>
      </w:r>
      <w:r w:rsidRPr="00C2776E">
        <w:rPr>
          <w:i/>
          <w:iCs/>
        </w:rPr>
        <w:t>ALK</w:t>
      </w:r>
      <w:r w:rsidRPr="00C2776E">
        <w:t xml:space="preserve"> fusion gene amplification. In addition, the activation of compensatory alternative oncogenic drivers, such as epidermal growth factor receptor, insulin growth factor 1 receptor, MET and AXL have been observed (</w:t>
      </w:r>
      <w:r w:rsidRPr="00C2776E">
        <w:rPr>
          <w:lang w:val="de-DE"/>
        </w:rPr>
        <w:t>“</w:t>
      </w:r>
      <w:r w:rsidRPr="00C2776E">
        <w:t>bypass pathway</w:t>
      </w:r>
      <w:r w:rsidR="00822D90">
        <w:t>s</w:t>
      </w:r>
      <w:r w:rsidRPr="00C2776E">
        <w:t xml:space="preserve">”). In a crizotinib-resistant IMFT case with </w:t>
      </w:r>
      <w:r w:rsidRPr="00C2776E">
        <w:rPr>
          <w:i/>
          <w:iCs/>
          <w:lang w:val="de-DE"/>
        </w:rPr>
        <w:t>RANBP2-ALK</w:t>
      </w:r>
      <w:r w:rsidRPr="00C2776E">
        <w:t xml:space="preserve"> fusion gene, an acquired </w:t>
      </w:r>
      <w:r w:rsidRPr="00C2776E">
        <w:rPr>
          <w:i/>
          <w:iCs/>
        </w:rPr>
        <w:t>ALK</w:t>
      </w:r>
      <w:r w:rsidRPr="00C2776E">
        <w:t xml:space="preserve"> p.F1174L point mutation was identified in one out of three progressing lesions observed after an initial PR which lasted 8 months. This mutation confers primary resistance to crizotinib in neuroblastoma, was found to activate AXL and to induce epithelial-to-mesenchymal transition.</w:t>
      </w:r>
    </w:p>
    <w:p w14:paraId="19E64ECC" w14:textId="77777777" w:rsidR="004C2F86" w:rsidRPr="00524D52" w:rsidRDefault="004C2F86" w:rsidP="0075556B"/>
    <w:p w14:paraId="3D69A842" w14:textId="64C511AF" w:rsidR="002310AD" w:rsidRDefault="003C2CFA" w:rsidP="0026222D">
      <w:r w:rsidRPr="00524D52">
        <w:t>In the absence of validated treatment alternatives for patients with</w:t>
      </w:r>
      <w:r w:rsidR="00A94A55" w:rsidRPr="00524D52">
        <w:t xml:space="preserve"> IMFT, and considering the </w:t>
      </w:r>
      <w:r w:rsidRPr="00524D52">
        <w:t>methodological limitations of non-randomized drug testing i</w:t>
      </w:r>
      <w:r w:rsidR="00A94A55" w:rsidRPr="00524D52">
        <w:t>n such orphan malignancy, we propose to define crizotinib as the</w:t>
      </w:r>
      <w:r w:rsidRPr="00524D52">
        <w:t xml:space="preserve"> standard of care</w:t>
      </w:r>
      <w:r w:rsidR="00A94A55" w:rsidRPr="00524D52">
        <w:t xml:space="preserve"> for patients with locally advanced or metastatic</w:t>
      </w:r>
      <w:r w:rsidR="00532869">
        <w:t xml:space="preserve">, </w:t>
      </w:r>
      <w:r w:rsidR="00532869" w:rsidRPr="00BD5140">
        <w:rPr>
          <w:i/>
        </w:rPr>
        <w:t>ALK</w:t>
      </w:r>
      <w:r w:rsidR="00532869">
        <w:t>+</w:t>
      </w:r>
      <w:r w:rsidR="00A94A55" w:rsidRPr="00524D52">
        <w:t xml:space="preserve"> inflammatory myofibroblastic tumor</w:t>
      </w:r>
      <w:r w:rsidRPr="00524D52">
        <w:t xml:space="preserve"> </w:t>
      </w:r>
      <w:r w:rsidR="00A94A55" w:rsidRPr="00524D52">
        <w:t xml:space="preserve">who do not qualify for curative surgery. </w:t>
      </w:r>
      <w:r w:rsidR="00532869">
        <w:t>The role of crizotinib in</w:t>
      </w:r>
      <w:r w:rsidR="002F31BF">
        <w:t xml:space="preserve"> </w:t>
      </w:r>
      <w:r w:rsidR="00532869" w:rsidRPr="00524D52">
        <w:rPr>
          <w:i/>
        </w:rPr>
        <w:t>ALK</w:t>
      </w:r>
      <w:r w:rsidR="00532869" w:rsidRPr="00524D52">
        <w:t xml:space="preserve">- </w:t>
      </w:r>
      <w:r w:rsidR="00532869" w:rsidRPr="003349F7">
        <w:t>remains to be determined</w:t>
      </w:r>
      <w:r w:rsidR="00532869">
        <w:t xml:space="preserve">. </w:t>
      </w:r>
      <w:r w:rsidR="00A94A55" w:rsidRPr="00524D52">
        <w:t xml:space="preserve">Based on the current regulatory environment, we believe that crizotinib qualifies for accelerated approval in </w:t>
      </w:r>
      <w:r w:rsidR="00532869" w:rsidRPr="00BD5140">
        <w:rPr>
          <w:i/>
        </w:rPr>
        <w:t>ALK</w:t>
      </w:r>
      <w:r w:rsidR="00532869">
        <w:t>+ cases</w:t>
      </w:r>
      <w:r w:rsidR="00A94A55" w:rsidRPr="00524D52">
        <w:t xml:space="preserve">, given the unprecedented activity, the good safety profile and the unmet medical need in this disease. </w:t>
      </w:r>
    </w:p>
    <w:p w14:paraId="41482D31" w14:textId="77777777" w:rsidR="009F36C5" w:rsidRPr="00512C60" w:rsidRDefault="009F36C5" w:rsidP="003F79F9"/>
    <w:p w14:paraId="63A58836" w14:textId="665663B4" w:rsidR="00114EDB" w:rsidRPr="00512C60" w:rsidRDefault="00114EDB">
      <w:pPr>
        <w:rPr>
          <w:rStyle w:val="Strong"/>
        </w:rPr>
      </w:pPr>
      <w:r w:rsidRPr="00512C60">
        <w:rPr>
          <w:rStyle w:val="Strong"/>
        </w:rPr>
        <w:t>Panel: Research in context</w:t>
      </w:r>
    </w:p>
    <w:p w14:paraId="55A4F63C" w14:textId="77777777" w:rsidR="002C6AB5" w:rsidRPr="00512C60" w:rsidRDefault="002C6AB5" w:rsidP="00DA6988">
      <w:pPr>
        <w:pStyle w:val="FreeForm"/>
        <w:rPr>
          <w:rFonts w:ascii="Times New Roman" w:hAnsi="Times New Roman"/>
          <w:b/>
          <w:color w:val="auto"/>
          <w:sz w:val="22"/>
          <w:szCs w:val="22"/>
          <w:lang w:val="en-GB"/>
        </w:rPr>
      </w:pPr>
    </w:p>
    <w:p w14:paraId="60675974" w14:textId="199ACD76" w:rsidR="00B11606" w:rsidRPr="00512C60" w:rsidRDefault="00B11606" w:rsidP="00DA6988">
      <w:pPr>
        <w:pStyle w:val="FreeForm"/>
        <w:rPr>
          <w:rFonts w:ascii="Times New Roman" w:hAnsi="Times New Roman"/>
          <w:b/>
          <w:color w:val="auto"/>
          <w:sz w:val="22"/>
          <w:szCs w:val="22"/>
          <w:lang w:val="en-GB"/>
        </w:rPr>
      </w:pPr>
      <w:r w:rsidRPr="00512C60">
        <w:rPr>
          <w:rFonts w:ascii="Times New Roman" w:hAnsi="Times New Roman"/>
          <w:b/>
          <w:color w:val="auto"/>
          <w:sz w:val="22"/>
          <w:szCs w:val="22"/>
          <w:lang w:val="en-GB"/>
        </w:rPr>
        <w:t>Evidence before this study</w:t>
      </w:r>
      <w:r w:rsidR="00985AD9" w:rsidRPr="00512C60">
        <w:rPr>
          <w:rFonts w:ascii="Times New Roman" w:hAnsi="Times New Roman"/>
          <w:b/>
          <w:color w:val="auto"/>
          <w:sz w:val="22"/>
          <w:szCs w:val="22"/>
          <w:lang w:val="en-GB"/>
        </w:rPr>
        <w:t xml:space="preserve"> </w:t>
      </w:r>
    </w:p>
    <w:p w14:paraId="62C8EC20" w14:textId="77777777" w:rsidR="00614029" w:rsidRPr="00512C60" w:rsidRDefault="00614029" w:rsidP="00DA6988">
      <w:pPr>
        <w:pStyle w:val="FreeForm"/>
        <w:rPr>
          <w:rFonts w:ascii="Times New Roman" w:hAnsi="Times New Roman"/>
          <w:color w:val="auto"/>
          <w:sz w:val="22"/>
          <w:szCs w:val="22"/>
          <w:lang w:val="en-GB"/>
        </w:rPr>
      </w:pPr>
    </w:p>
    <w:p w14:paraId="364B9190" w14:textId="142BCDFF" w:rsidR="00577126" w:rsidRDefault="00577126" w:rsidP="00DA6988">
      <w:pPr>
        <w:pStyle w:val="FreeForm"/>
        <w:rPr>
          <w:rFonts w:ascii="Times New Roman" w:hAnsi="Times New Roman"/>
          <w:color w:val="auto"/>
          <w:sz w:val="22"/>
          <w:szCs w:val="22"/>
          <w:lang w:val="en-GB"/>
        </w:rPr>
      </w:pPr>
      <w:r>
        <w:rPr>
          <w:rFonts w:ascii="Times New Roman" w:hAnsi="Times New Roman"/>
          <w:color w:val="auto"/>
          <w:sz w:val="22"/>
          <w:szCs w:val="22"/>
          <w:lang w:val="en-GB"/>
        </w:rPr>
        <w:t xml:space="preserve">When the study protocol EORTC 90101 CREATE was written in 2010, we searched the literature for data on the use of crizotinib in IMFT. </w:t>
      </w:r>
      <w:r w:rsidR="009D3AF5">
        <w:rPr>
          <w:rFonts w:ascii="Times New Roman" w:hAnsi="Times New Roman"/>
          <w:color w:val="auto"/>
          <w:sz w:val="22"/>
          <w:szCs w:val="22"/>
          <w:lang w:val="en-GB"/>
        </w:rPr>
        <w:t xml:space="preserve">The source searched was Pubmed, and the search included: </w:t>
      </w:r>
      <w:r w:rsidR="009D3AF5" w:rsidRPr="005D0618">
        <w:rPr>
          <w:rFonts w:ascii="Times New Roman" w:hAnsi="Times New Roman"/>
          <w:sz w:val="22"/>
          <w:szCs w:val="22"/>
        </w:rPr>
        <w:t xml:space="preserve">no time limit; all languages; </w:t>
      </w:r>
      <w:r w:rsidR="009D3AF5">
        <w:rPr>
          <w:rFonts w:ascii="Times New Roman" w:hAnsi="Times New Roman"/>
          <w:sz w:val="22"/>
          <w:szCs w:val="22"/>
        </w:rPr>
        <w:t xml:space="preserve">the </w:t>
      </w:r>
      <w:r w:rsidR="009D3AF5" w:rsidRPr="005D0618">
        <w:rPr>
          <w:rFonts w:ascii="Times New Roman" w:hAnsi="Times New Roman"/>
          <w:sz w:val="22"/>
          <w:szCs w:val="22"/>
        </w:rPr>
        <w:t xml:space="preserve">search term inflammatory myofibroblastic </w:t>
      </w:r>
      <w:r w:rsidR="001D22EF" w:rsidRPr="005D0618">
        <w:rPr>
          <w:rFonts w:ascii="Times New Roman" w:hAnsi="Times New Roman"/>
          <w:sz w:val="22"/>
          <w:szCs w:val="22"/>
        </w:rPr>
        <w:t>tumor</w:t>
      </w:r>
      <w:r w:rsidR="009D3AF5" w:rsidRPr="005D0618">
        <w:rPr>
          <w:rFonts w:ascii="Times New Roman" w:hAnsi="Times New Roman"/>
          <w:sz w:val="22"/>
          <w:szCs w:val="22"/>
        </w:rPr>
        <w:t xml:space="preserve">; </w:t>
      </w:r>
      <w:r w:rsidR="00A910E6">
        <w:rPr>
          <w:rFonts w:ascii="Times New Roman" w:hAnsi="Times New Roman"/>
          <w:sz w:val="22"/>
          <w:szCs w:val="22"/>
        </w:rPr>
        <w:t xml:space="preserve">and </w:t>
      </w:r>
      <w:r w:rsidR="009D3AF5">
        <w:rPr>
          <w:rFonts w:ascii="Times New Roman" w:hAnsi="Times New Roman"/>
          <w:sz w:val="22"/>
          <w:szCs w:val="22"/>
        </w:rPr>
        <w:t xml:space="preserve">the </w:t>
      </w:r>
      <w:r w:rsidR="00A910E6">
        <w:rPr>
          <w:rFonts w:ascii="Times New Roman" w:hAnsi="Times New Roman"/>
          <w:sz w:val="22"/>
          <w:szCs w:val="22"/>
        </w:rPr>
        <w:t>search term crizotinib</w:t>
      </w:r>
      <w:r w:rsidR="009D3AF5">
        <w:rPr>
          <w:rFonts w:ascii="Times New Roman" w:hAnsi="Times New Roman"/>
          <w:sz w:val="22"/>
          <w:szCs w:val="22"/>
        </w:rPr>
        <w:t>.</w:t>
      </w:r>
      <w:r w:rsidR="009D3AF5">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Data were limited to the publication of one </w:t>
      </w:r>
      <w:r w:rsidRPr="00577126">
        <w:rPr>
          <w:rFonts w:ascii="Times New Roman" w:hAnsi="Times New Roman"/>
          <w:i/>
          <w:color w:val="auto"/>
          <w:sz w:val="22"/>
          <w:szCs w:val="22"/>
          <w:lang w:val="en-GB"/>
        </w:rPr>
        <w:t>ALK</w:t>
      </w:r>
      <w:r>
        <w:rPr>
          <w:rFonts w:ascii="Times New Roman" w:hAnsi="Times New Roman"/>
          <w:color w:val="auto"/>
          <w:sz w:val="22"/>
          <w:szCs w:val="22"/>
          <w:lang w:val="en-GB"/>
        </w:rPr>
        <w:t xml:space="preserve">+ and one </w:t>
      </w:r>
      <w:r w:rsidRPr="00577126">
        <w:rPr>
          <w:rFonts w:ascii="Times New Roman" w:hAnsi="Times New Roman"/>
          <w:i/>
          <w:color w:val="auto"/>
          <w:sz w:val="22"/>
          <w:szCs w:val="22"/>
          <w:lang w:val="en-GB"/>
        </w:rPr>
        <w:t>ALK</w:t>
      </w:r>
      <w:r>
        <w:rPr>
          <w:rFonts w:ascii="Times New Roman" w:hAnsi="Times New Roman"/>
          <w:color w:val="auto"/>
          <w:sz w:val="22"/>
          <w:szCs w:val="22"/>
          <w:lang w:val="en-GB"/>
        </w:rPr>
        <w:t xml:space="preserve">- case treated by Butrynski JE </w:t>
      </w:r>
      <w:r w:rsidRPr="006E0BFB">
        <w:rPr>
          <w:rFonts w:ascii="Times New Roman" w:hAnsi="Times New Roman"/>
          <w:i/>
          <w:color w:val="auto"/>
          <w:sz w:val="22"/>
          <w:szCs w:val="22"/>
          <w:lang w:val="en-GB"/>
        </w:rPr>
        <w:t>et al</w:t>
      </w:r>
      <w:r>
        <w:rPr>
          <w:rFonts w:ascii="Times New Roman" w:hAnsi="Times New Roman"/>
          <w:color w:val="auto"/>
          <w:sz w:val="22"/>
          <w:szCs w:val="22"/>
          <w:lang w:val="en-GB"/>
        </w:rPr>
        <w:t>.</w:t>
      </w:r>
      <w:r w:rsidRPr="00512C60">
        <w:rPr>
          <w:sz w:val="22"/>
          <w:szCs w:val="22"/>
          <w:vertAlign w:val="superscript"/>
        </w:rPr>
        <w:t>1</w:t>
      </w:r>
      <w:r>
        <w:rPr>
          <w:rFonts w:ascii="Times New Roman" w:hAnsi="Times New Roman"/>
          <w:color w:val="auto"/>
          <w:sz w:val="22"/>
          <w:szCs w:val="22"/>
          <w:lang w:val="en-GB"/>
        </w:rPr>
        <w:t xml:space="preserve"> treated in the context of the </w:t>
      </w:r>
      <w:r w:rsidR="00DC7F0C">
        <w:rPr>
          <w:rFonts w:ascii="Times New Roman" w:hAnsi="Times New Roman"/>
          <w:color w:val="auto"/>
          <w:sz w:val="22"/>
          <w:szCs w:val="22"/>
          <w:lang w:val="en-GB"/>
        </w:rPr>
        <w:t>p</w:t>
      </w:r>
      <w:r>
        <w:rPr>
          <w:rFonts w:ascii="Times New Roman" w:hAnsi="Times New Roman"/>
          <w:color w:val="auto"/>
          <w:sz w:val="22"/>
          <w:szCs w:val="22"/>
          <w:lang w:val="en-GB"/>
        </w:rPr>
        <w:t xml:space="preserve">hase 1 dose finding trial </w:t>
      </w:r>
      <w:r w:rsidRPr="00577126">
        <w:rPr>
          <w:rFonts w:ascii="Times New Roman" w:hAnsi="Times New Roman"/>
          <w:color w:val="auto"/>
          <w:sz w:val="22"/>
          <w:szCs w:val="22"/>
          <w:lang w:val="en-GB"/>
        </w:rPr>
        <w:t>NCT00585195</w:t>
      </w:r>
      <w:r>
        <w:rPr>
          <w:rFonts w:ascii="Times New Roman" w:hAnsi="Times New Roman"/>
          <w:color w:val="auto"/>
          <w:sz w:val="22"/>
          <w:szCs w:val="22"/>
          <w:lang w:val="en-GB"/>
        </w:rPr>
        <w:t xml:space="preserve"> with crizotinib in patients with advanced cancers</w:t>
      </w:r>
      <w:r w:rsidRPr="00065B26">
        <w:rPr>
          <w:rFonts w:ascii="Times New Roman" w:hAnsi="Times New Roman"/>
          <w:color w:val="auto"/>
          <w:sz w:val="22"/>
          <w:szCs w:val="22"/>
          <w:lang w:val="en-GB"/>
        </w:rPr>
        <w:t>.</w:t>
      </w:r>
      <w:r w:rsidR="00065B26" w:rsidRPr="00065B26">
        <w:rPr>
          <w:rFonts w:ascii="Times New Roman" w:hAnsi="Times New Roman"/>
          <w:color w:val="auto"/>
          <w:sz w:val="22"/>
          <w:szCs w:val="22"/>
          <w:lang w:val="en-GB"/>
        </w:rPr>
        <w:t xml:space="preserve"> </w:t>
      </w:r>
      <w:r w:rsidR="00065B26">
        <w:rPr>
          <w:rFonts w:ascii="Times New Roman" w:hAnsi="Times New Roman"/>
          <w:color w:val="auto"/>
          <w:sz w:val="22"/>
          <w:szCs w:val="22"/>
          <w:lang w:val="en-GB"/>
        </w:rPr>
        <w:t xml:space="preserve">Subsequently, </w:t>
      </w:r>
      <w:r w:rsidR="00065B26" w:rsidRPr="00065B26">
        <w:rPr>
          <w:rFonts w:ascii="Times New Roman" w:hAnsi="Times New Roman"/>
          <w:sz w:val="22"/>
          <w:szCs w:val="22"/>
        </w:rPr>
        <w:t xml:space="preserve">Mossé et al. recently published </w:t>
      </w:r>
      <w:r w:rsidR="00065B26">
        <w:rPr>
          <w:rFonts w:ascii="Times New Roman" w:hAnsi="Times New Roman"/>
          <w:sz w:val="22"/>
          <w:szCs w:val="22"/>
        </w:rPr>
        <w:t>in 2017 results from a study that included</w:t>
      </w:r>
      <w:r w:rsidR="00065B26" w:rsidRPr="00065B26">
        <w:rPr>
          <w:rFonts w:ascii="Times New Roman" w:hAnsi="Times New Roman"/>
          <w:sz w:val="22"/>
          <w:szCs w:val="22"/>
        </w:rPr>
        <w:t xml:space="preserve"> 14 pediatric and adolescent patients with </w:t>
      </w:r>
      <w:r w:rsidR="00065B26" w:rsidRPr="00065B26">
        <w:rPr>
          <w:rFonts w:ascii="Times New Roman" w:hAnsi="Times New Roman"/>
          <w:i/>
          <w:sz w:val="22"/>
          <w:szCs w:val="22"/>
        </w:rPr>
        <w:t>ALK</w:t>
      </w:r>
      <w:r w:rsidR="00065B26" w:rsidRPr="00065B26">
        <w:rPr>
          <w:rFonts w:ascii="Times New Roman" w:hAnsi="Times New Roman"/>
          <w:sz w:val="22"/>
          <w:szCs w:val="22"/>
        </w:rPr>
        <w:t>+ IMFT</w:t>
      </w:r>
      <w:r w:rsidR="00065B26">
        <w:rPr>
          <w:rFonts w:ascii="Times New Roman" w:hAnsi="Times New Roman"/>
          <w:sz w:val="22"/>
          <w:szCs w:val="22"/>
        </w:rPr>
        <w:t>, which showed</w:t>
      </w:r>
      <w:r w:rsidR="00065B26" w:rsidRPr="00065B26">
        <w:rPr>
          <w:rFonts w:ascii="Times New Roman" w:hAnsi="Times New Roman"/>
          <w:sz w:val="22"/>
          <w:szCs w:val="22"/>
        </w:rPr>
        <w:t xml:space="preserve"> robust clinical responses to crizotinib.</w:t>
      </w:r>
      <w:r w:rsidR="00065B26" w:rsidRPr="00065B26">
        <w:rPr>
          <w:rFonts w:ascii="Times New Roman" w:hAnsi="Times New Roman"/>
          <w:sz w:val="22"/>
          <w:szCs w:val="22"/>
          <w:vertAlign w:val="superscript"/>
        </w:rPr>
        <w:t>7</w:t>
      </w:r>
    </w:p>
    <w:p w14:paraId="39F6E025" w14:textId="77777777" w:rsidR="00577126" w:rsidRPr="00512C60" w:rsidRDefault="00577126" w:rsidP="00DA6988">
      <w:pPr>
        <w:pStyle w:val="FreeForm"/>
        <w:rPr>
          <w:rFonts w:ascii="Times New Roman" w:hAnsi="Times New Roman"/>
          <w:color w:val="auto"/>
          <w:sz w:val="22"/>
          <w:szCs w:val="22"/>
          <w:lang w:val="en-GB"/>
        </w:rPr>
      </w:pPr>
    </w:p>
    <w:p w14:paraId="2D8462F6" w14:textId="3E54BF60" w:rsidR="00B11606" w:rsidRPr="00512C60" w:rsidRDefault="00B11606" w:rsidP="00DA6988">
      <w:pPr>
        <w:pStyle w:val="FreeForm"/>
        <w:rPr>
          <w:rFonts w:ascii="Times New Roman" w:hAnsi="Times New Roman"/>
          <w:color w:val="auto"/>
          <w:sz w:val="22"/>
          <w:szCs w:val="22"/>
          <w:lang w:val="en-GB"/>
        </w:rPr>
      </w:pPr>
      <w:r w:rsidRPr="00512C60">
        <w:rPr>
          <w:rFonts w:ascii="Times New Roman" w:hAnsi="Times New Roman"/>
          <w:b/>
          <w:color w:val="auto"/>
          <w:sz w:val="22"/>
          <w:szCs w:val="22"/>
          <w:lang w:val="en-GB"/>
        </w:rPr>
        <w:t>Added value of this study</w:t>
      </w:r>
    </w:p>
    <w:p w14:paraId="3DCAFEE0" w14:textId="77777777" w:rsidR="00614029" w:rsidRPr="00512C60" w:rsidRDefault="00614029" w:rsidP="00DA6988">
      <w:pPr>
        <w:pStyle w:val="FreeForm"/>
        <w:rPr>
          <w:rFonts w:ascii="Times New Roman" w:hAnsi="Times New Roman"/>
          <w:color w:val="auto"/>
          <w:sz w:val="22"/>
          <w:szCs w:val="22"/>
          <w:lang w:val="en-GB"/>
        </w:rPr>
      </w:pPr>
    </w:p>
    <w:p w14:paraId="3A82F8B0" w14:textId="14E5C074" w:rsidR="0003337A" w:rsidRPr="00512C60" w:rsidRDefault="0003337A" w:rsidP="00065B26">
      <w:pPr>
        <w:rPr>
          <w:rFonts w:eastAsia="ScalaLancetPro"/>
        </w:rPr>
      </w:pPr>
      <w:r>
        <w:rPr>
          <w:lang w:val="en-GB"/>
        </w:rPr>
        <w:t xml:space="preserve">This prospective, non-randomized cohort trial provides very strong evidence that </w:t>
      </w:r>
      <w:r w:rsidRPr="00512C60">
        <w:rPr>
          <w:rFonts w:eastAsia="ScalaLancetPro"/>
        </w:rPr>
        <w:t>crizotinib should be considered as the</w:t>
      </w:r>
      <w:r>
        <w:rPr>
          <w:rFonts w:eastAsia="ScalaLancetPro"/>
        </w:rPr>
        <w:t xml:space="preserve"> systemic </w:t>
      </w:r>
      <w:r w:rsidRPr="00512C60">
        <w:rPr>
          <w:rFonts w:eastAsia="ScalaLancetPro"/>
        </w:rPr>
        <w:t xml:space="preserve">standard of care </w:t>
      </w:r>
      <w:r>
        <w:rPr>
          <w:rFonts w:eastAsia="ScalaLancetPro"/>
        </w:rPr>
        <w:t xml:space="preserve">treatment </w:t>
      </w:r>
      <w:r w:rsidRPr="00512C60">
        <w:rPr>
          <w:rFonts w:eastAsia="ScalaLancetPro"/>
        </w:rPr>
        <w:t xml:space="preserve">for </w:t>
      </w:r>
      <w:r w:rsidR="002C3CB4" w:rsidRPr="00BD5140">
        <w:rPr>
          <w:rFonts w:eastAsia="ScalaLancetPro"/>
          <w:i/>
        </w:rPr>
        <w:t>ALK</w:t>
      </w:r>
      <w:r w:rsidR="002C3CB4">
        <w:rPr>
          <w:rFonts w:eastAsia="ScalaLancetPro"/>
        </w:rPr>
        <w:t>+ IMFT.</w:t>
      </w:r>
    </w:p>
    <w:p w14:paraId="46222B45" w14:textId="5005FA25" w:rsidR="00305649" w:rsidRPr="00512C60" w:rsidRDefault="00305649" w:rsidP="00DA6988">
      <w:pPr>
        <w:pStyle w:val="FreeForm"/>
        <w:rPr>
          <w:rFonts w:ascii="Times New Roman" w:hAnsi="Times New Roman"/>
          <w:color w:val="auto"/>
          <w:sz w:val="22"/>
          <w:szCs w:val="22"/>
          <w:lang w:val="en-GB"/>
        </w:rPr>
      </w:pPr>
    </w:p>
    <w:p w14:paraId="47AF24E0" w14:textId="761DA4ED" w:rsidR="00B11606" w:rsidRPr="00512C60" w:rsidRDefault="00B11606" w:rsidP="00DA6988">
      <w:pPr>
        <w:pStyle w:val="FreeForm"/>
        <w:rPr>
          <w:rFonts w:ascii="Times New Roman" w:hAnsi="Times New Roman"/>
          <w:color w:val="auto"/>
          <w:sz w:val="22"/>
          <w:szCs w:val="22"/>
          <w:lang w:val="en-GB"/>
        </w:rPr>
      </w:pPr>
      <w:r w:rsidRPr="00512C60">
        <w:rPr>
          <w:rFonts w:ascii="Times New Roman" w:hAnsi="Times New Roman"/>
          <w:b/>
          <w:color w:val="auto"/>
          <w:sz w:val="22"/>
          <w:szCs w:val="22"/>
          <w:lang w:val="en-GB"/>
        </w:rPr>
        <w:t>Implications of all available evidence</w:t>
      </w:r>
    </w:p>
    <w:p w14:paraId="6ED4D016" w14:textId="77777777" w:rsidR="00305649" w:rsidRPr="00512C60" w:rsidRDefault="00305649" w:rsidP="00DA6988">
      <w:pPr>
        <w:pStyle w:val="FreeForm"/>
        <w:rPr>
          <w:rFonts w:ascii="Times New Roman" w:hAnsi="Times New Roman"/>
          <w:color w:val="auto"/>
          <w:sz w:val="22"/>
          <w:szCs w:val="22"/>
          <w:lang w:val="en-GB"/>
        </w:rPr>
      </w:pPr>
    </w:p>
    <w:p w14:paraId="63A97505" w14:textId="2F548449" w:rsidR="00614029" w:rsidRPr="00512C60" w:rsidRDefault="00CB455D" w:rsidP="00065B26">
      <w:pPr>
        <w:rPr>
          <w:rFonts w:eastAsia="ScalaLancetPro"/>
        </w:rPr>
      </w:pPr>
      <w:r w:rsidRPr="00512C60">
        <w:rPr>
          <w:rFonts w:eastAsia="ScalaLancetPro"/>
        </w:rPr>
        <w:t>EORTC can per</w:t>
      </w:r>
      <w:r w:rsidR="003C01CB" w:rsidRPr="00512C60">
        <w:rPr>
          <w:rFonts w:eastAsia="ScalaLancetPro"/>
        </w:rPr>
        <w:t>form precision medicine phase 2</w:t>
      </w:r>
      <w:r w:rsidRPr="00512C60">
        <w:rPr>
          <w:rFonts w:eastAsia="ScalaLancetPro"/>
        </w:rPr>
        <w:t xml:space="preserve"> trials in ultra-rare cancers such as IMFT, with mandatory collection of tissue blocks, real time reference pathology and genetic profiling. With an ORR of 50% and a DCR of 100% in </w:t>
      </w:r>
      <w:r w:rsidRPr="00512C60">
        <w:rPr>
          <w:rFonts w:eastAsia="ScalaLancetPro"/>
          <w:i/>
        </w:rPr>
        <w:t>ALK+</w:t>
      </w:r>
      <w:r w:rsidRPr="00512C60">
        <w:rPr>
          <w:rFonts w:eastAsia="ScalaLancetPro"/>
        </w:rPr>
        <w:t xml:space="preserve"> disease, crizotinib met pre-specified response rate criteria in this IMFT trial. The drug achieves long-lasting disease control in the vast majority of </w:t>
      </w:r>
      <w:r w:rsidRPr="00512C60">
        <w:rPr>
          <w:rFonts w:eastAsia="ScalaLancetPro"/>
          <w:i/>
        </w:rPr>
        <w:t>ALK+</w:t>
      </w:r>
      <w:r w:rsidRPr="00512C60">
        <w:rPr>
          <w:rFonts w:eastAsia="ScalaLancetPro"/>
        </w:rPr>
        <w:t xml:space="preserve"> </w:t>
      </w:r>
      <w:r w:rsidR="00BF40D5" w:rsidRPr="00512C60">
        <w:rPr>
          <w:rFonts w:eastAsia="ScalaLancetPro"/>
        </w:rPr>
        <w:t>patients</w:t>
      </w:r>
      <w:r w:rsidRPr="00512C60">
        <w:rPr>
          <w:rFonts w:eastAsia="ScalaLancetPro"/>
        </w:rPr>
        <w:t xml:space="preserve">. Sporadic responses and disease stabilization in </w:t>
      </w:r>
      <w:r w:rsidRPr="00512C60">
        <w:rPr>
          <w:rFonts w:eastAsia="ScalaLancetPro"/>
          <w:i/>
        </w:rPr>
        <w:t>ALK-</w:t>
      </w:r>
      <w:r w:rsidRPr="00512C60">
        <w:rPr>
          <w:rFonts w:eastAsia="ScalaLancetPro"/>
        </w:rPr>
        <w:t xml:space="preserve"> cases either suggest limitations of the used FISH and immunohistochemical assays and their cut-offs for target positivity, or the presence of other oncogenic drivers that are sensitive to crizotinib. </w:t>
      </w:r>
      <w:r w:rsidR="00334BC4">
        <w:rPr>
          <w:rFonts w:eastAsia="ScalaLancetPro"/>
        </w:rPr>
        <w:t xml:space="preserve">While </w:t>
      </w:r>
      <w:r w:rsidR="00490E17" w:rsidRPr="00065B26">
        <w:t>Mossé et al.</w:t>
      </w:r>
      <w:r w:rsidR="00490E17">
        <w:t xml:space="preserve"> </w:t>
      </w:r>
      <w:r w:rsidR="00334BC4">
        <w:t xml:space="preserve">evaluated </w:t>
      </w:r>
      <w:r w:rsidR="002E37CA" w:rsidRPr="00512C60">
        <w:rPr>
          <w:rFonts w:eastAsia="ScalaLancetPro"/>
          <w:i/>
        </w:rPr>
        <w:t>ALK+</w:t>
      </w:r>
      <w:r w:rsidR="002E37CA">
        <w:rPr>
          <w:rFonts w:eastAsia="ScalaLancetPro"/>
          <w:i/>
        </w:rPr>
        <w:t xml:space="preserve"> </w:t>
      </w:r>
      <w:r w:rsidR="002E37CA">
        <w:t xml:space="preserve">IMFT </w:t>
      </w:r>
      <w:r w:rsidR="00334BC4">
        <w:t xml:space="preserve">pediatric patients </w:t>
      </w:r>
      <w:r w:rsidR="00490E17">
        <w:t xml:space="preserve">and this </w:t>
      </w:r>
      <w:r w:rsidR="00490E17">
        <w:rPr>
          <w:color w:val="auto"/>
          <w:lang w:val="en-GB"/>
        </w:rPr>
        <w:t xml:space="preserve">EORTC 90101 CREATE </w:t>
      </w:r>
      <w:r w:rsidR="00334BC4">
        <w:rPr>
          <w:color w:val="auto"/>
          <w:lang w:val="en-GB"/>
        </w:rPr>
        <w:t xml:space="preserve">study evaluated </w:t>
      </w:r>
      <w:r w:rsidR="002E37CA" w:rsidRPr="00512C60">
        <w:rPr>
          <w:rFonts w:eastAsia="ScalaLancetPro"/>
          <w:i/>
        </w:rPr>
        <w:t>ALK+</w:t>
      </w:r>
      <w:r w:rsidR="002E37CA">
        <w:rPr>
          <w:rFonts w:eastAsia="ScalaLancetPro"/>
          <w:i/>
        </w:rPr>
        <w:t xml:space="preserve"> </w:t>
      </w:r>
      <w:r w:rsidR="002E37CA" w:rsidRPr="002E37CA">
        <w:rPr>
          <w:rFonts w:eastAsia="ScalaLancetPro"/>
        </w:rPr>
        <w:t xml:space="preserve">and </w:t>
      </w:r>
      <w:r w:rsidR="002E37CA">
        <w:rPr>
          <w:rFonts w:eastAsia="ScalaLancetPro"/>
          <w:i/>
        </w:rPr>
        <w:t xml:space="preserve">ALK- </w:t>
      </w:r>
      <w:r w:rsidR="002E37CA">
        <w:t>IMFT</w:t>
      </w:r>
      <w:r w:rsidR="002E37CA">
        <w:rPr>
          <w:color w:val="auto"/>
          <w:lang w:val="en-GB"/>
        </w:rPr>
        <w:t xml:space="preserve"> </w:t>
      </w:r>
      <w:r w:rsidR="00334BC4">
        <w:rPr>
          <w:color w:val="auto"/>
          <w:lang w:val="en-GB"/>
        </w:rPr>
        <w:t xml:space="preserve">adult patients, and both studies </w:t>
      </w:r>
      <w:r w:rsidR="00490E17">
        <w:rPr>
          <w:color w:val="auto"/>
          <w:lang w:val="en-GB"/>
        </w:rPr>
        <w:t>differ in many aspects</w:t>
      </w:r>
      <w:r w:rsidR="00334BC4">
        <w:rPr>
          <w:color w:val="auto"/>
          <w:lang w:val="en-GB"/>
        </w:rPr>
        <w:t>,</w:t>
      </w:r>
      <w:r w:rsidR="00FC57B9">
        <w:rPr>
          <w:color w:val="auto"/>
          <w:lang w:val="en-GB"/>
        </w:rPr>
        <w:t xml:space="preserve"> the</w:t>
      </w:r>
      <w:r w:rsidR="002E37CA">
        <w:rPr>
          <w:color w:val="auto"/>
          <w:lang w:val="en-GB"/>
        </w:rPr>
        <w:t xml:space="preserve"> evidence from these</w:t>
      </w:r>
      <w:r w:rsidR="00334BC4">
        <w:rPr>
          <w:color w:val="auto"/>
          <w:lang w:val="en-GB"/>
        </w:rPr>
        <w:t xml:space="preserve"> two </w:t>
      </w:r>
      <w:r w:rsidR="008A17AB">
        <w:rPr>
          <w:color w:val="auto"/>
          <w:lang w:val="en-GB"/>
        </w:rPr>
        <w:t>trials</w:t>
      </w:r>
      <w:r w:rsidR="00334BC4">
        <w:rPr>
          <w:color w:val="auto"/>
          <w:lang w:val="en-GB"/>
        </w:rPr>
        <w:t xml:space="preserve"> </w:t>
      </w:r>
      <w:r w:rsidR="00334BC4" w:rsidRPr="00524D52">
        <w:t xml:space="preserve">support the rationale for inhibiting ALK in </w:t>
      </w:r>
      <w:r w:rsidR="00334BC4">
        <w:t xml:space="preserve">patients with </w:t>
      </w:r>
      <w:r w:rsidR="00334BC4" w:rsidRPr="00524D52">
        <w:t>IMFT.</w:t>
      </w:r>
      <w:r w:rsidR="00FC57B9">
        <w:t xml:space="preserve"> Both the </w:t>
      </w:r>
      <w:r w:rsidR="00FC57B9" w:rsidRPr="00065B26">
        <w:t>Mossé et al.</w:t>
      </w:r>
      <w:r w:rsidR="00FC57B9">
        <w:t xml:space="preserve"> </w:t>
      </w:r>
      <w:r w:rsidR="00E22731">
        <w:t xml:space="preserve">and the </w:t>
      </w:r>
      <w:r w:rsidR="00F524F6">
        <w:rPr>
          <w:color w:val="auto"/>
          <w:lang w:val="en-GB"/>
        </w:rPr>
        <w:t xml:space="preserve">EORTC 90101 CREATE studies achieved 100% disease control in IMFT patients with </w:t>
      </w:r>
      <w:r w:rsidR="00F524F6" w:rsidRPr="00512C60">
        <w:rPr>
          <w:rFonts w:eastAsia="ScalaLancetPro"/>
          <w:i/>
        </w:rPr>
        <w:t>ALK+</w:t>
      </w:r>
      <w:r w:rsidR="00F524F6" w:rsidRPr="00512C60">
        <w:rPr>
          <w:rFonts w:eastAsia="ScalaLancetPro"/>
        </w:rPr>
        <w:t xml:space="preserve"> disease</w:t>
      </w:r>
      <w:r w:rsidR="00F524F6">
        <w:rPr>
          <w:rFonts w:eastAsia="ScalaLancetPro"/>
        </w:rPr>
        <w:t>.</w:t>
      </w:r>
      <w:r w:rsidR="00FB276A" w:rsidRPr="00FB276A">
        <w:rPr>
          <w:rFonts w:eastAsia="ScalaLancetPro"/>
        </w:rPr>
        <w:t xml:space="preserve"> </w:t>
      </w:r>
      <w:r w:rsidR="00A86B83" w:rsidRPr="00E8654E">
        <w:rPr>
          <w:u w:color="0462C1"/>
        </w:rPr>
        <w:t xml:space="preserve">Crizotinib should be considered as the standard of care for patients with locally advanced or metastatic, </w:t>
      </w:r>
      <w:r w:rsidR="00A86B83" w:rsidRPr="00E8654E">
        <w:rPr>
          <w:rStyle w:val="None"/>
          <w:i/>
          <w:iCs/>
          <w:u w:color="0462C1"/>
        </w:rPr>
        <w:t>ALK</w:t>
      </w:r>
      <w:r w:rsidR="00A86B83" w:rsidRPr="00E8654E">
        <w:rPr>
          <w:u w:color="0462C1"/>
        </w:rPr>
        <w:t xml:space="preserve">+ </w:t>
      </w:r>
      <w:r w:rsidR="008A17AB">
        <w:rPr>
          <w:u w:color="0462C1"/>
        </w:rPr>
        <w:t xml:space="preserve">IMFT </w:t>
      </w:r>
      <w:r w:rsidR="00A86B83" w:rsidRPr="00E8654E">
        <w:rPr>
          <w:u w:color="0462C1"/>
        </w:rPr>
        <w:t>who do not qualify for curative surgery.</w:t>
      </w:r>
    </w:p>
    <w:p w14:paraId="79FC8A2A" w14:textId="77777777" w:rsidR="00CB455D" w:rsidRPr="00512C60" w:rsidRDefault="00CB455D" w:rsidP="00DA6988">
      <w:pPr>
        <w:pStyle w:val="FreeForm"/>
        <w:rPr>
          <w:rFonts w:ascii="Times New Roman" w:hAnsi="Times New Roman"/>
          <w:b/>
          <w:color w:val="auto"/>
          <w:sz w:val="22"/>
          <w:szCs w:val="22"/>
          <w:lang w:val="en-GB"/>
        </w:rPr>
      </w:pPr>
    </w:p>
    <w:p w14:paraId="421C7053" w14:textId="1968B842" w:rsidR="00BD668F" w:rsidRPr="00512C60" w:rsidRDefault="00BD668F" w:rsidP="00065B26">
      <w:pPr>
        <w:rPr>
          <w:rFonts w:eastAsia="ヒラギノ角ゴ Pro W3"/>
        </w:rPr>
      </w:pPr>
      <w:r w:rsidRPr="00512C60">
        <w:br w:type="page"/>
      </w:r>
    </w:p>
    <w:p w14:paraId="61716C01" w14:textId="77777777" w:rsidR="00CB455D" w:rsidRPr="00512C60" w:rsidRDefault="00CB455D" w:rsidP="00DA6988">
      <w:pPr>
        <w:pStyle w:val="FreeForm"/>
        <w:rPr>
          <w:rFonts w:ascii="Times New Roman" w:hAnsi="Times New Roman"/>
          <w:b/>
          <w:color w:val="auto"/>
          <w:sz w:val="22"/>
          <w:szCs w:val="22"/>
          <w:lang w:val="en-GB"/>
        </w:rPr>
      </w:pPr>
    </w:p>
    <w:p w14:paraId="1F9E0D78" w14:textId="63368A6E" w:rsidR="0063226C" w:rsidRPr="00512C60" w:rsidRDefault="00584F0C" w:rsidP="003E1FE2">
      <w:pPr>
        <w:rPr>
          <w:rStyle w:val="Strong"/>
        </w:rPr>
      </w:pPr>
      <w:r w:rsidRPr="00512C60">
        <w:rPr>
          <w:rStyle w:val="Strong"/>
        </w:rPr>
        <w:t>Other local investigators</w:t>
      </w:r>
    </w:p>
    <w:p w14:paraId="0D777363" w14:textId="77777777" w:rsidR="00752FF0" w:rsidRPr="00512C60" w:rsidRDefault="00752FF0" w:rsidP="002D5A07"/>
    <w:p w14:paraId="3A9258AF" w14:textId="5AD5D76F" w:rsidR="006B6AC4" w:rsidRPr="00512C60" w:rsidRDefault="006B6AC4" w:rsidP="002D5A07">
      <w:pPr>
        <w:rPr>
          <w:rFonts w:eastAsia="ScalaLancetPro"/>
        </w:rPr>
      </w:pPr>
      <w:r w:rsidRPr="00512C60">
        <w:t>Germany</w:t>
      </w:r>
      <w:r w:rsidR="005A3EAA" w:rsidRPr="00512C60">
        <w:t>:</w:t>
      </w:r>
      <w:r w:rsidRPr="00512C60">
        <w:t xml:space="preserve"> </w:t>
      </w:r>
      <w:r w:rsidR="002B6D3C" w:rsidRPr="00512C60">
        <w:t xml:space="preserve">Prof </w:t>
      </w:r>
      <w:r w:rsidR="003C01CB" w:rsidRPr="00512C60">
        <w:rPr>
          <w:rFonts w:eastAsia="ScalaLancetPro"/>
        </w:rPr>
        <w:t>Bernd</w:t>
      </w:r>
      <w:r w:rsidR="005B5D95" w:rsidRPr="00512C60">
        <w:rPr>
          <w:rFonts w:eastAsia="ScalaLancetPro"/>
        </w:rPr>
        <w:t xml:space="preserve"> Kasp</w:t>
      </w:r>
      <w:r w:rsidR="005A3EAA" w:rsidRPr="00512C60">
        <w:rPr>
          <w:rFonts w:eastAsia="ScalaLancetPro"/>
        </w:rPr>
        <w:t>e</w:t>
      </w:r>
      <w:r w:rsidR="005B5D95" w:rsidRPr="00512C60">
        <w:rPr>
          <w:rFonts w:eastAsia="ScalaLancetPro"/>
        </w:rPr>
        <w:t>r</w:t>
      </w:r>
      <w:r w:rsidR="002B6D3C" w:rsidRPr="00512C60">
        <w:rPr>
          <w:rFonts w:eastAsia="ScalaLancetPro"/>
        </w:rPr>
        <w:t>, MD</w:t>
      </w:r>
    </w:p>
    <w:p w14:paraId="73A9A291" w14:textId="32E1A338" w:rsidR="006B6AC4" w:rsidRPr="00512C60" w:rsidRDefault="00584F0C" w:rsidP="00A9399A">
      <w:pPr>
        <w:rPr>
          <w:rFonts w:eastAsia="ScalaLancetPro"/>
        </w:rPr>
      </w:pPr>
      <w:r w:rsidRPr="00512C60">
        <w:rPr>
          <w:rFonts w:eastAsia="ScalaLancetPro"/>
        </w:rPr>
        <w:t>Belgium: Thierry Gil, MD</w:t>
      </w:r>
    </w:p>
    <w:p w14:paraId="153F7CC1" w14:textId="04627CBA" w:rsidR="00584F0C" w:rsidRPr="00512C60" w:rsidRDefault="00584F0C" w:rsidP="0026222D">
      <w:pPr>
        <w:rPr>
          <w:rFonts w:eastAsia="ScalaLancetPro"/>
        </w:rPr>
      </w:pPr>
      <w:r w:rsidRPr="00512C60">
        <w:rPr>
          <w:rFonts w:eastAsia="ScalaLancetPro"/>
        </w:rPr>
        <w:t>Both registered patients who were not treated.</w:t>
      </w:r>
    </w:p>
    <w:p w14:paraId="07E1FCB2" w14:textId="77777777" w:rsidR="00462EEF" w:rsidRPr="00512C60" w:rsidRDefault="00462EEF" w:rsidP="003F79F9">
      <w:pPr>
        <w:pStyle w:val="Heading3"/>
      </w:pPr>
    </w:p>
    <w:p w14:paraId="64509F0B" w14:textId="77777777" w:rsidR="001A1E12" w:rsidRPr="00512C60" w:rsidRDefault="001A1E12"/>
    <w:p w14:paraId="03A7E912" w14:textId="77777777" w:rsidR="00114EDB" w:rsidRPr="00512C60" w:rsidRDefault="0003748C">
      <w:pPr>
        <w:rPr>
          <w:rStyle w:val="Strong"/>
        </w:rPr>
      </w:pPr>
      <w:r w:rsidRPr="00512C60">
        <w:rPr>
          <w:rStyle w:val="Strong"/>
        </w:rPr>
        <w:t>Declaration</w:t>
      </w:r>
      <w:r w:rsidR="00114EDB" w:rsidRPr="00512C60">
        <w:rPr>
          <w:rStyle w:val="Strong"/>
        </w:rPr>
        <w:t xml:space="preserve"> of interest</w:t>
      </w:r>
    </w:p>
    <w:p w14:paraId="5BA5180D" w14:textId="77777777" w:rsidR="00752FF0" w:rsidRPr="00512C60" w:rsidRDefault="00752FF0">
      <w:pPr>
        <w:rPr>
          <w:rFonts w:eastAsia="ScalaLancetPro"/>
        </w:rPr>
      </w:pPr>
    </w:p>
    <w:p w14:paraId="362D9C79" w14:textId="76A2FCFD" w:rsidR="00B871A1" w:rsidRPr="00512C60" w:rsidRDefault="00B871A1">
      <w:pPr>
        <w:rPr>
          <w:rFonts w:eastAsia="ScalaLancetPro"/>
        </w:rPr>
      </w:pPr>
      <w:r w:rsidRPr="00512C60">
        <w:t>PS</w:t>
      </w:r>
      <w:r w:rsidRPr="00512C60">
        <w:rPr>
          <w:rFonts w:eastAsia="ScalaLancetPro"/>
        </w:rPr>
        <w:t xml:space="preserve">: </w:t>
      </w:r>
      <w:r w:rsidR="00BE439A">
        <w:rPr>
          <w:rFonts w:eastAsia="ScalaLancetPro"/>
        </w:rPr>
        <w:t>received an institutional travel grant from Pfizer Inc.</w:t>
      </w:r>
    </w:p>
    <w:p w14:paraId="1B5A322E" w14:textId="77777777" w:rsidR="00B871A1" w:rsidRPr="00512C60" w:rsidRDefault="00B871A1">
      <w:pPr>
        <w:rPr>
          <w:rFonts w:eastAsia="ScalaLancetPro"/>
        </w:rPr>
      </w:pPr>
      <w:r w:rsidRPr="00512C60">
        <w:t>AW</w:t>
      </w:r>
      <w:r w:rsidRPr="00512C60">
        <w:rPr>
          <w:rFonts w:eastAsia="ScalaLancetPro"/>
        </w:rPr>
        <w:t>: no competing interest</w:t>
      </w:r>
    </w:p>
    <w:p w14:paraId="5FE71D75" w14:textId="65AD9E33" w:rsidR="00B871A1" w:rsidRPr="00512C60" w:rsidRDefault="00B871A1">
      <w:pPr>
        <w:rPr>
          <w:rFonts w:eastAsia="ScalaLancetPro"/>
        </w:rPr>
      </w:pPr>
      <w:r w:rsidRPr="00512C60">
        <w:t>HG</w:t>
      </w:r>
      <w:r w:rsidRPr="00512C60">
        <w:rPr>
          <w:rFonts w:eastAsia="ScalaLancetPro"/>
        </w:rPr>
        <w:t>: no competing interest</w:t>
      </w:r>
      <w:r w:rsidR="00117166">
        <w:rPr>
          <w:rFonts w:eastAsia="ScalaLancetPro"/>
        </w:rPr>
        <w:t>, research support to the institution outside of the scope of this study</w:t>
      </w:r>
    </w:p>
    <w:p w14:paraId="1530E14B" w14:textId="44DD97E1" w:rsidR="00B871A1" w:rsidRPr="00512C60" w:rsidRDefault="00B871A1">
      <w:r w:rsidRPr="00512C60">
        <w:t>JYB</w:t>
      </w:r>
      <w:r w:rsidRPr="00512C60">
        <w:rPr>
          <w:rFonts w:eastAsia="ScalaLancetPro"/>
        </w:rPr>
        <w:t xml:space="preserve">: </w:t>
      </w:r>
      <w:r w:rsidRPr="00512C60">
        <w:rPr>
          <w:rStyle w:val="Hyperlink"/>
          <w:color w:val="auto"/>
          <w:u w:val="none"/>
        </w:rPr>
        <w:t>Research support and honoraria from Pfizer outside the scope of this study</w:t>
      </w:r>
    </w:p>
    <w:p w14:paraId="55046E5B" w14:textId="15CF5714" w:rsidR="00B871A1" w:rsidRPr="00512C60" w:rsidRDefault="00B871A1">
      <w:r w:rsidRPr="00512C60">
        <w:t>S</w:t>
      </w:r>
      <w:r w:rsidR="00762733">
        <w:t>J</w:t>
      </w:r>
      <w:r w:rsidRPr="00512C60">
        <w:t>S</w:t>
      </w:r>
      <w:r w:rsidRPr="00512C60">
        <w:rPr>
          <w:rFonts w:eastAsia="ScalaLancetPro"/>
        </w:rPr>
        <w:t xml:space="preserve">: </w:t>
      </w:r>
      <w:r w:rsidR="00845E9D" w:rsidRPr="00512C60">
        <w:rPr>
          <w:rFonts w:eastAsia="ScalaLancetPro"/>
        </w:rPr>
        <w:t>no competing interest</w:t>
      </w:r>
    </w:p>
    <w:p w14:paraId="747C7A7E" w14:textId="4E4C56A8" w:rsidR="00B871A1" w:rsidRPr="00512C60" w:rsidRDefault="003C01CB">
      <w:pPr>
        <w:rPr>
          <w:rFonts w:eastAsia="ScalaLancetPro"/>
        </w:rPr>
      </w:pPr>
      <w:r w:rsidRPr="00512C60">
        <w:t>SiS</w:t>
      </w:r>
      <w:r w:rsidR="00B871A1" w:rsidRPr="00512C60">
        <w:rPr>
          <w:rFonts w:eastAsia="ScalaLancetPro"/>
        </w:rPr>
        <w:t xml:space="preserve">: </w:t>
      </w:r>
      <w:r w:rsidR="0020131C" w:rsidRPr="00512C60">
        <w:rPr>
          <w:rStyle w:val="Hyperlink"/>
          <w:color w:val="auto"/>
          <w:u w:val="none"/>
        </w:rPr>
        <w:t>Research support from Pfizer outside the scope of this study</w:t>
      </w:r>
    </w:p>
    <w:p w14:paraId="07C35E63" w14:textId="28A6C464" w:rsidR="00B871A1" w:rsidRPr="00512C60" w:rsidRDefault="00B871A1">
      <w:r w:rsidRPr="00512C60">
        <w:t>PR</w:t>
      </w:r>
      <w:r w:rsidRPr="00512C60">
        <w:rPr>
          <w:rFonts w:eastAsia="ScalaLancetPro"/>
        </w:rPr>
        <w:t>: received honoraria from Pfizer outside the scope of this study</w:t>
      </w:r>
    </w:p>
    <w:p w14:paraId="0ECA9B3D" w14:textId="61A5544E" w:rsidR="00B871A1" w:rsidRPr="00512C60" w:rsidRDefault="00B871A1">
      <w:r w:rsidRPr="00512C60">
        <w:t xml:space="preserve">LHL: </w:t>
      </w:r>
      <w:r w:rsidR="004448F9" w:rsidRPr="00512C60">
        <w:rPr>
          <w:rFonts w:eastAsia="ScalaLancetPro"/>
        </w:rPr>
        <w:t>no competing interest</w:t>
      </w:r>
    </w:p>
    <w:p w14:paraId="20C690FC" w14:textId="77777777" w:rsidR="00B871A1" w:rsidRPr="00512C60" w:rsidRDefault="00B871A1">
      <w:pPr>
        <w:rPr>
          <w:rFonts w:eastAsia="ScalaLancetPro"/>
        </w:rPr>
      </w:pPr>
      <w:r w:rsidRPr="00512C60">
        <w:t>MGL</w:t>
      </w:r>
      <w:r w:rsidRPr="00512C60">
        <w:rPr>
          <w:rFonts w:eastAsia="ScalaLancetPro"/>
        </w:rPr>
        <w:t>: no competing interest</w:t>
      </w:r>
    </w:p>
    <w:p w14:paraId="7DF6DF48" w14:textId="77777777" w:rsidR="00B871A1" w:rsidRPr="00512C60" w:rsidRDefault="00B871A1">
      <w:pPr>
        <w:rPr>
          <w:rFonts w:eastAsia="ScalaLancetPro"/>
        </w:rPr>
      </w:pPr>
      <w:r w:rsidRPr="00512C60">
        <w:t>AI</w:t>
      </w:r>
      <w:r w:rsidRPr="00512C60">
        <w:rPr>
          <w:rFonts w:eastAsia="ScalaLancetPro"/>
        </w:rPr>
        <w:t>: no competing interest</w:t>
      </w:r>
    </w:p>
    <w:p w14:paraId="5A308861" w14:textId="77777777" w:rsidR="00B871A1" w:rsidRPr="00512C60" w:rsidRDefault="00B871A1">
      <w:pPr>
        <w:rPr>
          <w:rFonts w:eastAsia="ScalaLancetPro"/>
        </w:rPr>
      </w:pPr>
      <w:r w:rsidRPr="00512C60">
        <w:t>NI</w:t>
      </w:r>
      <w:r w:rsidRPr="00512C60">
        <w:rPr>
          <w:rFonts w:eastAsia="ScalaLancetPro"/>
        </w:rPr>
        <w:t>: no competing interest</w:t>
      </w:r>
    </w:p>
    <w:p w14:paraId="3160610A" w14:textId="77777777" w:rsidR="00B871A1" w:rsidRPr="00512C60" w:rsidRDefault="00B871A1">
      <w:pPr>
        <w:rPr>
          <w:rFonts w:eastAsia="ScalaLancetPro"/>
        </w:rPr>
      </w:pPr>
      <w:r w:rsidRPr="00512C60">
        <w:t>MDR</w:t>
      </w:r>
      <w:r w:rsidRPr="00512C60">
        <w:rPr>
          <w:rFonts w:eastAsia="ScalaLancetPro"/>
        </w:rPr>
        <w:t>: no competing interest</w:t>
      </w:r>
    </w:p>
    <w:p w14:paraId="6B0C12D1" w14:textId="77777777" w:rsidR="00B871A1" w:rsidRPr="00512C60" w:rsidRDefault="00B871A1">
      <w:pPr>
        <w:rPr>
          <w:rFonts w:eastAsia="ScalaLancetPro"/>
        </w:rPr>
      </w:pPr>
      <w:r w:rsidRPr="00512C60">
        <w:t>RS</w:t>
      </w:r>
      <w:r w:rsidRPr="00512C60">
        <w:rPr>
          <w:rFonts w:eastAsia="ScalaLancetPro"/>
        </w:rPr>
        <w:t>: no competing interest</w:t>
      </w:r>
    </w:p>
    <w:p w14:paraId="2A48B535" w14:textId="77777777" w:rsidR="00B871A1" w:rsidRPr="00512C60" w:rsidRDefault="00B871A1">
      <w:pPr>
        <w:rPr>
          <w:rFonts w:eastAsia="ScalaLancetPro"/>
        </w:rPr>
      </w:pPr>
      <w:r w:rsidRPr="00512C60">
        <w:t>TVC</w:t>
      </w:r>
      <w:r w:rsidRPr="00512C60">
        <w:rPr>
          <w:rFonts w:eastAsia="ScalaLancetPro"/>
        </w:rPr>
        <w:t>: no competing interest</w:t>
      </w:r>
    </w:p>
    <w:p w14:paraId="64ABEA5D" w14:textId="77777777" w:rsidR="00B871A1" w:rsidRPr="00512C60" w:rsidRDefault="00B871A1">
      <w:pPr>
        <w:rPr>
          <w:rFonts w:eastAsia="ScalaLancetPro"/>
        </w:rPr>
      </w:pPr>
      <w:r w:rsidRPr="00512C60">
        <w:t>SM</w:t>
      </w:r>
      <w:r w:rsidRPr="00512C60">
        <w:rPr>
          <w:rFonts w:eastAsia="ScalaLancetPro"/>
        </w:rPr>
        <w:t>: no competing interest</w:t>
      </w:r>
    </w:p>
    <w:p w14:paraId="7AE01B0C" w14:textId="77777777" w:rsidR="00B871A1" w:rsidRPr="00512C60" w:rsidRDefault="00B871A1">
      <w:pPr>
        <w:rPr>
          <w:rFonts w:eastAsia="ScalaLancetPro"/>
        </w:rPr>
      </w:pPr>
      <w:r w:rsidRPr="00512C60">
        <w:t>AN</w:t>
      </w:r>
      <w:r w:rsidRPr="00512C60">
        <w:rPr>
          <w:rFonts w:eastAsia="ScalaLancetPro"/>
        </w:rPr>
        <w:t>: no competing interest</w:t>
      </w:r>
    </w:p>
    <w:p w14:paraId="623135DB" w14:textId="77777777" w:rsidR="00B871A1" w:rsidRPr="00512C60" w:rsidRDefault="00B871A1">
      <w:pPr>
        <w:rPr>
          <w:rFonts w:eastAsia="ScalaLancetPro"/>
        </w:rPr>
      </w:pPr>
      <w:r w:rsidRPr="00512C60">
        <w:t>SC</w:t>
      </w:r>
      <w:r w:rsidRPr="00512C60">
        <w:rPr>
          <w:rFonts w:eastAsia="ScalaLancetPro"/>
        </w:rPr>
        <w:t>: no competing interest</w:t>
      </w:r>
    </w:p>
    <w:p w14:paraId="31C30ED1" w14:textId="77777777" w:rsidR="00B871A1" w:rsidRPr="00512C60" w:rsidRDefault="00B871A1">
      <w:pPr>
        <w:rPr>
          <w:rFonts w:eastAsia="ScalaLancetPro"/>
        </w:rPr>
      </w:pPr>
      <w:r w:rsidRPr="00512C60">
        <w:t>JS</w:t>
      </w:r>
      <w:r w:rsidRPr="00512C60">
        <w:rPr>
          <w:rFonts w:eastAsia="ScalaLancetPro"/>
        </w:rPr>
        <w:t>: no competing interest</w:t>
      </w:r>
    </w:p>
    <w:p w14:paraId="3209A385" w14:textId="77777777" w:rsidR="00B871A1" w:rsidRPr="00512C60" w:rsidRDefault="00B871A1">
      <w:pPr>
        <w:rPr>
          <w:rFonts w:eastAsia="ScalaLancetPro"/>
        </w:rPr>
      </w:pPr>
    </w:p>
    <w:p w14:paraId="4B602D4C" w14:textId="1367B316" w:rsidR="007747CD" w:rsidRPr="00512C60" w:rsidRDefault="007747CD"/>
    <w:p w14:paraId="21D4D1E1" w14:textId="77777777" w:rsidR="00114EDB" w:rsidRPr="00512C60" w:rsidRDefault="00114EDB">
      <w:pPr>
        <w:rPr>
          <w:rStyle w:val="Strong"/>
        </w:rPr>
      </w:pPr>
      <w:r w:rsidRPr="00512C60">
        <w:rPr>
          <w:rStyle w:val="Strong"/>
        </w:rPr>
        <w:t>Acknowledgements</w:t>
      </w:r>
    </w:p>
    <w:p w14:paraId="7C846A6B" w14:textId="77777777" w:rsidR="00752FF0" w:rsidRPr="00512C60" w:rsidRDefault="00752FF0">
      <w:pPr>
        <w:rPr>
          <w:rFonts w:eastAsia="ScalaLancetPro"/>
        </w:rPr>
      </w:pPr>
    </w:p>
    <w:p w14:paraId="29F15894" w14:textId="52D211EC" w:rsidR="00756F8C" w:rsidRPr="00512C60" w:rsidRDefault="006B6AC4">
      <w:r w:rsidRPr="00512C60">
        <w:rPr>
          <w:rFonts w:eastAsia="ScalaLancetPro"/>
        </w:rPr>
        <w:t>We</w:t>
      </w:r>
      <w:r w:rsidR="007216ED" w:rsidRPr="00512C60">
        <w:rPr>
          <w:rFonts w:eastAsia="ScalaLancetPro"/>
        </w:rPr>
        <w:t xml:space="preserve"> </w:t>
      </w:r>
      <w:r w:rsidRPr="00512C60">
        <w:rPr>
          <w:rFonts w:eastAsia="ScalaLancetPro"/>
        </w:rPr>
        <w:t xml:space="preserve">thank the </w:t>
      </w:r>
      <w:r w:rsidR="007216ED" w:rsidRPr="00512C60">
        <w:rPr>
          <w:rFonts w:eastAsia="ScalaLancetPro"/>
        </w:rPr>
        <w:t>involved patients</w:t>
      </w:r>
      <w:r w:rsidRPr="00512C60">
        <w:rPr>
          <w:rFonts w:eastAsia="ScalaLancetPro"/>
        </w:rPr>
        <w:t xml:space="preserve"> and their families for participating i</w:t>
      </w:r>
      <w:r w:rsidR="00990A98" w:rsidRPr="00512C60">
        <w:rPr>
          <w:rFonts w:eastAsia="ScalaLancetPro"/>
        </w:rPr>
        <w:t xml:space="preserve">n this study. </w:t>
      </w:r>
      <w:r w:rsidRPr="00512C60">
        <w:rPr>
          <w:rFonts w:eastAsia="ScalaLancetPro"/>
        </w:rPr>
        <w:t xml:space="preserve">We thank </w:t>
      </w:r>
      <w:r w:rsidR="008618B7" w:rsidRPr="00512C60">
        <w:rPr>
          <w:rFonts w:eastAsia="ScalaLancetPro"/>
        </w:rPr>
        <w:t xml:space="preserve">multiple colleagues involved in EORTC 90101 over time at </w:t>
      </w:r>
      <w:r w:rsidRPr="00512C60">
        <w:rPr>
          <w:rFonts w:eastAsia="ScalaLancetPro"/>
        </w:rPr>
        <w:t xml:space="preserve">EORTC Headquarters, investigators, nurses, and </w:t>
      </w:r>
      <w:r w:rsidR="00990A98" w:rsidRPr="00512C60">
        <w:rPr>
          <w:rFonts w:eastAsia="ScalaLancetPro"/>
        </w:rPr>
        <w:t xml:space="preserve">other </w:t>
      </w:r>
      <w:r w:rsidRPr="00512C60">
        <w:rPr>
          <w:rFonts w:eastAsia="ScalaLancetPro"/>
        </w:rPr>
        <w:t>study staff for t</w:t>
      </w:r>
      <w:r w:rsidR="007216ED" w:rsidRPr="00512C60">
        <w:rPr>
          <w:rFonts w:eastAsia="ScalaLancetPro"/>
        </w:rPr>
        <w:t>heir contributions to this trial</w:t>
      </w:r>
      <w:r w:rsidRPr="00512C60">
        <w:rPr>
          <w:rFonts w:eastAsia="ScalaLancetPro"/>
        </w:rPr>
        <w:t xml:space="preserve">. </w:t>
      </w:r>
      <w:r w:rsidR="005A3EAA" w:rsidRPr="00512C60">
        <w:rPr>
          <w:rFonts w:eastAsia="ScalaLancetPro"/>
        </w:rPr>
        <w:t xml:space="preserve">P. Schöffski </w:t>
      </w:r>
      <w:r w:rsidR="008618B7" w:rsidRPr="00512C60">
        <w:rPr>
          <w:rFonts w:eastAsia="ScalaLancetPro"/>
        </w:rPr>
        <w:t xml:space="preserve">personally </w:t>
      </w:r>
      <w:r w:rsidR="000F4022" w:rsidRPr="00512C60">
        <w:rPr>
          <w:rFonts w:eastAsia="ScalaLancetPro"/>
        </w:rPr>
        <w:t xml:space="preserve">funded editorial support, and </w:t>
      </w:r>
      <w:r w:rsidRPr="00512C60">
        <w:t>J</w:t>
      </w:r>
      <w:r w:rsidR="006368B6" w:rsidRPr="00512C60">
        <w:t>.</w:t>
      </w:r>
      <w:r w:rsidRPr="00512C60">
        <w:t xml:space="preserve"> O’Regan (Bingham Mayne and Smith Ltd</w:t>
      </w:r>
      <w:r w:rsidR="000F4022" w:rsidRPr="00512C60">
        <w:t>.</w:t>
      </w:r>
      <w:r w:rsidRPr="00512C60">
        <w:t xml:space="preserve">) </w:t>
      </w:r>
      <w:r w:rsidR="008618B7" w:rsidRPr="00512C60">
        <w:t>coordinated the final submission</w:t>
      </w:r>
      <w:r w:rsidRPr="00512C60">
        <w:t>.</w:t>
      </w:r>
      <w:r w:rsidR="009C06DB" w:rsidRPr="00512C60">
        <w:rPr>
          <w:rFonts w:eastAsia="ScalaLancetPro"/>
        </w:rPr>
        <w:t xml:space="preserve"> </w:t>
      </w:r>
      <w:r w:rsidR="00FE3F1A" w:rsidRPr="00512C60">
        <w:t>This publication was supported by the EORTC Cancer Research Fund</w:t>
      </w:r>
      <w:r w:rsidR="00DA1AFC" w:rsidRPr="00512C60">
        <w:t>.</w:t>
      </w:r>
      <w:r w:rsidR="009C06DB" w:rsidRPr="00512C60">
        <w:rPr>
          <w:rFonts w:eastAsia="ScalaLancetPro"/>
        </w:rPr>
        <w:t xml:space="preserve"> </w:t>
      </w:r>
      <w:r w:rsidR="00756F8C" w:rsidRPr="00BD5140">
        <w:t>Support was provided to SJS by the NIHR, the University College London Hospitals Biomedical Research Centre</w:t>
      </w:r>
      <w:r w:rsidR="00BE439A">
        <w:t>.</w:t>
      </w:r>
    </w:p>
    <w:p w14:paraId="0C4A47A3" w14:textId="27D2D16B" w:rsidR="002C6AB5" w:rsidRPr="00512C60" w:rsidRDefault="002C6AB5"/>
    <w:p w14:paraId="30AF7C5D" w14:textId="77777777" w:rsidR="002C6AB5" w:rsidRPr="00512C60" w:rsidRDefault="002C6AB5">
      <w:pPr>
        <w:rPr>
          <w:rStyle w:val="Hyperlink"/>
          <w:color w:val="auto"/>
          <w:u w:val="none"/>
        </w:rPr>
      </w:pPr>
    </w:p>
    <w:p w14:paraId="45ED832F" w14:textId="6ECB8652" w:rsidR="00C448C2" w:rsidRPr="00512C60" w:rsidRDefault="00C448C2">
      <w:pPr>
        <w:rPr>
          <w:rStyle w:val="Hyperlink"/>
          <w:color w:val="auto"/>
          <w:u w:val="none"/>
        </w:rPr>
      </w:pPr>
      <w:r w:rsidRPr="00512C60">
        <w:rPr>
          <w:rStyle w:val="Hyperlink"/>
          <w:color w:val="auto"/>
          <w:u w:val="none"/>
        </w:rPr>
        <w:br w:type="page"/>
      </w:r>
    </w:p>
    <w:p w14:paraId="1D9B5203" w14:textId="77777777" w:rsidR="00DD712D" w:rsidRPr="00512C60" w:rsidRDefault="00DD712D">
      <w:pPr>
        <w:rPr>
          <w:rStyle w:val="Strong"/>
        </w:rPr>
      </w:pPr>
      <w:r w:rsidRPr="00512C60">
        <w:rPr>
          <w:rStyle w:val="Strong"/>
        </w:rPr>
        <w:lastRenderedPageBreak/>
        <w:t xml:space="preserve">References </w:t>
      </w:r>
    </w:p>
    <w:p w14:paraId="6AA5EDCA" w14:textId="77777777" w:rsidR="00DD712D" w:rsidRPr="00512C60" w:rsidRDefault="00DD712D"/>
    <w:p w14:paraId="7AA06121" w14:textId="77777777" w:rsidR="00DD712D" w:rsidRPr="00512C60" w:rsidRDefault="00DD712D"/>
    <w:p w14:paraId="75BB2DC4" w14:textId="6006659F" w:rsidR="00DD712D" w:rsidRPr="00512C60" w:rsidRDefault="00DD712D">
      <w:pPr>
        <w:pStyle w:val="ListParagraph"/>
        <w:numPr>
          <w:ilvl w:val="0"/>
          <w:numId w:val="1"/>
        </w:numPr>
      </w:pPr>
      <w:r w:rsidRPr="00512C60">
        <w:t xml:space="preserve">Butrynski JE, D'Adamo DR, Hornick JL, et al. Crizotinib in ALK-rearranged inflammatory myofibroblastic tumor. </w:t>
      </w:r>
      <w:r w:rsidRPr="00512C60">
        <w:rPr>
          <w:i/>
        </w:rPr>
        <w:t>N Engl J Med</w:t>
      </w:r>
      <w:r w:rsidRPr="00512C60">
        <w:t xml:space="preserve"> 2010; 363: 1727</w:t>
      </w:r>
      <w:r w:rsidR="00C9157F" w:rsidRPr="00512C60">
        <w:t>–</w:t>
      </w:r>
      <w:r w:rsidRPr="00512C60">
        <w:t>1733.</w:t>
      </w:r>
      <w:r w:rsidRPr="00512C60">
        <w:br/>
      </w:r>
    </w:p>
    <w:p w14:paraId="28D79EEE" w14:textId="63A0D5C2" w:rsidR="00DD712D" w:rsidRPr="00512C60" w:rsidRDefault="00DD712D">
      <w:pPr>
        <w:pStyle w:val="ListParagraph"/>
        <w:numPr>
          <w:ilvl w:val="0"/>
          <w:numId w:val="1"/>
        </w:numPr>
      </w:pPr>
      <w:r w:rsidRPr="00512C60">
        <w:t xml:space="preserve">Sanjivini JV, John RD, Angerika KY, </w:t>
      </w:r>
      <w:r w:rsidR="006651A7" w:rsidRPr="00CB6494">
        <w:t>Williams WD, Liu C, Vila Duckworth L</w:t>
      </w:r>
      <w:r w:rsidRPr="00512C60">
        <w:t xml:space="preserve">.  An Unusual Case of Systemic Inflammatory Myofibroblastic Tumor with Successful Treatment with ALK-Inhibitor. </w:t>
      </w:r>
      <w:r w:rsidRPr="00512C60">
        <w:rPr>
          <w:i/>
        </w:rPr>
        <w:t>Case Reports in Pathology</w:t>
      </w:r>
      <w:r w:rsidR="008C4CFE" w:rsidRPr="00512C60">
        <w:t xml:space="preserve"> 2014; Article ID 470340</w:t>
      </w:r>
      <w:r w:rsidRPr="00512C60">
        <w:t xml:space="preserve">. Available at </w:t>
      </w:r>
      <w:hyperlink r:id="rId17" w:history="1">
        <w:r w:rsidRPr="00512C60">
          <w:t>http://dx.doi.org/10.1155/2014/470340</w:t>
        </w:r>
      </w:hyperlink>
      <w:r w:rsidRPr="00512C60">
        <w:t xml:space="preserve"> (last accessed </w:t>
      </w:r>
      <w:r w:rsidR="008C4CFE" w:rsidRPr="00512C60">
        <w:t>15</w:t>
      </w:r>
      <w:r w:rsidRPr="00512C60">
        <w:t xml:space="preserve"> </w:t>
      </w:r>
      <w:r w:rsidR="008C4CFE" w:rsidRPr="00512C60">
        <w:t>November</w:t>
      </w:r>
      <w:r w:rsidRPr="00512C60">
        <w:t xml:space="preserve"> 201</w:t>
      </w:r>
      <w:r w:rsidR="008C4CFE" w:rsidRPr="00512C60">
        <w:t>7</w:t>
      </w:r>
      <w:r w:rsidRPr="00512C60">
        <w:t>)</w:t>
      </w:r>
      <w:r w:rsidR="008C4CFE" w:rsidRPr="00512C60">
        <w:t>.</w:t>
      </w:r>
      <w:r w:rsidRPr="00512C60">
        <w:br/>
      </w:r>
    </w:p>
    <w:p w14:paraId="72F8EB7F" w14:textId="2C356D63" w:rsidR="00DD712D" w:rsidRPr="00512C60" w:rsidRDefault="008076D4">
      <w:pPr>
        <w:pStyle w:val="ListParagraph"/>
        <w:numPr>
          <w:ilvl w:val="0"/>
          <w:numId w:val="1"/>
        </w:numPr>
        <w:rPr>
          <w:lang w:eastAsia="en-GB"/>
        </w:rPr>
      </w:pPr>
      <w:hyperlink r:id="rId18" w:history="1">
        <w:r w:rsidR="00DD712D" w:rsidRPr="00512C60">
          <w:rPr>
            <w:lang w:val="fr-FR"/>
          </w:rPr>
          <w:t>Lovly CM</w:t>
        </w:r>
      </w:hyperlink>
      <w:r w:rsidR="00DD712D" w:rsidRPr="00512C60">
        <w:rPr>
          <w:lang w:val="fr-FR"/>
        </w:rPr>
        <w:t xml:space="preserve">, </w:t>
      </w:r>
      <w:hyperlink r:id="rId19" w:history="1">
        <w:r w:rsidR="00DD712D" w:rsidRPr="00512C60">
          <w:rPr>
            <w:lang w:val="fr-FR"/>
          </w:rPr>
          <w:t>Gupta A</w:t>
        </w:r>
      </w:hyperlink>
      <w:r w:rsidR="00DD712D" w:rsidRPr="00512C60">
        <w:rPr>
          <w:lang w:val="fr-FR"/>
        </w:rPr>
        <w:t xml:space="preserve">, </w:t>
      </w:r>
      <w:hyperlink r:id="rId20" w:history="1">
        <w:r w:rsidR="00DD712D" w:rsidRPr="00512C60">
          <w:rPr>
            <w:lang w:val="fr-FR"/>
          </w:rPr>
          <w:t>Lipson D</w:t>
        </w:r>
      </w:hyperlink>
      <w:r w:rsidR="00DD712D" w:rsidRPr="00512C60">
        <w:rPr>
          <w:lang w:val="fr-FR"/>
        </w:rPr>
        <w:t xml:space="preserve">, et al. </w:t>
      </w:r>
      <w:r w:rsidR="00DD712D" w:rsidRPr="00512C60">
        <w:t xml:space="preserve">Inflammatory myofibroblastic tumors harbor multiple potentially actionable kinase fusions. </w:t>
      </w:r>
      <w:hyperlink r:id="rId21" w:tooltip="Cancer discovery." w:history="1">
        <w:r w:rsidR="00DD712D" w:rsidRPr="00512C60">
          <w:rPr>
            <w:i/>
          </w:rPr>
          <w:t>Cancer Discov.</w:t>
        </w:r>
      </w:hyperlink>
      <w:r w:rsidR="00DD712D" w:rsidRPr="00512C60">
        <w:t xml:space="preserve"> 2014; 4: 889</w:t>
      </w:r>
      <w:r w:rsidR="00C9157F" w:rsidRPr="00512C60">
        <w:t>–</w:t>
      </w:r>
      <w:r w:rsidR="00DD712D" w:rsidRPr="00512C60">
        <w:t>895.</w:t>
      </w:r>
      <w:r w:rsidR="00DD712D" w:rsidRPr="00512C60">
        <w:br/>
      </w:r>
    </w:p>
    <w:p w14:paraId="526F5B93" w14:textId="77777777" w:rsidR="00DD712D" w:rsidRPr="00512C60" w:rsidRDefault="00DD712D">
      <w:pPr>
        <w:pStyle w:val="ListParagraph"/>
        <w:numPr>
          <w:ilvl w:val="0"/>
          <w:numId w:val="1"/>
        </w:numPr>
      </w:pPr>
      <w:r w:rsidRPr="00512C60">
        <w:rPr>
          <w:bCs/>
        </w:rPr>
        <w:t>Lin</w:t>
      </w:r>
      <w:r w:rsidRPr="00512C60">
        <w:t xml:space="preserve"> J, </w:t>
      </w:r>
      <w:r w:rsidRPr="00512C60">
        <w:rPr>
          <w:bCs/>
        </w:rPr>
        <w:t>Liu</w:t>
      </w:r>
      <w:r w:rsidRPr="00512C60">
        <w:t xml:space="preserve"> H, </w:t>
      </w:r>
      <w:r w:rsidRPr="00512C60">
        <w:rPr>
          <w:bCs/>
        </w:rPr>
        <w:t>Zhuang Y</w:t>
      </w:r>
      <w:r w:rsidRPr="00512C60">
        <w:t xml:space="preserve">, et al. Inflammatory myofibroblastic tumor of the thigh without bone involvement: a case report. </w:t>
      </w:r>
      <w:r w:rsidRPr="00512C60">
        <w:rPr>
          <w:i/>
          <w:iCs/>
        </w:rPr>
        <w:t>World Journal of Surgical Oncology</w:t>
      </w:r>
      <w:r w:rsidRPr="00512C60">
        <w:t xml:space="preserve"> 2014; </w:t>
      </w:r>
      <w:r w:rsidRPr="00512C60">
        <w:rPr>
          <w:bCs/>
        </w:rPr>
        <w:t>12</w:t>
      </w:r>
      <w:r w:rsidRPr="00512C60">
        <w:t>: 208.  doi:10.1186/1477-7819-12-208</w:t>
      </w:r>
      <w:r w:rsidRPr="00512C60">
        <w:br/>
      </w:r>
    </w:p>
    <w:p w14:paraId="1518FABC" w14:textId="77777777" w:rsidR="00DD712D" w:rsidRPr="00512C60" w:rsidRDefault="00DD712D">
      <w:pPr>
        <w:pStyle w:val="ListParagraph"/>
        <w:numPr>
          <w:ilvl w:val="0"/>
          <w:numId w:val="1"/>
        </w:numPr>
      </w:pPr>
      <w:r w:rsidRPr="00512C60">
        <w:t xml:space="preserve">Gleason BC, Hornick JL. Inflammatory myofibroblastic tumours: where are we now? </w:t>
      </w:r>
      <w:r w:rsidRPr="00512C60">
        <w:rPr>
          <w:i/>
        </w:rPr>
        <w:t>J Clin Pathol.</w:t>
      </w:r>
      <w:r w:rsidRPr="00512C60">
        <w:t xml:space="preserve"> 2008; 61: 428–37.</w:t>
      </w:r>
      <w:r w:rsidRPr="00512C60">
        <w:br/>
      </w:r>
    </w:p>
    <w:p w14:paraId="7A57BA16" w14:textId="18B236C0" w:rsidR="00DD712D" w:rsidRPr="00512C60" w:rsidRDefault="00DD712D">
      <w:pPr>
        <w:pStyle w:val="ListParagraph"/>
        <w:numPr>
          <w:ilvl w:val="0"/>
          <w:numId w:val="1"/>
        </w:numPr>
      </w:pPr>
      <w:r w:rsidRPr="00512C60">
        <w:t xml:space="preserve">Janik JS, Janik JP, Lovell MA, </w:t>
      </w:r>
      <w:r w:rsidR="00600A9E" w:rsidRPr="002A267C">
        <w:t>Hendrickson RJ, Bensard DD, Greffe BS</w:t>
      </w:r>
      <w:r w:rsidRPr="00512C60">
        <w:t xml:space="preserve">. Recurrent inflammatory pseudotumors in children. </w:t>
      </w:r>
      <w:r w:rsidRPr="00512C60">
        <w:rPr>
          <w:i/>
        </w:rPr>
        <w:t>J Pediatr Surg</w:t>
      </w:r>
      <w:r w:rsidRPr="00512C60">
        <w:t xml:space="preserve"> 2003; 38: 1491–1495.</w:t>
      </w:r>
      <w:r w:rsidRPr="00512C60">
        <w:br/>
      </w:r>
    </w:p>
    <w:p w14:paraId="128ADC40" w14:textId="1E629309" w:rsidR="00DD712D" w:rsidRPr="00512C60" w:rsidRDefault="008076D4">
      <w:pPr>
        <w:pStyle w:val="ListParagraph"/>
        <w:numPr>
          <w:ilvl w:val="0"/>
          <w:numId w:val="1"/>
        </w:numPr>
      </w:pPr>
      <w:hyperlink r:id="rId22" w:history="1">
        <w:r w:rsidR="00DD712D" w:rsidRPr="00512C60">
          <w:t>Mossé YP</w:t>
        </w:r>
      </w:hyperlink>
      <w:r w:rsidR="00DD712D" w:rsidRPr="00512C60">
        <w:t xml:space="preserve">, </w:t>
      </w:r>
      <w:hyperlink r:id="rId23" w:history="1">
        <w:r w:rsidR="00DD712D" w:rsidRPr="00512C60">
          <w:t>Voss SD</w:t>
        </w:r>
      </w:hyperlink>
      <w:r w:rsidR="00DD712D" w:rsidRPr="00512C60">
        <w:t xml:space="preserve">, </w:t>
      </w:r>
      <w:hyperlink r:id="rId24" w:history="1">
        <w:r w:rsidR="00DD712D" w:rsidRPr="00512C60">
          <w:t>Lim MS</w:t>
        </w:r>
      </w:hyperlink>
      <w:r w:rsidR="00DD712D" w:rsidRPr="00512C60">
        <w:t xml:space="preserve">, </w:t>
      </w:r>
      <w:r w:rsidR="0051376A">
        <w:t>et al</w:t>
      </w:r>
      <w:r w:rsidR="00DD712D" w:rsidRPr="00512C60">
        <w:t xml:space="preserve">. Targeting ALK with crizotinib in pediatric anaplastic large cell lymphoma and inflammatory myofibroblastic tumor: A Children's Oncology Group Study. </w:t>
      </w:r>
      <w:hyperlink r:id="rId25" w:tooltip="Journal of clinical oncology : official journal of the American Society of Clinical Oncology." w:history="1">
        <w:r w:rsidR="00DD712D" w:rsidRPr="00512C60">
          <w:rPr>
            <w:i/>
          </w:rPr>
          <w:t>J Clin Oncol.</w:t>
        </w:r>
      </w:hyperlink>
      <w:r w:rsidR="00DD712D" w:rsidRPr="00512C60">
        <w:t xml:space="preserve"> 2017; 35:</w:t>
      </w:r>
      <w:r w:rsidR="00FF54A9" w:rsidRPr="00512C60">
        <w:t xml:space="preserve"> </w:t>
      </w:r>
      <w:r w:rsidR="00DD712D" w:rsidRPr="00512C60">
        <w:t>3215</w:t>
      </w:r>
      <w:r w:rsidR="00C9157F" w:rsidRPr="00512C60">
        <w:t>–</w:t>
      </w:r>
      <w:r w:rsidR="00DD712D" w:rsidRPr="00512C60">
        <w:t xml:space="preserve">3221. </w:t>
      </w:r>
      <w:r w:rsidR="00DD712D" w:rsidRPr="00512C60">
        <w:br/>
      </w:r>
    </w:p>
    <w:p w14:paraId="74303945" w14:textId="77777777" w:rsidR="00DD712D" w:rsidRPr="00512C60" w:rsidRDefault="00DD712D">
      <w:pPr>
        <w:pStyle w:val="ListParagraph"/>
        <w:numPr>
          <w:ilvl w:val="0"/>
          <w:numId w:val="1"/>
        </w:numPr>
      </w:pPr>
      <w:r w:rsidRPr="00512C60">
        <w:t xml:space="preserve">Bridge JA, Kanamori M, Ma Z, et al. Fusion of the ALK gene to the clathrin heavy chain gene, CLTC, in inflammatory myofibroblastic tumor. </w:t>
      </w:r>
      <w:r w:rsidRPr="00512C60">
        <w:rPr>
          <w:i/>
        </w:rPr>
        <w:t>Am J Pathol</w:t>
      </w:r>
      <w:r w:rsidRPr="00512C60">
        <w:t xml:space="preserve"> 2001; 159: 411–415.</w:t>
      </w:r>
      <w:r w:rsidRPr="00512C60">
        <w:br/>
      </w:r>
    </w:p>
    <w:p w14:paraId="79120AD8" w14:textId="77777777" w:rsidR="00DD712D" w:rsidRPr="00512C60" w:rsidRDefault="00DD712D">
      <w:pPr>
        <w:pStyle w:val="ListParagraph"/>
        <w:numPr>
          <w:ilvl w:val="0"/>
          <w:numId w:val="1"/>
        </w:numPr>
      </w:pPr>
      <w:r w:rsidRPr="00512C60">
        <w:t xml:space="preserve">Cools J, Wlodarska I, Somers R, et al. Identification of novel fusion partners of ALK, the anaplastic lymphoma kinase, in anaplastic large-cell lymphoma and inflammatory myofibroblastic tumor. </w:t>
      </w:r>
      <w:r w:rsidRPr="00512C60">
        <w:rPr>
          <w:i/>
        </w:rPr>
        <w:t>Genes Chromosomes Cancer</w:t>
      </w:r>
      <w:r w:rsidRPr="00512C60">
        <w:t xml:space="preserve"> 2002; 34: 354–362.</w:t>
      </w:r>
      <w:r w:rsidRPr="00512C60">
        <w:br/>
      </w:r>
    </w:p>
    <w:p w14:paraId="4436E732" w14:textId="46AF832E" w:rsidR="00DD712D" w:rsidRPr="00512C60" w:rsidRDefault="00DD712D">
      <w:pPr>
        <w:pStyle w:val="ListParagraph"/>
        <w:numPr>
          <w:ilvl w:val="0"/>
          <w:numId w:val="1"/>
        </w:numPr>
      </w:pPr>
      <w:r w:rsidRPr="00512C60">
        <w:t xml:space="preserve">Debiec-Rychter M, Marynen P, Hagemeijer A, </w:t>
      </w:r>
      <w:r w:rsidR="006538DF" w:rsidRPr="00035699">
        <w:t>Pauwels P</w:t>
      </w:r>
      <w:r w:rsidRPr="00512C60">
        <w:t xml:space="preserve">. ALK-ATIC fusion in urinary bladder inflammatory myofibroblastic tumor. </w:t>
      </w:r>
      <w:r w:rsidRPr="00512C60">
        <w:rPr>
          <w:i/>
        </w:rPr>
        <w:t>Genes Chromosomes Cancer</w:t>
      </w:r>
      <w:r w:rsidRPr="00512C60">
        <w:t xml:space="preserve"> 2003; 38: 187–190.</w:t>
      </w:r>
      <w:r w:rsidRPr="00512C60">
        <w:br/>
      </w:r>
    </w:p>
    <w:p w14:paraId="09504435" w14:textId="77777777" w:rsidR="00DD712D" w:rsidRPr="00512C60" w:rsidRDefault="00DD712D">
      <w:pPr>
        <w:pStyle w:val="ListParagraph"/>
        <w:numPr>
          <w:ilvl w:val="0"/>
          <w:numId w:val="1"/>
        </w:numPr>
      </w:pPr>
      <w:r w:rsidRPr="00512C60">
        <w:rPr>
          <w:lang w:val="fr-FR"/>
        </w:rPr>
        <w:t xml:space="preserve">Panagopoulos I, Nilsson T, Domanski HA, et al. </w:t>
      </w:r>
      <w:r w:rsidRPr="00512C60">
        <w:t xml:space="preserve">Fusion of the SEC31L1 and ALK genes in an inflammatory myofibroblastic tumor. </w:t>
      </w:r>
      <w:r w:rsidRPr="00512C60">
        <w:rPr>
          <w:i/>
        </w:rPr>
        <w:t>Int J Cancer</w:t>
      </w:r>
      <w:r w:rsidRPr="00512C60">
        <w:t xml:space="preserve"> 2006; 118: 1181–1186.</w:t>
      </w:r>
      <w:r w:rsidRPr="00512C60">
        <w:br/>
      </w:r>
    </w:p>
    <w:p w14:paraId="67554CF7" w14:textId="56485D6B" w:rsidR="00DD712D" w:rsidRPr="00512C60" w:rsidRDefault="00DD712D">
      <w:pPr>
        <w:pStyle w:val="ListParagraph"/>
        <w:numPr>
          <w:ilvl w:val="0"/>
          <w:numId w:val="1"/>
        </w:numPr>
      </w:pPr>
      <w:r w:rsidRPr="00512C60">
        <w:rPr>
          <w:lang w:val="fr-FR"/>
        </w:rPr>
        <w:t xml:space="preserve">Giuriato S, Faumont N, Bousquet E, et al. </w:t>
      </w:r>
      <w:r w:rsidRPr="00512C60">
        <w:t xml:space="preserve">Development of a conditional bioluminescent transplant model for TPM3-ALK-induced tumorigenesis as a tool to validate ALK-dependent </w:t>
      </w:r>
      <w:r w:rsidRPr="00512C60">
        <w:lastRenderedPageBreak/>
        <w:t>cancer targeted therapy</w:t>
      </w:r>
      <w:r w:rsidR="00B90C00" w:rsidRPr="00512C60">
        <w:t>.</w:t>
      </w:r>
      <w:r w:rsidRPr="00512C60">
        <w:t xml:space="preserve"> </w:t>
      </w:r>
      <w:r w:rsidRPr="00512C60">
        <w:rPr>
          <w:i/>
        </w:rPr>
        <w:t>Cancer Biology &amp; Therapy</w:t>
      </w:r>
      <w:r w:rsidRPr="00512C60">
        <w:t xml:space="preserve"> 2007; 6: 1324</w:t>
      </w:r>
      <w:r w:rsidR="00C9157F" w:rsidRPr="00512C60">
        <w:t>–</w:t>
      </w:r>
      <w:r w:rsidRPr="00512C60">
        <w:t>1329</w:t>
      </w:r>
      <w:r w:rsidRPr="00512C60">
        <w:br/>
      </w:r>
    </w:p>
    <w:p w14:paraId="4E7683E9" w14:textId="3134A651" w:rsidR="00DD712D" w:rsidRPr="00512C60" w:rsidRDefault="00DD712D">
      <w:pPr>
        <w:pStyle w:val="ListParagraph"/>
        <w:numPr>
          <w:ilvl w:val="0"/>
          <w:numId w:val="1"/>
        </w:numPr>
      </w:pPr>
      <w:r w:rsidRPr="00512C60">
        <w:t xml:space="preserve">Coffin CM, Hornick JL, Fletcher CD. Inflammatory myofibroblastic tumor: Comparison of clinicopathologic, histologic, and immunohistochemical features including ALK expression in atypical and aggressive cases. </w:t>
      </w:r>
      <w:r w:rsidRPr="00512C60">
        <w:rPr>
          <w:i/>
        </w:rPr>
        <w:t>Am J Surg Pathol</w:t>
      </w:r>
      <w:r w:rsidRPr="00512C60">
        <w:t xml:space="preserve"> 2007; 31: 509</w:t>
      </w:r>
      <w:r w:rsidR="00C9157F" w:rsidRPr="00512C60">
        <w:t>–</w:t>
      </w:r>
      <w:r w:rsidRPr="00512C60">
        <w:t>520</w:t>
      </w:r>
      <w:r w:rsidRPr="00512C60">
        <w:br/>
      </w:r>
    </w:p>
    <w:p w14:paraId="33AF55DD" w14:textId="77777777" w:rsidR="00DD712D" w:rsidRPr="00512C60" w:rsidRDefault="00DD712D">
      <w:pPr>
        <w:pStyle w:val="ListParagraph"/>
        <w:numPr>
          <w:ilvl w:val="0"/>
          <w:numId w:val="1"/>
        </w:numPr>
      </w:pPr>
      <w:r w:rsidRPr="00512C60">
        <w:t xml:space="preserve">Griffin CA, Hawkins AL, Dvorak C, Henkle C, Ellingham T, Perlman EJ. Recurrent involvement of 2p23 in inflammatory myofibroblastic tumors. </w:t>
      </w:r>
      <w:r w:rsidRPr="00512C60">
        <w:rPr>
          <w:i/>
        </w:rPr>
        <w:t>Cancer Res.</w:t>
      </w:r>
      <w:r w:rsidRPr="00512C60">
        <w:t xml:space="preserve"> 1999; 59:2776–80</w:t>
      </w:r>
      <w:r w:rsidRPr="00512C60">
        <w:br/>
      </w:r>
    </w:p>
    <w:p w14:paraId="687DDF6A" w14:textId="77777777" w:rsidR="00DD712D" w:rsidRPr="00512C60" w:rsidRDefault="00DD712D">
      <w:pPr>
        <w:pStyle w:val="ListParagraph"/>
        <w:numPr>
          <w:ilvl w:val="0"/>
          <w:numId w:val="1"/>
        </w:numPr>
      </w:pPr>
      <w:r w:rsidRPr="00512C60">
        <w:t xml:space="preserve">Tothova Z, Wagner AJ. Anaplastic lymphoma kinase directed therapy in inflammatory myofibroblastic tumors. </w:t>
      </w:r>
      <w:r w:rsidRPr="00512C60">
        <w:rPr>
          <w:i/>
        </w:rPr>
        <w:t>Current Opinion in Oncology</w:t>
      </w:r>
      <w:r w:rsidRPr="00512C60">
        <w:t xml:space="preserve"> 2012; 24: 409–413.</w:t>
      </w:r>
      <w:r w:rsidRPr="00512C60">
        <w:br/>
      </w:r>
    </w:p>
    <w:p w14:paraId="3FF0E76F" w14:textId="77777777" w:rsidR="00DD712D" w:rsidRPr="00512C60" w:rsidRDefault="008076D4">
      <w:pPr>
        <w:pStyle w:val="ListParagraph"/>
        <w:numPr>
          <w:ilvl w:val="0"/>
          <w:numId w:val="1"/>
        </w:numPr>
      </w:pPr>
      <w:hyperlink r:id="rId26" w:history="1">
        <w:r w:rsidR="00DD712D" w:rsidRPr="00512C60">
          <w:t>Ladanyi</w:t>
        </w:r>
      </w:hyperlink>
      <w:r w:rsidR="00DD712D" w:rsidRPr="00512C60">
        <w:t xml:space="preserve"> M. Aberrant ALK Tyrosine Kinase Signaling. </w:t>
      </w:r>
      <w:r w:rsidR="00DD712D" w:rsidRPr="00512C60">
        <w:rPr>
          <w:i/>
        </w:rPr>
        <w:t>Am J Pathol.</w:t>
      </w:r>
      <w:r w:rsidR="00DD712D" w:rsidRPr="00512C60">
        <w:t xml:space="preserve"> 2000; 157: 341–345.</w:t>
      </w:r>
      <w:r w:rsidR="00DD712D" w:rsidRPr="00512C60">
        <w:br/>
      </w:r>
    </w:p>
    <w:p w14:paraId="17EB65D1" w14:textId="77777777" w:rsidR="00DD712D" w:rsidRPr="00512C60" w:rsidRDefault="008076D4">
      <w:pPr>
        <w:pStyle w:val="ListParagraph"/>
        <w:numPr>
          <w:ilvl w:val="0"/>
          <w:numId w:val="1"/>
        </w:numPr>
      </w:pPr>
      <w:hyperlink r:id="rId27" w:history="1">
        <w:r w:rsidR="00DD712D" w:rsidRPr="00512C60">
          <w:t>Firat</w:t>
        </w:r>
      </w:hyperlink>
      <w:r w:rsidR="00DD712D" w:rsidRPr="00512C60">
        <w:t xml:space="preserve"> O, </w:t>
      </w:r>
      <w:hyperlink r:id="rId28" w:history="1">
        <w:r w:rsidR="00DD712D" w:rsidRPr="00512C60">
          <w:t>Ozturk</w:t>
        </w:r>
      </w:hyperlink>
      <w:r w:rsidR="00DD712D" w:rsidRPr="00512C60">
        <w:t xml:space="preserve"> S, </w:t>
      </w:r>
      <w:hyperlink r:id="rId29" w:history="1">
        <w:r w:rsidR="00DD712D" w:rsidRPr="00512C60">
          <w:t>Akalin</w:t>
        </w:r>
      </w:hyperlink>
      <w:r w:rsidR="00DD712D" w:rsidRPr="00512C60">
        <w:t xml:space="preserve"> T, </w:t>
      </w:r>
      <w:hyperlink r:id="rId30" w:history="1">
        <w:r w:rsidR="00DD712D" w:rsidRPr="00512C60">
          <w:t>Coker</w:t>
        </w:r>
      </w:hyperlink>
      <w:r w:rsidR="00DD712D" w:rsidRPr="00512C60">
        <w:t xml:space="preserve"> A. Inflammatory myofibroblastic tumour. </w:t>
      </w:r>
      <w:r w:rsidR="00DD712D" w:rsidRPr="00512C60">
        <w:rPr>
          <w:i/>
        </w:rPr>
        <w:t>Can J Surg.</w:t>
      </w:r>
      <w:r w:rsidR="00DD712D" w:rsidRPr="00512C60">
        <w:t xml:space="preserve"> 2009; 52: E60–E61</w:t>
      </w:r>
      <w:r w:rsidR="00DD712D" w:rsidRPr="00512C60">
        <w:br/>
      </w:r>
    </w:p>
    <w:p w14:paraId="3CADCA42" w14:textId="4BDD401A" w:rsidR="00DD712D" w:rsidRPr="00512C60" w:rsidRDefault="008076D4">
      <w:pPr>
        <w:pStyle w:val="ListParagraph"/>
        <w:numPr>
          <w:ilvl w:val="0"/>
          <w:numId w:val="1"/>
        </w:numPr>
      </w:pPr>
      <w:hyperlink r:id="rId31" w:history="1">
        <w:r w:rsidR="00DD712D" w:rsidRPr="00512C60">
          <w:t>Rodig SJ</w:t>
        </w:r>
      </w:hyperlink>
      <w:r w:rsidR="00DD712D" w:rsidRPr="00512C60">
        <w:t xml:space="preserve">, Shapiro GI. Crizotinib, a small-molecule dual inhibitor of the c-Met and ALK receptor tyrosine kinases. </w:t>
      </w:r>
      <w:hyperlink r:id="rId32" w:history="1">
        <w:r w:rsidR="00DD712D" w:rsidRPr="00512C60">
          <w:rPr>
            <w:i/>
          </w:rPr>
          <w:t>Curr Opin Investig Drugs</w:t>
        </w:r>
      </w:hyperlink>
      <w:r w:rsidR="00DD712D" w:rsidRPr="00512C60">
        <w:t xml:space="preserve"> 2010; 11: 1477</w:t>
      </w:r>
      <w:r w:rsidR="00C9157F" w:rsidRPr="00512C60">
        <w:t>–</w:t>
      </w:r>
      <w:r w:rsidR="00C9157F">
        <w:t>14</w:t>
      </w:r>
      <w:r w:rsidR="00DD712D" w:rsidRPr="00512C60">
        <w:t>90.</w:t>
      </w:r>
      <w:r w:rsidR="00DD712D" w:rsidRPr="00512C60">
        <w:br/>
      </w:r>
    </w:p>
    <w:p w14:paraId="72351CD1" w14:textId="77777777" w:rsidR="00DD712D" w:rsidRPr="00512C60" w:rsidRDefault="00DD712D">
      <w:pPr>
        <w:pStyle w:val="ListParagraph"/>
        <w:numPr>
          <w:ilvl w:val="0"/>
          <w:numId w:val="1"/>
        </w:numPr>
      </w:pPr>
      <w:r w:rsidRPr="00512C60">
        <w:rPr>
          <w:lang w:val="it-IT"/>
        </w:rPr>
        <w:t xml:space="preserve">Crizotinib Summary of Product Characteristics (SPC). Available at: </w:t>
      </w:r>
      <w:r w:rsidRPr="00512C60">
        <w:t>http://www.ema.europa.eu/ema/index.jsp?curl=pages/medicines/human/medicines/002489/human_med_001592.jsp&amp;mid=WC0b01ac058001d124</w:t>
      </w:r>
      <w:r w:rsidRPr="00512C60">
        <w:rPr>
          <w:lang w:val="it-IT"/>
        </w:rPr>
        <w:t xml:space="preserve"> </w:t>
      </w:r>
      <w:hyperlink r:id="rId33" w:history="1">
        <w:r w:rsidRPr="00512C60">
          <w:rPr>
            <w:lang w:val="it-IT"/>
          </w:rPr>
          <w:t>(Last accessed 13 November 2017)</w:t>
        </w:r>
      </w:hyperlink>
      <w:r w:rsidRPr="00512C60">
        <w:br/>
      </w:r>
    </w:p>
    <w:p w14:paraId="487C4AD5" w14:textId="77777777" w:rsidR="00DD712D" w:rsidRPr="00512C60" w:rsidRDefault="008076D4">
      <w:pPr>
        <w:pStyle w:val="ListParagraph"/>
        <w:numPr>
          <w:ilvl w:val="0"/>
          <w:numId w:val="1"/>
        </w:numPr>
      </w:pPr>
      <w:hyperlink r:id="rId34" w:history="1">
        <w:r w:rsidR="00DD712D" w:rsidRPr="00512C60">
          <w:t>Yung-Jue Bang</w:t>
        </w:r>
      </w:hyperlink>
      <w:r w:rsidR="00DD712D" w:rsidRPr="00512C60">
        <w:t xml:space="preserve">. The potential for crizotinib in non-small cell lung cancer: a perspective review. </w:t>
      </w:r>
      <w:r w:rsidR="00DD712D" w:rsidRPr="00512C60">
        <w:rPr>
          <w:i/>
        </w:rPr>
        <w:t>Ther Adv Med Oncol.</w:t>
      </w:r>
      <w:r w:rsidR="00DD712D" w:rsidRPr="00512C60">
        <w:t xml:space="preserve"> 2011; 3: 279–291.</w:t>
      </w:r>
      <w:r w:rsidR="00DD712D" w:rsidRPr="00512C60">
        <w:br/>
      </w:r>
    </w:p>
    <w:p w14:paraId="00ADCDB4" w14:textId="01F0F4A6" w:rsidR="00A06526" w:rsidRDefault="008076D4">
      <w:pPr>
        <w:pStyle w:val="ListParagraph"/>
        <w:numPr>
          <w:ilvl w:val="0"/>
          <w:numId w:val="1"/>
        </w:numPr>
      </w:pPr>
      <w:hyperlink r:id="rId35" w:history="1">
        <w:r w:rsidR="00DD712D" w:rsidRPr="00512C60">
          <w:t>Sahu A</w:t>
        </w:r>
      </w:hyperlink>
      <w:r w:rsidR="00DD712D" w:rsidRPr="00512C60">
        <w:t>, Prabha</w:t>
      </w:r>
      <w:hyperlink r:id="rId36" w:history="1">
        <w:r w:rsidR="00DD712D" w:rsidRPr="00512C60">
          <w:t>sh K, Nor</w:t>
        </w:r>
      </w:hyperlink>
      <w:r w:rsidR="00DD712D" w:rsidRPr="00512C60">
        <w:t>onha V, Josh</w:t>
      </w:r>
      <w:hyperlink r:id="rId37" w:history="1">
        <w:r w:rsidR="00DD712D" w:rsidRPr="00512C60">
          <w:t>i A, Des</w:t>
        </w:r>
      </w:hyperlink>
      <w:r w:rsidR="00DD712D" w:rsidRPr="00512C60">
        <w:t>ai S. Crizo</w:t>
      </w:r>
      <w:hyperlink r:id="rId38" w:history="1">
        <w:r w:rsidR="00DD712D" w:rsidRPr="00512C60">
          <w:t xml:space="preserve">tinib: </w:t>
        </w:r>
      </w:hyperlink>
      <w:r w:rsidR="00DD712D" w:rsidRPr="00512C60">
        <w:t>A comprehe</w:t>
      </w:r>
      <w:hyperlink r:id="rId39" w:history="1">
        <w:r w:rsidR="00DD712D" w:rsidRPr="00512C60">
          <w:t>nsive r</w:t>
        </w:r>
      </w:hyperlink>
      <w:r w:rsidR="00DD712D" w:rsidRPr="00512C60">
        <w:t xml:space="preserve">eview. </w:t>
      </w:r>
      <w:r w:rsidR="00DD712D" w:rsidRPr="00BD5140">
        <w:rPr>
          <w:i/>
        </w:rPr>
        <w:t>South Asian J Cancer.</w:t>
      </w:r>
      <w:r w:rsidR="00DD712D" w:rsidRPr="00BD5140">
        <w:t xml:space="preserve"> 2013; 2: 91</w:t>
      </w:r>
      <w:r w:rsidR="00C9157F" w:rsidRPr="00512C60">
        <w:t>–</w:t>
      </w:r>
      <w:r w:rsidR="00C9157F">
        <w:t>9</w:t>
      </w:r>
      <w:hyperlink r:id="rId40" w:history="1">
        <w:r w:rsidR="00DD712D" w:rsidRPr="00BD5140">
          <w:t>7.</w:t>
        </w:r>
      </w:hyperlink>
      <w:r w:rsidR="00A06526">
        <w:br/>
      </w:r>
    </w:p>
    <w:p w14:paraId="13AB24A2" w14:textId="77777777" w:rsidR="00C530F9" w:rsidRDefault="00A12A99">
      <w:pPr>
        <w:pStyle w:val="ListParagraph"/>
        <w:numPr>
          <w:ilvl w:val="0"/>
          <w:numId w:val="1"/>
        </w:numPr>
      </w:pPr>
      <w:r>
        <w:t>Coffin CM, Fletcher JA. Inflammatory myofibroblastic tumour</w:t>
      </w:r>
      <w:r w:rsidR="00F44F5C">
        <w:t>.</w:t>
      </w:r>
      <w:r>
        <w:t xml:space="preserve"> </w:t>
      </w:r>
      <w:r w:rsidR="00F44F5C">
        <w:t>In: Fletcher CDM, Bridge JA, Hogendoorn PCW, Mertens F, editors.</w:t>
      </w:r>
      <w:r w:rsidR="00F44F5C" w:rsidRPr="00F44F5C">
        <w:rPr>
          <w:i/>
        </w:rPr>
        <w:t xml:space="preserve"> </w:t>
      </w:r>
      <w:r w:rsidRPr="00BD5140">
        <w:rPr>
          <w:i/>
        </w:rPr>
        <w:t xml:space="preserve">WHO Classification of Tumours of Soft </w:t>
      </w:r>
      <w:r w:rsidR="00F44F5C">
        <w:rPr>
          <w:i/>
        </w:rPr>
        <w:t>T</w:t>
      </w:r>
      <w:r w:rsidRPr="00BD5140">
        <w:rPr>
          <w:i/>
        </w:rPr>
        <w:t>issue and Bone</w:t>
      </w:r>
      <w:r w:rsidR="00F44F5C">
        <w:t>.</w:t>
      </w:r>
      <w:r>
        <w:t xml:space="preserve"> International Agency for Research on Cancer</w:t>
      </w:r>
      <w:r w:rsidR="00BE225B">
        <w:t xml:space="preserve"> (IARC Press), Lyon, France;</w:t>
      </w:r>
      <w:r>
        <w:t xml:space="preserve"> 2013</w:t>
      </w:r>
      <w:r w:rsidR="00657402">
        <w:t>.</w:t>
      </w:r>
      <w:r w:rsidR="00C530F9">
        <w:br/>
      </w:r>
    </w:p>
    <w:p w14:paraId="2485CD7D" w14:textId="13E6378F" w:rsidR="000B571D" w:rsidRPr="00A37B9C" w:rsidRDefault="00C530F9">
      <w:pPr>
        <w:pStyle w:val="ListParagraph"/>
        <w:numPr>
          <w:ilvl w:val="0"/>
          <w:numId w:val="1"/>
        </w:numPr>
      </w:pPr>
      <w:r w:rsidRPr="00901C1B">
        <w:t xml:space="preserve">Panagiotopoulos N, Patrini D, Gvinianidze L, </w:t>
      </w:r>
      <w:r w:rsidR="000B0DD6" w:rsidRPr="00DA7B3C">
        <w:t>Woo WL, Borg E, Lawrence D</w:t>
      </w:r>
      <w:r w:rsidRPr="00901C1B">
        <w:t xml:space="preserve">. Inflammatory myofibroblastic tumour of the lung: a reactive lesion or a true neoplasm? </w:t>
      </w:r>
      <w:r w:rsidRPr="00C530F9">
        <w:rPr>
          <w:i/>
        </w:rPr>
        <w:t>Thorac Dis.</w:t>
      </w:r>
      <w:r w:rsidRPr="00901C1B">
        <w:t xml:space="preserve"> 2015;</w:t>
      </w:r>
      <w:r>
        <w:t xml:space="preserve"> </w:t>
      </w:r>
      <w:r w:rsidRPr="00901C1B">
        <w:t>7:</w:t>
      </w:r>
      <w:r>
        <w:t xml:space="preserve"> </w:t>
      </w:r>
      <w:r w:rsidRPr="00901C1B">
        <w:t>908–911</w:t>
      </w:r>
      <w:r w:rsidR="000B571D">
        <w:br/>
      </w:r>
    </w:p>
    <w:p w14:paraId="610C4802" w14:textId="01EE25B9" w:rsidR="00A31D80" w:rsidRPr="00A31D80" w:rsidRDefault="000B571D" w:rsidP="00A31D80">
      <w:pPr>
        <w:pStyle w:val="ListParagraph"/>
        <w:numPr>
          <w:ilvl w:val="0"/>
          <w:numId w:val="1"/>
        </w:numPr>
        <w:rPr>
          <w:color w:val="000000"/>
        </w:rPr>
      </w:pPr>
      <w:r>
        <w:t xml:space="preserve">NCCN Clinical Practice Guidelines in Oncology (NCCN Guidelines). Soft Tissue Sarcoma. Version 1.2018. Available at: </w:t>
      </w:r>
      <w:r w:rsidR="00D67DF2" w:rsidRPr="0028459D">
        <w:t>http://www.nccn.org/professionals/physician_gls/pdf/sarcoma.pdf. Last accessed February 2018</w:t>
      </w:r>
      <w:r w:rsidR="00A31D80">
        <w:br/>
      </w:r>
    </w:p>
    <w:p w14:paraId="359A3C43" w14:textId="2829DA3D" w:rsidR="00C34725" w:rsidRDefault="00C34725" w:rsidP="00A31D80">
      <w:pPr>
        <w:pStyle w:val="ListParagraph"/>
        <w:numPr>
          <w:ilvl w:val="0"/>
          <w:numId w:val="1"/>
        </w:numPr>
        <w:rPr>
          <w:color w:val="000000"/>
        </w:rPr>
      </w:pPr>
      <w:r w:rsidRPr="00E357B2">
        <w:lastRenderedPageBreak/>
        <w:t>Camidge DR</w:t>
      </w:r>
      <w:r w:rsidRPr="00E357B2">
        <w:rPr>
          <w:color w:val="000000"/>
        </w:rPr>
        <w:t xml:space="preserve">, </w:t>
      </w:r>
      <w:r w:rsidRPr="00E357B2">
        <w:t>Bang YJ</w:t>
      </w:r>
      <w:r w:rsidRPr="00E357B2">
        <w:rPr>
          <w:color w:val="000000"/>
        </w:rPr>
        <w:t xml:space="preserve">, </w:t>
      </w:r>
      <w:r w:rsidRPr="00E357B2">
        <w:t>Kwak EL</w:t>
      </w:r>
      <w:r w:rsidRPr="00E357B2">
        <w:rPr>
          <w:color w:val="000000"/>
        </w:rPr>
        <w:t>,</w:t>
      </w:r>
      <w:r w:rsidRPr="00E357B2">
        <w:t xml:space="preserve"> et al. </w:t>
      </w:r>
      <w:r w:rsidRPr="00E357B2">
        <w:rPr>
          <w:bCs/>
          <w:color w:val="000000"/>
        </w:rPr>
        <w:t>Activity and safety of crizotinib in patients with ALK-positive non-small-cell lung cancer: updated results from a phase 1 study</w:t>
      </w:r>
      <w:r w:rsidRPr="00C34725">
        <w:rPr>
          <w:bCs/>
          <w:i/>
          <w:color w:val="000000"/>
        </w:rPr>
        <w:t>.</w:t>
      </w:r>
      <w:r w:rsidRPr="00C34725">
        <w:rPr>
          <w:b/>
          <w:bCs/>
          <w:i/>
        </w:rPr>
        <w:t xml:space="preserve"> </w:t>
      </w:r>
      <w:r w:rsidRPr="00C34725">
        <w:rPr>
          <w:i/>
        </w:rPr>
        <w:t>Lancet Oncol</w:t>
      </w:r>
      <w:r w:rsidRPr="00E357B2">
        <w:t>.</w:t>
      </w:r>
      <w:r w:rsidRPr="00E357B2">
        <w:rPr>
          <w:color w:val="000000"/>
        </w:rPr>
        <w:t xml:space="preserve"> 2012;</w:t>
      </w:r>
      <w:r w:rsidRPr="00E357B2">
        <w:t xml:space="preserve"> </w:t>
      </w:r>
      <w:r w:rsidRPr="00E357B2">
        <w:rPr>
          <w:color w:val="000000"/>
        </w:rPr>
        <w:t>13:</w:t>
      </w:r>
      <w:r w:rsidRPr="00E357B2">
        <w:t xml:space="preserve"> </w:t>
      </w:r>
      <w:r w:rsidRPr="00E357B2">
        <w:rPr>
          <w:color w:val="000000"/>
        </w:rPr>
        <w:t>1011</w:t>
      </w:r>
      <w:r w:rsidR="00C9157F" w:rsidRPr="00512C60">
        <w:t>–</w:t>
      </w:r>
      <w:r w:rsidRPr="00E357B2">
        <w:t>101</w:t>
      </w:r>
      <w:r w:rsidRPr="00E357B2">
        <w:rPr>
          <w:color w:val="000000"/>
        </w:rPr>
        <w:t>9.</w:t>
      </w:r>
      <w:r>
        <w:rPr>
          <w:color w:val="000000"/>
        </w:rPr>
        <w:br/>
      </w:r>
    </w:p>
    <w:p w14:paraId="31AE3070" w14:textId="68A61A32" w:rsidR="00A31D80" w:rsidRPr="00C34725" w:rsidRDefault="00A31D80" w:rsidP="00A31D80">
      <w:pPr>
        <w:pStyle w:val="ListParagraph"/>
        <w:numPr>
          <w:ilvl w:val="0"/>
          <w:numId w:val="1"/>
        </w:numPr>
        <w:rPr>
          <w:color w:val="000000"/>
        </w:rPr>
      </w:pPr>
      <w:r w:rsidRPr="00A31D80">
        <w:rPr>
          <w:color w:val="000000"/>
        </w:rPr>
        <w:t>Mossé YP, Lim MS, Voss SD, et al. Safety and activity of crizotinib for paediatric patients with refractory solid tumours or anaplastic large-cell lymphoma: a Children's Oncology Group phase 1 consortium study.</w:t>
      </w:r>
      <w:r w:rsidRPr="00E76C6E">
        <w:rPr>
          <w:color w:val="000000"/>
        </w:rPr>
        <w:t xml:space="preserve"> </w:t>
      </w:r>
      <w:r w:rsidRPr="00C34725">
        <w:rPr>
          <w:i/>
          <w:color w:val="000000"/>
        </w:rPr>
        <w:t>Lancet Oncol</w:t>
      </w:r>
      <w:r w:rsidRPr="009809D9">
        <w:rPr>
          <w:color w:val="000000"/>
        </w:rPr>
        <w:t>.</w:t>
      </w:r>
      <w:r w:rsidRPr="00CD0F62">
        <w:rPr>
          <w:color w:val="000000"/>
        </w:rPr>
        <w:t xml:space="preserve"> 2013</w:t>
      </w:r>
      <w:r w:rsidRPr="00C34725">
        <w:rPr>
          <w:color w:val="000000"/>
        </w:rPr>
        <w:t>; 14: 472</w:t>
      </w:r>
      <w:r w:rsidR="00C9157F" w:rsidRPr="00512C60">
        <w:t>–</w:t>
      </w:r>
      <w:r w:rsidRPr="00C34725">
        <w:rPr>
          <w:color w:val="000000"/>
        </w:rPr>
        <w:t>480</w:t>
      </w:r>
    </w:p>
    <w:p w14:paraId="63EC8FA0" w14:textId="2934991B" w:rsidR="002D62AF" w:rsidRDefault="002D62AF" w:rsidP="00A31D80">
      <w:pPr>
        <w:pStyle w:val="ListParagraph"/>
      </w:pPr>
      <w:r>
        <w:br/>
      </w:r>
    </w:p>
    <w:p w14:paraId="0EB5F53E" w14:textId="4747DE4F" w:rsidR="002D62AF" w:rsidRDefault="002D62AF">
      <w:pPr>
        <w:pStyle w:val="ListParagraph"/>
        <w:numPr>
          <w:ilvl w:val="0"/>
          <w:numId w:val="1"/>
        </w:numPr>
      </w:pPr>
      <w:r w:rsidRPr="00D06840">
        <w:rPr>
          <w:color w:val="333333"/>
          <w:lang w:val="en-GB" w:eastAsia="en-GB"/>
        </w:rPr>
        <w:t>Cabillic F</w:t>
      </w:r>
      <w:r w:rsidRPr="00155189">
        <w:rPr>
          <w:color w:val="000000"/>
          <w:lang w:val="en-GB" w:eastAsia="en-GB"/>
        </w:rPr>
        <w:t xml:space="preserve">, </w:t>
      </w:r>
      <w:r w:rsidRPr="00D06840">
        <w:rPr>
          <w:color w:val="333333"/>
          <w:lang w:val="en-GB" w:eastAsia="en-GB"/>
        </w:rPr>
        <w:t>Gros A</w:t>
      </w:r>
      <w:r w:rsidRPr="00155189">
        <w:rPr>
          <w:color w:val="000000"/>
          <w:lang w:val="en-GB" w:eastAsia="en-GB"/>
        </w:rPr>
        <w:t xml:space="preserve">, </w:t>
      </w:r>
      <w:r w:rsidRPr="00D06840">
        <w:rPr>
          <w:color w:val="333333"/>
          <w:lang w:val="en-GB" w:eastAsia="en-GB"/>
        </w:rPr>
        <w:t>Dugay F</w:t>
      </w:r>
      <w:r w:rsidRPr="00155189">
        <w:rPr>
          <w:color w:val="000000"/>
          <w:lang w:val="en-GB" w:eastAsia="en-GB"/>
        </w:rPr>
        <w:t xml:space="preserve">, </w:t>
      </w:r>
      <w:r w:rsidRPr="00D06840">
        <w:rPr>
          <w:color w:val="000000"/>
          <w:lang w:val="en-GB" w:eastAsia="en-GB"/>
        </w:rPr>
        <w:t xml:space="preserve">at al. </w:t>
      </w:r>
      <w:r w:rsidRPr="00155189">
        <w:rPr>
          <w:bCs/>
          <w:color w:val="000000"/>
          <w:kern w:val="36"/>
          <w:lang w:val="en-GB" w:eastAsia="en-GB"/>
        </w:rPr>
        <w:t>Parallel FISH and immunohistochemical studies of ALK status in 3244 non-small-cell lung cancers reveal major discordances.</w:t>
      </w:r>
      <w:r w:rsidRPr="00D06840">
        <w:rPr>
          <w:color w:val="000000"/>
          <w:lang w:val="en-GB" w:eastAsia="en-GB"/>
        </w:rPr>
        <w:t xml:space="preserve"> </w:t>
      </w:r>
      <w:r w:rsidRPr="00C34725">
        <w:rPr>
          <w:i/>
          <w:color w:val="333333"/>
          <w:lang w:val="en-GB" w:eastAsia="en-GB"/>
        </w:rPr>
        <w:t>J Thorac Oncol</w:t>
      </w:r>
      <w:r w:rsidRPr="00D06840">
        <w:rPr>
          <w:color w:val="333333"/>
          <w:lang w:val="en-GB" w:eastAsia="en-GB"/>
        </w:rPr>
        <w:t>.</w:t>
      </w:r>
      <w:r w:rsidRPr="00D06840">
        <w:rPr>
          <w:color w:val="000000"/>
          <w:lang w:val="en-GB" w:eastAsia="en-GB"/>
        </w:rPr>
        <w:t xml:space="preserve"> 2014;</w:t>
      </w:r>
      <w:r>
        <w:rPr>
          <w:color w:val="000000"/>
          <w:lang w:val="en-GB" w:eastAsia="en-GB"/>
        </w:rPr>
        <w:t xml:space="preserve"> </w:t>
      </w:r>
      <w:r w:rsidRPr="00D06840">
        <w:rPr>
          <w:color w:val="000000"/>
          <w:lang w:val="en-GB" w:eastAsia="en-GB"/>
        </w:rPr>
        <w:t>9:</w:t>
      </w:r>
      <w:r>
        <w:rPr>
          <w:color w:val="000000"/>
          <w:lang w:val="en-GB" w:eastAsia="en-GB"/>
        </w:rPr>
        <w:t xml:space="preserve"> </w:t>
      </w:r>
      <w:r w:rsidRPr="00D06840">
        <w:rPr>
          <w:color w:val="000000"/>
          <w:lang w:val="en-GB" w:eastAsia="en-GB"/>
        </w:rPr>
        <w:t>295</w:t>
      </w:r>
      <w:r w:rsidR="00C9157F" w:rsidRPr="00512C60">
        <w:t>–</w:t>
      </w:r>
      <w:r w:rsidRPr="00D06840">
        <w:rPr>
          <w:color w:val="000000"/>
          <w:lang w:val="en-GB" w:eastAsia="en-GB"/>
        </w:rPr>
        <w:t>306</w:t>
      </w:r>
      <w:r>
        <w:br/>
      </w:r>
    </w:p>
    <w:p w14:paraId="0532DC68" w14:textId="758E01EB" w:rsidR="00284532" w:rsidRPr="00BD5140" w:rsidRDefault="00284532">
      <w:pPr>
        <w:pStyle w:val="ListParagraph"/>
        <w:numPr>
          <w:ilvl w:val="0"/>
          <w:numId w:val="1"/>
        </w:numPr>
      </w:pPr>
      <w:r w:rsidRPr="00BD5140">
        <w:br w:type="page"/>
      </w:r>
    </w:p>
    <w:p w14:paraId="734757E1" w14:textId="6998EB98" w:rsidR="00997082" w:rsidRPr="00524D52" w:rsidRDefault="00997082">
      <w:pPr>
        <w:rPr>
          <w:rStyle w:val="Hyperlink"/>
          <w:rFonts w:eastAsia="Calibri"/>
          <w:color w:val="auto"/>
          <w:u w:val="none"/>
          <w:lang w:eastAsia="en-US"/>
        </w:rPr>
      </w:pPr>
      <w:r w:rsidRPr="00524D52">
        <w:rPr>
          <w:b/>
          <w:bCs/>
        </w:rPr>
        <w:lastRenderedPageBreak/>
        <w:t xml:space="preserve">Figure </w:t>
      </w:r>
      <w:r w:rsidR="00A5594C" w:rsidRPr="00151D6C">
        <w:rPr>
          <w:b/>
          <w:bCs/>
        </w:rPr>
        <w:t>1</w:t>
      </w:r>
      <w:r w:rsidRPr="00151D6C">
        <w:rPr>
          <w:b/>
          <w:bCs/>
        </w:rPr>
        <w:t>.</w:t>
      </w:r>
      <w:r w:rsidRPr="00151D6C">
        <w:rPr>
          <w:bCs/>
        </w:rPr>
        <w:t xml:space="preserve"> </w:t>
      </w:r>
      <w:r w:rsidR="009F7D5C" w:rsidRPr="00151D6C">
        <w:t xml:space="preserve">Trial profile of the </w:t>
      </w:r>
      <w:r w:rsidR="000C14A3" w:rsidRPr="00151D6C">
        <w:rPr>
          <w:bCs/>
        </w:rPr>
        <w:t>inflammatory myofibroblastic tumor</w:t>
      </w:r>
      <w:r w:rsidR="000C14A3" w:rsidRPr="00151D6C">
        <w:rPr>
          <w:b/>
          <w:bCs/>
        </w:rPr>
        <w:t xml:space="preserve"> </w:t>
      </w:r>
      <w:r w:rsidR="000C14A3" w:rsidRPr="00151D6C">
        <w:t>(</w:t>
      </w:r>
      <w:r w:rsidR="009F7D5C" w:rsidRPr="00151D6C">
        <w:t>IMFT</w:t>
      </w:r>
      <w:r w:rsidR="000C14A3" w:rsidRPr="00151D6C">
        <w:t>)</w:t>
      </w:r>
      <w:r w:rsidRPr="00151D6C">
        <w:t xml:space="preserve"> cohort of EORTC 90101.</w:t>
      </w:r>
      <w:r w:rsidRPr="00524D52">
        <w:rPr>
          <w:rStyle w:val="Hyperlink"/>
          <w:color w:val="auto"/>
          <w:u w:val="none"/>
        </w:rPr>
        <w:t xml:space="preserve"> </w:t>
      </w:r>
    </w:p>
    <w:p w14:paraId="13034DEC" w14:textId="3857D477" w:rsidR="00997082" w:rsidRPr="00524D52" w:rsidRDefault="00997082">
      <w:pPr>
        <w:rPr>
          <w:rStyle w:val="Hyperlink"/>
          <w:color w:val="auto"/>
          <w:u w:val="none"/>
        </w:rPr>
      </w:pPr>
    </w:p>
    <w:p w14:paraId="1C7EB146" w14:textId="58C0482C" w:rsidR="00C118F6" w:rsidRPr="00524D52" w:rsidRDefault="00C118F6">
      <w:pPr>
        <w:rPr>
          <w:rStyle w:val="Hyperlink"/>
          <w:color w:val="auto"/>
          <w:u w:val="none"/>
        </w:rPr>
      </w:pPr>
    </w:p>
    <w:p w14:paraId="639DA5BC" w14:textId="05D57599" w:rsidR="00C118F6" w:rsidRPr="00524D52" w:rsidRDefault="006E4785">
      <w:pPr>
        <w:rPr>
          <w:rStyle w:val="Hyperlink"/>
          <w:color w:val="auto"/>
          <w:u w:val="none"/>
        </w:rPr>
      </w:pPr>
      <w:r w:rsidRPr="00151D6C">
        <w:rPr>
          <w:noProof/>
          <w:lang w:val="en-GB" w:eastAsia="en-GB"/>
        </w:rPr>
        <w:drawing>
          <wp:inline distT="0" distB="0" distL="0" distR="0" wp14:anchorId="54137F7E" wp14:editId="5566232F">
            <wp:extent cx="5614760" cy="396815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8803" cy="3971008"/>
                    </a:xfrm>
                    <a:prstGeom prst="rect">
                      <a:avLst/>
                    </a:prstGeom>
                    <a:noFill/>
                  </pic:spPr>
                </pic:pic>
              </a:graphicData>
            </a:graphic>
          </wp:inline>
        </w:drawing>
      </w:r>
    </w:p>
    <w:p w14:paraId="5CBE3E7C" w14:textId="3A3B25A5" w:rsidR="00C118F6" w:rsidRPr="00524D52" w:rsidRDefault="00C118F6">
      <w:pPr>
        <w:rPr>
          <w:rStyle w:val="Hyperlink"/>
          <w:color w:val="auto"/>
          <w:u w:val="none"/>
        </w:rPr>
      </w:pPr>
    </w:p>
    <w:p w14:paraId="14450D24" w14:textId="5FFFF5C0" w:rsidR="00492A6C" w:rsidRPr="00524D52" w:rsidRDefault="00C118F6">
      <w:pPr>
        <w:rPr>
          <w:rStyle w:val="Hyperlink"/>
          <w:color w:val="auto"/>
          <w:u w:val="none"/>
        </w:rPr>
      </w:pPr>
      <w:r w:rsidRPr="00524D52">
        <w:t>Legend:</w:t>
      </w:r>
      <w:r w:rsidR="00DC7E04" w:rsidRPr="00524D52">
        <w:rPr>
          <w:sz w:val="16"/>
          <w:szCs w:val="16"/>
          <w:vertAlign w:val="superscript"/>
        </w:rPr>
        <w:t xml:space="preserve"> </w:t>
      </w:r>
      <w:r w:rsidR="00495330" w:rsidRPr="00151D6C">
        <w:rPr>
          <w:vertAlign w:val="superscript"/>
        </w:rPr>
        <w:t>a</w:t>
      </w:r>
      <w:r w:rsidR="00495330" w:rsidRPr="00151D6C">
        <w:t xml:space="preserve">: 9 IMFTs not confirmed, 2 tissue not available; </w:t>
      </w:r>
      <w:r w:rsidR="00495330" w:rsidRPr="00151D6C">
        <w:rPr>
          <w:vertAlign w:val="superscript"/>
        </w:rPr>
        <w:t>b</w:t>
      </w:r>
      <w:r w:rsidR="00495330" w:rsidRPr="00151D6C">
        <w:t xml:space="preserve">: 2 patients died, 1 patient withdrew consent, 1 patient started another treatment; </w:t>
      </w:r>
      <w:r w:rsidR="00495330" w:rsidRPr="00151D6C">
        <w:rPr>
          <w:vertAlign w:val="superscript"/>
        </w:rPr>
        <w:t>c</w:t>
      </w:r>
      <w:r w:rsidR="00495330" w:rsidRPr="00151D6C">
        <w:t xml:space="preserve">: no suitable lesion for response evaluation – treatment still ongoing; </w:t>
      </w:r>
      <w:r w:rsidR="00495330" w:rsidRPr="00151D6C">
        <w:rPr>
          <w:vertAlign w:val="superscript"/>
        </w:rPr>
        <w:t>d</w:t>
      </w:r>
      <w:r w:rsidR="00495330" w:rsidRPr="00151D6C">
        <w:t>:</w:t>
      </w:r>
      <w:r w:rsidR="00EC71D6" w:rsidRPr="00151D6C">
        <w:t xml:space="preserve"> </w:t>
      </w:r>
      <w:r w:rsidR="00ED2182">
        <w:t>2</w:t>
      </w:r>
      <w:r w:rsidR="00EC71D6" w:rsidRPr="00151D6C">
        <w:t xml:space="preserve"> progression, </w:t>
      </w:r>
      <w:r w:rsidR="00ED2182">
        <w:t>2</w:t>
      </w:r>
      <w:r w:rsidR="00EC71D6" w:rsidRPr="00151D6C">
        <w:t xml:space="preserve"> symptomatic progression</w:t>
      </w:r>
      <w:r w:rsidR="00495330" w:rsidRPr="00151D6C">
        <w:t xml:space="preserve"> without radiological </w:t>
      </w:r>
      <w:r w:rsidR="00EC71D6" w:rsidRPr="00151D6C">
        <w:t>evidence, 2 patient</w:t>
      </w:r>
      <w:r w:rsidR="00495330" w:rsidRPr="00151D6C">
        <w:t xml:space="preserve"> decision, 1 treatment stop due to surgery</w:t>
      </w:r>
      <w:r w:rsidR="00ED2182">
        <w:t xml:space="preserve">; </w:t>
      </w:r>
      <w:r w:rsidR="00ED2182">
        <w:rPr>
          <w:vertAlign w:val="superscript"/>
        </w:rPr>
        <w:t>e</w:t>
      </w:r>
      <w:r w:rsidR="00ED2182">
        <w:t>: 4</w:t>
      </w:r>
      <w:r w:rsidR="00ED2182" w:rsidRPr="00151D6C">
        <w:t xml:space="preserve"> progression, </w:t>
      </w:r>
      <w:r w:rsidR="00ED2182">
        <w:t>1</w:t>
      </w:r>
      <w:r w:rsidR="00ED2182" w:rsidRPr="00151D6C">
        <w:t xml:space="preserve"> symptomatic progression without radiological evidence, 1 toxicity</w:t>
      </w:r>
    </w:p>
    <w:p w14:paraId="5B68A7C1" w14:textId="299B501A" w:rsidR="00997082" w:rsidRPr="00D65912" w:rsidRDefault="00997082">
      <w:pPr>
        <w:rPr>
          <w:rStyle w:val="Hyperlink"/>
          <w:color w:val="auto"/>
          <w:u w:val="none"/>
        </w:rPr>
      </w:pPr>
      <w:r w:rsidRPr="00D65912">
        <w:rPr>
          <w:rStyle w:val="Hyperlink"/>
          <w:color w:val="auto"/>
          <w:u w:val="none"/>
        </w:rPr>
        <w:br w:type="page"/>
      </w:r>
    </w:p>
    <w:p w14:paraId="7B1A1D34" w14:textId="2F49A00F" w:rsidR="000C14A3" w:rsidRPr="00D65912" w:rsidRDefault="00997082">
      <w:r w:rsidRPr="00151D6C">
        <w:rPr>
          <w:b/>
        </w:rPr>
        <w:t>Table 1.</w:t>
      </w:r>
      <w:r w:rsidRPr="00151D6C">
        <w:t xml:space="preserve"> Molecular characteristics </w:t>
      </w:r>
      <w:r w:rsidR="009F7D5C" w:rsidRPr="00151D6C">
        <w:t>of IMFT tumo</w:t>
      </w:r>
      <w:r w:rsidRPr="00151D6C">
        <w:t>rs and their response to crizotinib</w:t>
      </w:r>
      <w:r w:rsidRPr="00524D52">
        <w:t xml:space="preserve">. </w:t>
      </w:r>
    </w:p>
    <w:tbl>
      <w:tblPr>
        <w:tblW w:w="4918" w:type="pct"/>
        <w:jc w:val="center"/>
        <w:tblLayout w:type="fixed"/>
        <w:tblCellMar>
          <w:left w:w="0" w:type="dxa"/>
          <w:right w:w="0" w:type="dxa"/>
        </w:tblCellMar>
        <w:tblLook w:val="0000" w:firstRow="0" w:lastRow="0" w:firstColumn="0" w:lastColumn="0" w:noHBand="0" w:noVBand="0"/>
      </w:tblPr>
      <w:tblGrid>
        <w:gridCol w:w="1179"/>
        <w:gridCol w:w="1372"/>
        <w:gridCol w:w="824"/>
        <w:gridCol w:w="734"/>
        <w:gridCol w:w="757"/>
        <w:gridCol w:w="887"/>
        <w:gridCol w:w="587"/>
        <w:gridCol w:w="416"/>
        <w:gridCol w:w="826"/>
        <w:gridCol w:w="763"/>
        <w:gridCol w:w="690"/>
      </w:tblGrid>
      <w:tr w:rsidR="002A1319" w:rsidRPr="00E11762" w14:paraId="0EAC33B3" w14:textId="77777777" w:rsidTr="002A1319">
        <w:trPr>
          <w:cantSplit/>
          <w:trHeight w:val="863"/>
          <w:tblHeader/>
          <w:jc w:val="center"/>
        </w:trPr>
        <w:tc>
          <w:tcPr>
            <w:tcW w:w="653" w:type="pct"/>
            <w:vMerge w:val="restart"/>
            <w:tcBorders>
              <w:top w:val="single" w:sz="6" w:space="0" w:color="000000"/>
              <w:left w:val="single" w:sz="6" w:space="0" w:color="000000"/>
              <w:right w:val="nil"/>
            </w:tcBorders>
            <w:shd w:val="clear" w:color="auto" w:fill="E8E8E8"/>
            <w:tcMar>
              <w:left w:w="60" w:type="dxa"/>
              <w:right w:w="60" w:type="dxa"/>
            </w:tcMar>
          </w:tcPr>
          <w:p w14:paraId="334C6773" w14:textId="73AC95C8" w:rsidR="002A1319" w:rsidRPr="00B34D4F" w:rsidRDefault="002A1319" w:rsidP="003F25CD">
            <w:pPr>
              <w:rPr>
                <w:sz w:val="16"/>
                <w:szCs w:val="16"/>
              </w:rPr>
            </w:pPr>
            <w:r w:rsidRPr="00B34D4F">
              <w:rPr>
                <w:sz w:val="16"/>
                <w:szCs w:val="16"/>
              </w:rPr>
              <w:t>Patient number</w:t>
            </w:r>
          </w:p>
        </w:tc>
        <w:tc>
          <w:tcPr>
            <w:tcW w:w="759" w:type="pct"/>
            <w:tcBorders>
              <w:top w:val="single" w:sz="6" w:space="0" w:color="000000"/>
              <w:left w:val="single" w:sz="2" w:space="0" w:color="000000"/>
              <w:right w:val="single" w:sz="2" w:space="0" w:color="000000"/>
            </w:tcBorders>
            <w:shd w:val="clear" w:color="auto" w:fill="E8E8E8"/>
          </w:tcPr>
          <w:p w14:paraId="21F60627" w14:textId="7A8B707B" w:rsidR="002A1319" w:rsidRPr="00B34D4F" w:rsidRDefault="002A1319" w:rsidP="003F25CD">
            <w:pPr>
              <w:rPr>
                <w:sz w:val="16"/>
                <w:szCs w:val="16"/>
              </w:rPr>
            </w:pPr>
            <w:r>
              <w:rPr>
                <w:sz w:val="16"/>
                <w:szCs w:val="16"/>
              </w:rPr>
              <w:t>Primary site at diagnosis</w:t>
            </w:r>
          </w:p>
        </w:tc>
        <w:tc>
          <w:tcPr>
            <w:tcW w:w="456" w:type="pct"/>
            <w:vMerge w:val="restart"/>
            <w:tcBorders>
              <w:top w:val="single" w:sz="6" w:space="0" w:color="000000"/>
              <w:left w:val="single" w:sz="2" w:space="0" w:color="000000"/>
              <w:right w:val="nil"/>
            </w:tcBorders>
            <w:shd w:val="clear" w:color="auto" w:fill="E8E8E8"/>
            <w:tcMar>
              <w:left w:w="60" w:type="dxa"/>
              <w:right w:w="60" w:type="dxa"/>
            </w:tcMar>
          </w:tcPr>
          <w:p w14:paraId="152972C2" w14:textId="6F837A41" w:rsidR="002A1319" w:rsidRPr="00B34D4F" w:rsidRDefault="002A1319" w:rsidP="003F25CD">
            <w:pPr>
              <w:rPr>
                <w:bCs/>
                <w:color w:val="000000"/>
                <w:sz w:val="16"/>
                <w:szCs w:val="16"/>
              </w:rPr>
            </w:pPr>
            <w:r w:rsidRPr="00B34D4F">
              <w:rPr>
                <w:sz w:val="16"/>
                <w:szCs w:val="16"/>
              </w:rPr>
              <w:t>Origin of tested archival tumor material</w:t>
            </w:r>
          </w:p>
        </w:tc>
        <w:tc>
          <w:tcPr>
            <w:tcW w:w="406" w:type="pct"/>
            <w:tcBorders>
              <w:top w:val="single" w:sz="6" w:space="0" w:color="000000"/>
              <w:left w:val="single" w:sz="2" w:space="0" w:color="000000"/>
              <w:right w:val="single" w:sz="2" w:space="0" w:color="000000"/>
            </w:tcBorders>
            <w:shd w:val="clear" w:color="auto" w:fill="E8E8E8"/>
          </w:tcPr>
          <w:p w14:paraId="722436FE" w14:textId="75340BA6" w:rsidR="002A1319" w:rsidRPr="00B34D4F" w:rsidRDefault="002A1319" w:rsidP="003F25CD">
            <w:pPr>
              <w:rPr>
                <w:sz w:val="16"/>
                <w:szCs w:val="16"/>
              </w:rPr>
            </w:pPr>
            <w:r w:rsidRPr="00B34D4F">
              <w:rPr>
                <w:i/>
                <w:sz w:val="16"/>
                <w:szCs w:val="16"/>
              </w:rPr>
              <w:t>ALK</w:t>
            </w:r>
            <w:r w:rsidRPr="00B34D4F">
              <w:rPr>
                <w:sz w:val="16"/>
                <w:szCs w:val="16"/>
              </w:rPr>
              <w:t xml:space="preserve"> gene rearrangements by FISH in %</w:t>
            </w:r>
          </w:p>
        </w:tc>
        <w:tc>
          <w:tcPr>
            <w:tcW w:w="419" w:type="pct"/>
            <w:tcBorders>
              <w:top w:val="single" w:sz="6" w:space="0" w:color="000000"/>
              <w:left w:val="single" w:sz="2" w:space="0" w:color="000000"/>
              <w:right w:val="single" w:sz="2" w:space="0" w:color="000000"/>
            </w:tcBorders>
            <w:shd w:val="clear" w:color="auto" w:fill="E8E8E8"/>
          </w:tcPr>
          <w:p w14:paraId="725EA927" w14:textId="3600DF19" w:rsidR="002A1319" w:rsidRPr="00B34D4F" w:rsidRDefault="002A1319" w:rsidP="003F25CD">
            <w:pPr>
              <w:rPr>
                <w:sz w:val="16"/>
                <w:szCs w:val="16"/>
              </w:rPr>
            </w:pPr>
            <w:r w:rsidRPr="00B34D4F">
              <w:rPr>
                <w:sz w:val="16"/>
                <w:szCs w:val="16"/>
              </w:rPr>
              <w:t>ALK protein expression by IHC</w:t>
            </w:r>
          </w:p>
        </w:tc>
        <w:tc>
          <w:tcPr>
            <w:tcW w:w="491" w:type="pct"/>
            <w:vMerge w:val="restart"/>
            <w:tcBorders>
              <w:top w:val="single" w:sz="6" w:space="0" w:color="000000"/>
              <w:left w:val="single" w:sz="2" w:space="0" w:color="000000"/>
              <w:right w:val="nil"/>
            </w:tcBorders>
            <w:shd w:val="clear" w:color="auto" w:fill="E8E8E8"/>
            <w:tcMar>
              <w:left w:w="60" w:type="dxa"/>
              <w:right w:w="60" w:type="dxa"/>
            </w:tcMar>
          </w:tcPr>
          <w:p w14:paraId="027A3E81" w14:textId="77777777" w:rsidR="002A1319" w:rsidRPr="00B34D4F" w:rsidRDefault="002A1319" w:rsidP="003F25CD">
            <w:pPr>
              <w:rPr>
                <w:sz w:val="16"/>
                <w:szCs w:val="16"/>
              </w:rPr>
            </w:pPr>
            <w:r w:rsidRPr="00B34D4F">
              <w:rPr>
                <w:sz w:val="16"/>
                <w:szCs w:val="16"/>
              </w:rPr>
              <w:t>Treatment status</w:t>
            </w:r>
          </w:p>
        </w:tc>
        <w:tc>
          <w:tcPr>
            <w:tcW w:w="555" w:type="pct"/>
            <w:gridSpan w:val="2"/>
            <w:tcBorders>
              <w:top w:val="single" w:sz="6" w:space="0" w:color="000000"/>
              <w:left w:val="single" w:sz="2" w:space="0" w:color="000000"/>
              <w:right w:val="nil"/>
            </w:tcBorders>
            <w:shd w:val="clear" w:color="auto" w:fill="E8E8E8"/>
            <w:tcMar>
              <w:left w:w="60" w:type="dxa"/>
              <w:right w:w="60" w:type="dxa"/>
            </w:tcMar>
          </w:tcPr>
          <w:p w14:paraId="26BC9576" w14:textId="77777777" w:rsidR="002A1319" w:rsidRPr="00B34D4F" w:rsidRDefault="002A1319" w:rsidP="003F25CD">
            <w:pPr>
              <w:rPr>
                <w:sz w:val="16"/>
                <w:szCs w:val="16"/>
              </w:rPr>
            </w:pPr>
            <w:r w:rsidRPr="00B34D4F">
              <w:rPr>
                <w:sz w:val="16"/>
                <w:szCs w:val="16"/>
              </w:rPr>
              <w:t>Duration of treatment</w:t>
            </w:r>
          </w:p>
        </w:tc>
        <w:tc>
          <w:tcPr>
            <w:tcW w:w="457" w:type="pct"/>
            <w:vMerge w:val="restart"/>
            <w:tcBorders>
              <w:top w:val="single" w:sz="6" w:space="0" w:color="000000"/>
              <w:left w:val="single" w:sz="2" w:space="0" w:color="000000"/>
              <w:right w:val="nil"/>
            </w:tcBorders>
            <w:shd w:val="clear" w:color="auto" w:fill="E8E8E8"/>
            <w:tcMar>
              <w:left w:w="60" w:type="dxa"/>
              <w:right w:w="60" w:type="dxa"/>
            </w:tcMar>
          </w:tcPr>
          <w:p w14:paraId="2BBE84FF" w14:textId="77777777" w:rsidR="002A1319" w:rsidRPr="00B34D4F" w:rsidRDefault="002A1319" w:rsidP="003F25CD">
            <w:pPr>
              <w:rPr>
                <w:sz w:val="16"/>
                <w:szCs w:val="16"/>
              </w:rPr>
            </w:pPr>
            <w:r w:rsidRPr="00B34D4F">
              <w:rPr>
                <w:sz w:val="16"/>
                <w:szCs w:val="16"/>
              </w:rPr>
              <w:t>Best</w:t>
            </w:r>
          </w:p>
          <w:p w14:paraId="4700ECCC" w14:textId="77777777" w:rsidR="002A1319" w:rsidRPr="00B34D4F" w:rsidRDefault="002A1319" w:rsidP="003F25CD">
            <w:pPr>
              <w:rPr>
                <w:sz w:val="16"/>
                <w:szCs w:val="16"/>
              </w:rPr>
            </w:pPr>
            <w:r w:rsidRPr="00B34D4F">
              <w:rPr>
                <w:sz w:val="16"/>
                <w:szCs w:val="16"/>
              </w:rPr>
              <w:t>RECIST</w:t>
            </w:r>
            <w:r w:rsidRPr="00B34D4F">
              <w:rPr>
                <w:sz w:val="16"/>
                <w:szCs w:val="16"/>
              </w:rPr>
              <w:br/>
              <w:t>response</w:t>
            </w:r>
          </w:p>
          <w:p w14:paraId="098936DD" w14:textId="77777777" w:rsidR="002A1319" w:rsidRPr="00B34D4F" w:rsidRDefault="002A1319" w:rsidP="003F25CD">
            <w:pPr>
              <w:rPr>
                <w:sz w:val="16"/>
                <w:szCs w:val="16"/>
              </w:rPr>
            </w:pPr>
          </w:p>
        </w:tc>
        <w:tc>
          <w:tcPr>
            <w:tcW w:w="422" w:type="pct"/>
            <w:vMerge w:val="restart"/>
            <w:tcBorders>
              <w:top w:val="single" w:sz="6" w:space="0" w:color="000000"/>
              <w:left w:val="single" w:sz="2" w:space="0" w:color="000000"/>
              <w:right w:val="nil"/>
            </w:tcBorders>
            <w:shd w:val="clear" w:color="auto" w:fill="E8E8E8"/>
            <w:tcMar>
              <w:left w:w="60" w:type="dxa"/>
              <w:right w:w="60" w:type="dxa"/>
            </w:tcMar>
          </w:tcPr>
          <w:p w14:paraId="700A6D36" w14:textId="77777777" w:rsidR="002A1319" w:rsidRPr="00B34D4F" w:rsidRDefault="002A1319" w:rsidP="003F25CD">
            <w:pPr>
              <w:rPr>
                <w:sz w:val="16"/>
                <w:szCs w:val="16"/>
              </w:rPr>
            </w:pPr>
            <w:r w:rsidRPr="00B34D4F">
              <w:rPr>
                <w:sz w:val="16"/>
                <w:szCs w:val="16"/>
              </w:rPr>
              <w:t>Survival status</w:t>
            </w:r>
          </w:p>
        </w:tc>
        <w:tc>
          <w:tcPr>
            <w:tcW w:w="382" w:type="pct"/>
            <w:vMerge w:val="restart"/>
            <w:tcBorders>
              <w:top w:val="single" w:sz="6" w:space="0" w:color="000000"/>
              <w:left w:val="single" w:sz="2" w:space="0" w:color="000000"/>
              <w:right w:val="single" w:sz="6" w:space="0" w:color="000000"/>
            </w:tcBorders>
            <w:shd w:val="clear" w:color="auto" w:fill="E8E8E8"/>
            <w:tcMar>
              <w:left w:w="60" w:type="dxa"/>
              <w:right w:w="60" w:type="dxa"/>
            </w:tcMar>
          </w:tcPr>
          <w:p w14:paraId="5B0CA1E8" w14:textId="77777777" w:rsidR="002A1319" w:rsidRPr="00B34D4F" w:rsidRDefault="002A1319" w:rsidP="003F25CD">
            <w:pPr>
              <w:rPr>
                <w:sz w:val="16"/>
                <w:szCs w:val="16"/>
              </w:rPr>
            </w:pPr>
            <w:r w:rsidRPr="00B34D4F">
              <w:rPr>
                <w:sz w:val="16"/>
                <w:szCs w:val="16"/>
              </w:rPr>
              <w:t>Overall survival (days)</w:t>
            </w:r>
          </w:p>
        </w:tc>
      </w:tr>
      <w:tr w:rsidR="002A1319" w:rsidRPr="00E11762" w14:paraId="07151453" w14:textId="77777777" w:rsidTr="002A1319">
        <w:trPr>
          <w:cantSplit/>
          <w:trHeight w:val="87"/>
          <w:tblHeader/>
          <w:jc w:val="center"/>
        </w:trPr>
        <w:tc>
          <w:tcPr>
            <w:tcW w:w="653" w:type="pct"/>
            <w:vMerge/>
            <w:tcBorders>
              <w:left w:val="single" w:sz="6" w:space="0" w:color="000000"/>
              <w:bottom w:val="single" w:sz="2" w:space="0" w:color="000000"/>
              <w:right w:val="nil"/>
            </w:tcBorders>
            <w:shd w:val="clear" w:color="auto" w:fill="BBBBBB"/>
            <w:tcMar>
              <w:left w:w="60" w:type="dxa"/>
              <w:right w:w="60" w:type="dxa"/>
            </w:tcMar>
            <w:vAlign w:val="bottom"/>
          </w:tcPr>
          <w:p w14:paraId="7F481B83" w14:textId="77777777" w:rsidR="002A1319" w:rsidRPr="00B34D4F" w:rsidRDefault="002A1319" w:rsidP="003F25CD">
            <w:pPr>
              <w:rPr>
                <w:sz w:val="16"/>
                <w:szCs w:val="16"/>
              </w:rPr>
            </w:pPr>
          </w:p>
        </w:tc>
        <w:tc>
          <w:tcPr>
            <w:tcW w:w="759" w:type="pct"/>
            <w:tcBorders>
              <w:left w:val="single" w:sz="2" w:space="0" w:color="000000"/>
              <w:bottom w:val="single" w:sz="2" w:space="0" w:color="000000"/>
              <w:right w:val="single" w:sz="2" w:space="0" w:color="000000"/>
            </w:tcBorders>
            <w:shd w:val="clear" w:color="auto" w:fill="BBBBBB"/>
          </w:tcPr>
          <w:p w14:paraId="7A2DA8D0" w14:textId="77777777" w:rsidR="002A1319" w:rsidRPr="00B34D4F" w:rsidRDefault="002A1319" w:rsidP="003F25CD">
            <w:pPr>
              <w:rPr>
                <w:sz w:val="16"/>
                <w:szCs w:val="16"/>
              </w:rPr>
            </w:pPr>
          </w:p>
        </w:tc>
        <w:tc>
          <w:tcPr>
            <w:tcW w:w="456" w:type="pct"/>
            <w:vMerge/>
            <w:tcBorders>
              <w:left w:val="single" w:sz="2" w:space="0" w:color="000000"/>
              <w:bottom w:val="single" w:sz="2" w:space="0" w:color="000000"/>
              <w:right w:val="nil"/>
            </w:tcBorders>
            <w:shd w:val="clear" w:color="auto" w:fill="BBBBBB"/>
            <w:tcMar>
              <w:left w:w="60" w:type="dxa"/>
              <w:right w:w="60" w:type="dxa"/>
            </w:tcMar>
            <w:vAlign w:val="bottom"/>
          </w:tcPr>
          <w:p w14:paraId="0C54675B" w14:textId="7656C76D" w:rsidR="002A1319" w:rsidRPr="00B34D4F" w:rsidRDefault="002A1319" w:rsidP="003F25CD">
            <w:pPr>
              <w:rPr>
                <w:sz w:val="16"/>
                <w:szCs w:val="16"/>
              </w:rPr>
            </w:pPr>
          </w:p>
        </w:tc>
        <w:tc>
          <w:tcPr>
            <w:tcW w:w="406" w:type="pct"/>
            <w:tcBorders>
              <w:left w:val="single" w:sz="2" w:space="0" w:color="000000"/>
              <w:bottom w:val="single" w:sz="2" w:space="0" w:color="000000"/>
              <w:right w:val="single" w:sz="2" w:space="0" w:color="000000"/>
            </w:tcBorders>
            <w:shd w:val="clear" w:color="auto" w:fill="E8E8E8"/>
            <w:vAlign w:val="bottom"/>
          </w:tcPr>
          <w:p w14:paraId="1D0DBDCA" w14:textId="77777777" w:rsidR="002A1319" w:rsidRPr="00B34D4F" w:rsidRDefault="002A1319" w:rsidP="003F25CD">
            <w:pPr>
              <w:rPr>
                <w:sz w:val="16"/>
                <w:szCs w:val="16"/>
              </w:rPr>
            </w:pPr>
          </w:p>
        </w:tc>
        <w:tc>
          <w:tcPr>
            <w:tcW w:w="419" w:type="pct"/>
            <w:tcBorders>
              <w:left w:val="single" w:sz="2" w:space="0" w:color="000000"/>
              <w:bottom w:val="single" w:sz="2" w:space="0" w:color="000000"/>
              <w:right w:val="single" w:sz="2" w:space="0" w:color="000000"/>
            </w:tcBorders>
            <w:shd w:val="clear" w:color="auto" w:fill="E4E4E4"/>
          </w:tcPr>
          <w:p w14:paraId="3336BCE9" w14:textId="77777777" w:rsidR="002A1319" w:rsidRPr="00B34D4F" w:rsidRDefault="002A1319" w:rsidP="003F25CD">
            <w:pPr>
              <w:rPr>
                <w:sz w:val="16"/>
                <w:szCs w:val="16"/>
              </w:rPr>
            </w:pPr>
          </w:p>
        </w:tc>
        <w:tc>
          <w:tcPr>
            <w:tcW w:w="491" w:type="pct"/>
            <w:vMerge/>
            <w:tcBorders>
              <w:left w:val="single" w:sz="2" w:space="0" w:color="000000"/>
              <w:bottom w:val="single" w:sz="2" w:space="0" w:color="000000"/>
              <w:right w:val="nil"/>
            </w:tcBorders>
            <w:shd w:val="clear" w:color="auto" w:fill="BBBBBB"/>
            <w:tcMar>
              <w:left w:w="60" w:type="dxa"/>
              <w:right w:w="60" w:type="dxa"/>
            </w:tcMar>
            <w:vAlign w:val="bottom"/>
          </w:tcPr>
          <w:p w14:paraId="71A86123" w14:textId="77777777" w:rsidR="002A1319" w:rsidRPr="00B34D4F" w:rsidRDefault="002A1319" w:rsidP="003F25CD">
            <w:pPr>
              <w:rPr>
                <w:sz w:val="16"/>
                <w:szCs w:val="16"/>
              </w:rPr>
            </w:pPr>
          </w:p>
        </w:tc>
        <w:tc>
          <w:tcPr>
            <w:tcW w:w="325" w:type="pct"/>
            <w:tcBorders>
              <w:left w:val="single" w:sz="2" w:space="0" w:color="000000"/>
              <w:bottom w:val="single" w:sz="2" w:space="0" w:color="000000"/>
            </w:tcBorders>
            <w:shd w:val="clear" w:color="auto" w:fill="E8E8E8"/>
            <w:tcMar>
              <w:left w:w="60" w:type="dxa"/>
              <w:right w:w="60" w:type="dxa"/>
            </w:tcMar>
            <w:vAlign w:val="bottom"/>
          </w:tcPr>
          <w:p w14:paraId="63A35E18" w14:textId="77777777" w:rsidR="002A1319" w:rsidRPr="00B34D4F" w:rsidRDefault="002A1319" w:rsidP="003F25CD">
            <w:pPr>
              <w:rPr>
                <w:sz w:val="16"/>
                <w:szCs w:val="16"/>
              </w:rPr>
            </w:pPr>
            <w:r w:rsidRPr="00B34D4F">
              <w:rPr>
                <w:sz w:val="16"/>
                <w:szCs w:val="16"/>
              </w:rPr>
              <w:t>Cycles</w:t>
            </w:r>
          </w:p>
        </w:tc>
        <w:tc>
          <w:tcPr>
            <w:tcW w:w="230" w:type="pct"/>
            <w:tcBorders>
              <w:left w:val="nil"/>
              <w:bottom w:val="single" w:sz="2" w:space="0" w:color="000000"/>
              <w:right w:val="single" w:sz="4" w:space="0" w:color="auto"/>
            </w:tcBorders>
            <w:shd w:val="clear" w:color="auto" w:fill="E8E8E8"/>
            <w:vAlign w:val="bottom"/>
          </w:tcPr>
          <w:p w14:paraId="0D5DAB98" w14:textId="77777777" w:rsidR="002A1319" w:rsidRPr="00B34D4F" w:rsidRDefault="002A1319" w:rsidP="003F25CD">
            <w:pPr>
              <w:rPr>
                <w:sz w:val="16"/>
                <w:szCs w:val="16"/>
              </w:rPr>
            </w:pPr>
            <w:r w:rsidRPr="00B34D4F">
              <w:rPr>
                <w:sz w:val="16"/>
                <w:szCs w:val="16"/>
              </w:rPr>
              <w:t>Days</w:t>
            </w:r>
          </w:p>
        </w:tc>
        <w:tc>
          <w:tcPr>
            <w:tcW w:w="457" w:type="pct"/>
            <w:vMerge/>
            <w:tcBorders>
              <w:left w:val="single" w:sz="4" w:space="0" w:color="auto"/>
              <w:bottom w:val="single" w:sz="2" w:space="0" w:color="000000"/>
              <w:right w:val="nil"/>
            </w:tcBorders>
            <w:shd w:val="clear" w:color="auto" w:fill="BBBBBB"/>
            <w:tcMar>
              <w:left w:w="60" w:type="dxa"/>
              <w:right w:w="60" w:type="dxa"/>
            </w:tcMar>
            <w:vAlign w:val="bottom"/>
          </w:tcPr>
          <w:p w14:paraId="5D8C96C5" w14:textId="77777777" w:rsidR="002A1319" w:rsidRPr="00B34D4F" w:rsidRDefault="002A1319" w:rsidP="003F25CD">
            <w:pPr>
              <w:rPr>
                <w:sz w:val="16"/>
                <w:szCs w:val="16"/>
              </w:rPr>
            </w:pPr>
          </w:p>
        </w:tc>
        <w:tc>
          <w:tcPr>
            <w:tcW w:w="422" w:type="pct"/>
            <w:vMerge/>
            <w:tcBorders>
              <w:left w:val="single" w:sz="2" w:space="0" w:color="000000"/>
              <w:bottom w:val="single" w:sz="2" w:space="0" w:color="000000"/>
              <w:right w:val="nil"/>
            </w:tcBorders>
            <w:shd w:val="clear" w:color="auto" w:fill="BBBBBB"/>
            <w:tcMar>
              <w:left w:w="60" w:type="dxa"/>
              <w:right w:w="60" w:type="dxa"/>
            </w:tcMar>
            <w:vAlign w:val="bottom"/>
          </w:tcPr>
          <w:p w14:paraId="7580F860" w14:textId="77777777" w:rsidR="002A1319" w:rsidRPr="00B34D4F" w:rsidRDefault="002A1319" w:rsidP="003F25CD">
            <w:pPr>
              <w:rPr>
                <w:sz w:val="16"/>
                <w:szCs w:val="16"/>
              </w:rPr>
            </w:pPr>
          </w:p>
        </w:tc>
        <w:tc>
          <w:tcPr>
            <w:tcW w:w="382" w:type="pct"/>
            <w:vMerge/>
            <w:tcBorders>
              <w:left w:val="single" w:sz="2" w:space="0" w:color="000000"/>
              <w:bottom w:val="single" w:sz="2" w:space="0" w:color="000000"/>
              <w:right w:val="single" w:sz="6" w:space="0" w:color="000000"/>
            </w:tcBorders>
            <w:shd w:val="clear" w:color="auto" w:fill="BBBBBB"/>
            <w:tcMar>
              <w:left w:w="60" w:type="dxa"/>
              <w:right w:w="60" w:type="dxa"/>
            </w:tcMar>
            <w:vAlign w:val="bottom"/>
          </w:tcPr>
          <w:p w14:paraId="6FC581E5" w14:textId="77777777" w:rsidR="002A1319" w:rsidRPr="00B34D4F" w:rsidRDefault="002A1319" w:rsidP="003F25CD">
            <w:pPr>
              <w:rPr>
                <w:sz w:val="16"/>
                <w:szCs w:val="16"/>
              </w:rPr>
            </w:pPr>
          </w:p>
        </w:tc>
      </w:tr>
      <w:tr w:rsidR="002A1319" w:rsidRPr="00E11762" w14:paraId="657D142A"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tcPr>
          <w:p w14:paraId="4EB95771" w14:textId="6BCA5153" w:rsidR="002A1319" w:rsidRPr="00B34D4F" w:rsidRDefault="002A1319" w:rsidP="00065B26">
            <w:pPr>
              <w:rPr>
                <w:i/>
                <w:iCs/>
                <w:sz w:val="16"/>
                <w:szCs w:val="16"/>
              </w:rPr>
            </w:pPr>
            <w:r w:rsidRPr="00B34D4F">
              <w:rPr>
                <w:i/>
                <w:iCs/>
                <w:sz w:val="16"/>
                <w:szCs w:val="16"/>
              </w:rPr>
              <w:t>ALK+</w:t>
            </w:r>
            <w:r w:rsidRPr="00B34D4F">
              <w:rPr>
                <w:sz w:val="16"/>
                <w:szCs w:val="16"/>
              </w:rPr>
              <w:t xml:space="preserve"> patients</w:t>
            </w:r>
          </w:p>
        </w:tc>
        <w:tc>
          <w:tcPr>
            <w:tcW w:w="759" w:type="pct"/>
            <w:tcBorders>
              <w:top w:val="nil"/>
              <w:left w:val="single" w:sz="2" w:space="0" w:color="000000"/>
              <w:bottom w:val="single" w:sz="2" w:space="0" w:color="000000"/>
              <w:right w:val="single" w:sz="2" w:space="0" w:color="000000"/>
            </w:tcBorders>
            <w:shd w:val="clear" w:color="auto" w:fill="FFFFFF"/>
          </w:tcPr>
          <w:p w14:paraId="04C628F4" w14:textId="77777777" w:rsidR="002A1319" w:rsidRPr="00B34D4F" w:rsidRDefault="002A1319" w:rsidP="00490E17">
            <w:pPr>
              <w:rPr>
                <w:sz w:val="16"/>
                <w:szCs w:val="16"/>
              </w:rPr>
            </w:pPr>
          </w:p>
        </w:tc>
        <w:tc>
          <w:tcPr>
            <w:tcW w:w="456" w:type="pct"/>
            <w:tcBorders>
              <w:top w:val="nil"/>
              <w:left w:val="single" w:sz="2" w:space="0" w:color="000000"/>
              <w:bottom w:val="single" w:sz="2" w:space="0" w:color="000000"/>
              <w:right w:val="nil"/>
            </w:tcBorders>
            <w:shd w:val="clear" w:color="auto" w:fill="FFFFFF"/>
            <w:tcMar>
              <w:left w:w="60" w:type="dxa"/>
              <w:right w:w="60" w:type="dxa"/>
            </w:tcMar>
          </w:tcPr>
          <w:p w14:paraId="375C7918" w14:textId="44B23C75" w:rsidR="002A1319" w:rsidRPr="00B34D4F" w:rsidRDefault="002A1319" w:rsidP="00490E17">
            <w:pPr>
              <w:rPr>
                <w:sz w:val="16"/>
                <w:szCs w:val="16"/>
              </w:rPr>
            </w:pPr>
          </w:p>
        </w:tc>
        <w:tc>
          <w:tcPr>
            <w:tcW w:w="406" w:type="pct"/>
            <w:tcBorders>
              <w:top w:val="nil"/>
              <w:left w:val="single" w:sz="2" w:space="0" w:color="000000"/>
              <w:bottom w:val="single" w:sz="2" w:space="0" w:color="000000"/>
              <w:right w:val="single" w:sz="2" w:space="0" w:color="000000"/>
            </w:tcBorders>
            <w:shd w:val="clear" w:color="auto" w:fill="FFFFFF"/>
          </w:tcPr>
          <w:p w14:paraId="719E6EE6" w14:textId="77777777" w:rsidR="002A1319" w:rsidRPr="00B34D4F" w:rsidRDefault="002A1319" w:rsidP="001706A2">
            <w:pPr>
              <w:rPr>
                <w:sz w:val="16"/>
                <w:szCs w:val="16"/>
              </w:rPr>
            </w:pPr>
          </w:p>
        </w:tc>
        <w:tc>
          <w:tcPr>
            <w:tcW w:w="419" w:type="pct"/>
            <w:tcBorders>
              <w:top w:val="nil"/>
              <w:left w:val="single" w:sz="2" w:space="0" w:color="000000"/>
              <w:bottom w:val="single" w:sz="2" w:space="0" w:color="000000"/>
              <w:right w:val="single" w:sz="2" w:space="0" w:color="000000"/>
            </w:tcBorders>
            <w:shd w:val="clear" w:color="auto" w:fill="FFFFFF"/>
          </w:tcPr>
          <w:p w14:paraId="66115DF2" w14:textId="77777777" w:rsidR="002A1319" w:rsidRPr="00B34D4F" w:rsidRDefault="002A1319" w:rsidP="001706A2">
            <w:pPr>
              <w:rPr>
                <w:sz w:val="16"/>
                <w:szCs w:val="16"/>
              </w:rPr>
            </w:pP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2140AD44" w14:textId="77777777" w:rsidR="002A1319" w:rsidRPr="00B34D4F" w:rsidRDefault="002A1319" w:rsidP="00CA3E9E">
            <w:pPr>
              <w:rPr>
                <w:sz w:val="16"/>
                <w:szCs w:val="16"/>
              </w:rPr>
            </w:pPr>
          </w:p>
        </w:tc>
        <w:tc>
          <w:tcPr>
            <w:tcW w:w="325" w:type="pct"/>
            <w:tcBorders>
              <w:top w:val="nil"/>
              <w:left w:val="single" w:sz="2" w:space="0" w:color="000000"/>
              <w:bottom w:val="single" w:sz="2" w:space="0" w:color="000000"/>
              <w:right w:val="nil"/>
            </w:tcBorders>
            <w:shd w:val="clear" w:color="auto" w:fill="FFFFFF"/>
            <w:tcMar>
              <w:left w:w="60" w:type="dxa"/>
              <w:right w:w="60" w:type="dxa"/>
            </w:tcMar>
          </w:tcPr>
          <w:p w14:paraId="4943D59B" w14:textId="77777777" w:rsidR="002A1319" w:rsidRPr="00B34D4F" w:rsidRDefault="002A1319" w:rsidP="00B34D4F">
            <w:pPr>
              <w:rPr>
                <w:sz w:val="16"/>
                <w:szCs w:val="16"/>
              </w:rPr>
            </w:pPr>
          </w:p>
        </w:tc>
        <w:tc>
          <w:tcPr>
            <w:tcW w:w="230" w:type="pct"/>
            <w:tcBorders>
              <w:top w:val="nil"/>
              <w:left w:val="single" w:sz="2" w:space="0" w:color="000000"/>
              <w:bottom w:val="single" w:sz="2" w:space="0" w:color="000000"/>
              <w:right w:val="nil"/>
            </w:tcBorders>
            <w:shd w:val="clear" w:color="auto" w:fill="FFFFFF"/>
            <w:tcMar>
              <w:left w:w="60" w:type="dxa"/>
              <w:right w:w="60" w:type="dxa"/>
            </w:tcMar>
          </w:tcPr>
          <w:p w14:paraId="4A667539" w14:textId="77777777"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tcPr>
          <w:p w14:paraId="57ABE459" w14:textId="77777777" w:rsidR="002A1319" w:rsidRPr="00B34D4F" w:rsidRDefault="002A1319" w:rsidP="00DB248E">
            <w:pPr>
              <w:rPr>
                <w:sz w:val="16"/>
                <w:szCs w:val="16"/>
              </w:rPr>
            </w:pPr>
          </w:p>
        </w:tc>
        <w:tc>
          <w:tcPr>
            <w:tcW w:w="422" w:type="pct"/>
            <w:tcBorders>
              <w:top w:val="nil"/>
              <w:left w:val="single" w:sz="2" w:space="0" w:color="000000"/>
              <w:bottom w:val="single" w:sz="2" w:space="0" w:color="000000"/>
              <w:right w:val="nil"/>
            </w:tcBorders>
            <w:shd w:val="clear" w:color="auto" w:fill="FFFFFF"/>
            <w:tcMar>
              <w:left w:w="60" w:type="dxa"/>
              <w:right w:w="60" w:type="dxa"/>
            </w:tcMar>
          </w:tcPr>
          <w:p w14:paraId="7863FF99" w14:textId="77777777" w:rsidR="002A1319" w:rsidRPr="00B34D4F" w:rsidRDefault="002A1319" w:rsidP="003E1FE2">
            <w:pPr>
              <w:rPr>
                <w:sz w:val="16"/>
                <w:szCs w:val="16"/>
              </w:rPr>
            </w:pP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51858C" w14:textId="77777777" w:rsidR="002A1319" w:rsidRPr="00B34D4F" w:rsidRDefault="002A1319" w:rsidP="003E1FE2">
            <w:pPr>
              <w:rPr>
                <w:sz w:val="16"/>
                <w:szCs w:val="16"/>
              </w:rPr>
            </w:pPr>
          </w:p>
        </w:tc>
      </w:tr>
      <w:tr w:rsidR="002A1319" w:rsidRPr="00E11762" w14:paraId="25AF4CB5"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0A7B73F7" w14:textId="35F313F1" w:rsidR="002A1319" w:rsidRPr="00B34D4F" w:rsidRDefault="002A1319" w:rsidP="00065B26">
            <w:pPr>
              <w:rPr>
                <w:sz w:val="16"/>
                <w:szCs w:val="16"/>
              </w:rPr>
            </w:pPr>
            <w:r w:rsidRPr="00B34D4F">
              <w:rPr>
                <w:sz w:val="16"/>
                <w:szCs w:val="16"/>
              </w:rPr>
              <w:t>1</w:t>
            </w:r>
          </w:p>
        </w:tc>
        <w:tc>
          <w:tcPr>
            <w:tcW w:w="759" w:type="pct"/>
            <w:tcBorders>
              <w:top w:val="nil"/>
              <w:left w:val="single" w:sz="2" w:space="0" w:color="000000"/>
              <w:bottom w:val="single" w:sz="2" w:space="0" w:color="000000"/>
              <w:right w:val="single" w:sz="2" w:space="0" w:color="000000"/>
            </w:tcBorders>
            <w:shd w:val="clear" w:color="auto" w:fill="FFFFFF"/>
          </w:tcPr>
          <w:p w14:paraId="2D801FD7" w14:textId="77777777" w:rsidR="002A1319" w:rsidRPr="00B34D4F" w:rsidRDefault="002A1319" w:rsidP="00490E17">
            <w:pPr>
              <w:rPr>
                <w:sz w:val="16"/>
                <w:szCs w:val="16"/>
              </w:rPr>
            </w:pP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3D1C8301" w14:textId="411DC0F4" w:rsidR="002A1319" w:rsidRPr="00B34D4F" w:rsidRDefault="002A1319" w:rsidP="00490E17">
            <w:pPr>
              <w:rPr>
                <w:sz w:val="16"/>
                <w:szCs w:val="16"/>
              </w:rPr>
            </w:pPr>
            <w:r w:rsidRPr="00B34D4F">
              <w:rPr>
                <w:sz w:val="16"/>
                <w:szCs w:val="16"/>
              </w:rPr>
              <w:t>metastatic</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09DA80A7" w14:textId="2B6240EE" w:rsidR="002A1319" w:rsidRPr="00B34D4F" w:rsidRDefault="002A1319" w:rsidP="001706A2">
            <w:pPr>
              <w:rPr>
                <w:sz w:val="16"/>
                <w:szCs w:val="16"/>
              </w:rPr>
            </w:pPr>
            <w:r w:rsidRPr="00B34D4F">
              <w:rPr>
                <w:sz w:val="16"/>
                <w:szCs w:val="16"/>
              </w:rPr>
              <w:t>-</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1E863E7E" w14:textId="3D34423A"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7CB48294" w14:textId="40B39692" w:rsidR="002A1319" w:rsidRPr="00B34D4F" w:rsidRDefault="002A1319" w:rsidP="00CA3E9E">
            <w:pPr>
              <w:rPr>
                <w:sz w:val="16"/>
                <w:szCs w:val="16"/>
              </w:rPr>
            </w:pPr>
            <w:r w:rsidRPr="00B34D4F">
              <w:rPr>
                <w:sz w:val="16"/>
                <w:szCs w:val="16"/>
              </w:rPr>
              <w:t>Not started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4027216" w14:textId="692CBE47" w:rsidR="002A1319" w:rsidRPr="00B34D4F" w:rsidRDefault="002A1319" w:rsidP="00B34D4F">
            <w:pPr>
              <w:rPr>
                <w:sz w:val="16"/>
                <w:szCs w:val="16"/>
              </w:rPr>
            </w:pP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5CDF7574" w14:textId="61893E6D"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03A9DD94" w14:textId="0A378FC1" w:rsidR="002A1319" w:rsidRPr="00B34D4F" w:rsidRDefault="002A1319" w:rsidP="00DB248E">
            <w:pPr>
              <w:rPr>
                <w:sz w:val="16"/>
                <w:szCs w:val="16"/>
              </w:rPr>
            </w:pPr>
            <w:r w:rsidRPr="00B34D4F">
              <w:rPr>
                <w:sz w:val="16"/>
                <w:szCs w:val="16"/>
              </w:rPr>
              <w:t>Missing</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26A6229A" w14:textId="0380BE4E" w:rsidR="002A1319" w:rsidRPr="00B34D4F" w:rsidRDefault="002A1319" w:rsidP="003E1FE2">
            <w:pPr>
              <w:rPr>
                <w:sz w:val="16"/>
                <w:szCs w:val="16"/>
              </w:rPr>
            </w:pPr>
            <w:r w:rsidRPr="00B34D4F">
              <w:rPr>
                <w:sz w:val="16"/>
                <w:szCs w:val="16"/>
              </w:rPr>
              <w:t>Death</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4E8A2B63" w14:textId="79E42CA6" w:rsidR="002A1319" w:rsidRPr="00B34D4F" w:rsidRDefault="002A1319" w:rsidP="003E1FE2">
            <w:pPr>
              <w:rPr>
                <w:sz w:val="16"/>
                <w:szCs w:val="16"/>
              </w:rPr>
            </w:pPr>
          </w:p>
        </w:tc>
      </w:tr>
      <w:tr w:rsidR="002A1319" w:rsidRPr="00E11762" w14:paraId="76F27B33"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511E8A21" w14:textId="60736F05" w:rsidR="002A1319" w:rsidRPr="00B34D4F" w:rsidRDefault="002A1319" w:rsidP="00065B26">
            <w:pPr>
              <w:rPr>
                <w:sz w:val="16"/>
                <w:szCs w:val="16"/>
              </w:rPr>
            </w:pPr>
            <w:r w:rsidRPr="00B34D4F">
              <w:rPr>
                <w:sz w:val="16"/>
                <w:szCs w:val="16"/>
              </w:rPr>
              <w:t>30</w:t>
            </w:r>
          </w:p>
        </w:tc>
        <w:tc>
          <w:tcPr>
            <w:tcW w:w="759" w:type="pct"/>
            <w:tcBorders>
              <w:top w:val="nil"/>
              <w:left w:val="single" w:sz="2" w:space="0" w:color="000000"/>
              <w:bottom w:val="single" w:sz="2" w:space="0" w:color="000000"/>
              <w:right w:val="single" w:sz="2" w:space="0" w:color="000000"/>
            </w:tcBorders>
            <w:shd w:val="clear" w:color="auto" w:fill="FFFFFF"/>
          </w:tcPr>
          <w:p w14:paraId="1C88F9FA" w14:textId="4B228318" w:rsidR="002A1319" w:rsidRPr="00B34D4F" w:rsidRDefault="00A9399A" w:rsidP="00A9399A">
            <w:pPr>
              <w:rPr>
                <w:sz w:val="16"/>
                <w:szCs w:val="16"/>
              </w:rPr>
            </w:pPr>
            <w:r w:rsidRPr="002C39CC">
              <w:rPr>
                <w:color w:val="000000"/>
                <w:sz w:val="16"/>
                <w:szCs w:val="16"/>
              </w:rPr>
              <w:t>Retro-intra</w:t>
            </w:r>
            <w:r>
              <w:rPr>
                <w:color w:val="000000"/>
                <w:sz w:val="16"/>
                <w:szCs w:val="16"/>
              </w:rPr>
              <w:t xml:space="preserve"> </w:t>
            </w:r>
            <w:r w:rsidRPr="002C39CC">
              <w:rPr>
                <w:color w:val="000000"/>
                <w:sz w:val="16"/>
                <w:szCs w:val="16"/>
              </w:rPr>
              <w:t>abdominal</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1BA5EDAE" w14:textId="275254B9"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479BEFF2" w14:textId="3A64438E" w:rsidR="002A1319" w:rsidRPr="00B34D4F" w:rsidRDefault="002A1319" w:rsidP="001706A2">
            <w:pPr>
              <w:rPr>
                <w:sz w:val="16"/>
                <w:szCs w:val="16"/>
              </w:rPr>
            </w:pPr>
            <w:r w:rsidRPr="00B34D4F">
              <w:rPr>
                <w:sz w:val="16"/>
                <w:szCs w:val="16"/>
              </w:rPr>
              <w:t>18</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4450F88C" w14:textId="33806F36"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6CBA1609" w14:textId="05E329C8"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9EC4C88" w14:textId="7DF134C9" w:rsidR="002A1319" w:rsidRPr="00B34D4F" w:rsidRDefault="002A1319" w:rsidP="00B34D4F">
            <w:pPr>
              <w:rPr>
                <w:sz w:val="16"/>
                <w:szCs w:val="16"/>
              </w:rPr>
            </w:pPr>
            <w:r w:rsidRPr="00B34D4F">
              <w:rPr>
                <w:sz w:val="16"/>
                <w:szCs w:val="16"/>
              </w:rPr>
              <w:t>33</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3940E196" w14:textId="2983004D" w:rsidR="002A1319" w:rsidRPr="00B34D4F" w:rsidRDefault="002A1319" w:rsidP="00DB248E">
            <w:pPr>
              <w:rPr>
                <w:sz w:val="16"/>
                <w:szCs w:val="16"/>
              </w:rPr>
            </w:pPr>
            <w:r w:rsidRPr="00B34D4F">
              <w:rPr>
                <w:sz w:val="16"/>
                <w:szCs w:val="16"/>
              </w:rPr>
              <w:t>678</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091B0BB7" w14:textId="21AF586D" w:rsidR="002A1319" w:rsidRPr="00B34D4F" w:rsidRDefault="002A1319" w:rsidP="00DB248E">
            <w:pPr>
              <w:rPr>
                <w:sz w:val="16"/>
                <w:szCs w:val="16"/>
              </w:rPr>
            </w:pPr>
            <w:r w:rsidRPr="00B34D4F">
              <w:rPr>
                <w:sz w:val="16"/>
                <w:szCs w:val="16"/>
              </w:rPr>
              <w:t>Partial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6D9D253F" w14:textId="5EE007E4"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40AAE3D0" w14:textId="539B9BCE" w:rsidR="002A1319" w:rsidRPr="00B34D4F" w:rsidRDefault="002A1319" w:rsidP="003E1FE2">
            <w:pPr>
              <w:rPr>
                <w:sz w:val="16"/>
                <w:szCs w:val="16"/>
              </w:rPr>
            </w:pPr>
            <w:r w:rsidRPr="00B34D4F">
              <w:rPr>
                <w:sz w:val="16"/>
                <w:szCs w:val="16"/>
              </w:rPr>
              <w:t>1304</w:t>
            </w:r>
          </w:p>
        </w:tc>
      </w:tr>
      <w:tr w:rsidR="002A1319" w:rsidRPr="00E11762" w14:paraId="569B965C"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4F6D4F29" w14:textId="13B50FD8" w:rsidR="002A1319" w:rsidRPr="00B34D4F" w:rsidRDefault="002A1319" w:rsidP="00065B26">
            <w:pPr>
              <w:rPr>
                <w:sz w:val="16"/>
                <w:szCs w:val="16"/>
              </w:rPr>
            </w:pPr>
            <w:r w:rsidRPr="00B34D4F">
              <w:rPr>
                <w:sz w:val="16"/>
                <w:szCs w:val="16"/>
              </w:rPr>
              <w:t>38</w:t>
            </w:r>
          </w:p>
        </w:tc>
        <w:tc>
          <w:tcPr>
            <w:tcW w:w="759" w:type="pct"/>
            <w:tcBorders>
              <w:top w:val="nil"/>
              <w:left w:val="single" w:sz="2" w:space="0" w:color="000000"/>
              <w:bottom w:val="single" w:sz="2" w:space="0" w:color="000000"/>
              <w:right w:val="single" w:sz="2" w:space="0" w:color="000000"/>
            </w:tcBorders>
            <w:shd w:val="clear" w:color="auto" w:fill="FFFFFF"/>
          </w:tcPr>
          <w:p w14:paraId="3EB703B8" w14:textId="77777777" w:rsidR="002A1319" w:rsidRPr="00B34D4F" w:rsidRDefault="002A1319" w:rsidP="00490E17">
            <w:pPr>
              <w:rPr>
                <w:sz w:val="16"/>
                <w:szCs w:val="16"/>
              </w:rPr>
            </w:pP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2F82A6A5" w14:textId="4DEAAB36"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423FDE1C" w14:textId="04B062CB" w:rsidR="002A1319" w:rsidRPr="00B34D4F" w:rsidRDefault="002A1319" w:rsidP="001706A2">
            <w:pPr>
              <w:rPr>
                <w:sz w:val="16"/>
                <w:szCs w:val="16"/>
              </w:rPr>
            </w:pPr>
            <w:r w:rsidRPr="00B34D4F">
              <w:rPr>
                <w:sz w:val="16"/>
                <w:szCs w:val="16"/>
              </w:rPr>
              <w:t>26</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2738ADAB" w14:textId="7DCAB014"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600D8A92" w14:textId="0BC53C3A" w:rsidR="002A1319" w:rsidRPr="00B34D4F" w:rsidRDefault="002A1319" w:rsidP="00CA3E9E">
            <w:pPr>
              <w:rPr>
                <w:sz w:val="16"/>
                <w:szCs w:val="16"/>
              </w:rPr>
            </w:pPr>
            <w:r w:rsidRPr="00B34D4F">
              <w:rPr>
                <w:sz w:val="16"/>
                <w:szCs w:val="16"/>
              </w:rPr>
              <w:t>Not started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0289E1E7" w14:textId="4C9521D7" w:rsidR="002A1319" w:rsidRPr="00B34D4F" w:rsidRDefault="002A1319" w:rsidP="00B34D4F">
            <w:pPr>
              <w:rPr>
                <w:sz w:val="16"/>
                <w:szCs w:val="16"/>
              </w:rPr>
            </w:pP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7EAC0CBE" w14:textId="61F69A95"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2971CD36" w14:textId="6F7428F9" w:rsidR="002A1319" w:rsidRPr="00B34D4F" w:rsidRDefault="002A1319" w:rsidP="00DB248E">
            <w:pPr>
              <w:rPr>
                <w:sz w:val="16"/>
                <w:szCs w:val="16"/>
              </w:rPr>
            </w:pPr>
            <w:r w:rsidRPr="00B34D4F">
              <w:rPr>
                <w:sz w:val="16"/>
                <w:szCs w:val="16"/>
              </w:rPr>
              <w:t>Missing</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0DDA68A9" w14:textId="15CC83E5" w:rsidR="002A1319" w:rsidRPr="00B34D4F" w:rsidRDefault="002A1319" w:rsidP="003E1FE2">
            <w:pPr>
              <w:rPr>
                <w:sz w:val="16"/>
                <w:szCs w:val="16"/>
              </w:rPr>
            </w:pPr>
            <w:r w:rsidRPr="00B34D4F">
              <w:rPr>
                <w:sz w:val="16"/>
                <w:szCs w:val="16"/>
              </w:rPr>
              <w:t>Death</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0EEDDF48" w14:textId="35D5975E" w:rsidR="002A1319" w:rsidRPr="00B34D4F" w:rsidRDefault="002A1319" w:rsidP="003E1FE2">
            <w:pPr>
              <w:rPr>
                <w:sz w:val="16"/>
                <w:szCs w:val="16"/>
              </w:rPr>
            </w:pPr>
          </w:p>
        </w:tc>
      </w:tr>
      <w:tr w:rsidR="002A1319" w:rsidRPr="00E11762" w14:paraId="058FD31A"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29E43305" w14:textId="0F116844" w:rsidR="002A1319" w:rsidRPr="00B34D4F" w:rsidRDefault="002A1319" w:rsidP="00065B26">
            <w:pPr>
              <w:rPr>
                <w:sz w:val="16"/>
                <w:szCs w:val="16"/>
              </w:rPr>
            </w:pPr>
            <w:r w:rsidRPr="00B34D4F">
              <w:rPr>
                <w:sz w:val="16"/>
                <w:szCs w:val="16"/>
              </w:rPr>
              <w:t>64</w:t>
            </w:r>
          </w:p>
        </w:tc>
        <w:tc>
          <w:tcPr>
            <w:tcW w:w="759" w:type="pct"/>
            <w:tcBorders>
              <w:top w:val="nil"/>
              <w:left w:val="single" w:sz="2" w:space="0" w:color="000000"/>
              <w:bottom w:val="single" w:sz="2" w:space="0" w:color="000000"/>
              <w:right w:val="single" w:sz="2" w:space="0" w:color="000000"/>
            </w:tcBorders>
            <w:shd w:val="clear" w:color="auto" w:fill="FFFFFF"/>
          </w:tcPr>
          <w:p w14:paraId="103F8854" w14:textId="2EC8F115" w:rsidR="002A1319" w:rsidRPr="00B34D4F" w:rsidRDefault="00A9399A" w:rsidP="00490E17">
            <w:pPr>
              <w:rPr>
                <w:sz w:val="16"/>
                <w:szCs w:val="16"/>
              </w:rPr>
            </w:pPr>
            <w:r w:rsidRPr="002C39CC">
              <w:rPr>
                <w:color w:val="000000"/>
                <w:sz w:val="16"/>
                <w:szCs w:val="16"/>
              </w:rPr>
              <w:t>Other</w:t>
            </w:r>
            <w:r>
              <w:rPr>
                <w:color w:val="000000"/>
                <w:sz w:val="16"/>
                <w:szCs w:val="16"/>
              </w:rPr>
              <w:t xml:space="preserve"> </w:t>
            </w:r>
            <w:r w:rsidR="00E04084">
              <w:rPr>
                <w:color w:val="000000"/>
                <w:sz w:val="16"/>
                <w:szCs w:val="16"/>
              </w:rPr>
              <w:t>(</w:t>
            </w:r>
            <w:r>
              <w:rPr>
                <w:color w:val="000000"/>
                <w:sz w:val="16"/>
                <w:szCs w:val="16"/>
              </w:rPr>
              <w:t>right breast</w:t>
            </w:r>
            <w:r w:rsidR="00E04084">
              <w:rPr>
                <w:color w:val="000000"/>
                <w:sz w:val="16"/>
                <w:szCs w:val="16"/>
              </w:rPr>
              <w:t>)</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32861A5D" w14:textId="0E16802A" w:rsidR="002A1319" w:rsidRPr="00B34D4F" w:rsidRDefault="002A1319" w:rsidP="00490E17">
            <w:pPr>
              <w:rPr>
                <w:sz w:val="16"/>
                <w:szCs w:val="16"/>
              </w:rPr>
            </w:pPr>
            <w:r w:rsidRPr="00B34D4F">
              <w:rPr>
                <w:sz w:val="16"/>
                <w:szCs w:val="16"/>
              </w:rPr>
              <w:t>metastatic</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5DAE2991" w14:textId="2107F75B" w:rsidR="002A1319" w:rsidRPr="00B34D4F" w:rsidRDefault="002A1319" w:rsidP="001706A2">
            <w:pPr>
              <w:rPr>
                <w:sz w:val="16"/>
                <w:szCs w:val="16"/>
              </w:rPr>
            </w:pPr>
            <w:r w:rsidRPr="00B34D4F">
              <w:rPr>
                <w:sz w:val="16"/>
                <w:szCs w:val="16"/>
              </w:rPr>
              <w:t>11</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7D7D79F6" w14:textId="49A92624"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5331E4DC" w14:textId="3E0558AD" w:rsidR="002A1319" w:rsidRPr="00B34D4F" w:rsidRDefault="002A1319" w:rsidP="00CA3E9E">
            <w:pPr>
              <w:rPr>
                <w:sz w:val="16"/>
                <w:szCs w:val="16"/>
              </w:rPr>
            </w:pPr>
            <w:r w:rsidRPr="00B34D4F">
              <w:rPr>
                <w:sz w:val="16"/>
                <w:szCs w:val="16"/>
              </w:rPr>
              <w:t>Ongoing</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C259C65" w14:textId="4712C309" w:rsidR="002A1319" w:rsidRPr="00B34D4F" w:rsidRDefault="002A1319" w:rsidP="00B34D4F">
            <w:pPr>
              <w:rPr>
                <w:sz w:val="16"/>
                <w:szCs w:val="16"/>
              </w:rPr>
            </w:pPr>
            <w:r w:rsidRPr="00B34D4F">
              <w:rPr>
                <w:sz w:val="16"/>
                <w:szCs w:val="16"/>
              </w:rPr>
              <w:t>49</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09EDABAE" w14:textId="71179056"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7DDFF5A5" w14:textId="35D11905" w:rsidR="002A1319" w:rsidRPr="00B34D4F" w:rsidRDefault="002A1319" w:rsidP="00DB248E">
            <w:pPr>
              <w:rPr>
                <w:sz w:val="16"/>
                <w:szCs w:val="16"/>
              </w:rPr>
            </w:pPr>
            <w:r w:rsidRPr="00B34D4F">
              <w:rPr>
                <w:sz w:val="16"/>
                <w:szCs w:val="16"/>
              </w:rPr>
              <w:t>Complete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13DFA711" w14:textId="31B9AC1C"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0618EEDA" w14:textId="3B0C791A" w:rsidR="002A1319" w:rsidRPr="00B34D4F" w:rsidRDefault="002A1319" w:rsidP="003E1FE2">
            <w:pPr>
              <w:rPr>
                <w:sz w:val="16"/>
                <w:szCs w:val="16"/>
              </w:rPr>
            </w:pPr>
            <w:r w:rsidRPr="00B34D4F">
              <w:rPr>
                <w:sz w:val="16"/>
                <w:szCs w:val="16"/>
              </w:rPr>
              <w:t>1324</w:t>
            </w:r>
          </w:p>
        </w:tc>
      </w:tr>
      <w:tr w:rsidR="002A1319" w:rsidRPr="00E11762" w14:paraId="6740826C"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79A23EDE" w14:textId="688EA67F" w:rsidR="002A1319" w:rsidRPr="00B34D4F" w:rsidRDefault="002A1319" w:rsidP="00065B26">
            <w:pPr>
              <w:rPr>
                <w:sz w:val="16"/>
                <w:szCs w:val="16"/>
              </w:rPr>
            </w:pPr>
            <w:r w:rsidRPr="00B34D4F">
              <w:rPr>
                <w:sz w:val="16"/>
                <w:szCs w:val="16"/>
              </w:rPr>
              <w:t>116</w:t>
            </w:r>
          </w:p>
        </w:tc>
        <w:tc>
          <w:tcPr>
            <w:tcW w:w="759" w:type="pct"/>
            <w:tcBorders>
              <w:top w:val="nil"/>
              <w:left w:val="single" w:sz="2" w:space="0" w:color="000000"/>
              <w:bottom w:val="single" w:sz="2" w:space="0" w:color="000000"/>
              <w:right w:val="single" w:sz="2" w:space="0" w:color="000000"/>
            </w:tcBorders>
            <w:shd w:val="clear" w:color="auto" w:fill="FFFFFF"/>
          </w:tcPr>
          <w:p w14:paraId="55B8CC7D" w14:textId="5DCF5414" w:rsidR="002A1319" w:rsidRPr="00B34D4F" w:rsidRDefault="00A9399A" w:rsidP="00490E17">
            <w:pPr>
              <w:rPr>
                <w:sz w:val="16"/>
                <w:szCs w:val="16"/>
              </w:rPr>
            </w:pPr>
            <w:r w:rsidRPr="002C39CC">
              <w:rPr>
                <w:color w:val="000000"/>
                <w:sz w:val="16"/>
                <w:szCs w:val="16"/>
              </w:rPr>
              <w:t>Missing</w:t>
            </w:r>
            <w:r w:rsidRPr="00A9399A">
              <w:rPr>
                <w:color w:val="000000"/>
                <w:sz w:val="16"/>
                <w:szCs w:val="16"/>
                <w:vertAlign w:val="superscript"/>
              </w:rPr>
              <w:t>‡</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6052D437" w14:textId="705DB36A"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64A42EB3" w14:textId="75D4E34E" w:rsidR="002A1319" w:rsidRPr="00B34D4F" w:rsidRDefault="002A1319" w:rsidP="001706A2">
            <w:pPr>
              <w:rPr>
                <w:sz w:val="16"/>
                <w:szCs w:val="16"/>
              </w:rPr>
            </w:pPr>
            <w:r w:rsidRPr="00B34D4F">
              <w:rPr>
                <w:sz w:val="16"/>
                <w:szCs w:val="16"/>
              </w:rPr>
              <w:t>42</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09A07860" w14:textId="032123B9"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0852C9CD" w14:textId="64E71330"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6B148421" w14:textId="3340EDF5" w:rsidR="002A1319" w:rsidRPr="00B34D4F" w:rsidRDefault="002A1319" w:rsidP="00B34D4F">
            <w:pPr>
              <w:rPr>
                <w:sz w:val="16"/>
                <w:szCs w:val="16"/>
              </w:rPr>
            </w:pPr>
            <w:r w:rsidRPr="00B34D4F">
              <w:rPr>
                <w:sz w:val="16"/>
                <w:szCs w:val="16"/>
              </w:rPr>
              <w:t>34</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0D1DCAD8" w14:textId="5CF5ACD7" w:rsidR="002A1319" w:rsidRPr="00B34D4F" w:rsidRDefault="002A1319" w:rsidP="00DB248E">
            <w:pPr>
              <w:rPr>
                <w:sz w:val="16"/>
                <w:szCs w:val="16"/>
              </w:rPr>
            </w:pPr>
            <w:r w:rsidRPr="00B34D4F">
              <w:rPr>
                <w:sz w:val="16"/>
                <w:szCs w:val="16"/>
              </w:rPr>
              <w:t>700</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4AFB86D3" w14:textId="57F48FF7" w:rsidR="002A1319" w:rsidRPr="00B34D4F" w:rsidRDefault="002A1319" w:rsidP="00DB248E">
            <w:pPr>
              <w:rPr>
                <w:sz w:val="16"/>
                <w:szCs w:val="16"/>
              </w:rPr>
            </w:pPr>
            <w:r w:rsidRPr="00B34D4F">
              <w:rPr>
                <w:sz w:val="16"/>
                <w:szCs w:val="16"/>
              </w:rPr>
              <w:t>Partial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2E703BFF" w14:textId="5C43EB18"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22BA7C55" w14:textId="349ED4EE" w:rsidR="002A1319" w:rsidRPr="00B34D4F" w:rsidRDefault="002A1319" w:rsidP="003E1FE2">
            <w:pPr>
              <w:rPr>
                <w:sz w:val="16"/>
                <w:szCs w:val="16"/>
              </w:rPr>
            </w:pPr>
            <w:r w:rsidRPr="00B34D4F">
              <w:rPr>
                <w:sz w:val="16"/>
                <w:szCs w:val="16"/>
              </w:rPr>
              <w:t>1106</w:t>
            </w:r>
          </w:p>
        </w:tc>
      </w:tr>
      <w:tr w:rsidR="002A1319" w:rsidRPr="00E11762" w14:paraId="42A9F51E"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30D85642" w14:textId="4C5B86CD" w:rsidR="002A1319" w:rsidRPr="00B34D4F" w:rsidRDefault="002A1319" w:rsidP="00065B26">
            <w:pPr>
              <w:rPr>
                <w:sz w:val="16"/>
                <w:szCs w:val="16"/>
              </w:rPr>
            </w:pPr>
            <w:r w:rsidRPr="00B34D4F">
              <w:rPr>
                <w:sz w:val="16"/>
                <w:szCs w:val="16"/>
              </w:rPr>
              <w:t>132</w:t>
            </w:r>
          </w:p>
        </w:tc>
        <w:tc>
          <w:tcPr>
            <w:tcW w:w="759" w:type="pct"/>
            <w:tcBorders>
              <w:top w:val="nil"/>
              <w:left w:val="single" w:sz="2" w:space="0" w:color="000000"/>
              <w:bottom w:val="single" w:sz="2" w:space="0" w:color="000000"/>
              <w:right w:val="single" w:sz="2" w:space="0" w:color="000000"/>
            </w:tcBorders>
            <w:shd w:val="clear" w:color="auto" w:fill="FFFFFF"/>
          </w:tcPr>
          <w:p w14:paraId="1616F94A" w14:textId="6C11C397" w:rsidR="002A1319" w:rsidRPr="00B34D4F" w:rsidRDefault="009B2047" w:rsidP="00490E17">
            <w:pPr>
              <w:rPr>
                <w:sz w:val="16"/>
                <w:szCs w:val="16"/>
              </w:rPr>
            </w:pPr>
            <w:r w:rsidRPr="002C39CC">
              <w:rPr>
                <w:color w:val="000000"/>
                <w:sz w:val="16"/>
                <w:szCs w:val="16"/>
              </w:rPr>
              <w:t>Upper extremity</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7671E077" w14:textId="2D89AF4D"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09BD21CE" w14:textId="72462484" w:rsidR="002A1319" w:rsidRPr="00B34D4F" w:rsidRDefault="002A1319" w:rsidP="001706A2">
            <w:pPr>
              <w:rPr>
                <w:sz w:val="16"/>
                <w:szCs w:val="16"/>
              </w:rPr>
            </w:pPr>
            <w:r w:rsidRPr="00B34D4F">
              <w:rPr>
                <w:sz w:val="16"/>
                <w:szCs w:val="16"/>
              </w:rPr>
              <w:t>27</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37C696F5" w14:textId="07F3C921"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25475389" w14:textId="67C8F7D7"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C5C7CD8" w14:textId="7F769EC4" w:rsidR="002A1319" w:rsidRPr="00B34D4F" w:rsidRDefault="002A1319" w:rsidP="00B34D4F">
            <w:pPr>
              <w:rPr>
                <w:sz w:val="16"/>
                <w:szCs w:val="16"/>
              </w:rPr>
            </w:pPr>
            <w:r w:rsidRPr="00B34D4F">
              <w:rPr>
                <w:sz w:val="16"/>
                <w:szCs w:val="16"/>
              </w:rPr>
              <w:t>6</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432E4EA6" w14:textId="04B5C3D6" w:rsidR="002A1319" w:rsidRPr="00B34D4F" w:rsidRDefault="002A1319" w:rsidP="00DB248E">
            <w:pPr>
              <w:rPr>
                <w:sz w:val="16"/>
                <w:szCs w:val="16"/>
              </w:rPr>
            </w:pPr>
            <w:r w:rsidRPr="00B34D4F">
              <w:rPr>
                <w:sz w:val="16"/>
                <w:szCs w:val="16"/>
              </w:rPr>
              <w:t>126</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628C0A86" w14:textId="4C269B52" w:rsidR="002A1319" w:rsidRPr="00B34D4F" w:rsidRDefault="002A1319" w:rsidP="00DB248E">
            <w:pPr>
              <w:rPr>
                <w:sz w:val="16"/>
                <w:szCs w:val="16"/>
              </w:rPr>
            </w:pPr>
            <w:r w:rsidRPr="00B34D4F">
              <w:rPr>
                <w:sz w:val="16"/>
                <w:szCs w:val="16"/>
              </w:rPr>
              <w:t>Stable disease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317C96D0" w14:textId="62CE0948" w:rsidR="002A1319" w:rsidRPr="00B34D4F" w:rsidRDefault="002A1319" w:rsidP="003E1FE2">
            <w:pPr>
              <w:rPr>
                <w:sz w:val="16"/>
                <w:szCs w:val="16"/>
              </w:rPr>
            </w:pPr>
            <w:r w:rsidRPr="00B34D4F">
              <w:rPr>
                <w:sz w:val="16"/>
                <w:szCs w:val="16"/>
              </w:rPr>
              <w:t>Lost to follow-up</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13B28521" w14:textId="1BF59628" w:rsidR="002A1319" w:rsidRPr="00B34D4F" w:rsidRDefault="002A1319" w:rsidP="003E1FE2">
            <w:pPr>
              <w:rPr>
                <w:sz w:val="16"/>
                <w:szCs w:val="16"/>
              </w:rPr>
            </w:pPr>
            <w:r w:rsidRPr="00B34D4F">
              <w:rPr>
                <w:sz w:val="16"/>
                <w:szCs w:val="16"/>
              </w:rPr>
              <w:t>302</w:t>
            </w:r>
          </w:p>
        </w:tc>
      </w:tr>
      <w:tr w:rsidR="002A1319" w:rsidRPr="00E11762" w14:paraId="15FA7C0B"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0D2D473C" w14:textId="50DAFBC9" w:rsidR="002A1319" w:rsidRPr="00B34D4F" w:rsidRDefault="002A1319" w:rsidP="00065B26">
            <w:pPr>
              <w:rPr>
                <w:sz w:val="16"/>
                <w:szCs w:val="16"/>
              </w:rPr>
            </w:pPr>
            <w:r w:rsidRPr="00B34D4F">
              <w:rPr>
                <w:sz w:val="16"/>
                <w:szCs w:val="16"/>
              </w:rPr>
              <w:t>137</w:t>
            </w:r>
            <w:r>
              <w:rPr>
                <w:sz w:val="16"/>
                <w:szCs w:val="16"/>
              </w:rPr>
              <w:t>*</w:t>
            </w:r>
          </w:p>
        </w:tc>
        <w:tc>
          <w:tcPr>
            <w:tcW w:w="759" w:type="pct"/>
            <w:tcBorders>
              <w:top w:val="nil"/>
              <w:left w:val="single" w:sz="2" w:space="0" w:color="000000"/>
              <w:bottom w:val="single" w:sz="2" w:space="0" w:color="000000"/>
              <w:right w:val="single" w:sz="2" w:space="0" w:color="000000"/>
            </w:tcBorders>
            <w:shd w:val="clear" w:color="auto" w:fill="FFFFFF"/>
          </w:tcPr>
          <w:p w14:paraId="0E578C95" w14:textId="6722AEAA" w:rsidR="002A1319" w:rsidRPr="00B34D4F" w:rsidRDefault="009B2047" w:rsidP="00490E17">
            <w:pPr>
              <w:rPr>
                <w:sz w:val="16"/>
                <w:szCs w:val="16"/>
              </w:rPr>
            </w:pPr>
            <w:r w:rsidRPr="002C39CC">
              <w:rPr>
                <w:color w:val="000000"/>
                <w:sz w:val="16"/>
                <w:szCs w:val="16"/>
              </w:rPr>
              <w:t>Thorax</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1D127947" w14:textId="0A6636F8" w:rsidR="002A1319" w:rsidRPr="00B34D4F" w:rsidRDefault="002A1319" w:rsidP="00490E17">
            <w:pPr>
              <w:rPr>
                <w:sz w:val="16"/>
                <w:szCs w:val="16"/>
              </w:rPr>
            </w:pPr>
            <w:r w:rsidRPr="00B34D4F">
              <w:rPr>
                <w:sz w:val="16"/>
                <w:szCs w:val="16"/>
              </w:rPr>
              <w:t>metastatic</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68C36046" w14:textId="3B407924" w:rsidR="002A1319" w:rsidRPr="00B34D4F" w:rsidRDefault="002A1319" w:rsidP="001706A2">
            <w:pPr>
              <w:rPr>
                <w:sz w:val="16"/>
                <w:szCs w:val="16"/>
              </w:rPr>
            </w:pPr>
            <w:r w:rsidRPr="00B34D4F">
              <w:rPr>
                <w:sz w:val="16"/>
                <w:szCs w:val="16"/>
              </w:rPr>
              <w:t>21</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2A514236" w14:textId="337432DF" w:rsidR="002A1319" w:rsidRPr="00B34D4F" w:rsidRDefault="002A1319" w:rsidP="001706A2">
            <w:pPr>
              <w:rPr>
                <w:sz w:val="16"/>
                <w:szCs w:val="16"/>
              </w:rPr>
            </w:pPr>
            <w:r w:rsidRPr="00B34D4F">
              <w:rPr>
                <w:sz w:val="16"/>
                <w:szCs w:val="16"/>
              </w:rPr>
              <w:t>0</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7F0A4715" w14:textId="396998B2"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4855F58D" w14:textId="4086745A" w:rsidR="002A1319" w:rsidRPr="00B34D4F" w:rsidRDefault="002A1319" w:rsidP="00B34D4F">
            <w:pPr>
              <w:rPr>
                <w:sz w:val="16"/>
                <w:szCs w:val="16"/>
              </w:rPr>
            </w:pPr>
            <w:r w:rsidRPr="00B34D4F">
              <w:rPr>
                <w:sz w:val="16"/>
                <w:szCs w:val="16"/>
              </w:rPr>
              <w:t>8</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24BA050E" w14:textId="012A7764" w:rsidR="002A1319" w:rsidRPr="00B34D4F" w:rsidRDefault="002A1319" w:rsidP="00DB248E">
            <w:pPr>
              <w:rPr>
                <w:sz w:val="16"/>
                <w:szCs w:val="16"/>
              </w:rPr>
            </w:pPr>
            <w:r w:rsidRPr="00B34D4F">
              <w:rPr>
                <w:sz w:val="16"/>
                <w:szCs w:val="16"/>
              </w:rPr>
              <w:t>168</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0F60B3F8" w14:textId="5532F0DF" w:rsidR="002A1319" w:rsidRPr="00B34D4F" w:rsidRDefault="002A1319" w:rsidP="00DB248E">
            <w:pPr>
              <w:rPr>
                <w:sz w:val="16"/>
                <w:szCs w:val="16"/>
              </w:rPr>
            </w:pPr>
            <w:r w:rsidRPr="00B34D4F">
              <w:rPr>
                <w:sz w:val="16"/>
                <w:szCs w:val="16"/>
              </w:rPr>
              <w:t>Stable disease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0BE4E852" w14:textId="1E4F8809"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7B1403E" w14:textId="6C228B39" w:rsidR="002A1319" w:rsidRPr="00B34D4F" w:rsidRDefault="002A1319" w:rsidP="003E1FE2">
            <w:pPr>
              <w:rPr>
                <w:sz w:val="16"/>
                <w:szCs w:val="16"/>
              </w:rPr>
            </w:pPr>
            <w:r w:rsidRPr="00B34D4F">
              <w:rPr>
                <w:sz w:val="16"/>
                <w:szCs w:val="16"/>
              </w:rPr>
              <w:t>414</w:t>
            </w:r>
          </w:p>
        </w:tc>
      </w:tr>
      <w:tr w:rsidR="002A1319" w:rsidRPr="00E11762" w14:paraId="27690507"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45756C97" w14:textId="0443EE44" w:rsidR="002A1319" w:rsidRPr="00B34D4F" w:rsidRDefault="002A1319" w:rsidP="00065B26">
            <w:pPr>
              <w:rPr>
                <w:sz w:val="16"/>
                <w:szCs w:val="16"/>
              </w:rPr>
            </w:pPr>
            <w:r w:rsidRPr="00B34D4F">
              <w:rPr>
                <w:sz w:val="16"/>
                <w:szCs w:val="16"/>
              </w:rPr>
              <w:t>157</w:t>
            </w:r>
          </w:p>
        </w:tc>
        <w:tc>
          <w:tcPr>
            <w:tcW w:w="759" w:type="pct"/>
            <w:tcBorders>
              <w:top w:val="nil"/>
              <w:left w:val="single" w:sz="2" w:space="0" w:color="000000"/>
              <w:bottom w:val="single" w:sz="2" w:space="0" w:color="000000"/>
              <w:right w:val="single" w:sz="2" w:space="0" w:color="000000"/>
            </w:tcBorders>
            <w:shd w:val="clear" w:color="auto" w:fill="FFFFFF"/>
          </w:tcPr>
          <w:p w14:paraId="031D41B1" w14:textId="20D653E9" w:rsidR="002A1319" w:rsidRPr="00B34D4F" w:rsidRDefault="009B2047" w:rsidP="00490E17">
            <w:pPr>
              <w:rPr>
                <w:sz w:val="16"/>
                <w:szCs w:val="16"/>
              </w:rPr>
            </w:pPr>
            <w:r w:rsidRPr="002C39CC">
              <w:rPr>
                <w:color w:val="000000"/>
                <w:sz w:val="16"/>
                <w:szCs w:val="16"/>
              </w:rPr>
              <w:t>Missing</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44D3B858" w14:textId="4FB8E45A"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0953D97F" w14:textId="68EF77E6" w:rsidR="002A1319" w:rsidRPr="00B34D4F" w:rsidRDefault="002A1319" w:rsidP="001706A2">
            <w:pPr>
              <w:rPr>
                <w:sz w:val="16"/>
                <w:szCs w:val="16"/>
              </w:rPr>
            </w:pPr>
            <w:r w:rsidRPr="00B34D4F">
              <w:rPr>
                <w:sz w:val="16"/>
                <w:szCs w:val="16"/>
              </w:rPr>
              <w:t>0</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70CB8239" w14:textId="45D7AE1D"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70C09649" w14:textId="332855A4"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27524F7B" w14:textId="5875DCE4" w:rsidR="002A1319" w:rsidRPr="00B34D4F" w:rsidRDefault="002A1319" w:rsidP="00B34D4F">
            <w:pPr>
              <w:rPr>
                <w:sz w:val="16"/>
                <w:szCs w:val="16"/>
              </w:rPr>
            </w:pPr>
            <w:r w:rsidRPr="00B34D4F">
              <w:rPr>
                <w:sz w:val="16"/>
                <w:szCs w:val="16"/>
              </w:rPr>
              <w:t>5</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1BBFD6F6" w14:textId="3CA80413" w:rsidR="002A1319" w:rsidRPr="00B34D4F" w:rsidRDefault="002A1319" w:rsidP="00DB248E">
            <w:pPr>
              <w:rPr>
                <w:sz w:val="16"/>
                <w:szCs w:val="16"/>
              </w:rPr>
            </w:pPr>
            <w:r w:rsidRPr="00B34D4F">
              <w:rPr>
                <w:sz w:val="16"/>
                <w:szCs w:val="16"/>
              </w:rPr>
              <w:t>104</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29A65477" w14:textId="14B1204D" w:rsidR="002A1319" w:rsidRPr="00B34D4F" w:rsidRDefault="002A1319" w:rsidP="00DB248E">
            <w:pPr>
              <w:rPr>
                <w:sz w:val="16"/>
                <w:szCs w:val="16"/>
              </w:rPr>
            </w:pPr>
            <w:r w:rsidRPr="00B34D4F">
              <w:rPr>
                <w:sz w:val="16"/>
                <w:szCs w:val="16"/>
              </w:rPr>
              <w:t>Partial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6D031C70" w14:textId="6A30E3D1" w:rsidR="002A1319" w:rsidRPr="00B34D4F" w:rsidRDefault="002A1319" w:rsidP="003E1FE2">
            <w:pPr>
              <w:rPr>
                <w:sz w:val="16"/>
                <w:szCs w:val="16"/>
              </w:rPr>
            </w:pPr>
            <w:r w:rsidRPr="00B34D4F">
              <w:rPr>
                <w:sz w:val="16"/>
                <w:szCs w:val="16"/>
              </w:rPr>
              <w:t>Death</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2B66F245" w14:textId="70A0AB74" w:rsidR="002A1319" w:rsidRPr="00B34D4F" w:rsidRDefault="002A1319" w:rsidP="003E1FE2">
            <w:pPr>
              <w:rPr>
                <w:sz w:val="16"/>
                <w:szCs w:val="16"/>
              </w:rPr>
            </w:pPr>
            <w:r w:rsidRPr="00B34D4F">
              <w:rPr>
                <w:sz w:val="16"/>
                <w:szCs w:val="16"/>
              </w:rPr>
              <w:t>273</w:t>
            </w:r>
          </w:p>
        </w:tc>
      </w:tr>
      <w:tr w:rsidR="002A1319" w:rsidRPr="00E11762" w14:paraId="5BC99437"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02F2ADB8" w14:textId="5EDE7BDF" w:rsidR="002A1319" w:rsidRPr="00B34D4F" w:rsidRDefault="002A1319" w:rsidP="00065B26">
            <w:pPr>
              <w:rPr>
                <w:sz w:val="16"/>
                <w:szCs w:val="16"/>
              </w:rPr>
            </w:pPr>
            <w:r w:rsidRPr="00B34D4F">
              <w:rPr>
                <w:sz w:val="16"/>
                <w:szCs w:val="16"/>
              </w:rPr>
              <w:t>180</w:t>
            </w:r>
          </w:p>
        </w:tc>
        <w:tc>
          <w:tcPr>
            <w:tcW w:w="759" w:type="pct"/>
            <w:tcBorders>
              <w:top w:val="nil"/>
              <w:left w:val="single" w:sz="2" w:space="0" w:color="000000"/>
              <w:bottom w:val="single" w:sz="2" w:space="0" w:color="000000"/>
              <w:right w:val="single" w:sz="2" w:space="0" w:color="000000"/>
            </w:tcBorders>
            <w:shd w:val="clear" w:color="auto" w:fill="FFFFFF"/>
          </w:tcPr>
          <w:p w14:paraId="5456E7A8" w14:textId="77777777" w:rsidR="002A1319" w:rsidRPr="00B34D4F" w:rsidRDefault="002A1319" w:rsidP="00490E17">
            <w:pPr>
              <w:rPr>
                <w:sz w:val="16"/>
                <w:szCs w:val="16"/>
              </w:rPr>
            </w:pP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32FF2CF5" w14:textId="146DD37C"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026C86EE" w14:textId="5E9FA0B0" w:rsidR="002A1319" w:rsidRPr="00B34D4F" w:rsidRDefault="002A1319" w:rsidP="001706A2">
            <w:pPr>
              <w:rPr>
                <w:sz w:val="16"/>
                <w:szCs w:val="16"/>
              </w:rPr>
            </w:pPr>
            <w:r w:rsidRPr="00B34D4F">
              <w:rPr>
                <w:sz w:val="16"/>
                <w:szCs w:val="16"/>
              </w:rPr>
              <w:t>27</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18810D5D" w14:textId="2CE4774D"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20410F3D" w14:textId="30D2A983" w:rsidR="002A1319" w:rsidRPr="00B34D4F" w:rsidRDefault="002A1319" w:rsidP="00CA3E9E">
            <w:pPr>
              <w:rPr>
                <w:sz w:val="16"/>
                <w:szCs w:val="16"/>
              </w:rPr>
            </w:pPr>
            <w:r w:rsidRPr="00B34D4F">
              <w:rPr>
                <w:sz w:val="16"/>
                <w:szCs w:val="16"/>
              </w:rPr>
              <w:t>Not started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7AF2636F" w14:textId="549EEA78" w:rsidR="002A1319" w:rsidRPr="00B34D4F" w:rsidRDefault="002A1319" w:rsidP="00B34D4F">
            <w:pPr>
              <w:rPr>
                <w:sz w:val="16"/>
                <w:szCs w:val="16"/>
              </w:rPr>
            </w:pP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3FDD9615" w14:textId="138AF327"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32D367BD" w14:textId="033EE462" w:rsidR="002A1319" w:rsidRPr="00B34D4F" w:rsidRDefault="002A1319" w:rsidP="00DB248E">
            <w:pPr>
              <w:rPr>
                <w:sz w:val="16"/>
                <w:szCs w:val="16"/>
              </w:rPr>
            </w:pPr>
            <w:r w:rsidRPr="00B34D4F">
              <w:rPr>
                <w:sz w:val="16"/>
                <w:szCs w:val="16"/>
              </w:rPr>
              <w:t>Missing</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733F9BC4" w14:textId="1ECC228D"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A47B3CC" w14:textId="717848BC" w:rsidR="002A1319" w:rsidRPr="00B34D4F" w:rsidRDefault="002A1319" w:rsidP="003E1FE2">
            <w:pPr>
              <w:rPr>
                <w:sz w:val="16"/>
                <w:szCs w:val="16"/>
              </w:rPr>
            </w:pPr>
          </w:p>
        </w:tc>
      </w:tr>
      <w:tr w:rsidR="002A1319" w:rsidRPr="00E11762" w14:paraId="0576A475"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5F47EC87" w14:textId="18562F61" w:rsidR="002A1319" w:rsidRPr="00B34D4F" w:rsidRDefault="002A1319" w:rsidP="00065B26">
            <w:pPr>
              <w:rPr>
                <w:sz w:val="16"/>
                <w:szCs w:val="16"/>
              </w:rPr>
            </w:pPr>
            <w:r w:rsidRPr="00B34D4F">
              <w:rPr>
                <w:sz w:val="16"/>
                <w:szCs w:val="16"/>
              </w:rPr>
              <w:t>182</w:t>
            </w:r>
          </w:p>
        </w:tc>
        <w:tc>
          <w:tcPr>
            <w:tcW w:w="759" w:type="pct"/>
            <w:tcBorders>
              <w:top w:val="nil"/>
              <w:left w:val="single" w:sz="2" w:space="0" w:color="000000"/>
              <w:bottom w:val="single" w:sz="2" w:space="0" w:color="000000"/>
              <w:right w:val="single" w:sz="2" w:space="0" w:color="000000"/>
            </w:tcBorders>
            <w:shd w:val="clear" w:color="auto" w:fill="FFFFFF"/>
          </w:tcPr>
          <w:p w14:paraId="587794DC" w14:textId="77777777" w:rsidR="002A1319" w:rsidRPr="00B34D4F" w:rsidRDefault="002A1319" w:rsidP="00490E17">
            <w:pPr>
              <w:rPr>
                <w:sz w:val="16"/>
                <w:szCs w:val="16"/>
              </w:rPr>
            </w:pP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6549DC1F" w14:textId="2501FDF0"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5D8E6C5F" w14:textId="4C728FBB" w:rsidR="002A1319" w:rsidRPr="00B34D4F" w:rsidRDefault="002A1319" w:rsidP="001706A2">
            <w:pPr>
              <w:rPr>
                <w:sz w:val="16"/>
                <w:szCs w:val="16"/>
              </w:rPr>
            </w:pPr>
            <w:r w:rsidRPr="00B34D4F">
              <w:rPr>
                <w:sz w:val="16"/>
                <w:szCs w:val="16"/>
              </w:rPr>
              <w:t>23</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3BE073EB" w14:textId="6200CB5A"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2420F68F" w14:textId="7F5AB646" w:rsidR="002A1319" w:rsidRPr="00B34D4F" w:rsidRDefault="002A1319" w:rsidP="00CA3E9E">
            <w:pPr>
              <w:rPr>
                <w:sz w:val="16"/>
                <w:szCs w:val="16"/>
              </w:rPr>
            </w:pPr>
            <w:r w:rsidRPr="00B34D4F">
              <w:rPr>
                <w:sz w:val="16"/>
                <w:szCs w:val="16"/>
              </w:rPr>
              <w:t>Not started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1F9F8233" w14:textId="079EDFCC" w:rsidR="002A1319" w:rsidRPr="00B34D4F" w:rsidRDefault="002A1319" w:rsidP="00B34D4F">
            <w:pPr>
              <w:rPr>
                <w:sz w:val="16"/>
                <w:szCs w:val="16"/>
              </w:rPr>
            </w:pP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4552A57C" w14:textId="5C2B63C2"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0EA3606A" w14:textId="1F8B0565" w:rsidR="002A1319" w:rsidRPr="00B34D4F" w:rsidRDefault="002A1319" w:rsidP="00DB248E">
            <w:pPr>
              <w:rPr>
                <w:sz w:val="16"/>
                <w:szCs w:val="16"/>
              </w:rPr>
            </w:pPr>
            <w:r w:rsidRPr="00B34D4F">
              <w:rPr>
                <w:sz w:val="16"/>
                <w:szCs w:val="16"/>
              </w:rPr>
              <w:t>Missing</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2CB6783C" w14:textId="335AC2D1"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F2F5256" w14:textId="5194E4BA" w:rsidR="002A1319" w:rsidRPr="00B34D4F" w:rsidRDefault="002A1319" w:rsidP="003E1FE2">
            <w:pPr>
              <w:rPr>
                <w:sz w:val="16"/>
                <w:szCs w:val="16"/>
              </w:rPr>
            </w:pPr>
          </w:p>
        </w:tc>
      </w:tr>
      <w:tr w:rsidR="002A1319" w:rsidRPr="00E11762" w14:paraId="4CD67E10"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338FCFAE" w14:textId="7BFA2216" w:rsidR="002A1319" w:rsidRPr="00B34D4F" w:rsidRDefault="002A1319" w:rsidP="00065B26">
            <w:pPr>
              <w:rPr>
                <w:sz w:val="16"/>
                <w:szCs w:val="16"/>
              </w:rPr>
            </w:pPr>
            <w:r w:rsidRPr="00B34D4F">
              <w:rPr>
                <w:sz w:val="16"/>
                <w:szCs w:val="16"/>
              </w:rPr>
              <w:t>186</w:t>
            </w:r>
            <w:r>
              <w:rPr>
                <w:sz w:val="16"/>
                <w:szCs w:val="16"/>
              </w:rPr>
              <w:t>*</w:t>
            </w:r>
          </w:p>
        </w:tc>
        <w:tc>
          <w:tcPr>
            <w:tcW w:w="759" w:type="pct"/>
            <w:tcBorders>
              <w:top w:val="nil"/>
              <w:left w:val="single" w:sz="2" w:space="0" w:color="000000"/>
              <w:bottom w:val="single" w:sz="2" w:space="0" w:color="000000"/>
              <w:right w:val="single" w:sz="2" w:space="0" w:color="000000"/>
            </w:tcBorders>
            <w:shd w:val="clear" w:color="auto" w:fill="FFFFFF"/>
          </w:tcPr>
          <w:p w14:paraId="75F89D99" w14:textId="75CAC8FB" w:rsidR="002A1319" w:rsidRPr="00B34D4F" w:rsidRDefault="009B2047" w:rsidP="00490E17">
            <w:pPr>
              <w:rPr>
                <w:sz w:val="16"/>
                <w:szCs w:val="16"/>
              </w:rPr>
            </w:pPr>
            <w:r w:rsidRPr="002C39CC">
              <w:rPr>
                <w:color w:val="000000"/>
                <w:sz w:val="16"/>
                <w:szCs w:val="16"/>
              </w:rPr>
              <w:t>Thorax</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2F1F2260" w14:textId="7E96B05B" w:rsidR="002A1319" w:rsidRPr="00B34D4F" w:rsidRDefault="002A1319" w:rsidP="00490E17">
            <w:pPr>
              <w:rPr>
                <w:sz w:val="16"/>
                <w:szCs w:val="16"/>
              </w:rPr>
            </w:pPr>
            <w:r w:rsidRPr="00B34D4F">
              <w:rPr>
                <w:sz w:val="16"/>
                <w:szCs w:val="16"/>
              </w:rPr>
              <w:t>metastatic</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58768062" w14:textId="36FCB243" w:rsidR="002A1319" w:rsidRPr="00B34D4F" w:rsidRDefault="002A1319" w:rsidP="001706A2">
            <w:pPr>
              <w:rPr>
                <w:sz w:val="16"/>
                <w:szCs w:val="16"/>
              </w:rPr>
            </w:pPr>
            <w:r w:rsidRPr="00B34D4F">
              <w:rPr>
                <w:sz w:val="16"/>
                <w:szCs w:val="16"/>
              </w:rPr>
              <w:t>15</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552822B1" w14:textId="174F84F7" w:rsidR="002A1319" w:rsidRPr="00B34D4F" w:rsidRDefault="002A1319" w:rsidP="001706A2">
            <w:pPr>
              <w:rPr>
                <w:sz w:val="16"/>
                <w:szCs w:val="16"/>
              </w:rPr>
            </w:pPr>
            <w:r w:rsidRPr="00B34D4F">
              <w:rPr>
                <w:sz w:val="16"/>
                <w:szCs w:val="16"/>
              </w:rPr>
              <w:t>0</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2C3CC8C0" w14:textId="110AF41B" w:rsidR="002A1319" w:rsidRPr="00B34D4F" w:rsidRDefault="002A1319" w:rsidP="00CA3E9E">
            <w:pPr>
              <w:rPr>
                <w:sz w:val="16"/>
                <w:szCs w:val="16"/>
              </w:rPr>
            </w:pPr>
            <w:r w:rsidRPr="00B34D4F">
              <w:rPr>
                <w:sz w:val="16"/>
                <w:szCs w:val="16"/>
              </w:rPr>
              <w:t>Stopped</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2EE474A" w14:textId="340E698F" w:rsidR="002A1319" w:rsidRPr="00B34D4F" w:rsidRDefault="002A1319" w:rsidP="00B34D4F">
            <w:pPr>
              <w:rPr>
                <w:sz w:val="16"/>
                <w:szCs w:val="16"/>
              </w:rPr>
            </w:pPr>
            <w:r w:rsidRPr="00B34D4F">
              <w:rPr>
                <w:sz w:val="16"/>
                <w:szCs w:val="16"/>
              </w:rPr>
              <w:t>5</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7A31BE0B" w14:textId="27F469DE" w:rsidR="002A1319" w:rsidRPr="00B34D4F" w:rsidRDefault="002A1319" w:rsidP="00DB248E">
            <w:pPr>
              <w:rPr>
                <w:sz w:val="16"/>
                <w:szCs w:val="16"/>
              </w:rPr>
            </w:pPr>
            <w:r w:rsidRPr="00B34D4F">
              <w:rPr>
                <w:sz w:val="16"/>
                <w:szCs w:val="16"/>
              </w:rPr>
              <w:t>106</w:t>
            </w: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615495DE" w14:textId="668E3819" w:rsidR="002A1319" w:rsidRPr="00B34D4F" w:rsidRDefault="002A1319" w:rsidP="00DB248E">
            <w:pPr>
              <w:rPr>
                <w:sz w:val="16"/>
                <w:szCs w:val="16"/>
              </w:rPr>
            </w:pPr>
            <w:r w:rsidRPr="00B34D4F">
              <w:rPr>
                <w:sz w:val="16"/>
                <w:szCs w:val="16"/>
              </w:rPr>
              <w:t>Stable disease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050658D1" w14:textId="790AF7BD"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5F8A045E" w14:textId="34CEF3A3" w:rsidR="002A1319" w:rsidRPr="00B34D4F" w:rsidRDefault="002A1319" w:rsidP="003E1FE2">
            <w:pPr>
              <w:rPr>
                <w:sz w:val="16"/>
                <w:szCs w:val="16"/>
              </w:rPr>
            </w:pPr>
            <w:r w:rsidRPr="00B34D4F">
              <w:rPr>
                <w:sz w:val="16"/>
                <w:szCs w:val="16"/>
              </w:rPr>
              <w:t>376</w:t>
            </w:r>
          </w:p>
        </w:tc>
      </w:tr>
      <w:tr w:rsidR="002A1319" w:rsidRPr="00E11762" w14:paraId="6818082B"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5BAF0593" w14:textId="0265964D" w:rsidR="002A1319" w:rsidRPr="00B34D4F" w:rsidRDefault="002A1319" w:rsidP="00065B26">
            <w:pPr>
              <w:rPr>
                <w:sz w:val="16"/>
                <w:szCs w:val="16"/>
              </w:rPr>
            </w:pPr>
            <w:r w:rsidRPr="00B34D4F">
              <w:rPr>
                <w:sz w:val="16"/>
                <w:szCs w:val="16"/>
              </w:rPr>
              <w:t>190</w:t>
            </w:r>
          </w:p>
        </w:tc>
        <w:tc>
          <w:tcPr>
            <w:tcW w:w="759" w:type="pct"/>
            <w:tcBorders>
              <w:top w:val="nil"/>
              <w:left w:val="single" w:sz="2" w:space="0" w:color="000000"/>
              <w:bottom w:val="single" w:sz="2" w:space="0" w:color="000000"/>
              <w:right w:val="single" w:sz="2" w:space="0" w:color="000000"/>
            </w:tcBorders>
            <w:shd w:val="clear" w:color="auto" w:fill="FFFFFF"/>
          </w:tcPr>
          <w:p w14:paraId="1AAD9857" w14:textId="0FC02B3F" w:rsidR="002A1319" w:rsidRPr="00B34D4F" w:rsidRDefault="009B2047" w:rsidP="009B2047">
            <w:pPr>
              <w:rPr>
                <w:sz w:val="16"/>
                <w:szCs w:val="16"/>
              </w:rPr>
            </w:pPr>
            <w:r w:rsidRPr="002C39CC">
              <w:rPr>
                <w:color w:val="000000"/>
                <w:sz w:val="16"/>
                <w:szCs w:val="16"/>
              </w:rPr>
              <w:t>Visceral gastrointestinal</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6475C978" w14:textId="5DC2F13D"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15BEDE1B" w14:textId="5624EBD7" w:rsidR="002A1319" w:rsidRPr="00B34D4F" w:rsidRDefault="002A1319" w:rsidP="001706A2">
            <w:pPr>
              <w:rPr>
                <w:sz w:val="16"/>
                <w:szCs w:val="16"/>
              </w:rPr>
            </w:pPr>
            <w:r w:rsidRPr="00B34D4F">
              <w:rPr>
                <w:sz w:val="16"/>
                <w:szCs w:val="16"/>
              </w:rPr>
              <w:t>29</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565B7FA8" w14:textId="61787F2E"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3CA691B4" w14:textId="43736670" w:rsidR="002A1319" w:rsidRPr="00B34D4F" w:rsidRDefault="002A1319" w:rsidP="00CA3E9E">
            <w:pPr>
              <w:rPr>
                <w:sz w:val="16"/>
                <w:szCs w:val="16"/>
              </w:rPr>
            </w:pPr>
            <w:r w:rsidRPr="00B34D4F">
              <w:rPr>
                <w:sz w:val="16"/>
                <w:szCs w:val="16"/>
              </w:rPr>
              <w:t>Ongoing</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5D308566" w14:textId="37DE06DA" w:rsidR="002A1319" w:rsidRPr="00B34D4F" w:rsidRDefault="002A1319" w:rsidP="00B34D4F">
            <w:pPr>
              <w:rPr>
                <w:sz w:val="16"/>
                <w:szCs w:val="16"/>
              </w:rPr>
            </w:pPr>
            <w:r w:rsidRPr="00B34D4F">
              <w:rPr>
                <w:sz w:val="16"/>
                <w:szCs w:val="16"/>
              </w:rPr>
              <w:t>14</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297A802F" w14:textId="3EF9B564"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5B9454A7" w14:textId="5BB9BA60" w:rsidR="002A1319" w:rsidRPr="00B34D4F" w:rsidRDefault="002A1319" w:rsidP="00DB248E">
            <w:pPr>
              <w:rPr>
                <w:sz w:val="16"/>
                <w:szCs w:val="16"/>
              </w:rPr>
            </w:pPr>
            <w:r w:rsidRPr="00B34D4F">
              <w:rPr>
                <w:sz w:val="16"/>
                <w:szCs w:val="16"/>
              </w:rPr>
              <w:t>Partial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648072BE" w14:textId="7F2FE544"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2EBEC854" w14:textId="6B7B4D39" w:rsidR="002A1319" w:rsidRPr="00B34D4F" w:rsidRDefault="002A1319" w:rsidP="003E1FE2">
            <w:pPr>
              <w:rPr>
                <w:sz w:val="16"/>
                <w:szCs w:val="16"/>
              </w:rPr>
            </w:pPr>
            <w:r w:rsidRPr="00B34D4F">
              <w:rPr>
                <w:sz w:val="16"/>
                <w:szCs w:val="16"/>
              </w:rPr>
              <w:t>295</w:t>
            </w:r>
          </w:p>
        </w:tc>
      </w:tr>
      <w:tr w:rsidR="002A1319" w:rsidRPr="00E11762" w14:paraId="672519BA" w14:textId="77777777" w:rsidTr="002A1319">
        <w:trPr>
          <w:cantSplit/>
          <w:jc w:val="center"/>
        </w:trPr>
        <w:tc>
          <w:tcPr>
            <w:tcW w:w="653" w:type="pct"/>
            <w:tcBorders>
              <w:top w:val="nil"/>
              <w:left w:val="single" w:sz="6" w:space="0" w:color="000000"/>
              <w:bottom w:val="single" w:sz="2" w:space="0" w:color="000000"/>
              <w:right w:val="nil"/>
            </w:tcBorders>
            <w:shd w:val="clear" w:color="auto" w:fill="FFFFFF"/>
            <w:tcMar>
              <w:left w:w="60" w:type="dxa"/>
              <w:right w:w="60" w:type="dxa"/>
            </w:tcMar>
            <w:vAlign w:val="center"/>
          </w:tcPr>
          <w:p w14:paraId="7CFE48A9" w14:textId="744E76B8" w:rsidR="002A1319" w:rsidRPr="00B34D4F" w:rsidRDefault="002A1319" w:rsidP="00065B26">
            <w:pPr>
              <w:rPr>
                <w:sz w:val="16"/>
                <w:szCs w:val="16"/>
              </w:rPr>
            </w:pPr>
            <w:r w:rsidRPr="00B34D4F">
              <w:rPr>
                <w:sz w:val="16"/>
                <w:szCs w:val="16"/>
              </w:rPr>
              <w:t>192</w:t>
            </w:r>
          </w:p>
        </w:tc>
        <w:tc>
          <w:tcPr>
            <w:tcW w:w="759" w:type="pct"/>
            <w:tcBorders>
              <w:top w:val="nil"/>
              <w:left w:val="single" w:sz="2" w:space="0" w:color="000000"/>
              <w:bottom w:val="single" w:sz="2" w:space="0" w:color="000000"/>
              <w:right w:val="single" w:sz="2" w:space="0" w:color="000000"/>
            </w:tcBorders>
            <w:shd w:val="clear" w:color="auto" w:fill="FFFFFF"/>
          </w:tcPr>
          <w:p w14:paraId="49AB5069" w14:textId="75A81E7E" w:rsidR="002A1319" w:rsidRPr="00B34D4F" w:rsidRDefault="009B2047" w:rsidP="00490E17">
            <w:pPr>
              <w:rPr>
                <w:sz w:val="16"/>
                <w:szCs w:val="16"/>
              </w:rPr>
            </w:pPr>
            <w:r w:rsidRPr="002C39CC">
              <w:rPr>
                <w:color w:val="000000"/>
                <w:sz w:val="16"/>
                <w:szCs w:val="16"/>
              </w:rPr>
              <w:t>Retro-intra abdominal</w:t>
            </w:r>
          </w:p>
        </w:tc>
        <w:tc>
          <w:tcPr>
            <w:tcW w:w="456" w:type="pct"/>
            <w:tcBorders>
              <w:top w:val="nil"/>
              <w:left w:val="single" w:sz="2" w:space="0" w:color="000000"/>
              <w:bottom w:val="single" w:sz="2" w:space="0" w:color="000000"/>
              <w:right w:val="nil"/>
            </w:tcBorders>
            <w:shd w:val="clear" w:color="auto" w:fill="FFFFFF"/>
            <w:tcMar>
              <w:left w:w="60" w:type="dxa"/>
              <w:right w:w="60" w:type="dxa"/>
            </w:tcMar>
            <w:vAlign w:val="center"/>
          </w:tcPr>
          <w:p w14:paraId="423682F1" w14:textId="10B9F9A8" w:rsidR="002A1319" w:rsidRPr="00B34D4F" w:rsidRDefault="002A1319" w:rsidP="00490E17">
            <w:pPr>
              <w:rPr>
                <w:sz w:val="16"/>
                <w:szCs w:val="16"/>
              </w:rPr>
            </w:pPr>
            <w:r w:rsidRPr="00B34D4F">
              <w:rPr>
                <w:sz w:val="16"/>
                <w:szCs w:val="16"/>
              </w:rPr>
              <w:t>metastatic</w:t>
            </w:r>
          </w:p>
        </w:tc>
        <w:tc>
          <w:tcPr>
            <w:tcW w:w="406" w:type="pct"/>
            <w:tcBorders>
              <w:top w:val="nil"/>
              <w:left w:val="single" w:sz="2" w:space="0" w:color="000000"/>
              <w:bottom w:val="single" w:sz="2" w:space="0" w:color="000000"/>
              <w:right w:val="single" w:sz="2" w:space="0" w:color="000000"/>
            </w:tcBorders>
            <w:shd w:val="clear" w:color="auto" w:fill="FFFFFF"/>
            <w:vAlign w:val="center"/>
          </w:tcPr>
          <w:p w14:paraId="404A21A8" w14:textId="464E3701" w:rsidR="002A1319" w:rsidRPr="00B34D4F" w:rsidRDefault="002A1319" w:rsidP="001706A2">
            <w:pPr>
              <w:rPr>
                <w:sz w:val="16"/>
                <w:szCs w:val="16"/>
              </w:rPr>
            </w:pPr>
            <w:r w:rsidRPr="00B34D4F">
              <w:rPr>
                <w:sz w:val="16"/>
                <w:szCs w:val="16"/>
              </w:rPr>
              <w:t>85</w:t>
            </w:r>
          </w:p>
        </w:tc>
        <w:tc>
          <w:tcPr>
            <w:tcW w:w="419" w:type="pct"/>
            <w:tcBorders>
              <w:top w:val="nil"/>
              <w:left w:val="single" w:sz="2" w:space="0" w:color="000000"/>
              <w:bottom w:val="single" w:sz="2" w:space="0" w:color="000000"/>
              <w:right w:val="single" w:sz="2" w:space="0" w:color="000000"/>
            </w:tcBorders>
            <w:shd w:val="clear" w:color="auto" w:fill="FFFFFF"/>
            <w:vAlign w:val="center"/>
          </w:tcPr>
          <w:p w14:paraId="76F9F628" w14:textId="41A0FD3A"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2" w:space="0" w:color="000000"/>
              <w:right w:val="nil"/>
            </w:tcBorders>
            <w:shd w:val="clear" w:color="auto" w:fill="FFFFFF"/>
            <w:tcMar>
              <w:left w:w="60" w:type="dxa"/>
              <w:right w:w="60" w:type="dxa"/>
            </w:tcMar>
            <w:vAlign w:val="center"/>
          </w:tcPr>
          <w:p w14:paraId="3F08880C" w14:textId="1BD1889E" w:rsidR="002A1319" w:rsidRPr="00B34D4F" w:rsidRDefault="002A1319" w:rsidP="00CA3E9E">
            <w:pPr>
              <w:rPr>
                <w:sz w:val="16"/>
                <w:szCs w:val="16"/>
              </w:rPr>
            </w:pPr>
            <w:r w:rsidRPr="00B34D4F">
              <w:rPr>
                <w:sz w:val="16"/>
                <w:szCs w:val="16"/>
              </w:rPr>
              <w:t>Ongoing</w:t>
            </w:r>
          </w:p>
        </w:tc>
        <w:tc>
          <w:tcPr>
            <w:tcW w:w="325" w:type="pct"/>
            <w:tcBorders>
              <w:top w:val="nil"/>
              <w:left w:val="single" w:sz="2" w:space="0" w:color="000000"/>
              <w:bottom w:val="single" w:sz="2" w:space="0" w:color="000000"/>
              <w:right w:val="nil"/>
            </w:tcBorders>
            <w:shd w:val="clear" w:color="auto" w:fill="FFFFFF"/>
            <w:tcMar>
              <w:left w:w="60" w:type="dxa"/>
              <w:right w:w="60" w:type="dxa"/>
            </w:tcMar>
            <w:vAlign w:val="center"/>
          </w:tcPr>
          <w:p w14:paraId="455811CC" w14:textId="1F90825D" w:rsidR="002A1319" w:rsidRPr="00B34D4F" w:rsidRDefault="002A1319" w:rsidP="00B34D4F">
            <w:pPr>
              <w:rPr>
                <w:sz w:val="16"/>
                <w:szCs w:val="16"/>
              </w:rPr>
            </w:pPr>
            <w:r w:rsidRPr="00B34D4F">
              <w:rPr>
                <w:sz w:val="16"/>
                <w:szCs w:val="16"/>
              </w:rPr>
              <w:t>18</w:t>
            </w:r>
          </w:p>
        </w:tc>
        <w:tc>
          <w:tcPr>
            <w:tcW w:w="230" w:type="pct"/>
            <w:tcBorders>
              <w:top w:val="nil"/>
              <w:left w:val="single" w:sz="2" w:space="0" w:color="000000"/>
              <w:bottom w:val="single" w:sz="2" w:space="0" w:color="000000"/>
              <w:right w:val="nil"/>
            </w:tcBorders>
            <w:shd w:val="clear" w:color="auto" w:fill="FFFFFF"/>
            <w:tcMar>
              <w:left w:w="60" w:type="dxa"/>
              <w:right w:w="60" w:type="dxa"/>
            </w:tcMar>
            <w:vAlign w:val="center"/>
          </w:tcPr>
          <w:p w14:paraId="5EAF85FD" w14:textId="5E005E92" w:rsidR="002A1319" w:rsidRPr="00B34D4F" w:rsidRDefault="002A1319" w:rsidP="00DB248E">
            <w:pPr>
              <w:rPr>
                <w:sz w:val="16"/>
                <w:szCs w:val="16"/>
              </w:rPr>
            </w:pPr>
          </w:p>
        </w:tc>
        <w:tc>
          <w:tcPr>
            <w:tcW w:w="457" w:type="pct"/>
            <w:tcBorders>
              <w:top w:val="nil"/>
              <w:left w:val="single" w:sz="2" w:space="0" w:color="000000"/>
              <w:bottom w:val="single" w:sz="2" w:space="0" w:color="000000"/>
              <w:right w:val="nil"/>
            </w:tcBorders>
            <w:shd w:val="clear" w:color="auto" w:fill="FFFFFF"/>
            <w:tcMar>
              <w:left w:w="60" w:type="dxa"/>
              <w:right w:w="60" w:type="dxa"/>
            </w:tcMar>
            <w:vAlign w:val="center"/>
          </w:tcPr>
          <w:p w14:paraId="0EB434AC" w14:textId="05E5F624" w:rsidR="002A1319" w:rsidRPr="00B34D4F" w:rsidRDefault="002A1319" w:rsidP="00DB248E">
            <w:pPr>
              <w:rPr>
                <w:sz w:val="16"/>
                <w:szCs w:val="16"/>
              </w:rPr>
            </w:pPr>
            <w:r w:rsidRPr="00B34D4F">
              <w:rPr>
                <w:sz w:val="16"/>
                <w:szCs w:val="16"/>
              </w:rPr>
              <w:t>Complete response</w:t>
            </w:r>
          </w:p>
        </w:tc>
        <w:tc>
          <w:tcPr>
            <w:tcW w:w="422" w:type="pct"/>
            <w:tcBorders>
              <w:top w:val="nil"/>
              <w:left w:val="single" w:sz="2" w:space="0" w:color="000000"/>
              <w:bottom w:val="single" w:sz="2" w:space="0" w:color="000000"/>
              <w:right w:val="nil"/>
            </w:tcBorders>
            <w:shd w:val="clear" w:color="auto" w:fill="FFFFFF"/>
            <w:tcMar>
              <w:left w:w="60" w:type="dxa"/>
              <w:right w:w="60" w:type="dxa"/>
            </w:tcMar>
            <w:vAlign w:val="center"/>
          </w:tcPr>
          <w:p w14:paraId="32556455" w14:textId="62207A13"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10F6CD0D" w14:textId="12F8112F" w:rsidR="002A1319" w:rsidRPr="00B34D4F" w:rsidRDefault="002A1319" w:rsidP="003E1FE2">
            <w:pPr>
              <w:rPr>
                <w:sz w:val="16"/>
                <w:szCs w:val="16"/>
              </w:rPr>
            </w:pPr>
            <w:r w:rsidRPr="00B34D4F">
              <w:rPr>
                <w:sz w:val="16"/>
                <w:szCs w:val="16"/>
              </w:rPr>
              <w:t>358</w:t>
            </w:r>
          </w:p>
        </w:tc>
      </w:tr>
      <w:tr w:rsidR="002A1319" w:rsidRPr="00E11762" w14:paraId="6C6D2730" w14:textId="77777777" w:rsidTr="002A1319">
        <w:trPr>
          <w:cantSplit/>
          <w:jc w:val="center"/>
        </w:trPr>
        <w:tc>
          <w:tcPr>
            <w:tcW w:w="653" w:type="pct"/>
            <w:tcBorders>
              <w:top w:val="nil"/>
              <w:left w:val="single" w:sz="6" w:space="0" w:color="000000"/>
              <w:bottom w:val="single" w:sz="4" w:space="0" w:color="auto"/>
              <w:right w:val="nil"/>
            </w:tcBorders>
            <w:shd w:val="clear" w:color="auto" w:fill="FFFFFF"/>
            <w:tcMar>
              <w:left w:w="60" w:type="dxa"/>
              <w:right w:w="60" w:type="dxa"/>
            </w:tcMar>
            <w:vAlign w:val="center"/>
          </w:tcPr>
          <w:p w14:paraId="1558E2A5" w14:textId="51B7E93A" w:rsidR="002A1319" w:rsidRPr="00B34D4F" w:rsidRDefault="002A1319" w:rsidP="00065B26">
            <w:pPr>
              <w:rPr>
                <w:sz w:val="16"/>
                <w:szCs w:val="16"/>
              </w:rPr>
            </w:pPr>
            <w:r w:rsidRPr="00B34D4F">
              <w:rPr>
                <w:sz w:val="16"/>
                <w:szCs w:val="16"/>
              </w:rPr>
              <w:t>193</w:t>
            </w:r>
          </w:p>
        </w:tc>
        <w:tc>
          <w:tcPr>
            <w:tcW w:w="759" w:type="pct"/>
            <w:tcBorders>
              <w:top w:val="nil"/>
              <w:left w:val="single" w:sz="2" w:space="0" w:color="000000"/>
              <w:bottom w:val="single" w:sz="4" w:space="0" w:color="auto"/>
              <w:right w:val="single" w:sz="2" w:space="0" w:color="000000"/>
            </w:tcBorders>
            <w:shd w:val="clear" w:color="auto" w:fill="FFFFFF"/>
          </w:tcPr>
          <w:p w14:paraId="36C58961" w14:textId="10FBCBD3" w:rsidR="002A1319" w:rsidRPr="00B34D4F" w:rsidRDefault="009B2047" w:rsidP="00490E17">
            <w:pPr>
              <w:rPr>
                <w:sz w:val="16"/>
                <w:szCs w:val="16"/>
              </w:rPr>
            </w:pPr>
            <w:r w:rsidRPr="002C39CC">
              <w:rPr>
                <w:color w:val="000000"/>
                <w:sz w:val="16"/>
                <w:szCs w:val="16"/>
              </w:rPr>
              <w:t>Visceral gynecological</w:t>
            </w:r>
          </w:p>
        </w:tc>
        <w:tc>
          <w:tcPr>
            <w:tcW w:w="456" w:type="pct"/>
            <w:tcBorders>
              <w:top w:val="nil"/>
              <w:left w:val="single" w:sz="2" w:space="0" w:color="000000"/>
              <w:bottom w:val="single" w:sz="4" w:space="0" w:color="auto"/>
              <w:right w:val="nil"/>
            </w:tcBorders>
            <w:shd w:val="clear" w:color="auto" w:fill="FFFFFF"/>
            <w:tcMar>
              <w:left w:w="60" w:type="dxa"/>
              <w:right w:w="60" w:type="dxa"/>
            </w:tcMar>
            <w:vAlign w:val="center"/>
          </w:tcPr>
          <w:p w14:paraId="0DFB80E7" w14:textId="4C38B6B1" w:rsidR="002A1319" w:rsidRPr="00B34D4F" w:rsidRDefault="002A1319" w:rsidP="00490E17">
            <w:pPr>
              <w:rPr>
                <w:sz w:val="16"/>
                <w:szCs w:val="16"/>
              </w:rPr>
            </w:pPr>
            <w:r w:rsidRPr="00B34D4F">
              <w:rPr>
                <w:sz w:val="16"/>
                <w:szCs w:val="16"/>
              </w:rPr>
              <w:t>primary</w:t>
            </w:r>
          </w:p>
        </w:tc>
        <w:tc>
          <w:tcPr>
            <w:tcW w:w="406" w:type="pct"/>
            <w:tcBorders>
              <w:top w:val="nil"/>
              <w:left w:val="single" w:sz="2" w:space="0" w:color="000000"/>
              <w:bottom w:val="single" w:sz="4" w:space="0" w:color="auto"/>
              <w:right w:val="single" w:sz="2" w:space="0" w:color="000000"/>
            </w:tcBorders>
            <w:shd w:val="clear" w:color="auto" w:fill="FFFFFF"/>
            <w:vAlign w:val="center"/>
          </w:tcPr>
          <w:p w14:paraId="048CD0CC" w14:textId="6CCFC4F8" w:rsidR="002A1319" w:rsidRPr="00B34D4F" w:rsidRDefault="002A1319" w:rsidP="001706A2">
            <w:pPr>
              <w:rPr>
                <w:sz w:val="16"/>
                <w:szCs w:val="16"/>
              </w:rPr>
            </w:pPr>
            <w:r w:rsidRPr="00B34D4F">
              <w:rPr>
                <w:sz w:val="16"/>
                <w:szCs w:val="16"/>
              </w:rPr>
              <w:t>85</w:t>
            </w:r>
          </w:p>
        </w:tc>
        <w:tc>
          <w:tcPr>
            <w:tcW w:w="419" w:type="pct"/>
            <w:tcBorders>
              <w:top w:val="nil"/>
              <w:left w:val="single" w:sz="2" w:space="0" w:color="000000"/>
              <w:bottom w:val="single" w:sz="4" w:space="0" w:color="auto"/>
              <w:right w:val="single" w:sz="2" w:space="0" w:color="000000"/>
            </w:tcBorders>
            <w:shd w:val="clear" w:color="auto" w:fill="FFFFFF"/>
            <w:vAlign w:val="center"/>
          </w:tcPr>
          <w:p w14:paraId="2932E266" w14:textId="79C44711" w:rsidR="002A1319" w:rsidRPr="00B34D4F" w:rsidRDefault="002A1319" w:rsidP="001706A2">
            <w:pPr>
              <w:rPr>
                <w:sz w:val="16"/>
                <w:szCs w:val="16"/>
              </w:rPr>
            </w:pPr>
            <w:r w:rsidRPr="00B34D4F">
              <w:rPr>
                <w:sz w:val="16"/>
                <w:szCs w:val="16"/>
              </w:rPr>
              <w:t>1</w:t>
            </w:r>
          </w:p>
        </w:tc>
        <w:tc>
          <w:tcPr>
            <w:tcW w:w="491" w:type="pct"/>
            <w:tcBorders>
              <w:top w:val="nil"/>
              <w:left w:val="single" w:sz="2" w:space="0" w:color="000000"/>
              <w:bottom w:val="single" w:sz="4" w:space="0" w:color="auto"/>
              <w:right w:val="nil"/>
            </w:tcBorders>
            <w:shd w:val="clear" w:color="auto" w:fill="FFFFFF"/>
            <w:tcMar>
              <w:left w:w="60" w:type="dxa"/>
              <w:right w:w="60" w:type="dxa"/>
            </w:tcMar>
            <w:vAlign w:val="center"/>
          </w:tcPr>
          <w:p w14:paraId="2860B8F4" w14:textId="4D4B0FAF" w:rsidR="002A1319" w:rsidRPr="00B34D4F" w:rsidRDefault="002A1319" w:rsidP="00CA3E9E">
            <w:pPr>
              <w:rPr>
                <w:sz w:val="16"/>
                <w:szCs w:val="16"/>
              </w:rPr>
            </w:pPr>
            <w:r w:rsidRPr="00B34D4F">
              <w:rPr>
                <w:sz w:val="16"/>
                <w:szCs w:val="16"/>
              </w:rPr>
              <w:t>Ongoing</w:t>
            </w:r>
          </w:p>
        </w:tc>
        <w:tc>
          <w:tcPr>
            <w:tcW w:w="325" w:type="pct"/>
            <w:tcBorders>
              <w:top w:val="nil"/>
              <w:left w:val="single" w:sz="2" w:space="0" w:color="000000"/>
              <w:bottom w:val="single" w:sz="4" w:space="0" w:color="auto"/>
              <w:right w:val="nil"/>
            </w:tcBorders>
            <w:shd w:val="clear" w:color="auto" w:fill="FFFFFF"/>
            <w:tcMar>
              <w:left w:w="60" w:type="dxa"/>
              <w:right w:w="60" w:type="dxa"/>
            </w:tcMar>
            <w:vAlign w:val="center"/>
          </w:tcPr>
          <w:p w14:paraId="21A42A34" w14:textId="59329E10" w:rsidR="002A1319" w:rsidRPr="00B34D4F" w:rsidRDefault="002A1319" w:rsidP="00B34D4F">
            <w:pPr>
              <w:rPr>
                <w:sz w:val="16"/>
                <w:szCs w:val="16"/>
              </w:rPr>
            </w:pPr>
            <w:r w:rsidRPr="00B34D4F">
              <w:rPr>
                <w:sz w:val="16"/>
                <w:szCs w:val="16"/>
              </w:rPr>
              <w:t>15</w:t>
            </w:r>
          </w:p>
        </w:tc>
        <w:tc>
          <w:tcPr>
            <w:tcW w:w="230" w:type="pct"/>
            <w:tcBorders>
              <w:top w:val="nil"/>
              <w:left w:val="single" w:sz="2" w:space="0" w:color="000000"/>
              <w:bottom w:val="single" w:sz="4" w:space="0" w:color="auto"/>
              <w:right w:val="nil"/>
            </w:tcBorders>
            <w:shd w:val="clear" w:color="auto" w:fill="FFFFFF"/>
            <w:tcMar>
              <w:left w:w="60" w:type="dxa"/>
              <w:right w:w="60" w:type="dxa"/>
            </w:tcMar>
            <w:vAlign w:val="center"/>
          </w:tcPr>
          <w:p w14:paraId="31F3E442" w14:textId="0B62CE97" w:rsidR="002A1319" w:rsidRPr="00B34D4F" w:rsidRDefault="002A1319" w:rsidP="00DB248E">
            <w:pPr>
              <w:rPr>
                <w:sz w:val="16"/>
                <w:szCs w:val="16"/>
              </w:rPr>
            </w:pPr>
          </w:p>
        </w:tc>
        <w:tc>
          <w:tcPr>
            <w:tcW w:w="457" w:type="pct"/>
            <w:tcBorders>
              <w:top w:val="nil"/>
              <w:left w:val="single" w:sz="2" w:space="0" w:color="000000"/>
              <w:bottom w:val="single" w:sz="4" w:space="0" w:color="auto"/>
              <w:right w:val="nil"/>
            </w:tcBorders>
            <w:shd w:val="clear" w:color="auto" w:fill="FFFFFF"/>
            <w:tcMar>
              <w:left w:w="60" w:type="dxa"/>
              <w:right w:w="60" w:type="dxa"/>
            </w:tcMar>
            <w:vAlign w:val="center"/>
          </w:tcPr>
          <w:p w14:paraId="748889DF" w14:textId="05E6AC53" w:rsidR="002A1319" w:rsidRPr="00B34D4F" w:rsidRDefault="002A1319" w:rsidP="00DB248E">
            <w:pPr>
              <w:rPr>
                <w:sz w:val="16"/>
                <w:szCs w:val="16"/>
              </w:rPr>
            </w:pPr>
            <w:r w:rsidRPr="00B34D4F">
              <w:rPr>
                <w:sz w:val="16"/>
                <w:szCs w:val="16"/>
              </w:rPr>
              <w:t>Partial response</w:t>
            </w:r>
          </w:p>
        </w:tc>
        <w:tc>
          <w:tcPr>
            <w:tcW w:w="422" w:type="pct"/>
            <w:tcBorders>
              <w:top w:val="nil"/>
              <w:left w:val="single" w:sz="2" w:space="0" w:color="000000"/>
              <w:bottom w:val="single" w:sz="4" w:space="0" w:color="auto"/>
              <w:right w:val="nil"/>
            </w:tcBorders>
            <w:shd w:val="clear" w:color="auto" w:fill="FFFFFF"/>
            <w:tcMar>
              <w:left w:w="60" w:type="dxa"/>
              <w:right w:w="60" w:type="dxa"/>
            </w:tcMar>
            <w:vAlign w:val="center"/>
          </w:tcPr>
          <w:p w14:paraId="351E1E4F" w14:textId="7D6D9DD4" w:rsidR="002A1319" w:rsidRPr="00B34D4F" w:rsidRDefault="002A1319" w:rsidP="003E1FE2">
            <w:pPr>
              <w:rPr>
                <w:sz w:val="16"/>
                <w:szCs w:val="16"/>
              </w:rPr>
            </w:pPr>
            <w:r w:rsidRPr="00B34D4F">
              <w:rPr>
                <w:sz w:val="16"/>
                <w:szCs w:val="16"/>
              </w:rPr>
              <w:t>Alive</w:t>
            </w:r>
          </w:p>
        </w:tc>
        <w:tc>
          <w:tcPr>
            <w:tcW w:w="382" w:type="pct"/>
            <w:tcBorders>
              <w:top w:val="nil"/>
              <w:left w:val="single" w:sz="2" w:space="0" w:color="000000"/>
              <w:bottom w:val="single" w:sz="4" w:space="0" w:color="auto"/>
              <w:right w:val="single" w:sz="6" w:space="0" w:color="000000"/>
            </w:tcBorders>
            <w:shd w:val="clear" w:color="auto" w:fill="FFFFFF"/>
            <w:tcMar>
              <w:left w:w="60" w:type="dxa"/>
              <w:right w:w="60" w:type="dxa"/>
            </w:tcMar>
            <w:vAlign w:val="center"/>
          </w:tcPr>
          <w:p w14:paraId="5F7D7E8F" w14:textId="714CB843" w:rsidR="002A1319" w:rsidRPr="00B34D4F" w:rsidRDefault="002A1319" w:rsidP="003E1FE2">
            <w:pPr>
              <w:rPr>
                <w:sz w:val="16"/>
                <w:szCs w:val="16"/>
              </w:rPr>
            </w:pPr>
            <w:r w:rsidRPr="00B34D4F">
              <w:rPr>
                <w:sz w:val="16"/>
                <w:szCs w:val="16"/>
              </w:rPr>
              <w:t>299</w:t>
            </w:r>
          </w:p>
        </w:tc>
      </w:tr>
      <w:tr w:rsidR="002A1319" w:rsidRPr="00E11762" w14:paraId="786F9CF4"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2854437" w14:textId="2745D20F" w:rsidR="002A1319" w:rsidRPr="00B34D4F" w:rsidRDefault="002A1319" w:rsidP="00065B26">
            <w:pPr>
              <w:rPr>
                <w:sz w:val="16"/>
                <w:szCs w:val="16"/>
              </w:rPr>
            </w:pPr>
            <w:r w:rsidRPr="00B34D4F">
              <w:rPr>
                <w:sz w:val="16"/>
                <w:szCs w:val="16"/>
              </w:rPr>
              <w:t>194</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132336BE" w14:textId="5B41E162" w:rsidR="002A1319" w:rsidRPr="00B34D4F" w:rsidRDefault="009B2047" w:rsidP="00490E17">
            <w:pPr>
              <w:rPr>
                <w:sz w:val="16"/>
                <w:szCs w:val="16"/>
              </w:rPr>
            </w:pPr>
            <w:r w:rsidRPr="002C39CC">
              <w:rPr>
                <w:color w:val="000000"/>
                <w:sz w:val="16"/>
                <w:szCs w:val="16"/>
              </w:rPr>
              <w:t>Missing</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D96BB7C" w14:textId="5334295A"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AA36527" w14:textId="3C28EAF0" w:rsidR="002A1319" w:rsidRPr="00B34D4F" w:rsidRDefault="002A1319" w:rsidP="001706A2">
            <w:pPr>
              <w:rPr>
                <w:sz w:val="16"/>
                <w:szCs w:val="16"/>
              </w:rPr>
            </w:pPr>
            <w:r w:rsidRPr="00B34D4F">
              <w:rPr>
                <w:sz w:val="16"/>
                <w:szCs w:val="16"/>
              </w:rPr>
              <w:t>20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496C7298" w14:textId="08C9BD9A" w:rsidR="002A1319" w:rsidRPr="00B34D4F" w:rsidRDefault="002A1319" w:rsidP="001706A2">
            <w:pPr>
              <w:rPr>
                <w:sz w:val="16"/>
                <w:szCs w:val="16"/>
              </w:rPr>
            </w:pPr>
            <w:r w:rsidRPr="00B34D4F">
              <w:rPr>
                <w:sz w:val="16"/>
                <w:szCs w:val="16"/>
              </w:rPr>
              <w:t>1</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2BACCB5" w14:textId="07BD421B"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34BE4D0" w14:textId="427F38BF" w:rsidR="002A1319" w:rsidRPr="00B34D4F" w:rsidRDefault="002A1319" w:rsidP="00B34D4F">
            <w:pPr>
              <w:rPr>
                <w:sz w:val="16"/>
                <w:szCs w:val="16"/>
              </w:rPr>
            </w:pPr>
            <w:r w:rsidRPr="00B34D4F">
              <w:rPr>
                <w:sz w:val="16"/>
                <w:szCs w:val="16"/>
              </w:rPr>
              <w:t>7</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195EE16" w14:textId="25B0CCE2" w:rsidR="002A1319" w:rsidRPr="00B34D4F" w:rsidRDefault="002A1319" w:rsidP="00DB248E">
            <w:pPr>
              <w:rPr>
                <w:sz w:val="16"/>
                <w:szCs w:val="16"/>
              </w:rPr>
            </w:pPr>
            <w:r w:rsidRPr="00B34D4F">
              <w:rPr>
                <w:sz w:val="16"/>
                <w:szCs w:val="16"/>
              </w:rPr>
              <w:t>129</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FDB8967" w14:textId="0AB0B73F"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432EBDD" w14:textId="3872A7C1" w:rsidR="002A1319" w:rsidRPr="00B34D4F" w:rsidRDefault="002A1319" w:rsidP="003E1FE2">
            <w:pPr>
              <w:rPr>
                <w:sz w:val="16"/>
                <w:szCs w:val="16"/>
              </w:rPr>
            </w:pPr>
            <w:r w:rsidRPr="00B34D4F">
              <w:rPr>
                <w:sz w:val="16"/>
                <w:szCs w:val="16"/>
              </w:rPr>
              <w:t>Death</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08F6702" w14:textId="219A75FA" w:rsidR="002A1319" w:rsidRPr="00B34D4F" w:rsidRDefault="002A1319" w:rsidP="003E1FE2">
            <w:pPr>
              <w:rPr>
                <w:sz w:val="16"/>
                <w:szCs w:val="16"/>
              </w:rPr>
            </w:pPr>
            <w:r w:rsidRPr="00B34D4F">
              <w:rPr>
                <w:sz w:val="16"/>
                <w:szCs w:val="16"/>
              </w:rPr>
              <w:t>176</w:t>
            </w:r>
          </w:p>
        </w:tc>
      </w:tr>
      <w:tr w:rsidR="002A1319" w:rsidRPr="00E11762" w14:paraId="25553E06"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CE525B0" w14:textId="3DACA9A6" w:rsidR="002A1319" w:rsidRPr="00B34D4F" w:rsidRDefault="002A1319" w:rsidP="00065B26">
            <w:pPr>
              <w:rPr>
                <w:sz w:val="16"/>
                <w:szCs w:val="16"/>
              </w:rPr>
            </w:pPr>
            <w:r w:rsidRPr="00B34D4F">
              <w:rPr>
                <w:sz w:val="16"/>
                <w:szCs w:val="16"/>
              </w:rPr>
              <w:t>197</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660EF770" w14:textId="420C68CA" w:rsidR="002A1319" w:rsidRPr="00B34D4F" w:rsidRDefault="00BD3D7B" w:rsidP="00490E17">
            <w:pPr>
              <w:rPr>
                <w:sz w:val="16"/>
                <w:szCs w:val="16"/>
              </w:rPr>
            </w:pPr>
            <w:r w:rsidRPr="002C39CC">
              <w:rPr>
                <w:color w:val="000000"/>
                <w:sz w:val="16"/>
                <w:szCs w:val="16"/>
              </w:rPr>
              <w:t>Lower extremity</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DE3C441" w14:textId="48F7D0B8"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15ECBA12" w14:textId="0C850DF4" w:rsidR="002A1319" w:rsidRPr="00B34D4F" w:rsidRDefault="002A1319" w:rsidP="001706A2">
            <w:pPr>
              <w:rPr>
                <w:rStyle w:val="CommentReference"/>
              </w:rPr>
            </w:pPr>
            <w:r w:rsidRPr="00B34D4F">
              <w:rPr>
                <w:sz w:val="16"/>
                <w:szCs w:val="16"/>
              </w:rPr>
              <w:t>23</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5AB10D1" w14:textId="67750F9F" w:rsidR="002A1319" w:rsidRPr="00B34D4F" w:rsidRDefault="002A1319" w:rsidP="001706A2">
            <w:pPr>
              <w:rPr>
                <w:sz w:val="16"/>
                <w:szCs w:val="16"/>
              </w:rPr>
            </w:pPr>
            <w:r w:rsidRPr="00B34D4F">
              <w:rPr>
                <w:sz w:val="16"/>
                <w:szCs w:val="16"/>
              </w:rPr>
              <w:t>1</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63325D2" w14:textId="013D52B7" w:rsidR="002A1319" w:rsidRPr="00B34D4F" w:rsidRDefault="002A1319" w:rsidP="00CA3E9E">
            <w:pPr>
              <w:rPr>
                <w:sz w:val="16"/>
                <w:szCs w:val="16"/>
              </w:rPr>
            </w:pPr>
            <w:r w:rsidRPr="00B34D4F">
              <w:rPr>
                <w:sz w:val="16"/>
                <w:szCs w:val="16"/>
              </w:rPr>
              <w:t>Ongoing</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33EE6CB" w14:textId="7790FF44" w:rsidR="002A1319" w:rsidRPr="00B34D4F" w:rsidRDefault="002A1319" w:rsidP="00B34D4F">
            <w:pPr>
              <w:rPr>
                <w:sz w:val="16"/>
                <w:szCs w:val="16"/>
              </w:rPr>
            </w:pPr>
            <w:r w:rsidRPr="00B34D4F">
              <w:rPr>
                <w:sz w:val="16"/>
                <w:szCs w:val="16"/>
              </w:rPr>
              <w:t>9</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F28DD1A" w14:textId="6228F559" w:rsidR="002A1319" w:rsidRPr="00B34D4F" w:rsidRDefault="002A1319" w:rsidP="00DB248E">
            <w:pPr>
              <w:rPr>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DB702BD" w14:textId="109DD256"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0F0F3C4" w14:textId="119ADFD2"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6C45748" w14:textId="7D894610" w:rsidR="002A1319" w:rsidRPr="00B34D4F" w:rsidRDefault="002A1319" w:rsidP="003E1FE2">
            <w:pPr>
              <w:rPr>
                <w:sz w:val="16"/>
                <w:szCs w:val="16"/>
              </w:rPr>
            </w:pPr>
            <w:r w:rsidRPr="00B34D4F">
              <w:rPr>
                <w:sz w:val="16"/>
                <w:szCs w:val="16"/>
              </w:rPr>
              <w:t>169</w:t>
            </w:r>
          </w:p>
        </w:tc>
      </w:tr>
      <w:tr w:rsidR="002A1319" w:rsidRPr="00E11762" w14:paraId="3B85F40D"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431B957" w14:textId="629C40DD" w:rsidR="002A1319" w:rsidRPr="00B34D4F" w:rsidRDefault="002A1319" w:rsidP="00065B26">
            <w:pPr>
              <w:rPr>
                <w:sz w:val="16"/>
                <w:szCs w:val="16"/>
              </w:rPr>
            </w:pPr>
            <w:r w:rsidRPr="00B34D4F">
              <w:rPr>
                <w:i/>
                <w:iCs/>
                <w:sz w:val="16"/>
                <w:szCs w:val="16"/>
              </w:rPr>
              <w:t>ALK</w:t>
            </w:r>
            <w:r w:rsidRPr="00B34D4F">
              <w:rPr>
                <w:sz w:val="16"/>
                <w:szCs w:val="16"/>
              </w:rPr>
              <w:t>- patients</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527630EE" w14:textId="77777777" w:rsidR="002A1319" w:rsidRPr="00B34D4F" w:rsidRDefault="002A1319" w:rsidP="00490E17">
            <w:pPr>
              <w:rPr>
                <w:sz w:val="16"/>
                <w:szCs w:val="16"/>
              </w:rPr>
            </w:pP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2A031EC" w14:textId="6737604C" w:rsidR="002A1319" w:rsidRPr="00B34D4F" w:rsidRDefault="002A1319" w:rsidP="00490E17">
            <w:pPr>
              <w:rPr>
                <w:sz w:val="16"/>
                <w:szCs w:val="16"/>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46A7F331" w14:textId="77777777" w:rsidR="002A1319" w:rsidRPr="00B34D4F" w:rsidRDefault="002A1319" w:rsidP="001706A2">
            <w:pPr>
              <w:rPr>
                <w:sz w:val="16"/>
                <w:szCs w:val="16"/>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34296B14" w14:textId="77777777" w:rsidR="002A1319" w:rsidRPr="00B34D4F" w:rsidRDefault="002A1319" w:rsidP="001706A2">
            <w:pPr>
              <w:rPr>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7087B6E" w14:textId="77777777" w:rsidR="002A1319" w:rsidRPr="00B34D4F" w:rsidRDefault="002A1319" w:rsidP="00CA3E9E">
            <w:pPr>
              <w:rPr>
                <w:sz w:val="16"/>
                <w:szCs w:val="16"/>
              </w:rPr>
            </w:pP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B74021B" w14:textId="77777777" w:rsidR="002A1319" w:rsidRPr="00B34D4F" w:rsidRDefault="002A1319" w:rsidP="00B34D4F">
            <w:pPr>
              <w:rPr>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C8182CC" w14:textId="77777777" w:rsidR="002A1319" w:rsidRPr="00B34D4F" w:rsidRDefault="002A1319" w:rsidP="00DB248E">
            <w:pPr>
              <w:rPr>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F83C6C5" w14:textId="77777777" w:rsidR="002A1319" w:rsidRPr="00B34D4F" w:rsidRDefault="002A1319" w:rsidP="00DB248E">
            <w:pPr>
              <w:rPr>
                <w:sz w:val="16"/>
                <w:szCs w:val="16"/>
              </w:rPr>
            </w:pP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D6D3461" w14:textId="77777777" w:rsidR="002A1319" w:rsidRPr="00B34D4F" w:rsidRDefault="002A1319" w:rsidP="003E1FE2">
            <w:pPr>
              <w:rPr>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17F4BA5" w14:textId="77777777" w:rsidR="002A1319" w:rsidRPr="00B34D4F" w:rsidRDefault="002A1319" w:rsidP="003E1FE2">
            <w:pPr>
              <w:rPr>
                <w:sz w:val="16"/>
                <w:szCs w:val="16"/>
              </w:rPr>
            </w:pPr>
          </w:p>
        </w:tc>
      </w:tr>
      <w:tr w:rsidR="002A1319" w:rsidRPr="00E11762" w14:paraId="2A694CCB"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CF05AFC" w14:textId="3AC3A02D" w:rsidR="002A1319" w:rsidRPr="00B34D4F" w:rsidRDefault="002A1319" w:rsidP="00065B26">
            <w:pPr>
              <w:rPr>
                <w:sz w:val="16"/>
                <w:szCs w:val="16"/>
              </w:rPr>
            </w:pPr>
            <w:r w:rsidRPr="00B34D4F">
              <w:rPr>
                <w:sz w:val="16"/>
                <w:szCs w:val="16"/>
              </w:rPr>
              <w:t>29</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7FA01EBC" w14:textId="1AA78351" w:rsidR="002A1319" w:rsidRPr="00B34D4F" w:rsidRDefault="009F4B39" w:rsidP="00490E17">
            <w:pPr>
              <w:rPr>
                <w:sz w:val="16"/>
                <w:szCs w:val="16"/>
              </w:rPr>
            </w:pPr>
            <w:r w:rsidRPr="002C39CC">
              <w:rPr>
                <w:color w:val="000000"/>
                <w:sz w:val="16"/>
                <w:szCs w:val="16"/>
              </w:rPr>
              <w:t>Trunk</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BDF3B3B" w14:textId="1B3FF4D4"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DF01D6D" w14:textId="4C5805A4"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0FA5B405" w14:textId="67DD4469"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972A543" w14:textId="7A5BF32D"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E3AD9D4" w14:textId="344D1BEA" w:rsidR="002A1319" w:rsidRPr="00B34D4F" w:rsidRDefault="002A1319" w:rsidP="00B34D4F">
            <w:pPr>
              <w:rPr>
                <w:sz w:val="16"/>
                <w:szCs w:val="16"/>
              </w:rPr>
            </w:pPr>
            <w:r w:rsidRPr="00B34D4F">
              <w:rPr>
                <w:sz w:val="16"/>
                <w:szCs w:val="16"/>
              </w:rPr>
              <w:t>6</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2C34F5D" w14:textId="0D349E94" w:rsidR="002A1319" w:rsidRPr="00B34D4F" w:rsidRDefault="002A1319" w:rsidP="00DB248E">
            <w:pPr>
              <w:rPr>
                <w:sz w:val="16"/>
                <w:szCs w:val="16"/>
              </w:rPr>
            </w:pPr>
            <w:r w:rsidRPr="00B34D4F">
              <w:rPr>
                <w:sz w:val="16"/>
                <w:szCs w:val="16"/>
              </w:rPr>
              <w:t>105</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9C88937" w14:textId="36B43A94"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D44C213" w14:textId="3B381D0D"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1D60422" w14:textId="32141D8B" w:rsidR="002A1319" w:rsidRPr="00B34D4F" w:rsidRDefault="002A1319" w:rsidP="003E1FE2">
            <w:pPr>
              <w:rPr>
                <w:sz w:val="16"/>
                <w:szCs w:val="16"/>
              </w:rPr>
            </w:pPr>
            <w:r w:rsidRPr="00B34D4F">
              <w:rPr>
                <w:sz w:val="16"/>
                <w:szCs w:val="16"/>
              </w:rPr>
              <w:t>1438</w:t>
            </w:r>
          </w:p>
        </w:tc>
      </w:tr>
      <w:tr w:rsidR="002A1319" w:rsidRPr="00E11762" w14:paraId="56B8C3AF"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846B90D" w14:textId="1A8138A8" w:rsidR="002A1319" w:rsidRPr="00B34D4F" w:rsidRDefault="002A1319" w:rsidP="00065B26">
            <w:pPr>
              <w:rPr>
                <w:sz w:val="16"/>
                <w:szCs w:val="16"/>
              </w:rPr>
            </w:pPr>
            <w:r w:rsidRPr="00B34D4F">
              <w:rPr>
                <w:sz w:val="16"/>
                <w:szCs w:val="16"/>
              </w:rPr>
              <w:t>88</w:t>
            </w:r>
            <w:r>
              <w:rPr>
                <w:sz w:val="16"/>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63D65A86" w14:textId="2BC7023D" w:rsidR="002A1319" w:rsidRPr="00B34D4F" w:rsidRDefault="009F4B39" w:rsidP="00490E17">
            <w:pPr>
              <w:rPr>
                <w:sz w:val="16"/>
                <w:szCs w:val="16"/>
              </w:rPr>
            </w:pPr>
            <w:r w:rsidRPr="002C39CC">
              <w:rPr>
                <w:color w:val="000000"/>
                <w:sz w:val="16"/>
                <w:szCs w:val="16"/>
              </w:rPr>
              <w:t>Other</w:t>
            </w:r>
            <w:r>
              <w:rPr>
                <w:color w:val="000000"/>
                <w:sz w:val="16"/>
                <w:szCs w:val="16"/>
              </w:rPr>
              <w:t xml:space="preserve"> </w:t>
            </w:r>
            <w:r w:rsidR="00E04084">
              <w:rPr>
                <w:color w:val="000000"/>
                <w:sz w:val="16"/>
                <w:szCs w:val="16"/>
              </w:rPr>
              <w:t>(</w:t>
            </w:r>
            <w:r>
              <w:rPr>
                <w:color w:val="000000"/>
                <w:sz w:val="16"/>
                <w:szCs w:val="16"/>
              </w:rPr>
              <w:t>left lung</w:t>
            </w:r>
            <w:r w:rsidR="00E04084">
              <w:rPr>
                <w:color w:val="000000"/>
                <w:sz w:val="16"/>
                <w:szCs w:val="16"/>
              </w:rPr>
              <w:t>)</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C35DE93" w14:textId="3CC81B91"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9A8765F" w14:textId="55524CE8"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2ED20852" w14:textId="515D45CF"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785A576" w14:textId="24E41AAB"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D299A73" w14:textId="207575D7" w:rsidR="002A1319" w:rsidRPr="00B34D4F" w:rsidRDefault="002A1319" w:rsidP="00B34D4F">
            <w:pPr>
              <w:rPr>
                <w:sz w:val="16"/>
                <w:szCs w:val="16"/>
              </w:rPr>
            </w:pPr>
            <w:r w:rsidRPr="00B34D4F">
              <w:rPr>
                <w:sz w:val="16"/>
                <w:szCs w:val="16"/>
              </w:rPr>
              <w:t>23</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0170DEA" w14:textId="55368F92" w:rsidR="002A1319" w:rsidRPr="00B34D4F" w:rsidRDefault="002A1319" w:rsidP="00DB248E">
            <w:pPr>
              <w:rPr>
                <w:sz w:val="16"/>
                <w:szCs w:val="16"/>
              </w:rPr>
            </w:pPr>
            <w:r w:rsidRPr="00B34D4F">
              <w:rPr>
                <w:sz w:val="16"/>
                <w:szCs w:val="16"/>
              </w:rPr>
              <w:t>480</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F7D7F35" w14:textId="292EC568" w:rsidR="002A1319" w:rsidRPr="00B34D4F" w:rsidRDefault="002A1319" w:rsidP="00DB248E">
            <w:pPr>
              <w:rPr>
                <w:sz w:val="16"/>
                <w:szCs w:val="16"/>
              </w:rPr>
            </w:pPr>
            <w:r w:rsidRPr="00B34D4F">
              <w:rPr>
                <w:sz w:val="16"/>
                <w:szCs w:val="16"/>
              </w:rPr>
              <w:t>Partial response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C85ECBE" w14:textId="0257F9CE" w:rsidR="002A1319" w:rsidRPr="00B34D4F" w:rsidRDefault="002A1319" w:rsidP="003E1FE2">
            <w:pPr>
              <w:rPr>
                <w:sz w:val="16"/>
                <w:szCs w:val="16"/>
              </w:rPr>
            </w:pPr>
            <w:r w:rsidRPr="00B34D4F">
              <w:rPr>
                <w:sz w:val="16"/>
                <w:szCs w:val="16"/>
              </w:rPr>
              <w:t>Death</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8D822B8" w14:textId="04171135" w:rsidR="002A1319" w:rsidRPr="00B34D4F" w:rsidRDefault="002A1319" w:rsidP="003E1FE2">
            <w:pPr>
              <w:rPr>
                <w:sz w:val="16"/>
                <w:szCs w:val="16"/>
              </w:rPr>
            </w:pPr>
            <w:r w:rsidRPr="00B34D4F">
              <w:rPr>
                <w:sz w:val="16"/>
                <w:szCs w:val="16"/>
              </w:rPr>
              <w:t>809</w:t>
            </w:r>
          </w:p>
        </w:tc>
      </w:tr>
      <w:tr w:rsidR="002A1319" w:rsidRPr="00E11762" w14:paraId="1D5A3819"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8E8926B" w14:textId="2926D486" w:rsidR="002A1319" w:rsidRPr="00B34D4F" w:rsidRDefault="002A1319" w:rsidP="00065B26">
            <w:pPr>
              <w:rPr>
                <w:sz w:val="16"/>
                <w:szCs w:val="16"/>
              </w:rPr>
            </w:pPr>
            <w:r w:rsidRPr="00B34D4F">
              <w:rPr>
                <w:sz w:val="16"/>
                <w:szCs w:val="16"/>
              </w:rPr>
              <w:t>118</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231B80A3" w14:textId="06823832" w:rsidR="002A1319" w:rsidRPr="00B34D4F" w:rsidRDefault="009F4B39" w:rsidP="00490E17">
            <w:pPr>
              <w:rPr>
                <w:sz w:val="16"/>
                <w:szCs w:val="16"/>
              </w:rPr>
            </w:pPr>
            <w:r w:rsidRPr="002C39CC">
              <w:rPr>
                <w:color w:val="000000"/>
                <w:sz w:val="16"/>
                <w:szCs w:val="16"/>
              </w:rPr>
              <w:t>Retro-intra abdominal</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D45C359" w14:textId="315BA025" w:rsidR="002A1319" w:rsidRPr="00B34D4F" w:rsidRDefault="002A1319" w:rsidP="00490E17">
            <w:pPr>
              <w:rPr>
                <w:sz w:val="16"/>
                <w:szCs w:val="16"/>
              </w:rPr>
            </w:pPr>
            <w:r w:rsidRPr="00B34D4F">
              <w:rPr>
                <w:sz w:val="16"/>
                <w:szCs w:val="16"/>
              </w:rPr>
              <w:t>metastatic</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8641B2D" w14:textId="7F1B2D9B"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13737221" w14:textId="50B1935C"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F97659A" w14:textId="0B2CDFE4"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E217D25" w14:textId="458A3EA5" w:rsidR="002A1319" w:rsidRPr="00B34D4F" w:rsidRDefault="002A1319" w:rsidP="00B34D4F">
            <w:pPr>
              <w:rPr>
                <w:sz w:val="16"/>
                <w:szCs w:val="16"/>
              </w:rPr>
            </w:pPr>
            <w:r w:rsidRPr="00B34D4F">
              <w:rPr>
                <w:sz w:val="16"/>
                <w:szCs w:val="16"/>
              </w:rPr>
              <w:t>8</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5CAB0C2" w14:textId="6392131C" w:rsidR="002A1319" w:rsidRPr="00B34D4F" w:rsidRDefault="002A1319" w:rsidP="00DB248E">
            <w:pPr>
              <w:rPr>
                <w:sz w:val="16"/>
                <w:szCs w:val="16"/>
              </w:rPr>
            </w:pPr>
            <w:r w:rsidRPr="00B34D4F">
              <w:rPr>
                <w:sz w:val="16"/>
                <w:szCs w:val="16"/>
              </w:rPr>
              <w:t>168</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BEBE4C8" w14:textId="75F40AD6"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3B4B27B" w14:textId="2E50A2A3" w:rsidR="002A1319" w:rsidRPr="00B34D4F" w:rsidRDefault="002A1319" w:rsidP="003E1FE2">
            <w:pPr>
              <w:rPr>
                <w:sz w:val="16"/>
                <w:szCs w:val="16"/>
              </w:rPr>
            </w:pPr>
            <w:r w:rsidRPr="00B34D4F">
              <w:rPr>
                <w:sz w:val="16"/>
                <w:szCs w:val="16"/>
              </w:rPr>
              <w:t>Death</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630131E" w14:textId="667C1A75" w:rsidR="002A1319" w:rsidRPr="00B34D4F" w:rsidRDefault="002A1319" w:rsidP="003E1FE2">
            <w:pPr>
              <w:rPr>
                <w:sz w:val="16"/>
                <w:szCs w:val="16"/>
              </w:rPr>
            </w:pPr>
            <w:r w:rsidRPr="00B34D4F">
              <w:rPr>
                <w:sz w:val="16"/>
                <w:szCs w:val="16"/>
              </w:rPr>
              <w:t>615</w:t>
            </w:r>
          </w:p>
        </w:tc>
      </w:tr>
      <w:tr w:rsidR="002A1319" w:rsidRPr="00E11762" w14:paraId="4BB1E679"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E5639B8" w14:textId="02E38AA0" w:rsidR="002A1319" w:rsidRPr="00B34D4F" w:rsidRDefault="002A1319" w:rsidP="00065B26">
            <w:pPr>
              <w:rPr>
                <w:sz w:val="16"/>
                <w:szCs w:val="16"/>
              </w:rPr>
            </w:pPr>
            <w:r w:rsidRPr="00B34D4F">
              <w:rPr>
                <w:sz w:val="16"/>
                <w:szCs w:val="16"/>
              </w:rPr>
              <w:t>122</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5B80B52F" w14:textId="09E30B15" w:rsidR="002A1319" w:rsidRPr="00B34D4F" w:rsidRDefault="009F4B39" w:rsidP="00490E17">
            <w:pPr>
              <w:rPr>
                <w:sz w:val="16"/>
                <w:szCs w:val="16"/>
              </w:rPr>
            </w:pPr>
            <w:r w:rsidRPr="002C39CC">
              <w:rPr>
                <w:color w:val="000000"/>
                <w:sz w:val="16"/>
                <w:szCs w:val="16"/>
              </w:rPr>
              <w:t>Trunk</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CF13A42" w14:textId="7122B4D8"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D54DDE7" w14:textId="1F71E6D9"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1BD1BE49" w14:textId="6FB1D5E4"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C7E78CD" w14:textId="67A691E9"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AED38B3" w14:textId="3CB7BD0F" w:rsidR="002A1319" w:rsidRPr="00B34D4F" w:rsidRDefault="002A1319" w:rsidP="00B34D4F">
            <w:pPr>
              <w:rPr>
                <w:sz w:val="16"/>
                <w:szCs w:val="16"/>
              </w:rPr>
            </w:pPr>
            <w:r w:rsidRPr="00B34D4F">
              <w:rPr>
                <w:sz w:val="16"/>
                <w:szCs w:val="16"/>
              </w:rPr>
              <w:t>4</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9A4F7FB" w14:textId="6FDCCEB9" w:rsidR="002A1319" w:rsidRPr="00B34D4F" w:rsidRDefault="002A1319" w:rsidP="00DB248E">
            <w:pPr>
              <w:rPr>
                <w:sz w:val="16"/>
                <w:szCs w:val="16"/>
              </w:rPr>
            </w:pPr>
            <w:r w:rsidRPr="00B34D4F">
              <w:rPr>
                <w:sz w:val="16"/>
                <w:szCs w:val="16"/>
              </w:rPr>
              <w:t>85</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8CA2091" w14:textId="04F38D17"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D501FFD" w14:textId="0E7864D4" w:rsidR="002A1319" w:rsidRPr="00B34D4F" w:rsidRDefault="002A1319" w:rsidP="003E1FE2">
            <w:pPr>
              <w:rPr>
                <w:sz w:val="16"/>
                <w:szCs w:val="16"/>
              </w:rPr>
            </w:pPr>
            <w:r w:rsidRPr="00B34D4F">
              <w:rPr>
                <w:sz w:val="16"/>
                <w:szCs w:val="16"/>
              </w:rPr>
              <w:t>Death</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5E7E110" w14:textId="3BC0D8B5" w:rsidR="002A1319" w:rsidRPr="00B34D4F" w:rsidRDefault="002A1319" w:rsidP="003E1FE2">
            <w:pPr>
              <w:rPr>
                <w:sz w:val="16"/>
                <w:szCs w:val="16"/>
              </w:rPr>
            </w:pPr>
            <w:r w:rsidRPr="00B34D4F">
              <w:rPr>
                <w:sz w:val="16"/>
                <w:szCs w:val="16"/>
              </w:rPr>
              <w:t>240</w:t>
            </w:r>
          </w:p>
        </w:tc>
      </w:tr>
      <w:tr w:rsidR="002A1319" w:rsidRPr="00E11762" w14:paraId="568CD08A"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AF8AE60" w14:textId="732932F1" w:rsidR="002A1319" w:rsidRPr="00B34D4F" w:rsidRDefault="002A1319" w:rsidP="00065B26">
            <w:pPr>
              <w:rPr>
                <w:sz w:val="16"/>
                <w:szCs w:val="16"/>
              </w:rPr>
            </w:pPr>
            <w:r w:rsidRPr="00B34D4F">
              <w:rPr>
                <w:sz w:val="16"/>
                <w:szCs w:val="16"/>
              </w:rPr>
              <w:t>161</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4E7ACD79" w14:textId="79DF3018" w:rsidR="002A1319" w:rsidRPr="00B34D4F" w:rsidRDefault="009F4B39" w:rsidP="00490E17">
            <w:pPr>
              <w:rPr>
                <w:sz w:val="16"/>
                <w:szCs w:val="16"/>
              </w:rPr>
            </w:pPr>
            <w:r w:rsidRPr="002C39CC">
              <w:rPr>
                <w:color w:val="000000"/>
                <w:sz w:val="16"/>
                <w:szCs w:val="16"/>
              </w:rPr>
              <w:t>Retro-intra abdominal</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14652F2" w14:textId="73B3A982"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21E8DEFD" w14:textId="6A971D2A"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7DBF57EA" w14:textId="4246C433"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2FAE2A6" w14:textId="1F3AD322"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DD5BC17" w14:textId="511D95E7" w:rsidR="002A1319" w:rsidRPr="00B34D4F" w:rsidRDefault="002A1319" w:rsidP="00B34D4F">
            <w:pPr>
              <w:rPr>
                <w:sz w:val="16"/>
                <w:szCs w:val="16"/>
              </w:rPr>
            </w:pPr>
            <w:r w:rsidRPr="00B34D4F">
              <w:rPr>
                <w:sz w:val="16"/>
                <w:szCs w:val="16"/>
              </w:rPr>
              <w:t>2</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B9DAAA1" w14:textId="770CADF6" w:rsidR="002A1319" w:rsidRPr="00B34D4F" w:rsidRDefault="002A1319" w:rsidP="00DB248E">
            <w:pPr>
              <w:rPr>
                <w:sz w:val="16"/>
                <w:szCs w:val="16"/>
              </w:rPr>
            </w:pPr>
            <w:r w:rsidRPr="00B34D4F">
              <w:rPr>
                <w:sz w:val="16"/>
                <w:szCs w:val="16"/>
              </w:rPr>
              <w:t>43</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AA7BF07" w14:textId="3C7AAE8D"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0582F89" w14:textId="49873E8C"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22452E4" w14:textId="64776D34" w:rsidR="002A1319" w:rsidRPr="00B34D4F" w:rsidRDefault="002A1319" w:rsidP="003E1FE2">
            <w:pPr>
              <w:rPr>
                <w:sz w:val="16"/>
                <w:szCs w:val="16"/>
              </w:rPr>
            </w:pPr>
            <w:r w:rsidRPr="00B34D4F">
              <w:rPr>
                <w:sz w:val="16"/>
                <w:szCs w:val="16"/>
              </w:rPr>
              <w:t>897</w:t>
            </w:r>
          </w:p>
        </w:tc>
      </w:tr>
      <w:tr w:rsidR="002A1319" w:rsidRPr="00E11762" w14:paraId="60195252"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8D33FA9" w14:textId="46780D9F" w:rsidR="002A1319" w:rsidRPr="00B34D4F" w:rsidRDefault="002A1319" w:rsidP="00065B26">
            <w:pPr>
              <w:rPr>
                <w:sz w:val="16"/>
                <w:szCs w:val="16"/>
              </w:rPr>
            </w:pPr>
            <w:r w:rsidRPr="00B34D4F">
              <w:rPr>
                <w:sz w:val="16"/>
                <w:szCs w:val="16"/>
              </w:rPr>
              <w:t>163</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488112A5" w14:textId="6B722005" w:rsidR="002A1319" w:rsidRPr="00B34D4F" w:rsidRDefault="009F4B39" w:rsidP="00490E17">
            <w:pPr>
              <w:rPr>
                <w:sz w:val="16"/>
                <w:szCs w:val="16"/>
              </w:rPr>
            </w:pPr>
            <w:r w:rsidRPr="002C39CC">
              <w:rPr>
                <w:color w:val="000000"/>
                <w:sz w:val="16"/>
                <w:szCs w:val="16"/>
              </w:rPr>
              <w:t>Retro-intra abdominal</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B3E1135" w14:textId="58296E80" w:rsidR="002A1319" w:rsidRPr="00B34D4F" w:rsidRDefault="002A1319" w:rsidP="00490E17">
            <w:pPr>
              <w:rPr>
                <w:sz w:val="16"/>
                <w:szCs w:val="16"/>
              </w:rPr>
            </w:pPr>
            <w:r w:rsidRPr="00B34D4F">
              <w:rPr>
                <w:sz w:val="16"/>
                <w:szCs w:val="16"/>
              </w:rPr>
              <w:t>metastatic</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726FDCA" w14:textId="13FF9C9A" w:rsidR="002A1319" w:rsidRPr="00B34D4F" w:rsidRDefault="002A1319" w:rsidP="001706A2">
            <w:pPr>
              <w:rPr>
                <w:sz w:val="16"/>
                <w:szCs w:val="16"/>
              </w:rPr>
            </w:pPr>
            <w:r w:rsidRPr="00B34D4F">
              <w:rPr>
                <w:sz w:val="16"/>
                <w:szCs w:val="16"/>
              </w:rPr>
              <w:t>12</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DE2F8A3" w14:textId="50276E53"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0790D5F" w14:textId="243BD6EA" w:rsidR="002A1319" w:rsidRPr="00B34D4F" w:rsidRDefault="002A1319" w:rsidP="00CA3E9E">
            <w:pPr>
              <w:rPr>
                <w:sz w:val="16"/>
                <w:szCs w:val="16"/>
              </w:rPr>
            </w:pPr>
            <w:r w:rsidRPr="00B34D4F">
              <w:rPr>
                <w:sz w:val="16"/>
                <w:szCs w:val="16"/>
              </w:rPr>
              <w:t>Ongoing</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F02C28A" w14:textId="0ADD8EED" w:rsidR="002A1319" w:rsidRPr="00B34D4F" w:rsidRDefault="002A1319" w:rsidP="00B34D4F">
            <w:pPr>
              <w:rPr>
                <w:sz w:val="16"/>
                <w:szCs w:val="16"/>
              </w:rPr>
            </w:pPr>
            <w:r w:rsidRPr="00B34D4F">
              <w:rPr>
                <w:sz w:val="16"/>
                <w:szCs w:val="16"/>
              </w:rPr>
              <w:t>42</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7EDF77C" w14:textId="77777777" w:rsidR="002A1319" w:rsidRPr="00B34D4F" w:rsidRDefault="002A1319" w:rsidP="00DB248E">
            <w:pPr>
              <w:rPr>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F3C113D" w14:textId="70C0C8C6" w:rsidR="002A1319" w:rsidRPr="00B34D4F" w:rsidRDefault="002A1319" w:rsidP="00DB248E">
            <w:pPr>
              <w:rPr>
                <w:sz w:val="16"/>
                <w:szCs w:val="16"/>
              </w:rPr>
            </w:pPr>
            <w:r w:rsidRPr="00B34D4F">
              <w:rPr>
                <w:sz w:val="16"/>
                <w:szCs w:val="16"/>
              </w:rPr>
              <w:t>Not evaluable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E6E05AF" w14:textId="2EE35A5A"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DDCF114" w14:textId="630E0370" w:rsidR="002A1319" w:rsidRPr="00B34D4F" w:rsidRDefault="002A1319" w:rsidP="003E1FE2">
            <w:pPr>
              <w:rPr>
                <w:sz w:val="16"/>
                <w:szCs w:val="16"/>
              </w:rPr>
            </w:pPr>
            <w:r w:rsidRPr="00B34D4F">
              <w:rPr>
                <w:sz w:val="16"/>
                <w:szCs w:val="16"/>
              </w:rPr>
              <w:t>863</w:t>
            </w:r>
          </w:p>
        </w:tc>
      </w:tr>
      <w:tr w:rsidR="002A1319" w:rsidRPr="00E11762" w14:paraId="3F172E2E"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19FCE9C" w14:textId="77537D9D" w:rsidR="002A1319" w:rsidRPr="00B34D4F" w:rsidRDefault="002A1319" w:rsidP="00065B26">
            <w:pPr>
              <w:rPr>
                <w:sz w:val="16"/>
                <w:szCs w:val="16"/>
              </w:rPr>
            </w:pPr>
            <w:r w:rsidRPr="00B34D4F">
              <w:rPr>
                <w:sz w:val="16"/>
                <w:szCs w:val="16"/>
              </w:rPr>
              <w:t>188</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3155928E" w14:textId="38A89B5A" w:rsidR="002A1319" w:rsidRPr="00B34D4F" w:rsidRDefault="009F4B39" w:rsidP="009F4B39">
            <w:pPr>
              <w:rPr>
                <w:sz w:val="16"/>
                <w:szCs w:val="16"/>
              </w:rPr>
            </w:pPr>
            <w:r w:rsidRPr="002C39CC">
              <w:rPr>
                <w:color w:val="000000"/>
                <w:sz w:val="16"/>
                <w:szCs w:val="16"/>
              </w:rPr>
              <w:t>Visceral genitourinary</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AC63681" w14:textId="1AB51E3C" w:rsidR="002A1319" w:rsidRPr="00B34D4F" w:rsidRDefault="002A1319" w:rsidP="00490E17">
            <w:pPr>
              <w:rPr>
                <w:sz w:val="16"/>
                <w:szCs w:val="16"/>
              </w:rPr>
            </w:pPr>
            <w:r w:rsidRPr="00B34D4F">
              <w:rPr>
                <w:sz w:val="16"/>
                <w:szCs w:val="16"/>
              </w:rPr>
              <w:t>primary</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125A1D8" w14:textId="78E2356C"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5BBEB109" w14:textId="192872C3"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6DAFA722" w14:textId="11F9E712" w:rsidR="002A1319" w:rsidRPr="00B34D4F" w:rsidRDefault="002A1319" w:rsidP="00CA3E9E">
            <w:pPr>
              <w:rPr>
                <w:sz w:val="16"/>
                <w:szCs w:val="16"/>
              </w:rPr>
            </w:pPr>
            <w:r w:rsidRPr="00B34D4F">
              <w:rPr>
                <w:sz w:val="16"/>
                <w:szCs w:val="16"/>
              </w:rPr>
              <w:t>Stopped</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6ABA297" w14:textId="1AE977DB" w:rsidR="002A1319" w:rsidRPr="00B34D4F" w:rsidRDefault="002A1319" w:rsidP="00B34D4F">
            <w:pPr>
              <w:rPr>
                <w:sz w:val="16"/>
                <w:szCs w:val="16"/>
              </w:rPr>
            </w:pPr>
            <w:r w:rsidRPr="00B34D4F">
              <w:rPr>
                <w:sz w:val="16"/>
                <w:szCs w:val="16"/>
              </w:rPr>
              <w:t>2</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189293D" w14:textId="09A7DEFC" w:rsidR="002A1319" w:rsidRPr="00B34D4F" w:rsidRDefault="002A1319" w:rsidP="00DB248E">
            <w:pPr>
              <w:rPr>
                <w:sz w:val="16"/>
                <w:szCs w:val="16"/>
              </w:rPr>
            </w:pPr>
            <w:r w:rsidRPr="00B34D4F">
              <w:rPr>
                <w:sz w:val="16"/>
                <w:szCs w:val="16"/>
              </w:rPr>
              <w:t>41</w:t>
            </w: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5FFCD59" w14:textId="08221589" w:rsidR="002A1319" w:rsidRPr="00B34D4F" w:rsidRDefault="002A1319" w:rsidP="00DB248E">
            <w:pPr>
              <w:rPr>
                <w:sz w:val="16"/>
                <w:szCs w:val="16"/>
              </w:rPr>
            </w:pPr>
            <w:r w:rsidRPr="00B34D4F">
              <w:rPr>
                <w:sz w:val="16"/>
                <w:szCs w:val="16"/>
              </w:rPr>
              <w:t>Progressive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41758E0C" w14:textId="1EA0CDC9"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5D748F8" w14:textId="1A036785" w:rsidR="002A1319" w:rsidRPr="00B34D4F" w:rsidRDefault="002A1319" w:rsidP="003E1FE2">
            <w:pPr>
              <w:rPr>
                <w:sz w:val="16"/>
                <w:szCs w:val="16"/>
              </w:rPr>
            </w:pPr>
            <w:r w:rsidRPr="00B34D4F">
              <w:rPr>
                <w:sz w:val="16"/>
                <w:szCs w:val="16"/>
              </w:rPr>
              <w:t>373</w:t>
            </w:r>
          </w:p>
        </w:tc>
      </w:tr>
      <w:tr w:rsidR="002A1319" w:rsidRPr="00E11762" w14:paraId="2BA158FB" w14:textId="77777777" w:rsidTr="002A1319">
        <w:trPr>
          <w:cantSplit/>
          <w:jc w:val="center"/>
        </w:trPr>
        <w:tc>
          <w:tcPr>
            <w:tcW w:w="653"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A4A83C3" w14:textId="2284847A" w:rsidR="002A1319" w:rsidRPr="00B34D4F" w:rsidRDefault="002A1319" w:rsidP="00065B26">
            <w:pPr>
              <w:rPr>
                <w:sz w:val="16"/>
                <w:szCs w:val="16"/>
              </w:rPr>
            </w:pPr>
            <w:r w:rsidRPr="00B34D4F">
              <w:rPr>
                <w:sz w:val="16"/>
                <w:szCs w:val="16"/>
              </w:rPr>
              <w:t>196</w:t>
            </w:r>
            <w:r>
              <w:rPr>
                <w:sz w:val="16"/>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FFFFFF"/>
          </w:tcPr>
          <w:p w14:paraId="5A9CF1B9" w14:textId="512B20CF" w:rsidR="002A1319" w:rsidRPr="00B34D4F" w:rsidRDefault="00101BEC" w:rsidP="00490E17">
            <w:pPr>
              <w:rPr>
                <w:sz w:val="16"/>
                <w:szCs w:val="16"/>
              </w:rPr>
            </w:pPr>
            <w:r w:rsidRPr="002C39CC">
              <w:rPr>
                <w:color w:val="000000"/>
                <w:sz w:val="16"/>
                <w:szCs w:val="16"/>
              </w:rPr>
              <w:t>Thorax</w:t>
            </w:r>
            <w:r w:rsidR="00E04084">
              <w:rPr>
                <w:color w:val="000000"/>
                <w:sz w:val="16"/>
                <w:szCs w:val="16"/>
              </w:rPr>
              <w:t xml:space="preserve"> (</w:t>
            </w:r>
            <w:r>
              <w:rPr>
                <w:color w:val="000000"/>
                <w:sz w:val="16"/>
                <w:szCs w:val="16"/>
              </w:rPr>
              <w:t>lung</w:t>
            </w:r>
            <w:r w:rsidR="00E04084">
              <w:rPr>
                <w:color w:val="000000"/>
                <w:sz w:val="16"/>
                <w:szCs w:val="16"/>
              </w:rPr>
              <w:t>)</w:t>
            </w:r>
          </w:p>
        </w:tc>
        <w:tc>
          <w:tcPr>
            <w:tcW w:w="456"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77ADB1D8" w14:textId="3AE41240" w:rsidR="002A1319" w:rsidRPr="00B34D4F" w:rsidRDefault="002A1319" w:rsidP="00490E17">
            <w:pPr>
              <w:rPr>
                <w:sz w:val="16"/>
                <w:szCs w:val="16"/>
              </w:rPr>
            </w:pPr>
            <w:r w:rsidRPr="00B34D4F">
              <w:rPr>
                <w:sz w:val="16"/>
                <w:szCs w:val="16"/>
              </w:rPr>
              <w:t>metastatic</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D8C9BC9" w14:textId="7E1320C8" w:rsidR="002A1319" w:rsidRPr="00B34D4F" w:rsidRDefault="002A1319" w:rsidP="001706A2">
            <w:pPr>
              <w:rPr>
                <w:sz w:val="16"/>
                <w:szCs w:val="16"/>
              </w:rPr>
            </w:pPr>
            <w:r w:rsidRPr="00B34D4F">
              <w:rPr>
                <w:sz w:val="16"/>
                <w:szCs w:val="16"/>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764152A5" w14:textId="3EDD9783" w:rsidR="002A1319" w:rsidRPr="00B34D4F" w:rsidRDefault="002A1319" w:rsidP="001706A2">
            <w:pPr>
              <w:rPr>
                <w:sz w:val="16"/>
                <w:szCs w:val="16"/>
              </w:rPr>
            </w:pPr>
            <w:r w:rsidRPr="00B34D4F">
              <w:rPr>
                <w:sz w:val="16"/>
                <w:szCs w:val="16"/>
              </w:rPr>
              <w:t>0</w:t>
            </w:r>
          </w:p>
        </w:tc>
        <w:tc>
          <w:tcPr>
            <w:tcW w:w="491"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51E2F503" w14:textId="6553731E" w:rsidR="002A1319" w:rsidRPr="00B34D4F" w:rsidRDefault="002A1319" w:rsidP="00CA3E9E">
            <w:pPr>
              <w:rPr>
                <w:sz w:val="16"/>
                <w:szCs w:val="16"/>
              </w:rPr>
            </w:pPr>
            <w:r w:rsidRPr="00B34D4F">
              <w:rPr>
                <w:sz w:val="16"/>
                <w:szCs w:val="16"/>
              </w:rPr>
              <w:t>Ongoing</w:t>
            </w:r>
          </w:p>
        </w:tc>
        <w:tc>
          <w:tcPr>
            <w:tcW w:w="325"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0ADE5FD7" w14:textId="0685914E" w:rsidR="002A1319" w:rsidRPr="00B34D4F" w:rsidRDefault="002A1319" w:rsidP="00B34D4F">
            <w:pPr>
              <w:rPr>
                <w:sz w:val="16"/>
                <w:szCs w:val="16"/>
              </w:rPr>
            </w:pPr>
            <w:r w:rsidRPr="00B34D4F">
              <w:rPr>
                <w:sz w:val="16"/>
                <w:szCs w:val="16"/>
              </w:rPr>
              <w:t>8</w:t>
            </w:r>
          </w:p>
        </w:tc>
        <w:tc>
          <w:tcPr>
            <w:tcW w:w="230"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100F763A" w14:textId="77777777" w:rsidR="002A1319" w:rsidRPr="00B34D4F" w:rsidRDefault="002A1319" w:rsidP="00DB248E">
            <w:pPr>
              <w:rPr>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C374E9C" w14:textId="4D240918" w:rsidR="002A1319" w:rsidRPr="00B34D4F" w:rsidRDefault="002A1319" w:rsidP="00DB248E">
            <w:pPr>
              <w:rPr>
                <w:sz w:val="16"/>
                <w:szCs w:val="16"/>
              </w:rPr>
            </w:pPr>
            <w:r w:rsidRPr="00B34D4F">
              <w:rPr>
                <w:sz w:val="16"/>
                <w:szCs w:val="16"/>
              </w:rPr>
              <w:t>Stable disease</w:t>
            </w:r>
          </w:p>
        </w:tc>
        <w:tc>
          <w:tcPr>
            <w:tcW w:w="42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30CF91B6" w14:textId="7A7DBA8D" w:rsidR="002A1319" w:rsidRPr="00B34D4F" w:rsidRDefault="002A1319" w:rsidP="003E1FE2">
            <w:pPr>
              <w:rPr>
                <w:sz w:val="16"/>
                <w:szCs w:val="16"/>
              </w:rPr>
            </w:pPr>
            <w:r w:rsidRPr="00B34D4F">
              <w:rPr>
                <w:sz w:val="16"/>
                <w:szCs w:val="16"/>
              </w:rPr>
              <w:t>Alive</w:t>
            </w:r>
          </w:p>
        </w:tc>
        <w:tc>
          <w:tcPr>
            <w:tcW w:w="382" w:type="pc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14:paraId="2615C132" w14:textId="04F6FA1C" w:rsidR="002A1319" w:rsidRPr="00B34D4F" w:rsidRDefault="002A1319" w:rsidP="003E1FE2">
            <w:pPr>
              <w:rPr>
                <w:sz w:val="16"/>
                <w:szCs w:val="16"/>
              </w:rPr>
            </w:pPr>
            <w:r w:rsidRPr="00B34D4F">
              <w:rPr>
                <w:sz w:val="16"/>
                <w:szCs w:val="16"/>
              </w:rPr>
              <w:t>168</w:t>
            </w:r>
          </w:p>
        </w:tc>
      </w:tr>
    </w:tbl>
    <w:p w14:paraId="3E575C9D" w14:textId="41DA3B67" w:rsidR="00997082" w:rsidRPr="00D65912" w:rsidRDefault="00C118F6" w:rsidP="00065B26">
      <w:r w:rsidRPr="00524D52">
        <w:t>Legend:</w:t>
      </w:r>
      <w:r w:rsidR="00C564FC" w:rsidRPr="00524D52">
        <w:rPr>
          <w:rStyle w:val="Hyperlink"/>
          <w:color w:val="auto"/>
          <w:u w:val="none"/>
        </w:rPr>
        <w:t xml:space="preserve"> </w:t>
      </w:r>
      <w:r w:rsidR="00766547">
        <w:rPr>
          <w:rStyle w:val="Hyperlink"/>
          <w:color w:val="auto"/>
          <w:u w:val="none"/>
        </w:rPr>
        <w:t>*Four patients with thoracic primary tumors</w:t>
      </w:r>
      <w:r w:rsidR="005912AE">
        <w:rPr>
          <w:rStyle w:val="Hyperlink"/>
          <w:color w:val="auto"/>
          <w:u w:val="none"/>
        </w:rPr>
        <w:t xml:space="preserve">, two of whom were </w:t>
      </w:r>
      <w:r w:rsidR="005912AE" w:rsidRPr="005912AE">
        <w:rPr>
          <w:rStyle w:val="Hyperlink"/>
          <w:i/>
          <w:color w:val="auto"/>
          <w:u w:val="none"/>
        </w:rPr>
        <w:t>ALK</w:t>
      </w:r>
      <w:r w:rsidR="005912AE">
        <w:rPr>
          <w:rStyle w:val="Hyperlink"/>
          <w:color w:val="auto"/>
          <w:u w:val="none"/>
        </w:rPr>
        <w:t xml:space="preserve">+ and the other two were </w:t>
      </w:r>
      <w:r w:rsidR="005912AE" w:rsidRPr="005912AE">
        <w:rPr>
          <w:rStyle w:val="Hyperlink"/>
          <w:i/>
          <w:color w:val="auto"/>
          <w:u w:val="none"/>
        </w:rPr>
        <w:t>ALK</w:t>
      </w:r>
      <w:r w:rsidR="005912AE">
        <w:rPr>
          <w:rStyle w:val="Hyperlink"/>
          <w:color w:val="auto"/>
          <w:u w:val="none"/>
        </w:rPr>
        <w:t>-</w:t>
      </w:r>
      <w:r w:rsidR="00766547">
        <w:rPr>
          <w:rStyle w:val="Hyperlink"/>
          <w:color w:val="auto"/>
          <w:u w:val="none"/>
        </w:rPr>
        <w:t xml:space="preserve">. </w:t>
      </w:r>
      <w:r w:rsidR="00A9399A" w:rsidRPr="008007A5">
        <w:rPr>
          <w:rStyle w:val="Hyperlink"/>
          <w:color w:val="auto"/>
          <w:u w:val="none"/>
          <w:vertAlign w:val="superscript"/>
        </w:rPr>
        <w:t>‡</w:t>
      </w:r>
      <w:r w:rsidR="00A9399A" w:rsidRPr="002C39CC">
        <w:rPr>
          <w:color w:val="000000"/>
        </w:rPr>
        <w:t>Diagnosis:</w:t>
      </w:r>
      <w:r w:rsidR="00A9399A">
        <w:rPr>
          <w:color w:val="000000"/>
        </w:rPr>
        <w:t xml:space="preserve"> l</w:t>
      </w:r>
      <w:r w:rsidR="00A9399A" w:rsidRPr="002C39CC">
        <w:rPr>
          <w:color w:val="000000"/>
        </w:rPr>
        <w:t>ow-grade myofibroblastic tumor originating in the left retromolar area</w:t>
      </w:r>
      <w:r w:rsidR="00A9399A">
        <w:rPr>
          <w:color w:val="000000"/>
        </w:rPr>
        <w:t xml:space="preserve"> (a</w:t>
      </w:r>
      <w:r w:rsidR="00A9399A" w:rsidRPr="002C39CC">
        <w:rPr>
          <w:color w:val="000000"/>
        </w:rPr>
        <w:t>t enrolment:</w:t>
      </w:r>
      <w:r w:rsidR="00A9399A">
        <w:rPr>
          <w:color w:val="000000"/>
        </w:rPr>
        <w:t xml:space="preserve"> p</w:t>
      </w:r>
      <w:r w:rsidR="00A9399A" w:rsidRPr="002C39CC">
        <w:rPr>
          <w:color w:val="000000"/>
        </w:rPr>
        <w:t>rogressive disease in maxillectomy bed and lung</w:t>
      </w:r>
      <w:r w:rsidR="00A9399A">
        <w:rPr>
          <w:color w:val="000000"/>
        </w:rPr>
        <w:t>).</w:t>
      </w:r>
      <w:r w:rsidR="00A9399A">
        <w:rPr>
          <w:rStyle w:val="Hyperlink"/>
          <w:color w:val="auto"/>
          <w:u w:val="none"/>
        </w:rPr>
        <w:t xml:space="preserve"> </w:t>
      </w:r>
      <w:r w:rsidR="00C34D80">
        <w:rPr>
          <w:rStyle w:val="Hyperlink"/>
          <w:color w:val="auto"/>
          <w:u w:val="none"/>
        </w:rPr>
        <w:t xml:space="preserve">ALK, </w:t>
      </w:r>
      <w:r w:rsidR="00C34D80" w:rsidRPr="00524D52">
        <w:rPr>
          <w:rStyle w:val="Strong"/>
          <w:b w:val="0"/>
        </w:rPr>
        <w:t>anaplastic lymphoma kinase</w:t>
      </w:r>
      <w:r w:rsidR="00C34D80">
        <w:rPr>
          <w:rStyle w:val="Strong"/>
          <w:b w:val="0"/>
        </w:rPr>
        <w:t xml:space="preserve">; </w:t>
      </w:r>
      <w:r w:rsidR="00C34D80">
        <w:t xml:space="preserve">IHC, </w:t>
      </w:r>
      <w:r w:rsidR="00C34D80" w:rsidRPr="009665DA">
        <w:rPr>
          <w:lang w:val="en-GB"/>
        </w:rPr>
        <w:t>immunohistochemistry</w:t>
      </w:r>
      <w:r w:rsidR="00C34D80">
        <w:rPr>
          <w:lang w:val="en-GB"/>
        </w:rPr>
        <w:t>;</w:t>
      </w:r>
      <w:r w:rsidR="00C34D80" w:rsidRPr="00524D52">
        <w:rPr>
          <w:rStyle w:val="Strong"/>
        </w:rPr>
        <w:t xml:space="preserve"> </w:t>
      </w:r>
      <w:r w:rsidR="00C564FC" w:rsidRPr="00151D6C">
        <w:t xml:space="preserve">RECIST, Response Evaluation Criteria in Solid </w:t>
      </w:r>
      <w:r w:rsidR="00CE6385" w:rsidRPr="00151D6C">
        <w:t>Tumor</w:t>
      </w:r>
      <w:r w:rsidR="00C564FC" w:rsidRPr="00151D6C">
        <w:t>s</w:t>
      </w:r>
      <w:r w:rsidR="00C34D80">
        <w:t>.</w:t>
      </w:r>
      <w:r w:rsidR="001A3CA0" w:rsidRPr="00D65912">
        <w:t xml:space="preserve"> </w:t>
      </w:r>
      <w:r w:rsidR="00997082" w:rsidRPr="00D65912">
        <w:br w:type="page"/>
      </w:r>
    </w:p>
    <w:p w14:paraId="7CA0BDF2" w14:textId="79839EA3" w:rsidR="006A7880" w:rsidRPr="00BD5140" w:rsidRDefault="00997082" w:rsidP="00065B26">
      <w:r w:rsidRPr="00BD5140">
        <w:rPr>
          <w:b/>
        </w:rPr>
        <w:t>Table 2</w:t>
      </w:r>
      <w:r w:rsidR="00CA293D" w:rsidRPr="00BD5140">
        <w:rPr>
          <w:b/>
        </w:rPr>
        <w:t xml:space="preserve">. </w:t>
      </w:r>
      <w:r w:rsidR="00CA293D" w:rsidRPr="00BD5140">
        <w:t>Key characteristics</w:t>
      </w:r>
      <w:r w:rsidR="00D03C26" w:rsidRPr="00BD5140">
        <w:t xml:space="preserve"> </w:t>
      </w:r>
      <w:r w:rsidR="00D03C26" w:rsidRPr="0064070A">
        <w:rPr>
          <w:lang w:val="en-GB"/>
        </w:rPr>
        <w:t>of IMFT patient</w:t>
      </w:r>
      <w:r w:rsidR="00D03C26">
        <w:rPr>
          <w:lang w:val="en-GB"/>
        </w:rPr>
        <w:t xml:space="preserve"> treated with crizotinib</w:t>
      </w:r>
      <w:r w:rsidR="00CA293D" w:rsidRPr="00BD5140">
        <w:t>.</w:t>
      </w:r>
      <w:r w:rsidR="00CD04E1" w:rsidRPr="00BD5140">
        <w:t xml:space="preserve"> </w:t>
      </w:r>
    </w:p>
    <w:p w14:paraId="2128A8CA" w14:textId="0CBABBD3" w:rsidR="00DB03D4" w:rsidRPr="00BD5140" w:rsidRDefault="00DB03D4" w:rsidP="00490E17">
      <w:pPr>
        <w:rPr>
          <w:rStyle w:val="Hyperlink"/>
          <w:color w:val="auto"/>
          <w:u w:val="none"/>
        </w:rPr>
      </w:pPr>
    </w:p>
    <w:tbl>
      <w:tblPr>
        <w:tblW w:w="0" w:type="auto"/>
        <w:jc w:val="center"/>
        <w:tblCellMar>
          <w:left w:w="0" w:type="dxa"/>
          <w:right w:w="0" w:type="dxa"/>
        </w:tblCellMar>
        <w:tblLook w:val="0000" w:firstRow="0" w:lastRow="0" w:firstColumn="0" w:lastColumn="0" w:noHBand="0" w:noVBand="0"/>
      </w:tblPr>
      <w:tblGrid>
        <w:gridCol w:w="4393"/>
        <w:gridCol w:w="1352"/>
        <w:gridCol w:w="1352"/>
        <w:gridCol w:w="1353"/>
      </w:tblGrid>
      <w:tr w:rsidR="000C14A3" w:rsidRPr="00E11762" w14:paraId="1F254FAE" w14:textId="77777777" w:rsidTr="000C14A3">
        <w:trPr>
          <w:cantSplit/>
          <w:tblHeader/>
          <w:jc w:val="center"/>
        </w:trPr>
        <w:tc>
          <w:tcPr>
            <w:tcW w:w="4393" w:type="dxa"/>
            <w:tcBorders>
              <w:top w:val="single" w:sz="4" w:space="0" w:color="auto"/>
              <w:left w:val="single" w:sz="4" w:space="0" w:color="auto"/>
              <w:right w:val="nil"/>
            </w:tcBorders>
            <w:shd w:val="clear" w:color="auto" w:fill="E0E0E0"/>
            <w:tcMar>
              <w:left w:w="40" w:type="dxa"/>
              <w:right w:w="40" w:type="dxa"/>
            </w:tcMar>
            <w:vAlign w:val="bottom"/>
          </w:tcPr>
          <w:p w14:paraId="1268ACDD" w14:textId="77777777" w:rsidR="000C14A3" w:rsidRPr="00B34D4F" w:rsidRDefault="000C14A3" w:rsidP="001706A2">
            <w:pPr>
              <w:rPr>
                <w:sz w:val="16"/>
                <w:szCs w:val="16"/>
              </w:rPr>
            </w:pPr>
          </w:p>
        </w:tc>
        <w:tc>
          <w:tcPr>
            <w:tcW w:w="2704" w:type="dxa"/>
            <w:gridSpan w:val="2"/>
            <w:tcBorders>
              <w:top w:val="single" w:sz="4" w:space="0" w:color="auto"/>
              <w:left w:val="nil"/>
              <w:right w:val="nil"/>
            </w:tcBorders>
            <w:shd w:val="clear" w:color="auto" w:fill="E0E0E0"/>
            <w:vAlign w:val="bottom"/>
          </w:tcPr>
          <w:p w14:paraId="54BC45BE" w14:textId="37F4C787" w:rsidR="000C14A3" w:rsidRPr="00B34D4F" w:rsidRDefault="000C14A3" w:rsidP="001706A2">
            <w:pPr>
              <w:rPr>
                <w:i/>
                <w:sz w:val="16"/>
                <w:szCs w:val="16"/>
              </w:rPr>
            </w:pPr>
            <w:r w:rsidRPr="00B34D4F">
              <w:rPr>
                <w:sz w:val="16"/>
                <w:szCs w:val="16"/>
              </w:rPr>
              <w:t xml:space="preserve">               </w:t>
            </w:r>
            <w:r w:rsidRPr="00B34D4F">
              <w:rPr>
                <w:i/>
                <w:sz w:val="16"/>
                <w:szCs w:val="16"/>
              </w:rPr>
              <w:t>ALK</w:t>
            </w:r>
            <w:r w:rsidRPr="00B34D4F">
              <w:rPr>
                <w:sz w:val="16"/>
                <w:szCs w:val="16"/>
              </w:rPr>
              <w:t xml:space="preserve"> status</w:t>
            </w:r>
          </w:p>
        </w:tc>
        <w:tc>
          <w:tcPr>
            <w:tcW w:w="1353" w:type="dxa"/>
            <w:vMerge w:val="restart"/>
            <w:tcBorders>
              <w:top w:val="single" w:sz="4" w:space="0" w:color="auto"/>
              <w:left w:val="nil"/>
              <w:right w:val="single" w:sz="4" w:space="0" w:color="auto"/>
            </w:tcBorders>
            <w:shd w:val="clear" w:color="auto" w:fill="E0E0E0"/>
            <w:tcMar>
              <w:left w:w="40" w:type="dxa"/>
              <w:right w:w="40" w:type="dxa"/>
            </w:tcMar>
            <w:vAlign w:val="bottom"/>
          </w:tcPr>
          <w:p w14:paraId="55CC7159" w14:textId="3C088CAB" w:rsidR="000C14A3" w:rsidRPr="00B34D4F" w:rsidRDefault="000C14A3" w:rsidP="00CA3E9E">
            <w:pPr>
              <w:rPr>
                <w:sz w:val="16"/>
                <w:szCs w:val="16"/>
              </w:rPr>
            </w:pPr>
            <w:r w:rsidRPr="00B34D4F">
              <w:rPr>
                <w:sz w:val="16"/>
                <w:szCs w:val="16"/>
              </w:rPr>
              <w:t>Total</w:t>
            </w:r>
            <w:r w:rsidRPr="00B34D4F">
              <w:rPr>
                <w:sz w:val="16"/>
                <w:szCs w:val="16"/>
              </w:rPr>
              <w:br/>
              <w:t>(N=20)</w:t>
            </w:r>
          </w:p>
        </w:tc>
      </w:tr>
      <w:tr w:rsidR="000C14A3" w:rsidRPr="00E11762" w14:paraId="265474A2" w14:textId="77777777" w:rsidTr="000C14A3">
        <w:trPr>
          <w:cantSplit/>
          <w:tblHeader/>
          <w:jc w:val="center"/>
        </w:trPr>
        <w:tc>
          <w:tcPr>
            <w:tcW w:w="4393" w:type="dxa"/>
            <w:tcBorders>
              <w:left w:val="single" w:sz="4" w:space="0" w:color="auto"/>
              <w:bottom w:val="single" w:sz="2" w:space="0" w:color="000000"/>
              <w:right w:val="nil"/>
            </w:tcBorders>
            <w:shd w:val="clear" w:color="auto" w:fill="E0E0E0"/>
            <w:tcMar>
              <w:left w:w="40" w:type="dxa"/>
              <w:right w:w="40" w:type="dxa"/>
            </w:tcMar>
            <w:vAlign w:val="bottom"/>
          </w:tcPr>
          <w:p w14:paraId="756E92B6" w14:textId="77777777" w:rsidR="000C14A3" w:rsidRPr="00B34D4F" w:rsidRDefault="000C14A3" w:rsidP="00065B26">
            <w:pPr>
              <w:rPr>
                <w:sz w:val="16"/>
                <w:szCs w:val="16"/>
              </w:rPr>
            </w:pPr>
          </w:p>
        </w:tc>
        <w:tc>
          <w:tcPr>
            <w:tcW w:w="1352" w:type="dxa"/>
            <w:tcBorders>
              <w:left w:val="nil"/>
              <w:bottom w:val="single" w:sz="2" w:space="0" w:color="000000"/>
              <w:right w:val="nil"/>
            </w:tcBorders>
            <w:shd w:val="clear" w:color="auto" w:fill="E0E0E0"/>
            <w:vAlign w:val="bottom"/>
          </w:tcPr>
          <w:p w14:paraId="2DFF3B6A" w14:textId="03F0494C" w:rsidR="000C14A3" w:rsidRPr="00B34D4F" w:rsidRDefault="000C14A3" w:rsidP="00490E17">
            <w:pPr>
              <w:rPr>
                <w:i/>
                <w:sz w:val="16"/>
                <w:szCs w:val="16"/>
              </w:rPr>
            </w:pPr>
            <w:r w:rsidRPr="00B34D4F">
              <w:rPr>
                <w:i/>
                <w:sz w:val="16"/>
                <w:szCs w:val="16"/>
              </w:rPr>
              <w:t>ALK</w:t>
            </w:r>
            <w:r w:rsidRPr="00B34D4F">
              <w:rPr>
                <w:sz w:val="16"/>
                <w:szCs w:val="16"/>
              </w:rPr>
              <w:t>+</w:t>
            </w:r>
            <w:r w:rsidRPr="00B34D4F">
              <w:rPr>
                <w:sz w:val="16"/>
                <w:szCs w:val="16"/>
              </w:rPr>
              <w:br/>
              <w:t>(N=12)</w:t>
            </w:r>
          </w:p>
        </w:tc>
        <w:tc>
          <w:tcPr>
            <w:tcW w:w="1352" w:type="dxa"/>
            <w:tcBorders>
              <w:left w:val="nil"/>
              <w:bottom w:val="single" w:sz="2" w:space="0" w:color="000000"/>
              <w:right w:val="nil"/>
            </w:tcBorders>
            <w:shd w:val="clear" w:color="auto" w:fill="E0E0E0"/>
            <w:tcMar>
              <w:left w:w="40" w:type="dxa"/>
              <w:right w:w="40" w:type="dxa"/>
            </w:tcMar>
            <w:vAlign w:val="bottom"/>
          </w:tcPr>
          <w:p w14:paraId="33972F8B" w14:textId="52A14C67" w:rsidR="000C14A3" w:rsidRPr="00B34D4F" w:rsidRDefault="000C14A3" w:rsidP="001706A2">
            <w:pPr>
              <w:rPr>
                <w:sz w:val="16"/>
                <w:szCs w:val="16"/>
              </w:rPr>
            </w:pPr>
            <w:r w:rsidRPr="00B34D4F">
              <w:rPr>
                <w:i/>
                <w:sz w:val="16"/>
                <w:szCs w:val="16"/>
              </w:rPr>
              <w:t>ALK</w:t>
            </w:r>
            <w:r w:rsidRPr="00B34D4F">
              <w:rPr>
                <w:sz w:val="16"/>
                <w:szCs w:val="16"/>
              </w:rPr>
              <w:t>-</w:t>
            </w:r>
            <w:r w:rsidRPr="00B34D4F">
              <w:rPr>
                <w:sz w:val="16"/>
                <w:szCs w:val="16"/>
              </w:rPr>
              <w:br/>
              <w:t>(N=8)</w:t>
            </w:r>
          </w:p>
        </w:tc>
        <w:tc>
          <w:tcPr>
            <w:tcW w:w="1353" w:type="dxa"/>
            <w:vMerge/>
            <w:tcBorders>
              <w:left w:val="nil"/>
              <w:bottom w:val="single" w:sz="2" w:space="0" w:color="000000"/>
              <w:right w:val="single" w:sz="4" w:space="0" w:color="auto"/>
            </w:tcBorders>
            <w:shd w:val="clear" w:color="auto" w:fill="E0E0E0"/>
            <w:tcMar>
              <w:left w:w="40" w:type="dxa"/>
              <w:right w:w="40" w:type="dxa"/>
            </w:tcMar>
            <w:vAlign w:val="bottom"/>
          </w:tcPr>
          <w:p w14:paraId="4A07BFC3" w14:textId="77777777" w:rsidR="000C14A3" w:rsidRPr="00B34D4F" w:rsidRDefault="000C14A3">
            <w:pPr>
              <w:rPr>
                <w:sz w:val="16"/>
                <w:szCs w:val="16"/>
              </w:rPr>
            </w:pPr>
          </w:p>
        </w:tc>
      </w:tr>
      <w:tr w:rsidR="000C14A3" w:rsidRPr="00E11762" w14:paraId="14AAC625"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110B27B2" w14:textId="77777777" w:rsidR="000C14A3" w:rsidRPr="00B34D4F" w:rsidRDefault="000C14A3" w:rsidP="00065B26">
            <w:pPr>
              <w:rPr>
                <w:rStyle w:val="st"/>
                <w:sz w:val="16"/>
                <w:szCs w:val="16"/>
              </w:rPr>
            </w:pPr>
            <w:r w:rsidRPr="00B34D4F">
              <w:rPr>
                <w:rStyle w:val="st"/>
                <w:sz w:val="16"/>
                <w:szCs w:val="16"/>
              </w:rPr>
              <w:t xml:space="preserve">Age (years)                                                                                                                                                                                             </w:t>
            </w:r>
          </w:p>
        </w:tc>
        <w:tc>
          <w:tcPr>
            <w:tcW w:w="1352" w:type="dxa"/>
            <w:tcBorders>
              <w:top w:val="nil"/>
              <w:left w:val="nil"/>
              <w:bottom w:val="nil"/>
              <w:right w:val="nil"/>
            </w:tcBorders>
            <w:shd w:val="clear" w:color="auto" w:fill="FFFFFF"/>
          </w:tcPr>
          <w:p w14:paraId="73FE9E05" w14:textId="77777777" w:rsidR="000C14A3" w:rsidRPr="00B34D4F" w:rsidRDefault="000C14A3" w:rsidP="00490E17">
            <w:pPr>
              <w:rPr>
                <w:rStyle w:val="st"/>
                <w:sz w:val="16"/>
                <w:szCs w:val="16"/>
              </w:rPr>
            </w:pPr>
            <w:r w:rsidRPr="00B34D4F">
              <w:rPr>
                <w:rStyle w:val="st"/>
                <w:sz w:val="16"/>
                <w:szCs w:val="16"/>
              </w:rPr>
              <w:t xml:space="preserve">                  </w:t>
            </w:r>
          </w:p>
        </w:tc>
        <w:tc>
          <w:tcPr>
            <w:tcW w:w="1352" w:type="dxa"/>
            <w:tcBorders>
              <w:top w:val="nil"/>
              <w:left w:val="nil"/>
              <w:bottom w:val="nil"/>
              <w:right w:val="nil"/>
            </w:tcBorders>
            <w:shd w:val="clear" w:color="auto" w:fill="FFFFFF"/>
            <w:tcMar>
              <w:left w:w="40" w:type="dxa"/>
              <w:right w:w="40" w:type="dxa"/>
            </w:tcMar>
          </w:tcPr>
          <w:p w14:paraId="0A01152A" w14:textId="77777777" w:rsidR="000C14A3" w:rsidRPr="00B34D4F" w:rsidRDefault="000C14A3" w:rsidP="001706A2">
            <w:pPr>
              <w:rPr>
                <w:rStyle w:val="st"/>
                <w:sz w:val="16"/>
                <w:szCs w:val="16"/>
              </w:rPr>
            </w:pPr>
            <w:r w:rsidRPr="00B34D4F">
              <w:rPr>
                <w:rStyle w:val="st"/>
                <w:sz w:val="16"/>
                <w:szCs w:val="16"/>
              </w:rPr>
              <w:t xml:space="preserve">                  </w:t>
            </w:r>
          </w:p>
        </w:tc>
        <w:tc>
          <w:tcPr>
            <w:tcW w:w="1353" w:type="dxa"/>
            <w:tcBorders>
              <w:top w:val="nil"/>
              <w:left w:val="nil"/>
              <w:bottom w:val="nil"/>
              <w:right w:val="single" w:sz="4" w:space="0" w:color="auto"/>
            </w:tcBorders>
            <w:shd w:val="clear" w:color="auto" w:fill="FFFFFF"/>
            <w:tcMar>
              <w:left w:w="40" w:type="dxa"/>
              <w:right w:w="40" w:type="dxa"/>
            </w:tcMar>
          </w:tcPr>
          <w:p w14:paraId="66959CBC" w14:textId="77777777" w:rsidR="000C14A3" w:rsidRPr="00B34D4F" w:rsidRDefault="000C14A3" w:rsidP="001706A2">
            <w:pPr>
              <w:rPr>
                <w:rStyle w:val="st"/>
                <w:sz w:val="16"/>
                <w:szCs w:val="16"/>
              </w:rPr>
            </w:pPr>
            <w:r w:rsidRPr="00B34D4F">
              <w:rPr>
                <w:rStyle w:val="st"/>
                <w:sz w:val="16"/>
                <w:szCs w:val="16"/>
              </w:rPr>
              <w:t xml:space="preserve">                  </w:t>
            </w:r>
          </w:p>
        </w:tc>
      </w:tr>
      <w:tr w:rsidR="000C0A44" w:rsidRPr="00E11762" w14:paraId="53A65B6D"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768037DB" w14:textId="77777777" w:rsidR="000C0A44" w:rsidRPr="00B34D4F" w:rsidRDefault="000C0A44" w:rsidP="00065B26">
            <w:pPr>
              <w:rPr>
                <w:rStyle w:val="st"/>
                <w:sz w:val="16"/>
                <w:szCs w:val="16"/>
              </w:rPr>
            </w:pPr>
            <w:r w:rsidRPr="00B34D4F">
              <w:rPr>
                <w:rStyle w:val="st"/>
                <w:sz w:val="16"/>
                <w:szCs w:val="16"/>
              </w:rPr>
              <w:t xml:space="preserve">     Median                                                                                                                                                                                                 </w:t>
            </w:r>
          </w:p>
        </w:tc>
        <w:tc>
          <w:tcPr>
            <w:tcW w:w="1352" w:type="dxa"/>
            <w:tcBorders>
              <w:top w:val="nil"/>
              <w:left w:val="nil"/>
              <w:bottom w:val="nil"/>
              <w:right w:val="nil"/>
            </w:tcBorders>
            <w:shd w:val="clear" w:color="auto" w:fill="FFFFFF"/>
          </w:tcPr>
          <w:p w14:paraId="2FEBB22A" w14:textId="06785D3E" w:rsidR="000C0A44" w:rsidRPr="00B34D4F" w:rsidRDefault="000C0A44" w:rsidP="00490E17">
            <w:pPr>
              <w:rPr>
                <w:rStyle w:val="st"/>
                <w:sz w:val="16"/>
                <w:szCs w:val="16"/>
              </w:rPr>
            </w:pPr>
            <w:r w:rsidRPr="00B34D4F">
              <w:rPr>
                <w:rStyle w:val="st"/>
                <w:sz w:val="16"/>
                <w:szCs w:val="16"/>
              </w:rPr>
              <w:t>35</w:t>
            </w:r>
            <w:r w:rsidR="00151D6C" w:rsidRPr="00B34D4F">
              <w:rPr>
                <w:sz w:val="16"/>
                <w:szCs w:val="16"/>
              </w:rPr>
              <w:t>·</w:t>
            </w:r>
            <w:r w:rsidRPr="00B34D4F">
              <w:rPr>
                <w:rStyle w:val="st"/>
                <w:sz w:val="16"/>
                <w:szCs w:val="16"/>
              </w:rPr>
              <w:t xml:space="preserve">5              </w:t>
            </w:r>
          </w:p>
        </w:tc>
        <w:tc>
          <w:tcPr>
            <w:tcW w:w="1352" w:type="dxa"/>
            <w:tcBorders>
              <w:top w:val="nil"/>
              <w:left w:val="nil"/>
              <w:bottom w:val="nil"/>
              <w:right w:val="nil"/>
            </w:tcBorders>
            <w:shd w:val="clear" w:color="auto" w:fill="FFFFFF"/>
            <w:tcMar>
              <w:left w:w="40" w:type="dxa"/>
              <w:right w:w="40" w:type="dxa"/>
            </w:tcMar>
          </w:tcPr>
          <w:p w14:paraId="001EB46D" w14:textId="529DD2C3" w:rsidR="000C0A44" w:rsidRPr="00B34D4F" w:rsidRDefault="000C0A44" w:rsidP="001706A2">
            <w:pPr>
              <w:rPr>
                <w:rStyle w:val="st"/>
                <w:sz w:val="16"/>
                <w:szCs w:val="16"/>
              </w:rPr>
            </w:pPr>
            <w:r w:rsidRPr="00B34D4F">
              <w:rPr>
                <w:rStyle w:val="st"/>
                <w:sz w:val="16"/>
                <w:szCs w:val="16"/>
              </w:rPr>
              <w:t>59</w:t>
            </w:r>
            <w:r w:rsidR="00E11363"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tcPr>
          <w:p w14:paraId="34FC71CB" w14:textId="0BAB685F" w:rsidR="000C0A44" w:rsidRPr="00B34D4F" w:rsidRDefault="000C0A44" w:rsidP="001706A2">
            <w:pPr>
              <w:rPr>
                <w:rStyle w:val="st"/>
                <w:sz w:val="16"/>
                <w:szCs w:val="16"/>
              </w:rPr>
            </w:pPr>
            <w:r w:rsidRPr="00B34D4F">
              <w:rPr>
                <w:rStyle w:val="st"/>
                <w:sz w:val="16"/>
                <w:szCs w:val="16"/>
              </w:rPr>
              <w:t>45</w:t>
            </w:r>
            <w:r w:rsidR="003B575D" w:rsidRPr="00B34D4F">
              <w:rPr>
                <w:sz w:val="16"/>
                <w:szCs w:val="16"/>
              </w:rPr>
              <w:t>·</w:t>
            </w:r>
            <w:r w:rsidRPr="00B34D4F">
              <w:rPr>
                <w:rStyle w:val="st"/>
                <w:sz w:val="16"/>
                <w:szCs w:val="16"/>
              </w:rPr>
              <w:t xml:space="preserve">5              </w:t>
            </w:r>
          </w:p>
        </w:tc>
      </w:tr>
      <w:tr w:rsidR="000C0A44" w:rsidRPr="00E11762" w14:paraId="02B4EFAF"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300E554B" w14:textId="77777777" w:rsidR="000C0A44" w:rsidRPr="00B34D4F" w:rsidRDefault="000C0A44" w:rsidP="00065B26">
            <w:pPr>
              <w:rPr>
                <w:rStyle w:val="st"/>
                <w:sz w:val="16"/>
                <w:szCs w:val="16"/>
              </w:rPr>
            </w:pPr>
            <w:r w:rsidRPr="00B34D4F">
              <w:rPr>
                <w:rStyle w:val="st"/>
                <w:sz w:val="16"/>
                <w:szCs w:val="16"/>
              </w:rPr>
              <w:t xml:space="preserve">     Range                                                                                                                                                                                                  </w:t>
            </w:r>
          </w:p>
        </w:tc>
        <w:tc>
          <w:tcPr>
            <w:tcW w:w="1352" w:type="dxa"/>
            <w:tcBorders>
              <w:top w:val="nil"/>
              <w:left w:val="nil"/>
              <w:bottom w:val="nil"/>
              <w:right w:val="nil"/>
            </w:tcBorders>
            <w:shd w:val="clear" w:color="auto" w:fill="FFFFFF"/>
          </w:tcPr>
          <w:p w14:paraId="30EAD8EB" w14:textId="41874E6F" w:rsidR="000C0A44" w:rsidRPr="00B34D4F" w:rsidRDefault="000C0A44" w:rsidP="00490E17">
            <w:pPr>
              <w:rPr>
                <w:rStyle w:val="st"/>
                <w:sz w:val="16"/>
                <w:szCs w:val="16"/>
              </w:rPr>
            </w:pPr>
            <w:r w:rsidRPr="00B34D4F">
              <w:rPr>
                <w:rStyle w:val="st"/>
                <w:sz w:val="16"/>
                <w:szCs w:val="16"/>
              </w:rPr>
              <w:t>21</w:t>
            </w:r>
            <w:r w:rsidR="00E11363" w:rsidRPr="00B34D4F">
              <w:rPr>
                <w:sz w:val="16"/>
                <w:szCs w:val="16"/>
              </w:rPr>
              <w:t>·</w:t>
            </w:r>
            <w:r w:rsidRPr="00B34D4F">
              <w:rPr>
                <w:rStyle w:val="st"/>
                <w:sz w:val="16"/>
                <w:szCs w:val="16"/>
              </w:rPr>
              <w:t>0 - 69</w:t>
            </w:r>
            <w:r w:rsidR="00E11363" w:rsidRPr="00B34D4F">
              <w:rPr>
                <w:sz w:val="16"/>
                <w:szCs w:val="16"/>
              </w:rPr>
              <w:t>·</w:t>
            </w:r>
            <w:r w:rsidRPr="00B34D4F">
              <w:rPr>
                <w:rStyle w:val="st"/>
                <w:sz w:val="16"/>
                <w:szCs w:val="16"/>
              </w:rPr>
              <w:t xml:space="preserve">0       </w:t>
            </w:r>
          </w:p>
        </w:tc>
        <w:tc>
          <w:tcPr>
            <w:tcW w:w="1352" w:type="dxa"/>
            <w:tcBorders>
              <w:top w:val="nil"/>
              <w:left w:val="nil"/>
              <w:bottom w:val="nil"/>
              <w:right w:val="nil"/>
            </w:tcBorders>
            <w:shd w:val="clear" w:color="auto" w:fill="FFFFFF"/>
            <w:tcMar>
              <w:left w:w="40" w:type="dxa"/>
              <w:right w:w="40" w:type="dxa"/>
            </w:tcMar>
          </w:tcPr>
          <w:p w14:paraId="3C906B77" w14:textId="60483850" w:rsidR="000C0A44" w:rsidRPr="00B34D4F" w:rsidRDefault="000C0A44" w:rsidP="001706A2">
            <w:pPr>
              <w:rPr>
                <w:rStyle w:val="st"/>
                <w:sz w:val="16"/>
                <w:szCs w:val="16"/>
              </w:rPr>
            </w:pPr>
            <w:r w:rsidRPr="00B34D4F">
              <w:rPr>
                <w:rStyle w:val="st"/>
                <w:sz w:val="16"/>
                <w:szCs w:val="16"/>
              </w:rPr>
              <w:t>15</w:t>
            </w:r>
            <w:r w:rsidR="00E11363" w:rsidRPr="00B34D4F">
              <w:rPr>
                <w:sz w:val="16"/>
                <w:szCs w:val="16"/>
              </w:rPr>
              <w:t>·</w:t>
            </w:r>
            <w:r w:rsidRPr="00B34D4F">
              <w:rPr>
                <w:rStyle w:val="st"/>
                <w:sz w:val="16"/>
                <w:szCs w:val="16"/>
              </w:rPr>
              <w:t>0 - 78</w:t>
            </w:r>
            <w:r w:rsidR="00E11363" w:rsidRPr="00B34D4F">
              <w:rPr>
                <w:sz w:val="16"/>
                <w:szCs w:val="16"/>
              </w:rPr>
              <w:t>·</w:t>
            </w:r>
            <w:r w:rsidRPr="00B34D4F">
              <w:rPr>
                <w:rStyle w:val="st"/>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0B7781A3" w14:textId="59EA6D34" w:rsidR="000C0A44" w:rsidRPr="00B34D4F" w:rsidRDefault="000C0A44" w:rsidP="001706A2">
            <w:pPr>
              <w:rPr>
                <w:rStyle w:val="st"/>
                <w:sz w:val="16"/>
                <w:szCs w:val="16"/>
              </w:rPr>
            </w:pPr>
            <w:r w:rsidRPr="00B34D4F">
              <w:rPr>
                <w:rStyle w:val="st"/>
                <w:sz w:val="16"/>
                <w:szCs w:val="16"/>
              </w:rPr>
              <w:t>15</w:t>
            </w:r>
            <w:r w:rsidR="003B575D" w:rsidRPr="00B34D4F">
              <w:rPr>
                <w:sz w:val="16"/>
                <w:szCs w:val="16"/>
              </w:rPr>
              <w:t>·</w:t>
            </w:r>
            <w:r w:rsidRPr="00B34D4F">
              <w:rPr>
                <w:rStyle w:val="st"/>
                <w:sz w:val="16"/>
                <w:szCs w:val="16"/>
              </w:rPr>
              <w:t>0 - 78</w:t>
            </w:r>
            <w:r w:rsidR="003B575D" w:rsidRPr="00B34D4F">
              <w:rPr>
                <w:sz w:val="16"/>
                <w:szCs w:val="16"/>
              </w:rPr>
              <w:t>·</w:t>
            </w:r>
            <w:r w:rsidRPr="00B34D4F">
              <w:rPr>
                <w:rStyle w:val="st"/>
                <w:sz w:val="16"/>
                <w:szCs w:val="16"/>
              </w:rPr>
              <w:t xml:space="preserve">0       </w:t>
            </w:r>
          </w:p>
        </w:tc>
      </w:tr>
      <w:tr w:rsidR="000C0A44" w:rsidRPr="00D87A2F" w14:paraId="728B54AF"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725BB927" w14:textId="77777777" w:rsidR="000C0A44" w:rsidRPr="00B34D4F" w:rsidRDefault="000C0A44" w:rsidP="00DA6988">
            <w:pPr>
              <w:pStyle w:val="Tables"/>
              <w:rPr>
                <w:rStyle w:val="st"/>
                <w:rFonts w:ascii="Times New Roman" w:hAnsi="Times New Roman" w:cs="Times New Roman"/>
                <w:sz w:val="16"/>
                <w:szCs w:val="16"/>
                <w:lang w:val="en-GB"/>
              </w:rPr>
            </w:pPr>
            <w:r w:rsidRPr="00B34D4F">
              <w:rPr>
                <w:rStyle w:val="st"/>
                <w:rFonts w:ascii="Times New Roman" w:hAnsi="Times New Roman" w:cs="Times New Roman"/>
                <w:sz w:val="16"/>
                <w:szCs w:val="16"/>
                <w:lang w:val="en-GB"/>
              </w:rPr>
              <w:t xml:space="preserve">Eastern Cooperative Oncology Group performance status </w:t>
            </w:r>
          </w:p>
        </w:tc>
        <w:tc>
          <w:tcPr>
            <w:tcW w:w="1352" w:type="dxa"/>
            <w:tcBorders>
              <w:top w:val="nil"/>
              <w:left w:val="nil"/>
              <w:bottom w:val="nil"/>
              <w:right w:val="nil"/>
            </w:tcBorders>
            <w:shd w:val="clear" w:color="auto" w:fill="FFFFFF"/>
          </w:tcPr>
          <w:p w14:paraId="43DB104B" w14:textId="77777777" w:rsidR="000C0A44" w:rsidRPr="00B34D4F" w:rsidRDefault="000C0A44" w:rsidP="00065B26">
            <w:pPr>
              <w:rPr>
                <w:rStyle w:val="st"/>
                <w:sz w:val="16"/>
                <w:szCs w:val="16"/>
              </w:rPr>
            </w:pPr>
          </w:p>
        </w:tc>
        <w:tc>
          <w:tcPr>
            <w:tcW w:w="1352" w:type="dxa"/>
            <w:tcBorders>
              <w:top w:val="nil"/>
              <w:left w:val="nil"/>
              <w:bottom w:val="nil"/>
              <w:right w:val="nil"/>
            </w:tcBorders>
            <w:shd w:val="clear" w:color="auto" w:fill="FFFFFF"/>
            <w:tcMar>
              <w:left w:w="40" w:type="dxa"/>
              <w:right w:w="40" w:type="dxa"/>
            </w:tcMar>
          </w:tcPr>
          <w:p w14:paraId="460CF938" w14:textId="77777777" w:rsidR="000C0A44" w:rsidRPr="00B34D4F" w:rsidRDefault="000C0A44" w:rsidP="00490E17">
            <w:pPr>
              <w:rPr>
                <w:rStyle w:val="st"/>
                <w:sz w:val="16"/>
                <w:szCs w:val="16"/>
              </w:rPr>
            </w:pPr>
          </w:p>
        </w:tc>
        <w:tc>
          <w:tcPr>
            <w:tcW w:w="1353" w:type="dxa"/>
            <w:tcBorders>
              <w:top w:val="nil"/>
              <w:left w:val="nil"/>
              <w:bottom w:val="nil"/>
              <w:right w:val="single" w:sz="4" w:space="0" w:color="auto"/>
            </w:tcBorders>
            <w:shd w:val="clear" w:color="auto" w:fill="FFFFFF"/>
            <w:tcMar>
              <w:left w:w="40" w:type="dxa"/>
              <w:right w:w="40" w:type="dxa"/>
            </w:tcMar>
          </w:tcPr>
          <w:p w14:paraId="7AC1A95D" w14:textId="77777777" w:rsidR="000C0A44" w:rsidRPr="00B34D4F" w:rsidRDefault="000C0A44" w:rsidP="001706A2">
            <w:pPr>
              <w:rPr>
                <w:rStyle w:val="st"/>
                <w:sz w:val="16"/>
                <w:szCs w:val="16"/>
              </w:rPr>
            </w:pPr>
          </w:p>
        </w:tc>
      </w:tr>
      <w:tr w:rsidR="000C0A44" w:rsidRPr="00E11762" w14:paraId="240D8B2D"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663CC02C" w14:textId="77777777" w:rsidR="000C0A44" w:rsidRPr="00B34D4F" w:rsidRDefault="000C0A44"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0                                                                                               </w:t>
            </w:r>
          </w:p>
        </w:tc>
        <w:tc>
          <w:tcPr>
            <w:tcW w:w="1352" w:type="dxa"/>
            <w:tcBorders>
              <w:top w:val="nil"/>
              <w:left w:val="nil"/>
              <w:bottom w:val="nil"/>
              <w:right w:val="nil"/>
            </w:tcBorders>
            <w:shd w:val="clear" w:color="auto" w:fill="FFFFFF"/>
            <w:vAlign w:val="center"/>
          </w:tcPr>
          <w:p w14:paraId="43A548E7" w14:textId="116C4394" w:rsidR="000C0A44" w:rsidRPr="00B34D4F" w:rsidRDefault="000C0A44" w:rsidP="00065B26">
            <w:pPr>
              <w:rPr>
                <w:rStyle w:val="st"/>
                <w:sz w:val="16"/>
                <w:szCs w:val="16"/>
              </w:rPr>
            </w:pPr>
            <w:r w:rsidRPr="00B34D4F">
              <w:rPr>
                <w:rStyle w:val="st"/>
                <w:sz w:val="16"/>
                <w:szCs w:val="16"/>
              </w:rPr>
              <w:t xml:space="preserve">    7 (58</w:t>
            </w:r>
            <w:r w:rsidR="00E11363" w:rsidRPr="00B34D4F">
              <w:rPr>
                <w:sz w:val="16"/>
                <w:szCs w:val="16"/>
              </w:rPr>
              <w:t>·</w:t>
            </w:r>
            <w:r w:rsidRPr="00B34D4F">
              <w:rPr>
                <w:rStyle w:val="st"/>
                <w:sz w:val="16"/>
                <w:szCs w:val="16"/>
              </w:rPr>
              <w:t xml:space="preserve">3)                                                                                        </w:t>
            </w:r>
          </w:p>
        </w:tc>
        <w:tc>
          <w:tcPr>
            <w:tcW w:w="1352" w:type="dxa"/>
            <w:tcBorders>
              <w:top w:val="nil"/>
              <w:left w:val="nil"/>
              <w:bottom w:val="nil"/>
              <w:right w:val="nil"/>
            </w:tcBorders>
            <w:shd w:val="clear" w:color="auto" w:fill="FFFFFF"/>
            <w:tcMar>
              <w:left w:w="40" w:type="dxa"/>
              <w:right w:w="40" w:type="dxa"/>
            </w:tcMar>
            <w:vAlign w:val="center"/>
          </w:tcPr>
          <w:p w14:paraId="36EA957E" w14:textId="01693686" w:rsidR="000C0A44" w:rsidRPr="00B34D4F" w:rsidRDefault="000C0A44" w:rsidP="00490E17">
            <w:pPr>
              <w:rPr>
                <w:rStyle w:val="st"/>
                <w:sz w:val="16"/>
                <w:szCs w:val="16"/>
              </w:rPr>
            </w:pPr>
            <w:r w:rsidRPr="00B34D4F">
              <w:rPr>
                <w:rStyle w:val="st"/>
                <w:sz w:val="16"/>
                <w:szCs w:val="16"/>
              </w:rPr>
              <w:t xml:space="preserve">    4 (50</w:t>
            </w:r>
            <w:r w:rsidR="003B575D" w:rsidRPr="00B34D4F">
              <w:rPr>
                <w:sz w:val="16"/>
                <w:szCs w:val="16"/>
              </w:rPr>
              <w:t>·</w:t>
            </w:r>
            <w:r w:rsidRPr="00B34D4F">
              <w:rPr>
                <w:rStyle w:val="st"/>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6075D8DD" w14:textId="3C5D572C" w:rsidR="000C0A44" w:rsidRPr="00B34D4F" w:rsidRDefault="000C0A44" w:rsidP="001706A2">
            <w:pPr>
              <w:rPr>
                <w:rStyle w:val="st"/>
                <w:sz w:val="16"/>
                <w:szCs w:val="16"/>
              </w:rPr>
            </w:pPr>
            <w:r w:rsidRPr="00B34D4F">
              <w:rPr>
                <w:rStyle w:val="st"/>
                <w:sz w:val="16"/>
                <w:szCs w:val="16"/>
              </w:rPr>
              <w:t xml:space="preserve">   11 (55</w:t>
            </w:r>
            <w:r w:rsidR="003B575D" w:rsidRPr="00B34D4F">
              <w:rPr>
                <w:sz w:val="16"/>
                <w:szCs w:val="16"/>
              </w:rPr>
              <w:t>·</w:t>
            </w:r>
            <w:r w:rsidRPr="00B34D4F">
              <w:rPr>
                <w:rStyle w:val="st"/>
                <w:sz w:val="16"/>
                <w:szCs w:val="16"/>
              </w:rPr>
              <w:t xml:space="preserve">0)                                                                                        </w:t>
            </w:r>
          </w:p>
        </w:tc>
      </w:tr>
      <w:tr w:rsidR="000C0A44" w:rsidRPr="00E11762" w14:paraId="0A189BDC"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36A0FE9C" w14:textId="77777777" w:rsidR="000C0A44" w:rsidRPr="00B34D4F" w:rsidRDefault="000C0A44"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1                                                                                               </w:t>
            </w:r>
          </w:p>
        </w:tc>
        <w:tc>
          <w:tcPr>
            <w:tcW w:w="1352" w:type="dxa"/>
            <w:tcBorders>
              <w:top w:val="nil"/>
              <w:left w:val="nil"/>
              <w:bottom w:val="nil"/>
              <w:right w:val="nil"/>
            </w:tcBorders>
            <w:shd w:val="clear" w:color="auto" w:fill="FFFFFF"/>
            <w:vAlign w:val="center"/>
          </w:tcPr>
          <w:p w14:paraId="59548887" w14:textId="63E5F811" w:rsidR="000C0A44" w:rsidRPr="00B34D4F" w:rsidRDefault="000C0A44" w:rsidP="00065B26">
            <w:pPr>
              <w:rPr>
                <w:rStyle w:val="st"/>
                <w:sz w:val="16"/>
                <w:szCs w:val="16"/>
              </w:rPr>
            </w:pPr>
            <w:r w:rsidRPr="00B34D4F">
              <w:rPr>
                <w:rStyle w:val="st"/>
                <w:sz w:val="16"/>
                <w:szCs w:val="16"/>
              </w:rPr>
              <w:t xml:space="preserve">    5 (41</w:t>
            </w:r>
            <w:r w:rsidR="00E11363" w:rsidRPr="00B34D4F">
              <w:rPr>
                <w:sz w:val="16"/>
                <w:szCs w:val="16"/>
              </w:rPr>
              <w:t>·</w:t>
            </w:r>
            <w:r w:rsidRPr="00B34D4F">
              <w:rPr>
                <w:rStyle w:val="st"/>
                <w:sz w:val="16"/>
                <w:szCs w:val="16"/>
              </w:rPr>
              <w:t xml:space="preserve">7)                                                                                        </w:t>
            </w:r>
          </w:p>
        </w:tc>
        <w:tc>
          <w:tcPr>
            <w:tcW w:w="1352" w:type="dxa"/>
            <w:tcBorders>
              <w:top w:val="nil"/>
              <w:left w:val="nil"/>
              <w:bottom w:val="nil"/>
              <w:right w:val="nil"/>
            </w:tcBorders>
            <w:shd w:val="clear" w:color="auto" w:fill="FFFFFF"/>
            <w:tcMar>
              <w:left w:w="40" w:type="dxa"/>
              <w:right w:w="40" w:type="dxa"/>
            </w:tcMar>
            <w:vAlign w:val="center"/>
          </w:tcPr>
          <w:p w14:paraId="1B06856D" w14:textId="086A9B9D" w:rsidR="000C0A44" w:rsidRPr="00B34D4F" w:rsidRDefault="000C0A44" w:rsidP="00490E17">
            <w:pPr>
              <w:rPr>
                <w:rStyle w:val="st"/>
                <w:sz w:val="16"/>
                <w:szCs w:val="16"/>
              </w:rPr>
            </w:pPr>
            <w:r w:rsidRPr="00B34D4F">
              <w:rPr>
                <w:rStyle w:val="st"/>
                <w:sz w:val="16"/>
                <w:szCs w:val="16"/>
              </w:rPr>
              <w:t xml:space="preserve">    3 (37</w:t>
            </w:r>
            <w:r w:rsidR="003B575D"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64396D07" w14:textId="7CE09E0A" w:rsidR="000C0A44" w:rsidRPr="00B34D4F" w:rsidRDefault="000C0A44" w:rsidP="001706A2">
            <w:pPr>
              <w:rPr>
                <w:rStyle w:val="st"/>
                <w:sz w:val="16"/>
                <w:szCs w:val="16"/>
              </w:rPr>
            </w:pPr>
            <w:r w:rsidRPr="00B34D4F">
              <w:rPr>
                <w:rStyle w:val="st"/>
                <w:sz w:val="16"/>
                <w:szCs w:val="16"/>
              </w:rPr>
              <w:t xml:space="preserve">    8 (40</w:t>
            </w:r>
            <w:r w:rsidR="003B575D" w:rsidRPr="00B34D4F">
              <w:rPr>
                <w:sz w:val="16"/>
                <w:szCs w:val="16"/>
              </w:rPr>
              <w:t>·</w:t>
            </w:r>
            <w:r w:rsidRPr="00B34D4F">
              <w:rPr>
                <w:rStyle w:val="st"/>
                <w:sz w:val="16"/>
                <w:szCs w:val="16"/>
              </w:rPr>
              <w:t xml:space="preserve">0)                                                                                        </w:t>
            </w:r>
          </w:p>
        </w:tc>
      </w:tr>
      <w:tr w:rsidR="000C0A44" w:rsidRPr="00E11762" w14:paraId="104674F1"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6D1FF321" w14:textId="77777777" w:rsidR="000C0A44" w:rsidRPr="00B34D4F" w:rsidRDefault="000C0A44"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2</w:t>
            </w:r>
          </w:p>
        </w:tc>
        <w:tc>
          <w:tcPr>
            <w:tcW w:w="1352" w:type="dxa"/>
            <w:tcBorders>
              <w:top w:val="nil"/>
              <w:left w:val="nil"/>
              <w:bottom w:val="nil"/>
              <w:right w:val="nil"/>
            </w:tcBorders>
            <w:shd w:val="clear" w:color="auto" w:fill="FFFFFF"/>
            <w:vAlign w:val="center"/>
          </w:tcPr>
          <w:p w14:paraId="7DBF1945" w14:textId="501BD4D3" w:rsidR="000C0A44" w:rsidRPr="00B34D4F" w:rsidRDefault="000C0A44" w:rsidP="00065B26">
            <w:pPr>
              <w:rPr>
                <w:rStyle w:val="st"/>
                <w:sz w:val="16"/>
                <w:szCs w:val="16"/>
              </w:rPr>
            </w:pPr>
            <w:r w:rsidRPr="00B34D4F">
              <w:rPr>
                <w:rStyle w:val="st"/>
                <w:sz w:val="16"/>
                <w:szCs w:val="16"/>
              </w:rPr>
              <w:t xml:space="preserve">    0 (0</w:t>
            </w:r>
            <w:r w:rsidR="00E11363" w:rsidRPr="00B34D4F">
              <w:rPr>
                <w:sz w:val="16"/>
                <w:szCs w:val="16"/>
              </w:rPr>
              <w:t>·</w:t>
            </w:r>
            <w:r w:rsidRPr="00B34D4F">
              <w:rPr>
                <w:rStyle w:val="st"/>
                <w:sz w:val="16"/>
                <w:szCs w:val="16"/>
              </w:rPr>
              <w:t xml:space="preserve">0)                                                                                         </w:t>
            </w:r>
          </w:p>
        </w:tc>
        <w:tc>
          <w:tcPr>
            <w:tcW w:w="1352" w:type="dxa"/>
            <w:tcBorders>
              <w:top w:val="nil"/>
              <w:left w:val="nil"/>
              <w:bottom w:val="nil"/>
              <w:right w:val="nil"/>
            </w:tcBorders>
            <w:shd w:val="clear" w:color="auto" w:fill="FFFFFF"/>
            <w:tcMar>
              <w:left w:w="40" w:type="dxa"/>
              <w:right w:w="40" w:type="dxa"/>
            </w:tcMar>
            <w:vAlign w:val="center"/>
          </w:tcPr>
          <w:p w14:paraId="273955A4" w14:textId="56C091C5" w:rsidR="000C0A44" w:rsidRPr="00B34D4F" w:rsidRDefault="000C0A44" w:rsidP="00490E17">
            <w:pPr>
              <w:rPr>
                <w:rStyle w:val="st"/>
                <w:sz w:val="16"/>
                <w:szCs w:val="16"/>
              </w:rPr>
            </w:pPr>
            <w:r w:rsidRPr="00B34D4F">
              <w:rPr>
                <w:rStyle w:val="st"/>
                <w:sz w:val="16"/>
                <w:szCs w:val="16"/>
              </w:rPr>
              <w:t xml:space="preserve">    1 (12</w:t>
            </w:r>
            <w:r w:rsidR="003B575D"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5D974BDE" w14:textId="34A51AB8" w:rsidR="000C0A44" w:rsidRPr="00B34D4F" w:rsidRDefault="000C0A44" w:rsidP="001706A2">
            <w:pPr>
              <w:rPr>
                <w:rStyle w:val="st"/>
                <w:sz w:val="16"/>
                <w:szCs w:val="16"/>
              </w:rPr>
            </w:pPr>
            <w:r w:rsidRPr="00B34D4F">
              <w:rPr>
                <w:rStyle w:val="st"/>
                <w:sz w:val="16"/>
                <w:szCs w:val="16"/>
              </w:rPr>
              <w:t xml:space="preserve">    1 (5</w:t>
            </w:r>
            <w:r w:rsidR="003B575D" w:rsidRPr="00B34D4F">
              <w:rPr>
                <w:sz w:val="16"/>
                <w:szCs w:val="16"/>
              </w:rPr>
              <w:t>·</w:t>
            </w:r>
            <w:r w:rsidRPr="00B34D4F">
              <w:rPr>
                <w:rStyle w:val="st"/>
                <w:sz w:val="16"/>
                <w:szCs w:val="16"/>
              </w:rPr>
              <w:t xml:space="preserve">0)                                                                                         </w:t>
            </w:r>
          </w:p>
        </w:tc>
      </w:tr>
      <w:tr w:rsidR="000C0A44" w:rsidRPr="00E11762" w14:paraId="44B2EF3A" w14:textId="77777777" w:rsidTr="000C0A44">
        <w:trPr>
          <w:cantSplit/>
          <w:trHeight w:val="88"/>
          <w:jc w:val="center"/>
        </w:trPr>
        <w:tc>
          <w:tcPr>
            <w:tcW w:w="4393" w:type="dxa"/>
            <w:tcBorders>
              <w:top w:val="nil"/>
              <w:left w:val="single" w:sz="4" w:space="0" w:color="auto"/>
              <w:bottom w:val="nil"/>
              <w:right w:val="nil"/>
            </w:tcBorders>
            <w:tcMar>
              <w:left w:w="40" w:type="dxa"/>
              <w:right w:w="40" w:type="dxa"/>
            </w:tcMar>
          </w:tcPr>
          <w:p w14:paraId="7A010D9A" w14:textId="77777777" w:rsidR="000C0A44" w:rsidRPr="00B34D4F" w:rsidRDefault="000C0A44" w:rsidP="00DA6988">
            <w:pPr>
              <w:pStyle w:val="Tables"/>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Sex                                                                                              </w:t>
            </w:r>
          </w:p>
        </w:tc>
        <w:tc>
          <w:tcPr>
            <w:tcW w:w="1352" w:type="dxa"/>
            <w:tcBorders>
              <w:top w:val="nil"/>
              <w:left w:val="nil"/>
              <w:bottom w:val="nil"/>
              <w:right w:val="nil"/>
            </w:tcBorders>
            <w:shd w:val="clear" w:color="auto" w:fill="FFFFFF"/>
            <w:vAlign w:val="center"/>
          </w:tcPr>
          <w:p w14:paraId="1573B4CD" w14:textId="77777777" w:rsidR="000C0A44" w:rsidRPr="00B34D4F" w:rsidRDefault="000C0A44" w:rsidP="00065B26">
            <w:pPr>
              <w:rPr>
                <w:rStyle w:val="st"/>
                <w:sz w:val="16"/>
                <w:szCs w:val="16"/>
              </w:rPr>
            </w:pPr>
          </w:p>
        </w:tc>
        <w:tc>
          <w:tcPr>
            <w:tcW w:w="1352" w:type="dxa"/>
            <w:tcBorders>
              <w:top w:val="nil"/>
              <w:left w:val="nil"/>
              <w:bottom w:val="nil"/>
              <w:right w:val="nil"/>
            </w:tcBorders>
            <w:shd w:val="clear" w:color="auto" w:fill="FFFFFF"/>
            <w:tcMar>
              <w:left w:w="40" w:type="dxa"/>
              <w:right w:w="40" w:type="dxa"/>
            </w:tcMar>
            <w:vAlign w:val="center"/>
          </w:tcPr>
          <w:p w14:paraId="12EBC6A9" w14:textId="77777777" w:rsidR="000C0A44" w:rsidRPr="00B34D4F" w:rsidRDefault="000C0A44" w:rsidP="00490E17">
            <w:pPr>
              <w:rPr>
                <w:rStyle w:val="st"/>
                <w:sz w:val="16"/>
                <w:szCs w:val="16"/>
              </w:rPr>
            </w:pPr>
          </w:p>
        </w:tc>
        <w:tc>
          <w:tcPr>
            <w:tcW w:w="1353" w:type="dxa"/>
            <w:tcBorders>
              <w:top w:val="nil"/>
              <w:left w:val="nil"/>
              <w:bottom w:val="nil"/>
              <w:right w:val="single" w:sz="4" w:space="0" w:color="auto"/>
            </w:tcBorders>
            <w:shd w:val="clear" w:color="auto" w:fill="FFFFFF"/>
            <w:tcMar>
              <w:left w:w="40" w:type="dxa"/>
              <w:right w:w="40" w:type="dxa"/>
            </w:tcMar>
            <w:vAlign w:val="center"/>
          </w:tcPr>
          <w:p w14:paraId="7A30FEFB" w14:textId="77777777" w:rsidR="000C0A44" w:rsidRPr="00B34D4F" w:rsidRDefault="000C0A44" w:rsidP="001706A2">
            <w:pPr>
              <w:rPr>
                <w:rStyle w:val="st"/>
                <w:sz w:val="16"/>
                <w:szCs w:val="16"/>
              </w:rPr>
            </w:pPr>
          </w:p>
        </w:tc>
      </w:tr>
      <w:tr w:rsidR="000C0A44" w:rsidRPr="00E11762" w14:paraId="3C002E31"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1F904A48" w14:textId="77777777" w:rsidR="000C0A44" w:rsidRPr="00B34D4F" w:rsidRDefault="000C0A44"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Male                                                                                            </w:t>
            </w:r>
          </w:p>
        </w:tc>
        <w:tc>
          <w:tcPr>
            <w:tcW w:w="1352" w:type="dxa"/>
            <w:tcBorders>
              <w:top w:val="nil"/>
              <w:left w:val="nil"/>
              <w:bottom w:val="nil"/>
              <w:right w:val="nil"/>
            </w:tcBorders>
            <w:shd w:val="clear" w:color="auto" w:fill="FFFFFF"/>
            <w:vAlign w:val="center"/>
          </w:tcPr>
          <w:p w14:paraId="7D7E6732" w14:textId="3CFECAC1" w:rsidR="000C0A44" w:rsidRPr="00B34D4F" w:rsidRDefault="000C0A44" w:rsidP="00065B26">
            <w:pPr>
              <w:rPr>
                <w:rStyle w:val="st"/>
                <w:sz w:val="16"/>
                <w:szCs w:val="16"/>
              </w:rPr>
            </w:pPr>
            <w:r w:rsidRPr="00B34D4F">
              <w:rPr>
                <w:rStyle w:val="st"/>
                <w:sz w:val="16"/>
                <w:szCs w:val="16"/>
              </w:rPr>
              <w:t xml:space="preserve">    6 (50</w:t>
            </w:r>
            <w:r w:rsidR="00E11363" w:rsidRPr="00B34D4F">
              <w:rPr>
                <w:sz w:val="16"/>
                <w:szCs w:val="16"/>
              </w:rPr>
              <w:t>·</w:t>
            </w:r>
            <w:r w:rsidRPr="00B34D4F">
              <w:rPr>
                <w:rStyle w:val="st"/>
                <w:sz w:val="16"/>
                <w:szCs w:val="16"/>
              </w:rPr>
              <w:t xml:space="preserve">0)                                                                                        </w:t>
            </w:r>
          </w:p>
        </w:tc>
        <w:tc>
          <w:tcPr>
            <w:tcW w:w="1352" w:type="dxa"/>
            <w:tcBorders>
              <w:top w:val="nil"/>
              <w:left w:val="nil"/>
              <w:bottom w:val="nil"/>
              <w:right w:val="nil"/>
            </w:tcBorders>
            <w:shd w:val="clear" w:color="auto" w:fill="FFFFFF"/>
            <w:tcMar>
              <w:left w:w="40" w:type="dxa"/>
              <w:right w:w="40" w:type="dxa"/>
            </w:tcMar>
            <w:vAlign w:val="center"/>
          </w:tcPr>
          <w:p w14:paraId="7549EE75" w14:textId="15B513A6" w:rsidR="000C0A44" w:rsidRPr="00B34D4F" w:rsidRDefault="000C0A44" w:rsidP="00490E17">
            <w:pPr>
              <w:rPr>
                <w:rStyle w:val="st"/>
                <w:sz w:val="16"/>
                <w:szCs w:val="16"/>
              </w:rPr>
            </w:pPr>
            <w:r w:rsidRPr="00B34D4F">
              <w:rPr>
                <w:rStyle w:val="st"/>
                <w:sz w:val="16"/>
                <w:szCs w:val="16"/>
              </w:rPr>
              <w:t xml:space="preserve">    5 (62</w:t>
            </w:r>
            <w:r w:rsidR="003B575D"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304E041A" w14:textId="5EBF905C" w:rsidR="000C0A44" w:rsidRPr="00B34D4F" w:rsidRDefault="000C0A44" w:rsidP="001706A2">
            <w:pPr>
              <w:rPr>
                <w:rStyle w:val="st"/>
                <w:sz w:val="16"/>
                <w:szCs w:val="16"/>
              </w:rPr>
            </w:pPr>
            <w:r w:rsidRPr="00B34D4F">
              <w:rPr>
                <w:rStyle w:val="st"/>
                <w:sz w:val="16"/>
                <w:szCs w:val="16"/>
              </w:rPr>
              <w:t xml:space="preserve">   11 (55</w:t>
            </w:r>
            <w:r w:rsidR="003B575D" w:rsidRPr="00B34D4F">
              <w:rPr>
                <w:sz w:val="16"/>
                <w:szCs w:val="16"/>
              </w:rPr>
              <w:t>·</w:t>
            </w:r>
            <w:r w:rsidRPr="00B34D4F">
              <w:rPr>
                <w:rStyle w:val="st"/>
                <w:sz w:val="16"/>
                <w:szCs w:val="16"/>
              </w:rPr>
              <w:t xml:space="preserve">0)                                                                                        </w:t>
            </w:r>
          </w:p>
        </w:tc>
      </w:tr>
      <w:tr w:rsidR="000C0A44" w:rsidRPr="00E11762" w14:paraId="26F28FC9"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6DF8D1FC" w14:textId="77777777" w:rsidR="000C0A44" w:rsidRPr="00B34D4F" w:rsidRDefault="000C0A44"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Female                                                                                          </w:t>
            </w:r>
          </w:p>
        </w:tc>
        <w:tc>
          <w:tcPr>
            <w:tcW w:w="1352" w:type="dxa"/>
            <w:tcBorders>
              <w:top w:val="nil"/>
              <w:left w:val="nil"/>
              <w:bottom w:val="nil"/>
              <w:right w:val="nil"/>
            </w:tcBorders>
            <w:shd w:val="clear" w:color="auto" w:fill="FFFFFF"/>
            <w:vAlign w:val="center"/>
          </w:tcPr>
          <w:p w14:paraId="7D9C959F" w14:textId="7611F714" w:rsidR="000C0A44" w:rsidRPr="00B34D4F" w:rsidRDefault="000C0A44" w:rsidP="00065B26">
            <w:pPr>
              <w:rPr>
                <w:rStyle w:val="st"/>
                <w:sz w:val="16"/>
                <w:szCs w:val="16"/>
              </w:rPr>
            </w:pPr>
            <w:r w:rsidRPr="00B34D4F">
              <w:rPr>
                <w:rStyle w:val="st"/>
                <w:sz w:val="16"/>
                <w:szCs w:val="16"/>
              </w:rPr>
              <w:t xml:space="preserve">    6 (50</w:t>
            </w:r>
            <w:r w:rsidR="00E11363" w:rsidRPr="00B34D4F">
              <w:rPr>
                <w:sz w:val="16"/>
                <w:szCs w:val="16"/>
              </w:rPr>
              <w:t>·</w:t>
            </w:r>
            <w:r w:rsidRPr="00B34D4F">
              <w:rPr>
                <w:rStyle w:val="st"/>
                <w:sz w:val="16"/>
                <w:szCs w:val="16"/>
              </w:rPr>
              <w:t xml:space="preserve">0)                                                                                        </w:t>
            </w:r>
          </w:p>
        </w:tc>
        <w:tc>
          <w:tcPr>
            <w:tcW w:w="1352" w:type="dxa"/>
            <w:tcBorders>
              <w:top w:val="nil"/>
              <w:left w:val="nil"/>
              <w:bottom w:val="nil"/>
              <w:right w:val="nil"/>
            </w:tcBorders>
            <w:shd w:val="clear" w:color="auto" w:fill="FFFFFF"/>
            <w:tcMar>
              <w:left w:w="40" w:type="dxa"/>
              <w:right w:w="40" w:type="dxa"/>
            </w:tcMar>
            <w:vAlign w:val="center"/>
          </w:tcPr>
          <w:p w14:paraId="7B24F64F" w14:textId="2A40BC6B" w:rsidR="000C0A44" w:rsidRPr="00B34D4F" w:rsidRDefault="000C0A44" w:rsidP="00490E17">
            <w:pPr>
              <w:rPr>
                <w:rStyle w:val="st"/>
                <w:sz w:val="16"/>
                <w:szCs w:val="16"/>
              </w:rPr>
            </w:pPr>
            <w:r w:rsidRPr="00B34D4F">
              <w:rPr>
                <w:rStyle w:val="st"/>
                <w:sz w:val="16"/>
                <w:szCs w:val="16"/>
              </w:rPr>
              <w:t xml:space="preserve">    3 (37</w:t>
            </w:r>
            <w:r w:rsidR="003B575D"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540A3726" w14:textId="10891BFB" w:rsidR="000C0A44" w:rsidRPr="00B34D4F" w:rsidRDefault="000C0A44" w:rsidP="001706A2">
            <w:pPr>
              <w:rPr>
                <w:rStyle w:val="st"/>
                <w:sz w:val="16"/>
                <w:szCs w:val="16"/>
              </w:rPr>
            </w:pPr>
            <w:r w:rsidRPr="00B34D4F">
              <w:rPr>
                <w:rStyle w:val="st"/>
                <w:sz w:val="16"/>
                <w:szCs w:val="16"/>
              </w:rPr>
              <w:t xml:space="preserve">    9 (45</w:t>
            </w:r>
            <w:r w:rsidR="003B575D" w:rsidRPr="00B34D4F">
              <w:rPr>
                <w:sz w:val="16"/>
                <w:szCs w:val="16"/>
              </w:rPr>
              <w:t>·</w:t>
            </w:r>
            <w:r w:rsidRPr="00B34D4F">
              <w:rPr>
                <w:rStyle w:val="st"/>
                <w:sz w:val="16"/>
                <w:szCs w:val="16"/>
              </w:rPr>
              <w:t xml:space="preserve">0)                                                                                        </w:t>
            </w:r>
          </w:p>
        </w:tc>
      </w:tr>
      <w:tr w:rsidR="000C0A44" w:rsidRPr="00E11762" w14:paraId="70A5AA57" w14:textId="77777777" w:rsidTr="000C0A44">
        <w:trPr>
          <w:cantSplit/>
          <w:jc w:val="center"/>
        </w:trPr>
        <w:tc>
          <w:tcPr>
            <w:tcW w:w="4393" w:type="dxa"/>
            <w:tcBorders>
              <w:top w:val="nil"/>
              <w:left w:val="single" w:sz="4" w:space="0" w:color="auto"/>
              <w:bottom w:val="nil"/>
              <w:right w:val="nil"/>
            </w:tcBorders>
            <w:tcMar>
              <w:left w:w="40" w:type="dxa"/>
              <w:right w:w="40" w:type="dxa"/>
            </w:tcMar>
          </w:tcPr>
          <w:p w14:paraId="4282E9D6" w14:textId="77777777" w:rsidR="000C0A44" w:rsidRPr="00B34D4F" w:rsidRDefault="000C0A44" w:rsidP="00DA6988">
            <w:pPr>
              <w:pStyle w:val="Tables"/>
              <w:rPr>
                <w:rStyle w:val="st"/>
                <w:rFonts w:ascii="Times New Roman" w:hAnsi="Times New Roman" w:cs="Times New Roman"/>
                <w:sz w:val="16"/>
                <w:szCs w:val="16"/>
              </w:rPr>
            </w:pPr>
            <w:r w:rsidRPr="00B34D4F">
              <w:rPr>
                <w:rStyle w:val="st"/>
                <w:rFonts w:ascii="Times New Roman" w:hAnsi="Times New Roman" w:cs="Times New Roman"/>
                <w:sz w:val="16"/>
                <w:szCs w:val="16"/>
              </w:rPr>
              <w:t xml:space="preserve">Any previous major surgery   </w:t>
            </w:r>
          </w:p>
        </w:tc>
        <w:tc>
          <w:tcPr>
            <w:tcW w:w="1352" w:type="dxa"/>
            <w:tcBorders>
              <w:top w:val="nil"/>
              <w:left w:val="nil"/>
              <w:bottom w:val="nil"/>
              <w:right w:val="nil"/>
            </w:tcBorders>
            <w:shd w:val="clear" w:color="auto" w:fill="FFFFFF"/>
            <w:vAlign w:val="center"/>
          </w:tcPr>
          <w:p w14:paraId="33518C16" w14:textId="77032E1E" w:rsidR="000C0A44" w:rsidRPr="00B34D4F" w:rsidRDefault="000C0A44" w:rsidP="00065B26">
            <w:pPr>
              <w:rPr>
                <w:rStyle w:val="st"/>
                <w:sz w:val="16"/>
                <w:szCs w:val="16"/>
              </w:rPr>
            </w:pPr>
            <w:r w:rsidRPr="00B34D4F">
              <w:rPr>
                <w:rStyle w:val="st"/>
                <w:sz w:val="16"/>
                <w:szCs w:val="16"/>
              </w:rPr>
              <w:t xml:space="preserve">    7 (58</w:t>
            </w:r>
            <w:r w:rsidR="00E11363" w:rsidRPr="00B34D4F">
              <w:rPr>
                <w:sz w:val="16"/>
                <w:szCs w:val="16"/>
              </w:rPr>
              <w:t>·</w:t>
            </w:r>
            <w:r w:rsidRPr="00B34D4F">
              <w:rPr>
                <w:rStyle w:val="st"/>
                <w:sz w:val="16"/>
                <w:szCs w:val="16"/>
              </w:rPr>
              <w:t>3)</w:t>
            </w:r>
          </w:p>
        </w:tc>
        <w:tc>
          <w:tcPr>
            <w:tcW w:w="1352" w:type="dxa"/>
            <w:tcBorders>
              <w:top w:val="nil"/>
              <w:left w:val="nil"/>
              <w:bottom w:val="nil"/>
              <w:right w:val="nil"/>
            </w:tcBorders>
            <w:shd w:val="clear" w:color="auto" w:fill="FFFFFF"/>
            <w:tcMar>
              <w:left w:w="40" w:type="dxa"/>
              <w:right w:w="40" w:type="dxa"/>
            </w:tcMar>
            <w:vAlign w:val="center"/>
          </w:tcPr>
          <w:p w14:paraId="5A77FD8F" w14:textId="500D2F1B" w:rsidR="000C0A44" w:rsidRPr="00B34D4F" w:rsidRDefault="000C0A44" w:rsidP="00490E17">
            <w:pPr>
              <w:rPr>
                <w:rStyle w:val="st"/>
                <w:sz w:val="16"/>
                <w:szCs w:val="16"/>
              </w:rPr>
            </w:pPr>
            <w:r w:rsidRPr="00B34D4F">
              <w:rPr>
                <w:rStyle w:val="st"/>
                <w:sz w:val="16"/>
                <w:szCs w:val="16"/>
              </w:rPr>
              <w:t xml:space="preserve">    3 (37</w:t>
            </w:r>
            <w:r w:rsidR="003B575D" w:rsidRPr="00B34D4F">
              <w:rPr>
                <w:sz w:val="16"/>
                <w:szCs w:val="16"/>
              </w:rPr>
              <w:t>·</w:t>
            </w:r>
            <w:r w:rsidRPr="00B34D4F">
              <w:rPr>
                <w:rStyle w:val="st"/>
                <w:sz w:val="16"/>
                <w:szCs w:val="16"/>
              </w:rPr>
              <w:t xml:space="preserve">5)                                                                                        </w:t>
            </w:r>
          </w:p>
        </w:tc>
        <w:tc>
          <w:tcPr>
            <w:tcW w:w="1353" w:type="dxa"/>
            <w:tcBorders>
              <w:top w:val="nil"/>
              <w:left w:val="nil"/>
              <w:bottom w:val="nil"/>
              <w:right w:val="single" w:sz="4" w:space="0" w:color="auto"/>
            </w:tcBorders>
            <w:shd w:val="clear" w:color="auto" w:fill="FFFFFF"/>
            <w:tcMar>
              <w:left w:w="40" w:type="dxa"/>
              <w:right w:w="40" w:type="dxa"/>
            </w:tcMar>
            <w:vAlign w:val="center"/>
          </w:tcPr>
          <w:p w14:paraId="4847416C" w14:textId="24D5028A" w:rsidR="000C0A44" w:rsidRPr="00B34D4F" w:rsidRDefault="00BC298F" w:rsidP="001706A2">
            <w:pPr>
              <w:rPr>
                <w:rStyle w:val="st"/>
                <w:sz w:val="16"/>
                <w:szCs w:val="16"/>
              </w:rPr>
            </w:pPr>
            <w:r w:rsidRPr="00B34D4F">
              <w:rPr>
                <w:rStyle w:val="st"/>
                <w:sz w:val="16"/>
                <w:szCs w:val="16"/>
              </w:rPr>
              <w:t xml:space="preserve">  </w:t>
            </w:r>
            <w:r w:rsidR="000C0A44" w:rsidRPr="00B34D4F">
              <w:rPr>
                <w:rStyle w:val="st"/>
                <w:sz w:val="16"/>
                <w:szCs w:val="16"/>
              </w:rPr>
              <w:t>10 (50</w:t>
            </w:r>
            <w:r w:rsidR="003B575D" w:rsidRPr="00B34D4F">
              <w:rPr>
                <w:sz w:val="16"/>
                <w:szCs w:val="16"/>
              </w:rPr>
              <w:t>·</w:t>
            </w:r>
            <w:r w:rsidR="000C0A44" w:rsidRPr="00B34D4F">
              <w:rPr>
                <w:rStyle w:val="st"/>
                <w:sz w:val="16"/>
                <w:szCs w:val="16"/>
              </w:rPr>
              <w:t xml:space="preserve">0)                                                                                        </w:t>
            </w:r>
          </w:p>
        </w:tc>
      </w:tr>
      <w:tr w:rsidR="00BC298F" w:rsidRPr="00E11762" w14:paraId="22A7DE8B"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1E84D134" w14:textId="77777777" w:rsidR="00BC298F" w:rsidRPr="00B34D4F" w:rsidRDefault="00BC298F" w:rsidP="00DA6988">
            <w:pPr>
              <w:pStyle w:val="Tables"/>
              <w:rPr>
                <w:rStyle w:val="st"/>
                <w:rFonts w:ascii="Times New Roman" w:hAnsi="Times New Roman" w:cs="Times New Roman"/>
                <w:sz w:val="16"/>
                <w:szCs w:val="16"/>
                <w:lang w:val="en-GB"/>
              </w:rPr>
            </w:pPr>
            <w:r w:rsidRPr="00B34D4F">
              <w:rPr>
                <w:rStyle w:val="st"/>
                <w:rFonts w:ascii="Times New Roman" w:hAnsi="Times New Roman" w:cs="Times New Roman"/>
                <w:sz w:val="16"/>
                <w:szCs w:val="16"/>
                <w:lang w:val="en-GB"/>
              </w:rPr>
              <w:t>Any prior systemic anticancer therapy</w:t>
            </w:r>
          </w:p>
        </w:tc>
        <w:tc>
          <w:tcPr>
            <w:tcW w:w="1352" w:type="dxa"/>
            <w:tcBorders>
              <w:top w:val="nil"/>
              <w:left w:val="nil"/>
              <w:bottom w:val="nil"/>
              <w:right w:val="nil"/>
            </w:tcBorders>
            <w:shd w:val="clear" w:color="auto" w:fill="FFFFFF"/>
          </w:tcPr>
          <w:p w14:paraId="685A8CA2" w14:textId="1ACF38E8" w:rsidR="00BC298F" w:rsidRPr="00B34D4F" w:rsidRDefault="00BC298F" w:rsidP="00065B26">
            <w:pPr>
              <w:rPr>
                <w:rStyle w:val="st"/>
                <w:sz w:val="16"/>
                <w:szCs w:val="16"/>
              </w:rPr>
            </w:pPr>
            <w:r w:rsidRPr="00B34D4F">
              <w:rPr>
                <w:rStyle w:val="st"/>
                <w:sz w:val="16"/>
                <w:szCs w:val="16"/>
              </w:rPr>
              <w:t xml:space="preserve">    6 (50</w:t>
            </w:r>
            <w:r w:rsidR="00E11363" w:rsidRPr="00B34D4F">
              <w:rPr>
                <w:sz w:val="16"/>
                <w:szCs w:val="16"/>
              </w:rPr>
              <w:t>·</w:t>
            </w:r>
            <w:r w:rsidRPr="00B34D4F">
              <w:rPr>
                <w:rStyle w:val="st"/>
                <w:sz w:val="16"/>
                <w:szCs w:val="16"/>
              </w:rPr>
              <w:t xml:space="preserve">0)                                                                                        </w:t>
            </w:r>
          </w:p>
        </w:tc>
        <w:tc>
          <w:tcPr>
            <w:tcW w:w="1352" w:type="dxa"/>
            <w:tcBorders>
              <w:top w:val="nil"/>
              <w:left w:val="nil"/>
              <w:bottom w:val="nil"/>
              <w:right w:val="nil"/>
            </w:tcBorders>
            <w:shd w:val="clear" w:color="auto" w:fill="FFFFFF"/>
            <w:tcMar>
              <w:left w:w="40" w:type="dxa"/>
              <w:right w:w="40" w:type="dxa"/>
            </w:tcMar>
          </w:tcPr>
          <w:p w14:paraId="74D20D66" w14:textId="1AC6EEC8" w:rsidR="00BC298F" w:rsidRPr="00B34D4F" w:rsidRDefault="00BC298F" w:rsidP="00490E17">
            <w:pPr>
              <w:rPr>
                <w:rStyle w:val="st"/>
                <w:sz w:val="16"/>
                <w:szCs w:val="16"/>
              </w:rPr>
            </w:pPr>
            <w:r w:rsidRPr="00B34D4F">
              <w:rPr>
                <w:rStyle w:val="st"/>
                <w:sz w:val="16"/>
                <w:szCs w:val="16"/>
              </w:rPr>
              <w:t xml:space="preserve">    2 (25</w:t>
            </w:r>
            <w:r w:rsidR="003B575D" w:rsidRPr="00B34D4F">
              <w:rPr>
                <w:sz w:val="16"/>
                <w:szCs w:val="16"/>
              </w:rPr>
              <w:t>·</w:t>
            </w:r>
            <w:r w:rsidRPr="00B34D4F">
              <w:rPr>
                <w:rStyle w:val="st"/>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3958E722" w14:textId="5CC3219B" w:rsidR="00BC298F" w:rsidRPr="00B34D4F" w:rsidRDefault="00BC298F" w:rsidP="001706A2">
            <w:pPr>
              <w:rPr>
                <w:rStyle w:val="st"/>
                <w:sz w:val="16"/>
                <w:szCs w:val="16"/>
              </w:rPr>
            </w:pPr>
            <w:r w:rsidRPr="00B34D4F">
              <w:rPr>
                <w:rStyle w:val="st"/>
                <w:sz w:val="16"/>
                <w:szCs w:val="16"/>
              </w:rPr>
              <w:t xml:space="preserve">    8 (40</w:t>
            </w:r>
            <w:r w:rsidR="003B575D" w:rsidRPr="00B34D4F">
              <w:rPr>
                <w:sz w:val="16"/>
                <w:szCs w:val="16"/>
              </w:rPr>
              <w:t>·</w:t>
            </w:r>
            <w:r w:rsidRPr="00B34D4F">
              <w:rPr>
                <w:rStyle w:val="st"/>
                <w:sz w:val="16"/>
                <w:szCs w:val="16"/>
              </w:rPr>
              <w:t xml:space="preserve">0)                                                                                        </w:t>
            </w:r>
          </w:p>
        </w:tc>
      </w:tr>
      <w:tr w:rsidR="00BC298F" w:rsidRPr="00E11762" w14:paraId="18B26BC3"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1D113026"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Chemotherapy</w:t>
            </w:r>
          </w:p>
        </w:tc>
        <w:tc>
          <w:tcPr>
            <w:tcW w:w="1352" w:type="dxa"/>
            <w:tcBorders>
              <w:top w:val="nil"/>
              <w:left w:val="nil"/>
              <w:bottom w:val="nil"/>
              <w:right w:val="nil"/>
            </w:tcBorders>
            <w:shd w:val="clear" w:color="auto" w:fill="FFFFFF"/>
          </w:tcPr>
          <w:p w14:paraId="3770D761" w14:textId="44ED24EE" w:rsidR="00BC298F" w:rsidRPr="00B34D4F" w:rsidRDefault="00BC298F" w:rsidP="00065B26">
            <w:pPr>
              <w:rPr>
                <w:rStyle w:val="st"/>
                <w:sz w:val="16"/>
                <w:szCs w:val="16"/>
              </w:rPr>
            </w:pPr>
            <w:r w:rsidRPr="00B34D4F">
              <w:rPr>
                <w:rStyle w:val="st"/>
                <w:sz w:val="16"/>
                <w:szCs w:val="16"/>
              </w:rPr>
              <w:t xml:space="preserve">    5 (41</w:t>
            </w:r>
            <w:r w:rsidR="00E11363" w:rsidRPr="00B34D4F">
              <w:rPr>
                <w:sz w:val="16"/>
                <w:szCs w:val="16"/>
              </w:rPr>
              <w:t>·</w:t>
            </w:r>
            <w:r w:rsidRPr="00B34D4F">
              <w:rPr>
                <w:rStyle w:val="st"/>
                <w:sz w:val="16"/>
                <w:szCs w:val="16"/>
              </w:rPr>
              <w:t xml:space="preserve">7)                                                                                        </w:t>
            </w:r>
          </w:p>
        </w:tc>
        <w:tc>
          <w:tcPr>
            <w:tcW w:w="1352" w:type="dxa"/>
            <w:tcBorders>
              <w:top w:val="nil"/>
              <w:left w:val="nil"/>
              <w:bottom w:val="nil"/>
              <w:right w:val="nil"/>
            </w:tcBorders>
            <w:shd w:val="clear" w:color="auto" w:fill="FFFFFF"/>
            <w:tcMar>
              <w:left w:w="40" w:type="dxa"/>
              <w:right w:w="40" w:type="dxa"/>
            </w:tcMar>
          </w:tcPr>
          <w:p w14:paraId="7F037934" w14:textId="58AE8E55" w:rsidR="00BC298F" w:rsidRPr="00B34D4F" w:rsidRDefault="00BC298F" w:rsidP="00490E17">
            <w:pPr>
              <w:rPr>
                <w:rStyle w:val="st"/>
                <w:sz w:val="16"/>
                <w:szCs w:val="16"/>
              </w:rPr>
            </w:pPr>
            <w:r w:rsidRPr="00B34D4F">
              <w:rPr>
                <w:rStyle w:val="st"/>
                <w:sz w:val="16"/>
                <w:szCs w:val="16"/>
              </w:rPr>
              <w:t xml:space="preserve">    2 (25</w:t>
            </w:r>
            <w:r w:rsidR="003B575D" w:rsidRPr="00B34D4F">
              <w:rPr>
                <w:sz w:val="16"/>
                <w:szCs w:val="16"/>
              </w:rPr>
              <w:t>·</w:t>
            </w:r>
            <w:r w:rsidRPr="00B34D4F">
              <w:rPr>
                <w:rStyle w:val="st"/>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434DBF58" w14:textId="3B9744D8" w:rsidR="00BC298F" w:rsidRPr="00B34D4F" w:rsidRDefault="00BC298F" w:rsidP="001706A2">
            <w:pPr>
              <w:rPr>
                <w:rStyle w:val="st"/>
                <w:sz w:val="16"/>
                <w:szCs w:val="16"/>
              </w:rPr>
            </w:pPr>
            <w:r w:rsidRPr="00B34D4F">
              <w:rPr>
                <w:rStyle w:val="st"/>
                <w:sz w:val="16"/>
                <w:szCs w:val="16"/>
              </w:rPr>
              <w:t xml:space="preserve">    7 (35</w:t>
            </w:r>
            <w:r w:rsidR="003B575D" w:rsidRPr="00B34D4F">
              <w:rPr>
                <w:sz w:val="16"/>
                <w:szCs w:val="16"/>
              </w:rPr>
              <w:t>·</w:t>
            </w:r>
            <w:r w:rsidRPr="00B34D4F">
              <w:rPr>
                <w:rStyle w:val="st"/>
                <w:sz w:val="16"/>
                <w:szCs w:val="16"/>
              </w:rPr>
              <w:t xml:space="preserve">0)                                                                                        </w:t>
            </w:r>
          </w:p>
        </w:tc>
      </w:tr>
      <w:tr w:rsidR="000C0A44" w:rsidRPr="00E11762" w14:paraId="508D0C07"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0FDCD4AF" w14:textId="5CD0172D" w:rsidR="000C0A44" w:rsidRPr="00B34D4F" w:rsidRDefault="00BC298F" w:rsidP="00DA6988">
            <w:pPr>
              <w:pStyle w:val="Tables"/>
              <w:ind w:firstLine="284"/>
              <w:rPr>
                <w:rStyle w:val="st"/>
                <w:rFonts w:ascii="Times New Roman" w:hAnsi="Times New Roman" w:cs="Times New Roman"/>
                <w:sz w:val="16"/>
                <w:szCs w:val="16"/>
                <w:lang w:val="en-GB"/>
              </w:rPr>
            </w:pPr>
            <w:r w:rsidRPr="00B34D4F">
              <w:rPr>
                <w:rStyle w:val="st"/>
                <w:rFonts w:ascii="Times New Roman" w:hAnsi="Times New Roman" w:cs="Times New Roman"/>
                <w:sz w:val="16"/>
                <w:szCs w:val="16"/>
              </w:rPr>
              <w:t>Other anticancer therapy</w:t>
            </w:r>
            <w:r w:rsidRPr="00B34D4F">
              <w:rPr>
                <w:rFonts w:ascii="Arial" w:hAnsi="Arial"/>
                <w:b/>
                <w:bCs/>
                <w:sz w:val="16"/>
                <w:szCs w:val="16"/>
              </w:rPr>
              <w:t xml:space="preserve">                                       </w:t>
            </w:r>
          </w:p>
        </w:tc>
        <w:tc>
          <w:tcPr>
            <w:tcW w:w="1352" w:type="dxa"/>
            <w:tcBorders>
              <w:top w:val="nil"/>
              <w:left w:val="nil"/>
              <w:bottom w:val="nil"/>
              <w:right w:val="nil"/>
            </w:tcBorders>
            <w:shd w:val="clear" w:color="auto" w:fill="FFFFFF"/>
          </w:tcPr>
          <w:p w14:paraId="25D803EF" w14:textId="6563B222" w:rsidR="000C0A44" w:rsidRPr="00B34D4F" w:rsidRDefault="000C0A44" w:rsidP="00065B26">
            <w:pPr>
              <w:rPr>
                <w:rStyle w:val="st"/>
                <w:sz w:val="16"/>
                <w:szCs w:val="16"/>
              </w:rPr>
            </w:pPr>
            <w:r w:rsidRPr="00B34D4F">
              <w:rPr>
                <w:rStyle w:val="st"/>
                <w:sz w:val="16"/>
                <w:szCs w:val="16"/>
              </w:rPr>
              <w:t xml:space="preserve">    2 (16</w:t>
            </w:r>
            <w:r w:rsidR="00E11363" w:rsidRPr="00B34D4F">
              <w:rPr>
                <w:sz w:val="16"/>
                <w:szCs w:val="16"/>
              </w:rPr>
              <w:t>·</w:t>
            </w:r>
            <w:r w:rsidRPr="00B34D4F">
              <w:rPr>
                <w:rStyle w:val="st"/>
                <w:sz w:val="16"/>
                <w:szCs w:val="16"/>
              </w:rPr>
              <w:t xml:space="preserve">7)                                                                                       </w:t>
            </w:r>
          </w:p>
        </w:tc>
        <w:tc>
          <w:tcPr>
            <w:tcW w:w="1352" w:type="dxa"/>
            <w:tcBorders>
              <w:top w:val="nil"/>
              <w:left w:val="nil"/>
              <w:bottom w:val="nil"/>
              <w:right w:val="nil"/>
            </w:tcBorders>
            <w:shd w:val="clear" w:color="auto" w:fill="FFFFFF"/>
            <w:tcMar>
              <w:left w:w="40" w:type="dxa"/>
              <w:right w:w="40" w:type="dxa"/>
            </w:tcMar>
          </w:tcPr>
          <w:p w14:paraId="6B1BB0CD" w14:textId="230CBDBC" w:rsidR="000C0A44" w:rsidRPr="00B34D4F" w:rsidRDefault="000C0A44" w:rsidP="00490E17">
            <w:pPr>
              <w:rPr>
                <w:rStyle w:val="st"/>
                <w:sz w:val="16"/>
                <w:szCs w:val="16"/>
              </w:rPr>
            </w:pPr>
            <w:r w:rsidRPr="00B34D4F">
              <w:rPr>
                <w:rStyle w:val="st"/>
                <w:sz w:val="16"/>
                <w:szCs w:val="16"/>
              </w:rPr>
              <w:t xml:space="preserve">    </w:t>
            </w:r>
            <w:r w:rsidR="00BC298F" w:rsidRPr="00B34D4F">
              <w:rPr>
                <w:rStyle w:val="st"/>
                <w:sz w:val="16"/>
                <w:szCs w:val="16"/>
              </w:rPr>
              <w:t>1</w:t>
            </w:r>
            <w:r w:rsidRPr="00B34D4F">
              <w:rPr>
                <w:rStyle w:val="st"/>
                <w:sz w:val="16"/>
                <w:szCs w:val="16"/>
              </w:rPr>
              <w:t xml:space="preserve"> (</w:t>
            </w:r>
            <w:r w:rsidR="00BC298F" w:rsidRPr="00B34D4F">
              <w:rPr>
                <w:rStyle w:val="st"/>
                <w:sz w:val="16"/>
                <w:szCs w:val="16"/>
              </w:rPr>
              <w:t>12</w:t>
            </w:r>
            <w:r w:rsidR="003B575D" w:rsidRPr="00B34D4F">
              <w:rPr>
                <w:sz w:val="16"/>
                <w:szCs w:val="16"/>
              </w:rPr>
              <w:t>·</w:t>
            </w:r>
            <w:r w:rsidR="00BC298F" w:rsidRPr="00B34D4F">
              <w:rPr>
                <w:rStyle w:val="st"/>
                <w:sz w:val="16"/>
                <w:szCs w:val="16"/>
              </w:rPr>
              <w:t>5</w:t>
            </w:r>
            <w:r w:rsidRPr="00B34D4F">
              <w:rPr>
                <w:rStyle w:val="st"/>
                <w:sz w:val="16"/>
                <w:szCs w:val="16"/>
              </w:rPr>
              <w:t xml:space="preserve">)                                                                                         </w:t>
            </w:r>
          </w:p>
        </w:tc>
        <w:tc>
          <w:tcPr>
            <w:tcW w:w="1353" w:type="dxa"/>
            <w:tcBorders>
              <w:top w:val="nil"/>
              <w:left w:val="nil"/>
              <w:bottom w:val="nil"/>
              <w:right w:val="single" w:sz="4" w:space="0" w:color="auto"/>
            </w:tcBorders>
            <w:shd w:val="clear" w:color="auto" w:fill="FFFFFF"/>
            <w:tcMar>
              <w:left w:w="40" w:type="dxa"/>
              <w:right w:w="40" w:type="dxa"/>
            </w:tcMar>
          </w:tcPr>
          <w:p w14:paraId="205AA588" w14:textId="7D9D97F2" w:rsidR="000C0A44" w:rsidRPr="00B34D4F" w:rsidRDefault="000C0A44" w:rsidP="001706A2">
            <w:pPr>
              <w:rPr>
                <w:rStyle w:val="st"/>
                <w:sz w:val="16"/>
                <w:szCs w:val="16"/>
              </w:rPr>
            </w:pPr>
            <w:r w:rsidRPr="00B34D4F">
              <w:rPr>
                <w:rStyle w:val="st"/>
                <w:sz w:val="16"/>
                <w:szCs w:val="16"/>
              </w:rPr>
              <w:t xml:space="preserve">    </w:t>
            </w:r>
            <w:r w:rsidR="00BC298F" w:rsidRPr="00B34D4F">
              <w:rPr>
                <w:rStyle w:val="st"/>
                <w:sz w:val="16"/>
                <w:szCs w:val="16"/>
              </w:rPr>
              <w:t>3</w:t>
            </w:r>
            <w:r w:rsidRPr="00B34D4F">
              <w:rPr>
                <w:rStyle w:val="st"/>
                <w:sz w:val="16"/>
                <w:szCs w:val="16"/>
              </w:rPr>
              <w:t xml:space="preserve"> (15</w:t>
            </w:r>
            <w:r w:rsidR="003B575D" w:rsidRPr="00B34D4F">
              <w:rPr>
                <w:sz w:val="16"/>
                <w:szCs w:val="16"/>
              </w:rPr>
              <w:t>·</w:t>
            </w:r>
            <w:r w:rsidR="00BC298F" w:rsidRPr="00B34D4F">
              <w:rPr>
                <w:rStyle w:val="st"/>
                <w:sz w:val="16"/>
                <w:szCs w:val="16"/>
              </w:rPr>
              <w:t>0</w:t>
            </w:r>
            <w:r w:rsidRPr="00B34D4F">
              <w:rPr>
                <w:rStyle w:val="st"/>
                <w:sz w:val="16"/>
                <w:szCs w:val="16"/>
              </w:rPr>
              <w:t xml:space="preserve">)                                                                                        </w:t>
            </w:r>
          </w:p>
        </w:tc>
      </w:tr>
      <w:tr w:rsidR="000C0A44" w:rsidRPr="00E11762" w14:paraId="1299CD90"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4E13362B" w14:textId="77777777" w:rsidR="000C0A44" w:rsidRPr="00B34D4F" w:rsidRDefault="000C0A44" w:rsidP="00DA6988">
            <w:pPr>
              <w:pStyle w:val="Tables"/>
              <w:rPr>
                <w:rStyle w:val="st"/>
                <w:rFonts w:ascii="Times New Roman" w:hAnsi="Times New Roman" w:cs="Times New Roman"/>
                <w:sz w:val="16"/>
                <w:szCs w:val="16"/>
                <w:lang w:val="en-GB"/>
              </w:rPr>
            </w:pPr>
            <w:r w:rsidRPr="00B34D4F">
              <w:rPr>
                <w:rStyle w:val="st"/>
                <w:rFonts w:ascii="Times New Roman" w:hAnsi="Times New Roman" w:cs="Times New Roman"/>
                <w:sz w:val="16"/>
                <w:szCs w:val="16"/>
                <w:lang w:val="en-GB"/>
              </w:rPr>
              <w:t>Prior systemic treatments</w:t>
            </w:r>
          </w:p>
        </w:tc>
        <w:tc>
          <w:tcPr>
            <w:tcW w:w="1352" w:type="dxa"/>
            <w:tcBorders>
              <w:top w:val="nil"/>
              <w:left w:val="nil"/>
              <w:bottom w:val="nil"/>
              <w:right w:val="nil"/>
            </w:tcBorders>
            <w:shd w:val="clear" w:color="auto" w:fill="FFFFFF"/>
          </w:tcPr>
          <w:p w14:paraId="5211F05A" w14:textId="77777777" w:rsidR="000C0A44" w:rsidRPr="00B34D4F" w:rsidRDefault="000C0A44" w:rsidP="00065B26">
            <w:pPr>
              <w:rPr>
                <w:rStyle w:val="st"/>
                <w:sz w:val="16"/>
                <w:szCs w:val="16"/>
              </w:rPr>
            </w:pPr>
          </w:p>
        </w:tc>
        <w:tc>
          <w:tcPr>
            <w:tcW w:w="1352" w:type="dxa"/>
            <w:tcBorders>
              <w:top w:val="nil"/>
              <w:left w:val="nil"/>
              <w:bottom w:val="nil"/>
              <w:right w:val="nil"/>
            </w:tcBorders>
            <w:shd w:val="clear" w:color="auto" w:fill="FFFFFF"/>
            <w:tcMar>
              <w:left w:w="40" w:type="dxa"/>
              <w:right w:w="40" w:type="dxa"/>
            </w:tcMar>
          </w:tcPr>
          <w:p w14:paraId="153E99A5" w14:textId="77777777" w:rsidR="000C0A44" w:rsidRPr="00B34D4F" w:rsidRDefault="000C0A44" w:rsidP="00490E17">
            <w:pPr>
              <w:rPr>
                <w:rStyle w:val="st"/>
                <w:sz w:val="16"/>
                <w:szCs w:val="16"/>
              </w:rPr>
            </w:pPr>
          </w:p>
        </w:tc>
        <w:tc>
          <w:tcPr>
            <w:tcW w:w="1353" w:type="dxa"/>
            <w:tcBorders>
              <w:top w:val="nil"/>
              <w:left w:val="nil"/>
              <w:bottom w:val="nil"/>
              <w:right w:val="single" w:sz="4" w:space="0" w:color="auto"/>
            </w:tcBorders>
            <w:shd w:val="clear" w:color="auto" w:fill="FFFFFF"/>
            <w:tcMar>
              <w:left w:w="40" w:type="dxa"/>
              <w:right w:w="40" w:type="dxa"/>
            </w:tcMar>
          </w:tcPr>
          <w:p w14:paraId="1D990677" w14:textId="77777777" w:rsidR="000C0A44" w:rsidRPr="00B34D4F" w:rsidRDefault="000C0A44" w:rsidP="001706A2">
            <w:pPr>
              <w:rPr>
                <w:rStyle w:val="st"/>
                <w:sz w:val="16"/>
                <w:szCs w:val="16"/>
              </w:rPr>
            </w:pPr>
          </w:p>
        </w:tc>
      </w:tr>
      <w:tr w:rsidR="00BC298F" w:rsidRPr="00E11762" w14:paraId="5DB2BD09"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316FC7FC"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Neo Adjuvant</w:t>
            </w:r>
          </w:p>
        </w:tc>
        <w:tc>
          <w:tcPr>
            <w:tcW w:w="1352" w:type="dxa"/>
            <w:tcBorders>
              <w:top w:val="nil"/>
              <w:left w:val="nil"/>
              <w:bottom w:val="nil"/>
              <w:right w:val="nil"/>
            </w:tcBorders>
            <w:shd w:val="clear" w:color="auto" w:fill="FFFFFF"/>
          </w:tcPr>
          <w:p w14:paraId="2857CAA4" w14:textId="3A2C6981" w:rsidR="00BC298F" w:rsidRPr="00B34D4F" w:rsidRDefault="00BC298F" w:rsidP="00065B26">
            <w:pPr>
              <w:rPr>
                <w:rStyle w:val="st"/>
                <w:sz w:val="16"/>
                <w:szCs w:val="16"/>
              </w:rPr>
            </w:pPr>
            <w:r w:rsidRPr="00B34D4F">
              <w:rPr>
                <w:sz w:val="16"/>
                <w:szCs w:val="16"/>
              </w:rPr>
              <w:t xml:space="preserve">  -                                                                                                  </w:t>
            </w:r>
          </w:p>
        </w:tc>
        <w:tc>
          <w:tcPr>
            <w:tcW w:w="1352" w:type="dxa"/>
            <w:tcBorders>
              <w:top w:val="nil"/>
              <w:left w:val="nil"/>
              <w:bottom w:val="nil"/>
              <w:right w:val="nil"/>
            </w:tcBorders>
            <w:shd w:val="clear" w:color="auto" w:fill="FFFFFF"/>
            <w:tcMar>
              <w:left w:w="40" w:type="dxa"/>
              <w:right w:w="40" w:type="dxa"/>
            </w:tcMar>
          </w:tcPr>
          <w:p w14:paraId="4B05C2FB" w14:textId="54D84012" w:rsidR="00BC298F" w:rsidRPr="00B34D4F" w:rsidRDefault="00BC298F" w:rsidP="00490E17">
            <w:pPr>
              <w:rPr>
                <w:rStyle w:val="st"/>
                <w:sz w:val="16"/>
                <w:szCs w:val="16"/>
              </w:rPr>
            </w:pPr>
            <w:r w:rsidRPr="00B34D4F">
              <w:rPr>
                <w:sz w:val="16"/>
                <w:szCs w:val="16"/>
              </w:rPr>
              <w:t xml:space="preserve">-                                                                                                    </w:t>
            </w:r>
          </w:p>
        </w:tc>
        <w:tc>
          <w:tcPr>
            <w:tcW w:w="1353" w:type="dxa"/>
            <w:tcBorders>
              <w:top w:val="nil"/>
              <w:left w:val="nil"/>
              <w:bottom w:val="nil"/>
              <w:right w:val="single" w:sz="4" w:space="0" w:color="auto"/>
            </w:tcBorders>
            <w:shd w:val="clear" w:color="auto" w:fill="FFFFFF"/>
            <w:tcMar>
              <w:left w:w="40" w:type="dxa"/>
              <w:right w:w="40" w:type="dxa"/>
            </w:tcMar>
          </w:tcPr>
          <w:p w14:paraId="3715E303" w14:textId="071ED3F3" w:rsidR="00BC298F" w:rsidRPr="00B34D4F" w:rsidRDefault="00BC298F" w:rsidP="001706A2">
            <w:pPr>
              <w:rPr>
                <w:rStyle w:val="st"/>
                <w:sz w:val="16"/>
                <w:szCs w:val="16"/>
              </w:rPr>
            </w:pPr>
            <w:r w:rsidRPr="00B34D4F">
              <w:rPr>
                <w:sz w:val="16"/>
                <w:szCs w:val="16"/>
              </w:rPr>
              <w:t xml:space="preserve">  -                                                                                                  </w:t>
            </w:r>
          </w:p>
        </w:tc>
      </w:tr>
      <w:tr w:rsidR="00BC298F" w:rsidRPr="00E11762" w14:paraId="78C214F2"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2D0ADF08"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Adjuvant</w:t>
            </w:r>
          </w:p>
        </w:tc>
        <w:tc>
          <w:tcPr>
            <w:tcW w:w="1352" w:type="dxa"/>
            <w:tcBorders>
              <w:top w:val="nil"/>
              <w:left w:val="nil"/>
              <w:bottom w:val="nil"/>
              <w:right w:val="nil"/>
            </w:tcBorders>
            <w:shd w:val="clear" w:color="auto" w:fill="FFFFFF"/>
          </w:tcPr>
          <w:p w14:paraId="151B0ACE" w14:textId="21DB21BE" w:rsidR="00BC298F" w:rsidRPr="00B34D4F" w:rsidRDefault="00BC298F" w:rsidP="00065B26">
            <w:pPr>
              <w:rPr>
                <w:rStyle w:val="st"/>
                <w:sz w:val="16"/>
                <w:szCs w:val="16"/>
              </w:rPr>
            </w:pPr>
            <w:r w:rsidRPr="00B34D4F">
              <w:rPr>
                <w:sz w:val="16"/>
                <w:szCs w:val="16"/>
              </w:rPr>
              <w:t xml:space="preserve">    1 (8</w:t>
            </w:r>
            <w:r w:rsidR="00E11363" w:rsidRPr="00B34D4F">
              <w:rPr>
                <w:sz w:val="16"/>
                <w:szCs w:val="16"/>
              </w:rPr>
              <w:t>·</w:t>
            </w:r>
            <w:r w:rsidRPr="00B34D4F">
              <w:rPr>
                <w:sz w:val="16"/>
                <w:szCs w:val="16"/>
              </w:rPr>
              <w:t xml:space="preserve">3)                                                                                         </w:t>
            </w:r>
          </w:p>
        </w:tc>
        <w:tc>
          <w:tcPr>
            <w:tcW w:w="1352" w:type="dxa"/>
            <w:tcBorders>
              <w:top w:val="nil"/>
              <w:left w:val="nil"/>
              <w:bottom w:val="nil"/>
              <w:right w:val="nil"/>
            </w:tcBorders>
            <w:shd w:val="clear" w:color="auto" w:fill="FFFFFF"/>
            <w:tcMar>
              <w:left w:w="40" w:type="dxa"/>
              <w:right w:w="40" w:type="dxa"/>
            </w:tcMar>
          </w:tcPr>
          <w:p w14:paraId="497A2C98" w14:textId="6EAA2F31" w:rsidR="00BC298F" w:rsidRPr="00B34D4F" w:rsidRDefault="00BC298F" w:rsidP="00490E17">
            <w:pPr>
              <w:rPr>
                <w:rStyle w:val="st"/>
                <w:sz w:val="16"/>
                <w:szCs w:val="16"/>
              </w:rPr>
            </w:pPr>
            <w:r w:rsidRPr="00B34D4F">
              <w:rPr>
                <w:sz w:val="16"/>
                <w:szCs w:val="16"/>
              </w:rPr>
              <w:t xml:space="preserve">    0 (0</w:t>
            </w:r>
            <w:r w:rsidR="003B575D" w:rsidRPr="00B34D4F">
              <w:rPr>
                <w:sz w:val="16"/>
                <w:szCs w:val="16"/>
              </w:rPr>
              <w:t>·</w:t>
            </w:r>
            <w:r w:rsidRPr="00B34D4F">
              <w:rPr>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6F0DA00D" w14:textId="11E15B59" w:rsidR="00BC298F" w:rsidRPr="00B34D4F" w:rsidRDefault="00BC298F" w:rsidP="001706A2">
            <w:pPr>
              <w:rPr>
                <w:rStyle w:val="st"/>
                <w:sz w:val="16"/>
                <w:szCs w:val="16"/>
              </w:rPr>
            </w:pPr>
            <w:r w:rsidRPr="00B34D4F">
              <w:rPr>
                <w:sz w:val="16"/>
                <w:szCs w:val="16"/>
              </w:rPr>
              <w:t xml:space="preserve">    1 (5</w:t>
            </w:r>
            <w:r w:rsidR="003B575D" w:rsidRPr="00B34D4F">
              <w:rPr>
                <w:sz w:val="16"/>
                <w:szCs w:val="16"/>
              </w:rPr>
              <w:t>·</w:t>
            </w:r>
            <w:r w:rsidRPr="00B34D4F">
              <w:rPr>
                <w:sz w:val="16"/>
                <w:szCs w:val="16"/>
              </w:rPr>
              <w:t xml:space="preserve">0)                                                                                         </w:t>
            </w:r>
          </w:p>
        </w:tc>
      </w:tr>
      <w:tr w:rsidR="00BC298F" w:rsidRPr="00E11762" w14:paraId="6C5A93D4"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48AA7C6D"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Maintenance</w:t>
            </w:r>
          </w:p>
        </w:tc>
        <w:tc>
          <w:tcPr>
            <w:tcW w:w="1352" w:type="dxa"/>
            <w:tcBorders>
              <w:top w:val="nil"/>
              <w:left w:val="nil"/>
              <w:bottom w:val="nil"/>
              <w:right w:val="nil"/>
            </w:tcBorders>
            <w:shd w:val="clear" w:color="auto" w:fill="FFFFFF"/>
          </w:tcPr>
          <w:p w14:paraId="4F744CD2" w14:textId="46C92928" w:rsidR="00BC298F" w:rsidRPr="00B34D4F" w:rsidRDefault="00BC298F" w:rsidP="00065B26">
            <w:pPr>
              <w:rPr>
                <w:rStyle w:val="st"/>
                <w:sz w:val="16"/>
                <w:szCs w:val="16"/>
              </w:rPr>
            </w:pPr>
            <w:r w:rsidRPr="00B34D4F">
              <w:rPr>
                <w:sz w:val="16"/>
                <w:szCs w:val="16"/>
              </w:rPr>
              <w:t xml:space="preserve">  -                                                                                                  </w:t>
            </w:r>
          </w:p>
        </w:tc>
        <w:tc>
          <w:tcPr>
            <w:tcW w:w="1352" w:type="dxa"/>
            <w:tcBorders>
              <w:top w:val="nil"/>
              <w:left w:val="nil"/>
              <w:bottom w:val="nil"/>
              <w:right w:val="nil"/>
            </w:tcBorders>
            <w:shd w:val="clear" w:color="auto" w:fill="FFFFFF"/>
            <w:tcMar>
              <w:left w:w="40" w:type="dxa"/>
              <w:right w:w="40" w:type="dxa"/>
            </w:tcMar>
          </w:tcPr>
          <w:p w14:paraId="3BB3EB5B" w14:textId="2E3CCC5B" w:rsidR="00BC298F" w:rsidRPr="00B34D4F" w:rsidRDefault="00BC298F" w:rsidP="00490E17">
            <w:pPr>
              <w:rPr>
                <w:rStyle w:val="st"/>
                <w:sz w:val="16"/>
                <w:szCs w:val="16"/>
              </w:rPr>
            </w:pPr>
            <w:r w:rsidRPr="00B34D4F">
              <w:rPr>
                <w:sz w:val="16"/>
                <w:szCs w:val="16"/>
              </w:rPr>
              <w:t xml:space="preserve">-                                                                                                    </w:t>
            </w:r>
          </w:p>
        </w:tc>
        <w:tc>
          <w:tcPr>
            <w:tcW w:w="1353" w:type="dxa"/>
            <w:tcBorders>
              <w:top w:val="nil"/>
              <w:left w:val="nil"/>
              <w:bottom w:val="nil"/>
              <w:right w:val="single" w:sz="4" w:space="0" w:color="auto"/>
            </w:tcBorders>
            <w:shd w:val="clear" w:color="auto" w:fill="FFFFFF"/>
            <w:tcMar>
              <w:left w:w="40" w:type="dxa"/>
              <w:right w:w="40" w:type="dxa"/>
            </w:tcMar>
          </w:tcPr>
          <w:p w14:paraId="0058DE73" w14:textId="6D789D51" w:rsidR="00BC298F" w:rsidRPr="00B34D4F" w:rsidRDefault="00BC298F" w:rsidP="001706A2">
            <w:pPr>
              <w:rPr>
                <w:rStyle w:val="st"/>
                <w:sz w:val="16"/>
                <w:szCs w:val="16"/>
              </w:rPr>
            </w:pPr>
            <w:r w:rsidRPr="00B34D4F">
              <w:rPr>
                <w:sz w:val="16"/>
                <w:szCs w:val="16"/>
              </w:rPr>
              <w:t xml:space="preserve">  -                                                                                                  </w:t>
            </w:r>
          </w:p>
        </w:tc>
      </w:tr>
      <w:tr w:rsidR="00BC298F" w:rsidRPr="00E11762" w14:paraId="42F35E18"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69E612BE"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1st line</w:t>
            </w:r>
          </w:p>
        </w:tc>
        <w:tc>
          <w:tcPr>
            <w:tcW w:w="1352" w:type="dxa"/>
            <w:tcBorders>
              <w:top w:val="nil"/>
              <w:left w:val="nil"/>
              <w:bottom w:val="nil"/>
              <w:right w:val="nil"/>
            </w:tcBorders>
            <w:shd w:val="clear" w:color="auto" w:fill="FFFFFF"/>
          </w:tcPr>
          <w:p w14:paraId="3A69EC73" w14:textId="0D7A1238" w:rsidR="00BC298F" w:rsidRPr="00B34D4F" w:rsidRDefault="00BC298F" w:rsidP="00065B26">
            <w:pPr>
              <w:rPr>
                <w:rStyle w:val="st"/>
                <w:sz w:val="16"/>
                <w:szCs w:val="16"/>
              </w:rPr>
            </w:pPr>
            <w:r w:rsidRPr="00B34D4F">
              <w:rPr>
                <w:sz w:val="16"/>
                <w:szCs w:val="16"/>
              </w:rPr>
              <w:t xml:space="preserve">    5 (41</w:t>
            </w:r>
            <w:r w:rsidR="00E11363" w:rsidRPr="00B34D4F">
              <w:rPr>
                <w:sz w:val="16"/>
                <w:szCs w:val="16"/>
              </w:rPr>
              <w:t>·</w:t>
            </w:r>
            <w:r w:rsidRPr="00B34D4F">
              <w:rPr>
                <w:sz w:val="16"/>
                <w:szCs w:val="16"/>
              </w:rPr>
              <w:t xml:space="preserve">7)                                                                                        </w:t>
            </w:r>
          </w:p>
        </w:tc>
        <w:tc>
          <w:tcPr>
            <w:tcW w:w="1352" w:type="dxa"/>
            <w:tcBorders>
              <w:top w:val="nil"/>
              <w:left w:val="nil"/>
              <w:bottom w:val="nil"/>
              <w:right w:val="nil"/>
            </w:tcBorders>
            <w:shd w:val="clear" w:color="auto" w:fill="FFFFFF"/>
            <w:tcMar>
              <w:left w:w="40" w:type="dxa"/>
              <w:right w:w="40" w:type="dxa"/>
            </w:tcMar>
          </w:tcPr>
          <w:p w14:paraId="0CA0C110" w14:textId="1F199A41" w:rsidR="00BC298F" w:rsidRPr="00B34D4F" w:rsidRDefault="00BC298F" w:rsidP="00490E17">
            <w:pPr>
              <w:rPr>
                <w:rStyle w:val="st"/>
                <w:sz w:val="16"/>
                <w:szCs w:val="16"/>
              </w:rPr>
            </w:pPr>
            <w:r w:rsidRPr="00B34D4F">
              <w:rPr>
                <w:sz w:val="16"/>
                <w:szCs w:val="16"/>
              </w:rPr>
              <w:t xml:space="preserve">    2 (25</w:t>
            </w:r>
            <w:r w:rsidR="003B575D" w:rsidRPr="00B34D4F">
              <w:rPr>
                <w:sz w:val="16"/>
                <w:szCs w:val="16"/>
              </w:rPr>
              <w:t>·</w:t>
            </w:r>
            <w:r w:rsidRPr="00B34D4F">
              <w:rPr>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0E1B28A8" w14:textId="343F7406" w:rsidR="00BC298F" w:rsidRPr="00B34D4F" w:rsidRDefault="00BC298F" w:rsidP="001706A2">
            <w:pPr>
              <w:rPr>
                <w:rStyle w:val="st"/>
                <w:sz w:val="16"/>
                <w:szCs w:val="16"/>
              </w:rPr>
            </w:pPr>
            <w:r w:rsidRPr="00B34D4F">
              <w:rPr>
                <w:sz w:val="16"/>
                <w:szCs w:val="16"/>
              </w:rPr>
              <w:t xml:space="preserve">    7 (35</w:t>
            </w:r>
            <w:r w:rsidR="003B575D" w:rsidRPr="00B34D4F">
              <w:rPr>
                <w:sz w:val="16"/>
                <w:szCs w:val="16"/>
              </w:rPr>
              <w:t>·</w:t>
            </w:r>
            <w:r w:rsidRPr="00B34D4F">
              <w:rPr>
                <w:sz w:val="16"/>
                <w:szCs w:val="16"/>
              </w:rPr>
              <w:t xml:space="preserve">0)                                                                                        </w:t>
            </w:r>
          </w:p>
        </w:tc>
      </w:tr>
      <w:tr w:rsidR="00BC298F" w:rsidRPr="00E11762" w14:paraId="5448D95C"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0D6D86E1"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2nd line</w:t>
            </w:r>
          </w:p>
        </w:tc>
        <w:tc>
          <w:tcPr>
            <w:tcW w:w="1352" w:type="dxa"/>
            <w:tcBorders>
              <w:top w:val="nil"/>
              <w:left w:val="nil"/>
              <w:bottom w:val="nil"/>
              <w:right w:val="nil"/>
            </w:tcBorders>
            <w:shd w:val="clear" w:color="auto" w:fill="FFFFFF"/>
          </w:tcPr>
          <w:p w14:paraId="3DDC1624" w14:textId="0152DDCE" w:rsidR="00BC298F" w:rsidRPr="00B34D4F" w:rsidRDefault="00BC298F" w:rsidP="00065B26">
            <w:pPr>
              <w:rPr>
                <w:rStyle w:val="st"/>
                <w:sz w:val="16"/>
                <w:szCs w:val="16"/>
              </w:rPr>
            </w:pPr>
            <w:r w:rsidRPr="00B34D4F">
              <w:rPr>
                <w:sz w:val="16"/>
                <w:szCs w:val="16"/>
              </w:rPr>
              <w:t xml:space="preserve">    2 (16</w:t>
            </w:r>
            <w:r w:rsidR="00E11363" w:rsidRPr="00B34D4F">
              <w:rPr>
                <w:sz w:val="16"/>
                <w:szCs w:val="16"/>
              </w:rPr>
              <w:t>·</w:t>
            </w:r>
            <w:r w:rsidRPr="00B34D4F">
              <w:rPr>
                <w:sz w:val="16"/>
                <w:szCs w:val="16"/>
              </w:rPr>
              <w:t xml:space="preserve">7)                                                                                        </w:t>
            </w:r>
          </w:p>
        </w:tc>
        <w:tc>
          <w:tcPr>
            <w:tcW w:w="1352" w:type="dxa"/>
            <w:tcBorders>
              <w:top w:val="nil"/>
              <w:left w:val="nil"/>
              <w:bottom w:val="nil"/>
              <w:right w:val="nil"/>
            </w:tcBorders>
            <w:shd w:val="clear" w:color="auto" w:fill="FFFFFF"/>
            <w:tcMar>
              <w:left w:w="40" w:type="dxa"/>
              <w:right w:w="40" w:type="dxa"/>
            </w:tcMar>
          </w:tcPr>
          <w:p w14:paraId="3F4A49F4" w14:textId="6313D038" w:rsidR="00BC298F" w:rsidRPr="00B34D4F" w:rsidRDefault="00BC298F" w:rsidP="00490E17">
            <w:pPr>
              <w:rPr>
                <w:rStyle w:val="st"/>
                <w:sz w:val="16"/>
                <w:szCs w:val="16"/>
              </w:rPr>
            </w:pPr>
            <w:r w:rsidRPr="00B34D4F">
              <w:rPr>
                <w:sz w:val="16"/>
                <w:szCs w:val="16"/>
              </w:rPr>
              <w:t xml:space="preserve">    2 (25</w:t>
            </w:r>
            <w:r w:rsidR="003B575D" w:rsidRPr="00B34D4F">
              <w:rPr>
                <w:sz w:val="16"/>
                <w:szCs w:val="16"/>
              </w:rPr>
              <w:t>·</w:t>
            </w:r>
            <w:r w:rsidRPr="00B34D4F">
              <w:rPr>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2003FE8B" w14:textId="0A27F0E1" w:rsidR="00BC298F" w:rsidRPr="00B34D4F" w:rsidRDefault="00BC298F" w:rsidP="001706A2">
            <w:pPr>
              <w:rPr>
                <w:rStyle w:val="st"/>
                <w:sz w:val="16"/>
                <w:szCs w:val="16"/>
              </w:rPr>
            </w:pPr>
            <w:r w:rsidRPr="00B34D4F">
              <w:rPr>
                <w:sz w:val="16"/>
                <w:szCs w:val="16"/>
              </w:rPr>
              <w:t xml:space="preserve">    4 (20</w:t>
            </w:r>
            <w:r w:rsidR="003B575D" w:rsidRPr="00B34D4F">
              <w:rPr>
                <w:sz w:val="16"/>
                <w:szCs w:val="16"/>
              </w:rPr>
              <w:t>·</w:t>
            </w:r>
            <w:r w:rsidRPr="00B34D4F">
              <w:rPr>
                <w:sz w:val="16"/>
                <w:szCs w:val="16"/>
              </w:rPr>
              <w:t xml:space="preserve">0)                                                                                        </w:t>
            </w:r>
          </w:p>
        </w:tc>
      </w:tr>
      <w:tr w:rsidR="00BC298F" w:rsidRPr="00E11762" w14:paraId="10FB3A4E"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09C7877A"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3rd line</w:t>
            </w:r>
          </w:p>
        </w:tc>
        <w:tc>
          <w:tcPr>
            <w:tcW w:w="1352" w:type="dxa"/>
            <w:tcBorders>
              <w:top w:val="nil"/>
              <w:left w:val="nil"/>
              <w:bottom w:val="nil"/>
              <w:right w:val="nil"/>
            </w:tcBorders>
            <w:shd w:val="clear" w:color="auto" w:fill="FFFFFF"/>
          </w:tcPr>
          <w:p w14:paraId="46A4F9C2" w14:textId="3950A255" w:rsidR="00BC298F" w:rsidRPr="00B34D4F" w:rsidRDefault="00BC298F" w:rsidP="00065B26">
            <w:pPr>
              <w:rPr>
                <w:rStyle w:val="st"/>
                <w:sz w:val="16"/>
                <w:szCs w:val="16"/>
              </w:rPr>
            </w:pPr>
            <w:r w:rsidRPr="00B34D4F">
              <w:rPr>
                <w:sz w:val="16"/>
                <w:szCs w:val="16"/>
              </w:rPr>
              <w:t xml:space="preserve">    1 (8</w:t>
            </w:r>
            <w:r w:rsidR="00E11363" w:rsidRPr="00B34D4F">
              <w:rPr>
                <w:sz w:val="16"/>
                <w:szCs w:val="16"/>
              </w:rPr>
              <w:t>·</w:t>
            </w:r>
            <w:r w:rsidRPr="00B34D4F">
              <w:rPr>
                <w:sz w:val="16"/>
                <w:szCs w:val="16"/>
              </w:rPr>
              <w:t xml:space="preserve">3)                                                                                         </w:t>
            </w:r>
          </w:p>
        </w:tc>
        <w:tc>
          <w:tcPr>
            <w:tcW w:w="1352" w:type="dxa"/>
            <w:tcBorders>
              <w:top w:val="nil"/>
              <w:left w:val="nil"/>
              <w:bottom w:val="nil"/>
              <w:right w:val="nil"/>
            </w:tcBorders>
            <w:shd w:val="clear" w:color="auto" w:fill="FFFFFF"/>
            <w:tcMar>
              <w:left w:w="40" w:type="dxa"/>
              <w:right w:w="40" w:type="dxa"/>
            </w:tcMar>
          </w:tcPr>
          <w:p w14:paraId="420E6849" w14:textId="6570725D" w:rsidR="00BC298F" w:rsidRPr="00B34D4F" w:rsidRDefault="00BC298F" w:rsidP="00490E17">
            <w:pPr>
              <w:rPr>
                <w:rStyle w:val="st"/>
                <w:sz w:val="16"/>
                <w:szCs w:val="16"/>
              </w:rPr>
            </w:pPr>
            <w:r w:rsidRPr="00B34D4F">
              <w:rPr>
                <w:sz w:val="16"/>
                <w:szCs w:val="16"/>
              </w:rPr>
              <w:t xml:space="preserve">    0 (0</w:t>
            </w:r>
            <w:r w:rsidR="003B575D" w:rsidRPr="00B34D4F">
              <w:rPr>
                <w:sz w:val="16"/>
                <w:szCs w:val="16"/>
              </w:rPr>
              <w:t>·</w:t>
            </w:r>
            <w:r w:rsidRPr="00B34D4F">
              <w:rPr>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3DC38612" w14:textId="25E051AC" w:rsidR="00BC298F" w:rsidRPr="00B34D4F" w:rsidRDefault="00BC298F" w:rsidP="001706A2">
            <w:pPr>
              <w:rPr>
                <w:rStyle w:val="st"/>
                <w:sz w:val="16"/>
                <w:szCs w:val="16"/>
              </w:rPr>
            </w:pPr>
            <w:r w:rsidRPr="00B34D4F">
              <w:rPr>
                <w:sz w:val="16"/>
                <w:szCs w:val="16"/>
              </w:rPr>
              <w:t xml:space="preserve">    1 (5</w:t>
            </w:r>
            <w:r w:rsidR="003B575D" w:rsidRPr="00B34D4F">
              <w:rPr>
                <w:sz w:val="16"/>
                <w:szCs w:val="16"/>
              </w:rPr>
              <w:t>·</w:t>
            </w:r>
            <w:r w:rsidRPr="00B34D4F">
              <w:rPr>
                <w:sz w:val="16"/>
                <w:szCs w:val="16"/>
              </w:rPr>
              <w:t xml:space="preserve">0)                                                                                         </w:t>
            </w:r>
          </w:p>
        </w:tc>
      </w:tr>
      <w:tr w:rsidR="00BC298F" w:rsidRPr="00E11762" w14:paraId="1B57F9E7" w14:textId="77777777" w:rsidTr="000C14A3">
        <w:trPr>
          <w:cantSplit/>
          <w:jc w:val="center"/>
        </w:trPr>
        <w:tc>
          <w:tcPr>
            <w:tcW w:w="4393" w:type="dxa"/>
            <w:tcBorders>
              <w:top w:val="nil"/>
              <w:left w:val="single" w:sz="4" w:space="0" w:color="auto"/>
              <w:bottom w:val="nil"/>
              <w:right w:val="nil"/>
            </w:tcBorders>
            <w:tcMar>
              <w:left w:w="40" w:type="dxa"/>
              <w:right w:w="40" w:type="dxa"/>
            </w:tcMar>
          </w:tcPr>
          <w:p w14:paraId="10F88D0B"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4th line</w:t>
            </w:r>
          </w:p>
        </w:tc>
        <w:tc>
          <w:tcPr>
            <w:tcW w:w="1352" w:type="dxa"/>
            <w:tcBorders>
              <w:top w:val="nil"/>
              <w:left w:val="nil"/>
              <w:bottom w:val="nil"/>
              <w:right w:val="nil"/>
            </w:tcBorders>
            <w:shd w:val="clear" w:color="auto" w:fill="FFFFFF"/>
          </w:tcPr>
          <w:p w14:paraId="2A479625" w14:textId="29A9FEF0" w:rsidR="00BC298F" w:rsidRPr="00B34D4F" w:rsidRDefault="00BC298F" w:rsidP="00065B26">
            <w:pPr>
              <w:rPr>
                <w:rStyle w:val="st"/>
                <w:sz w:val="16"/>
                <w:szCs w:val="16"/>
              </w:rPr>
            </w:pPr>
            <w:r w:rsidRPr="00B34D4F">
              <w:rPr>
                <w:sz w:val="16"/>
                <w:szCs w:val="16"/>
              </w:rPr>
              <w:t xml:space="preserve">    1 (8</w:t>
            </w:r>
            <w:r w:rsidR="00E11363" w:rsidRPr="00B34D4F">
              <w:rPr>
                <w:sz w:val="16"/>
                <w:szCs w:val="16"/>
              </w:rPr>
              <w:t>·</w:t>
            </w:r>
            <w:r w:rsidRPr="00B34D4F">
              <w:rPr>
                <w:sz w:val="16"/>
                <w:szCs w:val="16"/>
              </w:rPr>
              <w:t xml:space="preserve">3)                                                                                         </w:t>
            </w:r>
          </w:p>
        </w:tc>
        <w:tc>
          <w:tcPr>
            <w:tcW w:w="1352" w:type="dxa"/>
            <w:tcBorders>
              <w:top w:val="nil"/>
              <w:left w:val="nil"/>
              <w:bottom w:val="nil"/>
              <w:right w:val="nil"/>
            </w:tcBorders>
            <w:shd w:val="clear" w:color="auto" w:fill="FFFFFF"/>
            <w:tcMar>
              <w:left w:w="40" w:type="dxa"/>
              <w:right w:w="40" w:type="dxa"/>
            </w:tcMar>
          </w:tcPr>
          <w:p w14:paraId="1757D74B" w14:textId="79A613A7" w:rsidR="00BC298F" w:rsidRPr="00B34D4F" w:rsidRDefault="00BC298F" w:rsidP="00490E17">
            <w:pPr>
              <w:rPr>
                <w:rStyle w:val="st"/>
                <w:sz w:val="16"/>
                <w:szCs w:val="16"/>
              </w:rPr>
            </w:pPr>
            <w:r w:rsidRPr="00B34D4F">
              <w:rPr>
                <w:sz w:val="16"/>
                <w:szCs w:val="16"/>
              </w:rPr>
              <w:t xml:space="preserve">    0 (0</w:t>
            </w:r>
            <w:r w:rsidR="003B575D" w:rsidRPr="00B34D4F">
              <w:rPr>
                <w:sz w:val="16"/>
                <w:szCs w:val="16"/>
              </w:rPr>
              <w:t>·</w:t>
            </w:r>
            <w:r w:rsidRPr="00B34D4F">
              <w:rPr>
                <w:sz w:val="16"/>
                <w:szCs w:val="16"/>
              </w:rPr>
              <w:t xml:space="preserve">0)                                                                                         </w:t>
            </w:r>
          </w:p>
        </w:tc>
        <w:tc>
          <w:tcPr>
            <w:tcW w:w="1353" w:type="dxa"/>
            <w:tcBorders>
              <w:top w:val="nil"/>
              <w:left w:val="nil"/>
              <w:bottom w:val="nil"/>
              <w:right w:val="single" w:sz="4" w:space="0" w:color="auto"/>
            </w:tcBorders>
            <w:shd w:val="clear" w:color="auto" w:fill="FFFFFF"/>
            <w:tcMar>
              <w:left w:w="40" w:type="dxa"/>
              <w:right w:w="40" w:type="dxa"/>
            </w:tcMar>
          </w:tcPr>
          <w:p w14:paraId="1FEB2786" w14:textId="734CDF08" w:rsidR="00BC298F" w:rsidRPr="00B34D4F" w:rsidRDefault="00BC298F" w:rsidP="001706A2">
            <w:pPr>
              <w:rPr>
                <w:rStyle w:val="st"/>
                <w:sz w:val="16"/>
                <w:szCs w:val="16"/>
              </w:rPr>
            </w:pPr>
            <w:r w:rsidRPr="00B34D4F">
              <w:rPr>
                <w:sz w:val="16"/>
                <w:szCs w:val="16"/>
              </w:rPr>
              <w:t xml:space="preserve">    1 (5</w:t>
            </w:r>
            <w:r w:rsidR="003B575D" w:rsidRPr="00B34D4F">
              <w:rPr>
                <w:sz w:val="16"/>
                <w:szCs w:val="16"/>
              </w:rPr>
              <w:t>·</w:t>
            </w:r>
            <w:r w:rsidRPr="00B34D4F">
              <w:rPr>
                <w:sz w:val="16"/>
                <w:szCs w:val="16"/>
              </w:rPr>
              <w:t xml:space="preserve">0)                                                                                         </w:t>
            </w:r>
          </w:p>
        </w:tc>
      </w:tr>
      <w:tr w:rsidR="00BC298F" w:rsidRPr="00E11762" w14:paraId="257CF69E" w14:textId="77777777" w:rsidTr="00BC298F">
        <w:trPr>
          <w:cantSplit/>
          <w:jc w:val="center"/>
        </w:trPr>
        <w:tc>
          <w:tcPr>
            <w:tcW w:w="4393" w:type="dxa"/>
            <w:tcBorders>
              <w:top w:val="nil"/>
              <w:left w:val="single" w:sz="4" w:space="0" w:color="auto"/>
              <w:right w:val="nil"/>
            </w:tcBorders>
            <w:tcMar>
              <w:left w:w="40" w:type="dxa"/>
              <w:right w:w="40" w:type="dxa"/>
            </w:tcMar>
          </w:tcPr>
          <w:p w14:paraId="191ACB91" w14:textId="77777777" w:rsidR="00BC298F" w:rsidRPr="00B34D4F" w:rsidRDefault="00BC298F" w:rsidP="00DA6988">
            <w:pPr>
              <w:pStyle w:val="Tables"/>
              <w:ind w:firstLine="284"/>
              <w:rPr>
                <w:rStyle w:val="st"/>
                <w:rFonts w:ascii="Times New Roman" w:hAnsi="Times New Roman" w:cs="Times New Roman"/>
                <w:sz w:val="16"/>
                <w:szCs w:val="16"/>
              </w:rPr>
            </w:pPr>
            <w:r w:rsidRPr="00B34D4F">
              <w:rPr>
                <w:rStyle w:val="st"/>
                <w:rFonts w:ascii="Times New Roman" w:hAnsi="Times New Roman" w:cs="Times New Roman"/>
                <w:sz w:val="16"/>
                <w:szCs w:val="16"/>
              </w:rPr>
              <w:t>5th line</w:t>
            </w:r>
          </w:p>
        </w:tc>
        <w:tc>
          <w:tcPr>
            <w:tcW w:w="1352" w:type="dxa"/>
            <w:tcBorders>
              <w:top w:val="nil"/>
              <w:left w:val="nil"/>
              <w:right w:val="nil"/>
            </w:tcBorders>
            <w:shd w:val="clear" w:color="auto" w:fill="FFFFFF"/>
          </w:tcPr>
          <w:p w14:paraId="34003971" w14:textId="67152F5D" w:rsidR="00BC298F" w:rsidRPr="00B34D4F" w:rsidRDefault="00BC298F" w:rsidP="00065B26">
            <w:pPr>
              <w:rPr>
                <w:rStyle w:val="st"/>
                <w:sz w:val="16"/>
                <w:szCs w:val="16"/>
              </w:rPr>
            </w:pPr>
            <w:r w:rsidRPr="00B34D4F">
              <w:rPr>
                <w:sz w:val="16"/>
                <w:szCs w:val="16"/>
              </w:rPr>
              <w:t xml:space="preserve">    1 (8</w:t>
            </w:r>
            <w:r w:rsidR="00E11363" w:rsidRPr="00B34D4F">
              <w:rPr>
                <w:sz w:val="16"/>
                <w:szCs w:val="16"/>
              </w:rPr>
              <w:t>·</w:t>
            </w:r>
            <w:r w:rsidRPr="00B34D4F">
              <w:rPr>
                <w:sz w:val="16"/>
                <w:szCs w:val="16"/>
              </w:rPr>
              <w:t xml:space="preserve">3)                                                                                         </w:t>
            </w:r>
          </w:p>
        </w:tc>
        <w:tc>
          <w:tcPr>
            <w:tcW w:w="1352" w:type="dxa"/>
            <w:tcBorders>
              <w:top w:val="nil"/>
              <w:left w:val="nil"/>
              <w:right w:val="nil"/>
            </w:tcBorders>
            <w:shd w:val="clear" w:color="auto" w:fill="FFFFFF"/>
            <w:tcMar>
              <w:left w:w="40" w:type="dxa"/>
              <w:right w:w="40" w:type="dxa"/>
            </w:tcMar>
          </w:tcPr>
          <w:p w14:paraId="07A86DA2" w14:textId="32C6ED8F" w:rsidR="00BC298F" w:rsidRPr="00B34D4F" w:rsidRDefault="00BC298F" w:rsidP="00490E17">
            <w:pPr>
              <w:rPr>
                <w:rStyle w:val="st"/>
                <w:sz w:val="16"/>
                <w:szCs w:val="16"/>
              </w:rPr>
            </w:pPr>
            <w:r w:rsidRPr="00B34D4F">
              <w:rPr>
                <w:sz w:val="16"/>
                <w:szCs w:val="16"/>
              </w:rPr>
              <w:t xml:space="preserve">    0 (0</w:t>
            </w:r>
            <w:r w:rsidR="003B575D" w:rsidRPr="00B34D4F">
              <w:rPr>
                <w:sz w:val="16"/>
                <w:szCs w:val="16"/>
              </w:rPr>
              <w:t>·</w:t>
            </w:r>
            <w:r w:rsidRPr="00B34D4F">
              <w:rPr>
                <w:sz w:val="16"/>
                <w:szCs w:val="16"/>
              </w:rPr>
              <w:t xml:space="preserve">0)                                                                                         </w:t>
            </w:r>
          </w:p>
        </w:tc>
        <w:tc>
          <w:tcPr>
            <w:tcW w:w="1353" w:type="dxa"/>
            <w:tcBorders>
              <w:top w:val="nil"/>
              <w:left w:val="nil"/>
              <w:right w:val="single" w:sz="4" w:space="0" w:color="auto"/>
            </w:tcBorders>
            <w:shd w:val="clear" w:color="auto" w:fill="FFFFFF"/>
            <w:tcMar>
              <w:left w:w="40" w:type="dxa"/>
              <w:right w:w="40" w:type="dxa"/>
            </w:tcMar>
          </w:tcPr>
          <w:p w14:paraId="6382A190" w14:textId="14945A92" w:rsidR="00BC298F" w:rsidRPr="00B34D4F" w:rsidRDefault="00BC298F" w:rsidP="001706A2">
            <w:pPr>
              <w:rPr>
                <w:rStyle w:val="st"/>
                <w:sz w:val="16"/>
                <w:szCs w:val="16"/>
              </w:rPr>
            </w:pPr>
            <w:r w:rsidRPr="00B34D4F">
              <w:rPr>
                <w:sz w:val="16"/>
                <w:szCs w:val="16"/>
              </w:rPr>
              <w:t xml:space="preserve">    1 (5</w:t>
            </w:r>
            <w:r w:rsidR="003B575D" w:rsidRPr="00B34D4F">
              <w:rPr>
                <w:sz w:val="16"/>
                <w:szCs w:val="16"/>
              </w:rPr>
              <w:t>·</w:t>
            </w:r>
            <w:r w:rsidRPr="00B34D4F">
              <w:rPr>
                <w:sz w:val="16"/>
                <w:szCs w:val="16"/>
              </w:rPr>
              <w:t xml:space="preserve">0)                                                                                         </w:t>
            </w:r>
          </w:p>
        </w:tc>
      </w:tr>
      <w:tr w:rsidR="002D5A07" w:rsidRPr="00E11762" w14:paraId="3C2B2E39"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2CBBD81C" w14:textId="343228C7" w:rsidR="002D5A07" w:rsidRPr="003E1FE2" w:rsidRDefault="002D5A07" w:rsidP="002D5A07">
            <w:pPr>
              <w:jc w:val="both"/>
              <w:rPr>
                <w:rStyle w:val="st"/>
              </w:rPr>
            </w:pPr>
            <w:r w:rsidRPr="003E1FE2">
              <w:rPr>
                <w:bCs/>
                <w:color w:val="000000"/>
                <w:sz w:val="16"/>
                <w:szCs w:val="16"/>
              </w:rPr>
              <w:t xml:space="preserve">Primary site at diagnosis               </w:t>
            </w:r>
          </w:p>
        </w:tc>
        <w:tc>
          <w:tcPr>
            <w:tcW w:w="1352" w:type="dxa"/>
            <w:tcBorders>
              <w:top w:val="nil"/>
              <w:left w:val="nil"/>
              <w:bottom w:val="nil"/>
              <w:right w:val="nil"/>
            </w:tcBorders>
            <w:shd w:val="clear" w:color="auto" w:fill="FFFFFF"/>
          </w:tcPr>
          <w:p w14:paraId="3D5E8669" w14:textId="0820F856" w:rsidR="002D5A07" w:rsidRDefault="002D5A07" w:rsidP="002D5A07"/>
        </w:tc>
        <w:tc>
          <w:tcPr>
            <w:tcW w:w="1352" w:type="dxa"/>
            <w:tcBorders>
              <w:top w:val="nil"/>
              <w:left w:val="nil"/>
              <w:bottom w:val="nil"/>
              <w:right w:val="nil"/>
            </w:tcBorders>
            <w:shd w:val="clear" w:color="auto" w:fill="FFFFFF"/>
            <w:tcMar>
              <w:left w:w="40" w:type="dxa"/>
              <w:right w:w="40" w:type="dxa"/>
            </w:tcMar>
          </w:tcPr>
          <w:p w14:paraId="6E57349F" w14:textId="259CB6E3" w:rsidR="002D5A07" w:rsidRDefault="002D5A07" w:rsidP="002D5A07"/>
        </w:tc>
        <w:tc>
          <w:tcPr>
            <w:tcW w:w="1353" w:type="dxa"/>
            <w:tcBorders>
              <w:top w:val="nil"/>
              <w:left w:val="nil"/>
              <w:bottom w:val="nil"/>
              <w:right w:val="single" w:sz="4" w:space="0" w:color="auto"/>
            </w:tcBorders>
            <w:shd w:val="clear" w:color="auto" w:fill="FFFFFF"/>
            <w:tcMar>
              <w:left w:w="40" w:type="dxa"/>
              <w:right w:w="40" w:type="dxa"/>
            </w:tcMar>
          </w:tcPr>
          <w:p w14:paraId="228AA6BC" w14:textId="2A3A9CC3" w:rsidR="002D5A07" w:rsidRDefault="002D5A07" w:rsidP="002D5A07"/>
        </w:tc>
      </w:tr>
      <w:tr w:rsidR="002D5A07" w:rsidRPr="00E11762" w14:paraId="5A623CB8"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71F11B95" w14:textId="035326E0" w:rsidR="002D5A07" w:rsidRPr="003E1FE2" w:rsidRDefault="002D5A07" w:rsidP="002D5A07">
            <w:pPr>
              <w:jc w:val="both"/>
              <w:rPr>
                <w:rStyle w:val="st"/>
              </w:rPr>
            </w:pPr>
            <w:r>
              <w:rPr>
                <w:bCs/>
                <w:color w:val="000000"/>
                <w:sz w:val="16"/>
                <w:szCs w:val="16"/>
              </w:rPr>
              <w:t xml:space="preserve">      </w:t>
            </w:r>
            <w:r w:rsidRPr="003E1FE2">
              <w:rPr>
                <w:bCs/>
                <w:color w:val="000000"/>
                <w:sz w:val="16"/>
                <w:szCs w:val="16"/>
              </w:rPr>
              <w:t xml:space="preserve">Trunk                                  </w:t>
            </w:r>
          </w:p>
        </w:tc>
        <w:tc>
          <w:tcPr>
            <w:tcW w:w="1352" w:type="dxa"/>
            <w:tcBorders>
              <w:top w:val="nil"/>
              <w:left w:val="nil"/>
              <w:bottom w:val="nil"/>
              <w:right w:val="nil"/>
            </w:tcBorders>
            <w:shd w:val="clear" w:color="auto" w:fill="FFFFFF"/>
          </w:tcPr>
          <w:p w14:paraId="49BC14B8" w14:textId="567E0058" w:rsidR="002D5A07" w:rsidRDefault="002D5A07" w:rsidP="002D5A07">
            <w:r w:rsidRPr="004528EA">
              <w:rPr>
                <w:color w:val="000000"/>
                <w:sz w:val="16"/>
                <w:szCs w:val="16"/>
              </w:rPr>
              <w:t xml:space="preserve">    0 (0.0)                                                                                         </w:t>
            </w:r>
          </w:p>
        </w:tc>
        <w:tc>
          <w:tcPr>
            <w:tcW w:w="1352" w:type="dxa"/>
            <w:tcBorders>
              <w:top w:val="nil"/>
              <w:left w:val="nil"/>
              <w:bottom w:val="nil"/>
              <w:right w:val="nil"/>
            </w:tcBorders>
            <w:shd w:val="clear" w:color="auto" w:fill="FFFFFF"/>
            <w:tcMar>
              <w:left w:w="40" w:type="dxa"/>
              <w:right w:w="40" w:type="dxa"/>
            </w:tcMar>
          </w:tcPr>
          <w:p w14:paraId="4F73BEC5" w14:textId="36DFB798" w:rsidR="002D5A07" w:rsidRDefault="002D5A07" w:rsidP="002D5A07">
            <w:r w:rsidRPr="004528EA">
              <w:rPr>
                <w:color w:val="000000"/>
                <w:sz w:val="16"/>
                <w:szCs w:val="16"/>
              </w:rPr>
              <w:t xml:space="preserve">    2 (25.0)                                                                                        </w:t>
            </w:r>
          </w:p>
        </w:tc>
        <w:tc>
          <w:tcPr>
            <w:tcW w:w="1353" w:type="dxa"/>
            <w:tcBorders>
              <w:top w:val="nil"/>
              <w:left w:val="nil"/>
              <w:bottom w:val="nil"/>
              <w:right w:val="single" w:sz="4" w:space="0" w:color="auto"/>
            </w:tcBorders>
            <w:shd w:val="clear" w:color="auto" w:fill="FFFFFF"/>
            <w:tcMar>
              <w:left w:w="40" w:type="dxa"/>
              <w:right w:w="40" w:type="dxa"/>
            </w:tcMar>
          </w:tcPr>
          <w:p w14:paraId="266A62EF" w14:textId="0FC8454B" w:rsidR="002D5A07" w:rsidRDefault="002D5A07" w:rsidP="002D5A07">
            <w:r w:rsidRPr="004528EA">
              <w:rPr>
                <w:color w:val="000000"/>
                <w:sz w:val="16"/>
                <w:szCs w:val="16"/>
              </w:rPr>
              <w:t xml:space="preserve">    2 (10.0)                                                                                        </w:t>
            </w:r>
          </w:p>
        </w:tc>
      </w:tr>
      <w:tr w:rsidR="002D5A07" w:rsidRPr="00E11762" w14:paraId="1CAA214B"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0FF6AA4F" w14:textId="41C69420"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Thorax                                 </w:t>
            </w:r>
          </w:p>
        </w:tc>
        <w:tc>
          <w:tcPr>
            <w:tcW w:w="1352" w:type="dxa"/>
            <w:tcBorders>
              <w:top w:val="nil"/>
              <w:left w:val="nil"/>
              <w:bottom w:val="nil"/>
              <w:right w:val="nil"/>
            </w:tcBorders>
            <w:shd w:val="clear" w:color="auto" w:fill="FFFFFF"/>
          </w:tcPr>
          <w:p w14:paraId="04F04C7B" w14:textId="3AE01CFD" w:rsidR="002D5A07" w:rsidRDefault="002D5A07" w:rsidP="002D5A07">
            <w:r w:rsidRPr="004528EA">
              <w:rPr>
                <w:color w:val="000000"/>
                <w:sz w:val="16"/>
                <w:szCs w:val="16"/>
              </w:rPr>
              <w:t xml:space="preserve">    2 (16.7)                                                                                        </w:t>
            </w:r>
          </w:p>
        </w:tc>
        <w:tc>
          <w:tcPr>
            <w:tcW w:w="1352" w:type="dxa"/>
            <w:tcBorders>
              <w:top w:val="nil"/>
              <w:left w:val="nil"/>
              <w:bottom w:val="nil"/>
              <w:right w:val="nil"/>
            </w:tcBorders>
            <w:shd w:val="clear" w:color="auto" w:fill="FFFFFF"/>
            <w:tcMar>
              <w:left w:w="40" w:type="dxa"/>
              <w:right w:w="40" w:type="dxa"/>
            </w:tcMar>
          </w:tcPr>
          <w:p w14:paraId="11B2AB81" w14:textId="3F931876" w:rsidR="002D5A07" w:rsidRDefault="002D5A07" w:rsidP="002D5A07">
            <w:r w:rsidRPr="004528EA">
              <w:rPr>
                <w:color w:val="000000"/>
                <w:sz w:val="16"/>
                <w:szCs w:val="16"/>
              </w:rPr>
              <w:t xml:space="preserve">    1 (12.5)                                                                                        </w:t>
            </w:r>
          </w:p>
        </w:tc>
        <w:tc>
          <w:tcPr>
            <w:tcW w:w="1353" w:type="dxa"/>
            <w:tcBorders>
              <w:top w:val="nil"/>
              <w:left w:val="nil"/>
              <w:bottom w:val="nil"/>
              <w:right w:val="single" w:sz="4" w:space="0" w:color="auto"/>
            </w:tcBorders>
            <w:shd w:val="clear" w:color="auto" w:fill="FFFFFF"/>
            <w:tcMar>
              <w:left w:w="40" w:type="dxa"/>
              <w:right w:w="40" w:type="dxa"/>
            </w:tcMar>
          </w:tcPr>
          <w:p w14:paraId="0E6A3CC6" w14:textId="1116F98F" w:rsidR="002D5A07" w:rsidRDefault="002D5A07" w:rsidP="002D5A07">
            <w:r w:rsidRPr="004528EA">
              <w:rPr>
                <w:color w:val="000000"/>
                <w:sz w:val="16"/>
                <w:szCs w:val="16"/>
              </w:rPr>
              <w:t xml:space="preserve">    3 (15.0)                                                                                        </w:t>
            </w:r>
          </w:p>
        </w:tc>
      </w:tr>
      <w:tr w:rsidR="002D5A07" w:rsidRPr="00E11762" w14:paraId="618A7246"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19893BEB" w14:textId="7C3F011A"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Retro-intra abdominal                  </w:t>
            </w:r>
          </w:p>
        </w:tc>
        <w:tc>
          <w:tcPr>
            <w:tcW w:w="1352" w:type="dxa"/>
            <w:tcBorders>
              <w:top w:val="nil"/>
              <w:left w:val="nil"/>
              <w:bottom w:val="nil"/>
              <w:right w:val="nil"/>
            </w:tcBorders>
            <w:shd w:val="clear" w:color="auto" w:fill="FFFFFF"/>
          </w:tcPr>
          <w:p w14:paraId="40CC708D" w14:textId="42C4FAC4" w:rsidR="002D5A07" w:rsidRDefault="002D5A07" w:rsidP="002D5A07">
            <w:r w:rsidRPr="004528EA">
              <w:rPr>
                <w:color w:val="000000"/>
                <w:sz w:val="16"/>
                <w:szCs w:val="16"/>
              </w:rPr>
              <w:t xml:space="preserve">    2 (16.7)                                                                                        </w:t>
            </w:r>
          </w:p>
        </w:tc>
        <w:tc>
          <w:tcPr>
            <w:tcW w:w="1352" w:type="dxa"/>
            <w:tcBorders>
              <w:top w:val="nil"/>
              <w:left w:val="nil"/>
              <w:bottom w:val="nil"/>
              <w:right w:val="nil"/>
            </w:tcBorders>
            <w:shd w:val="clear" w:color="auto" w:fill="FFFFFF"/>
            <w:tcMar>
              <w:left w:w="40" w:type="dxa"/>
              <w:right w:w="40" w:type="dxa"/>
            </w:tcMar>
          </w:tcPr>
          <w:p w14:paraId="7E06A451" w14:textId="091E4355" w:rsidR="002D5A07" w:rsidRDefault="002D5A07" w:rsidP="002D5A07">
            <w:r w:rsidRPr="004528EA">
              <w:rPr>
                <w:color w:val="000000"/>
                <w:sz w:val="16"/>
                <w:szCs w:val="16"/>
              </w:rPr>
              <w:t xml:space="preserve">    3 (37.5)                                                                                        </w:t>
            </w:r>
          </w:p>
        </w:tc>
        <w:tc>
          <w:tcPr>
            <w:tcW w:w="1353" w:type="dxa"/>
            <w:tcBorders>
              <w:top w:val="nil"/>
              <w:left w:val="nil"/>
              <w:bottom w:val="nil"/>
              <w:right w:val="single" w:sz="4" w:space="0" w:color="auto"/>
            </w:tcBorders>
            <w:shd w:val="clear" w:color="auto" w:fill="FFFFFF"/>
            <w:tcMar>
              <w:left w:w="40" w:type="dxa"/>
              <w:right w:w="40" w:type="dxa"/>
            </w:tcMar>
          </w:tcPr>
          <w:p w14:paraId="5FDAA21F" w14:textId="397095FA" w:rsidR="002D5A07" w:rsidRDefault="002D5A07" w:rsidP="002D5A07">
            <w:r w:rsidRPr="004528EA">
              <w:rPr>
                <w:color w:val="000000"/>
                <w:sz w:val="16"/>
                <w:szCs w:val="16"/>
              </w:rPr>
              <w:t xml:space="preserve">    5 (25.0)                                                                                        </w:t>
            </w:r>
          </w:p>
        </w:tc>
      </w:tr>
      <w:tr w:rsidR="002D5A07" w:rsidRPr="00E11762" w14:paraId="63F40FFF"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73C35AA3" w14:textId="181A3DEE"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Lower extremity                        </w:t>
            </w:r>
          </w:p>
        </w:tc>
        <w:tc>
          <w:tcPr>
            <w:tcW w:w="1352" w:type="dxa"/>
            <w:tcBorders>
              <w:top w:val="nil"/>
              <w:left w:val="nil"/>
              <w:bottom w:val="nil"/>
              <w:right w:val="nil"/>
            </w:tcBorders>
            <w:shd w:val="clear" w:color="auto" w:fill="FFFFFF"/>
          </w:tcPr>
          <w:p w14:paraId="28790FAF" w14:textId="19D4F76A" w:rsidR="002D5A07" w:rsidRDefault="002D5A07" w:rsidP="002D5A07">
            <w:r w:rsidRPr="004528EA">
              <w:rPr>
                <w:color w:val="000000"/>
                <w:sz w:val="16"/>
                <w:szCs w:val="16"/>
              </w:rPr>
              <w:t xml:space="preserve">    1 (8.3)                                                                                         </w:t>
            </w:r>
          </w:p>
        </w:tc>
        <w:tc>
          <w:tcPr>
            <w:tcW w:w="1352" w:type="dxa"/>
            <w:tcBorders>
              <w:top w:val="nil"/>
              <w:left w:val="nil"/>
              <w:bottom w:val="nil"/>
              <w:right w:val="nil"/>
            </w:tcBorders>
            <w:shd w:val="clear" w:color="auto" w:fill="FFFFFF"/>
            <w:tcMar>
              <w:left w:w="40" w:type="dxa"/>
              <w:right w:w="40" w:type="dxa"/>
            </w:tcMar>
          </w:tcPr>
          <w:p w14:paraId="475B78C7" w14:textId="6909CCE6" w:rsidR="002D5A07" w:rsidRDefault="002D5A07" w:rsidP="002D5A07">
            <w:r w:rsidRPr="004528EA">
              <w:rPr>
                <w:color w:val="000000"/>
                <w:sz w:val="16"/>
                <w:szCs w:val="16"/>
              </w:rPr>
              <w:t xml:space="preserve">    0 (0.0)                                                                                         </w:t>
            </w:r>
          </w:p>
        </w:tc>
        <w:tc>
          <w:tcPr>
            <w:tcW w:w="1353" w:type="dxa"/>
            <w:tcBorders>
              <w:top w:val="nil"/>
              <w:left w:val="nil"/>
              <w:bottom w:val="nil"/>
              <w:right w:val="single" w:sz="4" w:space="0" w:color="auto"/>
            </w:tcBorders>
            <w:shd w:val="clear" w:color="auto" w:fill="FFFFFF"/>
            <w:tcMar>
              <w:left w:w="40" w:type="dxa"/>
              <w:right w:w="40" w:type="dxa"/>
            </w:tcMar>
          </w:tcPr>
          <w:p w14:paraId="1B3539B8" w14:textId="2F36660C" w:rsidR="002D5A07" w:rsidRDefault="002D5A07" w:rsidP="002D5A07">
            <w:r w:rsidRPr="004528EA">
              <w:rPr>
                <w:color w:val="000000"/>
                <w:sz w:val="16"/>
                <w:szCs w:val="16"/>
              </w:rPr>
              <w:t xml:space="preserve">    1 (5.0)                                                                                         </w:t>
            </w:r>
          </w:p>
        </w:tc>
      </w:tr>
      <w:tr w:rsidR="002D5A07" w:rsidRPr="00E11762" w14:paraId="1518064D"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44C7FA2C" w14:textId="58E29C8A"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Upper extremity                        </w:t>
            </w:r>
          </w:p>
        </w:tc>
        <w:tc>
          <w:tcPr>
            <w:tcW w:w="1352" w:type="dxa"/>
            <w:tcBorders>
              <w:top w:val="nil"/>
              <w:left w:val="nil"/>
              <w:bottom w:val="nil"/>
              <w:right w:val="nil"/>
            </w:tcBorders>
            <w:shd w:val="clear" w:color="auto" w:fill="FFFFFF"/>
          </w:tcPr>
          <w:p w14:paraId="46D53DC1" w14:textId="1A24588E" w:rsidR="002D5A07" w:rsidRDefault="002D5A07" w:rsidP="002D5A07">
            <w:r w:rsidRPr="004528EA">
              <w:rPr>
                <w:color w:val="000000"/>
                <w:sz w:val="16"/>
                <w:szCs w:val="16"/>
              </w:rPr>
              <w:t xml:space="preserve">    1 (8.3)                                                                                         </w:t>
            </w:r>
          </w:p>
        </w:tc>
        <w:tc>
          <w:tcPr>
            <w:tcW w:w="1352" w:type="dxa"/>
            <w:tcBorders>
              <w:top w:val="nil"/>
              <w:left w:val="nil"/>
              <w:bottom w:val="nil"/>
              <w:right w:val="nil"/>
            </w:tcBorders>
            <w:shd w:val="clear" w:color="auto" w:fill="FFFFFF"/>
            <w:tcMar>
              <w:left w:w="40" w:type="dxa"/>
              <w:right w:w="40" w:type="dxa"/>
            </w:tcMar>
          </w:tcPr>
          <w:p w14:paraId="7DAEF1CC" w14:textId="38067629" w:rsidR="002D5A07" w:rsidRDefault="002D5A07" w:rsidP="002D5A07">
            <w:r w:rsidRPr="004528EA">
              <w:rPr>
                <w:color w:val="000000"/>
                <w:sz w:val="16"/>
                <w:szCs w:val="16"/>
              </w:rPr>
              <w:t xml:space="preserve">    0 (0.0)                                                                                         </w:t>
            </w:r>
          </w:p>
        </w:tc>
        <w:tc>
          <w:tcPr>
            <w:tcW w:w="1353" w:type="dxa"/>
            <w:tcBorders>
              <w:top w:val="nil"/>
              <w:left w:val="nil"/>
              <w:bottom w:val="nil"/>
              <w:right w:val="single" w:sz="4" w:space="0" w:color="auto"/>
            </w:tcBorders>
            <w:shd w:val="clear" w:color="auto" w:fill="FFFFFF"/>
            <w:tcMar>
              <w:left w:w="40" w:type="dxa"/>
              <w:right w:w="40" w:type="dxa"/>
            </w:tcMar>
          </w:tcPr>
          <w:p w14:paraId="3B7F1366" w14:textId="54F5A61C" w:rsidR="002D5A07" w:rsidRDefault="002D5A07" w:rsidP="002D5A07">
            <w:r w:rsidRPr="004528EA">
              <w:rPr>
                <w:color w:val="000000"/>
                <w:sz w:val="16"/>
                <w:szCs w:val="16"/>
              </w:rPr>
              <w:t xml:space="preserve">    1 (5.0)                                                                                         </w:t>
            </w:r>
          </w:p>
        </w:tc>
      </w:tr>
      <w:tr w:rsidR="002D5A07" w:rsidRPr="00E11762" w14:paraId="63B46B14"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575ABE80" w14:textId="089C3506"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Pr>
                <w:bCs/>
                <w:color w:val="000000"/>
                <w:sz w:val="16"/>
                <w:szCs w:val="16"/>
              </w:rPr>
              <w:t>Visceral genito</w:t>
            </w:r>
            <w:r w:rsidRPr="003E1FE2">
              <w:rPr>
                <w:bCs/>
                <w:color w:val="000000"/>
                <w:sz w:val="16"/>
                <w:szCs w:val="16"/>
              </w:rPr>
              <w:t xml:space="preserve">urinary                </w:t>
            </w:r>
          </w:p>
        </w:tc>
        <w:tc>
          <w:tcPr>
            <w:tcW w:w="1352" w:type="dxa"/>
            <w:tcBorders>
              <w:top w:val="nil"/>
              <w:left w:val="nil"/>
              <w:bottom w:val="nil"/>
              <w:right w:val="nil"/>
            </w:tcBorders>
            <w:shd w:val="clear" w:color="auto" w:fill="FFFFFF"/>
          </w:tcPr>
          <w:p w14:paraId="4F4B0858" w14:textId="7F65F827" w:rsidR="002D5A07" w:rsidRDefault="002D5A07" w:rsidP="002D5A07">
            <w:r w:rsidRPr="004528EA">
              <w:rPr>
                <w:color w:val="000000"/>
                <w:sz w:val="16"/>
                <w:szCs w:val="16"/>
              </w:rPr>
              <w:t xml:space="preserve">    0 (0.0)                                                                                         </w:t>
            </w:r>
          </w:p>
        </w:tc>
        <w:tc>
          <w:tcPr>
            <w:tcW w:w="1352" w:type="dxa"/>
            <w:tcBorders>
              <w:top w:val="nil"/>
              <w:left w:val="nil"/>
              <w:bottom w:val="nil"/>
              <w:right w:val="nil"/>
            </w:tcBorders>
            <w:shd w:val="clear" w:color="auto" w:fill="FFFFFF"/>
            <w:tcMar>
              <w:left w:w="40" w:type="dxa"/>
              <w:right w:w="40" w:type="dxa"/>
            </w:tcMar>
          </w:tcPr>
          <w:p w14:paraId="0C8BFBA0" w14:textId="6AEFDE3B" w:rsidR="002D5A07" w:rsidRDefault="002D5A07" w:rsidP="002D5A07">
            <w:r w:rsidRPr="004528EA">
              <w:rPr>
                <w:color w:val="000000"/>
                <w:sz w:val="16"/>
                <w:szCs w:val="16"/>
              </w:rPr>
              <w:t xml:space="preserve">    1 (12.5)                                                                                        </w:t>
            </w:r>
          </w:p>
        </w:tc>
        <w:tc>
          <w:tcPr>
            <w:tcW w:w="1353" w:type="dxa"/>
            <w:tcBorders>
              <w:top w:val="nil"/>
              <w:left w:val="nil"/>
              <w:bottom w:val="nil"/>
              <w:right w:val="single" w:sz="4" w:space="0" w:color="auto"/>
            </w:tcBorders>
            <w:shd w:val="clear" w:color="auto" w:fill="FFFFFF"/>
            <w:tcMar>
              <w:left w:w="40" w:type="dxa"/>
              <w:right w:w="40" w:type="dxa"/>
            </w:tcMar>
          </w:tcPr>
          <w:p w14:paraId="7140F2ED" w14:textId="6EF27283" w:rsidR="002D5A07" w:rsidRDefault="002D5A07" w:rsidP="002D5A07">
            <w:r w:rsidRPr="004528EA">
              <w:rPr>
                <w:color w:val="000000"/>
                <w:sz w:val="16"/>
                <w:szCs w:val="16"/>
              </w:rPr>
              <w:t xml:space="preserve">    1 (5.0)                                                                                         </w:t>
            </w:r>
          </w:p>
        </w:tc>
      </w:tr>
      <w:tr w:rsidR="002D5A07" w:rsidRPr="00E11762" w14:paraId="14DC6FB4"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088F6151" w14:textId="6BAAE751"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Pr>
                <w:bCs/>
                <w:color w:val="000000"/>
                <w:sz w:val="16"/>
                <w:szCs w:val="16"/>
              </w:rPr>
              <w:t>Visceral gastro</w:t>
            </w:r>
            <w:r w:rsidRPr="003E1FE2">
              <w:rPr>
                <w:bCs/>
                <w:color w:val="000000"/>
                <w:sz w:val="16"/>
                <w:szCs w:val="16"/>
              </w:rPr>
              <w:t xml:space="preserve">intestinal             </w:t>
            </w:r>
          </w:p>
        </w:tc>
        <w:tc>
          <w:tcPr>
            <w:tcW w:w="1352" w:type="dxa"/>
            <w:tcBorders>
              <w:top w:val="nil"/>
              <w:left w:val="nil"/>
              <w:bottom w:val="nil"/>
              <w:right w:val="nil"/>
            </w:tcBorders>
            <w:shd w:val="clear" w:color="auto" w:fill="FFFFFF"/>
          </w:tcPr>
          <w:p w14:paraId="7F95171F" w14:textId="05EDF5B2" w:rsidR="002D5A07" w:rsidRDefault="002D5A07" w:rsidP="002D5A07">
            <w:r w:rsidRPr="004528EA">
              <w:rPr>
                <w:color w:val="000000"/>
                <w:sz w:val="16"/>
                <w:szCs w:val="16"/>
              </w:rPr>
              <w:t xml:space="preserve">    1 (8.3)                                                                                         </w:t>
            </w:r>
          </w:p>
        </w:tc>
        <w:tc>
          <w:tcPr>
            <w:tcW w:w="1352" w:type="dxa"/>
            <w:tcBorders>
              <w:top w:val="nil"/>
              <w:left w:val="nil"/>
              <w:bottom w:val="nil"/>
              <w:right w:val="nil"/>
            </w:tcBorders>
            <w:shd w:val="clear" w:color="auto" w:fill="FFFFFF"/>
            <w:tcMar>
              <w:left w:w="40" w:type="dxa"/>
              <w:right w:w="40" w:type="dxa"/>
            </w:tcMar>
          </w:tcPr>
          <w:p w14:paraId="15A4F108" w14:textId="0F2D6763" w:rsidR="002D5A07" w:rsidRDefault="002D5A07" w:rsidP="002D5A07">
            <w:r w:rsidRPr="004528EA">
              <w:rPr>
                <w:color w:val="000000"/>
                <w:sz w:val="16"/>
                <w:szCs w:val="16"/>
              </w:rPr>
              <w:t xml:space="preserve">    0 (0.0)                                                                                         </w:t>
            </w:r>
          </w:p>
        </w:tc>
        <w:tc>
          <w:tcPr>
            <w:tcW w:w="1353" w:type="dxa"/>
            <w:tcBorders>
              <w:top w:val="nil"/>
              <w:left w:val="nil"/>
              <w:bottom w:val="nil"/>
              <w:right w:val="single" w:sz="4" w:space="0" w:color="auto"/>
            </w:tcBorders>
            <w:shd w:val="clear" w:color="auto" w:fill="FFFFFF"/>
            <w:tcMar>
              <w:left w:w="40" w:type="dxa"/>
              <w:right w:w="40" w:type="dxa"/>
            </w:tcMar>
          </w:tcPr>
          <w:p w14:paraId="73BF819E" w14:textId="661FEC78" w:rsidR="002D5A07" w:rsidRDefault="002D5A07" w:rsidP="002D5A07">
            <w:r w:rsidRPr="004528EA">
              <w:rPr>
                <w:color w:val="000000"/>
                <w:sz w:val="16"/>
                <w:szCs w:val="16"/>
              </w:rPr>
              <w:t xml:space="preserve">    1 (5.0)                                                                                         </w:t>
            </w:r>
          </w:p>
        </w:tc>
      </w:tr>
      <w:tr w:rsidR="002D5A07" w:rsidRPr="00E11762" w14:paraId="38FBB333"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6A958A29" w14:textId="1678FADA"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Visceral gynecological                 </w:t>
            </w:r>
          </w:p>
        </w:tc>
        <w:tc>
          <w:tcPr>
            <w:tcW w:w="1352" w:type="dxa"/>
            <w:tcBorders>
              <w:top w:val="nil"/>
              <w:left w:val="nil"/>
              <w:bottom w:val="nil"/>
              <w:right w:val="nil"/>
            </w:tcBorders>
            <w:shd w:val="clear" w:color="auto" w:fill="FFFFFF"/>
          </w:tcPr>
          <w:p w14:paraId="05E239D7" w14:textId="14F75527" w:rsidR="002D5A07" w:rsidRDefault="002D5A07" w:rsidP="002D5A07">
            <w:r w:rsidRPr="004528EA">
              <w:rPr>
                <w:color w:val="000000"/>
                <w:sz w:val="16"/>
                <w:szCs w:val="16"/>
              </w:rPr>
              <w:t xml:space="preserve">    1 (8.3)                                                                                         </w:t>
            </w:r>
          </w:p>
        </w:tc>
        <w:tc>
          <w:tcPr>
            <w:tcW w:w="1352" w:type="dxa"/>
            <w:tcBorders>
              <w:top w:val="nil"/>
              <w:left w:val="nil"/>
              <w:bottom w:val="nil"/>
              <w:right w:val="nil"/>
            </w:tcBorders>
            <w:shd w:val="clear" w:color="auto" w:fill="FFFFFF"/>
            <w:tcMar>
              <w:left w:w="40" w:type="dxa"/>
              <w:right w:w="40" w:type="dxa"/>
            </w:tcMar>
          </w:tcPr>
          <w:p w14:paraId="52D192A5" w14:textId="5BE3EE72" w:rsidR="002D5A07" w:rsidRDefault="002D5A07" w:rsidP="002D5A07">
            <w:r w:rsidRPr="004528EA">
              <w:rPr>
                <w:color w:val="000000"/>
                <w:sz w:val="16"/>
                <w:szCs w:val="16"/>
              </w:rPr>
              <w:t xml:space="preserve">    0 (0.0)                                                                                         </w:t>
            </w:r>
          </w:p>
        </w:tc>
        <w:tc>
          <w:tcPr>
            <w:tcW w:w="1353" w:type="dxa"/>
            <w:tcBorders>
              <w:top w:val="nil"/>
              <w:left w:val="nil"/>
              <w:bottom w:val="nil"/>
              <w:right w:val="single" w:sz="4" w:space="0" w:color="auto"/>
            </w:tcBorders>
            <w:shd w:val="clear" w:color="auto" w:fill="FFFFFF"/>
            <w:tcMar>
              <w:left w:w="40" w:type="dxa"/>
              <w:right w:w="40" w:type="dxa"/>
            </w:tcMar>
          </w:tcPr>
          <w:p w14:paraId="4CF39DDB" w14:textId="71BFB28C" w:rsidR="002D5A07" w:rsidRDefault="002D5A07" w:rsidP="002D5A07">
            <w:r w:rsidRPr="004528EA">
              <w:rPr>
                <w:color w:val="000000"/>
                <w:sz w:val="16"/>
                <w:szCs w:val="16"/>
              </w:rPr>
              <w:t xml:space="preserve">    1 (5.0)                                                                                         </w:t>
            </w:r>
          </w:p>
        </w:tc>
      </w:tr>
      <w:tr w:rsidR="002D5A07" w:rsidRPr="00E11762" w14:paraId="678D9CC3" w14:textId="77777777" w:rsidTr="003E1FE2">
        <w:trPr>
          <w:cantSplit/>
          <w:jc w:val="center"/>
        </w:trPr>
        <w:tc>
          <w:tcPr>
            <w:tcW w:w="4393" w:type="dxa"/>
            <w:tcBorders>
              <w:top w:val="nil"/>
              <w:left w:val="single" w:sz="4" w:space="0" w:color="auto"/>
              <w:bottom w:val="nil"/>
              <w:right w:val="nil"/>
            </w:tcBorders>
            <w:tcMar>
              <w:left w:w="40" w:type="dxa"/>
              <w:right w:w="40" w:type="dxa"/>
            </w:tcMar>
          </w:tcPr>
          <w:p w14:paraId="73CCB0EE" w14:textId="3A3C2A61"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Other                                  </w:t>
            </w:r>
          </w:p>
        </w:tc>
        <w:tc>
          <w:tcPr>
            <w:tcW w:w="1352" w:type="dxa"/>
            <w:tcBorders>
              <w:top w:val="nil"/>
              <w:left w:val="nil"/>
              <w:bottom w:val="nil"/>
              <w:right w:val="nil"/>
            </w:tcBorders>
            <w:shd w:val="clear" w:color="auto" w:fill="FFFFFF"/>
          </w:tcPr>
          <w:p w14:paraId="0EAC83BD" w14:textId="6F8A8871" w:rsidR="002D5A07" w:rsidRDefault="002D5A07" w:rsidP="002D5A07">
            <w:r w:rsidRPr="004528EA">
              <w:rPr>
                <w:color w:val="000000"/>
                <w:sz w:val="16"/>
                <w:szCs w:val="16"/>
              </w:rPr>
              <w:t xml:space="preserve">    1 (8.3)                                                                                         </w:t>
            </w:r>
          </w:p>
        </w:tc>
        <w:tc>
          <w:tcPr>
            <w:tcW w:w="1352" w:type="dxa"/>
            <w:tcBorders>
              <w:top w:val="nil"/>
              <w:left w:val="nil"/>
              <w:bottom w:val="nil"/>
              <w:right w:val="nil"/>
            </w:tcBorders>
            <w:shd w:val="clear" w:color="auto" w:fill="FFFFFF"/>
            <w:tcMar>
              <w:left w:w="40" w:type="dxa"/>
              <w:right w:w="40" w:type="dxa"/>
            </w:tcMar>
          </w:tcPr>
          <w:p w14:paraId="0B46A515" w14:textId="523F6F11" w:rsidR="002D5A07" w:rsidRDefault="002D5A07" w:rsidP="002D5A07">
            <w:r w:rsidRPr="004528EA">
              <w:rPr>
                <w:color w:val="000000"/>
                <w:sz w:val="16"/>
                <w:szCs w:val="16"/>
              </w:rPr>
              <w:t xml:space="preserve">    1 (12.5)                                                                                        </w:t>
            </w:r>
          </w:p>
        </w:tc>
        <w:tc>
          <w:tcPr>
            <w:tcW w:w="1353" w:type="dxa"/>
            <w:tcBorders>
              <w:top w:val="nil"/>
              <w:left w:val="nil"/>
              <w:bottom w:val="nil"/>
              <w:right w:val="single" w:sz="4" w:space="0" w:color="auto"/>
            </w:tcBorders>
            <w:shd w:val="clear" w:color="auto" w:fill="FFFFFF"/>
            <w:tcMar>
              <w:left w:w="40" w:type="dxa"/>
              <w:right w:w="40" w:type="dxa"/>
            </w:tcMar>
          </w:tcPr>
          <w:p w14:paraId="3037CBAE" w14:textId="6231A7D5" w:rsidR="002D5A07" w:rsidRDefault="002D5A07" w:rsidP="002D5A07">
            <w:r w:rsidRPr="004528EA">
              <w:rPr>
                <w:color w:val="000000"/>
                <w:sz w:val="16"/>
                <w:szCs w:val="16"/>
              </w:rPr>
              <w:t xml:space="preserve">    2 (10.0)                                                                                        </w:t>
            </w:r>
          </w:p>
        </w:tc>
      </w:tr>
      <w:tr w:rsidR="002D5A07" w:rsidRPr="00E11762" w14:paraId="1C9B1E0B" w14:textId="77777777" w:rsidTr="000C14A3">
        <w:trPr>
          <w:cantSplit/>
          <w:jc w:val="center"/>
        </w:trPr>
        <w:tc>
          <w:tcPr>
            <w:tcW w:w="4393" w:type="dxa"/>
            <w:tcBorders>
              <w:top w:val="nil"/>
              <w:left w:val="single" w:sz="4" w:space="0" w:color="auto"/>
              <w:bottom w:val="single" w:sz="4" w:space="0" w:color="auto"/>
              <w:right w:val="nil"/>
            </w:tcBorders>
            <w:tcMar>
              <w:left w:w="40" w:type="dxa"/>
              <w:right w:w="40" w:type="dxa"/>
            </w:tcMar>
          </w:tcPr>
          <w:p w14:paraId="52367820" w14:textId="31329305" w:rsidR="002D5A07" w:rsidRPr="003E1FE2" w:rsidRDefault="002D5A07" w:rsidP="002D5A07">
            <w:pPr>
              <w:jc w:val="both"/>
              <w:rPr>
                <w:rStyle w:val="st"/>
              </w:rPr>
            </w:pPr>
            <w:r>
              <w:rPr>
                <w:bCs/>
                <w:color w:val="000000"/>
                <w:sz w:val="16"/>
                <w:szCs w:val="16"/>
              </w:rPr>
              <w:t xml:space="preserve">   </w:t>
            </w:r>
            <w:r w:rsidR="00124421">
              <w:rPr>
                <w:bCs/>
                <w:color w:val="000000"/>
                <w:sz w:val="16"/>
                <w:szCs w:val="16"/>
              </w:rPr>
              <w:t xml:space="preserve">  </w:t>
            </w:r>
            <w:r w:rsidRPr="003E1FE2">
              <w:rPr>
                <w:bCs/>
                <w:color w:val="000000"/>
                <w:sz w:val="16"/>
                <w:szCs w:val="16"/>
              </w:rPr>
              <w:t xml:space="preserve">Missing                                </w:t>
            </w:r>
          </w:p>
        </w:tc>
        <w:tc>
          <w:tcPr>
            <w:tcW w:w="1352" w:type="dxa"/>
            <w:tcBorders>
              <w:top w:val="nil"/>
              <w:left w:val="nil"/>
              <w:bottom w:val="single" w:sz="4" w:space="0" w:color="auto"/>
              <w:right w:val="nil"/>
            </w:tcBorders>
            <w:shd w:val="clear" w:color="auto" w:fill="FFFFFF"/>
          </w:tcPr>
          <w:p w14:paraId="0EAB4602" w14:textId="30A137A2" w:rsidR="002D5A07" w:rsidRDefault="002D5A07" w:rsidP="002D5A07">
            <w:r w:rsidRPr="004528EA">
              <w:rPr>
                <w:color w:val="000000"/>
                <w:sz w:val="16"/>
                <w:szCs w:val="16"/>
              </w:rPr>
              <w:t xml:space="preserve">    3 (25.0)                                                                                        </w:t>
            </w:r>
          </w:p>
        </w:tc>
        <w:tc>
          <w:tcPr>
            <w:tcW w:w="1352" w:type="dxa"/>
            <w:tcBorders>
              <w:top w:val="nil"/>
              <w:left w:val="nil"/>
              <w:bottom w:val="single" w:sz="4" w:space="0" w:color="auto"/>
              <w:right w:val="nil"/>
            </w:tcBorders>
            <w:shd w:val="clear" w:color="auto" w:fill="FFFFFF"/>
            <w:tcMar>
              <w:left w:w="40" w:type="dxa"/>
              <w:right w:w="40" w:type="dxa"/>
            </w:tcMar>
          </w:tcPr>
          <w:p w14:paraId="5BA98128" w14:textId="6694CF57" w:rsidR="002D5A07" w:rsidRDefault="002D5A07" w:rsidP="002D5A07">
            <w:r w:rsidRPr="004528EA">
              <w:rPr>
                <w:color w:val="000000"/>
                <w:sz w:val="16"/>
                <w:szCs w:val="16"/>
              </w:rPr>
              <w:t xml:space="preserve">    0 (0.0)                                                                                         </w:t>
            </w:r>
          </w:p>
        </w:tc>
        <w:tc>
          <w:tcPr>
            <w:tcW w:w="1353" w:type="dxa"/>
            <w:tcBorders>
              <w:top w:val="nil"/>
              <w:left w:val="nil"/>
              <w:bottom w:val="single" w:sz="4" w:space="0" w:color="auto"/>
              <w:right w:val="single" w:sz="4" w:space="0" w:color="auto"/>
            </w:tcBorders>
            <w:shd w:val="clear" w:color="auto" w:fill="FFFFFF"/>
            <w:tcMar>
              <w:left w:w="40" w:type="dxa"/>
              <w:right w:w="40" w:type="dxa"/>
            </w:tcMar>
          </w:tcPr>
          <w:p w14:paraId="10CCD1D9" w14:textId="260083B4" w:rsidR="002D5A07" w:rsidRDefault="002D5A07" w:rsidP="002D5A07">
            <w:r w:rsidRPr="004528EA">
              <w:rPr>
                <w:color w:val="000000"/>
                <w:sz w:val="16"/>
                <w:szCs w:val="16"/>
              </w:rPr>
              <w:t xml:space="preserve">    3 (15.0)                                                                                        </w:t>
            </w:r>
          </w:p>
        </w:tc>
      </w:tr>
    </w:tbl>
    <w:p w14:paraId="4DC40D44" w14:textId="77777777" w:rsidR="00E21F73" w:rsidRPr="00D35158" w:rsidRDefault="00E21F73" w:rsidP="00065B26">
      <w:pPr>
        <w:rPr>
          <w:rStyle w:val="Hyperlink"/>
          <w:color w:val="auto"/>
          <w:u w:val="none"/>
        </w:rPr>
      </w:pPr>
      <w:r w:rsidRPr="00D35158">
        <w:rPr>
          <w:rStyle w:val="Hyperlink"/>
          <w:color w:val="auto"/>
          <w:u w:val="none"/>
        </w:rPr>
        <w:br w:type="page"/>
      </w:r>
    </w:p>
    <w:p w14:paraId="0F549686" w14:textId="70B90B3C" w:rsidR="00DB03D4" w:rsidRPr="00524D52" w:rsidRDefault="0036416F" w:rsidP="00065B26">
      <w:pPr>
        <w:rPr>
          <w:rStyle w:val="Hyperlink"/>
          <w:color w:val="auto"/>
          <w:sz w:val="24"/>
          <w:szCs w:val="24"/>
          <w:u w:val="none"/>
        </w:rPr>
      </w:pPr>
      <w:r w:rsidRPr="00524D52">
        <w:rPr>
          <w:b/>
        </w:rPr>
        <w:t>Table 3.</w:t>
      </w:r>
      <w:r w:rsidRPr="00151D6C">
        <w:t xml:space="preserve"> </w:t>
      </w:r>
      <w:r w:rsidR="00BC298F" w:rsidRPr="00151D6C">
        <w:t>Study treatment</w:t>
      </w:r>
      <w:r w:rsidR="00BC298F" w:rsidRPr="00524D52">
        <w:t>.</w:t>
      </w:r>
    </w:p>
    <w:p w14:paraId="3D2C418F" w14:textId="3A91BFC9" w:rsidR="00BC298F" w:rsidRDefault="00BC298F" w:rsidP="00490E17"/>
    <w:tbl>
      <w:tblPr>
        <w:tblW w:w="0" w:type="auto"/>
        <w:jc w:val="center"/>
        <w:tblCellMar>
          <w:left w:w="0" w:type="dxa"/>
          <w:right w:w="0" w:type="dxa"/>
        </w:tblCellMar>
        <w:tblLook w:val="0000" w:firstRow="0" w:lastRow="0" w:firstColumn="0" w:lastColumn="0" w:noHBand="0" w:noVBand="0"/>
      </w:tblPr>
      <w:tblGrid>
        <w:gridCol w:w="5671"/>
        <w:gridCol w:w="1134"/>
        <w:gridCol w:w="992"/>
        <w:gridCol w:w="1134"/>
      </w:tblGrid>
      <w:tr w:rsidR="00BC298F" w:rsidRPr="00E11762" w14:paraId="6C54423A" w14:textId="77777777" w:rsidTr="00BC298F">
        <w:trPr>
          <w:cantSplit/>
          <w:tblHeader/>
          <w:jc w:val="center"/>
        </w:trPr>
        <w:tc>
          <w:tcPr>
            <w:tcW w:w="5671" w:type="dxa"/>
            <w:tcBorders>
              <w:top w:val="single" w:sz="4" w:space="0" w:color="auto"/>
              <w:left w:val="single" w:sz="4" w:space="0" w:color="auto"/>
              <w:right w:val="nil"/>
            </w:tcBorders>
            <w:shd w:val="clear" w:color="auto" w:fill="E0E0E0"/>
            <w:tcMar>
              <w:left w:w="40" w:type="dxa"/>
              <w:right w:w="40" w:type="dxa"/>
            </w:tcMar>
            <w:vAlign w:val="bottom"/>
          </w:tcPr>
          <w:p w14:paraId="1DDF1BD8" w14:textId="77777777" w:rsidR="00BC298F" w:rsidRPr="001626E5" w:rsidRDefault="00BC298F" w:rsidP="001706A2">
            <w:pPr>
              <w:rPr>
                <w:sz w:val="16"/>
                <w:szCs w:val="16"/>
              </w:rPr>
            </w:pPr>
          </w:p>
        </w:tc>
        <w:tc>
          <w:tcPr>
            <w:tcW w:w="2126" w:type="dxa"/>
            <w:gridSpan w:val="2"/>
            <w:tcBorders>
              <w:top w:val="single" w:sz="4" w:space="0" w:color="auto"/>
              <w:left w:val="nil"/>
              <w:right w:val="nil"/>
            </w:tcBorders>
            <w:shd w:val="clear" w:color="auto" w:fill="E0E0E0"/>
            <w:vAlign w:val="bottom"/>
          </w:tcPr>
          <w:p w14:paraId="133BEAFD" w14:textId="77777777" w:rsidR="00BC298F" w:rsidRPr="001626E5" w:rsidRDefault="00BC298F" w:rsidP="001706A2">
            <w:pPr>
              <w:rPr>
                <w:i/>
                <w:sz w:val="16"/>
                <w:szCs w:val="16"/>
              </w:rPr>
            </w:pPr>
            <w:r w:rsidRPr="001626E5">
              <w:rPr>
                <w:sz w:val="16"/>
                <w:szCs w:val="16"/>
              </w:rPr>
              <w:t xml:space="preserve">               </w:t>
            </w:r>
            <w:r w:rsidRPr="001626E5">
              <w:rPr>
                <w:i/>
                <w:sz w:val="16"/>
                <w:szCs w:val="16"/>
              </w:rPr>
              <w:t>ALK</w:t>
            </w:r>
            <w:r w:rsidRPr="001626E5">
              <w:rPr>
                <w:sz w:val="16"/>
                <w:szCs w:val="16"/>
              </w:rPr>
              <w:t xml:space="preserve"> status</w:t>
            </w:r>
          </w:p>
        </w:tc>
        <w:tc>
          <w:tcPr>
            <w:tcW w:w="1134" w:type="dxa"/>
            <w:vMerge w:val="restart"/>
            <w:tcBorders>
              <w:top w:val="single" w:sz="4" w:space="0" w:color="auto"/>
              <w:left w:val="nil"/>
              <w:right w:val="single" w:sz="4" w:space="0" w:color="auto"/>
            </w:tcBorders>
            <w:shd w:val="clear" w:color="auto" w:fill="E0E0E0"/>
            <w:tcMar>
              <w:left w:w="40" w:type="dxa"/>
              <w:right w:w="40" w:type="dxa"/>
            </w:tcMar>
            <w:vAlign w:val="bottom"/>
          </w:tcPr>
          <w:p w14:paraId="7CB2A441" w14:textId="77777777" w:rsidR="00BC298F" w:rsidRPr="001626E5" w:rsidRDefault="00BC298F" w:rsidP="00CA3E9E">
            <w:pPr>
              <w:rPr>
                <w:sz w:val="16"/>
                <w:szCs w:val="16"/>
              </w:rPr>
            </w:pPr>
            <w:r w:rsidRPr="001626E5">
              <w:rPr>
                <w:sz w:val="16"/>
                <w:szCs w:val="16"/>
              </w:rPr>
              <w:t>Total</w:t>
            </w:r>
            <w:r w:rsidRPr="001626E5">
              <w:rPr>
                <w:sz w:val="16"/>
                <w:szCs w:val="16"/>
              </w:rPr>
              <w:br/>
              <w:t>(N=20)</w:t>
            </w:r>
          </w:p>
        </w:tc>
      </w:tr>
      <w:tr w:rsidR="00BC298F" w:rsidRPr="00E11762" w14:paraId="65AC646A" w14:textId="77777777" w:rsidTr="00BC298F">
        <w:trPr>
          <w:cantSplit/>
          <w:tblHeader/>
          <w:jc w:val="center"/>
        </w:trPr>
        <w:tc>
          <w:tcPr>
            <w:tcW w:w="5671" w:type="dxa"/>
            <w:tcBorders>
              <w:left w:val="single" w:sz="4" w:space="0" w:color="auto"/>
              <w:bottom w:val="single" w:sz="2" w:space="0" w:color="000000"/>
              <w:right w:val="nil"/>
            </w:tcBorders>
            <w:shd w:val="clear" w:color="auto" w:fill="E0E0E0"/>
            <w:tcMar>
              <w:left w:w="40" w:type="dxa"/>
              <w:right w:w="40" w:type="dxa"/>
            </w:tcMar>
            <w:vAlign w:val="bottom"/>
          </w:tcPr>
          <w:p w14:paraId="777DAB92" w14:textId="77777777" w:rsidR="00BC298F" w:rsidRPr="001626E5" w:rsidRDefault="00BC298F" w:rsidP="00065B26">
            <w:pPr>
              <w:rPr>
                <w:sz w:val="16"/>
                <w:szCs w:val="16"/>
              </w:rPr>
            </w:pPr>
          </w:p>
        </w:tc>
        <w:tc>
          <w:tcPr>
            <w:tcW w:w="1134" w:type="dxa"/>
            <w:tcBorders>
              <w:left w:val="nil"/>
              <w:bottom w:val="single" w:sz="2" w:space="0" w:color="000000"/>
              <w:right w:val="nil"/>
            </w:tcBorders>
            <w:shd w:val="clear" w:color="auto" w:fill="E0E0E0"/>
            <w:vAlign w:val="bottom"/>
          </w:tcPr>
          <w:p w14:paraId="2B2BEDA9" w14:textId="77777777" w:rsidR="00BC298F" w:rsidRPr="001626E5" w:rsidRDefault="00BC298F" w:rsidP="00490E17">
            <w:pPr>
              <w:rPr>
                <w:i/>
                <w:sz w:val="16"/>
                <w:szCs w:val="16"/>
              </w:rPr>
            </w:pPr>
            <w:r w:rsidRPr="001626E5">
              <w:rPr>
                <w:i/>
                <w:sz w:val="16"/>
                <w:szCs w:val="16"/>
              </w:rPr>
              <w:t>ALK</w:t>
            </w:r>
            <w:r w:rsidRPr="001626E5">
              <w:rPr>
                <w:sz w:val="16"/>
                <w:szCs w:val="16"/>
              </w:rPr>
              <w:t>+</w:t>
            </w:r>
            <w:r w:rsidRPr="001626E5">
              <w:rPr>
                <w:sz w:val="16"/>
                <w:szCs w:val="16"/>
              </w:rPr>
              <w:br/>
              <w:t>(N=12)</w:t>
            </w:r>
          </w:p>
        </w:tc>
        <w:tc>
          <w:tcPr>
            <w:tcW w:w="992" w:type="dxa"/>
            <w:tcBorders>
              <w:left w:val="nil"/>
              <w:bottom w:val="single" w:sz="2" w:space="0" w:color="000000"/>
              <w:right w:val="nil"/>
            </w:tcBorders>
            <w:shd w:val="clear" w:color="auto" w:fill="E0E0E0"/>
            <w:tcMar>
              <w:left w:w="40" w:type="dxa"/>
              <w:right w:w="40" w:type="dxa"/>
            </w:tcMar>
            <w:vAlign w:val="bottom"/>
          </w:tcPr>
          <w:p w14:paraId="4F493C58" w14:textId="77777777" w:rsidR="00BC298F" w:rsidRPr="001626E5" w:rsidRDefault="00BC298F" w:rsidP="001706A2">
            <w:pPr>
              <w:rPr>
                <w:sz w:val="16"/>
                <w:szCs w:val="16"/>
              </w:rPr>
            </w:pPr>
            <w:r w:rsidRPr="001626E5">
              <w:rPr>
                <w:i/>
                <w:sz w:val="16"/>
                <w:szCs w:val="16"/>
              </w:rPr>
              <w:t>ALK</w:t>
            </w:r>
            <w:r w:rsidRPr="001626E5">
              <w:rPr>
                <w:sz w:val="16"/>
                <w:szCs w:val="16"/>
              </w:rPr>
              <w:t>-</w:t>
            </w:r>
            <w:r w:rsidRPr="001626E5">
              <w:rPr>
                <w:sz w:val="16"/>
                <w:szCs w:val="16"/>
              </w:rPr>
              <w:br/>
              <w:t>(N=8)</w:t>
            </w:r>
          </w:p>
        </w:tc>
        <w:tc>
          <w:tcPr>
            <w:tcW w:w="1134" w:type="dxa"/>
            <w:vMerge/>
            <w:tcBorders>
              <w:left w:val="nil"/>
              <w:bottom w:val="single" w:sz="2" w:space="0" w:color="000000"/>
              <w:right w:val="single" w:sz="4" w:space="0" w:color="auto"/>
            </w:tcBorders>
            <w:shd w:val="clear" w:color="auto" w:fill="E0E0E0"/>
            <w:tcMar>
              <w:left w:w="40" w:type="dxa"/>
              <w:right w:w="40" w:type="dxa"/>
            </w:tcMar>
            <w:vAlign w:val="bottom"/>
          </w:tcPr>
          <w:p w14:paraId="479CCE8A" w14:textId="77777777" w:rsidR="00BC298F" w:rsidRPr="001626E5" w:rsidRDefault="00BC298F">
            <w:pPr>
              <w:rPr>
                <w:sz w:val="16"/>
                <w:szCs w:val="16"/>
              </w:rPr>
            </w:pPr>
          </w:p>
        </w:tc>
      </w:tr>
      <w:tr w:rsidR="00BC298F" w:rsidRPr="00D87A2F" w14:paraId="7D900A37" w14:textId="77777777" w:rsidTr="00BC298F">
        <w:trPr>
          <w:cantSplit/>
          <w:jc w:val="center"/>
        </w:trPr>
        <w:tc>
          <w:tcPr>
            <w:tcW w:w="5671" w:type="dxa"/>
            <w:tcBorders>
              <w:top w:val="single" w:sz="2" w:space="0" w:color="000000"/>
              <w:left w:val="single" w:sz="4" w:space="0" w:color="auto"/>
              <w:right w:val="nil"/>
            </w:tcBorders>
            <w:tcMar>
              <w:left w:w="40" w:type="dxa"/>
              <w:right w:w="40" w:type="dxa"/>
            </w:tcMar>
          </w:tcPr>
          <w:p w14:paraId="21952002" w14:textId="3297895A" w:rsidR="00BC298F" w:rsidRPr="00DB248E" w:rsidRDefault="00BC298F" w:rsidP="00065B26">
            <w:pPr>
              <w:rPr>
                <w:rStyle w:val="st"/>
                <w:b/>
                <w:sz w:val="16"/>
                <w:szCs w:val="16"/>
                <w:u w:val="single"/>
              </w:rPr>
            </w:pPr>
            <w:r w:rsidRPr="00DB248E">
              <w:rPr>
                <w:b/>
                <w:sz w:val="16"/>
                <w:szCs w:val="16"/>
                <w:u w:val="single"/>
              </w:rPr>
              <w:t>Treatment, dose intensity and dose adjustments</w:t>
            </w:r>
          </w:p>
        </w:tc>
        <w:tc>
          <w:tcPr>
            <w:tcW w:w="1134" w:type="dxa"/>
            <w:tcBorders>
              <w:top w:val="single" w:sz="2" w:space="0" w:color="000000"/>
              <w:left w:val="nil"/>
              <w:right w:val="nil"/>
            </w:tcBorders>
            <w:shd w:val="clear" w:color="auto" w:fill="FFFFFF"/>
          </w:tcPr>
          <w:p w14:paraId="70F9BCF9" w14:textId="6E41E069" w:rsidR="00BC298F" w:rsidRPr="001626E5" w:rsidRDefault="00BC298F" w:rsidP="00490E17">
            <w:pPr>
              <w:rPr>
                <w:rStyle w:val="st"/>
                <w:sz w:val="16"/>
                <w:szCs w:val="16"/>
              </w:rPr>
            </w:pPr>
          </w:p>
        </w:tc>
        <w:tc>
          <w:tcPr>
            <w:tcW w:w="992" w:type="dxa"/>
            <w:tcBorders>
              <w:top w:val="single" w:sz="2" w:space="0" w:color="000000"/>
              <w:left w:val="nil"/>
              <w:right w:val="nil"/>
            </w:tcBorders>
            <w:shd w:val="clear" w:color="auto" w:fill="FFFFFF"/>
            <w:tcMar>
              <w:left w:w="40" w:type="dxa"/>
              <w:right w:w="40" w:type="dxa"/>
            </w:tcMar>
          </w:tcPr>
          <w:p w14:paraId="37D38AE7" w14:textId="0CF6AC6F" w:rsidR="00BC298F" w:rsidRPr="001626E5" w:rsidRDefault="00BC298F" w:rsidP="001706A2">
            <w:pPr>
              <w:rPr>
                <w:rStyle w:val="st"/>
                <w:sz w:val="16"/>
                <w:szCs w:val="16"/>
              </w:rPr>
            </w:pPr>
          </w:p>
        </w:tc>
        <w:tc>
          <w:tcPr>
            <w:tcW w:w="1134" w:type="dxa"/>
            <w:tcBorders>
              <w:top w:val="single" w:sz="2" w:space="0" w:color="000000"/>
              <w:left w:val="nil"/>
              <w:right w:val="single" w:sz="4" w:space="0" w:color="auto"/>
            </w:tcBorders>
            <w:shd w:val="clear" w:color="auto" w:fill="FFFFFF"/>
            <w:tcMar>
              <w:left w:w="40" w:type="dxa"/>
              <w:right w:w="40" w:type="dxa"/>
            </w:tcMar>
          </w:tcPr>
          <w:p w14:paraId="49848FDE" w14:textId="2D18014D" w:rsidR="00BC298F" w:rsidRPr="001626E5" w:rsidRDefault="00BC298F" w:rsidP="001706A2">
            <w:pPr>
              <w:rPr>
                <w:rStyle w:val="st"/>
                <w:sz w:val="16"/>
                <w:szCs w:val="16"/>
              </w:rPr>
            </w:pPr>
          </w:p>
        </w:tc>
      </w:tr>
      <w:tr w:rsidR="00BC298F" w:rsidRPr="00BC298F" w14:paraId="1D16E802" w14:textId="77777777" w:rsidTr="00BC298F">
        <w:trPr>
          <w:cantSplit/>
          <w:jc w:val="center"/>
        </w:trPr>
        <w:tc>
          <w:tcPr>
            <w:tcW w:w="5671" w:type="dxa"/>
            <w:tcBorders>
              <w:left w:val="single" w:sz="4" w:space="0" w:color="auto"/>
              <w:right w:val="nil"/>
            </w:tcBorders>
            <w:tcMar>
              <w:left w:w="40" w:type="dxa"/>
              <w:right w:w="40" w:type="dxa"/>
            </w:tcMar>
          </w:tcPr>
          <w:p w14:paraId="19E4E6A1" w14:textId="02D8E773" w:rsidR="00BC298F" w:rsidRPr="001626E5" w:rsidRDefault="00BC298F" w:rsidP="00065B26">
            <w:pPr>
              <w:rPr>
                <w:rStyle w:val="st"/>
                <w:sz w:val="16"/>
                <w:szCs w:val="16"/>
              </w:rPr>
            </w:pPr>
            <w:r w:rsidRPr="001626E5">
              <w:rPr>
                <w:sz w:val="16"/>
                <w:szCs w:val="16"/>
              </w:rPr>
              <w:t xml:space="preserve">Relative Dose Intensity (%)                                                                                                                                                                            </w:t>
            </w:r>
          </w:p>
        </w:tc>
        <w:tc>
          <w:tcPr>
            <w:tcW w:w="1134" w:type="dxa"/>
            <w:tcBorders>
              <w:left w:val="nil"/>
              <w:right w:val="nil"/>
            </w:tcBorders>
            <w:shd w:val="clear" w:color="auto" w:fill="FFFFFF"/>
          </w:tcPr>
          <w:p w14:paraId="7D7071B2" w14:textId="726768C6" w:rsidR="00BC298F" w:rsidRPr="001626E5" w:rsidRDefault="00BC298F" w:rsidP="00490E17">
            <w:pPr>
              <w:rPr>
                <w:rStyle w:val="st"/>
                <w:sz w:val="16"/>
                <w:szCs w:val="16"/>
              </w:rPr>
            </w:pPr>
          </w:p>
        </w:tc>
        <w:tc>
          <w:tcPr>
            <w:tcW w:w="992" w:type="dxa"/>
            <w:tcBorders>
              <w:left w:val="nil"/>
              <w:right w:val="nil"/>
            </w:tcBorders>
            <w:shd w:val="clear" w:color="auto" w:fill="FFFFFF"/>
            <w:tcMar>
              <w:left w:w="40" w:type="dxa"/>
              <w:right w:w="40" w:type="dxa"/>
            </w:tcMar>
          </w:tcPr>
          <w:p w14:paraId="5DC6B73E" w14:textId="74797416" w:rsidR="00BC298F" w:rsidRPr="001626E5" w:rsidRDefault="00BC298F" w:rsidP="001706A2">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2B70AFD9" w14:textId="07FC4897" w:rsidR="00BC298F" w:rsidRPr="001626E5" w:rsidRDefault="00BC298F" w:rsidP="001706A2">
            <w:pPr>
              <w:rPr>
                <w:rStyle w:val="st"/>
                <w:sz w:val="16"/>
                <w:szCs w:val="16"/>
              </w:rPr>
            </w:pPr>
          </w:p>
        </w:tc>
      </w:tr>
      <w:tr w:rsidR="009A2107" w:rsidRPr="00BC298F" w14:paraId="18744A76" w14:textId="77777777" w:rsidTr="00BC298F">
        <w:trPr>
          <w:cantSplit/>
          <w:jc w:val="center"/>
        </w:trPr>
        <w:tc>
          <w:tcPr>
            <w:tcW w:w="5671" w:type="dxa"/>
            <w:tcBorders>
              <w:left w:val="single" w:sz="4" w:space="0" w:color="auto"/>
              <w:right w:val="nil"/>
            </w:tcBorders>
            <w:tcMar>
              <w:left w:w="40" w:type="dxa"/>
              <w:right w:w="40" w:type="dxa"/>
            </w:tcMar>
          </w:tcPr>
          <w:p w14:paraId="12CF55D8" w14:textId="5633C6FF" w:rsidR="009A2107" w:rsidRPr="001626E5" w:rsidRDefault="009A2107" w:rsidP="00065B26">
            <w:pPr>
              <w:rPr>
                <w:rStyle w:val="st"/>
                <w:sz w:val="16"/>
                <w:szCs w:val="16"/>
              </w:rPr>
            </w:pPr>
            <w:r w:rsidRPr="001626E5">
              <w:rPr>
                <w:sz w:val="16"/>
                <w:szCs w:val="16"/>
              </w:rPr>
              <w:t xml:space="preserve">     Median                                                                                                                                                                                                 </w:t>
            </w:r>
          </w:p>
        </w:tc>
        <w:tc>
          <w:tcPr>
            <w:tcW w:w="1134" w:type="dxa"/>
            <w:tcBorders>
              <w:left w:val="nil"/>
              <w:right w:val="nil"/>
            </w:tcBorders>
            <w:shd w:val="clear" w:color="auto" w:fill="FFFFFF"/>
          </w:tcPr>
          <w:p w14:paraId="371CED07" w14:textId="1A6361CB" w:rsidR="009A2107" w:rsidRPr="001626E5" w:rsidRDefault="009A2107" w:rsidP="00490E17">
            <w:pPr>
              <w:rPr>
                <w:rStyle w:val="st"/>
                <w:sz w:val="16"/>
                <w:szCs w:val="16"/>
              </w:rPr>
            </w:pPr>
            <w:r w:rsidRPr="001626E5">
              <w:rPr>
                <w:sz w:val="16"/>
                <w:szCs w:val="16"/>
              </w:rPr>
              <w:t>100</w:t>
            </w:r>
            <w:r w:rsidR="003B575D" w:rsidRPr="001626E5">
              <w:rPr>
                <w:sz w:val="16"/>
                <w:szCs w:val="16"/>
              </w:rPr>
              <w:t>·</w:t>
            </w:r>
            <w:r w:rsidRPr="001626E5">
              <w:rPr>
                <w:sz w:val="16"/>
                <w:szCs w:val="16"/>
              </w:rPr>
              <w:t xml:space="preserve">0             </w:t>
            </w:r>
          </w:p>
        </w:tc>
        <w:tc>
          <w:tcPr>
            <w:tcW w:w="992" w:type="dxa"/>
            <w:tcBorders>
              <w:left w:val="nil"/>
              <w:right w:val="nil"/>
            </w:tcBorders>
            <w:shd w:val="clear" w:color="auto" w:fill="FFFFFF"/>
            <w:tcMar>
              <w:left w:w="40" w:type="dxa"/>
              <w:right w:w="40" w:type="dxa"/>
            </w:tcMar>
          </w:tcPr>
          <w:p w14:paraId="6BBDE9CD" w14:textId="71AB588C" w:rsidR="009A2107" w:rsidRPr="001626E5" w:rsidRDefault="009A2107" w:rsidP="001706A2">
            <w:pPr>
              <w:rPr>
                <w:rStyle w:val="st"/>
                <w:sz w:val="16"/>
                <w:szCs w:val="16"/>
              </w:rPr>
            </w:pPr>
            <w:r w:rsidRPr="001626E5">
              <w:rPr>
                <w:sz w:val="16"/>
                <w:szCs w:val="16"/>
              </w:rPr>
              <w:t>100</w:t>
            </w:r>
            <w:r w:rsidR="003B575D" w:rsidRPr="001626E5">
              <w:rPr>
                <w:sz w:val="16"/>
                <w:szCs w:val="16"/>
              </w:rPr>
              <w:t>·</w:t>
            </w:r>
            <w:r w:rsidRPr="001626E5">
              <w:rPr>
                <w:sz w:val="16"/>
                <w:szCs w:val="16"/>
              </w:rPr>
              <w:t xml:space="preserve">0             </w:t>
            </w:r>
          </w:p>
        </w:tc>
        <w:tc>
          <w:tcPr>
            <w:tcW w:w="1134" w:type="dxa"/>
            <w:tcBorders>
              <w:left w:val="nil"/>
              <w:right w:val="single" w:sz="4" w:space="0" w:color="auto"/>
            </w:tcBorders>
            <w:shd w:val="clear" w:color="auto" w:fill="FFFFFF"/>
            <w:tcMar>
              <w:left w:w="40" w:type="dxa"/>
              <w:right w:w="40" w:type="dxa"/>
            </w:tcMar>
          </w:tcPr>
          <w:p w14:paraId="6FBF4984" w14:textId="5570EEB7" w:rsidR="009A2107" w:rsidRPr="001626E5" w:rsidRDefault="009A2107" w:rsidP="001706A2">
            <w:pPr>
              <w:rPr>
                <w:rStyle w:val="st"/>
                <w:sz w:val="16"/>
                <w:szCs w:val="16"/>
              </w:rPr>
            </w:pPr>
            <w:r w:rsidRPr="001626E5">
              <w:rPr>
                <w:sz w:val="16"/>
                <w:szCs w:val="16"/>
              </w:rPr>
              <w:t>100</w:t>
            </w:r>
            <w:r w:rsidR="002341F8" w:rsidRPr="001626E5">
              <w:rPr>
                <w:sz w:val="16"/>
                <w:szCs w:val="16"/>
              </w:rPr>
              <w:t>·</w:t>
            </w:r>
            <w:r w:rsidRPr="001626E5">
              <w:rPr>
                <w:sz w:val="16"/>
                <w:szCs w:val="16"/>
              </w:rPr>
              <w:t xml:space="preserve">0             </w:t>
            </w:r>
          </w:p>
        </w:tc>
      </w:tr>
      <w:tr w:rsidR="009A2107" w:rsidRPr="00BC298F" w14:paraId="5B2031C6" w14:textId="77777777" w:rsidTr="00BC298F">
        <w:trPr>
          <w:cantSplit/>
          <w:jc w:val="center"/>
        </w:trPr>
        <w:tc>
          <w:tcPr>
            <w:tcW w:w="5671" w:type="dxa"/>
            <w:tcBorders>
              <w:left w:val="single" w:sz="4" w:space="0" w:color="auto"/>
              <w:right w:val="nil"/>
            </w:tcBorders>
            <w:tcMar>
              <w:left w:w="40" w:type="dxa"/>
              <w:right w:w="40" w:type="dxa"/>
            </w:tcMar>
          </w:tcPr>
          <w:p w14:paraId="40594DEF" w14:textId="1B660287" w:rsidR="009A2107" w:rsidRPr="001626E5" w:rsidRDefault="009A2107" w:rsidP="00DA6988">
            <w:pPr>
              <w:pStyle w:val="Tables"/>
              <w:rPr>
                <w:rStyle w:val="st"/>
                <w:rFonts w:ascii="Times New Roman" w:hAnsi="Times New Roman" w:cs="Times New Roman"/>
                <w:sz w:val="16"/>
                <w:szCs w:val="16"/>
                <w:lang w:val="en-GB"/>
              </w:rPr>
            </w:pPr>
            <w:r w:rsidRPr="001626E5">
              <w:rPr>
                <w:rFonts w:ascii="Times New Roman" w:hAnsi="Times New Roman" w:cs="Times New Roman"/>
                <w:sz w:val="16"/>
                <w:szCs w:val="16"/>
              </w:rPr>
              <w:t xml:space="preserve">     Range                                                                                                                                                                                                  </w:t>
            </w:r>
          </w:p>
        </w:tc>
        <w:tc>
          <w:tcPr>
            <w:tcW w:w="1134" w:type="dxa"/>
            <w:tcBorders>
              <w:left w:val="nil"/>
              <w:right w:val="nil"/>
            </w:tcBorders>
            <w:shd w:val="clear" w:color="auto" w:fill="FFFFFF"/>
          </w:tcPr>
          <w:p w14:paraId="3D0FA516" w14:textId="7BF516A5" w:rsidR="009A2107" w:rsidRPr="001626E5" w:rsidRDefault="009A2107" w:rsidP="00065B26">
            <w:pPr>
              <w:rPr>
                <w:rStyle w:val="st"/>
                <w:sz w:val="16"/>
                <w:szCs w:val="16"/>
              </w:rPr>
            </w:pPr>
            <w:r w:rsidRPr="001626E5">
              <w:rPr>
                <w:sz w:val="16"/>
                <w:szCs w:val="16"/>
              </w:rPr>
              <w:t>81</w:t>
            </w:r>
            <w:r w:rsidR="003B575D" w:rsidRPr="001626E5">
              <w:rPr>
                <w:sz w:val="16"/>
                <w:szCs w:val="16"/>
              </w:rPr>
              <w:t>·</w:t>
            </w:r>
            <w:r w:rsidRPr="001626E5">
              <w:rPr>
                <w:sz w:val="16"/>
                <w:szCs w:val="16"/>
              </w:rPr>
              <w:t>7 - 100</w:t>
            </w:r>
            <w:r w:rsidR="003B575D" w:rsidRPr="001626E5">
              <w:rPr>
                <w:sz w:val="16"/>
                <w:szCs w:val="16"/>
              </w:rPr>
              <w:t>·</w:t>
            </w:r>
            <w:r w:rsidRPr="001626E5">
              <w:rPr>
                <w:sz w:val="16"/>
                <w:szCs w:val="16"/>
              </w:rPr>
              <w:t xml:space="preserve">0            </w:t>
            </w:r>
          </w:p>
        </w:tc>
        <w:tc>
          <w:tcPr>
            <w:tcW w:w="992" w:type="dxa"/>
            <w:tcBorders>
              <w:left w:val="nil"/>
              <w:right w:val="nil"/>
            </w:tcBorders>
            <w:shd w:val="clear" w:color="auto" w:fill="FFFFFF"/>
            <w:tcMar>
              <w:left w:w="40" w:type="dxa"/>
              <w:right w:w="40" w:type="dxa"/>
            </w:tcMar>
          </w:tcPr>
          <w:p w14:paraId="1C3D1FFA" w14:textId="4031B3A3" w:rsidR="009A2107" w:rsidRPr="001626E5" w:rsidRDefault="009A2107" w:rsidP="00490E17">
            <w:pPr>
              <w:rPr>
                <w:rStyle w:val="st"/>
                <w:sz w:val="16"/>
                <w:szCs w:val="16"/>
              </w:rPr>
            </w:pPr>
            <w:r w:rsidRPr="001626E5">
              <w:rPr>
                <w:sz w:val="16"/>
                <w:szCs w:val="16"/>
              </w:rPr>
              <w:t>52</w:t>
            </w:r>
            <w:r w:rsidR="003B575D" w:rsidRPr="001626E5">
              <w:rPr>
                <w:sz w:val="16"/>
                <w:szCs w:val="16"/>
              </w:rPr>
              <w:t>·</w:t>
            </w:r>
            <w:r w:rsidRPr="001626E5">
              <w:rPr>
                <w:sz w:val="16"/>
                <w:szCs w:val="16"/>
              </w:rPr>
              <w:t>4 - 100</w:t>
            </w:r>
            <w:r w:rsidR="003B575D" w:rsidRPr="001626E5">
              <w:rPr>
                <w:sz w:val="16"/>
                <w:szCs w:val="16"/>
              </w:rPr>
              <w:t>·</w:t>
            </w:r>
            <w:r w:rsidRPr="001626E5">
              <w:rPr>
                <w:sz w:val="16"/>
                <w:szCs w:val="16"/>
              </w:rPr>
              <w:t xml:space="preserve">0      </w:t>
            </w:r>
          </w:p>
        </w:tc>
        <w:tc>
          <w:tcPr>
            <w:tcW w:w="1134" w:type="dxa"/>
            <w:tcBorders>
              <w:left w:val="nil"/>
              <w:right w:val="single" w:sz="4" w:space="0" w:color="auto"/>
            </w:tcBorders>
            <w:shd w:val="clear" w:color="auto" w:fill="FFFFFF"/>
            <w:tcMar>
              <w:left w:w="40" w:type="dxa"/>
              <w:right w:w="40" w:type="dxa"/>
            </w:tcMar>
          </w:tcPr>
          <w:p w14:paraId="70006B45" w14:textId="24A0E8A6" w:rsidR="009A2107" w:rsidRPr="001626E5" w:rsidRDefault="009A2107" w:rsidP="001706A2">
            <w:pPr>
              <w:rPr>
                <w:rStyle w:val="st"/>
                <w:sz w:val="16"/>
                <w:szCs w:val="16"/>
              </w:rPr>
            </w:pPr>
            <w:r w:rsidRPr="001626E5">
              <w:rPr>
                <w:sz w:val="16"/>
                <w:szCs w:val="16"/>
              </w:rPr>
              <w:t>52</w:t>
            </w:r>
            <w:r w:rsidR="002341F8" w:rsidRPr="001626E5">
              <w:rPr>
                <w:sz w:val="16"/>
                <w:szCs w:val="16"/>
              </w:rPr>
              <w:t>·</w:t>
            </w:r>
            <w:r w:rsidRPr="001626E5">
              <w:rPr>
                <w:sz w:val="16"/>
                <w:szCs w:val="16"/>
              </w:rPr>
              <w:t>4 - 100</w:t>
            </w:r>
            <w:r w:rsidR="002341F8" w:rsidRPr="001626E5">
              <w:rPr>
                <w:sz w:val="16"/>
                <w:szCs w:val="16"/>
              </w:rPr>
              <w:t>·</w:t>
            </w:r>
            <w:r w:rsidRPr="001626E5">
              <w:rPr>
                <w:sz w:val="16"/>
                <w:szCs w:val="16"/>
              </w:rPr>
              <w:t xml:space="preserve">0      </w:t>
            </w:r>
          </w:p>
        </w:tc>
      </w:tr>
      <w:tr w:rsidR="009A2107" w:rsidRPr="00BC298F" w14:paraId="3524DBA6" w14:textId="77777777" w:rsidTr="00BC298F">
        <w:trPr>
          <w:cantSplit/>
          <w:jc w:val="center"/>
        </w:trPr>
        <w:tc>
          <w:tcPr>
            <w:tcW w:w="5671" w:type="dxa"/>
            <w:tcBorders>
              <w:left w:val="single" w:sz="4" w:space="0" w:color="auto"/>
              <w:right w:val="nil"/>
            </w:tcBorders>
            <w:tcMar>
              <w:left w:w="40" w:type="dxa"/>
              <w:right w:w="40" w:type="dxa"/>
            </w:tcMar>
          </w:tcPr>
          <w:p w14:paraId="7D224E92" w14:textId="7A70CC33" w:rsidR="009A2107" w:rsidRPr="001626E5" w:rsidRDefault="009A2107" w:rsidP="00DA6988">
            <w:pPr>
              <w:pStyle w:val="Tables"/>
              <w:ind w:firstLine="284"/>
              <w:rPr>
                <w:rStyle w:val="st"/>
                <w:rFonts w:ascii="Times New Roman" w:hAnsi="Times New Roman" w:cs="Times New Roman"/>
                <w:sz w:val="16"/>
                <w:szCs w:val="16"/>
              </w:rPr>
            </w:pPr>
          </w:p>
        </w:tc>
        <w:tc>
          <w:tcPr>
            <w:tcW w:w="1134" w:type="dxa"/>
            <w:tcBorders>
              <w:left w:val="nil"/>
              <w:right w:val="nil"/>
            </w:tcBorders>
            <w:shd w:val="clear" w:color="auto" w:fill="FFFFFF"/>
            <w:vAlign w:val="center"/>
          </w:tcPr>
          <w:p w14:paraId="282D287B" w14:textId="02971E44"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vAlign w:val="center"/>
          </w:tcPr>
          <w:p w14:paraId="6776D0D2" w14:textId="4998B651"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vAlign w:val="center"/>
          </w:tcPr>
          <w:p w14:paraId="5435F5D5" w14:textId="72A89CEA" w:rsidR="009A2107" w:rsidRPr="001626E5" w:rsidRDefault="009A2107" w:rsidP="001706A2">
            <w:pPr>
              <w:rPr>
                <w:rStyle w:val="st"/>
                <w:sz w:val="16"/>
                <w:szCs w:val="16"/>
              </w:rPr>
            </w:pPr>
          </w:p>
        </w:tc>
      </w:tr>
      <w:tr w:rsidR="009A2107" w:rsidRPr="00BC298F" w14:paraId="66475617" w14:textId="77777777" w:rsidTr="007833D8">
        <w:trPr>
          <w:cantSplit/>
          <w:jc w:val="center"/>
        </w:trPr>
        <w:tc>
          <w:tcPr>
            <w:tcW w:w="5671" w:type="dxa"/>
            <w:tcBorders>
              <w:left w:val="single" w:sz="4" w:space="0" w:color="auto"/>
              <w:right w:val="nil"/>
            </w:tcBorders>
            <w:tcMar>
              <w:left w:w="40" w:type="dxa"/>
              <w:right w:w="40" w:type="dxa"/>
            </w:tcMar>
          </w:tcPr>
          <w:p w14:paraId="620B3F07" w14:textId="337BB003" w:rsidR="009A2107" w:rsidRPr="001626E5" w:rsidRDefault="009A2107" w:rsidP="00DA6988">
            <w:pPr>
              <w:pStyle w:val="Tables"/>
              <w:rPr>
                <w:rStyle w:val="st"/>
                <w:rFonts w:ascii="Times New Roman" w:hAnsi="Times New Roman" w:cs="Times New Roman"/>
                <w:sz w:val="16"/>
                <w:szCs w:val="16"/>
                <w:lang w:val="en-US"/>
              </w:rPr>
            </w:pPr>
            <w:r w:rsidRPr="001626E5">
              <w:rPr>
                <w:rFonts w:ascii="Times New Roman" w:hAnsi="Times New Roman" w:cs="Times New Roman"/>
                <w:sz w:val="16"/>
                <w:szCs w:val="16"/>
                <w:lang w:val="en-US"/>
              </w:rPr>
              <w:t xml:space="preserve">Number of patients with at least one treatment modification </w:t>
            </w:r>
          </w:p>
        </w:tc>
        <w:tc>
          <w:tcPr>
            <w:tcW w:w="1134" w:type="dxa"/>
            <w:tcBorders>
              <w:left w:val="nil"/>
              <w:right w:val="nil"/>
            </w:tcBorders>
            <w:shd w:val="clear" w:color="auto" w:fill="FFFFFF"/>
          </w:tcPr>
          <w:p w14:paraId="647DD392" w14:textId="4C09F089" w:rsidR="009A2107" w:rsidRPr="001626E5" w:rsidRDefault="009A2107" w:rsidP="00065B26">
            <w:pPr>
              <w:rPr>
                <w:rStyle w:val="st"/>
                <w:sz w:val="16"/>
                <w:szCs w:val="16"/>
              </w:rPr>
            </w:pPr>
            <w:r w:rsidRPr="001626E5">
              <w:rPr>
                <w:rStyle w:val="st"/>
                <w:sz w:val="16"/>
                <w:szCs w:val="16"/>
              </w:rPr>
              <w:t>2 (16</w:t>
            </w:r>
            <w:r w:rsidR="003B575D" w:rsidRPr="001626E5">
              <w:rPr>
                <w:sz w:val="16"/>
                <w:szCs w:val="16"/>
              </w:rPr>
              <w:t>·</w:t>
            </w:r>
            <w:r w:rsidRPr="001626E5">
              <w:rPr>
                <w:rStyle w:val="st"/>
                <w:sz w:val="16"/>
                <w:szCs w:val="16"/>
              </w:rPr>
              <w:t>7)</w:t>
            </w:r>
          </w:p>
        </w:tc>
        <w:tc>
          <w:tcPr>
            <w:tcW w:w="992" w:type="dxa"/>
            <w:tcBorders>
              <w:left w:val="nil"/>
              <w:right w:val="nil"/>
            </w:tcBorders>
            <w:shd w:val="clear" w:color="auto" w:fill="FFFFFF"/>
            <w:tcMar>
              <w:left w:w="40" w:type="dxa"/>
              <w:right w:w="40" w:type="dxa"/>
            </w:tcMar>
            <w:vAlign w:val="center"/>
          </w:tcPr>
          <w:p w14:paraId="4A2A74AF" w14:textId="345D9582" w:rsidR="009A2107" w:rsidRPr="001626E5" w:rsidRDefault="009A2107" w:rsidP="00490E17">
            <w:pPr>
              <w:rPr>
                <w:rStyle w:val="st"/>
                <w:sz w:val="16"/>
                <w:szCs w:val="16"/>
              </w:rPr>
            </w:pPr>
            <w:r w:rsidRPr="001626E5">
              <w:rPr>
                <w:rStyle w:val="st"/>
                <w:sz w:val="16"/>
                <w:szCs w:val="16"/>
              </w:rPr>
              <w:t>3 (37</w:t>
            </w:r>
            <w:r w:rsidR="003B575D" w:rsidRPr="001626E5">
              <w:rPr>
                <w:sz w:val="16"/>
                <w:szCs w:val="16"/>
              </w:rPr>
              <w:t>·</w:t>
            </w:r>
            <w:r w:rsidRPr="001626E5">
              <w:rPr>
                <w:rStyle w:val="st"/>
                <w:sz w:val="16"/>
                <w:szCs w:val="16"/>
              </w:rPr>
              <w:t>5)</w:t>
            </w:r>
          </w:p>
        </w:tc>
        <w:tc>
          <w:tcPr>
            <w:tcW w:w="1134" w:type="dxa"/>
            <w:tcBorders>
              <w:left w:val="nil"/>
              <w:right w:val="single" w:sz="4" w:space="0" w:color="auto"/>
            </w:tcBorders>
            <w:shd w:val="clear" w:color="auto" w:fill="FFFFFF"/>
            <w:tcMar>
              <w:left w:w="40" w:type="dxa"/>
              <w:right w:w="40" w:type="dxa"/>
            </w:tcMar>
            <w:vAlign w:val="center"/>
          </w:tcPr>
          <w:p w14:paraId="59CB45F3" w14:textId="053D589F" w:rsidR="009A2107" w:rsidRPr="001626E5" w:rsidRDefault="009A2107" w:rsidP="001706A2">
            <w:pPr>
              <w:rPr>
                <w:rStyle w:val="st"/>
                <w:sz w:val="16"/>
                <w:szCs w:val="16"/>
              </w:rPr>
            </w:pPr>
            <w:r w:rsidRPr="001626E5">
              <w:rPr>
                <w:rStyle w:val="st"/>
                <w:sz w:val="16"/>
                <w:szCs w:val="16"/>
              </w:rPr>
              <w:t>5 (25</w:t>
            </w:r>
            <w:r w:rsidR="002341F8" w:rsidRPr="001626E5">
              <w:rPr>
                <w:sz w:val="16"/>
                <w:szCs w:val="16"/>
              </w:rPr>
              <w:t>·</w:t>
            </w:r>
            <w:r w:rsidRPr="001626E5">
              <w:rPr>
                <w:rStyle w:val="st"/>
                <w:sz w:val="16"/>
                <w:szCs w:val="16"/>
              </w:rPr>
              <w:t>0)</w:t>
            </w:r>
          </w:p>
        </w:tc>
      </w:tr>
      <w:tr w:rsidR="009A2107" w:rsidRPr="00BC298F" w14:paraId="15800F6F" w14:textId="77777777" w:rsidTr="007833D8">
        <w:trPr>
          <w:cantSplit/>
          <w:jc w:val="center"/>
        </w:trPr>
        <w:tc>
          <w:tcPr>
            <w:tcW w:w="5671" w:type="dxa"/>
            <w:tcBorders>
              <w:left w:val="single" w:sz="4" w:space="0" w:color="auto"/>
              <w:right w:val="nil"/>
            </w:tcBorders>
            <w:tcMar>
              <w:left w:w="40" w:type="dxa"/>
              <w:right w:w="40" w:type="dxa"/>
            </w:tcMar>
          </w:tcPr>
          <w:p w14:paraId="59BE8FE3" w14:textId="63125FD9" w:rsidR="009A2107" w:rsidRPr="001626E5" w:rsidRDefault="009A2107" w:rsidP="00DA6988">
            <w:pPr>
              <w:pStyle w:val="Tables"/>
              <w:rPr>
                <w:rStyle w:val="st"/>
                <w:rFonts w:ascii="Times New Roman" w:hAnsi="Times New Roman" w:cs="Times New Roman"/>
                <w:sz w:val="16"/>
                <w:szCs w:val="16"/>
                <w:lang w:val="en-US"/>
              </w:rPr>
            </w:pPr>
            <w:r w:rsidRPr="001626E5">
              <w:rPr>
                <w:rFonts w:ascii="Times New Roman" w:hAnsi="Times New Roman" w:cs="Times New Roman"/>
                <w:sz w:val="16"/>
                <w:szCs w:val="16"/>
                <w:lang w:val="en-US"/>
              </w:rPr>
              <w:t>Reduction to dose level -1 (200 mg twice daily)</w:t>
            </w:r>
          </w:p>
        </w:tc>
        <w:tc>
          <w:tcPr>
            <w:tcW w:w="1134" w:type="dxa"/>
            <w:tcBorders>
              <w:left w:val="nil"/>
              <w:right w:val="nil"/>
            </w:tcBorders>
            <w:shd w:val="clear" w:color="auto" w:fill="FFFFFF"/>
          </w:tcPr>
          <w:p w14:paraId="7EA2E801" w14:textId="1D7D8EAD" w:rsidR="009A2107" w:rsidRPr="001626E5" w:rsidRDefault="009A2107" w:rsidP="00065B26">
            <w:pPr>
              <w:rPr>
                <w:rStyle w:val="st"/>
                <w:sz w:val="16"/>
                <w:szCs w:val="16"/>
              </w:rPr>
            </w:pPr>
            <w:r w:rsidRPr="001626E5">
              <w:rPr>
                <w:sz w:val="16"/>
                <w:szCs w:val="16"/>
              </w:rPr>
              <w:t xml:space="preserve">    2 (16</w:t>
            </w:r>
            <w:r w:rsidR="003B575D" w:rsidRPr="001626E5">
              <w:rPr>
                <w:sz w:val="16"/>
                <w:szCs w:val="16"/>
              </w:rPr>
              <w:t>·</w:t>
            </w:r>
            <w:r w:rsidRPr="001626E5">
              <w:rPr>
                <w:sz w:val="16"/>
                <w:szCs w:val="16"/>
              </w:rPr>
              <w:t xml:space="preserve">7)                                                                                        </w:t>
            </w:r>
          </w:p>
        </w:tc>
        <w:tc>
          <w:tcPr>
            <w:tcW w:w="992" w:type="dxa"/>
            <w:tcBorders>
              <w:left w:val="nil"/>
              <w:right w:val="nil"/>
            </w:tcBorders>
            <w:shd w:val="clear" w:color="auto" w:fill="FFFFFF"/>
            <w:tcMar>
              <w:left w:w="40" w:type="dxa"/>
              <w:right w:w="40" w:type="dxa"/>
            </w:tcMar>
          </w:tcPr>
          <w:p w14:paraId="4AAB67D2" w14:textId="74D73E30" w:rsidR="009A2107" w:rsidRPr="001626E5" w:rsidRDefault="009A2107" w:rsidP="00490E17">
            <w:pPr>
              <w:rPr>
                <w:rStyle w:val="st"/>
                <w:sz w:val="16"/>
                <w:szCs w:val="16"/>
              </w:rPr>
            </w:pPr>
            <w:r w:rsidRPr="001626E5">
              <w:rPr>
                <w:sz w:val="16"/>
                <w:szCs w:val="16"/>
              </w:rPr>
              <w:t xml:space="preserve">    2 (25</w:t>
            </w:r>
            <w:r w:rsidR="003B575D" w:rsidRPr="001626E5">
              <w:rPr>
                <w:sz w:val="16"/>
                <w:szCs w:val="16"/>
              </w:rPr>
              <w:t>·</w:t>
            </w:r>
            <w:r w:rsidRPr="001626E5">
              <w:rPr>
                <w:sz w:val="16"/>
                <w:szCs w:val="16"/>
              </w:rPr>
              <w:t xml:space="preserve">0)                                                                                        </w:t>
            </w:r>
          </w:p>
        </w:tc>
        <w:tc>
          <w:tcPr>
            <w:tcW w:w="1134" w:type="dxa"/>
            <w:tcBorders>
              <w:left w:val="nil"/>
              <w:right w:val="single" w:sz="4" w:space="0" w:color="auto"/>
            </w:tcBorders>
            <w:shd w:val="clear" w:color="auto" w:fill="FFFFFF"/>
            <w:tcMar>
              <w:left w:w="40" w:type="dxa"/>
              <w:right w:w="40" w:type="dxa"/>
            </w:tcMar>
          </w:tcPr>
          <w:p w14:paraId="2CBACE10" w14:textId="0079B240" w:rsidR="009A2107" w:rsidRPr="001626E5" w:rsidRDefault="009A2107" w:rsidP="001706A2">
            <w:pPr>
              <w:rPr>
                <w:rStyle w:val="st"/>
                <w:sz w:val="16"/>
                <w:szCs w:val="16"/>
              </w:rPr>
            </w:pPr>
            <w:r w:rsidRPr="001626E5">
              <w:rPr>
                <w:sz w:val="16"/>
                <w:szCs w:val="16"/>
              </w:rPr>
              <w:t xml:space="preserve">    4 (20</w:t>
            </w:r>
            <w:r w:rsidR="002341F8" w:rsidRPr="001626E5">
              <w:rPr>
                <w:sz w:val="16"/>
                <w:szCs w:val="16"/>
              </w:rPr>
              <w:t>·</w:t>
            </w:r>
            <w:r w:rsidRPr="001626E5">
              <w:rPr>
                <w:sz w:val="16"/>
                <w:szCs w:val="16"/>
              </w:rPr>
              <w:t xml:space="preserve">0)                                                                                        </w:t>
            </w:r>
          </w:p>
        </w:tc>
      </w:tr>
      <w:tr w:rsidR="009A2107" w:rsidRPr="00BC298F" w14:paraId="56C0A71A" w14:textId="77777777" w:rsidTr="007833D8">
        <w:trPr>
          <w:cantSplit/>
          <w:trHeight w:val="88"/>
          <w:jc w:val="center"/>
        </w:trPr>
        <w:tc>
          <w:tcPr>
            <w:tcW w:w="5671" w:type="dxa"/>
            <w:tcBorders>
              <w:left w:val="single" w:sz="4" w:space="0" w:color="auto"/>
              <w:right w:val="nil"/>
            </w:tcBorders>
            <w:tcMar>
              <w:left w:w="40" w:type="dxa"/>
              <w:right w:w="40" w:type="dxa"/>
            </w:tcMar>
          </w:tcPr>
          <w:p w14:paraId="6CDCE412" w14:textId="75126B5D" w:rsidR="009A2107" w:rsidRPr="001626E5" w:rsidRDefault="009A2107" w:rsidP="00DA6988">
            <w:pPr>
              <w:pStyle w:val="Tables"/>
              <w:rPr>
                <w:rStyle w:val="st"/>
                <w:rFonts w:ascii="Times New Roman" w:hAnsi="Times New Roman" w:cs="Times New Roman"/>
                <w:sz w:val="16"/>
                <w:szCs w:val="16"/>
                <w:lang w:val="en-US"/>
              </w:rPr>
            </w:pPr>
            <w:r w:rsidRPr="001626E5">
              <w:rPr>
                <w:rFonts w:ascii="Times New Roman" w:hAnsi="Times New Roman" w:cs="Times New Roman"/>
                <w:sz w:val="16"/>
                <w:szCs w:val="16"/>
                <w:lang w:val="en-US"/>
              </w:rPr>
              <w:t xml:space="preserve">Reduction to dose level -2 (250 mg once daily) </w:t>
            </w:r>
          </w:p>
        </w:tc>
        <w:tc>
          <w:tcPr>
            <w:tcW w:w="1134" w:type="dxa"/>
            <w:tcBorders>
              <w:left w:val="nil"/>
              <w:right w:val="nil"/>
            </w:tcBorders>
            <w:shd w:val="clear" w:color="auto" w:fill="FFFFFF"/>
          </w:tcPr>
          <w:p w14:paraId="71268311" w14:textId="57B7E9A3" w:rsidR="009A2107" w:rsidRPr="001626E5" w:rsidRDefault="009A2107" w:rsidP="00065B26">
            <w:pPr>
              <w:rPr>
                <w:rStyle w:val="st"/>
                <w:sz w:val="16"/>
                <w:szCs w:val="16"/>
              </w:rPr>
            </w:pPr>
            <w:r w:rsidRPr="001626E5">
              <w:rPr>
                <w:sz w:val="16"/>
                <w:szCs w:val="16"/>
              </w:rPr>
              <w:t xml:space="preserve">    0 (0</w:t>
            </w:r>
            <w:r w:rsidR="003B575D" w:rsidRPr="001626E5">
              <w:rPr>
                <w:sz w:val="16"/>
                <w:szCs w:val="16"/>
              </w:rPr>
              <w:t>·</w:t>
            </w:r>
            <w:r w:rsidRPr="001626E5">
              <w:rPr>
                <w:sz w:val="16"/>
                <w:szCs w:val="16"/>
              </w:rPr>
              <w:t xml:space="preserve">0)                                                                                         </w:t>
            </w:r>
          </w:p>
        </w:tc>
        <w:tc>
          <w:tcPr>
            <w:tcW w:w="992" w:type="dxa"/>
            <w:tcBorders>
              <w:left w:val="nil"/>
              <w:right w:val="nil"/>
            </w:tcBorders>
            <w:shd w:val="clear" w:color="auto" w:fill="FFFFFF"/>
            <w:tcMar>
              <w:left w:w="40" w:type="dxa"/>
              <w:right w:w="40" w:type="dxa"/>
            </w:tcMar>
          </w:tcPr>
          <w:p w14:paraId="6D7F1F2E" w14:textId="458AE862" w:rsidR="009A2107" w:rsidRPr="001626E5" w:rsidRDefault="009A2107" w:rsidP="00490E17">
            <w:pPr>
              <w:rPr>
                <w:rStyle w:val="st"/>
                <w:sz w:val="16"/>
                <w:szCs w:val="16"/>
              </w:rPr>
            </w:pPr>
            <w:r w:rsidRPr="001626E5">
              <w:rPr>
                <w:sz w:val="16"/>
                <w:szCs w:val="16"/>
              </w:rPr>
              <w:t xml:space="preserve">    1 (12</w:t>
            </w:r>
            <w:r w:rsidR="003B575D" w:rsidRPr="001626E5">
              <w:rPr>
                <w:sz w:val="16"/>
                <w:szCs w:val="16"/>
              </w:rPr>
              <w:t>·</w:t>
            </w:r>
            <w:r w:rsidRPr="001626E5">
              <w:rPr>
                <w:sz w:val="16"/>
                <w:szCs w:val="16"/>
              </w:rPr>
              <w:t xml:space="preserve">5)                                                                                        </w:t>
            </w:r>
          </w:p>
        </w:tc>
        <w:tc>
          <w:tcPr>
            <w:tcW w:w="1134" w:type="dxa"/>
            <w:tcBorders>
              <w:left w:val="nil"/>
              <w:right w:val="single" w:sz="4" w:space="0" w:color="auto"/>
            </w:tcBorders>
            <w:shd w:val="clear" w:color="auto" w:fill="FFFFFF"/>
            <w:tcMar>
              <w:left w:w="40" w:type="dxa"/>
              <w:right w:w="40" w:type="dxa"/>
            </w:tcMar>
          </w:tcPr>
          <w:p w14:paraId="40DC193A" w14:textId="7D01D88E" w:rsidR="009A2107" w:rsidRPr="001626E5" w:rsidRDefault="009A2107" w:rsidP="001706A2">
            <w:pPr>
              <w:rPr>
                <w:rStyle w:val="st"/>
                <w:sz w:val="16"/>
                <w:szCs w:val="16"/>
              </w:rPr>
            </w:pPr>
            <w:r w:rsidRPr="001626E5">
              <w:rPr>
                <w:sz w:val="16"/>
                <w:szCs w:val="16"/>
              </w:rPr>
              <w:t xml:space="preserve">    1 (5</w:t>
            </w:r>
            <w:r w:rsidR="002341F8" w:rsidRPr="001626E5">
              <w:rPr>
                <w:sz w:val="16"/>
                <w:szCs w:val="16"/>
              </w:rPr>
              <w:t>·</w:t>
            </w:r>
            <w:r w:rsidRPr="001626E5">
              <w:rPr>
                <w:sz w:val="16"/>
                <w:szCs w:val="16"/>
              </w:rPr>
              <w:t xml:space="preserve">0)                                                                                         </w:t>
            </w:r>
          </w:p>
        </w:tc>
      </w:tr>
      <w:tr w:rsidR="009A2107" w:rsidRPr="00BC298F" w14:paraId="22D632CF" w14:textId="77777777" w:rsidTr="007833D8">
        <w:trPr>
          <w:cantSplit/>
          <w:jc w:val="center"/>
        </w:trPr>
        <w:tc>
          <w:tcPr>
            <w:tcW w:w="5671" w:type="dxa"/>
            <w:tcBorders>
              <w:left w:val="single" w:sz="4" w:space="0" w:color="auto"/>
              <w:right w:val="nil"/>
            </w:tcBorders>
            <w:tcMar>
              <w:left w:w="40" w:type="dxa"/>
              <w:right w:w="40" w:type="dxa"/>
            </w:tcMar>
          </w:tcPr>
          <w:p w14:paraId="37D772E7" w14:textId="5EADC279"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Other dose level modification           </w:t>
            </w:r>
          </w:p>
        </w:tc>
        <w:tc>
          <w:tcPr>
            <w:tcW w:w="1134" w:type="dxa"/>
            <w:tcBorders>
              <w:left w:val="nil"/>
              <w:right w:val="nil"/>
            </w:tcBorders>
            <w:shd w:val="clear" w:color="auto" w:fill="FFFFFF"/>
          </w:tcPr>
          <w:p w14:paraId="5F5FD551" w14:textId="53F96D7F" w:rsidR="009A2107" w:rsidRPr="001626E5" w:rsidRDefault="009A2107" w:rsidP="00065B26">
            <w:pPr>
              <w:rPr>
                <w:rStyle w:val="st"/>
                <w:sz w:val="16"/>
                <w:szCs w:val="16"/>
              </w:rPr>
            </w:pPr>
            <w:r w:rsidRPr="001626E5">
              <w:rPr>
                <w:sz w:val="16"/>
                <w:szCs w:val="16"/>
              </w:rPr>
              <w:t xml:space="preserve"> -                                                                                                 </w:t>
            </w:r>
          </w:p>
        </w:tc>
        <w:tc>
          <w:tcPr>
            <w:tcW w:w="992" w:type="dxa"/>
            <w:tcBorders>
              <w:left w:val="nil"/>
              <w:right w:val="nil"/>
            </w:tcBorders>
            <w:shd w:val="clear" w:color="auto" w:fill="FFFFFF"/>
            <w:tcMar>
              <w:left w:w="40" w:type="dxa"/>
              <w:right w:w="40" w:type="dxa"/>
            </w:tcMar>
          </w:tcPr>
          <w:p w14:paraId="7A87769D" w14:textId="54C5FA48" w:rsidR="009A2107" w:rsidRPr="001626E5" w:rsidRDefault="009A2107" w:rsidP="00490E17">
            <w:pPr>
              <w:rPr>
                <w:rStyle w:val="st"/>
                <w:sz w:val="16"/>
                <w:szCs w:val="16"/>
              </w:rPr>
            </w:pPr>
            <w:r w:rsidRPr="001626E5">
              <w:rPr>
                <w:sz w:val="16"/>
                <w:szCs w:val="16"/>
              </w:rPr>
              <w:t xml:space="preserve">-                                                                                                    </w:t>
            </w:r>
          </w:p>
        </w:tc>
        <w:tc>
          <w:tcPr>
            <w:tcW w:w="1134" w:type="dxa"/>
            <w:tcBorders>
              <w:left w:val="nil"/>
              <w:right w:val="single" w:sz="4" w:space="0" w:color="auto"/>
            </w:tcBorders>
            <w:shd w:val="clear" w:color="auto" w:fill="FFFFFF"/>
            <w:tcMar>
              <w:left w:w="40" w:type="dxa"/>
              <w:right w:w="40" w:type="dxa"/>
            </w:tcMar>
          </w:tcPr>
          <w:p w14:paraId="39DE5E58" w14:textId="7BF0F81E" w:rsidR="009A2107" w:rsidRPr="001626E5" w:rsidRDefault="009A2107" w:rsidP="001706A2">
            <w:pPr>
              <w:rPr>
                <w:rStyle w:val="st"/>
                <w:sz w:val="16"/>
                <w:szCs w:val="16"/>
              </w:rPr>
            </w:pPr>
            <w:r w:rsidRPr="001626E5">
              <w:rPr>
                <w:sz w:val="16"/>
                <w:szCs w:val="16"/>
              </w:rPr>
              <w:t xml:space="preserve">  -                                                                                                </w:t>
            </w:r>
          </w:p>
        </w:tc>
      </w:tr>
      <w:tr w:rsidR="009A2107" w:rsidRPr="00BC298F" w14:paraId="466EAFF9" w14:textId="77777777" w:rsidTr="007833D8">
        <w:trPr>
          <w:cantSplit/>
          <w:jc w:val="center"/>
        </w:trPr>
        <w:tc>
          <w:tcPr>
            <w:tcW w:w="5671" w:type="dxa"/>
            <w:tcBorders>
              <w:left w:val="single" w:sz="4" w:space="0" w:color="auto"/>
              <w:right w:val="nil"/>
            </w:tcBorders>
            <w:tcMar>
              <w:left w:w="40" w:type="dxa"/>
              <w:right w:w="40" w:type="dxa"/>
            </w:tcMar>
          </w:tcPr>
          <w:p w14:paraId="0E67E4B4" w14:textId="4B0A872E"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Interruption of treatment         </w:t>
            </w:r>
          </w:p>
        </w:tc>
        <w:tc>
          <w:tcPr>
            <w:tcW w:w="1134" w:type="dxa"/>
            <w:tcBorders>
              <w:left w:val="nil"/>
              <w:right w:val="nil"/>
            </w:tcBorders>
            <w:shd w:val="clear" w:color="auto" w:fill="FFFFFF"/>
          </w:tcPr>
          <w:p w14:paraId="42BD7507" w14:textId="4ADDC170" w:rsidR="009A2107" w:rsidRPr="001626E5" w:rsidRDefault="009A2107" w:rsidP="00065B26">
            <w:pPr>
              <w:rPr>
                <w:rStyle w:val="st"/>
                <w:sz w:val="16"/>
                <w:szCs w:val="16"/>
              </w:rPr>
            </w:pPr>
            <w:r w:rsidRPr="001626E5">
              <w:rPr>
                <w:sz w:val="16"/>
                <w:szCs w:val="16"/>
              </w:rPr>
              <w:t xml:space="preserve">    0 (0</w:t>
            </w:r>
            <w:r w:rsidR="003B575D" w:rsidRPr="001626E5">
              <w:rPr>
                <w:sz w:val="16"/>
                <w:szCs w:val="16"/>
              </w:rPr>
              <w:t>·</w:t>
            </w:r>
            <w:r w:rsidRPr="001626E5">
              <w:rPr>
                <w:sz w:val="16"/>
                <w:szCs w:val="16"/>
              </w:rPr>
              <w:t xml:space="preserve">0)                                                                                         </w:t>
            </w:r>
          </w:p>
        </w:tc>
        <w:tc>
          <w:tcPr>
            <w:tcW w:w="992" w:type="dxa"/>
            <w:tcBorders>
              <w:left w:val="nil"/>
              <w:right w:val="nil"/>
            </w:tcBorders>
            <w:shd w:val="clear" w:color="auto" w:fill="FFFFFF"/>
            <w:tcMar>
              <w:left w:w="40" w:type="dxa"/>
              <w:right w:w="40" w:type="dxa"/>
            </w:tcMar>
          </w:tcPr>
          <w:p w14:paraId="793F6AC0" w14:textId="3852B749" w:rsidR="009A2107" w:rsidRPr="001626E5" w:rsidRDefault="009A2107" w:rsidP="00490E17">
            <w:pPr>
              <w:rPr>
                <w:rStyle w:val="st"/>
                <w:sz w:val="16"/>
                <w:szCs w:val="16"/>
              </w:rPr>
            </w:pPr>
            <w:r w:rsidRPr="001626E5">
              <w:rPr>
                <w:sz w:val="16"/>
                <w:szCs w:val="16"/>
              </w:rPr>
              <w:t xml:space="preserve">    3 (37</w:t>
            </w:r>
            <w:r w:rsidR="003B575D" w:rsidRPr="001626E5">
              <w:rPr>
                <w:sz w:val="16"/>
                <w:szCs w:val="16"/>
              </w:rPr>
              <w:t>·</w:t>
            </w:r>
            <w:r w:rsidRPr="001626E5">
              <w:rPr>
                <w:sz w:val="16"/>
                <w:szCs w:val="16"/>
              </w:rPr>
              <w:t xml:space="preserve">5)                                                                                        </w:t>
            </w:r>
          </w:p>
        </w:tc>
        <w:tc>
          <w:tcPr>
            <w:tcW w:w="1134" w:type="dxa"/>
            <w:tcBorders>
              <w:left w:val="nil"/>
              <w:right w:val="single" w:sz="4" w:space="0" w:color="auto"/>
            </w:tcBorders>
            <w:shd w:val="clear" w:color="auto" w:fill="FFFFFF"/>
            <w:tcMar>
              <w:left w:w="40" w:type="dxa"/>
              <w:right w:w="40" w:type="dxa"/>
            </w:tcMar>
          </w:tcPr>
          <w:p w14:paraId="10EF4675" w14:textId="584E3DF1" w:rsidR="009A2107" w:rsidRPr="001626E5" w:rsidRDefault="009A2107" w:rsidP="001706A2">
            <w:pPr>
              <w:rPr>
                <w:rStyle w:val="st"/>
                <w:sz w:val="16"/>
                <w:szCs w:val="16"/>
              </w:rPr>
            </w:pPr>
            <w:r w:rsidRPr="001626E5">
              <w:rPr>
                <w:sz w:val="16"/>
                <w:szCs w:val="16"/>
              </w:rPr>
              <w:t xml:space="preserve">    3 (15</w:t>
            </w:r>
            <w:r w:rsidR="002341F8" w:rsidRPr="001626E5">
              <w:rPr>
                <w:sz w:val="16"/>
                <w:szCs w:val="16"/>
              </w:rPr>
              <w:t>·</w:t>
            </w:r>
            <w:r w:rsidRPr="001626E5">
              <w:rPr>
                <w:sz w:val="16"/>
                <w:szCs w:val="16"/>
              </w:rPr>
              <w:t xml:space="preserve">0)                                                                                        </w:t>
            </w:r>
          </w:p>
        </w:tc>
      </w:tr>
      <w:tr w:rsidR="009A2107" w:rsidRPr="00BC298F" w14:paraId="3A328EE4" w14:textId="77777777" w:rsidTr="007833D8">
        <w:trPr>
          <w:cantSplit/>
          <w:jc w:val="center"/>
        </w:trPr>
        <w:tc>
          <w:tcPr>
            <w:tcW w:w="5671" w:type="dxa"/>
            <w:tcBorders>
              <w:left w:val="single" w:sz="4" w:space="0" w:color="auto"/>
              <w:right w:val="nil"/>
            </w:tcBorders>
            <w:tcMar>
              <w:left w:w="40" w:type="dxa"/>
              <w:right w:w="40" w:type="dxa"/>
            </w:tcMar>
          </w:tcPr>
          <w:p w14:paraId="1F61C983" w14:textId="544CD85F" w:rsidR="009A2107" w:rsidRPr="001626E5" w:rsidRDefault="009A2107" w:rsidP="00DA6988">
            <w:pPr>
              <w:pStyle w:val="Tables"/>
              <w:rPr>
                <w:rStyle w:val="st"/>
                <w:rFonts w:ascii="Times New Roman" w:hAnsi="Times New Roman" w:cs="Times New Roman"/>
                <w:sz w:val="16"/>
                <w:szCs w:val="16"/>
              </w:rPr>
            </w:pPr>
          </w:p>
        </w:tc>
        <w:tc>
          <w:tcPr>
            <w:tcW w:w="1134" w:type="dxa"/>
            <w:tcBorders>
              <w:left w:val="nil"/>
              <w:right w:val="nil"/>
            </w:tcBorders>
            <w:shd w:val="clear" w:color="auto" w:fill="FFFFFF"/>
          </w:tcPr>
          <w:p w14:paraId="057C6934" w14:textId="059FE18C"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vAlign w:val="center"/>
          </w:tcPr>
          <w:p w14:paraId="10DCB5BA" w14:textId="6267EDFC"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vAlign w:val="center"/>
          </w:tcPr>
          <w:p w14:paraId="7E345F22" w14:textId="2A4634E5" w:rsidR="009A2107" w:rsidRPr="001626E5" w:rsidRDefault="009A2107" w:rsidP="001706A2">
            <w:pPr>
              <w:rPr>
                <w:rStyle w:val="st"/>
                <w:sz w:val="16"/>
                <w:szCs w:val="16"/>
              </w:rPr>
            </w:pPr>
          </w:p>
        </w:tc>
      </w:tr>
      <w:tr w:rsidR="009A2107" w:rsidRPr="00BC298F" w14:paraId="72B8A2E2" w14:textId="77777777" w:rsidTr="00BC298F">
        <w:trPr>
          <w:cantSplit/>
          <w:jc w:val="center"/>
        </w:trPr>
        <w:tc>
          <w:tcPr>
            <w:tcW w:w="5671" w:type="dxa"/>
            <w:tcBorders>
              <w:left w:val="single" w:sz="4" w:space="0" w:color="auto"/>
              <w:right w:val="nil"/>
            </w:tcBorders>
            <w:tcMar>
              <w:left w:w="40" w:type="dxa"/>
              <w:right w:w="40" w:type="dxa"/>
            </w:tcMar>
            <w:vAlign w:val="bottom"/>
          </w:tcPr>
          <w:p w14:paraId="40A09E44" w14:textId="6DF0C6C6" w:rsidR="009A2107" w:rsidRPr="001626E5" w:rsidRDefault="009A2107" w:rsidP="00DA6988">
            <w:pPr>
              <w:pStyle w:val="Tables"/>
              <w:rPr>
                <w:rStyle w:val="st"/>
                <w:rFonts w:ascii="Times New Roman" w:hAnsi="Times New Roman" w:cs="Times New Roman"/>
                <w:sz w:val="16"/>
                <w:szCs w:val="16"/>
                <w:lang w:val="en-GB"/>
              </w:rPr>
            </w:pPr>
            <w:r w:rsidRPr="001626E5">
              <w:rPr>
                <w:rFonts w:ascii="Times New Roman" w:hAnsi="Times New Roman" w:cs="Times New Roman"/>
                <w:b/>
                <w:sz w:val="16"/>
                <w:szCs w:val="16"/>
                <w:u w:val="single"/>
              </w:rPr>
              <w:t>Treatment duration:</w:t>
            </w:r>
          </w:p>
        </w:tc>
        <w:tc>
          <w:tcPr>
            <w:tcW w:w="1134" w:type="dxa"/>
            <w:tcBorders>
              <w:left w:val="nil"/>
              <w:right w:val="nil"/>
            </w:tcBorders>
            <w:shd w:val="clear" w:color="auto" w:fill="FFFFFF"/>
          </w:tcPr>
          <w:p w14:paraId="6CE45D95" w14:textId="6A027DAB"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vAlign w:val="center"/>
          </w:tcPr>
          <w:p w14:paraId="0FE716E4" w14:textId="49A761D7"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2F65E2C0" w14:textId="23159D57" w:rsidR="009A2107" w:rsidRPr="001626E5" w:rsidRDefault="009A2107" w:rsidP="001706A2">
            <w:pPr>
              <w:rPr>
                <w:rStyle w:val="st"/>
                <w:sz w:val="16"/>
                <w:szCs w:val="16"/>
              </w:rPr>
            </w:pPr>
          </w:p>
        </w:tc>
      </w:tr>
      <w:tr w:rsidR="009A2107" w:rsidRPr="00BC298F" w14:paraId="088FC95A" w14:textId="77777777" w:rsidTr="00BC298F">
        <w:trPr>
          <w:cantSplit/>
          <w:jc w:val="center"/>
        </w:trPr>
        <w:tc>
          <w:tcPr>
            <w:tcW w:w="5671" w:type="dxa"/>
            <w:tcBorders>
              <w:left w:val="single" w:sz="4" w:space="0" w:color="auto"/>
              <w:right w:val="nil"/>
            </w:tcBorders>
            <w:tcMar>
              <w:left w:w="40" w:type="dxa"/>
              <w:right w:w="40" w:type="dxa"/>
            </w:tcMar>
            <w:vAlign w:val="bottom"/>
          </w:tcPr>
          <w:p w14:paraId="304DAEB7" w14:textId="0C20F092"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Duration of treatment (months)                                                                                                                                                                           </w:t>
            </w:r>
          </w:p>
        </w:tc>
        <w:tc>
          <w:tcPr>
            <w:tcW w:w="1134" w:type="dxa"/>
            <w:tcBorders>
              <w:left w:val="nil"/>
              <w:right w:val="nil"/>
            </w:tcBorders>
            <w:shd w:val="clear" w:color="auto" w:fill="FFFFFF"/>
          </w:tcPr>
          <w:p w14:paraId="2F346AA3" w14:textId="71920DCB"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vAlign w:val="center"/>
          </w:tcPr>
          <w:p w14:paraId="08EBC5FC" w14:textId="35616007"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5817150F" w14:textId="071BFDFA" w:rsidR="009A2107" w:rsidRPr="001626E5" w:rsidRDefault="009A2107" w:rsidP="001706A2">
            <w:pPr>
              <w:rPr>
                <w:rStyle w:val="st"/>
                <w:sz w:val="16"/>
                <w:szCs w:val="16"/>
              </w:rPr>
            </w:pPr>
          </w:p>
        </w:tc>
      </w:tr>
      <w:tr w:rsidR="009A2107" w:rsidRPr="00BC298F" w14:paraId="17D04BB6" w14:textId="77777777" w:rsidTr="007833D8">
        <w:trPr>
          <w:cantSplit/>
          <w:jc w:val="center"/>
        </w:trPr>
        <w:tc>
          <w:tcPr>
            <w:tcW w:w="5671" w:type="dxa"/>
            <w:tcBorders>
              <w:left w:val="single" w:sz="4" w:space="0" w:color="auto"/>
              <w:right w:val="nil"/>
            </w:tcBorders>
            <w:tcMar>
              <w:left w:w="40" w:type="dxa"/>
              <w:right w:w="40" w:type="dxa"/>
            </w:tcMar>
            <w:vAlign w:val="bottom"/>
          </w:tcPr>
          <w:p w14:paraId="0F2C4090" w14:textId="25247598" w:rsidR="009A2107" w:rsidRPr="001626E5" w:rsidRDefault="009A2107" w:rsidP="00DA6988">
            <w:pPr>
              <w:pStyle w:val="Tables"/>
              <w:rPr>
                <w:rStyle w:val="st"/>
                <w:rFonts w:ascii="Times New Roman" w:hAnsi="Times New Roman" w:cs="Times New Roman"/>
                <w:sz w:val="16"/>
                <w:szCs w:val="16"/>
                <w:lang w:val="en-GB"/>
              </w:rPr>
            </w:pPr>
            <w:r w:rsidRPr="001626E5">
              <w:rPr>
                <w:rFonts w:ascii="Times New Roman" w:hAnsi="Times New Roman" w:cs="Times New Roman"/>
                <w:sz w:val="16"/>
                <w:szCs w:val="16"/>
              </w:rPr>
              <w:t xml:space="preserve">    Median                                                                                                                                                                                                 </w:t>
            </w:r>
          </w:p>
        </w:tc>
        <w:tc>
          <w:tcPr>
            <w:tcW w:w="1134" w:type="dxa"/>
            <w:tcBorders>
              <w:left w:val="nil"/>
              <w:right w:val="nil"/>
            </w:tcBorders>
            <w:shd w:val="clear" w:color="auto" w:fill="FFFFFF"/>
          </w:tcPr>
          <w:p w14:paraId="2FB59700" w14:textId="4CAB18E6" w:rsidR="009A2107" w:rsidRPr="001626E5" w:rsidRDefault="009A2107" w:rsidP="00065B26">
            <w:pPr>
              <w:rPr>
                <w:rStyle w:val="st"/>
                <w:sz w:val="16"/>
                <w:szCs w:val="16"/>
              </w:rPr>
            </w:pPr>
            <w:r w:rsidRPr="001626E5">
              <w:rPr>
                <w:sz w:val="16"/>
                <w:szCs w:val="16"/>
              </w:rPr>
              <w:t>7</w:t>
            </w:r>
            <w:r w:rsidR="003B575D" w:rsidRPr="001626E5">
              <w:rPr>
                <w:sz w:val="16"/>
                <w:szCs w:val="16"/>
              </w:rPr>
              <w:t>·</w:t>
            </w:r>
            <w:r w:rsidRPr="001626E5">
              <w:rPr>
                <w:sz w:val="16"/>
                <w:szCs w:val="16"/>
              </w:rPr>
              <w:t xml:space="preserve">2               </w:t>
            </w:r>
          </w:p>
        </w:tc>
        <w:tc>
          <w:tcPr>
            <w:tcW w:w="992" w:type="dxa"/>
            <w:tcBorders>
              <w:left w:val="nil"/>
              <w:right w:val="nil"/>
            </w:tcBorders>
            <w:shd w:val="clear" w:color="auto" w:fill="FFFFFF"/>
            <w:tcMar>
              <w:left w:w="40" w:type="dxa"/>
              <w:right w:w="40" w:type="dxa"/>
            </w:tcMar>
          </w:tcPr>
          <w:p w14:paraId="646EA7CD" w14:textId="5AE6FAEE" w:rsidR="009A2107" w:rsidRPr="001626E5" w:rsidRDefault="009A2107" w:rsidP="00490E17">
            <w:pPr>
              <w:rPr>
                <w:rStyle w:val="st"/>
                <w:sz w:val="16"/>
                <w:szCs w:val="16"/>
              </w:rPr>
            </w:pPr>
            <w:r w:rsidRPr="001626E5">
              <w:rPr>
                <w:sz w:val="16"/>
                <w:szCs w:val="16"/>
              </w:rPr>
              <w:t>4</w:t>
            </w:r>
            <w:r w:rsidR="003B575D" w:rsidRPr="001626E5">
              <w:rPr>
                <w:sz w:val="16"/>
                <w:szCs w:val="16"/>
              </w:rPr>
              <w:t>·</w:t>
            </w:r>
            <w:r w:rsidRPr="001626E5">
              <w:rPr>
                <w:sz w:val="16"/>
                <w:szCs w:val="16"/>
              </w:rPr>
              <w:t xml:space="preserve">1               </w:t>
            </w:r>
          </w:p>
        </w:tc>
        <w:tc>
          <w:tcPr>
            <w:tcW w:w="1134" w:type="dxa"/>
            <w:tcBorders>
              <w:left w:val="nil"/>
              <w:right w:val="single" w:sz="4" w:space="0" w:color="auto"/>
            </w:tcBorders>
            <w:shd w:val="clear" w:color="auto" w:fill="FFFFFF"/>
            <w:tcMar>
              <w:left w:w="40" w:type="dxa"/>
              <w:right w:w="40" w:type="dxa"/>
            </w:tcMar>
          </w:tcPr>
          <w:p w14:paraId="04284449" w14:textId="33AE1253" w:rsidR="009A2107" w:rsidRPr="001626E5" w:rsidRDefault="009A2107" w:rsidP="001706A2">
            <w:pPr>
              <w:rPr>
                <w:rStyle w:val="st"/>
                <w:sz w:val="16"/>
                <w:szCs w:val="16"/>
              </w:rPr>
            </w:pPr>
            <w:r w:rsidRPr="001626E5">
              <w:rPr>
                <w:sz w:val="16"/>
                <w:szCs w:val="16"/>
              </w:rPr>
              <w:t xml:space="preserve">5.5               </w:t>
            </w:r>
          </w:p>
        </w:tc>
      </w:tr>
      <w:tr w:rsidR="009A2107" w:rsidRPr="00BC298F" w14:paraId="16ABD380" w14:textId="77777777" w:rsidTr="007833D8">
        <w:trPr>
          <w:cantSplit/>
          <w:jc w:val="center"/>
        </w:trPr>
        <w:tc>
          <w:tcPr>
            <w:tcW w:w="5671" w:type="dxa"/>
            <w:tcBorders>
              <w:left w:val="single" w:sz="4" w:space="0" w:color="auto"/>
              <w:right w:val="nil"/>
            </w:tcBorders>
            <w:tcMar>
              <w:left w:w="40" w:type="dxa"/>
              <w:right w:w="40" w:type="dxa"/>
            </w:tcMar>
            <w:vAlign w:val="bottom"/>
          </w:tcPr>
          <w:p w14:paraId="2CF53885" w14:textId="574E7603" w:rsidR="009A2107" w:rsidRPr="001626E5" w:rsidRDefault="009A2107" w:rsidP="00DA6988">
            <w:pPr>
              <w:pStyle w:val="Tables"/>
              <w:rPr>
                <w:rStyle w:val="st"/>
                <w:rFonts w:ascii="Times New Roman" w:hAnsi="Times New Roman" w:cs="Times New Roman"/>
                <w:sz w:val="16"/>
                <w:szCs w:val="16"/>
                <w:lang w:val="en-GB"/>
              </w:rPr>
            </w:pPr>
            <w:r w:rsidRPr="001626E5">
              <w:rPr>
                <w:rFonts w:ascii="Times New Roman" w:hAnsi="Times New Roman" w:cs="Times New Roman"/>
                <w:sz w:val="16"/>
                <w:szCs w:val="16"/>
              </w:rPr>
              <w:t xml:space="preserve">    Range                                                                                                                                                                                                  </w:t>
            </w:r>
          </w:p>
        </w:tc>
        <w:tc>
          <w:tcPr>
            <w:tcW w:w="1134" w:type="dxa"/>
            <w:tcBorders>
              <w:left w:val="nil"/>
              <w:right w:val="nil"/>
            </w:tcBorders>
            <w:shd w:val="clear" w:color="auto" w:fill="FFFFFF"/>
          </w:tcPr>
          <w:p w14:paraId="56861105" w14:textId="1F6FA947" w:rsidR="009A2107" w:rsidRPr="001626E5" w:rsidRDefault="009A2107" w:rsidP="00065B26">
            <w:pPr>
              <w:rPr>
                <w:rStyle w:val="st"/>
                <w:sz w:val="16"/>
                <w:szCs w:val="16"/>
              </w:rPr>
            </w:pPr>
            <w:r w:rsidRPr="001626E5">
              <w:rPr>
                <w:sz w:val="16"/>
                <w:szCs w:val="16"/>
              </w:rPr>
              <w:t>3</w:t>
            </w:r>
            <w:r w:rsidR="003B575D" w:rsidRPr="001626E5">
              <w:rPr>
                <w:sz w:val="16"/>
                <w:szCs w:val="16"/>
              </w:rPr>
              <w:t>·</w:t>
            </w:r>
            <w:r w:rsidRPr="001626E5">
              <w:rPr>
                <w:sz w:val="16"/>
                <w:szCs w:val="16"/>
              </w:rPr>
              <w:t>4 - 42</w:t>
            </w:r>
            <w:r w:rsidR="003B575D" w:rsidRPr="001626E5">
              <w:rPr>
                <w:sz w:val="16"/>
                <w:szCs w:val="16"/>
              </w:rPr>
              <w:t>·</w:t>
            </w:r>
            <w:r w:rsidRPr="001626E5">
              <w:rPr>
                <w:sz w:val="16"/>
                <w:szCs w:val="16"/>
              </w:rPr>
              <w:t xml:space="preserve">3        </w:t>
            </w:r>
          </w:p>
        </w:tc>
        <w:tc>
          <w:tcPr>
            <w:tcW w:w="992" w:type="dxa"/>
            <w:tcBorders>
              <w:left w:val="nil"/>
              <w:right w:val="nil"/>
            </w:tcBorders>
            <w:shd w:val="clear" w:color="auto" w:fill="FFFFFF"/>
            <w:tcMar>
              <w:left w:w="40" w:type="dxa"/>
              <w:right w:w="40" w:type="dxa"/>
            </w:tcMar>
          </w:tcPr>
          <w:p w14:paraId="7047CA53" w14:textId="23983EF1" w:rsidR="009A2107" w:rsidRPr="001626E5" w:rsidRDefault="009A2107" w:rsidP="00490E17">
            <w:pPr>
              <w:rPr>
                <w:rStyle w:val="st"/>
                <w:sz w:val="16"/>
                <w:szCs w:val="16"/>
              </w:rPr>
            </w:pPr>
            <w:r w:rsidRPr="001626E5">
              <w:rPr>
                <w:sz w:val="16"/>
                <w:szCs w:val="16"/>
              </w:rPr>
              <w:t>1</w:t>
            </w:r>
            <w:r w:rsidR="003B575D" w:rsidRPr="001626E5">
              <w:rPr>
                <w:sz w:val="16"/>
                <w:szCs w:val="16"/>
              </w:rPr>
              <w:t>·</w:t>
            </w:r>
            <w:r w:rsidRPr="001626E5">
              <w:rPr>
                <w:sz w:val="16"/>
                <w:szCs w:val="16"/>
              </w:rPr>
              <w:t>3 - 28</w:t>
            </w:r>
            <w:r w:rsidR="003B575D" w:rsidRPr="001626E5">
              <w:rPr>
                <w:sz w:val="16"/>
                <w:szCs w:val="16"/>
              </w:rPr>
              <w:t>·</w:t>
            </w:r>
            <w:r w:rsidRPr="001626E5">
              <w:rPr>
                <w:sz w:val="16"/>
                <w:szCs w:val="16"/>
              </w:rPr>
              <w:t xml:space="preserve">3        </w:t>
            </w:r>
          </w:p>
        </w:tc>
        <w:tc>
          <w:tcPr>
            <w:tcW w:w="1134" w:type="dxa"/>
            <w:tcBorders>
              <w:left w:val="nil"/>
              <w:right w:val="single" w:sz="4" w:space="0" w:color="auto"/>
            </w:tcBorders>
            <w:shd w:val="clear" w:color="auto" w:fill="FFFFFF"/>
            <w:tcMar>
              <w:left w:w="40" w:type="dxa"/>
              <w:right w:w="40" w:type="dxa"/>
            </w:tcMar>
          </w:tcPr>
          <w:p w14:paraId="0D29C65F" w14:textId="56D9254C" w:rsidR="009A2107" w:rsidRPr="001626E5" w:rsidRDefault="009A2107" w:rsidP="001706A2">
            <w:pPr>
              <w:rPr>
                <w:rStyle w:val="st"/>
                <w:sz w:val="16"/>
                <w:szCs w:val="16"/>
              </w:rPr>
            </w:pPr>
            <w:r w:rsidRPr="001626E5">
              <w:rPr>
                <w:sz w:val="16"/>
                <w:szCs w:val="16"/>
              </w:rPr>
              <w:t>1</w:t>
            </w:r>
            <w:r w:rsidR="002341F8" w:rsidRPr="001626E5">
              <w:rPr>
                <w:sz w:val="16"/>
                <w:szCs w:val="16"/>
              </w:rPr>
              <w:t>·</w:t>
            </w:r>
            <w:r w:rsidRPr="001626E5">
              <w:rPr>
                <w:sz w:val="16"/>
                <w:szCs w:val="16"/>
              </w:rPr>
              <w:t>3 - 42</w:t>
            </w:r>
            <w:r w:rsidR="002341F8" w:rsidRPr="001626E5">
              <w:rPr>
                <w:sz w:val="16"/>
                <w:szCs w:val="16"/>
              </w:rPr>
              <w:t>·</w:t>
            </w:r>
            <w:r w:rsidRPr="001626E5">
              <w:rPr>
                <w:sz w:val="16"/>
                <w:szCs w:val="16"/>
              </w:rPr>
              <w:t xml:space="preserve">3        </w:t>
            </w:r>
          </w:p>
        </w:tc>
      </w:tr>
      <w:tr w:rsidR="009A2107" w:rsidRPr="00BC298F" w14:paraId="1887AD54" w14:textId="77777777" w:rsidTr="007833D8">
        <w:trPr>
          <w:cantSplit/>
          <w:jc w:val="center"/>
        </w:trPr>
        <w:tc>
          <w:tcPr>
            <w:tcW w:w="5671" w:type="dxa"/>
            <w:tcBorders>
              <w:left w:val="single" w:sz="4" w:space="0" w:color="auto"/>
              <w:right w:val="nil"/>
            </w:tcBorders>
            <w:tcMar>
              <w:left w:w="40" w:type="dxa"/>
              <w:right w:w="40" w:type="dxa"/>
            </w:tcMar>
            <w:vAlign w:val="bottom"/>
          </w:tcPr>
          <w:p w14:paraId="58DD96B0" w14:textId="61D5DA89" w:rsidR="009A2107" w:rsidRPr="001626E5" w:rsidRDefault="009A2107" w:rsidP="00DA6988">
            <w:pPr>
              <w:pStyle w:val="Tables"/>
              <w:ind w:firstLine="284"/>
              <w:rPr>
                <w:rStyle w:val="st"/>
                <w:rFonts w:ascii="Times New Roman" w:hAnsi="Times New Roman" w:cs="Times New Roman"/>
                <w:sz w:val="16"/>
                <w:szCs w:val="16"/>
              </w:rPr>
            </w:pPr>
          </w:p>
        </w:tc>
        <w:tc>
          <w:tcPr>
            <w:tcW w:w="1134" w:type="dxa"/>
            <w:tcBorders>
              <w:left w:val="nil"/>
              <w:right w:val="nil"/>
            </w:tcBorders>
            <w:shd w:val="clear" w:color="auto" w:fill="FFFFFF"/>
            <w:vAlign w:val="center"/>
          </w:tcPr>
          <w:p w14:paraId="47EAB8D3" w14:textId="4A05F6B2"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tcPr>
          <w:p w14:paraId="12C15D28" w14:textId="402E44A2"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1F1F8D97" w14:textId="6BA0D37B" w:rsidR="009A2107" w:rsidRPr="001626E5" w:rsidRDefault="009A2107" w:rsidP="001706A2">
            <w:pPr>
              <w:rPr>
                <w:rStyle w:val="st"/>
                <w:sz w:val="16"/>
                <w:szCs w:val="16"/>
              </w:rPr>
            </w:pPr>
          </w:p>
        </w:tc>
      </w:tr>
      <w:tr w:rsidR="009A2107" w:rsidRPr="00BC298F" w14:paraId="05FBD1C0" w14:textId="77777777" w:rsidTr="00BC298F">
        <w:trPr>
          <w:cantSplit/>
          <w:jc w:val="center"/>
        </w:trPr>
        <w:tc>
          <w:tcPr>
            <w:tcW w:w="5671" w:type="dxa"/>
            <w:tcBorders>
              <w:left w:val="single" w:sz="4" w:space="0" w:color="auto"/>
              <w:right w:val="nil"/>
            </w:tcBorders>
            <w:tcMar>
              <w:left w:w="40" w:type="dxa"/>
              <w:right w:w="40" w:type="dxa"/>
            </w:tcMar>
            <w:vAlign w:val="bottom"/>
          </w:tcPr>
          <w:p w14:paraId="28113055" w14:textId="6C27DF0C"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Number of cycles                                                                                                                                                                                             </w:t>
            </w:r>
          </w:p>
        </w:tc>
        <w:tc>
          <w:tcPr>
            <w:tcW w:w="1134" w:type="dxa"/>
            <w:tcBorders>
              <w:left w:val="nil"/>
              <w:right w:val="nil"/>
            </w:tcBorders>
            <w:shd w:val="clear" w:color="auto" w:fill="FFFFFF"/>
          </w:tcPr>
          <w:p w14:paraId="3677E4ED" w14:textId="058CCF28"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tcPr>
          <w:p w14:paraId="30962CD8" w14:textId="47222FB3"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0C431EA8" w14:textId="642DABBC" w:rsidR="009A2107" w:rsidRPr="001626E5" w:rsidRDefault="009A2107" w:rsidP="001706A2">
            <w:pPr>
              <w:rPr>
                <w:rStyle w:val="st"/>
                <w:sz w:val="16"/>
                <w:szCs w:val="16"/>
              </w:rPr>
            </w:pPr>
          </w:p>
        </w:tc>
      </w:tr>
      <w:tr w:rsidR="009A2107" w:rsidRPr="00BC298F" w14:paraId="27816753" w14:textId="77777777" w:rsidTr="00BC298F">
        <w:trPr>
          <w:cantSplit/>
          <w:jc w:val="center"/>
        </w:trPr>
        <w:tc>
          <w:tcPr>
            <w:tcW w:w="5671" w:type="dxa"/>
            <w:tcBorders>
              <w:left w:val="single" w:sz="4" w:space="0" w:color="auto"/>
              <w:right w:val="nil"/>
            </w:tcBorders>
            <w:tcMar>
              <w:left w:w="40" w:type="dxa"/>
              <w:right w:w="40" w:type="dxa"/>
            </w:tcMar>
            <w:vAlign w:val="bottom"/>
          </w:tcPr>
          <w:p w14:paraId="28AA6780" w14:textId="5AFE5253"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    Median                                                                                                                                                                                                 </w:t>
            </w:r>
          </w:p>
        </w:tc>
        <w:tc>
          <w:tcPr>
            <w:tcW w:w="1134" w:type="dxa"/>
            <w:tcBorders>
              <w:left w:val="nil"/>
              <w:right w:val="nil"/>
            </w:tcBorders>
            <w:shd w:val="clear" w:color="auto" w:fill="FFFFFF"/>
          </w:tcPr>
          <w:p w14:paraId="2C516E8C" w14:textId="6378BF88" w:rsidR="009A2107" w:rsidRPr="001626E5" w:rsidRDefault="009A2107" w:rsidP="00065B26">
            <w:pPr>
              <w:rPr>
                <w:rStyle w:val="st"/>
                <w:sz w:val="16"/>
                <w:szCs w:val="16"/>
              </w:rPr>
            </w:pPr>
            <w:r w:rsidRPr="001626E5">
              <w:rPr>
                <w:sz w:val="16"/>
                <w:szCs w:val="16"/>
              </w:rPr>
              <w:t>11</w:t>
            </w:r>
            <w:r w:rsidR="003B575D" w:rsidRPr="001626E5">
              <w:rPr>
                <w:sz w:val="16"/>
                <w:szCs w:val="16"/>
              </w:rPr>
              <w:t>·</w:t>
            </w:r>
            <w:r w:rsidRPr="001626E5">
              <w:rPr>
                <w:sz w:val="16"/>
                <w:szCs w:val="16"/>
              </w:rPr>
              <w:t xml:space="preserve">5              </w:t>
            </w:r>
          </w:p>
        </w:tc>
        <w:tc>
          <w:tcPr>
            <w:tcW w:w="992" w:type="dxa"/>
            <w:tcBorders>
              <w:left w:val="nil"/>
              <w:right w:val="nil"/>
            </w:tcBorders>
            <w:shd w:val="clear" w:color="auto" w:fill="FFFFFF"/>
            <w:tcMar>
              <w:left w:w="40" w:type="dxa"/>
              <w:right w:w="40" w:type="dxa"/>
            </w:tcMar>
          </w:tcPr>
          <w:p w14:paraId="4B0AAA8E" w14:textId="2A58A5F7" w:rsidR="009A2107" w:rsidRPr="001626E5" w:rsidRDefault="009A2107" w:rsidP="00490E17">
            <w:pPr>
              <w:rPr>
                <w:rStyle w:val="st"/>
                <w:sz w:val="16"/>
                <w:szCs w:val="16"/>
              </w:rPr>
            </w:pPr>
            <w:r w:rsidRPr="001626E5">
              <w:rPr>
                <w:sz w:val="16"/>
                <w:szCs w:val="16"/>
              </w:rPr>
              <w:t>7</w:t>
            </w:r>
            <w:r w:rsidR="003B575D" w:rsidRPr="001626E5">
              <w:rPr>
                <w:sz w:val="16"/>
                <w:szCs w:val="16"/>
              </w:rPr>
              <w:t>·</w:t>
            </w:r>
            <w:r w:rsidRPr="001626E5">
              <w:rPr>
                <w:sz w:val="16"/>
                <w:szCs w:val="16"/>
              </w:rPr>
              <w:t xml:space="preserve">0               </w:t>
            </w:r>
          </w:p>
        </w:tc>
        <w:tc>
          <w:tcPr>
            <w:tcW w:w="1134" w:type="dxa"/>
            <w:tcBorders>
              <w:left w:val="nil"/>
              <w:right w:val="single" w:sz="4" w:space="0" w:color="auto"/>
            </w:tcBorders>
            <w:shd w:val="clear" w:color="auto" w:fill="FFFFFF"/>
            <w:tcMar>
              <w:left w:w="40" w:type="dxa"/>
              <w:right w:w="40" w:type="dxa"/>
            </w:tcMar>
          </w:tcPr>
          <w:p w14:paraId="733DDE2D" w14:textId="25E3BB3D" w:rsidR="009A2107" w:rsidRPr="001626E5" w:rsidRDefault="009A2107" w:rsidP="001706A2">
            <w:pPr>
              <w:rPr>
                <w:rStyle w:val="st"/>
                <w:sz w:val="16"/>
                <w:szCs w:val="16"/>
              </w:rPr>
            </w:pPr>
            <w:r w:rsidRPr="001626E5">
              <w:rPr>
                <w:sz w:val="16"/>
                <w:szCs w:val="16"/>
              </w:rPr>
              <w:t>8</w:t>
            </w:r>
            <w:r w:rsidR="002341F8" w:rsidRPr="001626E5">
              <w:rPr>
                <w:sz w:val="16"/>
                <w:szCs w:val="16"/>
              </w:rPr>
              <w:t>·</w:t>
            </w:r>
            <w:r w:rsidRPr="001626E5">
              <w:rPr>
                <w:sz w:val="16"/>
                <w:szCs w:val="16"/>
              </w:rPr>
              <w:t xml:space="preserve">0               </w:t>
            </w:r>
          </w:p>
        </w:tc>
      </w:tr>
      <w:tr w:rsidR="009A2107" w:rsidRPr="00BC298F" w14:paraId="119B4315" w14:textId="77777777" w:rsidTr="00BC298F">
        <w:trPr>
          <w:cantSplit/>
          <w:jc w:val="center"/>
        </w:trPr>
        <w:tc>
          <w:tcPr>
            <w:tcW w:w="5671" w:type="dxa"/>
            <w:tcBorders>
              <w:left w:val="single" w:sz="4" w:space="0" w:color="auto"/>
              <w:right w:val="nil"/>
            </w:tcBorders>
            <w:tcMar>
              <w:left w:w="40" w:type="dxa"/>
              <w:right w:w="40" w:type="dxa"/>
            </w:tcMar>
            <w:vAlign w:val="bottom"/>
          </w:tcPr>
          <w:p w14:paraId="2A65A21C" w14:textId="160EFB7F"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    Range                                                                                                                                                                                                  </w:t>
            </w:r>
          </w:p>
        </w:tc>
        <w:tc>
          <w:tcPr>
            <w:tcW w:w="1134" w:type="dxa"/>
            <w:tcBorders>
              <w:left w:val="nil"/>
              <w:right w:val="nil"/>
            </w:tcBorders>
            <w:shd w:val="clear" w:color="auto" w:fill="FFFFFF"/>
          </w:tcPr>
          <w:p w14:paraId="1808E68A" w14:textId="1B2ACFB8" w:rsidR="009A2107" w:rsidRPr="001626E5" w:rsidRDefault="009A2107" w:rsidP="00065B26">
            <w:pPr>
              <w:rPr>
                <w:rStyle w:val="st"/>
                <w:sz w:val="16"/>
                <w:szCs w:val="16"/>
              </w:rPr>
            </w:pPr>
            <w:r w:rsidRPr="001626E5">
              <w:rPr>
                <w:sz w:val="16"/>
                <w:szCs w:val="16"/>
              </w:rPr>
              <w:t>5</w:t>
            </w:r>
            <w:r w:rsidR="003B575D" w:rsidRPr="001626E5">
              <w:rPr>
                <w:sz w:val="16"/>
                <w:szCs w:val="16"/>
              </w:rPr>
              <w:t>·</w:t>
            </w:r>
            <w:r w:rsidRPr="001626E5">
              <w:rPr>
                <w:sz w:val="16"/>
                <w:szCs w:val="16"/>
              </w:rPr>
              <w:t>0 - 49</w:t>
            </w:r>
            <w:r w:rsidR="003B575D" w:rsidRPr="001626E5">
              <w:rPr>
                <w:sz w:val="16"/>
                <w:szCs w:val="16"/>
              </w:rPr>
              <w:t>·</w:t>
            </w:r>
            <w:r w:rsidRPr="001626E5">
              <w:rPr>
                <w:sz w:val="16"/>
                <w:szCs w:val="16"/>
              </w:rPr>
              <w:t xml:space="preserve">0        </w:t>
            </w:r>
          </w:p>
        </w:tc>
        <w:tc>
          <w:tcPr>
            <w:tcW w:w="992" w:type="dxa"/>
            <w:tcBorders>
              <w:left w:val="nil"/>
              <w:right w:val="nil"/>
            </w:tcBorders>
            <w:shd w:val="clear" w:color="auto" w:fill="FFFFFF"/>
            <w:tcMar>
              <w:left w:w="40" w:type="dxa"/>
              <w:right w:w="40" w:type="dxa"/>
            </w:tcMar>
          </w:tcPr>
          <w:p w14:paraId="2880F1DC" w14:textId="5493A4B1" w:rsidR="009A2107" w:rsidRPr="001626E5" w:rsidRDefault="009A2107" w:rsidP="00490E17">
            <w:pPr>
              <w:rPr>
                <w:rStyle w:val="st"/>
                <w:sz w:val="16"/>
                <w:szCs w:val="16"/>
              </w:rPr>
            </w:pPr>
            <w:r w:rsidRPr="001626E5">
              <w:rPr>
                <w:sz w:val="16"/>
                <w:szCs w:val="16"/>
              </w:rPr>
              <w:t>2</w:t>
            </w:r>
            <w:r w:rsidR="003B575D" w:rsidRPr="001626E5">
              <w:rPr>
                <w:sz w:val="16"/>
                <w:szCs w:val="16"/>
              </w:rPr>
              <w:t>·</w:t>
            </w:r>
            <w:r w:rsidRPr="001626E5">
              <w:rPr>
                <w:sz w:val="16"/>
                <w:szCs w:val="16"/>
              </w:rPr>
              <w:t>0 - 42</w:t>
            </w:r>
            <w:r w:rsidR="003B575D" w:rsidRPr="001626E5">
              <w:rPr>
                <w:sz w:val="16"/>
                <w:szCs w:val="16"/>
              </w:rPr>
              <w:t>·</w:t>
            </w:r>
            <w:r w:rsidRPr="001626E5">
              <w:rPr>
                <w:sz w:val="16"/>
                <w:szCs w:val="16"/>
              </w:rPr>
              <w:t xml:space="preserve">0        </w:t>
            </w:r>
          </w:p>
        </w:tc>
        <w:tc>
          <w:tcPr>
            <w:tcW w:w="1134" w:type="dxa"/>
            <w:tcBorders>
              <w:left w:val="nil"/>
              <w:right w:val="single" w:sz="4" w:space="0" w:color="auto"/>
            </w:tcBorders>
            <w:shd w:val="clear" w:color="auto" w:fill="FFFFFF"/>
            <w:tcMar>
              <w:left w:w="40" w:type="dxa"/>
              <w:right w:w="40" w:type="dxa"/>
            </w:tcMar>
          </w:tcPr>
          <w:p w14:paraId="75CB4176" w14:textId="15D92CA8" w:rsidR="009A2107" w:rsidRPr="001626E5" w:rsidRDefault="009A2107" w:rsidP="001706A2">
            <w:pPr>
              <w:rPr>
                <w:rStyle w:val="st"/>
                <w:sz w:val="16"/>
                <w:szCs w:val="16"/>
              </w:rPr>
            </w:pPr>
            <w:r w:rsidRPr="001626E5">
              <w:rPr>
                <w:sz w:val="16"/>
                <w:szCs w:val="16"/>
              </w:rPr>
              <w:t>2</w:t>
            </w:r>
            <w:r w:rsidR="002341F8" w:rsidRPr="001626E5">
              <w:rPr>
                <w:sz w:val="16"/>
                <w:szCs w:val="16"/>
              </w:rPr>
              <w:t>·</w:t>
            </w:r>
            <w:r w:rsidRPr="001626E5">
              <w:rPr>
                <w:sz w:val="16"/>
                <w:szCs w:val="16"/>
              </w:rPr>
              <w:t>0 - 49</w:t>
            </w:r>
            <w:r w:rsidR="002341F8" w:rsidRPr="001626E5">
              <w:rPr>
                <w:sz w:val="16"/>
                <w:szCs w:val="16"/>
              </w:rPr>
              <w:t>·</w:t>
            </w:r>
            <w:r w:rsidRPr="001626E5">
              <w:rPr>
                <w:sz w:val="16"/>
                <w:szCs w:val="16"/>
              </w:rPr>
              <w:t xml:space="preserve">0        </w:t>
            </w:r>
          </w:p>
        </w:tc>
      </w:tr>
      <w:tr w:rsidR="009A2107" w:rsidRPr="00BC298F" w14:paraId="12EC1445" w14:textId="77777777" w:rsidTr="00BC298F">
        <w:trPr>
          <w:cantSplit/>
          <w:jc w:val="center"/>
        </w:trPr>
        <w:tc>
          <w:tcPr>
            <w:tcW w:w="5671" w:type="dxa"/>
            <w:tcBorders>
              <w:left w:val="single" w:sz="4" w:space="0" w:color="auto"/>
              <w:right w:val="nil"/>
            </w:tcBorders>
            <w:tcMar>
              <w:left w:w="40" w:type="dxa"/>
              <w:right w:w="40" w:type="dxa"/>
            </w:tcMar>
          </w:tcPr>
          <w:p w14:paraId="0C692FCF" w14:textId="58DEAE6B" w:rsidR="009A2107" w:rsidRPr="001626E5" w:rsidRDefault="009A2107" w:rsidP="00DA6988">
            <w:pPr>
              <w:pStyle w:val="Tables"/>
              <w:ind w:firstLine="284"/>
              <w:rPr>
                <w:rStyle w:val="st"/>
                <w:rFonts w:ascii="Times New Roman" w:hAnsi="Times New Roman" w:cs="Times New Roman"/>
                <w:sz w:val="16"/>
                <w:szCs w:val="16"/>
              </w:rPr>
            </w:pPr>
          </w:p>
        </w:tc>
        <w:tc>
          <w:tcPr>
            <w:tcW w:w="1134" w:type="dxa"/>
            <w:tcBorders>
              <w:left w:val="nil"/>
              <w:right w:val="nil"/>
            </w:tcBorders>
            <w:shd w:val="clear" w:color="auto" w:fill="FFFFFF"/>
          </w:tcPr>
          <w:p w14:paraId="3A5BCE00" w14:textId="5CB2F7F1"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tcPr>
          <w:p w14:paraId="6EFA9982" w14:textId="4FFDF529"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1EE00352" w14:textId="1838A426" w:rsidR="009A2107" w:rsidRPr="001626E5" w:rsidRDefault="009A2107" w:rsidP="001706A2">
            <w:pPr>
              <w:rPr>
                <w:rStyle w:val="st"/>
                <w:sz w:val="16"/>
                <w:szCs w:val="16"/>
              </w:rPr>
            </w:pPr>
          </w:p>
        </w:tc>
      </w:tr>
      <w:tr w:rsidR="009A2107" w:rsidRPr="00BC298F" w14:paraId="4B04A7F5" w14:textId="77777777" w:rsidTr="00BC298F">
        <w:trPr>
          <w:cantSplit/>
          <w:jc w:val="center"/>
        </w:trPr>
        <w:tc>
          <w:tcPr>
            <w:tcW w:w="5671" w:type="dxa"/>
            <w:tcBorders>
              <w:left w:val="single" w:sz="4" w:space="0" w:color="auto"/>
              <w:right w:val="nil"/>
            </w:tcBorders>
            <w:tcMar>
              <w:left w:w="40" w:type="dxa"/>
              <w:right w:w="40" w:type="dxa"/>
            </w:tcMar>
            <w:vAlign w:val="bottom"/>
          </w:tcPr>
          <w:p w14:paraId="05D24661" w14:textId="778B3D76"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b/>
                <w:sz w:val="16"/>
                <w:szCs w:val="16"/>
                <w:u w:val="single"/>
              </w:rPr>
              <w:t>Reasons for treatment discontinuation:</w:t>
            </w:r>
          </w:p>
        </w:tc>
        <w:tc>
          <w:tcPr>
            <w:tcW w:w="1134" w:type="dxa"/>
            <w:tcBorders>
              <w:left w:val="nil"/>
              <w:right w:val="nil"/>
            </w:tcBorders>
            <w:shd w:val="clear" w:color="auto" w:fill="FFFFFF"/>
          </w:tcPr>
          <w:p w14:paraId="6EE2AA43" w14:textId="17843CCF"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tcPr>
          <w:p w14:paraId="08AAC0EF" w14:textId="3E6A852F"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19B83637" w14:textId="71D61EDA" w:rsidR="009A2107" w:rsidRPr="001626E5" w:rsidRDefault="009A2107" w:rsidP="001706A2">
            <w:pPr>
              <w:rPr>
                <w:rStyle w:val="st"/>
                <w:sz w:val="16"/>
                <w:szCs w:val="16"/>
              </w:rPr>
            </w:pPr>
          </w:p>
        </w:tc>
      </w:tr>
      <w:tr w:rsidR="009A2107" w:rsidRPr="00BC298F" w14:paraId="5B1426BA" w14:textId="77777777" w:rsidTr="00BC298F">
        <w:trPr>
          <w:cantSplit/>
          <w:jc w:val="center"/>
        </w:trPr>
        <w:tc>
          <w:tcPr>
            <w:tcW w:w="5671" w:type="dxa"/>
            <w:tcBorders>
              <w:left w:val="single" w:sz="4" w:space="0" w:color="auto"/>
              <w:right w:val="nil"/>
            </w:tcBorders>
            <w:tcMar>
              <w:left w:w="40" w:type="dxa"/>
              <w:right w:w="40" w:type="dxa"/>
            </w:tcMar>
            <w:vAlign w:val="bottom"/>
          </w:tcPr>
          <w:p w14:paraId="0CAC42E4" w14:textId="47DDB4B2"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Treatment status                      </w:t>
            </w:r>
          </w:p>
        </w:tc>
        <w:tc>
          <w:tcPr>
            <w:tcW w:w="1134" w:type="dxa"/>
            <w:tcBorders>
              <w:left w:val="nil"/>
              <w:right w:val="nil"/>
            </w:tcBorders>
            <w:shd w:val="clear" w:color="auto" w:fill="FFFFFF"/>
          </w:tcPr>
          <w:p w14:paraId="478ED2FC" w14:textId="0902DEB0" w:rsidR="009A2107" w:rsidRPr="001626E5" w:rsidRDefault="009A2107" w:rsidP="00065B26">
            <w:pPr>
              <w:rPr>
                <w:rStyle w:val="st"/>
                <w:sz w:val="16"/>
                <w:szCs w:val="16"/>
              </w:rPr>
            </w:pPr>
          </w:p>
        </w:tc>
        <w:tc>
          <w:tcPr>
            <w:tcW w:w="992" w:type="dxa"/>
            <w:tcBorders>
              <w:left w:val="nil"/>
              <w:right w:val="nil"/>
            </w:tcBorders>
            <w:shd w:val="clear" w:color="auto" w:fill="FFFFFF"/>
            <w:tcMar>
              <w:left w:w="40" w:type="dxa"/>
              <w:right w:w="40" w:type="dxa"/>
            </w:tcMar>
          </w:tcPr>
          <w:p w14:paraId="4D40E330" w14:textId="2D2BEBD4" w:rsidR="009A2107" w:rsidRPr="001626E5" w:rsidRDefault="009A2107" w:rsidP="00490E17">
            <w:pPr>
              <w:rPr>
                <w:rStyle w:val="st"/>
                <w:sz w:val="16"/>
                <w:szCs w:val="16"/>
              </w:rPr>
            </w:pPr>
          </w:p>
        </w:tc>
        <w:tc>
          <w:tcPr>
            <w:tcW w:w="1134" w:type="dxa"/>
            <w:tcBorders>
              <w:left w:val="nil"/>
              <w:right w:val="single" w:sz="4" w:space="0" w:color="auto"/>
            </w:tcBorders>
            <w:shd w:val="clear" w:color="auto" w:fill="FFFFFF"/>
            <w:tcMar>
              <w:left w:w="40" w:type="dxa"/>
              <w:right w:w="40" w:type="dxa"/>
            </w:tcMar>
          </w:tcPr>
          <w:p w14:paraId="4D5899E1" w14:textId="5554B18A" w:rsidR="009A2107" w:rsidRPr="001626E5" w:rsidRDefault="009A2107" w:rsidP="001706A2">
            <w:pPr>
              <w:rPr>
                <w:rStyle w:val="st"/>
                <w:sz w:val="16"/>
                <w:szCs w:val="16"/>
              </w:rPr>
            </w:pPr>
          </w:p>
        </w:tc>
      </w:tr>
      <w:tr w:rsidR="009A2107" w:rsidRPr="00BC298F" w14:paraId="58BCE1D5" w14:textId="77777777" w:rsidTr="00BC298F">
        <w:trPr>
          <w:cantSplit/>
          <w:jc w:val="center"/>
        </w:trPr>
        <w:tc>
          <w:tcPr>
            <w:tcW w:w="5671" w:type="dxa"/>
            <w:tcBorders>
              <w:left w:val="single" w:sz="4" w:space="0" w:color="auto"/>
              <w:right w:val="nil"/>
            </w:tcBorders>
            <w:tcMar>
              <w:left w:w="40" w:type="dxa"/>
              <w:right w:w="40" w:type="dxa"/>
            </w:tcMar>
            <w:vAlign w:val="bottom"/>
          </w:tcPr>
          <w:p w14:paraId="2F1E8D2E" w14:textId="2F0F3657" w:rsidR="009A2107" w:rsidRPr="001626E5" w:rsidRDefault="009A2107" w:rsidP="00DA6988">
            <w:pPr>
              <w:pStyle w:val="Tables"/>
              <w:rPr>
                <w:rStyle w:val="st"/>
                <w:rFonts w:ascii="Times New Roman" w:hAnsi="Times New Roman" w:cs="Times New Roman"/>
                <w:sz w:val="16"/>
                <w:szCs w:val="16"/>
              </w:rPr>
            </w:pPr>
            <w:r w:rsidRPr="001626E5">
              <w:rPr>
                <w:rFonts w:ascii="Times New Roman" w:hAnsi="Times New Roman" w:cs="Times New Roman"/>
                <w:sz w:val="16"/>
                <w:szCs w:val="16"/>
              </w:rPr>
              <w:t xml:space="preserve">     Ongoing                      </w:t>
            </w:r>
          </w:p>
        </w:tc>
        <w:tc>
          <w:tcPr>
            <w:tcW w:w="1134" w:type="dxa"/>
            <w:tcBorders>
              <w:left w:val="nil"/>
              <w:right w:val="nil"/>
            </w:tcBorders>
            <w:shd w:val="clear" w:color="auto" w:fill="FFFFFF"/>
          </w:tcPr>
          <w:p w14:paraId="421AEEDC" w14:textId="4792E739" w:rsidR="009A2107" w:rsidRPr="001626E5" w:rsidRDefault="009A2107" w:rsidP="00065B26">
            <w:pPr>
              <w:rPr>
                <w:rStyle w:val="st"/>
                <w:sz w:val="16"/>
                <w:szCs w:val="16"/>
              </w:rPr>
            </w:pPr>
            <w:r w:rsidRPr="001626E5">
              <w:rPr>
                <w:rStyle w:val="st"/>
                <w:sz w:val="16"/>
                <w:szCs w:val="16"/>
              </w:rPr>
              <w:t>5 (41</w:t>
            </w:r>
            <w:r w:rsidR="003B575D" w:rsidRPr="001626E5">
              <w:rPr>
                <w:sz w:val="16"/>
                <w:szCs w:val="16"/>
              </w:rPr>
              <w:t>·</w:t>
            </w:r>
            <w:r w:rsidRPr="001626E5">
              <w:rPr>
                <w:rStyle w:val="st"/>
                <w:sz w:val="16"/>
                <w:szCs w:val="16"/>
              </w:rPr>
              <w:t>7)</w:t>
            </w:r>
          </w:p>
        </w:tc>
        <w:tc>
          <w:tcPr>
            <w:tcW w:w="992" w:type="dxa"/>
            <w:tcBorders>
              <w:left w:val="nil"/>
              <w:right w:val="nil"/>
            </w:tcBorders>
            <w:shd w:val="clear" w:color="auto" w:fill="FFFFFF"/>
            <w:tcMar>
              <w:left w:w="40" w:type="dxa"/>
              <w:right w:w="40" w:type="dxa"/>
            </w:tcMar>
          </w:tcPr>
          <w:p w14:paraId="1E4A3CE6" w14:textId="69BD4667" w:rsidR="009A2107" w:rsidRPr="001626E5" w:rsidRDefault="009A2107" w:rsidP="00490E17">
            <w:pPr>
              <w:rPr>
                <w:rStyle w:val="st"/>
                <w:sz w:val="16"/>
                <w:szCs w:val="16"/>
              </w:rPr>
            </w:pPr>
            <w:r w:rsidRPr="001626E5">
              <w:rPr>
                <w:rStyle w:val="st"/>
                <w:sz w:val="16"/>
                <w:szCs w:val="16"/>
              </w:rPr>
              <w:t>2 (25</w:t>
            </w:r>
            <w:r w:rsidR="002341F8" w:rsidRPr="001626E5">
              <w:rPr>
                <w:sz w:val="16"/>
                <w:szCs w:val="16"/>
              </w:rPr>
              <w:t>·</w:t>
            </w:r>
            <w:r w:rsidRPr="001626E5">
              <w:rPr>
                <w:rStyle w:val="st"/>
                <w:sz w:val="16"/>
                <w:szCs w:val="16"/>
              </w:rPr>
              <w:t>0)</w:t>
            </w:r>
          </w:p>
        </w:tc>
        <w:tc>
          <w:tcPr>
            <w:tcW w:w="1134" w:type="dxa"/>
            <w:tcBorders>
              <w:left w:val="nil"/>
              <w:right w:val="single" w:sz="4" w:space="0" w:color="auto"/>
            </w:tcBorders>
            <w:shd w:val="clear" w:color="auto" w:fill="FFFFFF"/>
            <w:tcMar>
              <w:left w:w="40" w:type="dxa"/>
              <w:right w:w="40" w:type="dxa"/>
            </w:tcMar>
          </w:tcPr>
          <w:p w14:paraId="210F0844" w14:textId="1D42CF50" w:rsidR="009A2107" w:rsidRPr="001626E5" w:rsidRDefault="009A2107" w:rsidP="001706A2">
            <w:pPr>
              <w:rPr>
                <w:rStyle w:val="st"/>
                <w:sz w:val="16"/>
                <w:szCs w:val="16"/>
              </w:rPr>
            </w:pPr>
            <w:r w:rsidRPr="001626E5">
              <w:rPr>
                <w:rStyle w:val="st"/>
                <w:sz w:val="16"/>
                <w:szCs w:val="16"/>
              </w:rPr>
              <w:t>7 (35</w:t>
            </w:r>
            <w:r w:rsidR="005034A8" w:rsidRPr="001626E5">
              <w:rPr>
                <w:sz w:val="16"/>
                <w:szCs w:val="16"/>
              </w:rPr>
              <w:t>·</w:t>
            </w:r>
            <w:r w:rsidRPr="001626E5">
              <w:rPr>
                <w:rStyle w:val="st"/>
                <w:sz w:val="16"/>
                <w:szCs w:val="16"/>
              </w:rPr>
              <w:t>0)</w:t>
            </w:r>
          </w:p>
        </w:tc>
      </w:tr>
      <w:tr w:rsidR="009A2107" w:rsidRPr="00BC298F" w14:paraId="5ACC4B8D" w14:textId="77777777" w:rsidTr="00BC298F">
        <w:trPr>
          <w:cantSplit/>
          <w:jc w:val="center"/>
        </w:trPr>
        <w:tc>
          <w:tcPr>
            <w:tcW w:w="5671" w:type="dxa"/>
            <w:tcBorders>
              <w:left w:val="single" w:sz="4" w:space="0" w:color="auto"/>
              <w:right w:val="nil"/>
            </w:tcBorders>
            <w:tcMar>
              <w:left w:w="40" w:type="dxa"/>
              <w:right w:w="40" w:type="dxa"/>
            </w:tcMar>
            <w:vAlign w:val="bottom"/>
          </w:tcPr>
          <w:p w14:paraId="61308D02" w14:textId="75A463D8" w:rsidR="009A2107" w:rsidRPr="001626E5" w:rsidRDefault="009A2107" w:rsidP="00065B26">
            <w:pPr>
              <w:rPr>
                <w:rStyle w:val="st"/>
                <w:sz w:val="16"/>
                <w:szCs w:val="16"/>
              </w:rPr>
            </w:pPr>
            <w:r w:rsidRPr="001626E5">
              <w:rPr>
                <w:sz w:val="16"/>
                <w:szCs w:val="16"/>
              </w:rPr>
              <w:t xml:space="preserve">     Stopped                      </w:t>
            </w:r>
          </w:p>
        </w:tc>
        <w:tc>
          <w:tcPr>
            <w:tcW w:w="1134" w:type="dxa"/>
            <w:tcBorders>
              <w:left w:val="nil"/>
              <w:right w:val="nil"/>
            </w:tcBorders>
            <w:shd w:val="clear" w:color="auto" w:fill="FFFFFF"/>
            <w:vAlign w:val="center"/>
          </w:tcPr>
          <w:p w14:paraId="1E9E5D65" w14:textId="2717E723" w:rsidR="009A2107" w:rsidRPr="001626E5" w:rsidRDefault="009A2107" w:rsidP="00490E17">
            <w:pPr>
              <w:rPr>
                <w:sz w:val="16"/>
                <w:szCs w:val="16"/>
              </w:rPr>
            </w:pPr>
            <w:r w:rsidRPr="001626E5">
              <w:rPr>
                <w:sz w:val="16"/>
                <w:szCs w:val="16"/>
              </w:rPr>
              <w:t>7 (58</w:t>
            </w:r>
            <w:r w:rsidR="003B575D" w:rsidRPr="001626E5">
              <w:rPr>
                <w:sz w:val="16"/>
                <w:szCs w:val="16"/>
              </w:rPr>
              <w:t>·</w:t>
            </w:r>
            <w:r w:rsidRPr="001626E5">
              <w:rPr>
                <w:sz w:val="16"/>
                <w:szCs w:val="16"/>
              </w:rPr>
              <w:t>3)</w:t>
            </w:r>
          </w:p>
        </w:tc>
        <w:tc>
          <w:tcPr>
            <w:tcW w:w="992" w:type="dxa"/>
            <w:tcBorders>
              <w:left w:val="nil"/>
              <w:right w:val="nil"/>
            </w:tcBorders>
            <w:shd w:val="clear" w:color="auto" w:fill="FFFFFF"/>
            <w:tcMar>
              <w:left w:w="40" w:type="dxa"/>
              <w:right w:w="40" w:type="dxa"/>
            </w:tcMar>
          </w:tcPr>
          <w:p w14:paraId="3C71B319" w14:textId="5B0AF098" w:rsidR="009A2107" w:rsidRPr="001626E5" w:rsidRDefault="009A2107" w:rsidP="001706A2">
            <w:pPr>
              <w:rPr>
                <w:sz w:val="16"/>
                <w:szCs w:val="16"/>
              </w:rPr>
            </w:pPr>
            <w:r w:rsidRPr="001626E5">
              <w:rPr>
                <w:sz w:val="16"/>
                <w:szCs w:val="16"/>
              </w:rPr>
              <w:t>6 (75</w:t>
            </w:r>
            <w:r w:rsidR="002341F8" w:rsidRPr="001626E5">
              <w:rPr>
                <w:sz w:val="16"/>
                <w:szCs w:val="16"/>
              </w:rPr>
              <w:t>·</w:t>
            </w:r>
            <w:r w:rsidRPr="001626E5">
              <w:rPr>
                <w:sz w:val="16"/>
                <w:szCs w:val="16"/>
              </w:rPr>
              <w:t>0)</w:t>
            </w:r>
          </w:p>
        </w:tc>
        <w:tc>
          <w:tcPr>
            <w:tcW w:w="1134" w:type="dxa"/>
            <w:tcBorders>
              <w:left w:val="nil"/>
              <w:right w:val="single" w:sz="4" w:space="0" w:color="auto"/>
            </w:tcBorders>
            <w:shd w:val="clear" w:color="auto" w:fill="FFFFFF"/>
            <w:tcMar>
              <w:left w:w="40" w:type="dxa"/>
              <w:right w:w="40" w:type="dxa"/>
            </w:tcMar>
            <w:vAlign w:val="center"/>
          </w:tcPr>
          <w:p w14:paraId="70F0A3E4" w14:textId="4DBCF0FA" w:rsidR="009A2107" w:rsidRPr="001626E5" w:rsidRDefault="009A2107" w:rsidP="001706A2">
            <w:pPr>
              <w:rPr>
                <w:sz w:val="16"/>
                <w:szCs w:val="16"/>
              </w:rPr>
            </w:pPr>
            <w:r w:rsidRPr="001626E5">
              <w:rPr>
                <w:sz w:val="16"/>
                <w:szCs w:val="16"/>
              </w:rPr>
              <w:t>13 (65</w:t>
            </w:r>
            <w:r w:rsidR="005034A8" w:rsidRPr="001626E5">
              <w:rPr>
                <w:sz w:val="16"/>
                <w:szCs w:val="16"/>
              </w:rPr>
              <w:t>·</w:t>
            </w:r>
            <w:r w:rsidRPr="001626E5">
              <w:rPr>
                <w:sz w:val="16"/>
                <w:szCs w:val="16"/>
              </w:rPr>
              <w:t>0)</w:t>
            </w:r>
          </w:p>
        </w:tc>
      </w:tr>
      <w:tr w:rsidR="009A2107" w:rsidRPr="00BC298F" w14:paraId="4A9E667A" w14:textId="77777777" w:rsidTr="00BC298F">
        <w:trPr>
          <w:cantSplit/>
          <w:jc w:val="center"/>
        </w:trPr>
        <w:tc>
          <w:tcPr>
            <w:tcW w:w="5671" w:type="dxa"/>
            <w:tcBorders>
              <w:left w:val="single" w:sz="4" w:space="0" w:color="auto"/>
              <w:right w:val="nil"/>
            </w:tcBorders>
            <w:tcMar>
              <w:left w:w="40" w:type="dxa"/>
              <w:right w:w="40" w:type="dxa"/>
            </w:tcMar>
            <w:vAlign w:val="bottom"/>
          </w:tcPr>
          <w:p w14:paraId="50B697B4" w14:textId="77777777" w:rsidR="009A2107" w:rsidRPr="001626E5" w:rsidRDefault="009A2107" w:rsidP="00065B26">
            <w:pPr>
              <w:rPr>
                <w:sz w:val="16"/>
                <w:szCs w:val="16"/>
              </w:rPr>
            </w:pPr>
          </w:p>
        </w:tc>
        <w:tc>
          <w:tcPr>
            <w:tcW w:w="1134" w:type="dxa"/>
            <w:tcBorders>
              <w:left w:val="nil"/>
              <w:right w:val="nil"/>
            </w:tcBorders>
            <w:shd w:val="clear" w:color="auto" w:fill="FFFFFF"/>
          </w:tcPr>
          <w:p w14:paraId="07E6A6BE" w14:textId="77777777" w:rsidR="009A2107" w:rsidRPr="001626E5" w:rsidRDefault="009A2107" w:rsidP="00490E17">
            <w:pPr>
              <w:rPr>
                <w:sz w:val="16"/>
                <w:szCs w:val="16"/>
              </w:rPr>
            </w:pPr>
          </w:p>
        </w:tc>
        <w:tc>
          <w:tcPr>
            <w:tcW w:w="992" w:type="dxa"/>
            <w:tcBorders>
              <w:left w:val="nil"/>
              <w:right w:val="nil"/>
            </w:tcBorders>
            <w:shd w:val="clear" w:color="auto" w:fill="FFFFFF"/>
            <w:tcMar>
              <w:left w:w="40" w:type="dxa"/>
              <w:right w:w="40" w:type="dxa"/>
            </w:tcMar>
          </w:tcPr>
          <w:p w14:paraId="36976C0A" w14:textId="25F3F02D" w:rsidR="009A2107" w:rsidRPr="001626E5" w:rsidRDefault="009A2107" w:rsidP="001706A2">
            <w:pPr>
              <w:rPr>
                <w:sz w:val="16"/>
                <w:szCs w:val="16"/>
              </w:rPr>
            </w:pPr>
          </w:p>
        </w:tc>
        <w:tc>
          <w:tcPr>
            <w:tcW w:w="1134" w:type="dxa"/>
            <w:tcBorders>
              <w:left w:val="nil"/>
              <w:right w:val="single" w:sz="4" w:space="0" w:color="auto"/>
            </w:tcBorders>
            <w:shd w:val="clear" w:color="auto" w:fill="FFFFFF"/>
            <w:tcMar>
              <w:left w:w="40" w:type="dxa"/>
              <w:right w:w="40" w:type="dxa"/>
            </w:tcMar>
          </w:tcPr>
          <w:p w14:paraId="6A188B21" w14:textId="77777777" w:rsidR="009A2107" w:rsidRPr="001626E5" w:rsidRDefault="009A2107" w:rsidP="001706A2">
            <w:pPr>
              <w:rPr>
                <w:sz w:val="16"/>
                <w:szCs w:val="16"/>
              </w:rPr>
            </w:pPr>
          </w:p>
        </w:tc>
      </w:tr>
      <w:tr w:rsidR="009A2107" w:rsidRPr="00D87A2F" w14:paraId="5710C9D2" w14:textId="77777777" w:rsidTr="00BC298F">
        <w:trPr>
          <w:cantSplit/>
          <w:jc w:val="center"/>
        </w:trPr>
        <w:tc>
          <w:tcPr>
            <w:tcW w:w="5671" w:type="dxa"/>
            <w:tcBorders>
              <w:left w:val="single" w:sz="4" w:space="0" w:color="auto"/>
              <w:right w:val="nil"/>
            </w:tcBorders>
            <w:tcMar>
              <w:left w:w="40" w:type="dxa"/>
              <w:right w:w="40" w:type="dxa"/>
            </w:tcMar>
            <w:vAlign w:val="bottom"/>
          </w:tcPr>
          <w:p w14:paraId="3C595BBF" w14:textId="3A1B5A6D" w:rsidR="009A2107" w:rsidRPr="001626E5" w:rsidRDefault="009A2107" w:rsidP="00065B26">
            <w:pPr>
              <w:rPr>
                <w:sz w:val="16"/>
                <w:szCs w:val="16"/>
              </w:rPr>
            </w:pPr>
            <w:r w:rsidRPr="001626E5">
              <w:rPr>
                <w:sz w:val="16"/>
                <w:szCs w:val="16"/>
              </w:rPr>
              <w:t xml:space="preserve">Major reason for protocol treatment discontinuation    </w:t>
            </w:r>
          </w:p>
        </w:tc>
        <w:tc>
          <w:tcPr>
            <w:tcW w:w="1134" w:type="dxa"/>
            <w:tcBorders>
              <w:left w:val="nil"/>
              <w:right w:val="nil"/>
            </w:tcBorders>
            <w:shd w:val="clear" w:color="auto" w:fill="FFFFFF"/>
          </w:tcPr>
          <w:p w14:paraId="4B219005" w14:textId="77777777" w:rsidR="009A2107" w:rsidRPr="001626E5" w:rsidRDefault="009A2107" w:rsidP="00490E17">
            <w:pPr>
              <w:rPr>
                <w:sz w:val="16"/>
                <w:szCs w:val="16"/>
              </w:rPr>
            </w:pPr>
          </w:p>
        </w:tc>
        <w:tc>
          <w:tcPr>
            <w:tcW w:w="992" w:type="dxa"/>
            <w:tcBorders>
              <w:left w:val="nil"/>
              <w:right w:val="nil"/>
            </w:tcBorders>
            <w:shd w:val="clear" w:color="auto" w:fill="FFFFFF"/>
            <w:tcMar>
              <w:left w:w="40" w:type="dxa"/>
              <w:right w:w="40" w:type="dxa"/>
            </w:tcMar>
          </w:tcPr>
          <w:p w14:paraId="619EDD4A" w14:textId="77777777" w:rsidR="009A2107" w:rsidRPr="001626E5" w:rsidRDefault="009A2107" w:rsidP="001706A2">
            <w:pPr>
              <w:rPr>
                <w:sz w:val="16"/>
                <w:szCs w:val="16"/>
              </w:rPr>
            </w:pPr>
          </w:p>
        </w:tc>
        <w:tc>
          <w:tcPr>
            <w:tcW w:w="1134" w:type="dxa"/>
            <w:tcBorders>
              <w:left w:val="nil"/>
              <w:right w:val="single" w:sz="4" w:space="0" w:color="auto"/>
            </w:tcBorders>
            <w:shd w:val="clear" w:color="auto" w:fill="FFFFFF"/>
            <w:tcMar>
              <w:left w:w="40" w:type="dxa"/>
              <w:right w:w="40" w:type="dxa"/>
            </w:tcMar>
          </w:tcPr>
          <w:p w14:paraId="269C590B" w14:textId="77777777" w:rsidR="009A2107" w:rsidRPr="001626E5" w:rsidRDefault="009A2107" w:rsidP="001706A2">
            <w:pPr>
              <w:rPr>
                <w:sz w:val="16"/>
                <w:szCs w:val="16"/>
              </w:rPr>
            </w:pPr>
          </w:p>
        </w:tc>
      </w:tr>
      <w:tr w:rsidR="009A2107" w:rsidRPr="00BC298F" w14:paraId="63259CB5" w14:textId="77777777" w:rsidTr="00BC298F">
        <w:trPr>
          <w:cantSplit/>
          <w:jc w:val="center"/>
        </w:trPr>
        <w:tc>
          <w:tcPr>
            <w:tcW w:w="5671" w:type="dxa"/>
            <w:tcBorders>
              <w:left w:val="single" w:sz="4" w:space="0" w:color="auto"/>
              <w:right w:val="nil"/>
            </w:tcBorders>
            <w:tcMar>
              <w:left w:w="40" w:type="dxa"/>
              <w:right w:w="40" w:type="dxa"/>
            </w:tcMar>
            <w:vAlign w:val="bottom"/>
          </w:tcPr>
          <w:p w14:paraId="47A95A70" w14:textId="76C710AC" w:rsidR="009A2107" w:rsidRPr="001626E5" w:rsidRDefault="009A2107" w:rsidP="00065B26">
            <w:pPr>
              <w:rPr>
                <w:sz w:val="16"/>
                <w:szCs w:val="16"/>
              </w:rPr>
            </w:pPr>
            <w:r w:rsidRPr="001626E5">
              <w:rPr>
                <w:sz w:val="16"/>
                <w:szCs w:val="16"/>
              </w:rPr>
              <w:t xml:space="preserve">     Progression of IMFT                                                </w:t>
            </w:r>
          </w:p>
        </w:tc>
        <w:tc>
          <w:tcPr>
            <w:tcW w:w="1134" w:type="dxa"/>
            <w:tcBorders>
              <w:left w:val="nil"/>
              <w:right w:val="nil"/>
            </w:tcBorders>
            <w:shd w:val="clear" w:color="auto" w:fill="FFFFFF"/>
            <w:vAlign w:val="center"/>
          </w:tcPr>
          <w:p w14:paraId="46FF6144" w14:textId="64758707" w:rsidR="009A2107" w:rsidRPr="001626E5" w:rsidRDefault="009A2107" w:rsidP="00490E17">
            <w:pPr>
              <w:rPr>
                <w:sz w:val="16"/>
                <w:szCs w:val="16"/>
              </w:rPr>
            </w:pPr>
            <w:r w:rsidRPr="001626E5">
              <w:rPr>
                <w:sz w:val="16"/>
                <w:szCs w:val="16"/>
              </w:rPr>
              <w:t>2 (28</w:t>
            </w:r>
            <w:r w:rsidR="003B575D" w:rsidRPr="001626E5">
              <w:rPr>
                <w:sz w:val="16"/>
                <w:szCs w:val="16"/>
              </w:rPr>
              <w:t>·</w:t>
            </w:r>
            <w:r w:rsidRPr="001626E5">
              <w:rPr>
                <w:sz w:val="16"/>
                <w:szCs w:val="16"/>
              </w:rPr>
              <w:t>6)</w:t>
            </w:r>
          </w:p>
        </w:tc>
        <w:tc>
          <w:tcPr>
            <w:tcW w:w="992" w:type="dxa"/>
            <w:tcBorders>
              <w:left w:val="nil"/>
              <w:right w:val="nil"/>
            </w:tcBorders>
            <w:shd w:val="clear" w:color="auto" w:fill="FFFFFF"/>
            <w:tcMar>
              <w:left w:w="40" w:type="dxa"/>
              <w:right w:w="40" w:type="dxa"/>
            </w:tcMar>
            <w:vAlign w:val="center"/>
          </w:tcPr>
          <w:p w14:paraId="4E433ABB" w14:textId="0BC9FA14" w:rsidR="009A2107" w:rsidRPr="001626E5" w:rsidRDefault="009A2107" w:rsidP="001706A2">
            <w:pPr>
              <w:rPr>
                <w:sz w:val="16"/>
                <w:szCs w:val="16"/>
              </w:rPr>
            </w:pPr>
            <w:r w:rsidRPr="001626E5">
              <w:rPr>
                <w:sz w:val="16"/>
                <w:szCs w:val="16"/>
              </w:rPr>
              <w:t>4 (66</w:t>
            </w:r>
            <w:r w:rsidR="002341F8" w:rsidRPr="001626E5">
              <w:rPr>
                <w:sz w:val="16"/>
                <w:szCs w:val="16"/>
              </w:rPr>
              <w:t>·</w:t>
            </w:r>
            <w:r w:rsidRPr="001626E5">
              <w:rPr>
                <w:sz w:val="16"/>
                <w:szCs w:val="16"/>
              </w:rPr>
              <w:t>7)</w:t>
            </w:r>
          </w:p>
        </w:tc>
        <w:tc>
          <w:tcPr>
            <w:tcW w:w="1134" w:type="dxa"/>
            <w:tcBorders>
              <w:left w:val="nil"/>
              <w:right w:val="single" w:sz="4" w:space="0" w:color="auto"/>
            </w:tcBorders>
            <w:shd w:val="clear" w:color="auto" w:fill="FFFFFF"/>
            <w:tcMar>
              <w:left w:w="40" w:type="dxa"/>
              <w:right w:w="40" w:type="dxa"/>
            </w:tcMar>
            <w:vAlign w:val="center"/>
          </w:tcPr>
          <w:p w14:paraId="0430E749" w14:textId="5E8B7F45" w:rsidR="009A2107" w:rsidRPr="001626E5" w:rsidRDefault="009A2107" w:rsidP="001706A2">
            <w:pPr>
              <w:rPr>
                <w:sz w:val="16"/>
                <w:szCs w:val="16"/>
              </w:rPr>
            </w:pPr>
            <w:r w:rsidRPr="001626E5">
              <w:rPr>
                <w:sz w:val="16"/>
                <w:szCs w:val="16"/>
              </w:rPr>
              <w:t>6 (46</w:t>
            </w:r>
            <w:r w:rsidR="005034A8" w:rsidRPr="001626E5">
              <w:rPr>
                <w:sz w:val="16"/>
                <w:szCs w:val="16"/>
              </w:rPr>
              <w:t>·</w:t>
            </w:r>
            <w:r w:rsidRPr="001626E5">
              <w:rPr>
                <w:sz w:val="16"/>
                <w:szCs w:val="16"/>
              </w:rPr>
              <w:t>2)</w:t>
            </w:r>
          </w:p>
        </w:tc>
      </w:tr>
      <w:tr w:rsidR="009A2107" w:rsidRPr="00BC298F" w14:paraId="626E1960" w14:textId="77777777" w:rsidTr="00BC298F">
        <w:trPr>
          <w:cantSplit/>
          <w:jc w:val="center"/>
        </w:trPr>
        <w:tc>
          <w:tcPr>
            <w:tcW w:w="5671" w:type="dxa"/>
            <w:tcBorders>
              <w:left w:val="single" w:sz="4" w:space="0" w:color="auto"/>
              <w:right w:val="nil"/>
            </w:tcBorders>
            <w:tcMar>
              <w:left w:w="40" w:type="dxa"/>
              <w:right w:w="40" w:type="dxa"/>
            </w:tcMar>
            <w:vAlign w:val="bottom"/>
          </w:tcPr>
          <w:p w14:paraId="44713D65" w14:textId="216B610F" w:rsidR="009A2107" w:rsidRPr="001626E5" w:rsidRDefault="009A2107" w:rsidP="00065B26">
            <w:pPr>
              <w:rPr>
                <w:sz w:val="16"/>
                <w:szCs w:val="16"/>
              </w:rPr>
            </w:pPr>
            <w:r w:rsidRPr="001626E5">
              <w:rPr>
                <w:sz w:val="16"/>
                <w:szCs w:val="16"/>
              </w:rPr>
              <w:t xml:space="preserve">     Symptomatic deterioration without radiological evidence of progression of IMFT             </w:t>
            </w:r>
          </w:p>
        </w:tc>
        <w:tc>
          <w:tcPr>
            <w:tcW w:w="1134" w:type="dxa"/>
            <w:tcBorders>
              <w:left w:val="nil"/>
              <w:right w:val="nil"/>
            </w:tcBorders>
            <w:shd w:val="clear" w:color="auto" w:fill="FFFFFF"/>
            <w:vAlign w:val="center"/>
          </w:tcPr>
          <w:p w14:paraId="474D1486" w14:textId="289E6823" w:rsidR="009A2107" w:rsidRPr="001626E5" w:rsidRDefault="009A2107" w:rsidP="00490E17">
            <w:pPr>
              <w:rPr>
                <w:sz w:val="16"/>
                <w:szCs w:val="16"/>
              </w:rPr>
            </w:pPr>
            <w:r w:rsidRPr="001626E5">
              <w:rPr>
                <w:sz w:val="16"/>
                <w:szCs w:val="16"/>
              </w:rPr>
              <w:t>1 (14</w:t>
            </w:r>
            <w:r w:rsidR="003B575D" w:rsidRPr="001626E5">
              <w:rPr>
                <w:sz w:val="16"/>
                <w:szCs w:val="16"/>
              </w:rPr>
              <w:t>·</w:t>
            </w:r>
            <w:r w:rsidRPr="001626E5">
              <w:rPr>
                <w:sz w:val="16"/>
                <w:szCs w:val="16"/>
              </w:rPr>
              <w:t>3)</w:t>
            </w:r>
          </w:p>
        </w:tc>
        <w:tc>
          <w:tcPr>
            <w:tcW w:w="992" w:type="dxa"/>
            <w:tcBorders>
              <w:left w:val="nil"/>
              <w:right w:val="nil"/>
            </w:tcBorders>
            <w:shd w:val="clear" w:color="auto" w:fill="FFFFFF"/>
            <w:tcMar>
              <w:left w:w="40" w:type="dxa"/>
              <w:right w:w="40" w:type="dxa"/>
            </w:tcMar>
            <w:vAlign w:val="center"/>
          </w:tcPr>
          <w:p w14:paraId="7319216F" w14:textId="600DDA09" w:rsidR="009A2107" w:rsidRPr="001626E5" w:rsidRDefault="009A2107" w:rsidP="001706A2">
            <w:pPr>
              <w:rPr>
                <w:sz w:val="16"/>
                <w:szCs w:val="16"/>
              </w:rPr>
            </w:pPr>
            <w:r w:rsidRPr="001626E5">
              <w:rPr>
                <w:sz w:val="16"/>
                <w:szCs w:val="16"/>
              </w:rPr>
              <w:t>0 (0</w:t>
            </w:r>
            <w:r w:rsidR="002341F8" w:rsidRPr="001626E5">
              <w:rPr>
                <w:sz w:val="16"/>
                <w:szCs w:val="16"/>
              </w:rPr>
              <w:t>·</w:t>
            </w:r>
            <w:r w:rsidRPr="001626E5">
              <w:rPr>
                <w:sz w:val="16"/>
                <w:szCs w:val="16"/>
              </w:rPr>
              <w:t>0)</w:t>
            </w:r>
          </w:p>
        </w:tc>
        <w:tc>
          <w:tcPr>
            <w:tcW w:w="1134" w:type="dxa"/>
            <w:tcBorders>
              <w:left w:val="nil"/>
              <w:right w:val="single" w:sz="4" w:space="0" w:color="auto"/>
            </w:tcBorders>
            <w:shd w:val="clear" w:color="auto" w:fill="FFFFFF"/>
            <w:tcMar>
              <w:left w:w="40" w:type="dxa"/>
              <w:right w:w="40" w:type="dxa"/>
            </w:tcMar>
            <w:vAlign w:val="center"/>
          </w:tcPr>
          <w:p w14:paraId="2624877A" w14:textId="0E726483" w:rsidR="009A2107" w:rsidRPr="001626E5" w:rsidRDefault="009A2107" w:rsidP="001706A2">
            <w:pPr>
              <w:rPr>
                <w:sz w:val="16"/>
                <w:szCs w:val="16"/>
              </w:rPr>
            </w:pPr>
            <w:r w:rsidRPr="001626E5">
              <w:rPr>
                <w:sz w:val="16"/>
                <w:szCs w:val="16"/>
              </w:rPr>
              <w:t>1 (7</w:t>
            </w:r>
            <w:r w:rsidR="005034A8" w:rsidRPr="001626E5">
              <w:rPr>
                <w:sz w:val="16"/>
                <w:szCs w:val="16"/>
              </w:rPr>
              <w:t>·</w:t>
            </w:r>
            <w:r w:rsidRPr="001626E5">
              <w:rPr>
                <w:sz w:val="16"/>
                <w:szCs w:val="16"/>
              </w:rPr>
              <w:t>7)</w:t>
            </w:r>
          </w:p>
        </w:tc>
      </w:tr>
      <w:tr w:rsidR="009A2107" w:rsidRPr="00BC298F" w14:paraId="63E39EA0" w14:textId="77777777" w:rsidTr="00BC298F">
        <w:trPr>
          <w:cantSplit/>
          <w:jc w:val="center"/>
        </w:trPr>
        <w:tc>
          <w:tcPr>
            <w:tcW w:w="5671" w:type="dxa"/>
            <w:tcBorders>
              <w:left w:val="single" w:sz="4" w:space="0" w:color="auto"/>
              <w:right w:val="nil"/>
            </w:tcBorders>
            <w:tcMar>
              <w:left w:w="40" w:type="dxa"/>
              <w:right w:w="40" w:type="dxa"/>
            </w:tcMar>
            <w:vAlign w:val="bottom"/>
          </w:tcPr>
          <w:p w14:paraId="58FD8B6A" w14:textId="2E493C23" w:rsidR="009A2107" w:rsidRPr="001626E5" w:rsidRDefault="009A2107" w:rsidP="00065B26">
            <w:pPr>
              <w:rPr>
                <w:sz w:val="16"/>
                <w:szCs w:val="16"/>
              </w:rPr>
            </w:pPr>
            <w:r w:rsidRPr="001626E5">
              <w:rPr>
                <w:sz w:val="16"/>
                <w:szCs w:val="16"/>
              </w:rPr>
              <w:t xml:space="preserve">     Toxicity                                             </w:t>
            </w:r>
          </w:p>
        </w:tc>
        <w:tc>
          <w:tcPr>
            <w:tcW w:w="1134" w:type="dxa"/>
            <w:tcBorders>
              <w:left w:val="nil"/>
              <w:right w:val="nil"/>
            </w:tcBorders>
            <w:shd w:val="clear" w:color="auto" w:fill="FFFFFF"/>
            <w:vAlign w:val="center"/>
          </w:tcPr>
          <w:p w14:paraId="11DA3641" w14:textId="5586B5E1" w:rsidR="009A2107" w:rsidRPr="001626E5" w:rsidRDefault="009A2107" w:rsidP="00490E17">
            <w:pPr>
              <w:rPr>
                <w:sz w:val="16"/>
                <w:szCs w:val="16"/>
              </w:rPr>
            </w:pPr>
            <w:r w:rsidRPr="001626E5">
              <w:rPr>
                <w:sz w:val="16"/>
                <w:szCs w:val="16"/>
              </w:rPr>
              <w:t>0 (0</w:t>
            </w:r>
            <w:r w:rsidR="003B575D" w:rsidRPr="001626E5">
              <w:rPr>
                <w:sz w:val="16"/>
                <w:szCs w:val="16"/>
              </w:rPr>
              <w:t>·</w:t>
            </w:r>
            <w:r w:rsidRPr="001626E5">
              <w:rPr>
                <w:sz w:val="16"/>
                <w:szCs w:val="16"/>
              </w:rPr>
              <w:t>0)</w:t>
            </w:r>
          </w:p>
        </w:tc>
        <w:tc>
          <w:tcPr>
            <w:tcW w:w="992" w:type="dxa"/>
            <w:tcBorders>
              <w:left w:val="nil"/>
              <w:right w:val="nil"/>
            </w:tcBorders>
            <w:shd w:val="clear" w:color="auto" w:fill="FFFFFF"/>
            <w:tcMar>
              <w:left w:w="40" w:type="dxa"/>
              <w:right w:w="40" w:type="dxa"/>
            </w:tcMar>
            <w:vAlign w:val="center"/>
          </w:tcPr>
          <w:p w14:paraId="7B601FCB" w14:textId="2BFC4CBC" w:rsidR="009A2107" w:rsidRPr="001626E5" w:rsidRDefault="009A2107" w:rsidP="001706A2">
            <w:pPr>
              <w:rPr>
                <w:sz w:val="16"/>
                <w:szCs w:val="16"/>
              </w:rPr>
            </w:pPr>
            <w:r w:rsidRPr="001626E5">
              <w:rPr>
                <w:sz w:val="16"/>
                <w:szCs w:val="16"/>
              </w:rPr>
              <w:t>1 (16</w:t>
            </w:r>
            <w:r w:rsidR="002341F8" w:rsidRPr="001626E5">
              <w:rPr>
                <w:sz w:val="16"/>
                <w:szCs w:val="16"/>
              </w:rPr>
              <w:t>·</w:t>
            </w:r>
            <w:r w:rsidRPr="001626E5">
              <w:rPr>
                <w:sz w:val="16"/>
                <w:szCs w:val="16"/>
              </w:rPr>
              <w:t>7)</w:t>
            </w:r>
          </w:p>
        </w:tc>
        <w:tc>
          <w:tcPr>
            <w:tcW w:w="1134" w:type="dxa"/>
            <w:tcBorders>
              <w:left w:val="nil"/>
              <w:right w:val="single" w:sz="4" w:space="0" w:color="auto"/>
            </w:tcBorders>
            <w:shd w:val="clear" w:color="auto" w:fill="FFFFFF"/>
            <w:tcMar>
              <w:left w:w="40" w:type="dxa"/>
              <w:right w:w="40" w:type="dxa"/>
            </w:tcMar>
            <w:vAlign w:val="center"/>
          </w:tcPr>
          <w:p w14:paraId="31B0BA30" w14:textId="09189387" w:rsidR="009A2107" w:rsidRPr="001626E5" w:rsidRDefault="009A2107" w:rsidP="001706A2">
            <w:pPr>
              <w:rPr>
                <w:sz w:val="16"/>
                <w:szCs w:val="16"/>
              </w:rPr>
            </w:pPr>
            <w:r w:rsidRPr="001626E5">
              <w:rPr>
                <w:sz w:val="16"/>
                <w:szCs w:val="16"/>
              </w:rPr>
              <w:t>1 (7</w:t>
            </w:r>
            <w:r w:rsidR="005034A8" w:rsidRPr="001626E5">
              <w:rPr>
                <w:sz w:val="16"/>
                <w:szCs w:val="16"/>
              </w:rPr>
              <w:t>·</w:t>
            </w:r>
            <w:r w:rsidRPr="001626E5">
              <w:rPr>
                <w:sz w:val="16"/>
                <w:szCs w:val="16"/>
              </w:rPr>
              <w:t>7)</w:t>
            </w:r>
          </w:p>
        </w:tc>
      </w:tr>
      <w:tr w:rsidR="009A2107" w:rsidRPr="00BC298F" w14:paraId="3FEEC93E" w14:textId="77777777" w:rsidTr="00BC298F">
        <w:trPr>
          <w:cantSplit/>
          <w:jc w:val="center"/>
        </w:trPr>
        <w:tc>
          <w:tcPr>
            <w:tcW w:w="5671" w:type="dxa"/>
            <w:tcBorders>
              <w:left w:val="single" w:sz="4" w:space="0" w:color="auto"/>
              <w:right w:val="nil"/>
            </w:tcBorders>
            <w:tcMar>
              <w:left w:w="40" w:type="dxa"/>
              <w:right w:w="40" w:type="dxa"/>
            </w:tcMar>
            <w:vAlign w:val="bottom"/>
          </w:tcPr>
          <w:p w14:paraId="6B81E0E9" w14:textId="46AB1C40" w:rsidR="009A2107" w:rsidRPr="001626E5" w:rsidRDefault="009A2107" w:rsidP="00065B26">
            <w:pPr>
              <w:rPr>
                <w:sz w:val="16"/>
                <w:szCs w:val="16"/>
              </w:rPr>
            </w:pPr>
            <w:r w:rsidRPr="001626E5">
              <w:rPr>
                <w:sz w:val="16"/>
                <w:szCs w:val="16"/>
              </w:rPr>
              <w:t xml:space="preserve">     Patient's decision                                   </w:t>
            </w:r>
          </w:p>
        </w:tc>
        <w:tc>
          <w:tcPr>
            <w:tcW w:w="1134" w:type="dxa"/>
            <w:tcBorders>
              <w:left w:val="nil"/>
              <w:right w:val="nil"/>
            </w:tcBorders>
            <w:shd w:val="clear" w:color="auto" w:fill="FFFFFF"/>
            <w:vAlign w:val="center"/>
          </w:tcPr>
          <w:p w14:paraId="709E296D" w14:textId="0EE0639C" w:rsidR="009A2107" w:rsidRPr="001626E5" w:rsidRDefault="009A2107" w:rsidP="00490E17">
            <w:pPr>
              <w:rPr>
                <w:sz w:val="16"/>
                <w:szCs w:val="16"/>
              </w:rPr>
            </w:pPr>
            <w:r w:rsidRPr="001626E5">
              <w:rPr>
                <w:sz w:val="16"/>
                <w:szCs w:val="16"/>
              </w:rPr>
              <w:t>2 (28</w:t>
            </w:r>
            <w:r w:rsidR="003B575D" w:rsidRPr="001626E5">
              <w:rPr>
                <w:sz w:val="16"/>
                <w:szCs w:val="16"/>
              </w:rPr>
              <w:t>·</w:t>
            </w:r>
            <w:r w:rsidRPr="001626E5">
              <w:rPr>
                <w:sz w:val="16"/>
                <w:szCs w:val="16"/>
              </w:rPr>
              <w:t>6)</w:t>
            </w:r>
          </w:p>
        </w:tc>
        <w:tc>
          <w:tcPr>
            <w:tcW w:w="992" w:type="dxa"/>
            <w:tcBorders>
              <w:left w:val="nil"/>
              <w:right w:val="nil"/>
            </w:tcBorders>
            <w:shd w:val="clear" w:color="auto" w:fill="FFFFFF"/>
            <w:tcMar>
              <w:left w:w="40" w:type="dxa"/>
              <w:right w:w="40" w:type="dxa"/>
            </w:tcMar>
            <w:vAlign w:val="center"/>
          </w:tcPr>
          <w:p w14:paraId="7EA83241" w14:textId="515A08AD" w:rsidR="009A2107" w:rsidRPr="001626E5" w:rsidRDefault="009A2107" w:rsidP="001706A2">
            <w:pPr>
              <w:rPr>
                <w:sz w:val="16"/>
                <w:szCs w:val="16"/>
              </w:rPr>
            </w:pPr>
            <w:r w:rsidRPr="001626E5">
              <w:rPr>
                <w:sz w:val="16"/>
                <w:szCs w:val="16"/>
              </w:rPr>
              <w:t>0 (0</w:t>
            </w:r>
            <w:r w:rsidR="002341F8" w:rsidRPr="001626E5">
              <w:rPr>
                <w:sz w:val="16"/>
                <w:szCs w:val="16"/>
              </w:rPr>
              <w:t>·</w:t>
            </w:r>
            <w:r w:rsidRPr="001626E5">
              <w:rPr>
                <w:sz w:val="16"/>
                <w:szCs w:val="16"/>
              </w:rPr>
              <w:t>0)</w:t>
            </w:r>
          </w:p>
        </w:tc>
        <w:tc>
          <w:tcPr>
            <w:tcW w:w="1134" w:type="dxa"/>
            <w:tcBorders>
              <w:left w:val="nil"/>
              <w:right w:val="single" w:sz="4" w:space="0" w:color="auto"/>
            </w:tcBorders>
            <w:shd w:val="clear" w:color="auto" w:fill="FFFFFF"/>
            <w:tcMar>
              <w:left w:w="40" w:type="dxa"/>
              <w:right w:w="40" w:type="dxa"/>
            </w:tcMar>
            <w:vAlign w:val="center"/>
          </w:tcPr>
          <w:p w14:paraId="159CEAF7" w14:textId="060BA6C0" w:rsidR="009A2107" w:rsidRPr="001626E5" w:rsidRDefault="009A2107" w:rsidP="001706A2">
            <w:pPr>
              <w:rPr>
                <w:sz w:val="16"/>
                <w:szCs w:val="16"/>
              </w:rPr>
            </w:pPr>
            <w:r w:rsidRPr="001626E5">
              <w:rPr>
                <w:sz w:val="16"/>
                <w:szCs w:val="16"/>
              </w:rPr>
              <w:t>2 (15</w:t>
            </w:r>
            <w:r w:rsidR="005034A8" w:rsidRPr="001626E5">
              <w:rPr>
                <w:sz w:val="16"/>
                <w:szCs w:val="16"/>
              </w:rPr>
              <w:t>·</w:t>
            </w:r>
            <w:r w:rsidRPr="001626E5">
              <w:rPr>
                <w:sz w:val="16"/>
                <w:szCs w:val="16"/>
              </w:rPr>
              <w:t>4)</w:t>
            </w:r>
          </w:p>
        </w:tc>
      </w:tr>
      <w:tr w:rsidR="009A2107" w:rsidRPr="00BC298F" w14:paraId="0A072474" w14:textId="77777777" w:rsidTr="00BC298F">
        <w:trPr>
          <w:cantSplit/>
          <w:jc w:val="center"/>
        </w:trPr>
        <w:tc>
          <w:tcPr>
            <w:tcW w:w="5671" w:type="dxa"/>
            <w:tcBorders>
              <w:left w:val="single" w:sz="4" w:space="0" w:color="auto"/>
              <w:bottom w:val="single" w:sz="4" w:space="0" w:color="auto"/>
              <w:right w:val="nil"/>
            </w:tcBorders>
            <w:tcMar>
              <w:left w:w="40" w:type="dxa"/>
              <w:right w:w="40" w:type="dxa"/>
            </w:tcMar>
            <w:vAlign w:val="bottom"/>
          </w:tcPr>
          <w:p w14:paraId="790D0F0F" w14:textId="4F0E1FA6" w:rsidR="009A2107" w:rsidRPr="001626E5" w:rsidRDefault="009A2107" w:rsidP="00065B26">
            <w:pPr>
              <w:rPr>
                <w:sz w:val="16"/>
                <w:szCs w:val="16"/>
              </w:rPr>
            </w:pPr>
            <w:r w:rsidRPr="001626E5">
              <w:rPr>
                <w:sz w:val="16"/>
                <w:szCs w:val="16"/>
              </w:rPr>
              <w:t xml:space="preserve">     Other       </w:t>
            </w:r>
          </w:p>
        </w:tc>
        <w:tc>
          <w:tcPr>
            <w:tcW w:w="1134" w:type="dxa"/>
            <w:tcBorders>
              <w:left w:val="nil"/>
              <w:bottom w:val="single" w:sz="4" w:space="0" w:color="auto"/>
              <w:right w:val="nil"/>
            </w:tcBorders>
            <w:shd w:val="clear" w:color="auto" w:fill="FFFFFF"/>
            <w:vAlign w:val="center"/>
          </w:tcPr>
          <w:p w14:paraId="0507AA6A" w14:textId="0808B552" w:rsidR="009A2107" w:rsidRPr="001626E5" w:rsidRDefault="009A2107" w:rsidP="00490E17">
            <w:pPr>
              <w:rPr>
                <w:sz w:val="16"/>
                <w:szCs w:val="16"/>
              </w:rPr>
            </w:pPr>
            <w:r w:rsidRPr="001626E5">
              <w:rPr>
                <w:sz w:val="16"/>
                <w:szCs w:val="16"/>
              </w:rPr>
              <w:t>2 (28</w:t>
            </w:r>
            <w:r w:rsidR="003B575D" w:rsidRPr="001626E5">
              <w:rPr>
                <w:sz w:val="16"/>
                <w:szCs w:val="16"/>
              </w:rPr>
              <w:t>·</w:t>
            </w:r>
            <w:r w:rsidRPr="001626E5">
              <w:rPr>
                <w:sz w:val="16"/>
                <w:szCs w:val="16"/>
              </w:rPr>
              <w:t>6)</w:t>
            </w:r>
          </w:p>
        </w:tc>
        <w:tc>
          <w:tcPr>
            <w:tcW w:w="992" w:type="dxa"/>
            <w:tcBorders>
              <w:left w:val="nil"/>
              <w:bottom w:val="single" w:sz="4" w:space="0" w:color="auto"/>
              <w:right w:val="nil"/>
            </w:tcBorders>
            <w:shd w:val="clear" w:color="auto" w:fill="FFFFFF"/>
            <w:tcMar>
              <w:left w:w="40" w:type="dxa"/>
              <w:right w:w="40" w:type="dxa"/>
            </w:tcMar>
            <w:vAlign w:val="center"/>
          </w:tcPr>
          <w:p w14:paraId="122150A5" w14:textId="5120CCA6" w:rsidR="009A2107" w:rsidRPr="001626E5" w:rsidRDefault="009A2107" w:rsidP="001706A2">
            <w:pPr>
              <w:rPr>
                <w:sz w:val="16"/>
                <w:szCs w:val="16"/>
              </w:rPr>
            </w:pPr>
            <w:r w:rsidRPr="001626E5">
              <w:rPr>
                <w:sz w:val="16"/>
                <w:szCs w:val="16"/>
              </w:rPr>
              <w:t>1 (16</w:t>
            </w:r>
            <w:r w:rsidR="002341F8" w:rsidRPr="001626E5">
              <w:rPr>
                <w:sz w:val="16"/>
                <w:szCs w:val="16"/>
              </w:rPr>
              <w:t>·</w:t>
            </w:r>
            <w:r w:rsidRPr="001626E5">
              <w:rPr>
                <w:sz w:val="16"/>
                <w:szCs w:val="16"/>
              </w:rPr>
              <w:t>7)</w:t>
            </w:r>
          </w:p>
        </w:tc>
        <w:tc>
          <w:tcPr>
            <w:tcW w:w="1134" w:type="dxa"/>
            <w:tcBorders>
              <w:left w:val="nil"/>
              <w:bottom w:val="single" w:sz="4" w:space="0" w:color="auto"/>
              <w:right w:val="single" w:sz="4" w:space="0" w:color="auto"/>
            </w:tcBorders>
            <w:shd w:val="clear" w:color="auto" w:fill="FFFFFF"/>
            <w:tcMar>
              <w:left w:w="40" w:type="dxa"/>
              <w:right w:w="40" w:type="dxa"/>
            </w:tcMar>
            <w:vAlign w:val="center"/>
          </w:tcPr>
          <w:p w14:paraId="231F7CE5" w14:textId="7257EF8B" w:rsidR="009A2107" w:rsidRPr="001626E5" w:rsidRDefault="009A2107" w:rsidP="001706A2">
            <w:pPr>
              <w:rPr>
                <w:sz w:val="16"/>
                <w:szCs w:val="16"/>
              </w:rPr>
            </w:pPr>
            <w:r w:rsidRPr="001626E5">
              <w:rPr>
                <w:sz w:val="16"/>
                <w:szCs w:val="16"/>
              </w:rPr>
              <w:t>3 (23</w:t>
            </w:r>
            <w:r w:rsidR="005034A8" w:rsidRPr="001626E5">
              <w:rPr>
                <w:sz w:val="16"/>
                <w:szCs w:val="16"/>
              </w:rPr>
              <w:t>·</w:t>
            </w:r>
            <w:r w:rsidRPr="001626E5">
              <w:rPr>
                <w:sz w:val="16"/>
                <w:szCs w:val="16"/>
              </w:rPr>
              <w:t>1)</w:t>
            </w:r>
          </w:p>
        </w:tc>
      </w:tr>
    </w:tbl>
    <w:p w14:paraId="047757AB" w14:textId="77777777" w:rsidR="00BC298F" w:rsidRDefault="00BC298F" w:rsidP="00065B26"/>
    <w:p w14:paraId="2F92F38C" w14:textId="77777777" w:rsidR="0036416F" w:rsidRDefault="0036416F" w:rsidP="00065B26">
      <w:r>
        <w:br w:type="page"/>
      </w:r>
    </w:p>
    <w:p w14:paraId="2421A3B5" w14:textId="30846BB3" w:rsidR="00997082" w:rsidRPr="00D65912" w:rsidRDefault="00997082" w:rsidP="00490E17">
      <w:r w:rsidRPr="00151D6C">
        <w:rPr>
          <w:b/>
        </w:rPr>
        <w:t xml:space="preserve">Table </w:t>
      </w:r>
      <w:r w:rsidR="0036416F" w:rsidRPr="00151D6C">
        <w:rPr>
          <w:b/>
        </w:rPr>
        <w:t>4</w:t>
      </w:r>
      <w:r w:rsidRPr="00151D6C">
        <w:rPr>
          <w:b/>
        </w:rPr>
        <w:t>.</w:t>
      </w:r>
      <w:r w:rsidRPr="00151D6C">
        <w:t xml:space="preserve"> Response assessment and efficacy summary, according to investigator assessment</w:t>
      </w:r>
      <w:r w:rsidRPr="00D65912">
        <w:t>.</w:t>
      </w:r>
    </w:p>
    <w:p w14:paraId="11BB40C2" w14:textId="77777777" w:rsidR="00C118F6" w:rsidRPr="00D65912" w:rsidRDefault="00C118F6" w:rsidP="001706A2"/>
    <w:tbl>
      <w:tblPr>
        <w:tblW w:w="8292" w:type="dxa"/>
        <w:jc w:val="center"/>
        <w:tblLayout w:type="fixed"/>
        <w:tblCellMar>
          <w:left w:w="0" w:type="dxa"/>
          <w:right w:w="0" w:type="dxa"/>
        </w:tblCellMar>
        <w:tblLook w:val="0000" w:firstRow="0" w:lastRow="0" w:firstColumn="0" w:lastColumn="0" w:noHBand="0" w:noVBand="0"/>
      </w:tblPr>
      <w:tblGrid>
        <w:gridCol w:w="4227"/>
        <w:gridCol w:w="1355"/>
        <w:gridCol w:w="1355"/>
        <w:gridCol w:w="1355"/>
      </w:tblGrid>
      <w:tr w:rsidR="0036416F" w14:paraId="72A1DADF" w14:textId="77777777" w:rsidTr="000C14A3">
        <w:trPr>
          <w:cantSplit/>
          <w:tblHeader/>
          <w:jc w:val="center"/>
        </w:trPr>
        <w:tc>
          <w:tcPr>
            <w:tcW w:w="4227" w:type="dxa"/>
            <w:tcBorders>
              <w:top w:val="single" w:sz="4" w:space="0" w:color="auto"/>
              <w:left w:val="single" w:sz="4" w:space="0" w:color="000000"/>
              <w:right w:val="nil"/>
            </w:tcBorders>
            <w:shd w:val="clear" w:color="auto" w:fill="E0E0E0"/>
            <w:tcMar>
              <w:left w:w="40" w:type="dxa"/>
              <w:right w:w="40" w:type="dxa"/>
            </w:tcMar>
            <w:vAlign w:val="bottom"/>
          </w:tcPr>
          <w:p w14:paraId="58A83417" w14:textId="0D608D77" w:rsidR="0036416F" w:rsidRPr="00DB248E" w:rsidRDefault="0036416F" w:rsidP="001706A2">
            <w:pPr>
              <w:rPr>
                <w:sz w:val="16"/>
                <w:szCs w:val="16"/>
              </w:rPr>
            </w:pPr>
          </w:p>
        </w:tc>
        <w:tc>
          <w:tcPr>
            <w:tcW w:w="2710" w:type="dxa"/>
            <w:gridSpan w:val="2"/>
            <w:tcBorders>
              <w:top w:val="single" w:sz="4" w:space="0" w:color="auto"/>
              <w:left w:val="nil"/>
              <w:right w:val="nil"/>
            </w:tcBorders>
            <w:shd w:val="clear" w:color="auto" w:fill="E0E0E0"/>
            <w:vAlign w:val="bottom"/>
          </w:tcPr>
          <w:p w14:paraId="47E34181" w14:textId="726EED5B" w:rsidR="0036416F" w:rsidRPr="00DB248E" w:rsidRDefault="0036416F" w:rsidP="00CA3E9E">
            <w:pPr>
              <w:rPr>
                <w:i/>
                <w:sz w:val="16"/>
                <w:szCs w:val="16"/>
              </w:rPr>
            </w:pPr>
            <w:r w:rsidRPr="00DB248E">
              <w:rPr>
                <w:sz w:val="16"/>
                <w:szCs w:val="16"/>
              </w:rPr>
              <w:t xml:space="preserve">               </w:t>
            </w:r>
            <w:r w:rsidRPr="00DB248E">
              <w:rPr>
                <w:i/>
                <w:sz w:val="16"/>
                <w:szCs w:val="16"/>
              </w:rPr>
              <w:t>ALK</w:t>
            </w:r>
            <w:r w:rsidRPr="00DB248E">
              <w:rPr>
                <w:sz w:val="16"/>
                <w:szCs w:val="16"/>
              </w:rPr>
              <w:t xml:space="preserve"> status</w:t>
            </w:r>
          </w:p>
        </w:tc>
        <w:tc>
          <w:tcPr>
            <w:tcW w:w="1355" w:type="dxa"/>
            <w:tcBorders>
              <w:top w:val="single" w:sz="4" w:space="0" w:color="auto"/>
              <w:left w:val="nil"/>
              <w:right w:val="single" w:sz="4" w:space="0" w:color="000000"/>
            </w:tcBorders>
            <w:shd w:val="clear" w:color="auto" w:fill="E0E0E0"/>
            <w:tcMar>
              <w:left w:w="40" w:type="dxa"/>
              <w:right w:w="40" w:type="dxa"/>
            </w:tcMar>
            <w:vAlign w:val="bottom"/>
          </w:tcPr>
          <w:p w14:paraId="7454C1F5" w14:textId="59558B0D" w:rsidR="0036416F" w:rsidRPr="00DB248E" w:rsidRDefault="0036416F" w:rsidP="00DB248E">
            <w:pPr>
              <w:rPr>
                <w:sz w:val="16"/>
                <w:szCs w:val="16"/>
              </w:rPr>
            </w:pPr>
          </w:p>
        </w:tc>
      </w:tr>
      <w:tr w:rsidR="0036416F" w14:paraId="34E3E8F3" w14:textId="77777777" w:rsidTr="000C14A3">
        <w:trPr>
          <w:cantSplit/>
          <w:tblHeader/>
          <w:jc w:val="center"/>
        </w:trPr>
        <w:tc>
          <w:tcPr>
            <w:tcW w:w="4227" w:type="dxa"/>
            <w:tcBorders>
              <w:top w:val="nil"/>
              <w:left w:val="single" w:sz="4" w:space="0" w:color="000000"/>
              <w:bottom w:val="single" w:sz="4" w:space="0" w:color="auto"/>
              <w:right w:val="nil"/>
            </w:tcBorders>
            <w:shd w:val="clear" w:color="auto" w:fill="E0E0E0"/>
            <w:tcMar>
              <w:left w:w="40" w:type="dxa"/>
              <w:right w:w="40" w:type="dxa"/>
            </w:tcMar>
            <w:vAlign w:val="bottom"/>
          </w:tcPr>
          <w:p w14:paraId="46569B6A" w14:textId="77777777" w:rsidR="0036416F" w:rsidRPr="00DB248E" w:rsidRDefault="0036416F" w:rsidP="00065B26">
            <w:pPr>
              <w:rPr>
                <w:sz w:val="16"/>
                <w:szCs w:val="16"/>
              </w:rPr>
            </w:pPr>
          </w:p>
        </w:tc>
        <w:tc>
          <w:tcPr>
            <w:tcW w:w="1355" w:type="dxa"/>
            <w:tcBorders>
              <w:top w:val="nil"/>
              <w:left w:val="nil"/>
              <w:bottom w:val="single" w:sz="4" w:space="0" w:color="auto"/>
              <w:right w:val="nil"/>
            </w:tcBorders>
            <w:shd w:val="clear" w:color="auto" w:fill="E0E0E0"/>
            <w:vAlign w:val="bottom"/>
          </w:tcPr>
          <w:p w14:paraId="03951BD6" w14:textId="0ACE1ABB" w:rsidR="0036416F" w:rsidRPr="00DB248E" w:rsidRDefault="0036416F" w:rsidP="00490E17">
            <w:pPr>
              <w:rPr>
                <w:i/>
                <w:sz w:val="16"/>
                <w:szCs w:val="16"/>
              </w:rPr>
            </w:pPr>
            <w:r w:rsidRPr="00DB248E">
              <w:rPr>
                <w:i/>
                <w:sz w:val="16"/>
                <w:szCs w:val="16"/>
              </w:rPr>
              <w:t>ALK</w:t>
            </w:r>
            <w:r w:rsidRPr="00DB248E">
              <w:rPr>
                <w:sz w:val="16"/>
                <w:szCs w:val="16"/>
              </w:rPr>
              <w:t>+</w:t>
            </w:r>
            <w:r w:rsidRPr="00DB248E">
              <w:rPr>
                <w:sz w:val="16"/>
                <w:szCs w:val="16"/>
              </w:rPr>
              <w:br/>
              <w:t>(N=12)</w:t>
            </w:r>
          </w:p>
        </w:tc>
        <w:tc>
          <w:tcPr>
            <w:tcW w:w="1355" w:type="dxa"/>
            <w:tcBorders>
              <w:top w:val="nil"/>
              <w:left w:val="nil"/>
              <w:bottom w:val="single" w:sz="4" w:space="0" w:color="auto"/>
              <w:right w:val="nil"/>
            </w:tcBorders>
            <w:shd w:val="clear" w:color="auto" w:fill="E0E0E0"/>
            <w:tcMar>
              <w:left w:w="40" w:type="dxa"/>
              <w:right w:w="40" w:type="dxa"/>
            </w:tcMar>
            <w:vAlign w:val="bottom"/>
          </w:tcPr>
          <w:p w14:paraId="0A598A8E" w14:textId="3CBEBB5F" w:rsidR="0036416F" w:rsidRPr="00DB248E" w:rsidRDefault="0036416F" w:rsidP="001706A2">
            <w:pPr>
              <w:rPr>
                <w:sz w:val="16"/>
                <w:szCs w:val="16"/>
              </w:rPr>
            </w:pPr>
            <w:r w:rsidRPr="00DB248E">
              <w:rPr>
                <w:i/>
                <w:sz w:val="16"/>
                <w:szCs w:val="16"/>
              </w:rPr>
              <w:t>ALK</w:t>
            </w:r>
            <w:r w:rsidRPr="00DB248E">
              <w:rPr>
                <w:sz w:val="16"/>
                <w:szCs w:val="16"/>
              </w:rPr>
              <w:t>-</w:t>
            </w:r>
            <w:r w:rsidRPr="00DB248E">
              <w:rPr>
                <w:sz w:val="16"/>
                <w:szCs w:val="16"/>
              </w:rPr>
              <w:br/>
              <w:t>(N=</w:t>
            </w:r>
            <w:r w:rsidR="009F356E" w:rsidRPr="00DB248E">
              <w:rPr>
                <w:sz w:val="16"/>
                <w:szCs w:val="16"/>
              </w:rPr>
              <w:t>7</w:t>
            </w:r>
            <w:r w:rsidRPr="00DB248E">
              <w:rPr>
                <w:sz w:val="16"/>
                <w:szCs w:val="16"/>
              </w:rPr>
              <w:t>)</w:t>
            </w:r>
          </w:p>
        </w:tc>
        <w:tc>
          <w:tcPr>
            <w:tcW w:w="1355" w:type="dxa"/>
            <w:tcBorders>
              <w:top w:val="nil"/>
              <w:left w:val="nil"/>
              <w:bottom w:val="single" w:sz="4" w:space="0" w:color="auto"/>
              <w:right w:val="single" w:sz="4" w:space="0" w:color="000000"/>
            </w:tcBorders>
            <w:shd w:val="clear" w:color="auto" w:fill="E0E0E0"/>
            <w:tcMar>
              <w:left w:w="40" w:type="dxa"/>
              <w:right w:w="40" w:type="dxa"/>
            </w:tcMar>
            <w:vAlign w:val="bottom"/>
          </w:tcPr>
          <w:p w14:paraId="28252AB3" w14:textId="1438DD6D" w:rsidR="0036416F" w:rsidRPr="00DB248E" w:rsidRDefault="0036416F" w:rsidP="001706A2">
            <w:pPr>
              <w:rPr>
                <w:sz w:val="16"/>
                <w:szCs w:val="16"/>
              </w:rPr>
            </w:pPr>
            <w:r w:rsidRPr="00DB248E">
              <w:rPr>
                <w:sz w:val="16"/>
                <w:szCs w:val="16"/>
              </w:rPr>
              <w:t>Total</w:t>
            </w:r>
            <w:r w:rsidRPr="00DB248E">
              <w:rPr>
                <w:sz w:val="16"/>
                <w:szCs w:val="16"/>
              </w:rPr>
              <w:br/>
              <w:t>(N=</w:t>
            </w:r>
            <w:r w:rsidR="009F356E" w:rsidRPr="00DB248E">
              <w:rPr>
                <w:sz w:val="16"/>
                <w:szCs w:val="16"/>
              </w:rPr>
              <w:t>19</w:t>
            </w:r>
            <w:r w:rsidRPr="00DB248E">
              <w:rPr>
                <w:sz w:val="16"/>
                <w:szCs w:val="16"/>
              </w:rPr>
              <w:t>)</w:t>
            </w:r>
          </w:p>
        </w:tc>
      </w:tr>
      <w:tr w:rsidR="000C14A3" w14:paraId="19207AEC" w14:textId="77777777" w:rsidTr="000C14A3">
        <w:trPr>
          <w:cantSplit/>
          <w:jc w:val="center"/>
        </w:trPr>
        <w:tc>
          <w:tcPr>
            <w:tcW w:w="4227" w:type="dxa"/>
            <w:tcBorders>
              <w:top w:val="single" w:sz="4" w:space="0" w:color="auto"/>
              <w:left w:val="single" w:sz="4" w:space="0" w:color="000000"/>
              <w:bottom w:val="nil"/>
              <w:right w:val="nil"/>
            </w:tcBorders>
            <w:tcMar>
              <w:left w:w="40" w:type="dxa"/>
              <w:right w:w="40" w:type="dxa"/>
            </w:tcMar>
          </w:tcPr>
          <w:p w14:paraId="266C768A" w14:textId="77777777" w:rsidR="000C14A3" w:rsidRPr="00DB248E" w:rsidRDefault="000C14A3" w:rsidP="00065B26">
            <w:pPr>
              <w:rPr>
                <w:bCs/>
                <w:sz w:val="16"/>
                <w:szCs w:val="16"/>
              </w:rPr>
            </w:pPr>
            <w:r w:rsidRPr="00DB248E">
              <w:rPr>
                <w:sz w:val="16"/>
                <w:szCs w:val="16"/>
              </w:rPr>
              <w:t>Best RECIST 1.1 response</w:t>
            </w:r>
          </w:p>
        </w:tc>
        <w:tc>
          <w:tcPr>
            <w:tcW w:w="1355" w:type="dxa"/>
            <w:tcBorders>
              <w:top w:val="single" w:sz="4" w:space="0" w:color="auto"/>
              <w:left w:val="nil"/>
              <w:bottom w:val="nil"/>
              <w:right w:val="nil"/>
            </w:tcBorders>
          </w:tcPr>
          <w:p w14:paraId="2A0C51D1" w14:textId="77777777" w:rsidR="000C14A3" w:rsidRPr="00DB248E" w:rsidRDefault="000C14A3" w:rsidP="00490E17">
            <w:pPr>
              <w:rPr>
                <w:sz w:val="16"/>
                <w:szCs w:val="16"/>
              </w:rPr>
            </w:pPr>
            <w:r w:rsidRPr="00DB248E">
              <w:rPr>
                <w:sz w:val="16"/>
                <w:szCs w:val="16"/>
              </w:rPr>
              <w:t xml:space="preserve">                                                                                                    </w:t>
            </w:r>
          </w:p>
        </w:tc>
        <w:tc>
          <w:tcPr>
            <w:tcW w:w="1355" w:type="dxa"/>
            <w:tcBorders>
              <w:top w:val="single" w:sz="4" w:space="0" w:color="auto"/>
              <w:left w:val="nil"/>
              <w:bottom w:val="nil"/>
              <w:right w:val="nil"/>
            </w:tcBorders>
            <w:tcMar>
              <w:left w:w="40" w:type="dxa"/>
              <w:right w:w="40" w:type="dxa"/>
            </w:tcMar>
          </w:tcPr>
          <w:p w14:paraId="35AB95EB" w14:textId="77777777" w:rsidR="000C14A3" w:rsidRPr="00DB248E" w:rsidRDefault="000C14A3" w:rsidP="001706A2">
            <w:pPr>
              <w:rPr>
                <w:sz w:val="16"/>
                <w:szCs w:val="16"/>
              </w:rPr>
            </w:pPr>
            <w:r w:rsidRPr="00DB248E">
              <w:rPr>
                <w:sz w:val="16"/>
                <w:szCs w:val="16"/>
              </w:rPr>
              <w:t xml:space="preserve">                                                                                                    </w:t>
            </w:r>
          </w:p>
        </w:tc>
        <w:tc>
          <w:tcPr>
            <w:tcW w:w="1355" w:type="dxa"/>
            <w:tcBorders>
              <w:top w:val="single" w:sz="4" w:space="0" w:color="auto"/>
              <w:left w:val="nil"/>
              <w:bottom w:val="nil"/>
              <w:right w:val="single" w:sz="4" w:space="0" w:color="000000"/>
            </w:tcBorders>
            <w:tcMar>
              <w:left w:w="40" w:type="dxa"/>
              <w:right w:w="40" w:type="dxa"/>
            </w:tcMar>
          </w:tcPr>
          <w:p w14:paraId="12A32DCB" w14:textId="77777777" w:rsidR="000C14A3" w:rsidRPr="00DB248E" w:rsidRDefault="000C14A3" w:rsidP="001706A2">
            <w:pPr>
              <w:rPr>
                <w:sz w:val="16"/>
                <w:szCs w:val="16"/>
              </w:rPr>
            </w:pPr>
            <w:r w:rsidRPr="00DB248E">
              <w:rPr>
                <w:sz w:val="16"/>
                <w:szCs w:val="16"/>
              </w:rPr>
              <w:t xml:space="preserve">                                                                                                    </w:t>
            </w:r>
          </w:p>
        </w:tc>
      </w:tr>
      <w:tr w:rsidR="009F356E" w14:paraId="608C511F"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32426EE3" w14:textId="4969D5E4" w:rsidR="009F356E" w:rsidRPr="00DB248E" w:rsidRDefault="009F356E" w:rsidP="00065B26">
            <w:pPr>
              <w:rPr>
                <w:sz w:val="16"/>
                <w:szCs w:val="16"/>
              </w:rPr>
            </w:pPr>
            <w:r w:rsidRPr="00DB248E">
              <w:rPr>
                <w:sz w:val="16"/>
                <w:szCs w:val="16"/>
              </w:rPr>
              <w:t xml:space="preserve">       </w:t>
            </w:r>
            <w:r w:rsidR="00BB3054" w:rsidRPr="00DB248E">
              <w:rPr>
                <w:sz w:val="16"/>
                <w:szCs w:val="16"/>
              </w:rPr>
              <w:t xml:space="preserve">Confirmed </w:t>
            </w:r>
            <w:r w:rsidR="00866EEE" w:rsidRPr="00DB248E">
              <w:rPr>
                <w:sz w:val="16"/>
                <w:szCs w:val="16"/>
              </w:rPr>
              <w:t>c</w:t>
            </w:r>
            <w:r w:rsidRPr="00DB248E">
              <w:rPr>
                <w:sz w:val="16"/>
                <w:szCs w:val="16"/>
              </w:rPr>
              <w:t xml:space="preserve">omplete response      </w:t>
            </w:r>
          </w:p>
        </w:tc>
        <w:tc>
          <w:tcPr>
            <w:tcW w:w="1355" w:type="dxa"/>
            <w:tcBorders>
              <w:top w:val="nil"/>
              <w:left w:val="nil"/>
              <w:bottom w:val="nil"/>
              <w:right w:val="nil"/>
            </w:tcBorders>
          </w:tcPr>
          <w:p w14:paraId="39A4D44E" w14:textId="7BBE39EE" w:rsidR="009F356E" w:rsidRPr="00DB248E" w:rsidRDefault="009F356E" w:rsidP="00490E17">
            <w:pPr>
              <w:rPr>
                <w:sz w:val="16"/>
                <w:szCs w:val="16"/>
              </w:rPr>
            </w:pPr>
            <w:r w:rsidRPr="00DB248E">
              <w:rPr>
                <w:sz w:val="16"/>
                <w:szCs w:val="16"/>
              </w:rPr>
              <w:t xml:space="preserve">    2 (16</w:t>
            </w:r>
            <w:r w:rsidR="00431760" w:rsidRPr="00DB248E">
              <w:rPr>
                <w:sz w:val="16"/>
                <w:szCs w:val="16"/>
              </w:rPr>
              <w:t>·</w:t>
            </w:r>
            <w:r w:rsidRPr="00DB248E">
              <w:rPr>
                <w:sz w:val="16"/>
                <w:szCs w:val="16"/>
              </w:rPr>
              <w:t xml:space="preserve">7)                                                                                        </w:t>
            </w:r>
          </w:p>
        </w:tc>
        <w:tc>
          <w:tcPr>
            <w:tcW w:w="1355" w:type="dxa"/>
            <w:tcBorders>
              <w:top w:val="nil"/>
              <w:left w:val="nil"/>
              <w:bottom w:val="nil"/>
              <w:right w:val="nil"/>
            </w:tcBorders>
            <w:tcMar>
              <w:left w:w="40" w:type="dxa"/>
              <w:right w:w="40" w:type="dxa"/>
            </w:tcMar>
          </w:tcPr>
          <w:p w14:paraId="03718603" w14:textId="4BC166EE" w:rsidR="009F356E" w:rsidRPr="00DB248E" w:rsidRDefault="009F356E" w:rsidP="001706A2">
            <w:pPr>
              <w:rPr>
                <w:sz w:val="16"/>
                <w:szCs w:val="16"/>
              </w:rPr>
            </w:pPr>
            <w:r w:rsidRPr="00DB248E">
              <w:rPr>
                <w:sz w:val="16"/>
                <w:szCs w:val="16"/>
              </w:rPr>
              <w:t xml:space="preserve">    0 (0</w:t>
            </w:r>
            <w:r w:rsidR="002314DB" w:rsidRPr="00DB248E">
              <w:rPr>
                <w:sz w:val="16"/>
                <w:szCs w:val="16"/>
              </w:rPr>
              <w:t>·</w:t>
            </w:r>
            <w:r w:rsidRPr="00DB248E">
              <w:rPr>
                <w:sz w:val="16"/>
                <w:szCs w:val="16"/>
              </w:rPr>
              <w:t xml:space="preserve">0)                                                                                         </w:t>
            </w:r>
          </w:p>
        </w:tc>
        <w:tc>
          <w:tcPr>
            <w:tcW w:w="1355" w:type="dxa"/>
            <w:tcBorders>
              <w:top w:val="nil"/>
              <w:left w:val="nil"/>
              <w:bottom w:val="nil"/>
              <w:right w:val="single" w:sz="4" w:space="0" w:color="000000"/>
            </w:tcBorders>
            <w:tcMar>
              <w:left w:w="40" w:type="dxa"/>
              <w:right w:w="40" w:type="dxa"/>
            </w:tcMar>
          </w:tcPr>
          <w:p w14:paraId="352ED41E" w14:textId="5596A1E2" w:rsidR="009F356E" w:rsidRPr="00DB248E" w:rsidRDefault="009F356E" w:rsidP="001706A2">
            <w:pPr>
              <w:rPr>
                <w:sz w:val="16"/>
                <w:szCs w:val="16"/>
              </w:rPr>
            </w:pPr>
            <w:r w:rsidRPr="00DB248E">
              <w:rPr>
                <w:sz w:val="16"/>
                <w:szCs w:val="16"/>
              </w:rPr>
              <w:t xml:space="preserve">    2 (10</w:t>
            </w:r>
            <w:r w:rsidR="002314DB" w:rsidRPr="00DB248E">
              <w:rPr>
                <w:sz w:val="16"/>
                <w:szCs w:val="16"/>
              </w:rPr>
              <w:t>·</w:t>
            </w:r>
            <w:r w:rsidRPr="00DB248E">
              <w:rPr>
                <w:sz w:val="16"/>
                <w:szCs w:val="16"/>
              </w:rPr>
              <w:t xml:space="preserve">5)                                                                                        </w:t>
            </w:r>
          </w:p>
        </w:tc>
      </w:tr>
      <w:tr w:rsidR="009F356E" w14:paraId="0C026E24"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2A1719B8" w14:textId="7C3F5D46" w:rsidR="009F356E" w:rsidRPr="00DB248E" w:rsidRDefault="009F356E" w:rsidP="00065B26">
            <w:pPr>
              <w:rPr>
                <w:sz w:val="16"/>
                <w:szCs w:val="16"/>
              </w:rPr>
            </w:pPr>
            <w:r w:rsidRPr="00DB248E">
              <w:rPr>
                <w:sz w:val="16"/>
                <w:szCs w:val="16"/>
              </w:rPr>
              <w:t xml:space="preserve">       </w:t>
            </w:r>
            <w:r w:rsidR="00BB3054" w:rsidRPr="00DB248E">
              <w:rPr>
                <w:sz w:val="16"/>
                <w:szCs w:val="16"/>
              </w:rPr>
              <w:t xml:space="preserve">Confirmed </w:t>
            </w:r>
            <w:r w:rsidR="00866EEE" w:rsidRPr="00DB248E">
              <w:rPr>
                <w:sz w:val="16"/>
                <w:szCs w:val="16"/>
              </w:rPr>
              <w:t>p</w:t>
            </w:r>
            <w:r w:rsidRPr="00DB248E">
              <w:rPr>
                <w:sz w:val="16"/>
                <w:szCs w:val="16"/>
              </w:rPr>
              <w:t xml:space="preserve">artial response      </w:t>
            </w:r>
          </w:p>
        </w:tc>
        <w:tc>
          <w:tcPr>
            <w:tcW w:w="1355" w:type="dxa"/>
            <w:tcBorders>
              <w:top w:val="nil"/>
              <w:left w:val="nil"/>
              <w:bottom w:val="nil"/>
              <w:right w:val="nil"/>
            </w:tcBorders>
          </w:tcPr>
          <w:p w14:paraId="53425EFD" w14:textId="296B78F9" w:rsidR="009F356E" w:rsidRPr="00DB248E" w:rsidRDefault="009F356E" w:rsidP="00490E17">
            <w:pPr>
              <w:rPr>
                <w:sz w:val="16"/>
                <w:szCs w:val="16"/>
              </w:rPr>
            </w:pPr>
            <w:r w:rsidRPr="00DB248E">
              <w:rPr>
                <w:sz w:val="16"/>
                <w:szCs w:val="16"/>
              </w:rPr>
              <w:t xml:space="preserve">    </w:t>
            </w:r>
            <w:r w:rsidR="00B2687E" w:rsidRPr="00DB248E">
              <w:rPr>
                <w:sz w:val="16"/>
                <w:szCs w:val="16"/>
              </w:rPr>
              <w:t>4</w:t>
            </w:r>
            <w:r w:rsidRPr="00DB248E">
              <w:rPr>
                <w:sz w:val="16"/>
                <w:szCs w:val="16"/>
              </w:rPr>
              <w:t xml:space="preserve"> (</w:t>
            </w:r>
            <w:r w:rsidR="00B2687E" w:rsidRPr="00DB248E">
              <w:rPr>
                <w:sz w:val="16"/>
                <w:szCs w:val="16"/>
              </w:rPr>
              <w:t>33</w:t>
            </w:r>
            <w:r w:rsidR="00431760" w:rsidRPr="00DB248E">
              <w:rPr>
                <w:sz w:val="16"/>
                <w:szCs w:val="16"/>
              </w:rPr>
              <w:t>·</w:t>
            </w:r>
            <w:r w:rsidR="00B2687E" w:rsidRPr="00DB248E">
              <w:rPr>
                <w:sz w:val="16"/>
                <w:szCs w:val="16"/>
              </w:rPr>
              <w:t>3</w:t>
            </w:r>
            <w:r w:rsidRPr="00DB248E">
              <w:rPr>
                <w:sz w:val="16"/>
                <w:szCs w:val="16"/>
              </w:rPr>
              <w:t xml:space="preserve">)                                                                                        </w:t>
            </w:r>
          </w:p>
        </w:tc>
        <w:tc>
          <w:tcPr>
            <w:tcW w:w="1355" w:type="dxa"/>
            <w:tcBorders>
              <w:top w:val="nil"/>
              <w:left w:val="nil"/>
              <w:bottom w:val="nil"/>
              <w:right w:val="nil"/>
            </w:tcBorders>
            <w:tcMar>
              <w:left w:w="40" w:type="dxa"/>
              <w:right w:w="40" w:type="dxa"/>
            </w:tcMar>
          </w:tcPr>
          <w:p w14:paraId="34430420" w14:textId="74B94D96" w:rsidR="009F356E" w:rsidRPr="00DB248E" w:rsidRDefault="009F356E" w:rsidP="001706A2">
            <w:pPr>
              <w:rPr>
                <w:sz w:val="16"/>
                <w:szCs w:val="16"/>
              </w:rPr>
            </w:pPr>
            <w:r w:rsidRPr="00DB248E">
              <w:rPr>
                <w:sz w:val="16"/>
                <w:szCs w:val="16"/>
              </w:rPr>
              <w:t xml:space="preserve">    1 (14</w:t>
            </w:r>
            <w:r w:rsidR="002314DB" w:rsidRPr="00DB248E">
              <w:rPr>
                <w:sz w:val="16"/>
                <w:szCs w:val="16"/>
              </w:rPr>
              <w:t>·</w:t>
            </w:r>
            <w:r w:rsidRPr="00DB248E">
              <w:rPr>
                <w:sz w:val="16"/>
                <w:szCs w:val="16"/>
              </w:rPr>
              <w:t xml:space="preserve">3)                                                                                        </w:t>
            </w:r>
          </w:p>
        </w:tc>
        <w:tc>
          <w:tcPr>
            <w:tcW w:w="1355" w:type="dxa"/>
            <w:tcBorders>
              <w:top w:val="nil"/>
              <w:left w:val="nil"/>
              <w:bottom w:val="nil"/>
              <w:right w:val="single" w:sz="4" w:space="0" w:color="000000"/>
            </w:tcBorders>
            <w:tcMar>
              <w:left w:w="40" w:type="dxa"/>
              <w:right w:w="40" w:type="dxa"/>
            </w:tcMar>
          </w:tcPr>
          <w:p w14:paraId="0A020EE7" w14:textId="1AA38363" w:rsidR="009F356E" w:rsidRPr="00DB248E" w:rsidRDefault="009F356E" w:rsidP="001706A2">
            <w:pPr>
              <w:rPr>
                <w:sz w:val="16"/>
                <w:szCs w:val="16"/>
              </w:rPr>
            </w:pPr>
            <w:r w:rsidRPr="00DB248E">
              <w:rPr>
                <w:sz w:val="16"/>
                <w:szCs w:val="16"/>
              </w:rPr>
              <w:t xml:space="preserve">    </w:t>
            </w:r>
            <w:r w:rsidR="00BC0847" w:rsidRPr="00DB248E">
              <w:rPr>
                <w:sz w:val="16"/>
                <w:szCs w:val="16"/>
              </w:rPr>
              <w:t>5</w:t>
            </w:r>
            <w:r w:rsidRPr="00DB248E">
              <w:rPr>
                <w:sz w:val="16"/>
                <w:szCs w:val="16"/>
              </w:rPr>
              <w:t xml:space="preserve"> (</w:t>
            </w:r>
            <w:r w:rsidR="00BC0847" w:rsidRPr="00DB248E">
              <w:rPr>
                <w:sz w:val="16"/>
                <w:szCs w:val="16"/>
              </w:rPr>
              <w:t>26</w:t>
            </w:r>
            <w:r w:rsidR="002314DB" w:rsidRPr="00DB248E">
              <w:rPr>
                <w:sz w:val="16"/>
                <w:szCs w:val="16"/>
              </w:rPr>
              <w:t>·</w:t>
            </w:r>
            <w:r w:rsidR="00BC0847" w:rsidRPr="00DB248E">
              <w:rPr>
                <w:sz w:val="16"/>
                <w:szCs w:val="16"/>
              </w:rPr>
              <w:t>3</w:t>
            </w:r>
            <w:r w:rsidRPr="00DB248E">
              <w:rPr>
                <w:sz w:val="16"/>
                <w:szCs w:val="16"/>
              </w:rPr>
              <w:t xml:space="preserve">)                                                                                        </w:t>
            </w:r>
          </w:p>
        </w:tc>
      </w:tr>
      <w:tr w:rsidR="00BB3054" w14:paraId="7CF76F4A"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1D8FFE92" w14:textId="0DF427DD" w:rsidR="00BB3054" w:rsidRPr="00DB248E" w:rsidRDefault="00BB3054" w:rsidP="00065B26">
            <w:pPr>
              <w:rPr>
                <w:sz w:val="16"/>
                <w:szCs w:val="16"/>
              </w:rPr>
            </w:pPr>
            <w:r w:rsidRPr="00DB248E">
              <w:rPr>
                <w:sz w:val="16"/>
                <w:szCs w:val="16"/>
              </w:rPr>
              <w:t xml:space="preserve">       Non-confirmed </w:t>
            </w:r>
            <w:r w:rsidR="00866EEE" w:rsidRPr="00DB248E">
              <w:rPr>
                <w:sz w:val="16"/>
                <w:szCs w:val="16"/>
              </w:rPr>
              <w:t>p</w:t>
            </w:r>
            <w:r w:rsidRPr="00DB248E">
              <w:rPr>
                <w:sz w:val="16"/>
                <w:szCs w:val="16"/>
              </w:rPr>
              <w:t xml:space="preserve">artial response      </w:t>
            </w:r>
          </w:p>
        </w:tc>
        <w:tc>
          <w:tcPr>
            <w:tcW w:w="1355" w:type="dxa"/>
            <w:tcBorders>
              <w:top w:val="nil"/>
              <w:left w:val="nil"/>
              <w:bottom w:val="nil"/>
              <w:right w:val="nil"/>
            </w:tcBorders>
          </w:tcPr>
          <w:p w14:paraId="3825D742" w14:textId="2DF443B3" w:rsidR="00BB3054" w:rsidRPr="00DB248E" w:rsidRDefault="00BB3054" w:rsidP="00490E17">
            <w:pPr>
              <w:rPr>
                <w:sz w:val="16"/>
                <w:szCs w:val="16"/>
              </w:rPr>
            </w:pPr>
            <w:r w:rsidRPr="00DB248E">
              <w:rPr>
                <w:sz w:val="16"/>
                <w:szCs w:val="16"/>
              </w:rPr>
              <w:t xml:space="preserve">    1 (8·3)                                                                                        </w:t>
            </w:r>
          </w:p>
        </w:tc>
        <w:tc>
          <w:tcPr>
            <w:tcW w:w="1355" w:type="dxa"/>
            <w:tcBorders>
              <w:top w:val="nil"/>
              <w:left w:val="nil"/>
              <w:bottom w:val="nil"/>
              <w:right w:val="nil"/>
            </w:tcBorders>
            <w:tcMar>
              <w:left w:w="40" w:type="dxa"/>
              <w:right w:w="40" w:type="dxa"/>
            </w:tcMar>
          </w:tcPr>
          <w:p w14:paraId="1EBFC141" w14:textId="2E122F98" w:rsidR="00BB3054" w:rsidRPr="00DB248E" w:rsidRDefault="00BB3054" w:rsidP="001706A2">
            <w:pPr>
              <w:rPr>
                <w:sz w:val="16"/>
                <w:szCs w:val="16"/>
              </w:rPr>
            </w:pPr>
            <w:r w:rsidRPr="00DB248E">
              <w:rPr>
                <w:sz w:val="16"/>
                <w:szCs w:val="16"/>
              </w:rPr>
              <w:t xml:space="preserve">    0 (0·0)</w:t>
            </w:r>
          </w:p>
        </w:tc>
        <w:tc>
          <w:tcPr>
            <w:tcW w:w="1355" w:type="dxa"/>
            <w:tcBorders>
              <w:top w:val="nil"/>
              <w:left w:val="nil"/>
              <w:bottom w:val="nil"/>
              <w:right w:val="single" w:sz="4" w:space="0" w:color="000000"/>
            </w:tcBorders>
            <w:tcMar>
              <w:left w:w="40" w:type="dxa"/>
              <w:right w:w="40" w:type="dxa"/>
            </w:tcMar>
          </w:tcPr>
          <w:p w14:paraId="3D65944F" w14:textId="03A11F74" w:rsidR="00BB3054" w:rsidRPr="00DB248E" w:rsidRDefault="00BB3054" w:rsidP="001706A2">
            <w:pPr>
              <w:rPr>
                <w:sz w:val="16"/>
                <w:szCs w:val="16"/>
              </w:rPr>
            </w:pPr>
            <w:r w:rsidRPr="00DB248E">
              <w:rPr>
                <w:sz w:val="16"/>
                <w:szCs w:val="16"/>
              </w:rPr>
              <w:t xml:space="preserve">    1 (5·3)                                                                                        </w:t>
            </w:r>
          </w:p>
        </w:tc>
      </w:tr>
      <w:tr w:rsidR="00BB3054" w14:paraId="56D4867B"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0E186FBA" w14:textId="0213F38E" w:rsidR="00BB3054" w:rsidRPr="00DB248E" w:rsidRDefault="00BB3054" w:rsidP="00065B26">
            <w:pPr>
              <w:rPr>
                <w:sz w:val="16"/>
                <w:szCs w:val="16"/>
              </w:rPr>
            </w:pPr>
            <w:r w:rsidRPr="00DB248E">
              <w:rPr>
                <w:sz w:val="16"/>
                <w:szCs w:val="16"/>
              </w:rPr>
              <w:t xml:space="preserve">       Stable disease</w:t>
            </w:r>
          </w:p>
        </w:tc>
        <w:tc>
          <w:tcPr>
            <w:tcW w:w="1355" w:type="dxa"/>
            <w:tcBorders>
              <w:top w:val="nil"/>
              <w:left w:val="nil"/>
              <w:bottom w:val="nil"/>
              <w:right w:val="nil"/>
            </w:tcBorders>
          </w:tcPr>
          <w:p w14:paraId="5A82EAB1" w14:textId="385A6541" w:rsidR="00BB3054" w:rsidRPr="00DB248E" w:rsidRDefault="00BB3054" w:rsidP="00490E17">
            <w:pPr>
              <w:rPr>
                <w:sz w:val="16"/>
                <w:szCs w:val="16"/>
              </w:rPr>
            </w:pPr>
            <w:r w:rsidRPr="00DB248E">
              <w:rPr>
                <w:sz w:val="16"/>
                <w:szCs w:val="16"/>
              </w:rPr>
              <w:t xml:space="preserve">    5 (41·7)                                                                                        </w:t>
            </w:r>
          </w:p>
        </w:tc>
        <w:tc>
          <w:tcPr>
            <w:tcW w:w="1355" w:type="dxa"/>
            <w:tcBorders>
              <w:top w:val="nil"/>
              <w:left w:val="nil"/>
              <w:bottom w:val="nil"/>
              <w:right w:val="nil"/>
            </w:tcBorders>
            <w:tcMar>
              <w:left w:w="40" w:type="dxa"/>
              <w:right w:w="40" w:type="dxa"/>
            </w:tcMar>
          </w:tcPr>
          <w:p w14:paraId="6B726403" w14:textId="7D9E4ED3" w:rsidR="00BB3054" w:rsidRPr="00DB248E" w:rsidRDefault="00BB3054" w:rsidP="001706A2">
            <w:pPr>
              <w:rPr>
                <w:sz w:val="16"/>
                <w:szCs w:val="16"/>
              </w:rPr>
            </w:pPr>
            <w:r w:rsidRPr="00DB248E">
              <w:rPr>
                <w:sz w:val="16"/>
                <w:szCs w:val="16"/>
              </w:rPr>
              <w:t xml:space="preserve">    5 (71·4)                                                                                        </w:t>
            </w:r>
          </w:p>
        </w:tc>
        <w:tc>
          <w:tcPr>
            <w:tcW w:w="1355" w:type="dxa"/>
            <w:tcBorders>
              <w:top w:val="nil"/>
              <w:left w:val="nil"/>
              <w:bottom w:val="nil"/>
              <w:right w:val="single" w:sz="4" w:space="0" w:color="000000"/>
            </w:tcBorders>
            <w:tcMar>
              <w:left w:w="40" w:type="dxa"/>
              <w:right w:w="40" w:type="dxa"/>
            </w:tcMar>
          </w:tcPr>
          <w:p w14:paraId="1E73AD85" w14:textId="3D4301E5" w:rsidR="00BB3054" w:rsidRPr="00DB248E" w:rsidRDefault="00BB3054" w:rsidP="001706A2">
            <w:pPr>
              <w:rPr>
                <w:sz w:val="16"/>
                <w:szCs w:val="16"/>
              </w:rPr>
            </w:pPr>
            <w:r w:rsidRPr="00DB248E">
              <w:rPr>
                <w:sz w:val="16"/>
                <w:szCs w:val="16"/>
              </w:rPr>
              <w:t xml:space="preserve">   10 (52·6)                                                                                        </w:t>
            </w:r>
          </w:p>
        </w:tc>
      </w:tr>
      <w:tr w:rsidR="00BB3054" w14:paraId="69897C57"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3237FB3F" w14:textId="77777777" w:rsidR="00BB3054" w:rsidRPr="00DB248E" w:rsidRDefault="00BB3054" w:rsidP="00065B26">
            <w:pPr>
              <w:rPr>
                <w:sz w:val="16"/>
                <w:szCs w:val="16"/>
              </w:rPr>
            </w:pPr>
            <w:r w:rsidRPr="00DB248E">
              <w:rPr>
                <w:sz w:val="16"/>
                <w:szCs w:val="16"/>
              </w:rPr>
              <w:t xml:space="preserve">       Progressive disease                  </w:t>
            </w:r>
          </w:p>
        </w:tc>
        <w:tc>
          <w:tcPr>
            <w:tcW w:w="1355" w:type="dxa"/>
            <w:tcBorders>
              <w:top w:val="nil"/>
              <w:left w:val="nil"/>
              <w:bottom w:val="nil"/>
              <w:right w:val="nil"/>
            </w:tcBorders>
          </w:tcPr>
          <w:p w14:paraId="28AE5C35" w14:textId="4EAC70CD" w:rsidR="00BB3054" w:rsidRPr="00DB248E" w:rsidRDefault="00BB3054" w:rsidP="00490E17">
            <w:pPr>
              <w:rPr>
                <w:sz w:val="16"/>
                <w:szCs w:val="16"/>
              </w:rPr>
            </w:pPr>
            <w:r w:rsidRPr="00DB248E">
              <w:rPr>
                <w:sz w:val="16"/>
                <w:szCs w:val="16"/>
              </w:rPr>
              <w:t xml:space="preserve">    0 (0·0)                                                                                         </w:t>
            </w:r>
          </w:p>
        </w:tc>
        <w:tc>
          <w:tcPr>
            <w:tcW w:w="1355" w:type="dxa"/>
            <w:tcBorders>
              <w:top w:val="nil"/>
              <w:left w:val="nil"/>
              <w:bottom w:val="nil"/>
              <w:right w:val="nil"/>
            </w:tcBorders>
            <w:tcMar>
              <w:left w:w="40" w:type="dxa"/>
              <w:right w:w="40" w:type="dxa"/>
            </w:tcMar>
          </w:tcPr>
          <w:p w14:paraId="44141932" w14:textId="487054AB" w:rsidR="00BB3054" w:rsidRPr="00DB248E" w:rsidRDefault="00BB3054" w:rsidP="001706A2">
            <w:pPr>
              <w:rPr>
                <w:sz w:val="16"/>
                <w:szCs w:val="16"/>
              </w:rPr>
            </w:pPr>
            <w:r w:rsidRPr="00DB248E">
              <w:rPr>
                <w:sz w:val="16"/>
                <w:szCs w:val="16"/>
              </w:rPr>
              <w:t xml:space="preserve">    1 (14·3)                                                                                        </w:t>
            </w:r>
          </w:p>
        </w:tc>
        <w:tc>
          <w:tcPr>
            <w:tcW w:w="1355" w:type="dxa"/>
            <w:tcBorders>
              <w:top w:val="nil"/>
              <w:left w:val="nil"/>
              <w:bottom w:val="nil"/>
              <w:right w:val="single" w:sz="4" w:space="0" w:color="000000"/>
            </w:tcBorders>
            <w:tcMar>
              <w:left w:w="40" w:type="dxa"/>
              <w:right w:w="40" w:type="dxa"/>
            </w:tcMar>
          </w:tcPr>
          <w:p w14:paraId="521778FE" w14:textId="186D090D" w:rsidR="00BB3054" w:rsidRPr="00DB248E" w:rsidRDefault="00BB3054" w:rsidP="001706A2">
            <w:pPr>
              <w:rPr>
                <w:sz w:val="16"/>
                <w:szCs w:val="16"/>
              </w:rPr>
            </w:pPr>
            <w:r w:rsidRPr="00DB248E">
              <w:rPr>
                <w:sz w:val="16"/>
                <w:szCs w:val="16"/>
              </w:rPr>
              <w:t xml:space="preserve">    1 (5·3)                                                                                         </w:t>
            </w:r>
          </w:p>
        </w:tc>
      </w:tr>
      <w:tr w:rsidR="00BB3054" w14:paraId="132A9636"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5A740E2A" w14:textId="77777777" w:rsidR="00BB3054" w:rsidRPr="00DB248E" w:rsidRDefault="00BB3054" w:rsidP="00065B26">
            <w:pPr>
              <w:rPr>
                <w:sz w:val="16"/>
                <w:szCs w:val="16"/>
              </w:rPr>
            </w:pPr>
          </w:p>
        </w:tc>
        <w:tc>
          <w:tcPr>
            <w:tcW w:w="1355" w:type="dxa"/>
            <w:tcBorders>
              <w:top w:val="nil"/>
              <w:left w:val="nil"/>
              <w:bottom w:val="nil"/>
              <w:right w:val="nil"/>
            </w:tcBorders>
          </w:tcPr>
          <w:p w14:paraId="31504510" w14:textId="77777777" w:rsidR="00BB3054" w:rsidRPr="00DB248E" w:rsidRDefault="00BB3054" w:rsidP="00490E17">
            <w:pPr>
              <w:rPr>
                <w:sz w:val="16"/>
                <w:szCs w:val="16"/>
              </w:rPr>
            </w:pPr>
          </w:p>
        </w:tc>
        <w:tc>
          <w:tcPr>
            <w:tcW w:w="1355" w:type="dxa"/>
            <w:tcBorders>
              <w:top w:val="nil"/>
              <w:left w:val="nil"/>
              <w:bottom w:val="nil"/>
              <w:right w:val="nil"/>
            </w:tcBorders>
            <w:tcMar>
              <w:left w:w="40" w:type="dxa"/>
              <w:right w:w="40" w:type="dxa"/>
            </w:tcMar>
          </w:tcPr>
          <w:p w14:paraId="6F764E8D" w14:textId="77777777" w:rsidR="00BB3054" w:rsidRPr="00DB248E" w:rsidRDefault="00BB3054" w:rsidP="001706A2">
            <w:pPr>
              <w:rPr>
                <w:sz w:val="16"/>
                <w:szCs w:val="16"/>
              </w:rPr>
            </w:pPr>
          </w:p>
        </w:tc>
        <w:tc>
          <w:tcPr>
            <w:tcW w:w="1355" w:type="dxa"/>
            <w:tcBorders>
              <w:top w:val="nil"/>
              <w:left w:val="nil"/>
              <w:bottom w:val="nil"/>
              <w:right w:val="single" w:sz="4" w:space="0" w:color="000000"/>
            </w:tcBorders>
            <w:tcMar>
              <w:left w:w="40" w:type="dxa"/>
              <w:right w:w="40" w:type="dxa"/>
            </w:tcMar>
          </w:tcPr>
          <w:p w14:paraId="28B06BF6" w14:textId="77777777" w:rsidR="00BB3054" w:rsidRPr="00DB248E" w:rsidRDefault="00BB3054" w:rsidP="001706A2">
            <w:pPr>
              <w:rPr>
                <w:sz w:val="16"/>
                <w:szCs w:val="16"/>
              </w:rPr>
            </w:pPr>
          </w:p>
        </w:tc>
      </w:tr>
      <w:tr w:rsidR="00BB3054" w14:paraId="6F1DF012"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63D140ED" w14:textId="7BE95380" w:rsidR="00BB3054" w:rsidRPr="00DB248E" w:rsidRDefault="00BB3054" w:rsidP="00065B26">
            <w:pPr>
              <w:rPr>
                <w:sz w:val="16"/>
                <w:szCs w:val="16"/>
              </w:rPr>
            </w:pPr>
            <w:r w:rsidRPr="00DB248E">
              <w:rPr>
                <w:sz w:val="16"/>
                <w:szCs w:val="16"/>
              </w:rPr>
              <w:t xml:space="preserve">Objective confirmed response rate              </w:t>
            </w:r>
          </w:p>
        </w:tc>
        <w:tc>
          <w:tcPr>
            <w:tcW w:w="1355" w:type="dxa"/>
            <w:tcBorders>
              <w:top w:val="nil"/>
              <w:left w:val="nil"/>
              <w:bottom w:val="nil"/>
              <w:right w:val="nil"/>
            </w:tcBorders>
          </w:tcPr>
          <w:p w14:paraId="6DB49D7C" w14:textId="2A0104E7" w:rsidR="00BB3054" w:rsidRPr="00DB248E" w:rsidRDefault="00BB3054" w:rsidP="00490E17">
            <w:pPr>
              <w:rPr>
                <w:sz w:val="16"/>
                <w:szCs w:val="16"/>
              </w:rPr>
            </w:pPr>
            <w:r w:rsidRPr="00DB248E">
              <w:rPr>
                <w:sz w:val="16"/>
                <w:szCs w:val="16"/>
              </w:rPr>
              <w:t>50·0%</w:t>
            </w:r>
          </w:p>
        </w:tc>
        <w:tc>
          <w:tcPr>
            <w:tcW w:w="1355" w:type="dxa"/>
            <w:tcBorders>
              <w:top w:val="nil"/>
              <w:left w:val="nil"/>
              <w:bottom w:val="nil"/>
              <w:right w:val="nil"/>
            </w:tcBorders>
            <w:tcMar>
              <w:left w:w="40" w:type="dxa"/>
              <w:right w:w="40" w:type="dxa"/>
            </w:tcMar>
          </w:tcPr>
          <w:p w14:paraId="450A92A3" w14:textId="0425C8D8" w:rsidR="00BB3054" w:rsidRPr="00DB248E" w:rsidRDefault="00BB3054" w:rsidP="001706A2">
            <w:pPr>
              <w:rPr>
                <w:sz w:val="16"/>
                <w:szCs w:val="16"/>
              </w:rPr>
            </w:pPr>
            <w:r w:rsidRPr="00DB248E">
              <w:rPr>
                <w:sz w:val="16"/>
                <w:szCs w:val="16"/>
              </w:rPr>
              <w:t>14·3%</w:t>
            </w:r>
          </w:p>
        </w:tc>
        <w:tc>
          <w:tcPr>
            <w:tcW w:w="1355" w:type="dxa"/>
            <w:tcBorders>
              <w:top w:val="nil"/>
              <w:left w:val="nil"/>
              <w:bottom w:val="nil"/>
              <w:right w:val="single" w:sz="4" w:space="0" w:color="000000"/>
            </w:tcBorders>
            <w:tcMar>
              <w:left w:w="40" w:type="dxa"/>
              <w:right w:w="40" w:type="dxa"/>
            </w:tcMar>
          </w:tcPr>
          <w:p w14:paraId="41A842F8" w14:textId="3896BF6A" w:rsidR="00BB3054" w:rsidRPr="00DB248E" w:rsidRDefault="00BB3054" w:rsidP="001706A2">
            <w:pPr>
              <w:rPr>
                <w:sz w:val="16"/>
                <w:szCs w:val="16"/>
              </w:rPr>
            </w:pPr>
            <w:r w:rsidRPr="00DB248E">
              <w:rPr>
                <w:sz w:val="16"/>
                <w:szCs w:val="16"/>
              </w:rPr>
              <w:t>36·8%</w:t>
            </w:r>
          </w:p>
        </w:tc>
      </w:tr>
      <w:tr w:rsidR="00BB3054" w14:paraId="3B7385C7"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6A8FC36B" w14:textId="77777777" w:rsidR="00BB3054" w:rsidRPr="00DB248E" w:rsidRDefault="00BB3054" w:rsidP="00065B26">
            <w:pPr>
              <w:rPr>
                <w:sz w:val="16"/>
                <w:szCs w:val="16"/>
              </w:rPr>
            </w:pPr>
            <w:r w:rsidRPr="00DB248E">
              <w:rPr>
                <w:sz w:val="16"/>
                <w:szCs w:val="16"/>
              </w:rPr>
              <w:t xml:space="preserve">       (95% CI)</w:t>
            </w:r>
          </w:p>
        </w:tc>
        <w:tc>
          <w:tcPr>
            <w:tcW w:w="1355" w:type="dxa"/>
            <w:tcBorders>
              <w:top w:val="nil"/>
              <w:left w:val="nil"/>
              <w:bottom w:val="nil"/>
              <w:right w:val="nil"/>
            </w:tcBorders>
          </w:tcPr>
          <w:p w14:paraId="2848DAD5" w14:textId="731667E6" w:rsidR="00BB3054" w:rsidRPr="00DB248E" w:rsidRDefault="00BB3054" w:rsidP="00490E17">
            <w:pPr>
              <w:rPr>
                <w:sz w:val="16"/>
                <w:szCs w:val="16"/>
              </w:rPr>
            </w:pPr>
            <w:r w:rsidRPr="00DB248E">
              <w:rPr>
                <w:sz w:val="16"/>
                <w:szCs w:val="16"/>
              </w:rPr>
              <w:t>21·1-78·9%</w:t>
            </w:r>
          </w:p>
        </w:tc>
        <w:tc>
          <w:tcPr>
            <w:tcW w:w="1355" w:type="dxa"/>
            <w:tcBorders>
              <w:top w:val="nil"/>
              <w:left w:val="nil"/>
              <w:bottom w:val="nil"/>
              <w:right w:val="nil"/>
            </w:tcBorders>
            <w:tcMar>
              <w:left w:w="40" w:type="dxa"/>
              <w:right w:w="40" w:type="dxa"/>
            </w:tcMar>
          </w:tcPr>
          <w:p w14:paraId="0DFFD3A1" w14:textId="434FE548" w:rsidR="00BB3054" w:rsidRPr="00DB248E" w:rsidRDefault="00BB3054" w:rsidP="001706A2">
            <w:pPr>
              <w:rPr>
                <w:sz w:val="16"/>
                <w:szCs w:val="16"/>
              </w:rPr>
            </w:pPr>
            <w:r w:rsidRPr="00DB248E">
              <w:rPr>
                <w:sz w:val="16"/>
                <w:szCs w:val="16"/>
              </w:rPr>
              <w:t>0·0-57·9%</w:t>
            </w:r>
          </w:p>
        </w:tc>
        <w:tc>
          <w:tcPr>
            <w:tcW w:w="1355" w:type="dxa"/>
            <w:tcBorders>
              <w:top w:val="nil"/>
              <w:left w:val="nil"/>
              <w:bottom w:val="nil"/>
              <w:right w:val="single" w:sz="4" w:space="0" w:color="000000"/>
            </w:tcBorders>
            <w:tcMar>
              <w:left w:w="40" w:type="dxa"/>
              <w:right w:w="40" w:type="dxa"/>
            </w:tcMar>
          </w:tcPr>
          <w:p w14:paraId="2A668E72" w14:textId="238B060C" w:rsidR="00BB3054" w:rsidRPr="00DB248E" w:rsidRDefault="00BB3054" w:rsidP="001706A2">
            <w:pPr>
              <w:rPr>
                <w:sz w:val="16"/>
                <w:szCs w:val="16"/>
              </w:rPr>
            </w:pPr>
            <w:r w:rsidRPr="00DB248E">
              <w:rPr>
                <w:sz w:val="16"/>
                <w:szCs w:val="16"/>
              </w:rPr>
              <w:t>16·3-61·6%</w:t>
            </w:r>
          </w:p>
        </w:tc>
      </w:tr>
      <w:tr w:rsidR="00BB3054" w14:paraId="4B23EDFD"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59DFFF61" w14:textId="77777777" w:rsidR="00BB3054" w:rsidRPr="00DB248E" w:rsidRDefault="00BB3054" w:rsidP="00065B26">
            <w:pPr>
              <w:rPr>
                <w:sz w:val="16"/>
                <w:szCs w:val="16"/>
              </w:rPr>
            </w:pPr>
            <w:r w:rsidRPr="00DB248E">
              <w:rPr>
                <w:sz w:val="16"/>
                <w:szCs w:val="16"/>
              </w:rPr>
              <w:t>Disease control rate</w:t>
            </w:r>
          </w:p>
        </w:tc>
        <w:tc>
          <w:tcPr>
            <w:tcW w:w="1355" w:type="dxa"/>
            <w:tcBorders>
              <w:top w:val="nil"/>
              <w:left w:val="nil"/>
              <w:bottom w:val="nil"/>
              <w:right w:val="nil"/>
            </w:tcBorders>
          </w:tcPr>
          <w:p w14:paraId="01550F26" w14:textId="2773BBEC" w:rsidR="00BB3054" w:rsidRPr="00DB248E" w:rsidRDefault="00BB3054" w:rsidP="00490E17">
            <w:pPr>
              <w:rPr>
                <w:sz w:val="16"/>
                <w:szCs w:val="16"/>
              </w:rPr>
            </w:pPr>
            <w:r w:rsidRPr="00DB248E">
              <w:rPr>
                <w:sz w:val="16"/>
                <w:szCs w:val="16"/>
              </w:rPr>
              <w:t>100·0%</w:t>
            </w:r>
          </w:p>
        </w:tc>
        <w:tc>
          <w:tcPr>
            <w:tcW w:w="1355" w:type="dxa"/>
            <w:tcBorders>
              <w:top w:val="nil"/>
              <w:left w:val="nil"/>
              <w:bottom w:val="nil"/>
              <w:right w:val="nil"/>
            </w:tcBorders>
            <w:tcMar>
              <w:left w:w="40" w:type="dxa"/>
              <w:right w:w="40" w:type="dxa"/>
            </w:tcMar>
          </w:tcPr>
          <w:p w14:paraId="3732CF4A" w14:textId="1DFD241A" w:rsidR="00BB3054" w:rsidRPr="00DB248E" w:rsidRDefault="00BB3054" w:rsidP="001706A2">
            <w:pPr>
              <w:rPr>
                <w:sz w:val="16"/>
                <w:szCs w:val="16"/>
              </w:rPr>
            </w:pPr>
            <w:r w:rsidRPr="00DB248E">
              <w:rPr>
                <w:sz w:val="16"/>
                <w:szCs w:val="16"/>
              </w:rPr>
              <w:t>85·7%</w:t>
            </w:r>
          </w:p>
        </w:tc>
        <w:tc>
          <w:tcPr>
            <w:tcW w:w="1355" w:type="dxa"/>
            <w:tcBorders>
              <w:top w:val="nil"/>
              <w:left w:val="nil"/>
              <w:bottom w:val="nil"/>
              <w:right w:val="single" w:sz="4" w:space="0" w:color="000000"/>
            </w:tcBorders>
            <w:tcMar>
              <w:left w:w="40" w:type="dxa"/>
              <w:right w:w="40" w:type="dxa"/>
            </w:tcMar>
          </w:tcPr>
          <w:p w14:paraId="33472359" w14:textId="135ECB58" w:rsidR="00BB3054" w:rsidRPr="00DB248E" w:rsidRDefault="00BB3054" w:rsidP="001706A2">
            <w:pPr>
              <w:rPr>
                <w:sz w:val="16"/>
                <w:szCs w:val="16"/>
              </w:rPr>
            </w:pPr>
            <w:r w:rsidRPr="00DB248E">
              <w:rPr>
                <w:sz w:val="16"/>
                <w:szCs w:val="16"/>
              </w:rPr>
              <w:t>94·7%</w:t>
            </w:r>
          </w:p>
        </w:tc>
      </w:tr>
      <w:tr w:rsidR="00BB3054" w14:paraId="539F1139" w14:textId="77777777" w:rsidTr="000C14A3">
        <w:trPr>
          <w:cantSplit/>
          <w:jc w:val="center"/>
        </w:trPr>
        <w:tc>
          <w:tcPr>
            <w:tcW w:w="4227" w:type="dxa"/>
            <w:tcBorders>
              <w:top w:val="nil"/>
              <w:left w:val="single" w:sz="4" w:space="0" w:color="000000"/>
              <w:bottom w:val="nil"/>
              <w:right w:val="nil"/>
            </w:tcBorders>
            <w:tcMar>
              <w:left w:w="40" w:type="dxa"/>
              <w:right w:w="40" w:type="dxa"/>
            </w:tcMar>
          </w:tcPr>
          <w:p w14:paraId="3C6DE8E3" w14:textId="77777777" w:rsidR="00BB3054" w:rsidRPr="00DB248E" w:rsidRDefault="00BB3054" w:rsidP="00065B26">
            <w:pPr>
              <w:rPr>
                <w:sz w:val="16"/>
                <w:szCs w:val="16"/>
              </w:rPr>
            </w:pPr>
            <w:r w:rsidRPr="00DB248E">
              <w:rPr>
                <w:sz w:val="16"/>
                <w:szCs w:val="16"/>
              </w:rPr>
              <w:t xml:space="preserve">       (95% CI)</w:t>
            </w:r>
          </w:p>
        </w:tc>
        <w:tc>
          <w:tcPr>
            <w:tcW w:w="1355" w:type="dxa"/>
            <w:tcBorders>
              <w:top w:val="nil"/>
              <w:left w:val="nil"/>
              <w:bottom w:val="nil"/>
              <w:right w:val="nil"/>
            </w:tcBorders>
          </w:tcPr>
          <w:p w14:paraId="5F8C2E78" w14:textId="74947DC7" w:rsidR="00BB3054" w:rsidRPr="00DB248E" w:rsidRDefault="00BB3054" w:rsidP="00490E17">
            <w:pPr>
              <w:rPr>
                <w:sz w:val="16"/>
                <w:szCs w:val="16"/>
              </w:rPr>
            </w:pPr>
            <w:r w:rsidRPr="00DB248E">
              <w:rPr>
                <w:sz w:val="16"/>
                <w:szCs w:val="16"/>
              </w:rPr>
              <w:t>73·5-100·0%</w:t>
            </w:r>
          </w:p>
        </w:tc>
        <w:tc>
          <w:tcPr>
            <w:tcW w:w="1355" w:type="dxa"/>
            <w:tcBorders>
              <w:top w:val="nil"/>
              <w:left w:val="nil"/>
              <w:bottom w:val="nil"/>
              <w:right w:val="nil"/>
            </w:tcBorders>
            <w:tcMar>
              <w:left w:w="40" w:type="dxa"/>
              <w:right w:w="40" w:type="dxa"/>
            </w:tcMar>
          </w:tcPr>
          <w:p w14:paraId="1FDFA1EA" w14:textId="3EC7FF55" w:rsidR="00BB3054" w:rsidRPr="00DB248E" w:rsidRDefault="00BB3054" w:rsidP="001706A2">
            <w:pPr>
              <w:rPr>
                <w:sz w:val="16"/>
                <w:szCs w:val="16"/>
              </w:rPr>
            </w:pPr>
            <w:r w:rsidRPr="00DB248E">
              <w:rPr>
                <w:sz w:val="16"/>
                <w:szCs w:val="16"/>
              </w:rPr>
              <w:t>42·1-99·6%</w:t>
            </w:r>
          </w:p>
        </w:tc>
        <w:tc>
          <w:tcPr>
            <w:tcW w:w="1355" w:type="dxa"/>
            <w:tcBorders>
              <w:top w:val="nil"/>
              <w:left w:val="nil"/>
              <w:bottom w:val="nil"/>
              <w:right w:val="single" w:sz="4" w:space="0" w:color="000000"/>
            </w:tcBorders>
            <w:tcMar>
              <w:left w:w="40" w:type="dxa"/>
              <w:right w:w="40" w:type="dxa"/>
            </w:tcMar>
          </w:tcPr>
          <w:p w14:paraId="61534C32" w14:textId="72A61DA7" w:rsidR="00BB3054" w:rsidRPr="00DB248E" w:rsidRDefault="00BB3054" w:rsidP="001706A2">
            <w:pPr>
              <w:rPr>
                <w:sz w:val="16"/>
                <w:szCs w:val="16"/>
              </w:rPr>
            </w:pPr>
            <w:r w:rsidRPr="00DB248E">
              <w:rPr>
                <w:sz w:val="16"/>
                <w:szCs w:val="16"/>
              </w:rPr>
              <w:t>74·0-99·9%</w:t>
            </w:r>
          </w:p>
        </w:tc>
      </w:tr>
      <w:tr w:rsidR="00BB3054" w14:paraId="682C8371"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1864A99A" w14:textId="77777777" w:rsidR="00BB3054" w:rsidRPr="00DB248E" w:rsidRDefault="00BB3054" w:rsidP="00065B26">
            <w:pPr>
              <w:rPr>
                <w:sz w:val="16"/>
                <w:szCs w:val="16"/>
              </w:rPr>
            </w:pPr>
          </w:p>
        </w:tc>
        <w:tc>
          <w:tcPr>
            <w:tcW w:w="1355" w:type="dxa"/>
            <w:tcBorders>
              <w:top w:val="nil"/>
              <w:left w:val="nil"/>
              <w:bottom w:val="nil"/>
              <w:right w:val="nil"/>
            </w:tcBorders>
          </w:tcPr>
          <w:p w14:paraId="68CB3004" w14:textId="77777777" w:rsidR="00BB3054" w:rsidRPr="00DB248E" w:rsidRDefault="00BB3054" w:rsidP="00490E17">
            <w:pPr>
              <w:rPr>
                <w:sz w:val="16"/>
                <w:szCs w:val="16"/>
              </w:rPr>
            </w:pPr>
          </w:p>
        </w:tc>
        <w:tc>
          <w:tcPr>
            <w:tcW w:w="1355" w:type="dxa"/>
            <w:tcBorders>
              <w:top w:val="nil"/>
              <w:left w:val="nil"/>
              <w:bottom w:val="nil"/>
              <w:right w:val="nil"/>
            </w:tcBorders>
            <w:tcMar>
              <w:left w:w="40" w:type="dxa"/>
              <w:right w:w="40" w:type="dxa"/>
            </w:tcMar>
          </w:tcPr>
          <w:p w14:paraId="55FDF6B3" w14:textId="77777777" w:rsidR="00BB3054" w:rsidRPr="00DB248E" w:rsidRDefault="00BB3054" w:rsidP="001706A2">
            <w:pPr>
              <w:rPr>
                <w:sz w:val="16"/>
                <w:szCs w:val="16"/>
              </w:rPr>
            </w:pPr>
          </w:p>
        </w:tc>
        <w:tc>
          <w:tcPr>
            <w:tcW w:w="1355" w:type="dxa"/>
            <w:tcBorders>
              <w:top w:val="nil"/>
              <w:left w:val="nil"/>
              <w:bottom w:val="nil"/>
              <w:right w:val="single" w:sz="4" w:space="0" w:color="000000"/>
            </w:tcBorders>
            <w:tcMar>
              <w:left w:w="40" w:type="dxa"/>
              <w:right w:w="40" w:type="dxa"/>
            </w:tcMar>
          </w:tcPr>
          <w:p w14:paraId="0AEE046D" w14:textId="77777777" w:rsidR="00BB3054" w:rsidRPr="00DB248E" w:rsidRDefault="00BB3054" w:rsidP="001706A2">
            <w:pPr>
              <w:rPr>
                <w:sz w:val="16"/>
                <w:szCs w:val="16"/>
              </w:rPr>
            </w:pPr>
          </w:p>
        </w:tc>
      </w:tr>
      <w:tr w:rsidR="00BB3054" w14:paraId="5A43EAA4"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0EBB6896" w14:textId="77777777" w:rsidR="00BB3054" w:rsidRPr="00DB248E" w:rsidRDefault="00BB3054" w:rsidP="00065B26">
            <w:pPr>
              <w:rPr>
                <w:sz w:val="16"/>
                <w:szCs w:val="16"/>
              </w:rPr>
            </w:pPr>
            <w:r w:rsidRPr="00DB248E">
              <w:rPr>
                <w:sz w:val="16"/>
                <w:szCs w:val="16"/>
              </w:rPr>
              <w:t xml:space="preserve">Progression-free survival                      </w:t>
            </w:r>
          </w:p>
        </w:tc>
        <w:tc>
          <w:tcPr>
            <w:tcW w:w="1355" w:type="dxa"/>
            <w:tcBorders>
              <w:top w:val="nil"/>
              <w:left w:val="nil"/>
              <w:bottom w:val="nil"/>
              <w:right w:val="nil"/>
            </w:tcBorders>
          </w:tcPr>
          <w:p w14:paraId="46A7F080" w14:textId="77777777" w:rsidR="00BB3054" w:rsidRPr="00DB248E" w:rsidRDefault="00BB3054" w:rsidP="00490E17">
            <w:pPr>
              <w:rPr>
                <w:sz w:val="16"/>
                <w:szCs w:val="16"/>
              </w:rPr>
            </w:pPr>
          </w:p>
        </w:tc>
        <w:tc>
          <w:tcPr>
            <w:tcW w:w="1355" w:type="dxa"/>
            <w:tcBorders>
              <w:top w:val="nil"/>
              <w:left w:val="nil"/>
              <w:bottom w:val="nil"/>
              <w:right w:val="nil"/>
            </w:tcBorders>
            <w:tcMar>
              <w:left w:w="40" w:type="dxa"/>
              <w:right w:w="40" w:type="dxa"/>
            </w:tcMar>
          </w:tcPr>
          <w:p w14:paraId="33C22635" w14:textId="77777777" w:rsidR="00BB3054" w:rsidRPr="00DB248E" w:rsidRDefault="00BB3054" w:rsidP="001706A2">
            <w:pPr>
              <w:rPr>
                <w:sz w:val="16"/>
                <w:szCs w:val="16"/>
              </w:rPr>
            </w:pPr>
          </w:p>
        </w:tc>
        <w:tc>
          <w:tcPr>
            <w:tcW w:w="1355" w:type="dxa"/>
            <w:tcBorders>
              <w:top w:val="nil"/>
              <w:left w:val="nil"/>
              <w:bottom w:val="nil"/>
              <w:right w:val="single" w:sz="4" w:space="0" w:color="000000"/>
            </w:tcBorders>
            <w:tcMar>
              <w:left w:w="40" w:type="dxa"/>
              <w:right w:w="40" w:type="dxa"/>
            </w:tcMar>
          </w:tcPr>
          <w:p w14:paraId="3A409293" w14:textId="77777777" w:rsidR="00BB3054" w:rsidRPr="00DB248E" w:rsidRDefault="00BB3054" w:rsidP="001706A2">
            <w:pPr>
              <w:rPr>
                <w:sz w:val="16"/>
                <w:szCs w:val="16"/>
              </w:rPr>
            </w:pPr>
          </w:p>
        </w:tc>
      </w:tr>
      <w:tr w:rsidR="00BB3054" w14:paraId="0020CB3C"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1C73C3C9" w14:textId="73948B07" w:rsidR="00BB3054" w:rsidRPr="00DB248E" w:rsidRDefault="00BB3054" w:rsidP="00065B26">
            <w:pPr>
              <w:rPr>
                <w:sz w:val="16"/>
                <w:szCs w:val="16"/>
              </w:rPr>
            </w:pPr>
            <w:r w:rsidRPr="00DB248E">
              <w:rPr>
                <w:sz w:val="16"/>
                <w:szCs w:val="16"/>
              </w:rPr>
              <w:t xml:space="preserve">       Alive without progression of IMFT</w:t>
            </w:r>
          </w:p>
        </w:tc>
        <w:tc>
          <w:tcPr>
            <w:tcW w:w="1355" w:type="dxa"/>
            <w:tcBorders>
              <w:top w:val="nil"/>
              <w:left w:val="nil"/>
              <w:bottom w:val="nil"/>
              <w:right w:val="nil"/>
            </w:tcBorders>
          </w:tcPr>
          <w:p w14:paraId="202AB855" w14:textId="69CC79D7" w:rsidR="00BB3054" w:rsidRPr="00DB248E" w:rsidRDefault="00BB3054" w:rsidP="00490E17">
            <w:pPr>
              <w:rPr>
                <w:sz w:val="16"/>
                <w:szCs w:val="16"/>
              </w:rPr>
            </w:pPr>
            <w:r w:rsidRPr="00DB248E">
              <w:rPr>
                <w:sz w:val="16"/>
                <w:szCs w:val="16"/>
              </w:rPr>
              <w:t>8 (66·7)</w:t>
            </w:r>
          </w:p>
        </w:tc>
        <w:tc>
          <w:tcPr>
            <w:tcW w:w="1355" w:type="dxa"/>
            <w:tcBorders>
              <w:top w:val="nil"/>
              <w:left w:val="nil"/>
              <w:bottom w:val="nil"/>
              <w:right w:val="nil"/>
            </w:tcBorders>
            <w:tcMar>
              <w:left w:w="40" w:type="dxa"/>
              <w:right w:w="40" w:type="dxa"/>
            </w:tcMar>
          </w:tcPr>
          <w:p w14:paraId="21EE6534" w14:textId="646B15C7" w:rsidR="00BB3054" w:rsidRPr="00DB248E" w:rsidRDefault="00BB3054" w:rsidP="001706A2">
            <w:pPr>
              <w:rPr>
                <w:sz w:val="16"/>
                <w:szCs w:val="16"/>
              </w:rPr>
            </w:pPr>
            <w:r w:rsidRPr="00DB248E">
              <w:rPr>
                <w:sz w:val="16"/>
                <w:szCs w:val="16"/>
              </w:rPr>
              <w:t>3 (42·9)</w:t>
            </w:r>
          </w:p>
        </w:tc>
        <w:tc>
          <w:tcPr>
            <w:tcW w:w="1355" w:type="dxa"/>
            <w:tcBorders>
              <w:top w:val="nil"/>
              <w:left w:val="nil"/>
              <w:bottom w:val="nil"/>
              <w:right w:val="single" w:sz="4" w:space="0" w:color="000000"/>
            </w:tcBorders>
            <w:tcMar>
              <w:left w:w="40" w:type="dxa"/>
              <w:right w:w="40" w:type="dxa"/>
            </w:tcMar>
          </w:tcPr>
          <w:p w14:paraId="51AD4AF0" w14:textId="7B2F69FA" w:rsidR="00BB3054" w:rsidRPr="00DB248E" w:rsidRDefault="00BB3054" w:rsidP="001706A2">
            <w:pPr>
              <w:rPr>
                <w:sz w:val="16"/>
                <w:szCs w:val="16"/>
              </w:rPr>
            </w:pPr>
            <w:r w:rsidRPr="00DB248E">
              <w:rPr>
                <w:sz w:val="16"/>
                <w:szCs w:val="16"/>
              </w:rPr>
              <w:t>11 (57·9)</w:t>
            </w:r>
          </w:p>
        </w:tc>
      </w:tr>
      <w:tr w:rsidR="00BB3054" w14:paraId="1C36980B"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7A8D7C3A" w14:textId="2983085E" w:rsidR="00BB3054" w:rsidRPr="00DB248E" w:rsidRDefault="00BB3054" w:rsidP="00065B26">
            <w:pPr>
              <w:rPr>
                <w:sz w:val="16"/>
                <w:szCs w:val="16"/>
              </w:rPr>
            </w:pPr>
            <w:r w:rsidRPr="00DB248E">
              <w:rPr>
                <w:sz w:val="16"/>
                <w:szCs w:val="16"/>
              </w:rPr>
              <w:t xml:space="preserve">       Progression of IMFT or died                                       </w:t>
            </w:r>
          </w:p>
        </w:tc>
        <w:tc>
          <w:tcPr>
            <w:tcW w:w="1355" w:type="dxa"/>
            <w:tcBorders>
              <w:top w:val="nil"/>
              <w:left w:val="nil"/>
              <w:bottom w:val="nil"/>
              <w:right w:val="nil"/>
            </w:tcBorders>
          </w:tcPr>
          <w:p w14:paraId="20E3B76E" w14:textId="6501913B" w:rsidR="00BB3054" w:rsidRPr="00DB248E" w:rsidRDefault="00BB3054" w:rsidP="00490E17">
            <w:pPr>
              <w:rPr>
                <w:sz w:val="16"/>
                <w:szCs w:val="16"/>
              </w:rPr>
            </w:pPr>
            <w:r w:rsidRPr="00DB248E">
              <w:rPr>
                <w:sz w:val="16"/>
                <w:szCs w:val="16"/>
              </w:rPr>
              <w:t>4 (33·3)</w:t>
            </w:r>
          </w:p>
        </w:tc>
        <w:tc>
          <w:tcPr>
            <w:tcW w:w="1355" w:type="dxa"/>
            <w:tcBorders>
              <w:top w:val="nil"/>
              <w:left w:val="nil"/>
              <w:bottom w:val="nil"/>
              <w:right w:val="nil"/>
            </w:tcBorders>
            <w:tcMar>
              <w:left w:w="40" w:type="dxa"/>
              <w:right w:w="40" w:type="dxa"/>
            </w:tcMar>
          </w:tcPr>
          <w:p w14:paraId="5B00C243" w14:textId="082D768E" w:rsidR="00BB3054" w:rsidRPr="00DB248E" w:rsidRDefault="00BB3054" w:rsidP="001706A2">
            <w:pPr>
              <w:rPr>
                <w:sz w:val="16"/>
                <w:szCs w:val="16"/>
              </w:rPr>
            </w:pPr>
            <w:r w:rsidRPr="00DB248E">
              <w:rPr>
                <w:sz w:val="16"/>
                <w:szCs w:val="16"/>
              </w:rPr>
              <w:t>4 (57·1)</w:t>
            </w:r>
          </w:p>
        </w:tc>
        <w:tc>
          <w:tcPr>
            <w:tcW w:w="1355" w:type="dxa"/>
            <w:tcBorders>
              <w:top w:val="nil"/>
              <w:left w:val="nil"/>
              <w:bottom w:val="nil"/>
              <w:right w:val="single" w:sz="4" w:space="0" w:color="000000"/>
            </w:tcBorders>
            <w:tcMar>
              <w:left w:w="40" w:type="dxa"/>
              <w:right w:w="40" w:type="dxa"/>
            </w:tcMar>
          </w:tcPr>
          <w:p w14:paraId="4729733C" w14:textId="5329CB33" w:rsidR="00BB3054" w:rsidRPr="00DB248E" w:rsidRDefault="00BB3054" w:rsidP="001706A2">
            <w:pPr>
              <w:rPr>
                <w:sz w:val="16"/>
                <w:szCs w:val="16"/>
              </w:rPr>
            </w:pPr>
            <w:r w:rsidRPr="00DB248E">
              <w:rPr>
                <w:sz w:val="16"/>
                <w:szCs w:val="16"/>
              </w:rPr>
              <w:t>8 (42·1)</w:t>
            </w:r>
          </w:p>
        </w:tc>
      </w:tr>
      <w:tr w:rsidR="00BB3054" w14:paraId="5958CFE6"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7573B044" w14:textId="0D7442AA" w:rsidR="00BB3054" w:rsidRPr="00DB248E" w:rsidRDefault="00BB3054" w:rsidP="00065B26">
            <w:pPr>
              <w:rPr>
                <w:sz w:val="16"/>
                <w:szCs w:val="16"/>
              </w:rPr>
            </w:pPr>
            <w:r w:rsidRPr="00DB248E">
              <w:rPr>
                <w:sz w:val="16"/>
                <w:szCs w:val="16"/>
              </w:rPr>
              <w:t>12-months progression-free survival rate</w:t>
            </w:r>
          </w:p>
        </w:tc>
        <w:tc>
          <w:tcPr>
            <w:tcW w:w="1355" w:type="dxa"/>
            <w:tcBorders>
              <w:top w:val="nil"/>
              <w:left w:val="nil"/>
              <w:bottom w:val="nil"/>
              <w:right w:val="nil"/>
            </w:tcBorders>
          </w:tcPr>
          <w:p w14:paraId="723E0B79" w14:textId="0565446A" w:rsidR="00BB3054" w:rsidRPr="00DB248E" w:rsidRDefault="00BB3054" w:rsidP="00490E17">
            <w:pPr>
              <w:rPr>
                <w:sz w:val="16"/>
                <w:szCs w:val="16"/>
              </w:rPr>
            </w:pPr>
            <w:r w:rsidRPr="00DB248E">
              <w:rPr>
                <w:sz w:val="16"/>
                <w:szCs w:val="16"/>
              </w:rPr>
              <w:t xml:space="preserve">73·3% </w:t>
            </w:r>
          </w:p>
        </w:tc>
        <w:tc>
          <w:tcPr>
            <w:tcW w:w="1355" w:type="dxa"/>
            <w:tcBorders>
              <w:top w:val="nil"/>
              <w:left w:val="nil"/>
              <w:bottom w:val="nil"/>
              <w:right w:val="nil"/>
            </w:tcBorders>
            <w:tcMar>
              <w:left w:w="40" w:type="dxa"/>
              <w:right w:w="40" w:type="dxa"/>
            </w:tcMar>
          </w:tcPr>
          <w:p w14:paraId="514B1B04" w14:textId="18FE44AB" w:rsidR="00BB3054" w:rsidRPr="00DB248E" w:rsidRDefault="00BB3054" w:rsidP="001706A2">
            <w:pPr>
              <w:rPr>
                <w:sz w:val="16"/>
                <w:szCs w:val="16"/>
              </w:rPr>
            </w:pPr>
            <w:r w:rsidRPr="00DB248E">
              <w:rPr>
                <w:sz w:val="16"/>
                <w:szCs w:val="16"/>
              </w:rPr>
              <w:t xml:space="preserve">53·6% </w:t>
            </w:r>
          </w:p>
        </w:tc>
        <w:tc>
          <w:tcPr>
            <w:tcW w:w="1355" w:type="dxa"/>
            <w:tcBorders>
              <w:top w:val="nil"/>
              <w:left w:val="nil"/>
              <w:bottom w:val="nil"/>
              <w:right w:val="single" w:sz="4" w:space="0" w:color="000000"/>
            </w:tcBorders>
            <w:tcMar>
              <w:left w:w="40" w:type="dxa"/>
              <w:right w:w="40" w:type="dxa"/>
            </w:tcMar>
          </w:tcPr>
          <w:p w14:paraId="49583E3F" w14:textId="6D9D0366" w:rsidR="00BB3054" w:rsidRPr="00DB248E" w:rsidRDefault="00BB3054" w:rsidP="001706A2">
            <w:pPr>
              <w:rPr>
                <w:sz w:val="16"/>
                <w:szCs w:val="16"/>
              </w:rPr>
            </w:pPr>
            <w:r w:rsidRPr="00DB248E">
              <w:rPr>
                <w:sz w:val="16"/>
                <w:szCs w:val="16"/>
              </w:rPr>
              <w:t xml:space="preserve">66·5%           </w:t>
            </w:r>
          </w:p>
        </w:tc>
      </w:tr>
      <w:tr w:rsidR="00BB3054" w14:paraId="49E4E93B"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3F2CA2AA" w14:textId="41E0DE08" w:rsidR="00BB3054" w:rsidRPr="00DB248E" w:rsidRDefault="00BB3054" w:rsidP="00065B26">
            <w:pPr>
              <w:rPr>
                <w:sz w:val="16"/>
                <w:szCs w:val="16"/>
              </w:rPr>
            </w:pPr>
            <w:r w:rsidRPr="00DB248E">
              <w:rPr>
                <w:sz w:val="16"/>
                <w:szCs w:val="16"/>
              </w:rPr>
              <w:t xml:space="preserve">        (95% CI)</w:t>
            </w:r>
          </w:p>
        </w:tc>
        <w:tc>
          <w:tcPr>
            <w:tcW w:w="1355" w:type="dxa"/>
            <w:tcBorders>
              <w:top w:val="nil"/>
              <w:left w:val="nil"/>
              <w:bottom w:val="nil"/>
              <w:right w:val="nil"/>
            </w:tcBorders>
          </w:tcPr>
          <w:p w14:paraId="2E69341E" w14:textId="5E9D1DF9" w:rsidR="00BB3054" w:rsidRPr="00DB248E" w:rsidRDefault="00BB3054" w:rsidP="00490E17">
            <w:pPr>
              <w:rPr>
                <w:sz w:val="16"/>
                <w:szCs w:val="16"/>
              </w:rPr>
            </w:pPr>
            <w:r w:rsidRPr="00DB248E">
              <w:rPr>
                <w:sz w:val="16"/>
                <w:szCs w:val="16"/>
              </w:rPr>
              <w:t xml:space="preserve">(37·9-90·6)          </w:t>
            </w:r>
          </w:p>
        </w:tc>
        <w:tc>
          <w:tcPr>
            <w:tcW w:w="1355" w:type="dxa"/>
            <w:tcBorders>
              <w:top w:val="nil"/>
              <w:left w:val="nil"/>
              <w:bottom w:val="nil"/>
              <w:right w:val="nil"/>
            </w:tcBorders>
            <w:tcMar>
              <w:left w:w="40" w:type="dxa"/>
              <w:right w:w="40" w:type="dxa"/>
            </w:tcMar>
          </w:tcPr>
          <w:p w14:paraId="15012D01" w14:textId="7589BC46" w:rsidR="00BB3054" w:rsidRPr="00DB248E" w:rsidRDefault="00BB3054" w:rsidP="001706A2">
            <w:pPr>
              <w:rPr>
                <w:sz w:val="16"/>
                <w:szCs w:val="16"/>
              </w:rPr>
            </w:pPr>
            <w:r w:rsidRPr="00DB248E">
              <w:rPr>
                <w:sz w:val="16"/>
                <w:szCs w:val="16"/>
              </w:rPr>
              <w:t xml:space="preserve">(13·2-82·5)          </w:t>
            </w:r>
          </w:p>
        </w:tc>
        <w:tc>
          <w:tcPr>
            <w:tcW w:w="1355" w:type="dxa"/>
            <w:tcBorders>
              <w:top w:val="nil"/>
              <w:left w:val="nil"/>
              <w:bottom w:val="nil"/>
              <w:right w:val="single" w:sz="4" w:space="0" w:color="000000"/>
            </w:tcBorders>
            <w:tcMar>
              <w:left w:w="40" w:type="dxa"/>
              <w:right w:w="40" w:type="dxa"/>
            </w:tcMar>
          </w:tcPr>
          <w:p w14:paraId="69284B7D" w14:textId="45B14159" w:rsidR="00BB3054" w:rsidRPr="00DB248E" w:rsidRDefault="00BB3054" w:rsidP="001706A2">
            <w:pPr>
              <w:rPr>
                <w:sz w:val="16"/>
                <w:szCs w:val="16"/>
              </w:rPr>
            </w:pPr>
            <w:r w:rsidRPr="00DB248E">
              <w:rPr>
                <w:sz w:val="16"/>
                <w:szCs w:val="16"/>
              </w:rPr>
              <w:t xml:space="preserve">(39·9-83·5)          </w:t>
            </w:r>
          </w:p>
        </w:tc>
      </w:tr>
      <w:tr w:rsidR="00BB3054" w14:paraId="73B30BF2"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6DD448B5" w14:textId="77777777" w:rsidR="00BB3054" w:rsidRPr="00DB248E" w:rsidRDefault="00BB3054" w:rsidP="00065B26">
            <w:pPr>
              <w:rPr>
                <w:sz w:val="16"/>
                <w:szCs w:val="16"/>
              </w:rPr>
            </w:pPr>
          </w:p>
        </w:tc>
        <w:tc>
          <w:tcPr>
            <w:tcW w:w="1355" w:type="dxa"/>
            <w:tcBorders>
              <w:top w:val="nil"/>
              <w:left w:val="nil"/>
              <w:bottom w:val="nil"/>
              <w:right w:val="nil"/>
            </w:tcBorders>
          </w:tcPr>
          <w:p w14:paraId="03F64483" w14:textId="77777777" w:rsidR="00BB3054" w:rsidRPr="00DB248E" w:rsidRDefault="00BB3054" w:rsidP="00490E17">
            <w:pPr>
              <w:rPr>
                <w:sz w:val="16"/>
                <w:szCs w:val="16"/>
              </w:rPr>
            </w:pPr>
          </w:p>
        </w:tc>
        <w:tc>
          <w:tcPr>
            <w:tcW w:w="1355" w:type="dxa"/>
            <w:tcBorders>
              <w:top w:val="nil"/>
              <w:left w:val="nil"/>
              <w:bottom w:val="nil"/>
              <w:right w:val="nil"/>
            </w:tcBorders>
            <w:tcMar>
              <w:left w:w="40" w:type="dxa"/>
              <w:right w:w="40" w:type="dxa"/>
            </w:tcMar>
          </w:tcPr>
          <w:p w14:paraId="19AF19B4" w14:textId="77777777" w:rsidR="00BB3054" w:rsidRPr="00DB248E" w:rsidRDefault="00BB3054" w:rsidP="001706A2">
            <w:pPr>
              <w:rPr>
                <w:sz w:val="16"/>
                <w:szCs w:val="16"/>
              </w:rPr>
            </w:pPr>
          </w:p>
        </w:tc>
        <w:tc>
          <w:tcPr>
            <w:tcW w:w="1355" w:type="dxa"/>
            <w:tcBorders>
              <w:top w:val="nil"/>
              <w:left w:val="nil"/>
              <w:bottom w:val="nil"/>
              <w:right w:val="single" w:sz="4" w:space="0" w:color="000000"/>
            </w:tcBorders>
            <w:tcMar>
              <w:left w:w="40" w:type="dxa"/>
              <w:right w:w="40" w:type="dxa"/>
            </w:tcMar>
          </w:tcPr>
          <w:p w14:paraId="6D79C623" w14:textId="77777777" w:rsidR="00BB3054" w:rsidRPr="00DB248E" w:rsidRDefault="00BB3054" w:rsidP="001706A2">
            <w:pPr>
              <w:rPr>
                <w:sz w:val="16"/>
                <w:szCs w:val="16"/>
              </w:rPr>
            </w:pPr>
          </w:p>
        </w:tc>
      </w:tr>
      <w:tr w:rsidR="00BB3054" w14:paraId="5C1D474D"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36DE3E06" w14:textId="77777777" w:rsidR="00BB3054" w:rsidRPr="00DB248E" w:rsidRDefault="00BB3054" w:rsidP="00065B26">
            <w:pPr>
              <w:rPr>
                <w:sz w:val="16"/>
                <w:szCs w:val="16"/>
              </w:rPr>
            </w:pPr>
            <w:r w:rsidRPr="00DB248E">
              <w:rPr>
                <w:sz w:val="16"/>
                <w:szCs w:val="16"/>
              </w:rPr>
              <w:t xml:space="preserve">Survival status    </w:t>
            </w:r>
          </w:p>
        </w:tc>
        <w:tc>
          <w:tcPr>
            <w:tcW w:w="1355" w:type="dxa"/>
            <w:tcBorders>
              <w:top w:val="nil"/>
              <w:left w:val="nil"/>
              <w:bottom w:val="nil"/>
              <w:right w:val="nil"/>
            </w:tcBorders>
          </w:tcPr>
          <w:p w14:paraId="06FE3071" w14:textId="77777777" w:rsidR="00BB3054" w:rsidRPr="00DB248E" w:rsidRDefault="00BB3054" w:rsidP="00490E17">
            <w:pPr>
              <w:rPr>
                <w:sz w:val="16"/>
                <w:szCs w:val="16"/>
              </w:rPr>
            </w:pPr>
          </w:p>
        </w:tc>
        <w:tc>
          <w:tcPr>
            <w:tcW w:w="1355" w:type="dxa"/>
            <w:tcBorders>
              <w:top w:val="nil"/>
              <w:left w:val="nil"/>
              <w:bottom w:val="nil"/>
              <w:right w:val="nil"/>
            </w:tcBorders>
            <w:tcMar>
              <w:left w:w="40" w:type="dxa"/>
              <w:right w:w="40" w:type="dxa"/>
            </w:tcMar>
          </w:tcPr>
          <w:p w14:paraId="609524BC" w14:textId="77777777" w:rsidR="00BB3054" w:rsidRPr="00DB248E" w:rsidRDefault="00BB3054" w:rsidP="001706A2">
            <w:pPr>
              <w:rPr>
                <w:sz w:val="16"/>
                <w:szCs w:val="16"/>
              </w:rPr>
            </w:pPr>
          </w:p>
        </w:tc>
        <w:tc>
          <w:tcPr>
            <w:tcW w:w="1355" w:type="dxa"/>
            <w:tcBorders>
              <w:top w:val="nil"/>
              <w:left w:val="nil"/>
              <w:bottom w:val="nil"/>
              <w:right w:val="single" w:sz="4" w:space="0" w:color="000000"/>
            </w:tcBorders>
            <w:tcMar>
              <w:left w:w="40" w:type="dxa"/>
              <w:right w:w="40" w:type="dxa"/>
            </w:tcMar>
          </w:tcPr>
          <w:p w14:paraId="54AF174A" w14:textId="77777777" w:rsidR="00BB3054" w:rsidRPr="00DB248E" w:rsidRDefault="00BB3054" w:rsidP="001706A2">
            <w:pPr>
              <w:rPr>
                <w:sz w:val="16"/>
                <w:szCs w:val="16"/>
              </w:rPr>
            </w:pPr>
          </w:p>
        </w:tc>
      </w:tr>
      <w:tr w:rsidR="00BB3054" w14:paraId="44EFB09B" w14:textId="77777777" w:rsidTr="000C14A3">
        <w:trPr>
          <w:cantSplit/>
          <w:jc w:val="center"/>
        </w:trPr>
        <w:tc>
          <w:tcPr>
            <w:tcW w:w="4227" w:type="dxa"/>
            <w:tcBorders>
              <w:top w:val="nil"/>
              <w:left w:val="single" w:sz="4" w:space="0" w:color="000000"/>
              <w:bottom w:val="nil"/>
              <w:right w:val="nil"/>
            </w:tcBorders>
            <w:tcMar>
              <w:left w:w="40" w:type="dxa"/>
              <w:right w:w="40" w:type="dxa"/>
            </w:tcMar>
            <w:vAlign w:val="bottom"/>
          </w:tcPr>
          <w:p w14:paraId="1490B32D" w14:textId="38892362" w:rsidR="00BB3054" w:rsidRPr="00DB248E" w:rsidRDefault="00BB3054" w:rsidP="00065B26">
            <w:pPr>
              <w:rPr>
                <w:sz w:val="16"/>
                <w:szCs w:val="16"/>
              </w:rPr>
            </w:pPr>
            <w:r w:rsidRPr="00DB248E">
              <w:rPr>
                <w:sz w:val="16"/>
                <w:szCs w:val="16"/>
              </w:rPr>
              <w:t xml:space="preserve">       Alive</w:t>
            </w:r>
          </w:p>
        </w:tc>
        <w:tc>
          <w:tcPr>
            <w:tcW w:w="1355" w:type="dxa"/>
            <w:tcBorders>
              <w:top w:val="nil"/>
              <w:left w:val="nil"/>
              <w:bottom w:val="nil"/>
              <w:right w:val="nil"/>
            </w:tcBorders>
          </w:tcPr>
          <w:p w14:paraId="0E3690CE" w14:textId="3C24CAA0" w:rsidR="00BB3054" w:rsidRPr="00DB248E" w:rsidRDefault="00BB3054" w:rsidP="00490E17">
            <w:pPr>
              <w:rPr>
                <w:sz w:val="16"/>
                <w:szCs w:val="16"/>
              </w:rPr>
            </w:pPr>
            <w:r w:rsidRPr="00DB248E">
              <w:rPr>
                <w:sz w:val="16"/>
                <w:szCs w:val="16"/>
              </w:rPr>
              <w:t xml:space="preserve">   10 (83·3)                                                                                        </w:t>
            </w:r>
          </w:p>
        </w:tc>
        <w:tc>
          <w:tcPr>
            <w:tcW w:w="1355" w:type="dxa"/>
            <w:tcBorders>
              <w:top w:val="nil"/>
              <w:left w:val="nil"/>
              <w:bottom w:val="nil"/>
              <w:right w:val="nil"/>
            </w:tcBorders>
            <w:tcMar>
              <w:left w:w="40" w:type="dxa"/>
              <w:right w:w="40" w:type="dxa"/>
            </w:tcMar>
          </w:tcPr>
          <w:p w14:paraId="5E5DDEF0" w14:textId="6A7E270D" w:rsidR="00BB3054" w:rsidRPr="00DB248E" w:rsidRDefault="00BB3054" w:rsidP="001706A2">
            <w:pPr>
              <w:rPr>
                <w:sz w:val="16"/>
                <w:szCs w:val="16"/>
              </w:rPr>
            </w:pPr>
            <w:r w:rsidRPr="00DB248E">
              <w:rPr>
                <w:sz w:val="16"/>
                <w:szCs w:val="16"/>
              </w:rPr>
              <w:t xml:space="preserve">    4 (57·1)                                                                                        </w:t>
            </w:r>
          </w:p>
        </w:tc>
        <w:tc>
          <w:tcPr>
            <w:tcW w:w="1355" w:type="dxa"/>
            <w:tcBorders>
              <w:top w:val="nil"/>
              <w:left w:val="nil"/>
              <w:bottom w:val="nil"/>
              <w:right w:val="single" w:sz="4" w:space="0" w:color="000000"/>
            </w:tcBorders>
            <w:tcMar>
              <w:left w:w="40" w:type="dxa"/>
              <w:right w:w="40" w:type="dxa"/>
            </w:tcMar>
          </w:tcPr>
          <w:p w14:paraId="523E8E8E" w14:textId="04AD1024" w:rsidR="00BB3054" w:rsidRPr="00DB248E" w:rsidRDefault="00BB3054" w:rsidP="001706A2">
            <w:pPr>
              <w:rPr>
                <w:sz w:val="16"/>
                <w:szCs w:val="16"/>
              </w:rPr>
            </w:pPr>
            <w:r w:rsidRPr="00DB248E">
              <w:rPr>
                <w:sz w:val="16"/>
                <w:szCs w:val="16"/>
              </w:rPr>
              <w:t xml:space="preserve">   14 (73·7)                                                                                        </w:t>
            </w:r>
          </w:p>
        </w:tc>
      </w:tr>
      <w:tr w:rsidR="00BB3054" w14:paraId="69465FAA" w14:textId="77777777" w:rsidTr="000C14A3">
        <w:trPr>
          <w:cantSplit/>
          <w:jc w:val="center"/>
        </w:trPr>
        <w:tc>
          <w:tcPr>
            <w:tcW w:w="4227" w:type="dxa"/>
            <w:tcBorders>
              <w:top w:val="nil"/>
              <w:left w:val="single" w:sz="4" w:space="0" w:color="000000"/>
              <w:right w:val="nil"/>
            </w:tcBorders>
            <w:tcMar>
              <w:left w:w="40" w:type="dxa"/>
              <w:right w:w="40" w:type="dxa"/>
            </w:tcMar>
            <w:vAlign w:val="bottom"/>
          </w:tcPr>
          <w:p w14:paraId="6A453182" w14:textId="43084199" w:rsidR="00BB3054" w:rsidRPr="00DB248E" w:rsidRDefault="00BB3054" w:rsidP="00065B26">
            <w:pPr>
              <w:rPr>
                <w:sz w:val="16"/>
                <w:szCs w:val="16"/>
              </w:rPr>
            </w:pPr>
            <w:r w:rsidRPr="00DB248E">
              <w:rPr>
                <w:sz w:val="16"/>
                <w:szCs w:val="16"/>
              </w:rPr>
              <w:t xml:space="preserve">       Dead          </w:t>
            </w:r>
          </w:p>
        </w:tc>
        <w:tc>
          <w:tcPr>
            <w:tcW w:w="1355" w:type="dxa"/>
            <w:tcBorders>
              <w:top w:val="nil"/>
              <w:left w:val="nil"/>
              <w:right w:val="nil"/>
            </w:tcBorders>
          </w:tcPr>
          <w:p w14:paraId="7B892E93" w14:textId="7E50F690" w:rsidR="00BB3054" w:rsidRPr="00DB248E" w:rsidRDefault="00BB3054" w:rsidP="00490E17">
            <w:pPr>
              <w:rPr>
                <w:sz w:val="16"/>
                <w:szCs w:val="16"/>
              </w:rPr>
            </w:pPr>
            <w:r w:rsidRPr="00DB248E">
              <w:rPr>
                <w:sz w:val="16"/>
                <w:szCs w:val="16"/>
              </w:rPr>
              <w:t xml:space="preserve">    2 (16·7)                                                                                        </w:t>
            </w:r>
          </w:p>
        </w:tc>
        <w:tc>
          <w:tcPr>
            <w:tcW w:w="1355" w:type="dxa"/>
            <w:tcBorders>
              <w:top w:val="nil"/>
              <w:left w:val="nil"/>
              <w:right w:val="nil"/>
            </w:tcBorders>
            <w:tcMar>
              <w:left w:w="40" w:type="dxa"/>
              <w:right w:w="40" w:type="dxa"/>
            </w:tcMar>
          </w:tcPr>
          <w:p w14:paraId="58CCC240" w14:textId="030FE914" w:rsidR="00BB3054" w:rsidRPr="00DB248E" w:rsidRDefault="00BB3054" w:rsidP="001706A2">
            <w:pPr>
              <w:rPr>
                <w:sz w:val="16"/>
                <w:szCs w:val="16"/>
              </w:rPr>
            </w:pPr>
            <w:r w:rsidRPr="00DB248E">
              <w:rPr>
                <w:sz w:val="16"/>
                <w:szCs w:val="16"/>
              </w:rPr>
              <w:t xml:space="preserve">    3 (42·9)                                                                                        </w:t>
            </w:r>
          </w:p>
        </w:tc>
        <w:tc>
          <w:tcPr>
            <w:tcW w:w="1355" w:type="dxa"/>
            <w:tcBorders>
              <w:top w:val="nil"/>
              <w:left w:val="nil"/>
              <w:right w:val="single" w:sz="4" w:space="0" w:color="000000"/>
            </w:tcBorders>
            <w:tcMar>
              <w:left w:w="40" w:type="dxa"/>
              <w:right w:w="40" w:type="dxa"/>
            </w:tcMar>
          </w:tcPr>
          <w:p w14:paraId="4244ED0A" w14:textId="146D53FF" w:rsidR="00BB3054" w:rsidRPr="00DB248E" w:rsidRDefault="00BB3054" w:rsidP="001706A2">
            <w:pPr>
              <w:rPr>
                <w:sz w:val="16"/>
                <w:szCs w:val="16"/>
              </w:rPr>
            </w:pPr>
            <w:r w:rsidRPr="00DB248E">
              <w:rPr>
                <w:sz w:val="16"/>
                <w:szCs w:val="16"/>
              </w:rPr>
              <w:t xml:space="preserve">    5 (26·3)                                                                                        </w:t>
            </w:r>
          </w:p>
        </w:tc>
      </w:tr>
      <w:tr w:rsidR="00BB3054" w14:paraId="1A9F3183" w14:textId="77777777" w:rsidTr="000C14A3">
        <w:trPr>
          <w:cantSplit/>
          <w:jc w:val="center"/>
        </w:trPr>
        <w:tc>
          <w:tcPr>
            <w:tcW w:w="4227" w:type="dxa"/>
            <w:tcBorders>
              <w:top w:val="nil"/>
              <w:left w:val="single" w:sz="4" w:space="0" w:color="000000"/>
              <w:right w:val="nil"/>
            </w:tcBorders>
            <w:tcMar>
              <w:left w:w="40" w:type="dxa"/>
              <w:right w:w="40" w:type="dxa"/>
            </w:tcMar>
            <w:vAlign w:val="bottom"/>
          </w:tcPr>
          <w:p w14:paraId="4BD0DE17" w14:textId="77777777" w:rsidR="00BB3054" w:rsidRPr="00DB248E" w:rsidRDefault="00BB3054" w:rsidP="00065B26">
            <w:pPr>
              <w:rPr>
                <w:sz w:val="16"/>
                <w:szCs w:val="16"/>
              </w:rPr>
            </w:pPr>
            <w:r w:rsidRPr="00DB248E">
              <w:rPr>
                <w:sz w:val="16"/>
                <w:szCs w:val="16"/>
              </w:rPr>
              <w:t xml:space="preserve">Reason of death                             </w:t>
            </w:r>
          </w:p>
        </w:tc>
        <w:tc>
          <w:tcPr>
            <w:tcW w:w="1355" w:type="dxa"/>
            <w:tcBorders>
              <w:top w:val="nil"/>
              <w:left w:val="nil"/>
              <w:right w:val="nil"/>
            </w:tcBorders>
          </w:tcPr>
          <w:p w14:paraId="26E4F053" w14:textId="77777777" w:rsidR="00BB3054" w:rsidRPr="00DB248E" w:rsidRDefault="00BB3054" w:rsidP="00490E17">
            <w:pPr>
              <w:rPr>
                <w:sz w:val="16"/>
                <w:szCs w:val="16"/>
              </w:rPr>
            </w:pPr>
          </w:p>
        </w:tc>
        <w:tc>
          <w:tcPr>
            <w:tcW w:w="1355" w:type="dxa"/>
            <w:tcBorders>
              <w:top w:val="nil"/>
              <w:left w:val="nil"/>
              <w:right w:val="nil"/>
            </w:tcBorders>
            <w:tcMar>
              <w:left w:w="40" w:type="dxa"/>
              <w:right w:w="40" w:type="dxa"/>
            </w:tcMar>
          </w:tcPr>
          <w:p w14:paraId="37E45D12" w14:textId="77777777" w:rsidR="00BB3054" w:rsidRPr="00DB248E" w:rsidRDefault="00BB3054" w:rsidP="001706A2">
            <w:pPr>
              <w:rPr>
                <w:sz w:val="16"/>
                <w:szCs w:val="16"/>
              </w:rPr>
            </w:pPr>
          </w:p>
        </w:tc>
        <w:tc>
          <w:tcPr>
            <w:tcW w:w="1355" w:type="dxa"/>
            <w:tcBorders>
              <w:top w:val="nil"/>
              <w:left w:val="nil"/>
              <w:right w:val="single" w:sz="4" w:space="0" w:color="000000"/>
            </w:tcBorders>
            <w:tcMar>
              <w:left w:w="40" w:type="dxa"/>
              <w:right w:w="40" w:type="dxa"/>
            </w:tcMar>
          </w:tcPr>
          <w:p w14:paraId="4ED348DD" w14:textId="77777777" w:rsidR="00BB3054" w:rsidRPr="00DB248E" w:rsidRDefault="00BB3054" w:rsidP="001706A2">
            <w:pPr>
              <w:rPr>
                <w:sz w:val="16"/>
                <w:szCs w:val="16"/>
              </w:rPr>
            </w:pPr>
          </w:p>
        </w:tc>
      </w:tr>
      <w:tr w:rsidR="00BB3054" w14:paraId="6BA93849" w14:textId="77777777" w:rsidTr="000C14A3">
        <w:trPr>
          <w:cantSplit/>
          <w:jc w:val="center"/>
        </w:trPr>
        <w:tc>
          <w:tcPr>
            <w:tcW w:w="4227" w:type="dxa"/>
            <w:tcBorders>
              <w:top w:val="nil"/>
              <w:left w:val="single" w:sz="4" w:space="0" w:color="000000"/>
              <w:right w:val="nil"/>
            </w:tcBorders>
            <w:tcMar>
              <w:left w:w="40" w:type="dxa"/>
              <w:right w:w="40" w:type="dxa"/>
            </w:tcMar>
            <w:vAlign w:val="bottom"/>
          </w:tcPr>
          <w:p w14:paraId="36975FA1" w14:textId="60E1F5BC" w:rsidR="00BB3054" w:rsidRPr="00DB248E" w:rsidRDefault="00BB3054" w:rsidP="00065B26">
            <w:pPr>
              <w:rPr>
                <w:sz w:val="16"/>
                <w:szCs w:val="16"/>
              </w:rPr>
            </w:pPr>
            <w:r w:rsidRPr="00DB248E">
              <w:rPr>
                <w:sz w:val="16"/>
                <w:szCs w:val="16"/>
              </w:rPr>
              <w:t xml:space="preserve">       Progression of IMFT                        </w:t>
            </w:r>
          </w:p>
        </w:tc>
        <w:tc>
          <w:tcPr>
            <w:tcW w:w="1355" w:type="dxa"/>
            <w:tcBorders>
              <w:top w:val="nil"/>
              <w:left w:val="nil"/>
              <w:right w:val="nil"/>
            </w:tcBorders>
          </w:tcPr>
          <w:p w14:paraId="683C637A" w14:textId="413C2C2A" w:rsidR="00BB3054" w:rsidRPr="00DB248E" w:rsidRDefault="00BB3054" w:rsidP="00490E17">
            <w:pPr>
              <w:rPr>
                <w:sz w:val="16"/>
                <w:szCs w:val="16"/>
              </w:rPr>
            </w:pPr>
            <w:r w:rsidRPr="00DB248E">
              <w:rPr>
                <w:sz w:val="16"/>
                <w:szCs w:val="16"/>
              </w:rPr>
              <w:t xml:space="preserve">    1 (8·3)                                                                                         </w:t>
            </w:r>
          </w:p>
        </w:tc>
        <w:tc>
          <w:tcPr>
            <w:tcW w:w="1355" w:type="dxa"/>
            <w:tcBorders>
              <w:top w:val="nil"/>
              <w:left w:val="nil"/>
              <w:right w:val="nil"/>
            </w:tcBorders>
            <w:tcMar>
              <w:left w:w="40" w:type="dxa"/>
              <w:right w:w="40" w:type="dxa"/>
            </w:tcMar>
          </w:tcPr>
          <w:p w14:paraId="6FC11DCD" w14:textId="3C771F86" w:rsidR="00BB3054" w:rsidRPr="00DB248E" w:rsidRDefault="00BB3054" w:rsidP="001706A2">
            <w:pPr>
              <w:rPr>
                <w:sz w:val="16"/>
                <w:szCs w:val="16"/>
              </w:rPr>
            </w:pPr>
            <w:r w:rsidRPr="00DB248E">
              <w:rPr>
                <w:sz w:val="16"/>
                <w:szCs w:val="16"/>
              </w:rPr>
              <w:t xml:space="preserve">    3 (42·9)                                                                                        </w:t>
            </w:r>
          </w:p>
        </w:tc>
        <w:tc>
          <w:tcPr>
            <w:tcW w:w="1355" w:type="dxa"/>
            <w:tcBorders>
              <w:top w:val="nil"/>
              <w:left w:val="nil"/>
              <w:right w:val="single" w:sz="4" w:space="0" w:color="000000"/>
            </w:tcBorders>
            <w:tcMar>
              <w:left w:w="40" w:type="dxa"/>
              <w:right w:w="40" w:type="dxa"/>
            </w:tcMar>
          </w:tcPr>
          <w:p w14:paraId="5EA1438C" w14:textId="41013078" w:rsidR="00BB3054" w:rsidRPr="00DB248E" w:rsidRDefault="00BB3054" w:rsidP="001706A2">
            <w:pPr>
              <w:rPr>
                <w:sz w:val="16"/>
                <w:szCs w:val="16"/>
              </w:rPr>
            </w:pPr>
            <w:r w:rsidRPr="00DB248E">
              <w:rPr>
                <w:sz w:val="16"/>
                <w:szCs w:val="16"/>
              </w:rPr>
              <w:t xml:space="preserve">    4 (21·1)                                                                                        </w:t>
            </w:r>
          </w:p>
        </w:tc>
      </w:tr>
      <w:tr w:rsidR="00BB3054" w14:paraId="70B0D4EC" w14:textId="77777777" w:rsidTr="000C14A3">
        <w:trPr>
          <w:cantSplit/>
          <w:jc w:val="center"/>
        </w:trPr>
        <w:tc>
          <w:tcPr>
            <w:tcW w:w="4227" w:type="dxa"/>
            <w:tcBorders>
              <w:left w:val="single" w:sz="4" w:space="0" w:color="000000"/>
            </w:tcBorders>
            <w:tcMar>
              <w:left w:w="40" w:type="dxa"/>
              <w:right w:w="40" w:type="dxa"/>
            </w:tcMar>
            <w:vAlign w:val="bottom"/>
          </w:tcPr>
          <w:p w14:paraId="683B1F4B" w14:textId="07CC726B" w:rsidR="00BB3054" w:rsidRPr="00DB248E" w:rsidRDefault="00BB3054" w:rsidP="00065B26">
            <w:pPr>
              <w:rPr>
                <w:sz w:val="16"/>
                <w:szCs w:val="16"/>
              </w:rPr>
            </w:pPr>
            <w:r w:rsidRPr="00DB248E">
              <w:rPr>
                <w:sz w:val="16"/>
                <w:szCs w:val="16"/>
              </w:rPr>
              <w:t xml:space="preserve">       Cardiovascular disease</w:t>
            </w:r>
          </w:p>
        </w:tc>
        <w:tc>
          <w:tcPr>
            <w:tcW w:w="1355" w:type="dxa"/>
          </w:tcPr>
          <w:p w14:paraId="3F2C5CA2" w14:textId="65AD4ECC" w:rsidR="00BB3054" w:rsidRPr="00DB248E" w:rsidRDefault="00BB3054" w:rsidP="00490E17">
            <w:pPr>
              <w:rPr>
                <w:sz w:val="16"/>
                <w:szCs w:val="16"/>
              </w:rPr>
            </w:pPr>
            <w:r w:rsidRPr="00DB248E">
              <w:rPr>
                <w:sz w:val="16"/>
                <w:szCs w:val="16"/>
              </w:rPr>
              <w:t xml:space="preserve">    1 (8·3)                                                                                         </w:t>
            </w:r>
          </w:p>
        </w:tc>
        <w:tc>
          <w:tcPr>
            <w:tcW w:w="1355" w:type="dxa"/>
            <w:tcMar>
              <w:left w:w="40" w:type="dxa"/>
              <w:right w:w="40" w:type="dxa"/>
            </w:tcMar>
          </w:tcPr>
          <w:p w14:paraId="23EA8B45" w14:textId="44B4D4D5" w:rsidR="00BB3054" w:rsidRPr="00DB248E" w:rsidRDefault="00BB3054" w:rsidP="001706A2">
            <w:pPr>
              <w:rPr>
                <w:sz w:val="16"/>
                <w:szCs w:val="16"/>
              </w:rPr>
            </w:pPr>
            <w:r w:rsidRPr="00DB248E">
              <w:rPr>
                <w:sz w:val="16"/>
                <w:szCs w:val="16"/>
              </w:rPr>
              <w:t xml:space="preserve">    0 (0·0)                                                                                         </w:t>
            </w:r>
          </w:p>
        </w:tc>
        <w:tc>
          <w:tcPr>
            <w:tcW w:w="1355" w:type="dxa"/>
            <w:tcBorders>
              <w:right w:val="single" w:sz="4" w:space="0" w:color="000000"/>
            </w:tcBorders>
            <w:tcMar>
              <w:left w:w="40" w:type="dxa"/>
              <w:right w:w="40" w:type="dxa"/>
            </w:tcMar>
          </w:tcPr>
          <w:p w14:paraId="77ED966D" w14:textId="6855B85B" w:rsidR="00BB3054" w:rsidRPr="00DB248E" w:rsidRDefault="00BB3054" w:rsidP="001706A2">
            <w:pPr>
              <w:rPr>
                <w:sz w:val="16"/>
                <w:szCs w:val="16"/>
              </w:rPr>
            </w:pPr>
            <w:r w:rsidRPr="00DB248E">
              <w:rPr>
                <w:sz w:val="16"/>
                <w:szCs w:val="16"/>
              </w:rPr>
              <w:t xml:space="preserve">    1 (5·3)                                                                                         </w:t>
            </w:r>
          </w:p>
        </w:tc>
      </w:tr>
      <w:tr w:rsidR="00BB3054" w14:paraId="5D7C8067" w14:textId="77777777" w:rsidTr="000C14A3">
        <w:trPr>
          <w:cantSplit/>
          <w:jc w:val="center"/>
        </w:trPr>
        <w:tc>
          <w:tcPr>
            <w:tcW w:w="4227" w:type="dxa"/>
            <w:tcBorders>
              <w:left w:val="single" w:sz="4" w:space="0" w:color="000000"/>
            </w:tcBorders>
            <w:tcMar>
              <w:left w:w="40" w:type="dxa"/>
              <w:right w:w="40" w:type="dxa"/>
            </w:tcMar>
            <w:vAlign w:val="bottom"/>
          </w:tcPr>
          <w:p w14:paraId="4AE54F5B" w14:textId="49111EF8" w:rsidR="00BB3054" w:rsidRPr="00DB248E" w:rsidRDefault="00BB3054" w:rsidP="00065B26">
            <w:pPr>
              <w:rPr>
                <w:sz w:val="16"/>
                <w:szCs w:val="16"/>
              </w:rPr>
            </w:pPr>
            <w:r w:rsidRPr="00DB248E">
              <w:rPr>
                <w:sz w:val="16"/>
                <w:szCs w:val="16"/>
              </w:rPr>
              <w:t xml:space="preserve">12-months survival rate </w:t>
            </w:r>
          </w:p>
        </w:tc>
        <w:tc>
          <w:tcPr>
            <w:tcW w:w="1355" w:type="dxa"/>
          </w:tcPr>
          <w:p w14:paraId="5A222601" w14:textId="3B8E781D" w:rsidR="00BB3054" w:rsidRPr="00DB248E" w:rsidRDefault="00BB3054" w:rsidP="00490E17">
            <w:pPr>
              <w:rPr>
                <w:sz w:val="16"/>
                <w:szCs w:val="16"/>
              </w:rPr>
            </w:pPr>
            <w:r w:rsidRPr="00DB248E">
              <w:rPr>
                <w:sz w:val="16"/>
                <w:szCs w:val="16"/>
              </w:rPr>
              <w:t>81·8%</w:t>
            </w:r>
          </w:p>
        </w:tc>
        <w:tc>
          <w:tcPr>
            <w:tcW w:w="1355" w:type="dxa"/>
            <w:tcMar>
              <w:left w:w="40" w:type="dxa"/>
              <w:right w:w="40" w:type="dxa"/>
            </w:tcMar>
          </w:tcPr>
          <w:p w14:paraId="6B18ED4C" w14:textId="63A2D071" w:rsidR="00BB3054" w:rsidRPr="00DB248E" w:rsidRDefault="00BB3054" w:rsidP="001706A2">
            <w:pPr>
              <w:rPr>
                <w:sz w:val="16"/>
                <w:szCs w:val="16"/>
              </w:rPr>
            </w:pPr>
            <w:r w:rsidRPr="00DB248E">
              <w:rPr>
                <w:sz w:val="16"/>
                <w:szCs w:val="16"/>
              </w:rPr>
              <w:t>83·3%</w:t>
            </w:r>
          </w:p>
        </w:tc>
        <w:tc>
          <w:tcPr>
            <w:tcW w:w="1355" w:type="dxa"/>
            <w:tcBorders>
              <w:right w:val="single" w:sz="4" w:space="0" w:color="000000"/>
            </w:tcBorders>
            <w:tcMar>
              <w:left w:w="40" w:type="dxa"/>
              <w:right w:w="40" w:type="dxa"/>
            </w:tcMar>
          </w:tcPr>
          <w:p w14:paraId="36545CE5" w14:textId="78236C11" w:rsidR="00BB3054" w:rsidRPr="00DB248E" w:rsidRDefault="00BB3054" w:rsidP="001706A2">
            <w:pPr>
              <w:rPr>
                <w:sz w:val="16"/>
                <w:szCs w:val="16"/>
              </w:rPr>
            </w:pPr>
            <w:r w:rsidRPr="00DB248E">
              <w:rPr>
                <w:sz w:val="16"/>
                <w:szCs w:val="16"/>
              </w:rPr>
              <w:t>82·4%</w:t>
            </w:r>
          </w:p>
        </w:tc>
      </w:tr>
      <w:tr w:rsidR="00BB3054" w14:paraId="2F70797C" w14:textId="77777777" w:rsidTr="000C14A3">
        <w:trPr>
          <w:cantSplit/>
          <w:jc w:val="center"/>
        </w:trPr>
        <w:tc>
          <w:tcPr>
            <w:tcW w:w="4227" w:type="dxa"/>
            <w:tcBorders>
              <w:left w:val="single" w:sz="4" w:space="0" w:color="000000"/>
              <w:bottom w:val="single" w:sz="4" w:space="0" w:color="000000"/>
            </w:tcBorders>
            <w:tcMar>
              <w:left w:w="40" w:type="dxa"/>
              <w:right w:w="40" w:type="dxa"/>
            </w:tcMar>
            <w:vAlign w:val="bottom"/>
          </w:tcPr>
          <w:p w14:paraId="0C56C6A3" w14:textId="57D784CE" w:rsidR="00BB3054" w:rsidRPr="00DB248E" w:rsidRDefault="00BB3054" w:rsidP="00065B26">
            <w:pPr>
              <w:rPr>
                <w:sz w:val="16"/>
                <w:szCs w:val="16"/>
              </w:rPr>
            </w:pPr>
            <w:r w:rsidRPr="00DB248E">
              <w:rPr>
                <w:sz w:val="16"/>
                <w:szCs w:val="16"/>
              </w:rPr>
              <w:t xml:space="preserve">        (95% CI)</w:t>
            </w:r>
          </w:p>
        </w:tc>
        <w:tc>
          <w:tcPr>
            <w:tcW w:w="1355" w:type="dxa"/>
            <w:tcBorders>
              <w:bottom w:val="single" w:sz="4" w:space="0" w:color="000000"/>
            </w:tcBorders>
          </w:tcPr>
          <w:p w14:paraId="780F1F2C" w14:textId="0C920BB5" w:rsidR="00BB3054" w:rsidRPr="00DB248E" w:rsidRDefault="00BB3054" w:rsidP="00490E17">
            <w:pPr>
              <w:rPr>
                <w:sz w:val="16"/>
                <w:szCs w:val="16"/>
              </w:rPr>
            </w:pPr>
            <w:r w:rsidRPr="00DB248E">
              <w:rPr>
                <w:sz w:val="16"/>
                <w:szCs w:val="16"/>
              </w:rPr>
              <w:t>(44·7-95·1)</w:t>
            </w:r>
          </w:p>
        </w:tc>
        <w:tc>
          <w:tcPr>
            <w:tcW w:w="1355" w:type="dxa"/>
            <w:tcBorders>
              <w:bottom w:val="single" w:sz="4" w:space="0" w:color="000000"/>
            </w:tcBorders>
            <w:tcMar>
              <w:left w:w="40" w:type="dxa"/>
              <w:right w:w="40" w:type="dxa"/>
            </w:tcMar>
          </w:tcPr>
          <w:p w14:paraId="772BD185" w14:textId="5E66C939" w:rsidR="00BB3054" w:rsidRPr="00DB248E" w:rsidRDefault="00BB3054" w:rsidP="001706A2">
            <w:pPr>
              <w:rPr>
                <w:sz w:val="16"/>
                <w:szCs w:val="16"/>
              </w:rPr>
            </w:pPr>
            <w:r w:rsidRPr="00DB248E">
              <w:rPr>
                <w:sz w:val="16"/>
                <w:szCs w:val="16"/>
              </w:rPr>
              <w:t xml:space="preserve">(27·3-97·5)          </w:t>
            </w:r>
          </w:p>
        </w:tc>
        <w:tc>
          <w:tcPr>
            <w:tcW w:w="1355" w:type="dxa"/>
            <w:tcBorders>
              <w:bottom w:val="single" w:sz="4" w:space="0" w:color="000000"/>
              <w:right w:val="single" w:sz="4" w:space="0" w:color="000000"/>
            </w:tcBorders>
            <w:tcMar>
              <w:left w:w="40" w:type="dxa"/>
              <w:right w:w="40" w:type="dxa"/>
            </w:tcMar>
          </w:tcPr>
          <w:p w14:paraId="6711C2F1" w14:textId="59822BD5" w:rsidR="00BB3054" w:rsidRPr="00DB248E" w:rsidRDefault="00BB3054" w:rsidP="001706A2">
            <w:pPr>
              <w:rPr>
                <w:sz w:val="16"/>
                <w:szCs w:val="16"/>
              </w:rPr>
            </w:pPr>
            <w:r w:rsidRPr="00DB248E">
              <w:rPr>
                <w:sz w:val="16"/>
                <w:szCs w:val="16"/>
              </w:rPr>
              <w:t xml:space="preserve">(54·7-93·9)         </w:t>
            </w:r>
          </w:p>
        </w:tc>
      </w:tr>
    </w:tbl>
    <w:p w14:paraId="439753D2" w14:textId="77777777" w:rsidR="00C118F6" w:rsidRPr="00D35158" w:rsidRDefault="00C118F6" w:rsidP="00065B26"/>
    <w:p w14:paraId="10785289" w14:textId="6AA9F3EB" w:rsidR="00997082" w:rsidRPr="00D65912" w:rsidRDefault="00C118F6" w:rsidP="00065B26">
      <w:r w:rsidRPr="00151D6C">
        <w:t>Legend:</w:t>
      </w:r>
      <w:r w:rsidR="00C564FC" w:rsidRPr="00151D6C">
        <w:t xml:space="preserve"> CI, confidence interval</w:t>
      </w:r>
      <w:r w:rsidRPr="00D65912">
        <w:t xml:space="preserve"> </w:t>
      </w:r>
      <w:r w:rsidR="00997082" w:rsidRPr="00D65912">
        <w:br w:type="page"/>
      </w:r>
    </w:p>
    <w:p w14:paraId="221C9D93" w14:textId="46F1A6E2" w:rsidR="00CE712A" w:rsidRPr="00151D6C" w:rsidRDefault="00997082" w:rsidP="00490E17">
      <w:pPr>
        <w:rPr>
          <w:noProof/>
        </w:rPr>
      </w:pPr>
      <w:r w:rsidRPr="00151D6C">
        <w:rPr>
          <w:b/>
          <w:noProof/>
        </w:rPr>
        <w:t xml:space="preserve">Figure </w:t>
      </w:r>
      <w:r w:rsidR="00A5594C" w:rsidRPr="00151D6C">
        <w:rPr>
          <w:b/>
          <w:noProof/>
        </w:rPr>
        <w:t>2</w:t>
      </w:r>
      <w:r w:rsidRPr="00151D6C">
        <w:rPr>
          <w:b/>
          <w:noProof/>
        </w:rPr>
        <w:t>.</w:t>
      </w:r>
      <w:r w:rsidRPr="00151D6C">
        <w:rPr>
          <w:noProof/>
        </w:rPr>
        <w:t xml:space="preserve"> Kaplan-Meier estimates for progression-free survival for the </w:t>
      </w:r>
      <w:r w:rsidR="009F7D5C" w:rsidRPr="00151D6C">
        <w:rPr>
          <w:i/>
          <w:noProof/>
        </w:rPr>
        <w:t>ALK</w:t>
      </w:r>
      <w:r w:rsidRPr="00151D6C">
        <w:rPr>
          <w:noProof/>
        </w:rPr>
        <w:t xml:space="preserve">+ and </w:t>
      </w:r>
      <w:r w:rsidR="009F7D5C" w:rsidRPr="00151D6C">
        <w:rPr>
          <w:i/>
          <w:noProof/>
        </w:rPr>
        <w:t>ALK</w:t>
      </w:r>
      <w:r w:rsidRPr="00151D6C">
        <w:rPr>
          <w:noProof/>
        </w:rPr>
        <w:t>- sub-cohorts per protocol.</w:t>
      </w:r>
    </w:p>
    <w:p w14:paraId="036A4048" w14:textId="7E8E73FE" w:rsidR="00C118F6" w:rsidRPr="00D65912" w:rsidRDefault="00C118F6" w:rsidP="001706A2">
      <w:pPr>
        <w:rPr>
          <w:noProof/>
        </w:rPr>
      </w:pPr>
    </w:p>
    <w:p w14:paraId="748645A4" w14:textId="008148DA" w:rsidR="00307D5A" w:rsidRDefault="00307D5A" w:rsidP="001706A2">
      <w:r>
        <w:rPr>
          <w:noProof/>
          <w:lang w:val="en-GB" w:eastAsia="en-GB"/>
        </w:rPr>
        <w:drawing>
          <wp:inline distT="0" distB="0" distL="0" distR="0" wp14:anchorId="40405BFC" wp14:editId="0B685127">
            <wp:extent cx="6551295" cy="5063717"/>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55963" cy="5067325"/>
                    </a:xfrm>
                    <a:prstGeom prst="rect">
                      <a:avLst/>
                    </a:prstGeom>
                    <a:noFill/>
                  </pic:spPr>
                </pic:pic>
              </a:graphicData>
            </a:graphic>
          </wp:inline>
        </w:drawing>
      </w:r>
    </w:p>
    <w:p w14:paraId="305784B1" w14:textId="54F36A41" w:rsidR="00997082" w:rsidRPr="00151D6C" w:rsidRDefault="00997082" w:rsidP="00B34D4F">
      <w:r w:rsidRPr="00151D6C">
        <w:t xml:space="preserve">Legend: </w:t>
      </w:r>
      <w:r w:rsidR="00DF0198" w:rsidRPr="00E8122C">
        <w:t xml:space="preserve">The vertical bars represent the 95% confidence intervals (CI) for the 1-year </w:t>
      </w:r>
      <w:r w:rsidR="00DF0198">
        <w:t xml:space="preserve">and 2-years </w:t>
      </w:r>
      <w:r w:rsidR="00DF0198" w:rsidRPr="00E8122C">
        <w:t>progression-free survival rates</w:t>
      </w:r>
      <w:r w:rsidR="00DF0198">
        <w:t xml:space="preserve"> (in blue for </w:t>
      </w:r>
      <w:r w:rsidR="00DF0198" w:rsidRPr="001340A1">
        <w:rPr>
          <w:i/>
        </w:rPr>
        <w:t>ALK</w:t>
      </w:r>
      <w:r w:rsidR="00DF0198">
        <w:t xml:space="preserve">+ and in red for </w:t>
      </w:r>
      <w:r w:rsidR="00DF0198" w:rsidRPr="001340A1">
        <w:rPr>
          <w:i/>
        </w:rPr>
        <w:t>ALK</w:t>
      </w:r>
      <w:r w:rsidR="00DF0198">
        <w:t>- patients)</w:t>
      </w:r>
      <w:r w:rsidR="009A79D3" w:rsidRPr="00151D6C">
        <w:t>.</w:t>
      </w:r>
    </w:p>
    <w:p w14:paraId="243A4746" w14:textId="77777777" w:rsidR="00997082" w:rsidRPr="00D65912" w:rsidRDefault="00997082" w:rsidP="00B34D4F">
      <w:pPr>
        <w:rPr>
          <w:noProof/>
        </w:rPr>
      </w:pPr>
      <w:r w:rsidRPr="00D65912">
        <w:rPr>
          <w:noProof/>
        </w:rPr>
        <w:br w:type="page"/>
      </w:r>
    </w:p>
    <w:p w14:paraId="061124B8" w14:textId="5E636E51" w:rsidR="00997082" w:rsidRPr="00D65912" w:rsidRDefault="00997082" w:rsidP="00DB248E">
      <w:pPr>
        <w:rPr>
          <w:noProof/>
        </w:rPr>
      </w:pPr>
      <w:r w:rsidRPr="00D65912">
        <w:rPr>
          <w:b/>
          <w:noProof/>
        </w:rPr>
        <w:t xml:space="preserve">Figure </w:t>
      </w:r>
      <w:r w:rsidR="00A5594C" w:rsidRPr="00D65912">
        <w:rPr>
          <w:b/>
          <w:noProof/>
        </w:rPr>
        <w:t>3</w:t>
      </w:r>
      <w:r w:rsidRPr="00D65912">
        <w:rPr>
          <w:b/>
          <w:noProof/>
        </w:rPr>
        <w:t>.</w:t>
      </w:r>
      <w:r w:rsidRPr="00D65912">
        <w:rPr>
          <w:noProof/>
        </w:rPr>
        <w:t xml:space="preserve"> Kaplan-Meier estimates for overall survival for the </w:t>
      </w:r>
      <w:r w:rsidR="009F7D5C" w:rsidRPr="00D65912">
        <w:rPr>
          <w:i/>
          <w:noProof/>
        </w:rPr>
        <w:t>ALK</w:t>
      </w:r>
      <w:r w:rsidRPr="00D65912">
        <w:rPr>
          <w:noProof/>
        </w:rPr>
        <w:t xml:space="preserve">+ and </w:t>
      </w:r>
      <w:r w:rsidR="009F7D5C" w:rsidRPr="00D65912">
        <w:rPr>
          <w:i/>
          <w:noProof/>
        </w:rPr>
        <w:t>ALK</w:t>
      </w:r>
      <w:r w:rsidRPr="00D65912">
        <w:rPr>
          <w:noProof/>
        </w:rPr>
        <w:t>- sub-cohorts per protocol.</w:t>
      </w:r>
    </w:p>
    <w:p w14:paraId="26D239C8" w14:textId="0D9C250E" w:rsidR="00FA23AF" w:rsidRPr="00D65912" w:rsidRDefault="00FA23AF" w:rsidP="00DB248E">
      <w:pPr>
        <w:rPr>
          <w:noProof/>
        </w:rPr>
      </w:pPr>
    </w:p>
    <w:p w14:paraId="3A465534" w14:textId="78B52BC8" w:rsidR="00C118F6" w:rsidRPr="00BD5140" w:rsidRDefault="00C118F6" w:rsidP="003E1FE2">
      <w:pPr>
        <w:rPr>
          <w:noProof/>
        </w:rPr>
      </w:pPr>
    </w:p>
    <w:p w14:paraId="617DCA6C" w14:textId="4B4D53E7" w:rsidR="00307D5A" w:rsidRPr="00D35158" w:rsidRDefault="00307D5A" w:rsidP="003E1FE2">
      <w:pPr>
        <w:rPr>
          <w:noProof/>
        </w:rPr>
      </w:pPr>
      <w:r>
        <w:rPr>
          <w:noProof/>
          <w:lang w:val="en-GB" w:eastAsia="en-GB"/>
        </w:rPr>
        <w:drawing>
          <wp:inline distT="0" distB="0" distL="0" distR="0" wp14:anchorId="4AA94A60" wp14:editId="6A6B95FF">
            <wp:extent cx="6313170" cy="4879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17529" cy="4883031"/>
                    </a:xfrm>
                    <a:prstGeom prst="rect">
                      <a:avLst/>
                    </a:prstGeom>
                    <a:noFill/>
                  </pic:spPr>
                </pic:pic>
              </a:graphicData>
            </a:graphic>
          </wp:inline>
        </w:drawing>
      </w:r>
    </w:p>
    <w:p w14:paraId="104D56DB" w14:textId="105D5E92" w:rsidR="00857C28" w:rsidRDefault="009A79D3" w:rsidP="003E1FE2">
      <w:r w:rsidRPr="00D65912">
        <w:t xml:space="preserve">Legend: </w:t>
      </w:r>
      <w:r w:rsidR="00DF0198" w:rsidRPr="00E8122C">
        <w:t xml:space="preserve">The vertical bars represent the 95% confidence intervals (CI) for the 1-year </w:t>
      </w:r>
      <w:r w:rsidR="00DF0198">
        <w:t xml:space="preserve">and 2-years overall </w:t>
      </w:r>
      <w:r w:rsidR="00DF0198" w:rsidRPr="00E8122C">
        <w:t>survival rates</w:t>
      </w:r>
      <w:r w:rsidR="00DF0198">
        <w:t xml:space="preserve"> (in blue for </w:t>
      </w:r>
      <w:r w:rsidR="00DF0198" w:rsidRPr="00990CCD">
        <w:rPr>
          <w:i/>
        </w:rPr>
        <w:t>ALK</w:t>
      </w:r>
      <w:r w:rsidR="00DF0198">
        <w:t xml:space="preserve">+ and in red for </w:t>
      </w:r>
      <w:r w:rsidR="00DF0198" w:rsidRPr="00990CCD">
        <w:rPr>
          <w:i/>
        </w:rPr>
        <w:t>ALK</w:t>
      </w:r>
      <w:r w:rsidR="00DF0198">
        <w:t>- patients)</w:t>
      </w:r>
      <w:r w:rsidR="00857C28" w:rsidRPr="00D65912">
        <w:t>.</w:t>
      </w:r>
    </w:p>
    <w:p w14:paraId="64FB76BC" w14:textId="0812A5E0" w:rsidR="00997082" w:rsidRPr="00D65912" w:rsidRDefault="009A79D3" w:rsidP="003E1FE2">
      <w:pPr>
        <w:rPr>
          <w:noProof/>
        </w:rPr>
      </w:pPr>
      <w:r w:rsidRPr="00D65912" w:rsidDel="009A79D3">
        <w:rPr>
          <w:rStyle w:val="Hyperlink"/>
          <w:color w:val="auto"/>
          <w:u w:val="none"/>
        </w:rPr>
        <w:t xml:space="preserve"> </w:t>
      </w:r>
      <w:r w:rsidR="00997082" w:rsidRPr="00D65912">
        <w:rPr>
          <w:noProof/>
        </w:rPr>
        <w:br w:type="page"/>
      </w:r>
    </w:p>
    <w:p w14:paraId="77729572" w14:textId="43027B35" w:rsidR="00997082" w:rsidRPr="00D65912" w:rsidRDefault="00997082" w:rsidP="003E1FE2">
      <w:r w:rsidRPr="00D65912">
        <w:rPr>
          <w:b/>
        </w:rPr>
        <w:t xml:space="preserve">Figure </w:t>
      </w:r>
      <w:r w:rsidR="00A5594C" w:rsidRPr="00D65912">
        <w:rPr>
          <w:b/>
        </w:rPr>
        <w:t>4</w:t>
      </w:r>
      <w:r w:rsidRPr="00D65912">
        <w:rPr>
          <w:b/>
        </w:rPr>
        <w:t>:</w:t>
      </w:r>
      <w:r w:rsidRPr="00D65912">
        <w:t xml:space="preserve"> Maximum shrinkage of target lesions (per protocol) in the </w:t>
      </w:r>
      <w:r w:rsidR="009F7D5C" w:rsidRPr="00D65912">
        <w:rPr>
          <w:i/>
        </w:rPr>
        <w:t>ALK</w:t>
      </w:r>
      <w:r w:rsidR="009F7D5C" w:rsidRPr="00D65912">
        <w:t xml:space="preserve">+ and </w:t>
      </w:r>
      <w:r w:rsidR="009F7D5C" w:rsidRPr="00D65912">
        <w:rPr>
          <w:i/>
        </w:rPr>
        <w:t>ALK</w:t>
      </w:r>
      <w:r w:rsidR="009F7D5C" w:rsidRPr="00D65912">
        <w:t>-</w:t>
      </w:r>
      <w:r w:rsidRPr="00D65912">
        <w:t xml:space="preserve"> sub-cohorts, according to local investigator’s assessment.</w:t>
      </w:r>
    </w:p>
    <w:p w14:paraId="370A795C" w14:textId="6AC3227F" w:rsidR="00997082" w:rsidRPr="00BD5140" w:rsidRDefault="00997082" w:rsidP="002D5A07">
      <w:pPr>
        <w:rPr>
          <w:rStyle w:val="Hyperlink"/>
          <w:color w:val="auto"/>
          <w:u w:val="none"/>
        </w:rPr>
      </w:pPr>
    </w:p>
    <w:p w14:paraId="5B0F5945" w14:textId="3392A724" w:rsidR="002D096E" w:rsidRPr="00D35158" w:rsidRDefault="002D096E" w:rsidP="002D5A07">
      <w:pPr>
        <w:rPr>
          <w:rStyle w:val="Hyperlink"/>
          <w:color w:val="auto"/>
          <w:u w:val="none"/>
        </w:rPr>
      </w:pPr>
      <w:r>
        <w:rPr>
          <w:noProof/>
          <w:lang w:val="en-GB" w:eastAsia="en-GB"/>
        </w:rPr>
        <w:drawing>
          <wp:inline distT="0" distB="0" distL="0" distR="0" wp14:anchorId="403FC874" wp14:editId="574562C7">
            <wp:extent cx="5756910" cy="4112079"/>
            <wp:effectExtent l="0" t="0" r="0" b="3175"/>
            <wp:docPr id="12" name="Picture 12"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SGPlot Proced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6910" cy="4112079"/>
                    </a:xfrm>
                    <a:prstGeom prst="rect">
                      <a:avLst/>
                    </a:prstGeom>
                    <a:noFill/>
                    <a:ln>
                      <a:noFill/>
                    </a:ln>
                  </pic:spPr>
                </pic:pic>
              </a:graphicData>
            </a:graphic>
          </wp:inline>
        </w:drawing>
      </w:r>
    </w:p>
    <w:p w14:paraId="1FC8A107" w14:textId="64497AF3" w:rsidR="00A04B12" w:rsidRPr="00F220EC" w:rsidRDefault="00460089" w:rsidP="002D5A07">
      <w:pPr>
        <w:rPr>
          <w:noProof/>
        </w:rPr>
      </w:pPr>
      <w:r w:rsidRPr="00F220EC">
        <w:rPr>
          <w:noProof/>
        </w:rPr>
        <w:t xml:space="preserve">Legend: In </w:t>
      </w:r>
      <w:r w:rsidRPr="001340A1">
        <w:rPr>
          <w:i/>
          <w:noProof/>
        </w:rPr>
        <w:t>ALK</w:t>
      </w:r>
      <w:r w:rsidRPr="00F220EC">
        <w:rPr>
          <w:noProof/>
        </w:rPr>
        <w:t xml:space="preserve">+ </w:t>
      </w:r>
      <w:r w:rsidR="00170868" w:rsidRPr="00F220EC">
        <w:rPr>
          <w:noProof/>
        </w:rPr>
        <w:t>patients</w:t>
      </w:r>
      <w:r w:rsidR="00F77B7B" w:rsidRPr="00F220EC">
        <w:rPr>
          <w:noProof/>
        </w:rPr>
        <w:t>:</w:t>
      </w:r>
      <w:r w:rsidR="002009BA" w:rsidRPr="00F220EC">
        <w:rPr>
          <w:noProof/>
        </w:rPr>
        <w:t xml:space="preserve"> two </w:t>
      </w:r>
      <w:r w:rsidR="00F77B7B" w:rsidRPr="00F220EC">
        <w:rPr>
          <w:noProof/>
        </w:rPr>
        <w:t xml:space="preserve">patients </w:t>
      </w:r>
      <w:r w:rsidR="002009BA" w:rsidRPr="00F220EC">
        <w:rPr>
          <w:noProof/>
        </w:rPr>
        <w:t xml:space="preserve">had a confirmed </w:t>
      </w:r>
      <w:r w:rsidR="00F220EC" w:rsidRPr="00F220EC">
        <w:rPr>
          <w:noProof/>
        </w:rPr>
        <w:t xml:space="preserve">complete </w:t>
      </w:r>
      <w:r w:rsidR="002009BA" w:rsidRPr="00F220EC">
        <w:rPr>
          <w:noProof/>
        </w:rPr>
        <w:t>response</w:t>
      </w:r>
      <w:r w:rsidR="00F77B7B" w:rsidRPr="00F220EC">
        <w:rPr>
          <w:noProof/>
        </w:rPr>
        <w:t>, 4 patients had a confirmed partia</w:t>
      </w:r>
      <w:r w:rsidR="00F77B7B" w:rsidRPr="002560C3">
        <w:rPr>
          <w:noProof/>
        </w:rPr>
        <w:t>l response, one patient had a non-</w:t>
      </w:r>
      <w:r w:rsidR="00C96F24" w:rsidRPr="00977B32">
        <w:rPr>
          <w:noProof/>
        </w:rPr>
        <w:t>confirmed partial response, and 5 patients had stable disease.</w:t>
      </w:r>
      <w:r w:rsidR="002009BA" w:rsidRPr="00977B32">
        <w:rPr>
          <w:noProof/>
        </w:rPr>
        <w:t xml:space="preserve"> </w:t>
      </w:r>
      <w:r w:rsidR="00C75C0D" w:rsidRPr="00977B32">
        <w:rPr>
          <w:noProof/>
        </w:rPr>
        <w:t xml:space="preserve">In </w:t>
      </w:r>
      <w:r w:rsidR="00C75C0D" w:rsidRPr="001340A1">
        <w:rPr>
          <w:i/>
          <w:noProof/>
        </w:rPr>
        <w:t>ALK</w:t>
      </w:r>
      <w:r w:rsidR="00C75C0D" w:rsidRPr="00F220EC">
        <w:rPr>
          <w:noProof/>
        </w:rPr>
        <w:t>- patients: one patient had a confirmed partial response,</w:t>
      </w:r>
      <w:r w:rsidR="0031589B" w:rsidRPr="00F220EC">
        <w:rPr>
          <w:noProof/>
        </w:rPr>
        <w:t xml:space="preserve"> five patients had stable disease*, and one patient had progressive disease.</w:t>
      </w:r>
      <w:r w:rsidR="00C75C0D" w:rsidRPr="00F220EC">
        <w:rPr>
          <w:noProof/>
        </w:rPr>
        <w:t xml:space="preserve"> </w:t>
      </w:r>
      <w:r w:rsidR="0031589B" w:rsidRPr="00F220EC">
        <w:rPr>
          <w:noProof/>
        </w:rPr>
        <w:t xml:space="preserve">*In the </w:t>
      </w:r>
      <w:r w:rsidR="0031589B" w:rsidRPr="00F220EC">
        <w:rPr>
          <w:i/>
          <w:noProof/>
        </w:rPr>
        <w:t>ALK</w:t>
      </w:r>
      <w:r w:rsidR="0031589B" w:rsidRPr="002560C3">
        <w:rPr>
          <w:noProof/>
        </w:rPr>
        <w:t>- patients with stable disease</w:t>
      </w:r>
      <w:r w:rsidR="00F220EC" w:rsidRPr="00977B32">
        <w:rPr>
          <w:noProof/>
        </w:rPr>
        <w:t>,</w:t>
      </w:r>
      <w:r w:rsidR="0031589B" w:rsidRPr="00977B32">
        <w:rPr>
          <w:noProof/>
        </w:rPr>
        <w:t xml:space="preserve"> </w:t>
      </w:r>
      <w:r w:rsidR="0031589B" w:rsidRPr="00BD5140">
        <w:t>one patient had a partial response</w:t>
      </w:r>
      <w:r w:rsidR="00D12E63" w:rsidRPr="00BD5140">
        <w:t xml:space="preserve"> -</w:t>
      </w:r>
      <w:r w:rsidR="0031589B" w:rsidRPr="00BD5140">
        <w:t xml:space="preserve"> based on target lesions</w:t>
      </w:r>
      <w:r w:rsidR="00D12E63" w:rsidRPr="00BD5140">
        <w:t xml:space="preserve"> -</w:t>
      </w:r>
      <w:r w:rsidR="0031589B" w:rsidRPr="00BD5140">
        <w:t xml:space="preserve"> but had new lesions in the liver and this patient had stable disease as best overall response</w:t>
      </w:r>
      <w:r w:rsidR="00F220EC" w:rsidRPr="00BD5140">
        <w:t>.</w:t>
      </w:r>
    </w:p>
    <w:p w14:paraId="52775699" w14:textId="18A17E59" w:rsidR="00997082" w:rsidRDefault="00997082" w:rsidP="002D5A07">
      <w:pPr>
        <w:rPr>
          <w:noProof/>
        </w:rPr>
      </w:pPr>
      <w:r w:rsidRPr="00D65912">
        <w:rPr>
          <w:noProof/>
        </w:rPr>
        <w:br w:type="page"/>
      </w:r>
    </w:p>
    <w:p w14:paraId="309A0543" w14:textId="77777777" w:rsidR="00A04B12" w:rsidRPr="00D65912" w:rsidRDefault="00A04B12" w:rsidP="00124421">
      <w:pPr>
        <w:rPr>
          <w:noProof/>
        </w:rPr>
      </w:pPr>
    </w:p>
    <w:p w14:paraId="2062789D" w14:textId="3C6DF451" w:rsidR="00997082" w:rsidRPr="00D65912" w:rsidRDefault="00997082" w:rsidP="005912AE">
      <w:r w:rsidRPr="00D65912">
        <w:rPr>
          <w:b/>
        </w:rPr>
        <w:t xml:space="preserve">Figure </w:t>
      </w:r>
      <w:r w:rsidR="00A5594C" w:rsidRPr="00D65912">
        <w:rPr>
          <w:b/>
        </w:rPr>
        <w:t>5</w:t>
      </w:r>
      <w:r w:rsidRPr="00D65912">
        <w:rPr>
          <w:b/>
        </w:rPr>
        <w:t xml:space="preserve">. </w:t>
      </w:r>
      <w:r w:rsidRPr="00D65912">
        <w:t xml:space="preserve">Clinical course of patients in </w:t>
      </w:r>
      <w:r w:rsidR="009F7D5C" w:rsidRPr="00D65912">
        <w:t>the IMFT</w:t>
      </w:r>
      <w:r w:rsidRPr="00D65912">
        <w:t xml:space="preserve"> </w:t>
      </w:r>
      <w:r w:rsidR="009F7D5C" w:rsidRPr="00D65912">
        <w:rPr>
          <w:i/>
        </w:rPr>
        <w:t>ALK</w:t>
      </w:r>
      <w:r w:rsidRPr="00D65912">
        <w:rPr>
          <w:i/>
        </w:rPr>
        <w:t>+</w:t>
      </w:r>
      <w:r w:rsidR="009F7D5C" w:rsidRPr="00D65912">
        <w:t xml:space="preserve"> </w:t>
      </w:r>
      <w:r w:rsidRPr="00D65912">
        <w:t xml:space="preserve">and </w:t>
      </w:r>
      <w:r w:rsidR="009F7D5C" w:rsidRPr="00D65912">
        <w:rPr>
          <w:i/>
        </w:rPr>
        <w:t>ALK-</w:t>
      </w:r>
      <w:r w:rsidRPr="00D65912">
        <w:t xml:space="preserve"> sub-cohorts.</w:t>
      </w:r>
    </w:p>
    <w:p w14:paraId="3628DE10" w14:textId="7DFD08AC" w:rsidR="008B5318" w:rsidRPr="00BD5140" w:rsidRDefault="008B5318" w:rsidP="00A9399A">
      <w:pPr>
        <w:rPr>
          <w:rStyle w:val="Hyperlink"/>
          <w:color w:val="auto"/>
          <w:u w:val="none"/>
        </w:rPr>
      </w:pPr>
    </w:p>
    <w:p w14:paraId="6F42A817" w14:textId="3F01A160" w:rsidR="008B5318" w:rsidRPr="00D35158" w:rsidRDefault="00BC0847" w:rsidP="00A9399A">
      <w:pPr>
        <w:rPr>
          <w:rStyle w:val="Hyperlink"/>
          <w:color w:val="auto"/>
          <w:u w:val="none"/>
        </w:rPr>
      </w:pPr>
      <w:r>
        <w:rPr>
          <w:noProof/>
          <w:lang w:val="en-GB" w:eastAsia="en-GB"/>
        </w:rPr>
        <w:drawing>
          <wp:inline distT="0" distB="0" distL="0" distR="0" wp14:anchorId="1780D770" wp14:editId="292BFFDD">
            <wp:extent cx="5756910" cy="4317683"/>
            <wp:effectExtent l="0" t="0" r="0" b="6985"/>
            <wp:docPr id="8" name="Picture 8"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SGPlot Proced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6910" cy="4317683"/>
                    </a:xfrm>
                    <a:prstGeom prst="rect">
                      <a:avLst/>
                    </a:prstGeom>
                    <a:noFill/>
                    <a:ln>
                      <a:noFill/>
                    </a:ln>
                  </pic:spPr>
                </pic:pic>
              </a:graphicData>
            </a:graphic>
          </wp:inline>
        </w:drawing>
      </w:r>
    </w:p>
    <w:p w14:paraId="29347FA8" w14:textId="129C819F" w:rsidR="00997082" w:rsidRPr="00D65912" w:rsidRDefault="00EA533D" w:rsidP="0028233C">
      <w:r w:rsidRPr="00D65912">
        <w:t xml:space="preserve">Legend: </w:t>
      </w:r>
      <w:r>
        <w:t>x-axis shows time in months</w:t>
      </w:r>
      <w:r w:rsidR="00F2004D">
        <w:t xml:space="preserve">; </w:t>
      </w:r>
      <w:r w:rsidR="00BC057D">
        <w:t xml:space="preserve">pts, patients; </w:t>
      </w:r>
      <w:r w:rsidR="00F2004D" w:rsidRPr="00151D6C">
        <w:t>RECIST, Response Evaluation Criteria in Solid Tumors</w:t>
      </w:r>
      <w:r w:rsidR="00F2004D">
        <w:t>.</w:t>
      </w:r>
      <w:r w:rsidR="00997082" w:rsidRPr="00D65912">
        <w:br w:type="page"/>
      </w:r>
    </w:p>
    <w:p w14:paraId="4A482C4C" w14:textId="6B477C0D" w:rsidR="00997082" w:rsidRPr="00D65912" w:rsidRDefault="0036416F" w:rsidP="0028233C">
      <w:r w:rsidRPr="00D65912">
        <w:rPr>
          <w:b/>
        </w:rPr>
        <w:t>Table 5</w:t>
      </w:r>
      <w:r w:rsidR="00997082" w:rsidRPr="00D65912">
        <w:rPr>
          <w:b/>
        </w:rPr>
        <w:t xml:space="preserve">. </w:t>
      </w:r>
      <w:r w:rsidR="007833D8" w:rsidRPr="00D65912">
        <w:t>Non-</w:t>
      </w:r>
      <w:r w:rsidR="00D637FC" w:rsidRPr="00D65912">
        <w:t>hematological</w:t>
      </w:r>
      <w:r w:rsidR="007833D8" w:rsidRPr="00D65912">
        <w:t xml:space="preserve"> adverse events </w:t>
      </w:r>
      <w:r w:rsidR="00997082" w:rsidRPr="00D65912">
        <w:t xml:space="preserve">that occurred in </w:t>
      </w:r>
      <w:r w:rsidR="003C63C2" w:rsidRPr="00D65912">
        <w:t>≥</w:t>
      </w:r>
      <w:r w:rsidR="00997082" w:rsidRPr="00D65912">
        <w:t xml:space="preserve"> 10% of patients.</w:t>
      </w:r>
    </w:p>
    <w:p w14:paraId="146258A6" w14:textId="4F3776E7" w:rsidR="009F7D5C" w:rsidRPr="00D65912" w:rsidRDefault="009F7D5C" w:rsidP="0026222D">
      <w:pPr>
        <w:rPr>
          <w:rStyle w:val="Hyperlink"/>
          <w:color w:val="auto"/>
          <w:u w:val="none"/>
        </w:rPr>
      </w:pPr>
    </w:p>
    <w:tbl>
      <w:tblPr>
        <w:tblW w:w="8411" w:type="dxa"/>
        <w:jc w:val="center"/>
        <w:tblLayout w:type="fixed"/>
        <w:tblCellMar>
          <w:left w:w="0" w:type="dxa"/>
          <w:right w:w="0" w:type="dxa"/>
        </w:tblCellMar>
        <w:tblLook w:val="0000" w:firstRow="0" w:lastRow="0" w:firstColumn="0" w:lastColumn="0" w:noHBand="0" w:noVBand="0"/>
      </w:tblPr>
      <w:tblGrid>
        <w:gridCol w:w="4584"/>
        <w:gridCol w:w="813"/>
        <w:gridCol w:w="900"/>
        <w:gridCol w:w="810"/>
        <w:gridCol w:w="540"/>
        <w:gridCol w:w="180"/>
        <w:gridCol w:w="584"/>
      </w:tblGrid>
      <w:tr w:rsidR="00E43412" w:rsidRPr="00D87A2F" w14:paraId="572F24DF" w14:textId="77777777" w:rsidTr="00BD5140">
        <w:trPr>
          <w:cantSplit/>
          <w:tblHeader/>
          <w:jc w:val="center"/>
        </w:trPr>
        <w:tc>
          <w:tcPr>
            <w:tcW w:w="4584" w:type="dxa"/>
            <w:tcBorders>
              <w:top w:val="single" w:sz="4" w:space="0" w:color="auto"/>
              <w:left w:val="single" w:sz="2" w:space="0" w:color="000000"/>
              <w:bottom w:val="single" w:sz="2" w:space="0" w:color="E0E0E0"/>
              <w:right w:val="single" w:sz="2" w:space="0" w:color="000000"/>
            </w:tcBorders>
            <w:shd w:val="clear" w:color="auto" w:fill="E0E0E0"/>
            <w:tcMar>
              <w:left w:w="40" w:type="dxa"/>
              <w:right w:w="40" w:type="dxa"/>
            </w:tcMar>
            <w:vAlign w:val="bottom"/>
          </w:tcPr>
          <w:p w14:paraId="56216EDA" w14:textId="77777777" w:rsidR="00E43412" w:rsidRPr="00DB248E" w:rsidRDefault="00E43412" w:rsidP="00482AAA">
            <w:pPr>
              <w:rPr>
                <w:sz w:val="16"/>
                <w:szCs w:val="16"/>
              </w:rPr>
            </w:pPr>
          </w:p>
        </w:tc>
        <w:tc>
          <w:tcPr>
            <w:tcW w:w="3827" w:type="dxa"/>
            <w:gridSpan w:val="6"/>
            <w:tcBorders>
              <w:top w:val="single" w:sz="4" w:space="0" w:color="auto"/>
              <w:left w:val="nil"/>
              <w:bottom w:val="single" w:sz="2" w:space="0" w:color="E0E0E0"/>
              <w:right w:val="single" w:sz="2" w:space="0" w:color="000000"/>
            </w:tcBorders>
            <w:shd w:val="clear" w:color="auto" w:fill="E0E0E0"/>
            <w:vAlign w:val="bottom"/>
          </w:tcPr>
          <w:p w14:paraId="0E185986" w14:textId="63224398" w:rsidR="00E43412" w:rsidRPr="00DB248E" w:rsidRDefault="00E43412" w:rsidP="003F79F9">
            <w:pPr>
              <w:rPr>
                <w:sz w:val="16"/>
                <w:szCs w:val="16"/>
              </w:rPr>
            </w:pPr>
            <w:r w:rsidRPr="00DB248E">
              <w:rPr>
                <w:sz w:val="16"/>
                <w:szCs w:val="16"/>
              </w:rPr>
              <w:t>Treatment-related non-hematological AE</w:t>
            </w:r>
            <w:r w:rsidRPr="00DB248E">
              <w:rPr>
                <w:sz w:val="16"/>
                <w:szCs w:val="16"/>
              </w:rPr>
              <w:br/>
              <w:t xml:space="preserve"> (N=20)</w:t>
            </w:r>
          </w:p>
        </w:tc>
      </w:tr>
      <w:tr w:rsidR="00E00AB4" w:rsidRPr="007833D8" w14:paraId="3F5A57AD" w14:textId="5B44F205" w:rsidTr="00BD5140">
        <w:trPr>
          <w:cantSplit/>
          <w:tblHeader/>
          <w:jc w:val="center"/>
        </w:trPr>
        <w:tc>
          <w:tcPr>
            <w:tcW w:w="4584" w:type="dxa"/>
            <w:tcBorders>
              <w:top w:val="single" w:sz="2" w:space="0" w:color="E0E0E0"/>
              <w:left w:val="single" w:sz="2" w:space="0" w:color="000000"/>
              <w:bottom w:val="single" w:sz="4" w:space="0" w:color="auto"/>
              <w:right w:val="single" w:sz="2" w:space="0" w:color="000000"/>
            </w:tcBorders>
            <w:shd w:val="clear" w:color="auto" w:fill="E0E0E0"/>
            <w:tcMar>
              <w:left w:w="40" w:type="dxa"/>
              <w:right w:w="40" w:type="dxa"/>
            </w:tcMar>
            <w:vAlign w:val="bottom"/>
          </w:tcPr>
          <w:p w14:paraId="5FD965EB" w14:textId="77777777" w:rsidR="00E43412" w:rsidRPr="00DB248E" w:rsidRDefault="00E43412" w:rsidP="00065B26">
            <w:pPr>
              <w:rPr>
                <w:sz w:val="16"/>
                <w:szCs w:val="16"/>
              </w:rPr>
            </w:pPr>
            <w:r w:rsidRPr="00DB248E">
              <w:rPr>
                <w:sz w:val="16"/>
                <w:szCs w:val="16"/>
              </w:rPr>
              <w:t>CTC + MedDRA Term</w:t>
            </w:r>
          </w:p>
        </w:tc>
        <w:tc>
          <w:tcPr>
            <w:tcW w:w="813" w:type="dxa"/>
            <w:tcBorders>
              <w:top w:val="single" w:sz="2" w:space="0" w:color="E0E0E0"/>
              <w:left w:val="nil"/>
              <w:bottom w:val="single" w:sz="4" w:space="0" w:color="auto"/>
            </w:tcBorders>
            <w:shd w:val="clear" w:color="auto" w:fill="E0E0E0"/>
            <w:vAlign w:val="bottom"/>
          </w:tcPr>
          <w:p w14:paraId="530B0CF4" w14:textId="77777777" w:rsidR="00E43412" w:rsidRPr="00DB248E" w:rsidRDefault="00E43412" w:rsidP="00490E17">
            <w:pPr>
              <w:rPr>
                <w:sz w:val="16"/>
                <w:szCs w:val="16"/>
              </w:rPr>
            </w:pPr>
            <w:r w:rsidRPr="00DB248E">
              <w:rPr>
                <w:sz w:val="16"/>
                <w:szCs w:val="16"/>
              </w:rPr>
              <w:t xml:space="preserve">Grade 1 </w:t>
            </w:r>
          </w:p>
          <w:p w14:paraId="7F058753" w14:textId="749631B6" w:rsidR="00E43412" w:rsidRPr="00DB248E" w:rsidRDefault="00E43412" w:rsidP="001706A2">
            <w:pPr>
              <w:rPr>
                <w:sz w:val="16"/>
                <w:szCs w:val="16"/>
              </w:rPr>
            </w:pPr>
            <w:r w:rsidRPr="00DB248E">
              <w:rPr>
                <w:sz w:val="16"/>
                <w:szCs w:val="16"/>
              </w:rPr>
              <w:t>N (%)</w:t>
            </w:r>
          </w:p>
        </w:tc>
        <w:tc>
          <w:tcPr>
            <w:tcW w:w="900" w:type="dxa"/>
            <w:tcBorders>
              <w:top w:val="single" w:sz="2" w:space="0" w:color="E0E0E0"/>
              <w:bottom w:val="single" w:sz="4" w:space="0" w:color="auto"/>
            </w:tcBorders>
            <w:shd w:val="clear" w:color="auto" w:fill="E0E0E0"/>
            <w:vAlign w:val="bottom"/>
          </w:tcPr>
          <w:p w14:paraId="24D24644" w14:textId="77777777" w:rsidR="00E43412" w:rsidRPr="00DB248E" w:rsidRDefault="00E43412" w:rsidP="001706A2">
            <w:pPr>
              <w:rPr>
                <w:sz w:val="16"/>
                <w:szCs w:val="16"/>
              </w:rPr>
            </w:pPr>
            <w:r w:rsidRPr="00DB248E">
              <w:rPr>
                <w:sz w:val="16"/>
                <w:szCs w:val="16"/>
              </w:rPr>
              <w:t xml:space="preserve">Grade 2   </w:t>
            </w:r>
          </w:p>
          <w:p w14:paraId="12256F5F" w14:textId="40FE09E1" w:rsidR="00E43412" w:rsidRPr="00DB248E" w:rsidRDefault="00E43412" w:rsidP="00B34D4F">
            <w:pPr>
              <w:rPr>
                <w:sz w:val="16"/>
                <w:szCs w:val="16"/>
              </w:rPr>
            </w:pPr>
            <w:r w:rsidRPr="00DB248E">
              <w:rPr>
                <w:sz w:val="16"/>
                <w:szCs w:val="16"/>
              </w:rPr>
              <w:t>N (%)</w:t>
            </w:r>
          </w:p>
        </w:tc>
        <w:tc>
          <w:tcPr>
            <w:tcW w:w="810" w:type="dxa"/>
            <w:tcBorders>
              <w:top w:val="single" w:sz="2" w:space="0" w:color="E0E0E0"/>
              <w:bottom w:val="single" w:sz="4" w:space="0" w:color="auto"/>
            </w:tcBorders>
            <w:shd w:val="clear" w:color="auto" w:fill="E0E0E0"/>
            <w:vAlign w:val="bottom"/>
          </w:tcPr>
          <w:p w14:paraId="3CF752DC" w14:textId="77777777" w:rsidR="00E43412" w:rsidRPr="00DB248E" w:rsidRDefault="00E43412" w:rsidP="00DB248E">
            <w:pPr>
              <w:rPr>
                <w:sz w:val="16"/>
                <w:szCs w:val="16"/>
              </w:rPr>
            </w:pPr>
            <w:r w:rsidRPr="00DB248E">
              <w:rPr>
                <w:sz w:val="16"/>
                <w:szCs w:val="16"/>
              </w:rPr>
              <w:t xml:space="preserve">Grade 3 </w:t>
            </w:r>
          </w:p>
          <w:p w14:paraId="412E387F" w14:textId="6CCDD2D4" w:rsidR="00E43412" w:rsidRPr="00DB248E" w:rsidRDefault="00E43412" w:rsidP="00DB248E">
            <w:pPr>
              <w:rPr>
                <w:sz w:val="16"/>
                <w:szCs w:val="16"/>
              </w:rPr>
            </w:pPr>
            <w:r w:rsidRPr="00DB248E">
              <w:rPr>
                <w:sz w:val="16"/>
                <w:szCs w:val="16"/>
              </w:rPr>
              <w:t>N (%)</w:t>
            </w:r>
          </w:p>
        </w:tc>
        <w:tc>
          <w:tcPr>
            <w:tcW w:w="540" w:type="dxa"/>
            <w:tcBorders>
              <w:top w:val="single" w:sz="2" w:space="0" w:color="E0E0E0"/>
              <w:bottom w:val="single" w:sz="4" w:space="0" w:color="auto"/>
            </w:tcBorders>
            <w:shd w:val="clear" w:color="auto" w:fill="E0E0E0"/>
            <w:vAlign w:val="bottom"/>
          </w:tcPr>
          <w:p w14:paraId="6C910DDF" w14:textId="77777777" w:rsidR="00E43412" w:rsidRPr="00DB248E" w:rsidRDefault="00E43412" w:rsidP="00DB248E">
            <w:pPr>
              <w:rPr>
                <w:sz w:val="16"/>
                <w:szCs w:val="16"/>
              </w:rPr>
            </w:pPr>
            <w:r w:rsidRPr="00DB248E">
              <w:rPr>
                <w:sz w:val="16"/>
                <w:szCs w:val="16"/>
              </w:rPr>
              <w:t xml:space="preserve">Grade 4 </w:t>
            </w:r>
          </w:p>
          <w:p w14:paraId="253A47B1" w14:textId="2F1E03E8" w:rsidR="00E43412" w:rsidRPr="00DB248E" w:rsidRDefault="00E43412" w:rsidP="003E1FE2">
            <w:pPr>
              <w:rPr>
                <w:sz w:val="16"/>
                <w:szCs w:val="16"/>
              </w:rPr>
            </w:pPr>
            <w:r w:rsidRPr="00DB248E">
              <w:rPr>
                <w:sz w:val="16"/>
                <w:szCs w:val="16"/>
              </w:rPr>
              <w:t>N (%)</w:t>
            </w:r>
          </w:p>
        </w:tc>
        <w:tc>
          <w:tcPr>
            <w:tcW w:w="180" w:type="dxa"/>
            <w:tcBorders>
              <w:top w:val="single" w:sz="2" w:space="0" w:color="E0E0E0"/>
              <w:bottom w:val="single" w:sz="4" w:space="0" w:color="auto"/>
            </w:tcBorders>
            <w:shd w:val="clear" w:color="auto" w:fill="E0E0E0"/>
            <w:vAlign w:val="bottom"/>
          </w:tcPr>
          <w:p w14:paraId="47DD05D3" w14:textId="601A1555" w:rsidR="00E43412" w:rsidRPr="00DB248E" w:rsidRDefault="00E43412" w:rsidP="003E1FE2">
            <w:pPr>
              <w:rPr>
                <w:sz w:val="16"/>
                <w:szCs w:val="16"/>
              </w:rPr>
            </w:pPr>
          </w:p>
        </w:tc>
        <w:tc>
          <w:tcPr>
            <w:tcW w:w="584" w:type="dxa"/>
            <w:tcBorders>
              <w:top w:val="single" w:sz="2" w:space="0" w:color="E0E0E0"/>
              <w:bottom w:val="single" w:sz="4" w:space="0" w:color="auto"/>
              <w:right w:val="single" w:sz="2" w:space="0" w:color="000000"/>
            </w:tcBorders>
            <w:shd w:val="clear" w:color="auto" w:fill="E0E0E0"/>
            <w:vAlign w:val="bottom"/>
          </w:tcPr>
          <w:p w14:paraId="05355628" w14:textId="63B1420E" w:rsidR="00E43412" w:rsidRPr="00DB248E" w:rsidRDefault="00E43412" w:rsidP="002D5A07">
            <w:pPr>
              <w:rPr>
                <w:sz w:val="16"/>
                <w:szCs w:val="16"/>
              </w:rPr>
            </w:pPr>
          </w:p>
        </w:tc>
      </w:tr>
      <w:tr w:rsidR="00E00AB4" w:rsidRPr="007833D8" w14:paraId="5309857B" w14:textId="6A370296" w:rsidTr="00BD5140">
        <w:trPr>
          <w:cantSplit/>
          <w:trHeight w:hRule="exact" w:val="438"/>
          <w:jc w:val="center"/>
        </w:trPr>
        <w:tc>
          <w:tcPr>
            <w:tcW w:w="4584" w:type="dxa"/>
            <w:tcBorders>
              <w:top w:val="single" w:sz="4" w:space="0" w:color="auto"/>
              <w:left w:val="single" w:sz="2" w:space="0" w:color="000000"/>
              <w:bottom w:val="dotted" w:sz="2" w:space="0" w:color="000000"/>
              <w:right w:val="single" w:sz="2" w:space="0" w:color="000000"/>
            </w:tcBorders>
            <w:shd w:val="clear" w:color="auto" w:fill="FFFFFF"/>
            <w:tcMar>
              <w:left w:w="40" w:type="dxa"/>
              <w:right w:w="40" w:type="dxa"/>
            </w:tcMar>
          </w:tcPr>
          <w:p w14:paraId="07E25793" w14:textId="77777777" w:rsidR="00E43412" w:rsidRPr="00DB248E" w:rsidRDefault="00E43412" w:rsidP="00065B26">
            <w:pPr>
              <w:rPr>
                <w:sz w:val="16"/>
                <w:szCs w:val="16"/>
              </w:rPr>
            </w:pPr>
            <w:r w:rsidRPr="00DB248E">
              <w:rPr>
                <w:sz w:val="16"/>
                <w:szCs w:val="16"/>
              </w:rPr>
              <w:t>NUMBER OF PATIENTS WITH AE's</w:t>
            </w:r>
          </w:p>
        </w:tc>
        <w:tc>
          <w:tcPr>
            <w:tcW w:w="813" w:type="dxa"/>
            <w:tcBorders>
              <w:top w:val="single" w:sz="4" w:space="0" w:color="auto"/>
              <w:left w:val="nil"/>
              <w:bottom w:val="dotted" w:sz="2" w:space="0" w:color="000000"/>
            </w:tcBorders>
            <w:shd w:val="clear" w:color="auto" w:fill="F5F5F5"/>
          </w:tcPr>
          <w:p w14:paraId="5B6B2E53" w14:textId="1B3A76B8" w:rsidR="00E43412" w:rsidRPr="00DB248E" w:rsidRDefault="00E43412" w:rsidP="00490E17">
            <w:pPr>
              <w:rPr>
                <w:sz w:val="16"/>
                <w:szCs w:val="16"/>
              </w:rPr>
            </w:pPr>
            <w:r w:rsidRPr="00DB248E">
              <w:rPr>
                <w:sz w:val="16"/>
                <w:szCs w:val="16"/>
              </w:rPr>
              <w:t>9 (45·0)</w:t>
            </w:r>
          </w:p>
        </w:tc>
        <w:tc>
          <w:tcPr>
            <w:tcW w:w="900" w:type="dxa"/>
            <w:tcBorders>
              <w:top w:val="single" w:sz="4" w:space="0" w:color="auto"/>
              <w:bottom w:val="dotted" w:sz="2" w:space="0" w:color="000000"/>
            </w:tcBorders>
            <w:shd w:val="clear" w:color="auto" w:fill="F5F5F5"/>
          </w:tcPr>
          <w:p w14:paraId="39DD0D54" w14:textId="0673D75B" w:rsidR="00E43412" w:rsidRPr="00DB248E" w:rsidRDefault="00E43412" w:rsidP="001706A2">
            <w:pPr>
              <w:rPr>
                <w:sz w:val="16"/>
                <w:szCs w:val="16"/>
              </w:rPr>
            </w:pPr>
            <w:r w:rsidRPr="00DB248E">
              <w:rPr>
                <w:sz w:val="16"/>
                <w:szCs w:val="16"/>
              </w:rPr>
              <w:t>6 (30·0)</w:t>
            </w:r>
          </w:p>
        </w:tc>
        <w:tc>
          <w:tcPr>
            <w:tcW w:w="810" w:type="dxa"/>
            <w:tcBorders>
              <w:top w:val="single" w:sz="4" w:space="0" w:color="auto"/>
              <w:bottom w:val="dotted" w:sz="2" w:space="0" w:color="000000"/>
            </w:tcBorders>
            <w:shd w:val="clear" w:color="auto" w:fill="F5F5F5"/>
          </w:tcPr>
          <w:p w14:paraId="70552DEC" w14:textId="5981E4D5" w:rsidR="00E43412" w:rsidRPr="00DB248E" w:rsidRDefault="00E43412" w:rsidP="001706A2">
            <w:pPr>
              <w:rPr>
                <w:sz w:val="16"/>
                <w:szCs w:val="16"/>
              </w:rPr>
            </w:pPr>
            <w:r w:rsidRPr="00DB248E">
              <w:rPr>
                <w:sz w:val="16"/>
                <w:szCs w:val="16"/>
              </w:rPr>
              <w:t>2 (10·0)</w:t>
            </w:r>
          </w:p>
        </w:tc>
        <w:tc>
          <w:tcPr>
            <w:tcW w:w="540" w:type="dxa"/>
            <w:tcBorders>
              <w:top w:val="single" w:sz="4" w:space="0" w:color="auto"/>
              <w:bottom w:val="dotted" w:sz="2" w:space="0" w:color="000000"/>
            </w:tcBorders>
            <w:shd w:val="clear" w:color="auto" w:fill="F5F5F5"/>
          </w:tcPr>
          <w:p w14:paraId="0ECFB1D8" w14:textId="693CDBA0" w:rsidR="00E43412" w:rsidRPr="00DB248E" w:rsidRDefault="00E43412" w:rsidP="00B34D4F">
            <w:pPr>
              <w:rPr>
                <w:sz w:val="16"/>
                <w:szCs w:val="16"/>
              </w:rPr>
            </w:pPr>
            <w:r w:rsidRPr="00DB248E">
              <w:rPr>
                <w:sz w:val="16"/>
                <w:szCs w:val="16"/>
              </w:rPr>
              <w:t>1 (5·0)</w:t>
            </w:r>
          </w:p>
        </w:tc>
        <w:tc>
          <w:tcPr>
            <w:tcW w:w="180" w:type="dxa"/>
            <w:tcBorders>
              <w:top w:val="single" w:sz="4" w:space="0" w:color="auto"/>
              <w:bottom w:val="dotted" w:sz="2" w:space="0" w:color="000000"/>
            </w:tcBorders>
            <w:shd w:val="clear" w:color="auto" w:fill="F5F5F5"/>
          </w:tcPr>
          <w:p w14:paraId="50E66FBA" w14:textId="77777777" w:rsidR="00E43412" w:rsidRPr="00DB248E" w:rsidRDefault="00E43412" w:rsidP="00DB248E">
            <w:pPr>
              <w:rPr>
                <w:sz w:val="16"/>
                <w:szCs w:val="16"/>
              </w:rPr>
            </w:pPr>
          </w:p>
        </w:tc>
        <w:tc>
          <w:tcPr>
            <w:tcW w:w="584" w:type="dxa"/>
            <w:tcBorders>
              <w:top w:val="single" w:sz="4" w:space="0" w:color="auto"/>
              <w:bottom w:val="dotted" w:sz="2" w:space="0" w:color="000000"/>
              <w:right w:val="single" w:sz="2" w:space="0" w:color="000000"/>
            </w:tcBorders>
            <w:shd w:val="clear" w:color="auto" w:fill="F5F5F5"/>
          </w:tcPr>
          <w:p w14:paraId="33591E9E" w14:textId="7721ECD6" w:rsidR="00E43412" w:rsidRPr="00DB248E" w:rsidRDefault="00E43412" w:rsidP="00DB248E">
            <w:pPr>
              <w:rPr>
                <w:sz w:val="16"/>
                <w:szCs w:val="16"/>
              </w:rPr>
            </w:pPr>
          </w:p>
        </w:tc>
      </w:tr>
      <w:tr w:rsidR="00E00AB4" w:rsidRPr="007833D8" w14:paraId="15FDE07B" w14:textId="7CF86A63"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F52934E" w14:textId="77777777" w:rsidR="00E43412" w:rsidRPr="00DB248E" w:rsidRDefault="00E43412" w:rsidP="00065B26">
            <w:pPr>
              <w:rPr>
                <w:sz w:val="16"/>
                <w:szCs w:val="16"/>
              </w:rPr>
            </w:pPr>
            <w:r w:rsidRPr="00DB248E">
              <w:rPr>
                <w:sz w:val="16"/>
                <w:szCs w:val="16"/>
              </w:rPr>
              <w:t>CARDIAC DISORDERS</w:t>
            </w:r>
          </w:p>
        </w:tc>
        <w:tc>
          <w:tcPr>
            <w:tcW w:w="813" w:type="dxa"/>
            <w:tcBorders>
              <w:top w:val="nil"/>
              <w:left w:val="nil"/>
              <w:bottom w:val="dotted" w:sz="2" w:space="0" w:color="000000"/>
            </w:tcBorders>
            <w:shd w:val="clear" w:color="auto" w:fill="F5F5F5"/>
          </w:tcPr>
          <w:p w14:paraId="611653BF"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3097A2ED"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44521E16"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1D59107B"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7CD9F407"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5073BD55" w14:textId="77777777" w:rsidR="00E43412" w:rsidRPr="00DB248E" w:rsidRDefault="00E43412" w:rsidP="00DB248E">
            <w:pPr>
              <w:rPr>
                <w:sz w:val="16"/>
                <w:szCs w:val="16"/>
              </w:rPr>
            </w:pPr>
          </w:p>
        </w:tc>
      </w:tr>
      <w:tr w:rsidR="00E00AB4" w:rsidRPr="007833D8" w14:paraId="54032F37" w14:textId="03334B69"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411092D2" w14:textId="7CF22B30" w:rsidR="00E43412" w:rsidRPr="00DB248E" w:rsidRDefault="00E43412" w:rsidP="00065B26">
            <w:pPr>
              <w:rPr>
                <w:sz w:val="16"/>
                <w:szCs w:val="16"/>
              </w:rPr>
            </w:pPr>
            <w:r w:rsidRPr="00DB248E">
              <w:rPr>
                <w:sz w:val="16"/>
                <w:szCs w:val="16"/>
              </w:rPr>
              <w:t xml:space="preserve">    Sinus tachycardia</w:t>
            </w:r>
          </w:p>
        </w:tc>
        <w:tc>
          <w:tcPr>
            <w:tcW w:w="813" w:type="dxa"/>
            <w:tcBorders>
              <w:top w:val="nil"/>
              <w:left w:val="nil"/>
              <w:bottom w:val="dotted" w:sz="2" w:space="0" w:color="000000"/>
            </w:tcBorders>
            <w:shd w:val="clear" w:color="auto" w:fill="F5F5F5"/>
          </w:tcPr>
          <w:p w14:paraId="61E0B357" w14:textId="6C9570B0"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044CF34B" w14:textId="3C110D38"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171E30D5" w14:textId="7534EBCA"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C4411C6" w14:textId="0A46AB68"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5A6AD42F" w14:textId="542A748B"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F5B07A2" w14:textId="6B87BB6F" w:rsidR="00E43412" w:rsidRPr="00DB248E" w:rsidRDefault="00E43412" w:rsidP="00DB248E">
            <w:pPr>
              <w:rPr>
                <w:sz w:val="16"/>
                <w:szCs w:val="16"/>
              </w:rPr>
            </w:pPr>
          </w:p>
        </w:tc>
      </w:tr>
      <w:tr w:rsidR="00E00AB4" w:rsidRPr="007833D8" w14:paraId="7A30C08D" w14:textId="7240B5A7"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9373251"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3785C5C6" w14:textId="7272F8C3"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22010B62" w14:textId="3FBE3638"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1D1E68E6" w14:textId="7F32D30A"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2AAFF2C" w14:textId="5BD71886"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50BF6A0" w14:textId="65D4AA1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17014872" w14:textId="512E8E87" w:rsidR="00E43412" w:rsidRPr="00DB248E" w:rsidRDefault="00E43412" w:rsidP="00DB248E">
            <w:pPr>
              <w:rPr>
                <w:sz w:val="16"/>
                <w:szCs w:val="16"/>
              </w:rPr>
            </w:pPr>
          </w:p>
        </w:tc>
      </w:tr>
      <w:tr w:rsidR="00E00AB4" w:rsidRPr="007833D8" w14:paraId="309A4933" w14:textId="2744FB9B"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C7C30DF" w14:textId="77777777" w:rsidR="00E43412" w:rsidRPr="00DB248E" w:rsidRDefault="00E43412" w:rsidP="00065B26">
            <w:pPr>
              <w:rPr>
                <w:sz w:val="16"/>
                <w:szCs w:val="16"/>
              </w:rPr>
            </w:pPr>
            <w:r w:rsidRPr="00DB248E">
              <w:rPr>
                <w:sz w:val="16"/>
                <w:szCs w:val="16"/>
              </w:rPr>
              <w:t>EYE DISORDERS</w:t>
            </w:r>
          </w:p>
        </w:tc>
        <w:tc>
          <w:tcPr>
            <w:tcW w:w="813" w:type="dxa"/>
            <w:tcBorders>
              <w:top w:val="nil"/>
              <w:left w:val="nil"/>
              <w:bottom w:val="dotted" w:sz="2" w:space="0" w:color="000000"/>
            </w:tcBorders>
            <w:shd w:val="clear" w:color="auto" w:fill="F5F5F5"/>
          </w:tcPr>
          <w:p w14:paraId="1C753A02"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583F2A41"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0A44DD0D"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0EE1029C"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92DC7B4"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1C53249A" w14:textId="77777777" w:rsidR="00E43412" w:rsidRPr="00DB248E" w:rsidRDefault="00E43412" w:rsidP="00DB248E">
            <w:pPr>
              <w:rPr>
                <w:sz w:val="16"/>
                <w:szCs w:val="16"/>
              </w:rPr>
            </w:pPr>
          </w:p>
        </w:tc>
      </w:tr>
      <w:tr w:rsidR="00E00AB4" w:rsidRPr="007833D8" w14:paraId="0E92AD6B" w14:textId="3CAFE41D"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9F700D2" w14:textId="2009AA68" w:rsidR="00E43412" w:rsidRPr="00DB248E" w:rsidRDefault="00E43412" w:rsidP="00065B26">
            <w:pPr>
              <w:rPr>
                <w:sz w:val="16"/>
                <w:szCs w:val="16"/>
              </w:rPr>
            </w:pPr>
            <w:r w:rsidRPr="00DB248E">
              <w:rPr>
                <w:sz w:val="16"/>
                <w:szCs w:val="16"/>
              </w:rPr>
              <w:t xml:space="preserve">    Blurred vision</w:t>
            </w:r>
          </w:p>
        </w:tc>
        <w:tc>
          <w:tcPr>
            <w:tcW w:w="813" w:type="dxa"/>
            <w:tcBorders>
              <w:top w:val="nil"/>
              <w:left w:val="nil"/>
              <w:bottom w:val="dotted" w:sz="2" w:space="0" w:color="000000"/>
            </w:tcBorders>
            <w:shd w:val="clear" w:color="auto" w:fill="F5F5F5"/>
          </w:tcPr>
          <w:p w14:paraId="42CF00E8" w14:textId="324E8A8F" w:rsidR="00E43412" w:rsidRPr="00DB248E" w:rsidRDefault="00E43412" w:rsidP="00490E17">
            <w:pPr>
              <w:rPr>
                <w:sz w:val="16"/>
                <w:szCs w:val="16"/>
              </w:rPr>
            </w:pPr>
            <w:r w:rsidRPr="00DB248E">
              <w:rPr>
                <w:sz w:val="16"/>
                <w:szCs w:val="16"/>
              </w:rPr>
              <w:t>8 (40)</w:t>
            </w:r>
          </w:p>
        </w:tc>
        <w:tc>
          <w:tcPr>
            <w:tcW w:w="900" w:type="dxa"/>
            <w:tcBorders>
              <w:top w:val="nil"/>
              <w:bottom w:val="dotted" w:sz="2" w:space="0" w:color="000000"/>
            </w:tcBorders>
            <w:shd w:val="clear" w:color="auto" w:fill="F5F5F5"/>
          </w:tcPr>
          <w:p w14:paraId="1A628BFE" w14:textId="0A265171"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51A13C3B" w14:textId="7B0F0615"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1907CAD" w14:textId="0A695003"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0F0BB924" w14:textId="052F4AA6"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FCA47B5" w14:textId="021EBEF8" w:rsidR="00E43412" w:rsidRPr="00DB248E" w:rsidRDefault="00E43412" w:rsidP="00DB248E">
            <w:pPr>
              <w:rPr>
                <w:sz w:val="16"/>
                <w:szCs w:val="16"/>
              </w:rPr>
            </w:pPr>
          </w:p>
        </w:tc>
      </w:tr>
      <w:tr w:rsidR="00E00AB4" w:rsidRPr="007833D8" w14:paraId="385D2638" w14:textId="1E2DDC59"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C13A169" w14:textId="77777777" w:rsidR="00E43412" w:rsidRPr="00DB248E" w:rsidRDefault="00E43412" w:rsidP="00065B26">
            <w:pPr>
              <w:rPr>
                <w:sz w:val="16"/>
                <w:szCs w:val="16"/>
              </w:rPr>
            </w:pPr>
            <w:r w:rsidRPr="00DB248E">
              <w:rPr>
                <w:sz w:val="16"/>
                <w:szCs w:val="16"/>
              </w:rPr>
              <w:t xml:space="preserve">    Conjunctivitis</w:t>
            </w:r>
          </w:p>
        </w:tc>
        <w:tc>
          <w:tcPr>
            <w:tcW w:w="813" w:type="dxa"/>
            <w:tcBorders>
              <w:top w:val="nil"/>
              <w:left w:val="nil"/>
              <w:bottom w:val="dotted" w:sz="2" w:space="0" w:color="000000"/>
            </w:tcBorders>
            <w:shd w:val="clear" w:color="auto" w:fill="F5F5F5"/>
          </w:tcPr>
          <w:p w14:paraId="606B03E5" w14:textId="40154C6B"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04813F90" w14:textId="0C218AC8"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6D7022D8" w14:textId="7DD5BFF8"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01F5A6C4" w14:textId="0C327878"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480B6F11" w14:textId="07445250"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79B0AC0D" w14:textId="7090CF1D" w:rsidR="00E43412" w:rsidRPr="00DB248E" w:rsidRDefault="00E43412" w:rsidP="00DB248E">
            <w:pPr>
              <w:rPr>
                <w:sz w:val="16"/>
                <w:szCs w:val="16"/>
              </w:rPr>
            </w:pPr>
          </w:p>
        </w:tc>
      </w:tr>
      <w:tr w:rsidR="00E00AB4" w:rsidRPr="007833D8" w14:paraId="3EBED97B" w14:textId="09C56D81"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88FF494" w14:textId="77777777" w:rsidR="00E43412" w:rsidRPr="00DB248E" w:rsidRDefault="00E43412" w:rsidP="00065B26">
            <w:pPr>
              <w:rPr>
                <w:sz w:val="16"/>
                <w:szCs w:val="16"/>
              </w:rPr>
            </w:pPr>
            <w:r w:rsidRPr="00DB248E">
              <w:rPr>
                <w:sz w:val="16"/>
                <w:szCs w:val="16"/>
              </w:rPr>
              <w:t xml:space="preserve">    Dry Eye</w:t>
            </w:r>
          </w:p>
        </w:tc>
        <w:tc>
          <w:tcPr>
            <w:tcW w:w="813" w:type="dxa"/>
            <w:tcBorders>
              <w:top w:val="nil"/>
              <w:left w:val="nil"/>
              <w:bottom w:val="dotted" w:sz="2" w:space="0" w:color="000000"/>
            </w:tcBorders>
            <w:shd w:val="clear" w:color="auto" w:fill="F5F5F5"/>
          </w:tcPr>
          <w:p w14:paraId="7606AE39" w14:textId="7098AF9A"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7956C208" w14:textId="2C95AD5E" w:rsidR="00E43412" w:rsidRPr="00DB248E" w:rsidRDefault="00E43412" w:rsidP="001706A2">
            <w:pPr>
              <w:rPr>
                <w:sz w:val="16"/>
                <w:szCs w:val="16"/>
              </w:rPr>
            </w:pPr>
            <w:r w:rsidRPr="00DB248E">
              <w:rPr>
                <w:sz w:val="16"/>
                <w:szCs w:val="16"/>
              </w:rPr>
              <w:t>2 (10)</w:t>
            </w:r>
          </w:p>
        </w:tc>
        <w:tc>
          <w:tcPr>
            <w:tcW w:w="810" w:type="dxa"/>
            <w:tcBorders>
              <w:top w:val="nil"/>
              <w:bottom w:val="dotted" w:sz="2" w:space="0" w:color="000000"/>
            </w:tcBorders>
            <w:shd w:val="clear" w:color="auto" w:fill="F5F5F5"/>
          </w:tcPr>
          <w:p w14:paraId="105E9A88" w14:textId="0528C3E5"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185AFCFF" w14:textId="07EFEC61"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75A86ED7" w14:textId="1A4C03F5"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59B134C0" w14:textId="7E666D04" w:rsidR="00E43412" w:rsidRPr="00DB248E" w:rsidRDefault="00E43412" w:rsidP="00DB248E">
            <w:pPr>
              <w:rPr>
                <w:sz w:val="16"/>
                <w:szCs w:val="16"/>
              </w:rPr>
            </w:pPr>
          </w:p>
        </w:tc>
      </w:tr>
      <w:tr w:rsidR="00E00AB4" w:rsidRPr="007833D8" w14:paraId="6FC7CFF9" w14:textId="7E419352"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AAA162E" w14:textId="2187148B" w:rsidR="00E43412" w:rsidRPr="00DB248E" w:rsidRDefault="00E43412" w:rsidP="00065B26">
            <w:pPr>
              <w:rPr>
                <w:sz w:val="16"/>
                <w:szCs w:val="16"/>
              </w:rPr>
            </w:pPr>
            <w:r w:rsidRPr="00DB248E">
              <w:rPr>
                <w:sz w:val="16"/>
                <w:szCs w:val="16"/>
              </w:rPr>
              <w:t xml:space="preserve">    Flashing lights</w:t>
            </w:r>
          </w:p>
        </w:tc>
        <w:tc>
          <w:tcPr>
            <w:tcW w:w="813" w:type="dxa"/>
            <w:tcBorders>
              <w:top w:val="nil"/>
              <w:left w:val="nil"/>
              <w:bottom w:val="dotted" w:sz="2" w:space="0" w:color="000000"/>
            </w:tcBorders>
            <w:shd w:val="clear" w:color="auto" w:fill="F5F5F5"/>
          </w:tcPr>
          <w:p w14:paraId="34BDAE5F" w14:textId="52E4FB28" w:rsidR="00E43412" w:rsidRPr="00DB248E" w:rsidRDefault="00E43412" w:rsidP="00490E17">
            <w:pPr>
              <w:rPr>
                <w:sz w:val="16"/>
                <w:szCs w:val="16"/>
              </w:rPr>
            </w:pPr>
            <w:r w:rsidRPr="00DB248E">
              <w:rPr>
                <w:sz w:val="16"/>
                <w:szCs w:val="16"/>
              </w:rPr>
              <w:t>3 (15)</w:t>
            </w:r>
          </w:p>
        </w:tc>
        <w:tc>
          <w:tcPr>
            <w:tcW w:w="900" w:type="dxa"/>
            <w:tcBorders>
              <w:top w:val="nil"/>
              <w:bottom w:val="dotted" w:sz="2" w:space="0" w:color="000000"/>
            </w:tcBorders>
            <w:shd w:val="clear" w:color="auto" w:fill="F5F5F5"/>
          </w:tcPr>
          <w:p w14:paraId="6BD73678" w14:textId="35840DAA"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3A519022" w14:textId="260D0E52"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6613299D" w14:textId="5DEB3847"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08304DE5" w14:textId="23DAE97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0290636" w14:textId="3A712F5C" w:rsidR="00E43412" w:rsidRPr="00DB248E" w:rsidRDefault="00E43412" w:rsidP="00DB248E">
            <w:pPr>
              <w:rPr>
                <w:sz w:val="16"/>
                <w:szCs w:val="16"/>
              </w:rPr>
            </w:pPr>
          </w:p>
        </w:tc>
      </w:tr>
      <w:tr w:rsidR="00E00AB4" w:rsidRPr="007833D8" w14:paraId="430A836C" w14:textId="00E00C0E"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F82787E" w14:textId="2A5852DB" w:rsidR="00E43412" w:rsidRPr="00DB248E" w:rsidRDefault="00E43412" w:rsidP="00065B26">
            <w:pPr>
              <w:rPr>
                <w:sz w:val="16"/>
                <w:szCs w:val="16"/>
              </w:rPr>
            </w:pPr>
            <w:r w:rsidRPr="00DB248E">
              <w:rPr>
                <w:sz w:val="16"/>
                <w:szCs w:val="16"/>
              </w:rPr>
              <w:t xml:space="preserve">    Optic nerve disorder</w:t>
            </w:r>
          </w:p>
        </w:tc>
        <w:tc>
          <w:tcPr>
            <w:tcW w:w="813" w:type="dxa"/>
            <w:tcBorders>
              <w:top w:val="nil"/>
              <w:left w:val="nil"/>
              <w:bottom w:val="dotted" w:sz="2" w:space="0" w:color="000000"/>
            </w:tcBorders>
            <w:shd w:val="clear" w:color="auto" w:fill="F5F5F5"/>
          </w:tcPr>
          <w:p w14:paraId="2E3B1EAC" w14:textId="41208018"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2D147F0F" w14:textId="16DEFD80"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065B27E0" w14:textId="03AFD6BE"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21567CB" w14:textId="0BCDF631"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3A3BCDC5" w14:textId="776A6DFE"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351D9E8" w14:textId="2332AE78" w:rsidR="00E43412" w:rsidRPr="00DB248E" w:rsidRDefault="00E43412" w:rsidP="00DB248E">
            <w:pPr>
              <w:rPr>
                <w:sz w:val="16"/>
                <w:szCs w:val="16"/>
              </w:rPr>
            </w:pPr>
          </w:p>
        </w:tc>
      </w:tr>
      <w:tr w:rsidR="00E00AB4" w:rsidRPr="007833D8" w14:paraId="5D2F00A3" w14:textId="16215CD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56092BD"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18F48459" w14:textId="3A67AFCF" w:rsidR="00E43412" w:rsidRPr="00DB248E" w:rsidRDefault="00E43412" w:rsidP="00490E17">
            <w:pPr>
              <w:rPr>
                <w:sz w:val="16"/>
                <w:szCs w:val="16"/>
              </w:rPr>
            </w:pPr>
            <w:r w:rsidRPr="00DB248E">
              <w:rPr>
                <w:sz w:val="16"/>
                <w:szCs w:val="16"/>
              </w:rPr>
              <w:t>5 (25)</w:t>
            </w:r>
          </w:p>
        </w:tc>
        <w:tc>
          <w:tcPr>
            <w:tcW w:w="900" w:type="dxa"/>
            <w:tcBorders>
              <w:top w:val="nil"/>
              <w:bottom w:val="dotted" w:sz="2" w:space="0" w:color="000000"/>
            </w:tcBorders>
            <w:shd w:val="clear" w:color="auto" w:fill="F5F5F5"/>
          </w:tcPr>
          <w:p w14:paraId="7785F9AF" w14:textId="36D05EA2"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69C8A6FB" w14:textId="72CB3CCC"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51BAE77D" w14:textId="79E8570A"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0A4F8D5D" w14:textId="6160216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8EEF24B" w14:textId="6A5C0776" w:rsidR="00E43412" w:rsidRPr="00DB248E" w:rsidRDefault="00E43412" w:rsidP="00DB248E">
            <w:pPr>
              <w:rPr>
                <w:sz w:val="16"/>
                <w:szCs w:val="16"/>
              </w:rPr>
            </w:pPr>
          </w:p>
        </w:tc>
      </w:tr>
      <w:tr w:rsidR="00E00AB4" w:rsidRPr="007833D8" w14:paraId="66DDAACF" w14:textId="71D1E1FD"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F3850A4" w14:textId="77777777" w:rsidR="00E43412" w:rsidRPr="00DB248E" w:rsidRDefault="00E43412" w:rsidP="00065B26">
            <w:pPr>
              <w:rPr>
                <w:sz w:val="16"/>
                <w:szCs w:val="16"/>
              </w:rPr>
            </w:pPr>
            <w:r w:rsidRPr="00DB248E">
              <w:rPr>
                <w:sz w:val="16"/>
                <w:szCs w:val="16"/>
              </w:rPr>
              <w:t>GASTROINTESTINAL DISORDERS</w:t>
            </w:r>
          </w:p>
        </w:tc>
        <w:tc>
          <w:tcPr>
            <w:tcW w:w="813" w:type="dxa"/>
            <w:tcBorders>
              <w:top w:val="nil"/>
              <w:left w:val="nil"/>
              <w:bottom w:val="dotted" w:sz="2" w:space="0" w:color="000000"/>
            </w:tcBorders>
            <w:shd w:val="clear" w:color="auto" w:fill="F5F5F5"/>
          </w:tcPr>
          <w:p w14:paraId="1BD79056"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37C8FC99"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348F4CC1"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7880536A"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E0CF866"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02A25AAB" w14:textId="77777777" w:rsidR="00E43412" w:rsidRPr="00DB248E" w:rsidRDefault="00E43412" w:rsidP="00DB248E">
            <w:pPr>
              <w:rPr>
                <w:sz w:val="16"/>
                <w:szCs w:val="16"/>
              </w:rPr>
            </w:pPr>
          </w:p>
        </w:tc>
      </w:tr>
      <w:tr w:rsidR="00E00AB4" w:rsidRPr="007833D8" w14:paraId="37CC8D2D" w14:textId="297CFE1B"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3B1C976" w14:textId="40AD9575" w:rsidR="00E43412" w:rsidRPr="00DB248E" w:rsidRDefault="00E43412" w:rsidP="00065B26">
            <w:pPr>
              <w:rPr>
                <w:sz w:val="16"/>
                <w:szCs w:val="16"/>
              </w:rPr>
            </w:pPr>
            <w:r w:rsidRPr="00DB248E">
              <w:rPr>
                <w:sz w:val="16"/>
                <w:szCs w:val="16"/>
              </w:rPr>
              <w:t xml:space="preserve">    Abdominal pain</w:t>
            </w:r>
          </w:p>
        </w:tc>
        <w:tc>
          <w:tcPr>
            <w:tcW w:w="813" w:type="dxa"/>
            <w:tcBorders>
              <w:top w:val="nil"/>
              <w:left w:val="nil"/>
              <w:bottom w:val="dotted" w:sz="2" w:space="0" w:color="000000"/>
            </w:tcBorders>
            <w:shd w:val="clear" w:color="auto" w:fill="F5F5F5"/>
          </w:tcPr>
          <w:p w14:paraId="3B2D1D30" w14:textId="216BD20B"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4CC5A0F0" w14:textId="4065C258"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54BC039C" w14:textId="1ADD7559"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4BE34B24" w14:textId="3CEBA6D5"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9C68B41" w14:textId="376C0881"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00D91B07" w14:textId="679719D9" w:rsidR="00E43412" w:rsidRPr="00DB248E" w:rsidRDefault="00E43412" w:rsidP="00DB248E">
            <w:pPr>
              <w:rPr>
                <w:sz w:val="16"/>
                <w:szCs w:val="16"/>
              </w:rPr>
            </w:pPr>
          </w:p>
        </w:tc>
      </w:tr>
      <w:tr w:rsidR="00E00AB4" w:rsidRPr="007833D8" w14:paraId="4615B463" w14:textId="23EE89ED"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D50D5AF" w14:textId="77777777" w:rsidR="00E43412" w:rsidRPr="00DB248E" w:rsidRDefault="00E43412" w:rsidP="00065B26">
            <w:pPr>
              <w:rPr>
                <w:sz w:val="16"/>
                <w:szCs w:val="16"/>
              </w:rPr>
            </w:pPr>
            <w:r w:rsidRPr="00DB248E">
              <w:rPr>
                <w:sz w:val="16"/>
                <w:szCs w:val="16"/>
              </w:rPr>
              <w:t xml:space="preserve">    Bloating</w:t>
            </w:r>
          </w:p>
        </w:tc>
        <w:tc>
          <w:tcPr>
            <w:tcW w:w="813" w:type="dxa"/>
            <w:tcBorders>
              <w:top w:val="nil"/>
              <w:left w:val="nil"/>
              <w:bottom w:val="dotted" w:sz="2" w:space="0" w:color="000000"/>
            </w:tcBorders>
            <w:shd w:val="clear" w:color="auto" w:fill="F5F5F5"/>
          </w:tcPr>
          <w:p w14:paraId="112E0D49" w14:textId="7952D579"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2EC073BD" w14:textId="79D48EB2"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2824DD0F" w14:textId="6A7339B9"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29415DE8" w14:textId="617A602C"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4BBC5A1F" w14:textId="2EC85C64"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13DA2860" w14:textId="2AC78DD3" w:rsidR="00E43412" w:rsidRPr="00DB248E" w:rsidRDefault="00E43412" w:rsidP="00DB248E">
            <w:pPr>
              <w:rPr>
                <w:sz w:val="16"/>
                <w:szCs w:val="16"/>
              </w:rPr>
            </w:pPr>
          </w:p>
        </w:tc>
      </w:tr>
      <w:tr w:rsidR="00E00AB4" w:rsidRPr="007833D8" w14:paraId="465ACD17" w14:textId="334BA339"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E3C0059" w14:textId="77777777" w:rsidR="00E43412" w:rsidRPr="00DB248E" w:rsidRDefault="00E43412" w:rsidP="00065B26">
            <w:pPr>
              <w:rPr>
                <w:sz w:val="16"/>
                <w:szCs w:val="16"/>
              </w:rPr>
            </w:pPr>
            <w:r w:rsidRPr="00DB248E">
              <w:rPr>
                <w:sz w:val="16"/>
                <w:szCs w:val="16"/>
              </w:rPr>
              <w:t xml:space="preserve">    Constipation</w:t>
            </w:r>
          </w:p>
        </w:tc>
        <w:tc>
          <w:tcPr>
            <w:tcW w:w="813" w:type="dxa"/>
            <w:tcBorders>
              <w:top w:val="nil"/>
              <w:left w:val="nil"/>
              <w:bottom w:val="dotted" w:sz="2" w:space="0" w:color="000000"/>
            </w:tcBorders>
            <w:shd w:val="clear" w:color="auto" w:fill="F5F5F5"/>
          </w:tcPr>
          <w:p w14:paraId="77C18BF5" w14:textId="5DBAE520" w:rsidR="00E43412" w:rsidRPr="00DB248E" w:rsidRDefault="00E43412" w:rsidP="00490E17">
            <w:pPr>
              <w:rPr>
                <w:sz w:val="16"/>
                <w:szCs w:val="16"/>
              </w:rPr>
            </w:pPr>
            <w:r w:rsidRPr="00DB248E">
              <w:rPr>
                <w:sz w:val="16"/>
                <w:szCs w:val="16"/>
              </w:rPr>
              <w:t>3 (15)</w:t>
            </w:r>
          </w:p>
        </w:tc>
        <w:tc>
          <w:tcPr>
            <w:tcW w:w="900" w:type="dxa"/>
            <w:tcBorders>
              <w:top w:val="nil"/>
              <w:bottom w:val="dotted" w:sz="2" w:space="0" w:color="000000"/>
            </w:tcBorders>
            <w:shd w:val="clear" w:color="auto" w:fill="F5F5F5"/>
          </w:tcPr>
          <w:p w14:paraId="5723366E" w14:textId="65F4D94F" w:rsidR="00E43412" w:rsidRPr="00DB248E" w:rsidRDefault="00E43412" w:rsidP="001706A2">
            <w:pPr>
              <w:rPr>
                <w:sz w:val="16"/>
                <w:szCs w:val="16"/>
              </w:rPr>
            </w:pPr>
            <w:r w:rsidRPr="00DB248E">
              <w:rPr>
                <w:sz w:val="16"/>
                <w:szCs w:val="16"/>
              </w:rPr>
              <w:t>2 (10)</w:t>
            </w:r>
          </w:p>
        </w:tc>
        <w:tc>
          <w:tcPr>
            <w:tcW w:w="810" w:type="dxa"/>
            <w:tcBorders>
              <w:top w:val="nil"/>
              <w:bottom w:val="dotted" w:sz="2" w:space="0" w:color="000000"/>
            </w:tcBorders>
            <w:shd w:val="clear" w:color="auto" w:fill="F5F5F5"/>
          </w:tcPr>
          <w:p w14:paraId="7CEC00AF" w14:textId="7D419FFC"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04E33AE8" w14:textId="59A38327"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C57772D" w14:textId="70EB4BB4"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6283C938" w14:textId="44989206" w:rsidR="00E43412" w:rsidRPr="00DB248E" w:rsidRDefault="00E43412" w:rsidP="00DB248E">
            <w:pPr>
              <w:rPr>
                <w:sz w:val="16"/>
                <w:szCs w:val="16"/>
              </w:rPr>
            </w:pPr>
          </w:p>
        </w:tc>
      </w:tr>
      <w:tr w:rsidR="00E00AB4" w:rsidRPr="007833D8" w14:paraId="79B8412E" w14:textId="74CB5B4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47AC712" w14:textId="77777777" w:rsidR="00E43412" w:rsidRPr="00DB248E" w:rsidRDefault="00E43412" w:rsidP="00065B26">
            <w:pPr>
              <w:rPr>
                <w:sz w:val="16"/>
                <w:szCs w:val="16"/>
              </w:rPr>
            </w:pPr>
            <w:r w:rsidRPr="00DB248E">
              <w:rPr>
                <w:sz w:val="16"/>
                <w:szCs w:val="16"/>
              </w:rPr>
              <w:t xml:space="preserve">    Diarrhea</w:t>
            </w:r>
          </w:p>
        </w:tc>
        <w:tc>
          <w:tcPr>
            <w:tcW w:w="813" w:type="dxa"/>
            <w:tcBorders>
              <w:top w:val="nil"/>
              <w:left w:val="nil"/>
              <w:bottom w:val="dotted" w:sz="2" w:space="0" w:color="000000"/>
            </w:tcBorders>
            <w:shd w:val="clear" w:color="auto" w:fill="F5F5F5"/>
          </w:tcPr>
          <w:p w14:paraId="387ACA1B" w14:textId="37DC3DA9" w:rsidR="00E43412" w:rsidRPr="00DB248E" w:rsidRDefault="00E43412" w:rsidP="00490E17">
            <w:pPr>
              <w:rPr>
                <w:sz w:val="16"/>
                <w:szCs w:val="16"/>
              </w:rPr>
            </w:pPr>
            <w:r w:rsidRPr="00DB248E">
              <w:rPr>
                <w:sz w:val="16"/>
                <w:szCs w:val="16"/>
              </w:rPr>
              <w:t>6 (30)</w:t>
            </w:r>
          </w:p>
        </w:tc>
        <w:tc>
          <w:tcPr>
            <w:tcW w:w="900" w:type="dxa"/>
            <w:tcBorders>
              <w:top w:val="nil"/>
              <w:bottom w:val="dotted" w:sz="2" w:space="0" w:color="000000"/>
            </w:tcBorders>
            <w:shd w:val="clear" w:color="auto" w:fill="F5F5F5"/>
          </w:tcPr>
          <w:p w14:paraId="59A83092" w14:textId="17363FAF"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245C24D0" w14:textId="1735D466"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DFCF5E2" w14:textId="07220CE6"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C71D363" w14:textId="40557DB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65C77992" w14:textId="2C26B6C4" w:rsidR="00E43412" w:rsidRPr="00DB248E" w:rsidRDefault="00E43412" w:rsidP="00DB248E">
            <w:pPr>
              <w:rPr>
                <w:sz w:val="16"/>
                <w:szCs w:val="16"/>
              </w:rPr>
            </w:pPr>
          </w:p>
        </w:tc>
      </w:tr>
      <w:tr w:rsidR="00E00AB4" w:rsidRPr="007833D8" w14:paraId="78F02AEB" w14:textId="308FB29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D995C54" w14:textId="77777777" w:rsidR="00E43412" w:rsidRPr="00DB248E" w:rsidRDefault="00E43412" w:rsidP="00065B26">
            <w:pPr>
              <w:rPr>
                <w:sz w:val="16"/>
                <w:szCs w:val="16"/>
              </w:rPr>
            </w:pPr>
            <w:r w:rsidRPr="00DB248E">
              <w:rPr>
                <w:sz w:val="16"/>
                <w:szCs w:val="16"/>
              </w:rPr>
              <w:t xml:space="preserve">    Dyspepsia</w:t>
            </w:r>
          </w:p>
        </w:tc>
        <w:tc>
          <w:tcPr>
            <w:tcW w:w="813" w:type="dxa"/>
            <w:tcBorders>
              <w:top w:val="nil"/>
              <w:left w:val="nil"/>
              <w:bottom w:val="dotted" w:sz="2" w:space="0" w:color="000000"/>
            </w:tcBorders>
            <w:shd w:val="clear" w:color="auto" w:fill="F5F5F5"/>
          </w:tcPr>
          <w:p w14:paraId="13C297C2" w14:textId="4D2D3367"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2B44A599" w14:textId="5A19E6BC"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0391BA4C" w14:textId="2EB59EDA"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08A4B5AD" w14:textId="089BE1E6"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31DA6CF0" w14:textId="5F35D9B8"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3920AC8" w14:textId="643E34B9" w:rsidR="00E43412" w:rsidRPr="00DB248E" w:rsidRDefault="00E43412" w:rsidP="00DB248E">
            <w:pPr>
              <w:rPr>
                <w:sz w:val="16"/>
                <w:szCs w:val="16"/>
              </w:rPr>
            </w:pPr>
          </w:p>
        </w:tc>
      </w:tr>
      <w:tr w:rsidR="00E00AB4" w:rsidRPr="007833D8" w14:paraId="750D4DEA" w14:textId="34B45B18"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6713B13" w14:textId="77777777" w:rsidR="00E43412" w:rsidRPr="00DB248E" w:rsidRDefault="00E43412" w:rsidP="00065B26">
            <w:pPr>
              <w:rPr>
                <w:sz w:val="16"/>
                <w:szCs w:val="16"/>
              </w:rPr>
            </w:pPr>
            <w:r w:rsidRPr="00DB248E">
              <w:rPr>
                <w:sz w:val="16"/>
                <w:szCs w:val="16"/>
              </w:rPr>
              <w:t xml:space="preserve">    Esophagitis</w:t>
            </w:r>
          </w:p>
        </w:tc>
        <w:tc>
          <w:tcPr>
            <w:tcW w:w="813" w:type="dxa"/>
            <w:tcBorders>
              <w:top w:val="nil"/>
              <w:left w:val="nil"/>
              <w:bottom w:val="dotted" w:sz="2" w:space="0" w:color="000000"/>
            </w:tcBorders>
            <w:shd w:val="clear" w:color="auto" w:fill="F5F5F5"/>
          </w:tcPr>
          <w:p w14:paraId="061789A7" w14:textId="2D19EF13"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50088EA7" w14:textId="56F580DF"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73558557" w14:textId="235DC41B"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2E9514B" w14:textId="5F38F229"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3BE0794C" w14:textId="26AEEB22"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D9A244A" w14:textId="41798DE6" w:rsidR="00E43412" w:rsidRPr="00DB248E" w:rsidRDefault="00E43412" w:rsidP="00DB248E">
            <w:pPr>
              <w:rPr>
                <w:sz w:val="16"/>
                <w:szCs w:val="16"/>
              </w:rPr>
            </w:pPr>
          </w:p>
        </w:tc>
      </w:tr>
      <w:tr w:rsidR="00E00AB4" w:rsidRPr="007833D8" w14:paraId="688AE580" w14:textId="0D6EEFE5"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A7300D9" w14:textId="77777777" w:rsidR="00E43412" w:rsidRPr="00DB248E" w:rsidRDefault="00E43412" w:rsidP="00065B26">
            <w:pPr>
              <w:rPr>
                <w:sz w:val="16"/>
                <w:szCs w:val="16"/>
              </w:rPr>
            </w:pPr>
            <w:r w:rsidRPr="00DB248E">
              <w:rPr>
                <w:sz w:val="16"/>
                <w:szCs w:val="16"/>
              </w:rPr>
              <w:t xml:space="preserve">    Flatulence</w:t>
            </w:r>
          </w:p>
        </w:tc>
        <w:tc>
          <w:tcPr>
            <w:tcW w:w="813" w:type="dxa"/>
            <w:tcBorders>
              <w:top w:val="nil"/>
              <w:left w:val="nil"/>
              <w:bottom w:val="dotted" w:sz="2" w:space="0" w:color="000000"/>
            </w:tcBorders>
            <w:shd w:val="clear" w:color="auto" w:fill="F5F5F5"/>
          </w:tcPr>
          <w:p w14:paraId="73F5E2D4" w14:textId="700D50FB"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3B0BD986" w14:textId="49E8ADC3"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50A4C2EB" w14:textId="7E5EDFFD"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5BD69805" w14:textId="18C3D80F"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5292F22C" w14:textId="2C4487B3"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6A617393" w14:textId="6F459196" w:rsidR="00E43412" w:rsidRPr="00DB248E" w:rsidRDefault="00E43412" w:rsidP="00DB248E">
            <w:pPr>
              <w:rPr>
                <w:sz w:val="16"/>
                <w:szCs w:val="16"/>
              </w:rPr>
            </w:pPr>
          </w:p>
        </w:tc>
      </w:tr>
      <w:tr w:rsidR="00E00AB4" w:rsidRPr="007833D8" w14:paraId="4EC4A7F7" w14:textId="379BB65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0833BE9" w14:textId="06CCC02F" w:rsidR="00E43412" w:rsidRPr="00DB248E" w:rsidRDefault="00E43412" w:rsidP="00065B26">
            <w:pPr>
              <w:rPr>
                <w:sz w:val="16"/>
                <w:szCs w:val="16"/>
              </w:rPr>
            </w:pPr>
            <w:r w:rsidRPr="00DB248E">
              <w:rPr>
                <w:sz w:val="16"/>
                <w:szCs w:val="16"/>
              </w:rPr>
              <w:t xml:space="preserve">    Mucositis oral</w:t>
            </w:r>
          </w:p>
        </w:tc>
        <w:tc>
          <w:tcPr>
            <w:tcW w:w="813" w:type="dxa"/>
            <w:tcBorders>
              <w:top w:val="nil"/>
              <w:left w:val="nil"/>
              <w:bottom w:val="dotted" w:sz="2" w:space="0" w:color="000000"/>
            </w:tcBorders>
            <w:shd w:val="clear" w:color="auto" w:fill="F5F5F5"/>
          </w:tcPr>
          <w:p w14:paraId="6BAE8BE1" w14:textId="47F62041"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22392F00" w14:textId="48403A39"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06CCDB03" w14:textId="63068A07"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BFAA48E" w14:textId="0CEA08E9"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5987CAB4" w14:textId="0964885F"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978439E" w14:textId="5AEF09F2" w:rsidR="00E43412" w:rsidRPr="00DB248E" w:rsidRDefault="00E43412" w:rsidP="00DB248E">
            <w:pPr>
              <w:rPr>
                <w:sz w:val="16"/>
                <w:szCs w:val="16"/>
              </w:rPr>
            </w:pPr>
          </w:p>
        </w:tc>
      </w:tr>
      <w:tr w:rsidR="00E00AB4" w:rsidRPr="007833D8" w14:paraId="5FCC5E05" w14:textId="25C6D147"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96C9E26" w14:textId="77777777" w:rsidR="00E43412" w:rsidRPr="00DB248E" w:rsidRDefault="00E43412" w:rsidP="00065B26">
            <w:pPr>
              <w:rPr>
                <w:sz w:val="16"/>
                <w:szCs w:val="16"/>
              </w:rPr>
            </w:pPr>
            <w:r w:rsidRPr="00DB248E">
              <w:rPr>
                <w:sz w:val="16"/>
                <w:szCs w:val="16"/>
              </w:rPr>
              <w:t xml:space="preserve">    Nausea</w:t>
            </w:r>
          </w:p>
        </w:tc>
        <w:tc>
          <w:tcPr>
            <w:tcW w:w="813" w:type="dxa"/>
            <w:tcBorders>
              <w:top w:val="nil"/>
              <w:left w:val="nil"/>
              <w:bottom w:val="dotted" w:sz="2" w:space="0" w:color="000000"/>
            </w:tcBorders>
            <w:shd w:val="clear" w:color="auto" w:fill="F5F5F5"/>
          </w:tcPr>
          <w:p w14:paraId="57575234" w14:textId="052826F0" w:rsidR="00E43412" w:rsidRPr="00DB248E" w:rsidRDefault="00E43412" w:rsidP="00490E17">
            <w:pPr>
              <w:rPr>
                <w:sz w:val="16"/>
                <w:szCs w:val="16"/>
              </w:rPr>
            </w:pPr>
            <w:r w:rsidRPr="00DB248E">
              <w:rPr>
                <w:sz w:val="16"/>
                <w:szCs w:val="16"/>
              </w:rPr>
              <w:t>6 (30)</w:t>
            </w:r>
          </w:p>
        </w:tc>
        <w:tc>
          <w:tcPr>
            <w:tcW w:w="900" w:type="dxa"/>
            <w:tcBorders>
              <w:top w:val="nil"/>
              <w:bottom w:val="dotted" w:sz="2" w:space="0" w:color="000000"/>
            </w:tcBorders>
            <w:shd w:val="clear" w:color="auto" w:fill="F5F5F5"/>
          </w:tcPr>
          <w:p w14:paraId="4BF984AF" w14:textId="706A785C" w:rsidR="00E43412" w:rsidRPr="00DB248E" w:rsidRDefault="00E43412" w:rsidP="001706A2">
            <w:pPr>
              <w:rPr>
                <w:sz w:val="16"/>
                <w:szCs w:val="16"/>
              </w:rPr>
            </w:pPr>
            <w:r w:rsidRPr="00DB248E">
              <w:rPr>
                <w:sz w:val="16"/>
                <w:szCs w:val="16"/>
              </w:rPr>
              <w:t>5 (25)</w:t>
            </w:r>
          </w:p>
        </w:tc>
        <w:tc>
          <w:tcPr>
            <w:tcW w:w="810" w:type="dxa"/>
            <w:tcBorders>
              <w:top w:val="nil"/>
              <w:bottom w:val="dotted" w:sz="2" w:space="0" w:color="000000"/>
            </w:tcBorders>
            <w:shd w:val="clear" w:color="auto" w:fill="F5F5F5"/>
          </w:tcPr>
          <w:p w14:paraId="3E6407B7" w14:textId="3F9863F3"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1E88BEAA" w14:textId="543F24F0"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7F0748A9" w14:textId="1578E5DB"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557B717B" w14:textId="608AAAC7" w:rsidR="00E43412" w:rsidRPr="00DB248E" w:rsidRDefault="00E43412" w:rsidP="00DB248E">
            <w:pPr>
              <w:rPr>
                <w:sz w:val="16"/>
                <w:szCs w:val="16"/>
              </w:rPr>
            </w:pPr>
          </w:p>
        </w:tc>
      </w:tr>
      <w:tr w:rsidR="00E00AB4" w:rsidRPr="007833D8" w14:paraId="51D2D68F" w14:textId="7BBD5FB6"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E3FBCE2" w14:textId="77777777" w:rsidR="00E43412" w:rsidRPr="00DB248E" w:rsidRDefault="00E43412" w:rsidP="00065B26">
            <w:pPr>
              <w:rPr>
                <w:sz w:val="16"/>
                <w:szCs w:val="16"/>
              </w:rPr>
            </w:pPr>
            <w:r w:rsidRPr="00DB248E">
              <w:rPr>
                <w:sz w:val="16"/>
                <w:szCs w:val="16"/>
              </w:rPr>
              <w:t xml:space="preserve">    Vomiting</w:t>
            </w:r>
          </w:p>
        </w:tc>
        <w:tc>
          <w:tcPr>
            <w:tcW w:w="813" w:type="dxa"/>
            <w:tcBorders>
              <w:top w:val="nil"/>
              <w:left w:val="nil"/>
              <w:bottom w:val="dotted" w:sz="2" w:space="0" w:color="000000"/>
            </w:tcBorders>
            <w:shd w:val="clear" w:color="auto" w:fill="F5F5F5"/>
          </w:tcPr>
          <w:p w14:paraId="2B0DB5C4" w14:textId="3316172B" w:rsidR="00E43412" w:rsidRPr="00DB248E" w:rsidRDefault="00E43412" w:rsidP="00490E17">
            <w:pPr>
              <w:rPr>
                <w:sz w:val="16"/>
                <w:szCs w:val="16"/>
              </w:rPr>
            </w:pPr>
            <w:r w:rsidRPr="00DB248E">
              <w:rPr>
                <w:sz w:val="16"/>
                <w:szCs w:val="16"/>
              </w:rPr>
              <w:t>5 (25)</w:t>
            </w:r>
          </w:p>
        </w:tc>
        <w:tc>
          <w:tcPr>
            <w:tcW w:w="900" w:type="dxa"/>
            <w:tcBorders>
              <w:top w:val="nil"/>
              <w:bottom w:val="dotted" w:sz="2" w:space="0" w:color="000000"/>
            </w:tcBorders>
            <w:shd w:val="clear" w:color="auto" w:fill="F5F5F5"/>
          </w:tcPr>
          <w:p w14:paraId="4802E25D" w14:textId="71839EF7" w:rsidR="00E43412" w:rsidRPr="00DB248E" w:rsidRDefault="00E43412" w:rsidP="001706A2">
            <w:pPr>
              <w:rPr>
                <w:sz w:val="16"/>
                <w:szCs w:val="16"/>
              </w:rPr>
            </w:pPr>
            <w:r w:rsidRPr="00DB248E">
              <w:rPr>
                <w:sz w:val="16"/>
                <w:szCs w:val="16"/>
              </w:rPr>
              <w:t>2 (10)</w:t>
            </w:r>
          </w:p>
        </w:tc>
        <w:tc>
          <w:tcPr>
            <w:tcW w:w="810" w:type="dxa"/>
            <w:tcBorders>
              <w:top w:val="nil"/>
              <w:bottom w:val="dotted" w:sz="2" w:space="0" w:color="000000"/>
            </w:tcBorders>
            <w:shd w:val="clear" w:color="auto" w:fill="F5F5F5"/>
          </w:tcPr>
          <w:p w14:paraId="31B2F289" w14:textId="61765B78"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90F4910" w14:textId="14A0009C"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A72B5BE" w14:textId="5944175E"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3DB30613" w14:textId="42C6855C" w:rsidR="00E43412" w:rsidRPr="00DB248E" w:rsidRDefault="00E43412" w:rsidP="00DB248E">
            <w:pPr>
              <w:rPr>
                <w:sz w:val="16"/>
                <w:szCs w:val="16"/>
              </w:rPr>
            </w:pPr>
          </w:p>
        </w:tc>
      </w:tr>
      <w:tr w:rsidR="00E00AB4" w:rsidRPr="00D87A2F" w14:paraId="0E4A0379" w14:textId="17FCEEC1" w:rsidTr="00BD5140">
        <w:trPr>
          <w:cantSplit/>
          <w:trHeight w:hRule="exact" w:val="550"/>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DCFB3D1" w14:textId="77777777" w:rsidR="00E43412" w:rsidRPr="00DB248E" w:rsidRDefault="00E43412" w:rsidP="00065B26">
            <w:pPr>
              <w:rPr>
                <w:sz w:val="16"/>
                <w:szCs w:val="16"/>
              </w:rPr>
            </w:pPr>
            <w:r w:rsidRPr="00DB248E">
              <w:rPr>
                <w:sz w:val="16"/>
                <w:szCs w:val="16"/>
              </w:rPr>
              <w:t>GENERAL DISORDERS AND ADMINISTRATION SITE CONDITIONS</w:t>
            </w:r>
          </w:p>
        </w:tc>
        <w:tc>
          <w:tcPr>
            <w:tcW w:w="813" w:type="dxa"/>
            <w:tcBorders>
              <w:top w:val="nil"/>
              <w:left w:val="nil"/>
              <w:bottom w:val="dotted" w:sz="2" w:space="0" w:color="000000"/>
            </w:tcBorders>
            <w:shd w:val="clear" w:color="auto" w:fill="F5F5F5"/>
          </w:tcPr>
          <w:p w14:paraId="5D603283"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4E7EA19B"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6B0AA53A"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12718DD2"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295A6C8F"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0D03776E" w14:textId="77777777" w:rsidR="00E43412" w:rsidRPr="00DB248E" w:rsidRDefault="00E43412" w:rsidP="00DB248E">
            <w:pPr>
              <w:rPr>
                <w:sz w:val="16"/>
                <w:szCs w:val="16"/>
              </w:rPr>
            </w:pPr>
          </w:p>
        </w:tc>
      </w:tr>
      <w:tr w:rsidR="00E00AB4" w:rsidRPr="007833D8" w14:paraId="74989B03" w14:textId="5909636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FB32771" w14:textId="4DFF31C1" w:rsidR="00E43412" w:rsidRPr="00DB248E" w:rsidRDefault="00E43412" w:rsidP="00065B26">
            <w:pPr>
              <w:rPr>
                <w:sz w:val="16"/>
                <w:szCs w:val="16"/>
              </w:rPr>
            </w:pPr>
            <w:r w:rsidRPr="00DB248E">
              <w:rPr>
                <w:sz w:val="16"/>
                <w:szCs w:val="16"/>
              </w:rPr>
              <w:t xml:space="preserve">    Edema limbs</w:t>
            </w:r>
          </w:p>
        </w:tc>
        <w:tc>
          <w:tcPr>
            <w:tcW w:w="813" w:type="dxa"/>
            <w:tcBorders>
              <w:top w:val="nil"/>
              <w:left w:val="nil"/>
              <w:bottom w:val="dotted" w:sz="2" w:space="0" w:color="000000"/>
            </w:tcBorders>
            <w:shd w:val="clear" w:color="auto" w:fill="F5F5F5"/>
          </w:tcPr>
          <w:p w14:paraId="5836E884" w14:textId="49A05E9A" w:rsidR="00E43412" w:rsidRPr="00DB248E" w:rsidRDefault="00E43412" w:rsidP="00490E17">
            <w:pPr>
              <w:rPr>
                <w:sz w:val="16"/>
                <w:szCs w:val="16"/>
              </w:rPr>
            </w:pPr>
            <w:r w:rsidRPr="00DB248E">
              <w:rPr>
                <w:sz w:val="16"/>
                <w:szCs w:val="16"/>
              </w:rPr>
              <w:t>5 (25)</w:t>
            </w:r>
          </w:p>
        </w:tc>
        <w:tc>
          <w:tcPr>
            <w:tcW w:w="900" w:type="dxa"/>
            <w:tcBorders>
              <w:top w:val="nil"/>
              <w:bottom w:val="dotted" w:sz="2" w:space="0" w:color="000000"/>
            </w:tcBorders>
            <w:shd w:val="clear" w:color="auto" w:fill="F5F5F5"/>
          </w:tcPr>
          <w:p w14:paraId="4D82ED17" w14:textId="285A0C71"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32CE5CBB" w14:textId="219C245E"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1C82F73" w14:textId="7E2BF167"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7D12D7C" w14:textId="76D8F2A7"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5ECADEAA" w14:textId="54F6F7EE" w:rsidR="00E43412" w:rsidRPr="00DB248E" w:rsidRDefault="00E43412" w:rsidP="00DB248E">
            <w:pPr>
              <w:rPr>
                <w:sz w:val="16"/>
                <w:szCs w:val="16"/>
              </w:rPr>
            </w:pPr>
          </w:p>
        </w:tc>
      </w:tr>
      <w:tr w:rsidR="00E00AB4" w:rsidRPr="007833D8" w14:paraId="1EF7BF7A" w14:textId="27CCF9D3"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D7FBA21" w14:textId="77777777" w:rsidR="00E43412" w:rsidRPr="00DB248E" w:rsidRDefault="00E43412" w:rsidP="00065B26">
            <w:pPr>
              <w:rPr>
                <w:sz w:val="16"/>
                <w:szCs w:val="16"/>
              </w:rPr>
            </w:pPr>
            <w:r w:rsidRPr="00DB248E">
              <w:rPr>
                <w:sz w:val="16"/>
                <w:szCs w:val="16"/>
              </w:rPr>
              <w:t xml:space="preserve">    Fatigue</w:t>
            </w:r>
          </w:p>
        </w:tc>
        <w:tc>
          <w:tcPr>
            <w:tcW w:w="813" w:type="dxa"/>
            <w:tcBorders>
              <w:top w:val="nil"/>
              <w:left w:val="nil"/>
              <w:bottom w:val="dotted" w:sz="2" w:space="0" w:color="000000"/>
            </w:tcBorders>
            <w:shd w:val="clear" w:color="auto" w:fill="F5F5F5"/>
          </w:tcPr>
          <w:p w14:paraId="7D98D3DD" w14:textId="23C60513" w:rsidR="00E43412" w:rsidRPr="00DB248E" w:rsidRDefault="00E43412" w:rsidP="00490E17">
            <w:pPr>
              <w:rPr>
                <w:sz w:val="16"/>
                <w:szCs w:val="16"/>
              </w:rPr>
            </w:pPr>
            <w:r w:rsidRPr="00DB248E">
              <w:rPr>
                <w:sz w:val="16"/>
                <w:szCs w:val="16"/>
              </w:rPr>
              <w:t>5 (25)</w:t>
            </w:r>
          </w:p>
        </w:tc>
        <w:tc>
          <w:tcPr>
            <w:tcW w:w="900" w:type="dxa"/>
            <w:tcBorders>
              <w:top w:val="nil"/>
              <w:bottom w:val="dotted" w:sz="2" w:space="0" w:color="000000"/>
            </w:tcBorders>
            <w:shd w:val="clear" w:color="auto" w:fill="F5F5F5"/>
          </w:tcPr>
          <w:p w14:paraId="6B04B8AC" w14:textId="7EBD6B76" w:rsidR="00E43412" w:rsidRPr="00DB248E" w:rsidRDefault="00E43412" w:rsidP="001706A2">
            <w:pPr>
              <w:rPr>
                <w:sz w:val="16"/>
                <w:szCs w:val="16"/>
              </w:rPr>
            </w:pPr>
            <w:r w:rsidRPr="00DB248E">
              <w:rPr>
                <w:sz w:val="16"/>
                <w:szCs w:val="16"/>
              </w:rPr>
              <w:t>3 (15)</w:t>
            </w:r>
          </w:p>
        </w:tc>
        <w:tc>
          <w:tcPr>
            <w:tcW w:w="810" w:type="dxa"/>
            <w:tcBorders>
              <w:top w:val="nil"/>
              <w:bottom w:val="dotted" w:sz="2" w:space="0" w:color="000000"/>
            </w:tcBorders>
            <w:shd w:val="clear" w:color="auto" w:fill="F5F5F5"/>
          </w:tcPr>
          <w:p w14:paraId="2F2D9433" w14:textId="43D08B99" w:rsidR="00E43412" w:rsidRPr="00DB248E" w:rsidRDefault="00E43412" w:rsidP="001706A2">
            <w:pPr>
              <w:rPr>
                <w:sz w:val="16"/>
                <w:szCs w:val="16"/>
              </w:rPr>
            </w:pPr>
            <w:r w:rsidRPr="00DB248E">
              <w:rPr>
                <w:sz w:val="16"/>
                <w:szCs w:val="16"/>
              </w:rPr>
              <w:t>1 (5)</w:t>
            </w:r>
          </w:p>
        </w:tc>
        <w:tc>
          <w:tcPr>
            <w:tcW w:w="540" w:type="dxa"/>
            <w:tcBorders>
              <w:top w:val="nil"/>
              <w:bottom w:val="dotted" w:sz="2" w:space="0" w:color="000000"/>
            </w:tcBorders>
            <w:shd w:val="clear" w:color="auto" w:fill="F5F5F5"/>
          </w:tcPr>
          <w:p w14:paraId="029B29CB" w14:textId="32883EA1"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59F0C3E" w14:textId="5EC4DDB2"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11A5628C" w14:textId="219259AD" w:rsidR="00E43412" w:rsidRPr="00DB248E" w:rsidRDefault="00E43412" w:rsidP="00DB248E">
            <w:pPr>
              <w:rPr>
                <w:sz w:val="16"/>
                <w:szCs w:val="16"/>
              </w:rPr>
            </w:pPr>
          </w:p>
        </w:tc>
      </w:tr>
      <w:tr w:rsidR="00E00AB4" w:rsidRPr="007833D8" w14:paraId="1C1DE048" w14:textId="10C24BE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1797713" w14:textId="77777777" w:rsidR="00E43412" w:rsidRPr="00DB248E" w:rsidRDefault="00E43412" w:rsidP="00065B26">
            <w:pPr>
              <w:rPr>
                <w:sz w:val="16"/>
                <w:szCs w:val="16"/>
              </w:rPr>
            </w:pPr>
            <w:r w:rsidRPr="00DB248E">
              <w:rPr>
                <w:sz w:val="16"/>
                <w:szCs w:val="16"/>
              </w:rPr>
              <w:t xml:space="preserve">    Fever</w:t>
            </w:r>
          </w:p>
        </w:tc>
        <w:tc>
          <w:tcPr>
            <w:tcW w:w="813" w:type="dxa"/>
            <w:tcBorders>
              <w:top w:val="nil"/>
              <w:left w:val="nil"/>
              <w:bottom w:val="dotted" w:sz="2" w:space="0" w:color="000000"/>
            </w:tcBorders>
            <w:shd w:val="clear" w:color="auto" w:fill="F5F5F5"/>
          </w:tcPr>
          <w:p w14:paraId="08E7D6B6" w14:textId="0DDE66A0"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4124B126" w14:textId="2813C27F"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37ACDF03" w14:textId="191948B9"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DF4589E" w14:textId="7A0798BA"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21F8A022" w14:textId="107B0844"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5A240035" w14:textId="06871120" w:rsidR="00E43412" w:rsidRPr="00DB248E" w:rsidRDefault="00E43412" w:rsidP="00DB248E">
            <w:pPr>
              <w:rPr>
                <w:sz w:val="16"/>
                <w:szCs w:val="16"/>
              </w:rPr>
            </w:pPr>
          </w:p>
        </w:tc>
      </w:tr>
      <w:tr w:rsidR="00E00AB4" w:rsidRPr="007833D8" w14:paraId="153394AE" w14:textId="3228D283"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9D768E4" w14:textId="77777777" w:rsidR="00E43412" w:rsidRPr="00DB248E" w:rsidRDefault="00E43412" w:rsidP="00065B26">
            <w:pPr>
              <w:rPr>
                <w:sz w:val="16"/>
                <w:szCs w:val="16"/>
              </w:rPr>
            </w:pPr>
            <w:r w:rsidRPr="00DB248E">
              <w:rPr>
                <w:sz w:val="16"/>
                <w:szCs w:val="16"/>
              </w:rPr>
              <w:t xml:space="preserve">    Pain</w:t>
            </w:r>
          </w:p>
        </w:tc>
        <w:tc>
          <w:tcPr>
            <w:tcW w:w="813" w:type="dxa"/>
            <w:tcBorders>
              <w:top w:val="nil"/>
              <w:left w:val="nil"/>
              <w:bottom w:val="dotted" w:sz="2" w:space="0" w:color="000000"/>
            </w:tcBorders>
            <w:shd w:val="clear" w:color="auto" w:fill="F5F5F5"/>
          </w:tcPr>
          <w:p w14:paraId="6320BC96" w14:textId="16D1C5F8"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79EFADE4" w14:textId="08A48880"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7AEEF724" w14:textId="2B153BF7"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C8C0EE6" w14:textId="68AA45AD"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42459E8" w14:textId="673FDA9B"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6199F6A4" w14:textId="06A8B2D9" w:rsidR="00E43412" w:rsidRPr="00DB248E" w:rsidRDefault="00E43412" w:rsidP="00DB248E">
            <w:pPr>
              <w:rPr>
                <w:sz w:val="16"/>
                <w:szCs w:val="16"/>
              </w:rPr>
            </w:pPr>
          </w:p>
        </w:tc>
      </w:tr>
      <w:tr w:rsidR="00E00AB4" w:rsidRPr="007833D8" w14:paraId="36C5CCA4" w14:textId="6A97D7DA"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76DB977F"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5E40C413" w14:textId="323BF7CC"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75AEECBC" w14:textId="419E29F2"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52BCCE59" w14:textId="6BBC04C6"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0451575" w14:textId="2710144C"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554FD46" w14:textId="2EE75E88"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0885431F" w14:textId="10E1E77B" w:rsidR="00E43412" w:rsidRPr="00DB248E" w:rsidRDefault="00E43412" w:rsidP="00DB248E">
            <w:pPr>
              <w:rPr>
                <w:sz w:val="16"/>
                <w:szCs w:val="16"/>
              </w:rPr>
            </w:pPr>
          </w:p>
        </w:tc>
      </w:tr>
      <w:tr w:rsidR="00E00AB4" w:rsidRPr="007833D8" w14:paraId="6191BC9D" w14:textId="7B6CA3D2"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D4879FB" w14:textId="77777777" w:rsidR="00E43412" w:rsidRPr="00DB248E" w:rsidRDefault="00E43412" w:rsidP="00065B26">
            <w:pPr>
              <w:rPr>
                <w:sz w:val="16"/>
                <w:szCs w:val="16"/>
              </w:rPr>
            </w:pPr>
            <w:r w:rsidRPr="00DB248E">
              <w:rPr>
                <w:sz w:val="16"/>
                <w:szCs w:val="16"/>
              </w:rPr>
              <w:t>HEPATOBILIARY DISORDERS</w:t>
            </w:r>
          </w:p>
        </w:tc>
        <w:tc>
          <w:tcPr>
            <w:tcW w:w="813" w:type="dxa"/>
            <w:tcBorders>
              <w:top w:val="nil"/>
              <w:left w:val="nil"/>
              <w:bottom w:val="dotted" w:sz="2" w:space="0" w:color="000000"/>
            </w:tcBorders>
            <w:shd w:val="clear" w:color="auto" w:fill="F5F5F5"/>
          </w:tcPr>
          <w:p w14:paraId="11D5ABE6"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4D304CBA"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50FC61EC"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7D457937"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D48350E"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06284084" w14:textId="77777777" w:rsidR="00E43412" w:rsidRPr="00DB248E" w:rsidRDefault="00E43412" w:rsidP="00DB248E">
            <w:pPr>
              <w:rPr>
                <w:sz w:val="16"/>
                <w:szCs w:val="16"/>
              </w:rPr>
            </w:pPr>
          </w:p>
        </w:tc>
      </w:tr>
      <w:tr w:rsidR="00E00AB4" w:rsidRPr="007833D8" w14:paraId="10F80009" w14:textId="513FC71E"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0AAE0AF"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16C6A876"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5E39732F"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5D04B461" w14:textId="79B3244F" w:rsidR="00E43412" w:rsidRPr="00DB248E" w:rsidRDefault="00E43412" w:rsidP="001706A2">
            <w:pPr>
              <w:rPr>
                <w:sz w:val="16"/>
                <w:szCs w:val="16"/>
              </w:rPr>
            </w:pPr>
            <w:r w:rsidRPr="00DB248E">
              <w:rPr>
                <w:sz w:val="16"/>
                <w:szCs w:val="16"/>
              </w:rPr>
              <w:t>1 (5)</w:t>
            </w:r>
          </w:p>
        </w:tc>
        <w:tc>
          <w:tcPr>
            <w:tcW w:w="540" w:type="dxa"/>
            <w:tcBorders>
              <w:top w:val="nil"/>
              <w:bottom w:val="dotted" w:sz="2" w:space="0" w:color="000000"/>
            </w:tcBorders>
            <w:shd w:val="clear" w:color="auto" w:fill="F5F5F5"/>
          </w:tcPr>
          <w:p w14:paraId="1888D312"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5416073F"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6C20CE15" w14:textId="457A1973" w:rsidR="00E43412" w:rsidRPr="00DB248E" w:rsidRDefault="00E43412" w:rsidP="00DB248E">
            <w:pPr>
              <w:rPr>
                <w:sz w:val="16"/>
                <w:szCs w:val="16"/>
              </w:rPr>
            </w:pPr>
          </w:p>
        </w:tc>
      </w:tr>
      <w:tr w:rsidR="00E00AB4" w:rsidRPr="007833D8" w14:paraId="379F5400" w14:textId="418EDF6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5261571" w14:textId="77777777" w:rsidR="00E43412" w:rsidRPr="00DB248E" w:rsidRDefault="00E43412" w:rsidP="00065B26">
            <w:pPr>
              <w:rPr>
                <w:sz w:val="16"/>
                <w:szCs w:val="16"/>
              </w:rPr>
            </w:pPr>
            <w:r w:rsidRPr="00DB248E">
              <w:rPr>
                <w:sz w:val="16"/>
                <w:szCs w:val="16"/>
              </w:rPr>
              <w:t>INFECTIONS AND INFESTATIONS</w:t>
            </w:r>
          </w:p>
        </w:tc>
        <w:tc>
          <w:tcPr>
            <w:tcW w:w="813" w:type="dxa"/>
            <w:tcBorders>
              <w:top w:val="nil"/>
              <w:left w:val="nil"/>
              <w:bottom w:val="dotted" w:sz="2" w:space="0" w:color="000000"/>
            </w:tcBorders>
            <w:shd w:val="clear" w:color="auto" w:fill="F5F5F5"/>
          </w:tcPr>
          <w:p w14:paraId="211E7D11"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29B0C38D"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7D4AD1E9"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3A63C1BE"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200C77A8"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19573583" w14:textId="77777777" w:rsidR="00E43412" w:rsidRPr="00DB248E" w:rsidRDefault="00E43412" w:rsidP="00DB248E">
            <w:pPr>
              <w:rPr>
                <w:sz w:val="16"/>
                <w:szCs w:val="16"/>
              </w:rPr>
            </w:pPr>
          </w:p>
        </w:tc>
      </w:tr>
      <w:tr w:rsidR="00E00AB4" w:rsidRPr="007833D8" w14:paraId="715DCCB3" w14:textId="41AC8F06"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876C8EE"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13F7A802"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1EF50B80"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39C6FEDF"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222C94E5"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2358CD8A"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20D1F164" w14:textId="77777777" w:rsidR="00E43412" w:rsidRPr="00DB248E" w:rsidRDefault="00E43412" w:rsidP="00DB248E">
            <w:pPr>
              <w:rPr>
                <w:sz w:val="16"/>
                <w:szCs w:val="16"/>
              </w:rPr>
            </w:pPr>
          </w:p>
        </w:tc>
      </w:tr>
      <w:tr w:rsidR="00E00AB4" w:rsidRPr="007833D8" w14:paraId="5A89CF39" w14:textId="31263D08"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5FC53D77" w14:textId="77777777" w:rsidR="00E43412" w:rsidRPr="00DB248E" w:rsidRDefault="00E43412" w:rsidP="00065B26">
            <w:pPr>
              <w:rPr>
                <w:sz w:val="16"/>
                <w:szCs w:val="16"/>
              </w:rPr>
            </w:pPr>
            <w:r w:rsidRPr="00DB248E">
              <w:rPr>
                <w:sz w:val="16"/>
                <w:szCs w:val="16"/>
              </w:rPr>
              <w:t>INVESTIGATIONS</w:t>
            </w:r>
          </w:p>
        </w:tc>
        <w:tc>
          <w:tcPr>
            <w:tcW w:w="813" w:type="dxa"/>
            <w:tcBorders>
              <w:top w:val="nil"/>
              <w:left w:val="nil"/>
              <w:bottom w:val="dotted" w:sz="2" w:space="0" w:color="000000"/>
            </w:tcBorders>
            <w:shd w:val="clear" w:color="auto" w:fill="F5F5F5"/>
          </w:tcPr>
          <w:p w14:paraId="23001C1F"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56439E49"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7B1C4C3B"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07A55AFD"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DA05095"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3A405891" w14:textId="77777777" w:rsidR="00E43412" w:rsidRPr="00DB248E" w:rsidRDefault="00E43412" w:rsidP="00DB248E">
            <w:pPr>
              <w:rPr>
                <w:sz w:val="16"/>
                <w:szCs w:val="16"/>
              </w:rPr>
            </w:pPr>
          </w:p>
        </w:tc>
      </w:tr>
      <w:tr w:rsidR="00E00AB4" w:rsidRPr="007833D8" w14:paraId="747A899A" w14:textId="51929701"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7B01F807" w14:textId="530EA622" w:rsidR="00E43412" w:rsidRPr="00DB248E" w:rsidRDefault="00E43412" w:rsidP="00065B26">
            <w:pPr>
              <w:rPr>
                <w:sz w:val="16"/>
                <w:szCs w:val="16"/>
              </w:rPr>
            </w:pPr>
            <w:r w:rsidRPr="00DB248E">
              <w:rPr>
                <w:sz w:val="16"/>
                <w:szCs w:val="16"/>
              </w:rPr>
              <w:t xml:space="preserve">    Gamma GT increased</w:t>
            </w:r>
          </w:p>
        </w:tc>
        <w:tc>
          <w:tcPr>
            <w:tcW w:w="813" w:type="dxa"/>
            <w:tcBorders>
              <w:top w:val="nil"/>
              <w:left w:val="nil"/>
              <w:bottom w:val="dotted" w:sz="2" w:space="0" w:color="000000"/>
            </w:tcBorders>
            <w:shd w:val="clear" w:color="auto" w:fill="F5F5F5"/>
          </w:tcPr>
          <w:p w14:paraId="7FB7E384" w14:textId="21B5D923"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4CA03D35" w14:textId="5857E409"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3A58F6A4" w14:textId="3ED422AF"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01FAC9FF" w14:textId="6B435F40"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0D23FC01" w14:textId="12AA05A0"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388766F7" w14:textId="782F1A5B" w:rsidR="00E43412" w:rsidRPr="00DB248E" w:rsidRDefault="00E43412" w:rsidP="00DB248E">
            <w:pPr>
              <w:rPr>
                <w:sz w:val="16"/>
                <w:szCs w:val="16"/>
              </w:rPr>
            </w:pPr>
          </w:p>
        </w:tc>
      </w:tr>
      <w:tr w:rsidR="00E00AB4" w:rsidRPr="007833D8" w14:paraId="7ACC69EA" w14:textId="3D85EFD5"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BFDD2EE" w14:textId="02632282" w:rsidR="00E43412" w:rsidRPr="00DB248E" w:rsidRDefault="00E43412" w:rsidP="00065B26">
            <w:pPr>
              <w:rPr>
                <w:sz w:val="16"/>
                <w:szCs w:val="16"/>
              </w:rPr>
            </w:pPr>
            <w:r w:rsidRPr="00DB248E">
              <w:rPr>
                <w:sz w:val="16"/>
                <w:szCs w:val="16"/>
              </w:rPr>
              <w:t xml:space="preserve">    Weight gain</w:t>
            </w:r>
          </w:p>
        </w:tc>
        <w:tc>
          <w:tcPr>
            <w:tcW w:w="813" w:type="dxa"/>
            <w:tcBorders>
              <w:top w:val="nil"/>
              <w:left w:val="nil"/>
              <w:bottom w:val="dotted" w:sz="2" w:space="0" w:color="000000"/>
            </w:tcBorders>
            <w:shd w:val="clear" w:color="auto" w:fill="F5F5F5"/>
          </w:tcPr>
          <w:p w14:paraId="564E8E54" w14:textId="5302D838" w:rsidR="00E43412" w:rsidRPr="00DB248E" w:rsidRDefault="00E43412" w:rsidP="00490E17">
            <w:pPr>
              <w:rPr>
                <w:sz w:val="16"/>
                <w:szCs w:val="16"/>
              </w:rPr>
            </w:pPr>
            <w:r w:rsidRPr="00DB248E">
              <w:rPr>
                <w:sz w:val="16"/>
                <w:szCs w:val="16"/>
              </w:rPr>
              <w:t xml:space="preserve"> </w:t>
            </w:r>
          </w:p>
        </w:tc>
        <w:tc>
          <w:tcPr>
            <w:tcW w:w="900" w:type="dxa"/>
            <w:tcBorders>
              <w:top w:val="nil"/>
              <w:bottom w:val="dotted" w:sz="2" w:space="0" w:color="000000"/>
            </w:tcBorders>
            <w:shd w:val="clear" w:color="auto" w:fill="F5F5F5"/>
          </w:tcPr>
          <w:p w14:paraId="1EB6FF17" w14:textId="2F2DB164"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6D64CF46" w14:textId="06FB0307" w:rsidR="00E43412" w:rsidRPr="00DB248E" w:rsidRDefault="00E43412" w:rsidP="001706A2">
            <w:pPr>
              <w:rPr>
                <w:sz w:val="16"/>
                <w:szCs w:val="16"/>
              </w:rPr>
            </w:pPr>
            <w:r w:rsidRPr="00DB248E">
              <w:rPr>
                <w:sz w:val="16"/>
                <w:szCs w:val="16"/>
              </w:rPr>
              <w:t>1 (5)</w:t>
            </w:r>
          </w:p>
        </w:tc>
        <w:tc>
          <w:tcPr>
            <w:tcW w:w="540" w:type="dxa"/>
            <w:tcBorders>
              <w:top w:val="nil"/>
              <w:bottom w:val="dotted" w:sz="2" w:space="0" w:color="000000"/>
            </w:tcBorders>
            <w:shd w:val="clear" w:color="auto" w:fill="F5F5F5"/>
          </w:tcPr>
          <w:p w14:paraId="4F7099EE" w14:textId="66AFD1C6"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2DCE0FB6" w14:textId="40F44FB5"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553D8132" w14:textId="4212FD22" w:rsidR="00E43412" w:rsidRPr="00DB248E" w:rsidRDefault="00E43412" w:rsidP="00DB248E">
            <w:pPr>
              <w:rPr>
                <w:sz w:val="16"/>
                <w:szCs w:val="16"/>
              </w:rPr>
            </w:pPr>
          </w:p>
        </w:tc>
      </w:tr>
      <w:tr w:rsidR="00E00AB4" w:rsidRPr="007833D8" w14:paraId="2772F653" w14:textId="3392515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F082115" w14:textId="602FD69F" w:rsidR="00E43412" w:rsidRPr="00DB248E" w:rsidRDefault="00E43412" w:rsidP="00065B26">
            <w:pPr>
              <w:rPr>
                <w:sz w:val="16"/>
                <w:szCs w:val="16"/>
              </w:rPr>
            </w:pPr>
            <w:r w:rsidRPr="00DB248E">
              <w:rPr>
                <w:sz w:val="16"/>
                <w:szCs w:val="16"/>
              </w:rPr>
              <w:t xml:space="preserve">    Weight loss</w:t>
            </w:r>
          </w:p>
        </w:tc>
        <w:tc>
          <w:tcPr>
            <w:tcW w:w="813" w:type="dxa"/>
            <w:tcBorders>
              <w:top w:val="nil"/>
              <w:left w:val="nil"/>
              <w:bottom w:val="dotted" w:sz="2" w:space="0" w:color="000000"/>
            </w:tcBorders>
            <w:shd w:val="clear" w:color="auto" w:fill="F5F5F5"/>
          </w:tcPr>
          <w:p w14:paraId="0F46C827" w14:textId="0338A128"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29794255" w14:textId="2E8B2006"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2BF27944" w14:textId="2A584B44"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1022FCFF" w14:textId="184C4C51"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29508D91" w14:textId="42188662"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1253BFBB" w14:textId="6D85E6BA" w:rsidR="00E43412" w:rsidRPr="00DB248E" w:rsidRDefault="00E43412" w:rsidP="00DB248E">
            <w:pPr>
              <w:rPr>
                <w:sz w:val="16"/>
                <w:szCs w:val="16"/>
              </w:rPr>
            </w:pPr>
          </w:p>
        </w:tc>
      </w:tr>
      <w:tr w:rsidR="00E00AB4" w:rsidRPr="007833D8" w14:paraId="51DA133B" w14:textId="31EF2A6C" w:rsidTr="00BD5140">
        <w:trPr>
          <w:cantSplit/>
          <w:trHeight w:hRule="exact" w:val="469"/>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06084C7" w14:textId="77777777" w:rsidR="00E43412" w:rsidRPr="00DB248E" w:rsidRDefault="00E43412" w:rsidP="00065B26">
            <w:pPr>
              <w:rPr>
                <w:sz w:val="16"/>
                <w:szCs w:val="16"/>
              </w:rPr>
            </w:pPr>
            <w:r w:rsidRPr="00DB248E">
              <w:rPr>
                <w:sz w:val="16"/>
                <w:szCs w:val="16"/>
              </w:rPr>
              <w:t>METABOLISM AND NUTRITION DISORDERS</w:t>
            </w:r>
          </w:p>
        </w:tc>
        <w:tc>
          <w:tcPr>
            <w:tcW w:w="813" w:type="dxa"/>
            <w:tcBorders>
              <w:top w:val="nil"/>
              <w:left w:val="nil"/>
              <w:bottom w:val="dotted" w:sz="2" w:space="0" w:color="000000"/>
            </w:tcBorders>
            <w:shd w:val="clear" w:color="auto" w:fill="F5F5F5"/>
          </w:tcPr>
          <w:p w14:paraId="3F3B41A2"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5F51B9DE"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5D546791"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0A16116D"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0BA73DB8"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29F77B62" w14:textId="77777777" w:rsidR="00E43412" w:rsidRPr="00DB248E" w:rsidRDefault="00E43412" w:rsidP="00DB248E">
            <w:pPr>
              <w:rPr>
                <w:sz w:val="16"/>
                <w:szCs w:val="16"/>
              </w:rPr>
            </w:pPr>
          </w:p>
        </w:tc>
      </w:tr>
      <w:tr w:rsidR="00E00AB4" w:rsidRPr="007833D8" w14:paraId="093AF702" w14:textId="164539A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62092E1" w14:textId="77777777" w:rsidR="00E43412" w:rsidRPr="00DB248E" w:rsidRDefault="00E43412" w:rsidP="00065B26">
            <w:pPr>
              <w:rPr>
                <w:sz w:val="16"/>
                <w:szCs w:val="16"/>
              </w:rPr>
            </w:pPr>
            <w:r w:rsidRPr="00DB248E">
              <w:rPr>
                <w:sz w:val="16"/>
                <w:szCs w:val="16"/>
              </w:rPr>
              <w:t xml:space="preserve">    Anorexia</w:t>
            </w:r>
          </w:p>
        </w:tc>
        <w:tc>
          <w:tcPr>
            <w:tcW w:w="813" w:type="dxa"/>
            <w:tcBorders>
              <w:top w:val="nil"/>
              <w:left w:val="nil"/>
              <w:bottom w:val="dotted" w:sz="2" w:space="0" w:color="000000"/>
            </w:tcBorders>
            <w:shd w:val="clear" w:color="auto" w:fill="F5F5F5"/>
          </w:tcPr>
          <w:p w14:paraId="78C116A6" w14:textId="1CBCCEBA"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228EE8D9" w14:textId="1253817A"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5F87A120" w14:textId="289AD8DF"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713D2FB9" w14:textId="577EBBA7"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535CCA03" w14:textId="33F1CAF0"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9BEAE08" w14:textId="44F1648E" w:rsidR="00E43412" w:rsidRPr="00DB248E" w:rsidRDefault="00E43412" w:rsidP="00DB248E">
            <w:pPr>
              <w:rPr>
                <w:sz w:val="16"/>
                <w:szCs w:val="16"/>
              </w:rPr>
            </w:pPr>
          </w:p>
        </w:tc>
      </w:tr>
      <w:tr w:rsidR="00E00AB4" w:rsidRPr="00D87A2F" w14:paraId="298CF670" w14:textId="132733B0" w:rsidTr="00BD5140">
        <w:trPr>
          <w:cantSplit/>
          <w:trHeight w:hRule="exact" w:val="442"/>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1F0F507" w14:textId="77777777" w:rsidR="00E43412" w:rsidRPr="00DB248E" w:rsidRDefault="00E43412" w:rsidP="00065B26">
            <w:pPr>
              <w:rPr>
                <w:sz w:val="16"/>
                <w:szCs w:val="16"/>
              </w:rPr>
            </w:pPr>
            <w:r w:rsidRPr="00DB248E">
              <w:rPr>
                <w:sz w:val="16"/>
                <w:szCs w:val="16"/>
              </w:rPr>
              <w:t>MUSCULOSKELETAL AND CONNECTIVE TISSUE DISORDERS</w:t>
            </w:r>
          </w:p>
        </w:tc>
        <w:tc>
          <w:tcPr>
            <w:tcW w:w="813" w:type="dxa"/>
            <w:tcBorders>
              <w:top w:val="nil"/>
              <w:left w:val="nil"/>
              <w:bottom w:val="dotted" w:sz="2" w:space="0" w:color="000000"/>
            </w:tcBorders>
            <w:shd w:val="clear" w:color="auto" w:fill="F5F5F5"/>
          </w:tcPr>
          <w:p w14:paraId="61F6A50D"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4E26D3D1"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4298C893"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7A538C76"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72407BA2"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2ED3DDEE" w14:textId="77777777" w:rsidR="00E43412" w:rsidRPr="00DB248E" w:rsidRDefault="00E43412" w:rsidP="00DB248E">
            <w:pPr>
              <w:rPr>
                <w:sz w:val="16"/>
                <w:szCs w:val="16"/>
              </w:rPr>
            </w:pPr>
          </w:p>
        </w:tc>
      </w:tr>
      <w:tr w:rsidR="00E00AB4" w:rsidRPr="007833D8" w14:paraId="0A041A8F" w14:textId="10F5B27B"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FD6E3E8" w14:textId="77777777" w:rsidR="00E43412" w:rsidRPr="00DB248E" w:rsidRDefault="00E43412" w:rsidP="00065B26">
            <w:pPr>
              <w:rPr>
                <w:sz w:val="16"/>
                <w:szCs w:val="16"/>
              </w:rPr>
            </w:pPr>
            <w:r w:rsidRPr="00DB248E">
              <w:rPr>
                <w:sz w:val="16"/>
                <w:szCs w:val="16"/>
              </w:rPr>
              <w:t xml:space="preserve">    Arthralgia</w:t>
            </w:r>
          </w:p>
        </w:tc>
        <w:tc>
          <w:tcPr>
            <w:tcW w:w="813" w:type="dxa"/>
            <w:tcBorders>
              <w:top w:val="nil"/>
              <w:left w:val="nil"/>
              <w:bottom w:val="dotted" w:sz="2" w:space="0" w:color="000000"/>
            </w:tcBorders>
            <w:shd w:val="clear" w:color="auto" w:fill="F5F5F5"/>
          </w:tcPr>
          <w:p w14:paraId="3CCCC2F2"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165F827A"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691D3D83"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21CDB776"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C0400C8"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709EED78" w14:textId="77777777" w:rsidR="00E43412" w:rsidRPr="00DB248E" w:rsidRDefault="00E43412" w:rsidP="00DB248E">
            <w:pPr>
              <w:rPr>
                <w:sz w:val="16"/>
                <w:szCs w:val="16"/>
              </w:rPr>
            </w:pPr>
          </w:p>
        </w:tc>
      </w:tr>
      <w:tr w:rsidR="00E00AB4" w:rsidRPr="007833D8" w14:paraId="19A076A1" w14:textId="1C08F55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F616EBB"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1EB85E2D" w14:textId="551E2AE5"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2201A2D7" w14:textId="01607D38"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33D0D850" w14:textId="6DB081A4"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6E075677" w14:textId="276A688B"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2A8D1888" w14:textId="3839542B"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01F2D248" w14:textId="7BAB8681" w:rsidR="00E43412" w:rsidRPr="00DB248E" w:rsidRDefault="00E43412" w:rsidP="00DB248E">
            <w:pPr>
              <w:rPr>
                <w:sz w:val="16"/>
                <w:szCs w:val="16"/>
              </w:rPr>
            </w:pPr>
          </w:p>
        </w:tc>
      </w:tr>
      <w:tr w:rsidR="00E00AB4" w:rsidRPr="00D87A2F" w14:paraId="4EE41AAA" w14:textId="5B79C276" w:rsidTr="00BD5140">
        <w:trPr>
          <w:cantSplit/>
          <w:trHeight w:hRule="exact" w:val="478"/>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BF3C11A" w14:textId="77777777" w:rsidR="00E43412" w:rsidRPr="00DB248E" w:rsidRDefault="00E43412" w:rsidP="00065B26">
            <w:pPr>
              <w:rPr>
                <w:sz w:val="16"/>
                <w:szCs w:val="16"/>
              </w:rPr>
            </w:pPr>
            <w:r w:rsidRPr="00DB248E">
              <w:rPr>
                <w:sz w:val="16"/>
                <w:szCs w:val="16"/>
              </w:rPr>
              <w:t>NEOPLASMS BENIGN, MALIGNANT AND UNSPECIFIED (INCL CYSTS AND POLYPS)</w:t>
            </w:r>
          </w:p>
        </w:tc>
        <w:tc>
          <w:tcPr>
            <w:tcW w:w="813" w:type="dxa"/>
            <w:tcBorders>
              <w:top w:val="nil"/>
              <w:left w:val="nil"/>
              <w:bottom w:val="dotted" w:sz="2" w:space="0" w:color="000000"/>
            </w:tcBorders>
            <w:shd w:val="clear" w:color="auto" w:fill="F5F5F5"/>
          </w:tcPr>
          <w:p w14:paraId="69260C72"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73B8719D"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05EB8C13"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38696814"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3ECAA36E"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7EEC7678" w14:textId="77777777" w:rsidR="00E43412" w:rsidRPr="00DB248E" w:rsidRDefault="00E43412" w:rsidP="00DB248E">
            <w:pPr>
              <w:rPr>
                <w:sz w:val="16"/>
                <w:szCs w:val="16"/>
              </w:rPr>
            </w:pPr>
          </w:p>
        </w:tc>
      </w:tr>
      <w:tr w:rsidR="00E00AB4" w:rsidRPr="007833D8" w14:paraId="0F329A69" w14:textId="5089CCA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FDFC021" w14:textId="77777777" w:rsidR="00E43412" w:rsidRPr="00DB248E" w:rsidRDefault="00E43412" w:rsidP="00065B26">
            <w:pPr>
              <w:rPr>
                <w:sz w:val="16"/>
                <w:szCs w:val="16"/>
              </w:rPr>
            </w:pPr>
            <w:r w:rsidRPr="00DB248E">
              <w:rPr>
                <w:sz w:val="16"/>
                <w:szCs w:val="16"/>
              </w:rPr>
              <w:t xml:space="preserve">    Tumor Pain</w:t>
            </w:r>
          </w:p>
        </w:tc>
        <w:tc>
          <w:tcPr>
            <w:tcW w:w="813" w:type="dxa"/>
            <w:tcBorders>
              <w:top w:val="nil"/>
              <w:left w:val="nil"/>
              <w:bottom w:val="dotted" w:sz="2" w:space="0" w:color="000000"/>
            </w:tcBorders>
            <w:shd w:val="clear" w:color="auto" w:fill="F5F5F5"/>
          </w:tcPr>
          <w:p w14:paraId="517E2F6A"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70EDC72D"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6CFF0919"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0F0CF8C0"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7FAF8A2E"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0C54FBE7" w14:textId="77777777" w:rsidR="00E43412" w:rsidRPr="00DB248E" w:rsidRDefault="00E43412" w:rsidP="00DB248E">
            <w:pPr>
              <w:rPr>
                <w:sz w:val="16"/>
                <w:szCs w:val="16"/>
              </w:rPr>
            </w:pPr>
          </w:p>
        </w:tc>
      </w:tr>
      <w:tr w:rsidR="00E00AB4" w:rsidRPr="007833D8" w14:paraId="37C9F672" w14:textId="335083B1"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35A59D4" w14:textId="77777777" w:rsidR="00E43412" w:rsidRPr="00DB248E" w:rsidRDefault="00E43412" w:rsidP="00065B26">
            <w:pPr>
              <w:rPr>
                <w:sz w:val="16"/>
                <w:szCs w:val="16"/>
              </w:rPr>
            </w:pPr>
            <w:r w:rsidRPr="00DB248E">
              <w:rPr>
                <w:sz w:val="16"/>
                <w:szCs w:val="16"/>
              </w:rPr>
              <w:t>NERVOUS SYSTEM DISORDERS</w:t>
            </w:r>
          </w:p>
        </w:tc>
        <w:tc>
          <w:tcPr>
            <w:tcW w:w="813" w:type="dxa"/>
            <w:tcBorders>
              <w:top w:val="nil"/>
              <w:left w:val="nil"/>
              <w:bottom w:val="dotted" w:sz="2" w:space="0" w:color="000000"/>
            </w:tcBorders>
            <w:shd w:val="clear" w:color="auto" w:fill="F5F5F5"/>
          </w:tcPr>
          <w:p w14:paraId="32D8EEAD"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4749205D"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5B6B6E7E"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437AC864"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58667E64"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6F0BA8E7" w14:textId="77777777" w:rsidR="00E43412" w:rsidRPr="00DB248E" w:rsidRDefault="00E43412" w:rsidP="00DB248E">
            <w:pPr>
              <w:rPr>
                <w:sz w:val="16"/>
                <w:szCs w:val="16"/>
              </w:rPr>
            </w:pPr>
          </w:p>
        </w:tc>
      </w:tr>
      <w:tr w:rsidR="00E00AB4" w:rsidRPr="007833D8" w14:paraId="2301E9F2" w14:textId="2D5B994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43E5B498" w14:textId="77777777" w:rsidR="00E43412" w:rsidRPr="00DB248E" w:rsidRDefault="00E43412" w:rsidP="00065B26">
            <w:pPr>
              <w:rPr>
                <w:sz w:val="16"/>
                <w:szCs w:val="16"/>
              </w:rPr>
            </w:pPr>
            <w:r w:rsidRPr="00DB248E">
              <w:rPr>
                <w:sz w:val="16"/>
                <w:szCs w:val="16"/>
              </w:rPr>
              <w:t xml:space="preserve">    Dizziness</w:t>
            </w:r>
          </w:p>
        </w:tc>
        <w:tc>
          <w:tcPr>
            <w:tcW w:w="813" w:type="dxa"/>
            <w:tcBorders>
              <w:top w:val="nil"/>
              <w:left w:val="nil"/>
              <w:bottom w:val="dotted" w:sz="2" w:space="0" w:color="000000"/>
            </w:tcBorders>
            <w:shd w:val="clear" w:color="auto" w:fill="F5F5F5"/>
          </w:tcPr>
          <w:p w14:paraId="2E153B0D" w14:textId="25CAAAAC"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7F8722E8" w14:textId="6B0253A3"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7E531F87" w14:textId="534F752C"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55ED8AFB" w14:textId="2A4EF4A0"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4F9B2A7" w14:textId="320B5739"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A47609F" w14:textId="7E540AC8" w:rsidR="00E43412" w:rsidRPr="00DB248E" w:rsidRDefault="00E43412" w:rsidP="00DB248E">
            <w:pPr>
              <w:rPr>
                <w:sz w:val="16"/>
                <w:szCs w:val="16"/>
              </w:rPr>
            </w:pPr>
          </w:p>
        </w:tc>
      </w:tr>
      <w:tr w:rsidR="00E00AB4" w:rsidRPr="007833D8" w14:paraId="5637391C" w14:textId="2F529731"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B78BB0A" w14:textId="77777777" w:rsidR="00E43412" w:rsidRPr="00DB248E" w:rsidRDefault="00E43412" w:rsidP="00065B26">
            <w:pPr>
              <w:rPr>
                <w:sz w:val="16"/>
                <w:szCs w:val="16"/>
              </w:rPr>
            </w:pPr>
            <w:r w:rsidRPr="00DB248E">
              <w:rPr>
                <w:sz w:val="16"/>
                <w:szCs w:val="16"/>
              </w:rPr>
              <w:t xml:space="preserve">    Dysgeusia</w:t>
            </w:r>
          </w:p>
        </w:tc>
        <w:tc>
          <w:tcPr>
            <w:tcW w:w="813" w:type="dxa"/>
            <w:tcBorders>
              <w:top w:val="nil"/>
              <w:left w:val="nil"/>
              <w:bottom w:val="dotted" w:sz="2" w:space="0" w:color="000000"/>
            </w:tcBorders>
            <w:shd w:val="clear" w:color="auto" w:fill="F5F5F5"/>
          </w:tcPr>
          <w:p w14:paraId="0E7F0E11" w14:textId="2E7D5697" w:rsidR="00E43412" w:rsidRPr="00DB248E" w:rsidRDefault="00E43412" w:rsidP="00490E17">
            <w:pPr>
              <w:rPr>
                <w:sz w:val="16"/>
                <w:szCs w:val="16"/>
              </w:rPr>
            </w:pPr>
            <w:r w:rsidRPr="00DB248E">
              <w:rPr>
                <w:sz w:val="16"/>
                <w:szCs w:val="16"/>
              </w:rPr>
              <w:t>5 (25)</w:t>
            </w:r>
          </w:p>
        </w:tc>
        <w:tc>
          <w:tcPr>
            <w:tcW w:w="900" w:type="dxa"/>
            <w:tcBorders>
              <w:top w:val="nil"/>
              <w:bottom w:val="dotted" w:sz="2" w:space="0" w:color="000000"/>
            </w:tcBorders>
            <w:shd w:val="clear" w:color="auto" w:fill="F5F5F5"/>
          </w:tcPr>
          <w:p w14:paraId="3B4B5ECB" w14:textId="196FA2D1"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55806990" w14:textId="6AC5FC19"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A5E8EA8" w14:textId="4865328F"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58939899" w14:textId="6D516BF1"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3152100E" w14:textId="792E87AC" w:rsidR="00E43412" w:rsidRPr="00DB248E" w:rsidRDefault="00E43412" w:rsidP="00DB248E">
            <w:pPr>
              <w:rPr>
                <w:sz w:val="16"/>
                <w:szCs w:val="16"/>
              </w:rPr>
            </w:pPr>
          </w:p>
        </w:tc>
      </w:tr>
      <w:tr w:rsidR="00E00AB4" w:rsidRPr="007833D8" w14:paraId="58249014" w14:textId="343EC732"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F96D398" w14:textId="77777777" w:rsidR="00E43412" w:rsidRPr="00DB248E" w:rsidRDefault="00E43412" w:rsidP="00065B26">
            <w:pPr>
              <w:rPr>
                <w:sz w:val="16"/>
                <w:szCs w:val="16"/>
              </w:rPr>
            </w:pPr>
            <w:r w:rsidRPr="00DB248E">
              <w:rPr>
                <w:sz w:val="16"/>
                <w:szCs w:val="16"/>
              </w:rPr>
              <w:t xml:space="preserve">    Headache</w:t>
            </w:r>
          </w:p>
        </w:tc>
        <w:tc>
          <w:tcPr>
            <w:tcW w:w="813" w:type="dxa"/>
            <w:tcBorders>
              <w:top w:val="nil"/>
              <w:left w:val="nil"/>
              <w:bottom w:val="dotted" w:sz="2" w:space="0" w:color="000000"/>
            </w:tcBorders>
            <w:shd w:val="clear" w:color="auto" w:fill="F5F5F5"/>
          </w:tcPr>
          <w:p w14:paraId="676CA865" w14:textId="0A0AC302"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4E8525B9" w14:textId="59E7D4BA"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65050DC9" w14:textId="2DD8DBD5"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0DEEC139" w14:textId="7376424F"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B775C16" w14:textId="1ADAB8E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4D146A32" w14:textId="0917DCC8" w:rsidR="00E43412" w:rsidRPr="00DB248E" w:rsidRDefault="00E43412" w:rsidP="00DB248E">
            <w:pPr>
              <w:rPr>
                <w:sz w:val="16"/>
                <w:szCs w:val="16"/>
              </w:rPr>
            </w:pPr>
          </w:p>
        </w:tc>
      </w:tr>
      <w:tr w:rsidR="00E00AB4" w:rsidRPr="007833D8" w14:paraId="1421E257" w14:textId="233ACE77"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73FC824D" w14:textId="17BDFC6B" w:rsidR="00E43412" w:rsidRPr="00DB248E" w:rsidRDefault="00E43412" w:rsidP="00065B26">
            <w:pPr>
              <w:rPr>
                <w:sz w:val="16"/>
                <w:szCs w:val="16"/>
              </w:rPr>
            </w:pPr>
            <w:r w:rsidRPr="00DB248E">
              <w:rPr>
                <w:sz w:val="16"/>
                <w:szCs w:val="16"/>
              </w:rPr>
              <w:t xml:space="preserve">    Peripheral motor neuropathy</w:t>
            </w:r>
          </w:p>
        </w:tc>
        <w:tc>
          <w:tcPr>
            <w:tcW w:w="813" w:type="dxa"/>
            <w:tcBorders>
              <w:top w:val="nil"/>
              <w:left w:val="nil"/>
              <w:bottom w:val="dotted" w:sz="2" w:space="0" w:color="000000"/>
            </w:tcBorders>
            <w:shd w:val="clear" w:color="auto" w:fill="F5F5F5"/>
          </w:tcPr>
          <w:p w14:paraId="220F7DF4" w14:textId="7F34A01A" w:rsidR="00E43412" w:rsidRPr="00DB248E" w:rsidRDefault="00E43412" w:rsidP="00490E17">
            <w:pPr>
              <w:rPr>
                <w:sz w:val="16"/>
                <w:szCs w:val="16"/>
              </w:rPr>
            </w:pPr>
            <w:r w:rsidRPr="00DB248E">
              <w:rPr>
                <w:sz w:val="16"/>
                <w:szCs w:val="16"/>
              </w:rPr>
              <w:t>3 (15)</w:t>
            </w:r>
          </w:p>
        </w:tc>
        <w:tc>
          <w:tcPr>
            <w:tcW w:w="900" w:type="dxa"/>
            <w:tcBorders>
              <w:top w:val="nil"/>
              <w:bottom w:val="dotted" w:sz="2" w:space="0" w:color="000000"/>
            </w:tcBorders>
            <w:shd w:val="clear" w:color="auto" w:fill="F5F5F5"/>
          </w:tcPr>
          <w:p w14:paraId="475FC17F" w14:textId="20EEF11F"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3F8F0665" w14:textId="09A4E67E"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6CF521B0" w14:textId="162B140B"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31A4457" w14:textId="0DAC9A2E"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71BC8A8E" w14:textId="737D8B8B" w:rsidR="00E43412" w:rsidRPr="00DB248E" w:rsidRDefault="00E43412" w:rsidP="00DB248E">
            <w:pPr>
              <w:rPr>
                <w:sz w:val="16"/>
                <w:szCs w:val="16"/>
              </w:rPr>
            </w:pPr>
          </w:p>
        </w:tc>
      </w:tr>
      <w:tr w:rsidR="00E00AB4" w:rsidRPr="007833D8" w14:paraId="2D10BDDA" w14:textId="691C585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72F4E04B" w14:textId="237A2AFE" w:rsidR="00E43412" w:rsidRPr="00DB248E" w:rsidRDefault="00E43412" w:rsidP="00065B26">
            <w:pPr>
              <w:rPr>
                <w:sz w:val="16"/>
                <w:szCs w:val="16"/>
              </w:rPr>
            </w:pPr>
            <w:r w:rsidRPr="00DB248E">
              <w:rPr>
                <w:sz w:val="16"/>
                <w:szCs w:val="16"/>
              </w:rPr>
              <w:t xml:space="preserve">    Peripheral sensory neuropathy</w:t>
            </w:r>
          </w:p>
        </w:tc>
        <w:tc>
          <w:tcPr>
            <w:tcW w:w="813" w:type="dxa"/>
            <w:tcBorders>
              <w:top w:val="nil"/>
              <w:left w:val="nil"/>
              <w:bottom w:val="dotted" w:sz="2" w:space="0" w:color="000000"/>
            </w:tcBorders>
            <w:shd w:val="clear" w:color="auto" w:fill="F5F5F5"/>
          </w:tcPr>
          <w:p w14:paraId="7F757A55"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58E31DB1"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1BF6F13C"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6B914DC8"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4061DA55"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0501BF48" w14:textId="77777777" w:rsidR="00E43412" w:rsidRPr="00DB248E" w:rsidRDefault="00E43412" w:rsidP="00DB248E">
            <w:pPr>
              <w:rPr>
                <w:sz w:val="16"/>
                <w:szCs w:val="16"/>
              </w:rPr>
            </w:pPr>
          </w:p>
        </w:tc>
      </w:tr>
      <w:tr w:rsidR="00E00AB4" w:rsidRPr="007833D8" w14:paraId="0FE04293" w14:textId="2F13DCD0"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2220F15" w14:textId="77777777" w:rsidR="00E43412" w:rsidRPr="00DB248E" w:rsidRDefault="00E43412" w:rsidP="00065B26">
            <w:pPr>
              <w:rPr>
                <w:sz w:val="16"/>
                <w:szCs w:val="16"/>
              </w:rPr>
            </w:pPr>
            <w:r w:rsidRPr="00DB248E">
              <w:rPr>
                <w:sz w:val="16"/>
                <w:szCs w:val="16"/>
              </w:rPr>
              <w:t>PSYCHIATRIC DISORDERS</w:t>
            </w:r>
          </w:p>
        </w:tc>
        <w:tc>
          <w:tcPr>
            <w:tcW w:w="813" w:type="dxa"/>
            <w:tcBorders>
              <w:top w:val="nil"/>
              <w:left w:val="nil"/>
              <w:bottom w:val="dotted" w:sz="2" w:space="0" w:color="000000"/>
            </w:tcBorders>
            <w:shd w:val="clear" w:color="auto" w:fill="F5F5F5"/>
          </w:tcPr>
          <w:p w14:paraId="280ADF1F"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441E6DA5"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5E61346C"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5224F923"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6F768EC0"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324F5031" w14:textId="77777777" w:rsidR="00E43412" w:rsidRPr="00DB248E" w:rsidRDefault="00E43412" w:rsidP="00DB248E">
            <w:pPr>
              <w:rPr>
                <w:sz w:val="16"/>
                <w:szCs w:val="16"/>
              </w:rPr>
            </w:pPr>
          </w:p>
        </w:tc>
      </w:tr>
      <w:tr w:rsidR="00E00AB4" w:rsidRPr="007833D8" w14:paraId="2410735C" w14:textId="27C425C5"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2966B076" w14:textId="77777777" w:rsidR="00E43412" w:rsidRPr="00DB248E" w:rsidRDefault="00E43412" w:rsidP="00065B26">
            <w:pPr>
              <w:rPr>
                <w:sz w:val="16"/>
                <w:szCs w:val="16"/>
              </w:rPr>
            </w:pPr>
            <w:r w:rsidRPr="00DB248E">
              <w:rPr>
                <w:sz w:val="16"/>
                <w:szCs w:val="16"/>
              </w:rPr>
              <w:t xml:space="preserve">    Anxiety</w:t>
            </w:r>
          </w:p>
        </w:tc>
        <w:tc>
          <w:tcPr>
            <w:tcW w:w="813" w:type="dxa"/>
            <w:tcBorders>
              <w:top w:val="nil"/>
              <w:left w:val="nil"/>
              <w:bottom w:val="dotted" w:sz="2" w:space="0" w:color="000000"/>
            </w:tcBorders>
            <w:shd w:val="clear" w:color="auto" w:fill="F5F5F5"/>
          </w:tcPr>
          <w:p w14:paraId="2AE9B25C"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626C4B50"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6F92185F"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52BDEC52"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5B1FF0B6"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736257AC" w14:textId="77777777" w:rsidR="00E43412" w:rsidRPr="00DB248E" w:rsidRDefault="00E43412" w:rsidP="00DB248E">
            <w:pPr>
              <w:rPr>
                <w:sz w:val="16"/>
                <w:szCs w:val="16"/>
              </w:rPr>
            </w:pPr>
          </w:p>
        </w:tc>
      </w:tr>
      <w:tr w:rsidR="00E00AB4" w:rsidRPr="00D87A2F" w14:paraId="087DECD6" w14:textId="1ECA4E5C" w:rsidTr="00BD5140">
        <w:trPr>
          <w:cantSplit/>
          <w:trHeight w:hRule="exact" w:val="325"/>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86546B1" w14:textId="77777777" w:rsidR="00E43412" w:rsidRPr="00DB248E" w:rsidRDefault="00E43412" w:rsidP="00065B26">
            <w:pPr>
              <w:rPr>
                <w:sz w:val="16"/>
                <w:szCs w:val="16"/>
              </w:rPr>
            </w:pPr>
            <w:r w:rsidRPr="00DB248E">
              <w:rPr>
                <w:sz w:val="16"/>
                <w:szCs w:val="16"/>
              </w:rPr>
              <w:t>RESPIRATORY, THORACIC AND MEDIASTINAL DISORDERS</w:t>
            </w:r>
          </w:p>
        </w:tc>
        <w:tc>
          <w:tcPr>
            <w:tcW w:w="813" w:type="dxa"/>
            <w:tcBorders>
              <w:top w:val="nil"/>
              <w:left w:val="nil"/>
              <w:bottom w:val="dotted" w:sz="2" w:space="0" w:color="000000"/>
            </w:tcBorders>
            <w:shd w:val="clear" w:color="auto" w:fill="F5F5F5"/>
          </w:tcPr>
          <w:p w14:paraId="522CD00D"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1C365825"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6BE0399D"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140F2264"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23A70E9A"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5AE7ED3B" w14:textId="77777777" w:rsidR="00E43412" w:rsidRPr="00DB248E" w:rsidRDefault="00E43412" w:rsidP="00DB248E">
            <w:pPr>
              <w:rPr>
                <w:sz w:val="16"/>
                <w:szCs w:val="16"/>
              </w:rPr>
            </w:pPr>
          </w:p>
        </w:tc>
      </w:tr>
      <w:tr w:rsidR="00E00AB4" w:rsidRPr="007833D8" w14:paraId="0E7EECF5" w14:textId="0E84CE9F"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61F37D8B" w14:textId="77777777" w:rsidR="00E43412" w:rsidRPr="00DB248E" w:rsidRDefault="00E43412" w:rsidP="00065B26">
            <w:pPr>
              <w:rPr>
                <w:sz w:val="16"/>
                <w:szCs w:val="16"/>
              </w:rPr>
            </w:pPr>
            <w:r w:rsidRPr="00DB248E">
              <w:rPr>
                <w:sz w:val="16"/>
                <w:szCs w:val="16"/>
              </w:rPr>
              <w:t xml:space="preserve">    Cough</w:t>
            </w:r>
          </w:p>
        </w:tc>
        <w:tc>
          <w:tcPr>
            <w:tcW w:w="813" w:type="dxa"/>
            <w:tcBorders>
              <w:top w:val="nil"/>
              <w:left w:val="nil"/>
              <w:bottom w:val="dotted" w:sz="2" w:space="0" w:color="000000"/>
            </w:tcBorders>
            <w:shd w:val="clear" w:color="auto" w:fill="F5F5F5"/>
          </w:tcPr>
          <w:p w14:paraId="17F7699A" w14:textId="365A5E03" w:rsidR="00E43412" w:rsidRPr="00DB248E" w:rsidRDefault="00E43412" w:rsidP="00490E17">
            <w:pPr>
              <w:rPr>
                <w:sz w:val="16"/>
                <w:szCs w:val="16"/>
              </w:rPr>
            </w:pPr>
            <w:r w:rsidRPr="00DB248E">
              <w:rPr>
                <w:sz w:val="16"/>
                <w:szCs w:val="16"/>
              </w:rPr>
              <w:t xml:space="preserve"> </w:t>
            </w:r>
          </w:p>
        </w:tc>
        <w:tc>
          <w:tcPr>
            <w:tcW w:w="900" w:type="dxa"/>
            <w:tcBorders>
              <w:top w:val="nil"/>
              <w:bottom w:val="dotted" w:sz="2" w:space="0" w:color="000000"/>
            </w:tcBorders>
            <w:shd w:val="clear" w:color="auto" w:fill="F5F5F5"/>
          </w:tcPr>
          <w:p w14:paraId="099B097F" w14:textId="43D573AE"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1BC80ABB" w14:textId="6EC3A4D6"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6450673F" w14:textId="6297A2A5"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7B95C861" w14:textId="6E478C59"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3C35320A" w14:textId="325F37C0" w:rsidR="00E43412" w:rsidRPr="00DB248E" w:rsidRDefault="00E43412" w:rsidP="00DB248E">
            <w:pPr>
              <w:rPr>
                <w:sz w:val="16"/>
                <w:szCs w:val="16"/>
              </w:rPr>
            </w:pPr>
          </w:p>
        </w:tc>
      </w:tr>
      <w:tr w:rsidR="00E00AB4" w:rsidRPr="007833D8" w14:paraId="5750722A" w14:textId="5FCD8CC3"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36553877" w14:textId="77777777" w:rsidR="00E43412" w:rsidRPr="00DB248E" w:rsidRDefault="00E43412" w:rsidP="00065B26">
            <w:pPr>
              <w:rPr>
                <w:sz w:val="16"/>
                <w:szCs w:val="16"/>
              </w:rPr>
            </w:pPr>
            <w:r w:rsidRPr="00DB248E">
              <w:rPr>
                <w:sz w:val="16"/>
                <w:szCs w:val="16"/>
              </w:rPr>
              <w:t xml:space="preserve">    Dyspnea</w:t>
            </w:r>
          </w:p>
        </w:tc>
        <w:tc>
          <w:tcPr>
            <w:tcW w:w="813" w:type="dxa"/>
            <w:tcBorders>
              <w:top w:val="nil"/>
              <w:left w:val="nil"/>
              <w:bottom w:val="dotted" w:sz="2" w:space="0" w:color="000000"/>
            </w:tcBorders>
            <w:shd w:val="clear" w:color="auto" w:fill="F5F5F5"/>
          </w:tcPr>
          <w:p w14:paraId="6B9DFA97" w14:textId="38672A72" w:rsidR="00E43412" w:rsidRPr="00DB248E" w:rsidRDefault="00E43412" w:rsidP="00490E17">
            <w:pPr>
              <w:rPr>
                <w:sz w:val="16"/>
                <w:szCs w:val="16"/>
              </w:rPr>
            </w:pPr>
            <w:r w:rsidRPr="00DB248E">
              <w:rPr>
                <w:sz w:val="16"/>
                <w:szCs w:val="16"/>
              </w:rPr>
              <w:t xml:space="preserve"> </w:t>
            </w:r>
          </w:p>
        </w:tc>
        <w:tc>
          <w:tcPr>
            <w:tcW w:w="900" w:type="dxa"/>
            <w:tcBorders>
              <w:top w:val="nil"/>
              <w:bottom w:val="dotted" w:sz="2" w:space="0" w:color="000000"/>
            </w:tcBorders>
            <w:shd w:val="clear" w:color="auto" w:fill="F5F5F5"/>
          </w:tcPr>
          <w:p w14:paraId="26A36652" w14:textId="68D432F9"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65992E2E" w14:textId="2FB47950"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408D851C" w14:textId="399EB965"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0385A51" w14:textId="193B2E89"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5CED926A" w14:textId="09EA9C17" w:rsidR="00E43412" w:rsidRPr="00DB248E" w:rsidRDefault="00E43412" w:rsidP="00DB248E">
            <w:pPr>
              <w:rPr>
                <w:sz w:val="16"/>
                <w:szCs w:val="16"/>
              </w:rPr>
            </w:pPr>
          </w:p>
        </w:tc>
      </w:tr>
      <w:tr w:rsidR="00E00AB4" w:rsidRPr="00D87A2F" w14:paraId="4B724144" w14:textId="2116E72B" w:rsidTr="00BD5140">
        <w:trPr>
          <w:cantSplit/>
          <w:trHeight w:hRule="exact" w:val="25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5CA687E" w14:textId="77777777" w:rsidR="00E43412" w:rsidRPr="00DB248E" w:rsidRDefault="00E43412" w:rsidP="00065B26">
            <w:pPr>
              <w:rPr>
                <w:sz w:val="16"/>
                <w:szCs w:val="16"/>
              </w:rPr>
            </w:pPr>
            <w:r w:rsidRPr="00DB248E">
              <w:rPr>
                <w:sz w:val="16"/>
                <w:szCs w:val="16"/>
              </w:rPr>
              <w:t>SKIN AND SUBCUTANEOUS TISSUE DISORDERS</w:t>
            </w:r>
          </w:p>
        </w:tc>
        <w:tc>
          <w:tcPr>
            <w:tcW w:w="813" w:type="dxa"/>
            <w:tcBorders>
              <w:top w:val="nil"/>
              <w:left w:val="nil"/>
              <w:bottom w:val="dotted" w:sz="2" w:space="0" w:color="000000"/>
            </w:tcBorders>
            <w:shd w:val="clear" w:color="auto" w:fill="F5F5F5"/>
          </w:tcPr>
          <w:p w14:paraId="06AF1D5D"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070629DE"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1280DC27"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748A87FA"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018F6A6D"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75F27A96" w14:textId="77777777" w:rsidR="00E43412" w:rsidRPr="00DB248E" w:rsidRDefault="00E43412" w:rsidP="00DB248E">
            <w:pPr>
              <w:rPr>
                <w:sz w:val="16"/>
                <w:szCs w:val="16"/>
              </w:rPr>
            </w:pPr>
          </w:p>
        </w:tc>
      </w:tr>
      <w:tr w:rsidR="00E00AB4" w:rsidRPr="007833D8" w14:paraId="39D571CF" w14:textId="7255C606"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793EA3DE" w14:textId="77777777" w:rsidR="00E43412" w:rsidRPr="00DB248E" w:rsidRDefault="00E43412" w:rsidP="00065B26">
            <w:pPr>
              <w:rPr>
                <w:sz w:val="16"/>
                <w:szCs w:val="16"/>
              </w:rPr>
            </w:pPr>
            <w:r w:rsidRPr="00DB248E">
              <w:rPr>
                <w:sz w:val="16"/>
                <w:szCs w:val="16"/>
              </w:rPr>
              <w:t xml:space="preserve">    Alopecia</w:t>
            </w:r>
          </w:p>
        </w:tc>
        <w:tc>
          <w:tcPr>
            <w:tcW w:w="813" w:type="dxa"/>
            <w:tcBorders>
              <w:top w:val="nil"/>
              <w:left w:val="nil"/>
              <w:bottom w:val="dotted" w:sz="2" w:space="0" w:color="000000"/>
            </w:tcBorders>
            <w:shd w:val="clear" w:color="auto" w:fill="F5F5F5"/>
          </w:tcPr>
          <w:p w14:paraId="5F9AD162" w14:textId="3E12D8BA" w:rsidR="00E43412" w:rsidRPr="00DB248E" w:rsidRDefault="00E43412" w:rsidP="00490E17">
            <w:pPr>
              <w:rPr>
                <w:sz w:val="16"/>
                <w:szCs w:val="16"/>
              </w:rPr>
            </w:pPr>
            <w:r w:rsidRPr="00DB248E">
              <w:rPr>
                <w:sz w:val="16"/>
                <w:szCs w:val="16"/>
              </w:rPr>
              <w:t>3 (15)</w:t>
            </w:r>
          </w:p>
        </w:tc>
        <w:tc>
          <w:tcPr>
            <w:tcW w:w="900" w:type="dxa"/>
            <w:tcBorders>
              <w:top w:val="nil"/>
              <w:bottom w:val="dotted" w:sz="2" w:space="0" w:color="000000"/>
            </w:tcBorders>
            <w:shd w:val="clear" w:color="auto" w:fill="F5F5F5"/>
          </w:tcPr>
          <w:p w14:paraId="515F8A85" w14:textId="741137DA"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5951FC10" w14:textId="53988FB2"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93FD34C" w14:textId="1ECD6FEA"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6099CA26" w14:textId="4A4B2C17"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06ECEED9" w14:textId="0872E1F2" w:rsidR="00E43412" w:rsidRPr="00DB248E" w:rsidRDefault="00E43412" w:rsidP="00DB248E">
            <w:pPr>
              <w:rPr>
                <w:sz w:val="16"/>
                <w:szCs w:val="16"/>
              </w:rPr>
            </w:pPr>
          </w:p>
        </w:tc>
      </w:tr>
      <w:tr w:rsidR="00E00AB4" w:rsidRPr="007833D8" w14:paraId="299BF5A5" w14:textId="4A93A28B"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4C7BF554" w14:textId="77777777" w:rsidR="00E43412" w:rsidRPr="00DB248E" w:rsidRDefault="00E43412" w:rsidP="00065B26">
            <w:pPr>
              <w:rPr>
                <w:sz w:val="16"/>
                <w:szCs w:val="16"/>
              </w:rPr>
            </w:pPr>
            <w:r w:rsidRPr="00DB248E">
              <w:rPr>
                <w:sz w:val="16"/>
                <w:szCs w:val="16"/>
              </w:rPr>
              <w:t xml:space="preserve">    Dry Skin</w:t>
            </w:r>
          </w:p>
        </w:tc>
        <w:tc>
          <w:tcPr>
            <w:tcW w:w="813" w:type="dxa"/>
            <w:tcBorders>
              <w:top w:val="nil"/>
              <w:left w:val="nil"/>
              <w:bottom w:val="dotted" w:sz="2" w:space="0" w:color="000000"/>
            </w:tcBorders>
            <w:shd w:val="clear" w:color="auto" w:fill="F5F5F5"/>
          </w:tcPr>
          <w:p w14:paraId="1CCF92AD" w14:textId="0248492B"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623ACB11" w14:textId="2A2BB8C9"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048D2B50" w14:textId="6A5CB968"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6C35143" w14:textId="0241B914"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7E114FD4" w14:textId="2E65F621"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793065B5" w14:textId="3A52AE3F" w:rsidR="00E43412" w:rsidRPr="00DB248E" w:rsidRDefault="00E43412" w:rsidP="00DB248E">
            <w:pPr>
              <w:rPr>
                <w:sz w:val="16"/>
                <w:szCs w:val="16"/>
              </w:rPr>
            </w:pPr>
          </w:p>
        </w:tc>
      </w:tr>
      <w:tr w:rsidR="00E00AB4" w:rsidRPr="007833D8" w14:paraId="445892C3" w14:textId="50BACDF5"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1E8617D" w14:textId="77777777" w:rsidR="00E43412" w:rsidRPr="00DB248E" w:rsidRDefault="00E43412" w:rsidP="00065B26">
            <w:pPr>
              <w:rPr>
                <w:sz w:val="16"/>
                <w:szCs w:val="16"/>
              </w:rPr>
            </w:pPr>
            <w:r w:rsidRPr="00DB248E">
              <w:rPr>
                <w:sz w:val="16"/>
                <w:szCs w:val="16"/>
              </w:rPr>
              <w:t xml:space="preserve">    Pruritus</w:t>
            </w:r>
          </w:p>
        </w:tc>
        <w:tc>
          <w:tcPr>
            <w:tcW w:w="813" w:type="dxa"/>
            <w:tcBorders>
              <w:top w:val="nil"/>
              <w:left w:val="nil"/>
              <w:bottom w:val="dotted" w:sz="2" w:space="0" w:color="000000"/>
            </w:tcBorders>
            <w:shd w:val="clear" w:color="auto" w:fill="F5F5F5"/>
          </w:tcPr>
          <w:p w14:paraId="297C1DED" w14:textId="65353889" w:rsidR="00E43412" w:rsidRPr="00DB248E" w:rsidRDefault="00E43412" w:rsidP="00490E17">
            <w:pPr>
              <w:rPr>
                <w:sz w:val="16"/>
                <w:szCs w:val="16"/>
              </w:rPr>
            </w:pPr>
            <w:r w:rsidRPr="00DB248E">
              <w:rPr>
                <w:sz w:val="16"/>
                <w:szCs w:val="16"/>
              </w:rPr>
              <w:t>2 (10)</w:t>
            </w:r>
          </w:p>
        </w:tc>
        <w:tc>
          <w:tcPr>
            <w:tcW w:w="900" w:type="dxa"/>
            <w:tcBorders>
              <w:top w:val="nil"/>
              <w:bottom w:val="dotted" w:sz="2" w:space="0" w:color="000000"/>
            </w:tcBorders>
            <w:shd w:val="clear" w:color="auto" w:fill="F5F5F5"/>
          </w:tcPr>
          <w:p w14:paraId="1994D27C" w14:textId="45C6DE06"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7D5B9A29" w14:textId="7940687D"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3E362329" w14:textId="36F57B39"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3DEFB6EF" w14:textId="0284FE45"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3049BCE7" w14:textId="10F37C9C" w:rsidR="00E43412" w:rsidRPr="00DB248E" w:rsidRDefault="00E43412" w:rsidP="00DB248E">
            <w:pPr>
              <w:rPr>
                <w:sz w:val="16"/>
                <w:szCs w:val="16"/>
              </w:rPr>
            </w:pPr>
          </w:p>
        </w:tc>
      </w:tr>
      <w:tr w:rsidR="00E00AB4" w:rsidRPr="007833D8" w14:paraId="4BC80051" w14:textId="17E0A7BD"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1503139E" w14:textId="01DECBB3" w:rsidR="00E43412" w:rsidRPr="00DB248E" w:rsidRDefault="00E43412" w:rsidP="00065B26">
            <w:pPr>
              <w:rPr>
                <w:sz w:val="16"/>
                <w:szCs w:val="16"/>
              </w:rPr>
            </w:pPr>
            <w:r w:rsidRPr="00DB248E">
              <w:rPr>
                <w:sz w:val="16"/>
                <w:szCs w:val="16"/>
              </w:rPr>
              <w:t xml:space="preserve">    Rash maculo-papular</w:t>
            </w:r>
          </w:p>
        </w:tc>
        <w:tc>
          <w:tcPr>
            <w:tcW w:w="813" w:type="dxa"/>
            <w:tcBorders>
              <w:top w:val="nil"/>
              <w:left w:val="nil"/>
              <w:bottom w:val="dotted" w:sz="2" w:space="0" w:color="000000"/>
            </w:tcBorders>
            <w:shd w:val="clear" w:color="auto" w:fill="F5F5F5"/>
          </w:tcPr>
          <w:p w14:paraId="208FAB85" w14:textId="0B15C8DA" w:rsidR="00E43412" w:rsidRPr="00DB248E" w:rsidRDefault="00E43412" w:rsidP="00490E17">
            <w:pPr>
              <w:rPr>
                <w:sz w:val="16"/>
                <w:szCs w:val="16"/>
              </w:rPr>
            </w:pPr>
            <w:r w:rsidRPr="00DB248E">
              <w:rPr>
                <w:sz w:val="16"/>
                <w:szCs w:val="16"/>
              </w:rPr>
              <w:t>3 (15)</w:t>
            </w:r>
          </w:p>
        </w:tc>
        <w:tc>
          <w:tcPr>
            <w:tcW w:w="900" w:type="dxa"/>
            <w:tcBorders>
              <w:top w:val="nil"/>
              <w:bottom w:val="dotted" w:sz="2" w:space="0" w:color="000000"/>
            </w:tcBorders>
            <w:shd w:val="clear" w:color="auto" w:fill="F5F5F5"/>
          </w:tcPr>
          <w:p w14:paraId="42B3C716" w14:textId="5DC71AC0" w:rsidR="00E43412" w:rsidRPr="00DB248E" w:rsidRDefault="00E43412" w:rsidP="001706A2">
            <w:pPr>
              <w:rPr>
                <w:sz w:val="16"/>
                <w:szCs w:val="16"/>
              </w:rPr>
            </w:pPr>
            <w:r w:rsidRPr="00DB248E">
              <w:rPr>
                <w:sz w:val="16"/>
                <w:szCs w:val="16"/>
              </w:rPr>
              <w:t xml:space="preserve"> </w:t>
            </w:r>
          </w:p>
        </w:tc>
        <w:tc>
          <w:tcPr>
            <w:tcW w:w="810" w:type="dxa"/>
            <w:tcBorders>
              <w:top w:val="nil"/>
              <w:bottom w:val="dotted" w:sz="2" w:space="0" w:color="000000"/>
            </w:tcBorders>
            <w:shd w:val="clear" w:color="auto" w:fill="F5F5F5"/>
          </w:tcPr>
          <w:p w14:paraId="05E9728F" w14:textId="3A5A237F"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67DC8A13" w14:textId="2F10A09F"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12A9E89A" w14:textId="2BEEB34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1B4D0C6D" w14:textId="6800185A" w:rsidR="00E43412" w:rsidRPr="00DB248E" w:rsidRDefault="00E43412" w:rsidP="00DB248E">
            <w:pPr>
              <w:rPr>
                <w:sz w:val="16"/>
                <w:szCs w:val="16"/>
              </w:rPr>
            </w:pPr>
          </w:p>
        </w:tc>
      </w:tr>
      <w:tr w:rsidR="00E00AB4" w:rsidRPr="007833D8" w14:paraId="52EA6BEB" w14:textId="75E27914"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4A18EC3B" w14:textId="77777777" w:rsidR="00E43412" w:rsidRPr="00DB248E" w:rsidRDefault="00E43412" w:rsidP="00065B26">
            <w:pPr>
              <w:rPr>
                <w:sz w:val="16"/>
                <w:szCs w:val="16"/>
              </w:rPr>
            </w:pPr>
            <w:r w:rsidRPr="00DB248E">
              <w:rPr>
                <w:sz w:val="16"/>
                <w:szCs w:val="16"/>
              </w:rPr>
              <w:t xml:space="preserve">    Other AE</w:t>
            </w:r>
          </w:p>
        </w:tc>
        <w:tc>
          <w:tcPr>
            <w:tcW w:w="813" w:type="dxa"/>
            <w:tcBorders>
              <w:top w:val="nil"/>
              <w:left w:val="nil"/>
              <w:bottom w:val="dotted" w:sz="2" w:space="0" w:color="000000"/>
            </w:tcBorders>
            <w:shd w:val="clear" w:color="auto" w:fill="F5F5F5"/>
          </w:tcPr>
          <w:p w14:paraId="0C4BD90C" w14:textId="57797D2A" w:rsidR="00E43412" w:rsidRPr="00DB248E" w:rsidRDefault="00E43412" w:rsidP="00490E17">
            <w:pPr>
              <w:rPr>
                <w:sz w:val="16"/>
                <w:szCs w:val="16"/>
              </w:rPr>
            </w:pPr>
            <w:r w:rsidRPr="00DB248E">
              <w:rPr>
                <w:sz w:val="16"/>
                <w:szCs w:val="16"/>
              </w:rPr>
              <w:t>1 (5)</w:t>
            </w:r>
          </w:p>
        </w:tc>
        <w:tc>
          <w:tcPr>
            <w:tcW w:w="900" w:type="dxa"/>
            <w:tcBorders>
              <w:top w:val="nil"/>
              <w:bottom w:val="dotted" w:sz="2" w:space="0" w:color="000000"/>
            </w:tcBorders>
            <w:shd w:val="clear" w:color="auto" w:fill="F5F5F5"/>
          </w:tcPr>
          <w:p w14:paraId="54D260AC" w14:textId="6AC39896" w:rsidR="00E43412" w:rsidRPr="00DB248E" w:rsidRDefault="00E43412" w:rsidP="001706A2">
            <w:pPr>
              <w:rPr>
                <w:sz w:val="16"/>
                <w:szCs w:val="16"/>
              </w:rPr>
            </w:pPr>
            <w:r w:rsidRPr="00DB248E">
              <w:rPr>
                <w:sz w:val="16"/>
                <w:szCs w:val="16"/>
              </w:rPr>
              <w:t>1 (5)</w:t>
            </w:r>
          </w:p>
        </w:tc>
        <w:tc>
          <w:tcPr>
            <w:tcW w:w="810" w:type="dxa"/>
            <w:tcBorders>
              <w:top w:val="nil"/>
              <w:bottom w:val="dotted" w:sz="2" w:space="0" w:color="000000"/>
            </w:tcBorders>
            <w:shd w:val="clear" w:color="auto" w:fill="F5F5F5"/>
          </w:tcPr>
          <w:p w14:paraId="25D392FC" w14:textId="6CC194A5" w:rsidR="00E43412" w:rsidRPr="00DB248E" w:rsidRDefault="00E43412" w:rsidP="001706A2">
            <w:pPr>
              <w:rPr>
                <w:sz w:val="16"/>
                <w:szCs w:val="16"/>
              </w:rPr>
            </w:pPr>
            <w:r w:rsidRPr="00DB248E">
              <w:rPr>
                <w:sz w:val="16"/>
                <w:szCs w:val="16"/>
              </w:rPr>
              <w:t xml:space="preserve"> </w:t>
            </w:r>
          </w:p>
        </w:tc>
        <w:tc>
          <w:tcPr>
            <w:tcW w:w="540" w:type="dxa"/>
            <w:tcBorders>
              <w:top w:val="nil"/>
              <w:bottom w:val="dotted" w:sz="2" w:space="0" w:color="000000"/>
            </w:tcBorders>
            <w:shd w:val="clear" w:color="auto" w:fill="F5F5F5"/>
          </w:tcPr>
          <w:p w14:paraId="40BA819F" w14:textId="59707C32" w:rsidR="00E43412" w:rsidRPr="00DB248E" w:rsidRDefault="00E43412" w:rsidP="00B34D4F">
            <w:pPr>
              <w:rPr>
                <w:sz w:val="16"/>
                <w:szCs w:val="16"/>
              </w:rPr>
            </w:pPr>
            <w:r w:rsidRPr="00DB248E">
              <w:rPr>
                <w:sz w:val="16"/>
                <w:szCs w:val="16"/>
              </w:rPr>
              <w:t xml:space="preserve"> </w:t>
            </w:r>
          </w:p>
        </w:tc>
        <w:tc>
          <w:tcPr>
            <w:tcW w:w="180" w:type="dxa"/>
            <w:tcBorders>
              <w:top w:val="nil"/>
              <w:bottom w:val="dotted" w:sz="2" w:space="0" w:color="000000"/>
            </w:tcBorders>
            <w:shd w:val="clear" w:color="auto" w:fill="F5F5F5"/>
          </w:tcPr>
          <w:p w14:paraId="4E0B93D1" w14:textId="4B59668D" w:rsidR="00E43412" w:rsidRPr="00DB248E" w:rsidRDefault="00E43412" w:rsidP="00DB248E">
            <w:pPr>
              <w:rPr>
                <w:sz w:val="16"/>
                <w:szCs w:val="16"/>
              </w:rPr>
            </w:pPr>
            <w:r w:rsidRPr="00DB248E">
              <w:rPr>
                <w:sz w:val="16"/>
                <w:szCs w:val="16"/>
              </w:rPr>
              <w:t xml:space="preserve"> </w:t>
            </w:r>
          </w:p>
        </w:tc>
        <w:tc>
          <w:tcPr>
            <w:tcW w:w="584" w:type="dxa"/>
            <w:tcBorders>
              <w:top w:val="nil"/>
              <w:bottom w:val="dotted" w:sz="2" w:space="0" w:color="000000"/>
              <w:right w:val="single" w:sz="2" w:space="0" w:color="000000"/>
            </w:tcBorders>
            <w:shd w:val="clear" w:color="auto" w:fill="F5F5F5"/>
          </w:tcPr>
          <w:p w14:paraId="2D3297B6" w14:textId="66B330ED" w:rsidR="00E43412" w:rsidRPr="00DB248E" w:rsidRDefault="00E43412" w:rsidP="00DB248E">
            <w:pPr>
              <w:rPr>
                <w:sz w:val="16"/>
                <w:szCs w:val="16"/>
              </w:rPr>
            </w:pPr>
          </w:p>
        </w:tc>
      </w:tr>
      <w:tr w:rsidR="00E00AB4" w:rsidRPr="007833D8" w14:paraId="0C7C4460" w14:textId="08F2F258" w:rsidTr="00BD5140">
        <w:trPr>
          <w:cantSplit/>
          <w:trHeight w:hRule="exact" w:val="283"/>
          <w:jc w:val="center"/>
        </w:trPr>
        <w:tc>
          <w:tcPr>
            <w:tcW w:w="4584" w:type="dxa"/>
            <w:tcBorders>
              <w:top w:val="nil"/>
              <w:left w:val="single" w:sz="2" w:space="0" w:color="000000"/>
              <w:bottom w:val="dotted" w:sz="2" w:space="0" w:color="000000"/>
              <w:right w:val="single" w:sz="2" w:space="0" w:color="000000"/>
            </w:tcBorders>
            <w:shd w:val="clear" w:color="auto" w:fill="FFFFFF"/>
            <w:tcMar>
              <w:left w:w="40" w:type="dxa"/>
              <w:right w:w="40" w:type="dxa"/>
            </w:tcMar>
          </w:tcPr>
          <w:p w14:paraId="063AF7A2" w14:textId="77777777" w:rsidR="00E43412" w:rsidRPr="00DB248E" w:rsidRDefault="00E43412" w:rsidP="00065B26">
            <w:pPr>
              <w:rPr>
                <w:sz w:val="16"/>
                <w:szCs w:val="16"/>
              </w:rPr>
            </w:pPr>
            <w:r w:rsidRPr="00DB248E">
              <w:rPr>
                <w:sz w:val="16"/>
                <w:szCs w:val="16"/>
              </w:rPr>
              <w:t>VASCULAR DISORDERS</w:t>
            </w:r>
          </w:p>
        </w:tc>
        <w:tc>
          <w:tcPr>
            <w:tcW w:w="813" w:type="dxa"/>
            <w:tcBorders>
              <w:top w:val="nil"/>
              <w:left w:val="nil"/>
              <w:bottom w:val="dotted" w:sz="2" w:space="0" w:color="000000"/>
            </w:tcBorders>
            <w:shd w:val="clear" w:color="auto" w:fill="F5F5F5"/>
          </w:tcPr>
          <w:p w14:paraId="6B47C98C" w14:textId="77777777" w:rsidR="00E43412" w:rsidRPr="00DB248E" w:rsidRDefault="00E43412" w:rsidP="00490E17">
            <w:pPr>
              <w:rPr>
                <w:sz w:val="16"/>
                <w:szCs w:val="16"/>
              </w:rPr>
            </w:pPr>
          </w:p>
        </w:tc>
        <w:tc>
          <w:tcPr>
            <w:tcW w:w="900" w:type="dxa"/>
            <w:tcBorders>
              <w:top w:val="nil"/>
              <w:bottom w:val="dotted" w:sz="2" w:space="0" w:color="000000"/>
            </w:tcBorders>
            <w:shd w:val="clear" w:color="auto" w:fill="F5F5F5"/>
          </w:tcPr>
          <w:p w14:paraId="3C0BE6D0" w14:textId="77777777" w:rsidR="00E43412" w:rsidRPr="00DB248E" w:rsidRDefault="00E43412" w:rsidP="001706A2">
            <w:pPr>
              <w:rPr>
                <w:sz w:val="16"/>
                <w:szCs w:val="16"/>
              </w:rPr>
            </w:pPr>
          </w:p>
        </w:tc>
        <w:tc>
          <w:tcPr>
            <w:tcW w:w="810" w:type="dxa"/>
            <w:tcBorders>
              <w:top w:val="nil"/>
              <w:bottom w:val="dotted" w:sz="2" w:space="0" w:color="000000"/>
            </w:tcBorders>
            <w:shd w:val="clear" w:color="auto" w:fill="F5F5F5"/>
          </w:tcPr>
          <w:p w14:paraId="2FA28338" w14:textId="77777777" w:rsidR="00E43412" w:rsidRPr="00DB248E" w:rsidRDefault="00E43412" w:rsidP="001706A2">
            <w:pPr>
              <w:rPr>
                <w:sz w:val="16"/>
                <w:szCs w:val="16"/>
              </w:rPr>
            </w:pPr>
          </w:p>
        </w:tc>
        <w:tc>
          <w:tcPr>
            <w:tcW w:w="540" w:type="dxa"/>
            <w:tcBorders>
              <w:top w:val="nil"/>
              <w:bottom w:val="dotted" w:sz="2" w:space="0" w:color="000000"/>
            </w:tcBorders>
            <w:shd w:val="clear" w:color="auto" w:fill="F5F5F5"/>
          </w:tcPr>
          <w:p w14:paraId="0890C407" w14:textId="77777777" w:rsidR="00E43412" w:rsidRPr="00DB248E" w:rsidRDefault="00E43412" w:rsidP="00B34D4F">
            <w:pPr>
              <w:rPr>
                <w:sz w:val="16"/>
                <w:szCs w:val="16"/>
              </w:rPr>
            </w:pPr>
          </w:p>
        </w:tc>
        <w:tc>
          <w:tcPr>
            <w:tcW w:w="180" w:type="dxa"/>
            <w:tcBorders>
              <w:top w:val="nil"/>
              <w:bottom w:val="dotted" w:sz="2" w:space="0" w:color="000000"/>
            </w:tcBorders>
            <w:shd w:val="clear" w:color="auto" w:fill="F5F5F5"/>
          </w:tcPr>
          <w:p w14:paraId="34BCFB5D" w14:textId="77777777" w:rsidR="00E43412" w:rsidRPr="00DB248E" w:rsidRDefault="00E43412" w:rsidP="00DB248E">
            <w:pPr>
              <w:rPr>
                <w:sz w:val="16"/>
                <w:szCs w:val="16"/>
              </w:rPr>
            </w:pPr>
          </w:p>
        </w:tc>
        <w:tc>
          <w:tcPr>
            <w:tcW w:w="584" w:type="dxa"/>
            <w:tcBorders>
              <w:top w:val="nil"/>
              <w:bottom w:val="dotted" w:sz="2" w:space="0" w:color="000000"/>
              <w:right w:val="single" w:sz="2" w:space="0" w:color="000000"/>
            </w:tcBorders>
            <w:shd w:val="clear" w:color="auto" w:fill="F5F5F5"/>
          </w:tcPr>
          <w:p w14:paraId="5103E8D0" w14:textId="77777777" w:rsidR="00E43412" w:rsidRPr="00DB248E" w:rsidRDefault="00E43412" w:rsidP="00DB248E">
            <w:pPr>
              <w:rPr>
                <w:sz w:val="16"/>
                <w:szCs w:val="16"/>
              </w:rPr>
            </w:pPr>
          </w:p>
        </w:tc>
      </w:tr>
      <w:tr w:rsidR="00E00AB4" w:rsidRPr="007833D8" w14:paraId="58A88977" w14:textId="1E075F16" w:rsidTr="00BD5140">
        <w:trPr>
          <w:cantSplit/>
          <w:trHeight w:hRule="exact" w:val="283"/>
          <w:jc w:val="center"/>
        </w:trPr>
        <w:tc>
          <w:tcPr>
            <w:tcW w:w="4584" w:type="dxa"/>
            <w:tcBorders>
              <w:top w:val="dotted" w:sz="2" w:space="0" w:color="000000"/>
              <w:left w:val="single" w:sz="2" w:space="0" w:color="000000"/>
              <w:bottom w:val="single" w:sz="4" w:space="0" w:color="auto"/>
              <w:right w:val="single" w:sz="2" w:space="0" w:color="000000"/>
            </w:tcBorders>
            <w:shd w:val="clear" w:color="auto" w:fill="FFFFFF"/>
            <w:tcMar>
              <w:left w:w="40" w:type="dxa"/>
              <w:right w:w="40" w:type="dxa"/>
            </w:tcMar>
          </w:tcPr>
          <w:p w14:paraId="1657C21D" w14:textId="77777777" w:rsidR="00E43412" w:rsidRPr="00DB248E" w:rsidRDefault="00E43412" w:rsidP="00065B26">
            <w:pPr>
              <w:rPr>
                <w:sz w:val="16"/>
                <w:szCs w:val="16"/>
              </w:rPr>
            </w:pPr>
            <w:r w:rsidRPr="00DB248E">
              <w:rPr>
                <w:sz w:val="16"/>
                <w:szCs w:val="16"/>
              </w:rPr>
              <w:t xml:space="preserve">    Hypertension</w:t>
            </w:r>
          </w:p>
        </w:tc>
        <w:tc>
          <w:tcPr>
            <w:tcW w:w="813" w:type="dxa"/>
            <w:tcBorders>
              <w:top w:val="dotted" w:sz="2" w:space="0" w:color="000000"/>
              <w:left w:val="nil"/>
              <w:bottom w:val="single" w:sz="4" w:space="0" w:color="auto"/>
            </w:tcBorders>
            <w:shd w:val="clear" w:color="auto" w:fill="F5F5F5"/>
          </w:tcPr>
          <w:p w14:paraId="1BD79B92" w14:textId="018B9AEA" w:rsidR="00E43412" w:rsidRPr="00DB248E" w:rsidRDefault="00E43412" w:rsidP="00490E17">
            <w:pPr>
              <w:rPr>
                <w:sz w:val="16"/>
                <w:szCs w:val="16"/>
              </w:rPr>
            </w:pPr>
            <w:r w:rsidRPr="00DB248E">
              <w:rPr>
                <w:sz w:val="16"/>
                <w:szCs w:val="16"/>
              </w:rPr>
              <w:t>1 (5)</w:t>
            </w:r>
          </w:p>
        </w:tc>
        <w:tc>
          <w:tcPr>
            <w:tcW w:w="900" w:type="dxa"/>
            <w:tcBorders>
              <w:top w:val="dotted" w:sz="2" w:space="0" w:color="000000"/>
              <w:bottom w:val="single" w:sz="4" w:space="0" w:color="auto"/>
            </w:tcBorders>
            <w:shd w:val="clear" w:color="auto" w:fill="F5F5F5"/>
          </w:tcPr>
          <w:p w14:paraId="3977FBF1" w14:textId="63C2B3C9" w:rsidR="00E43412" w:rsidRPr="00DB248E" w:rsidRDefault="00E43412" w:rsidP="001706A2">
            <w:pPr>
              <w:rPr>
                <w:sz w:val="16"/>
                <w:szCs w:val="16"/>
              </w:rPr>
            </w:pPr>
            <w:r w:rsidRPr="00DB248E">
              <w:rPr>
                <w:sz w:val="16"/>
                <w:szCs w:val="16"/>
              </w:rPr>
              <w:t>1 (5)</w:t>
            </w:r>
          </w:p>
        </w:tc>
        <w:tc>
          <w:tcPr>
            <w:tcW w:w="810" w:type="dxa"/>
            <w:tcBorders>
              <w:top w:val="dotted" w:sz="2" w:space="0" w:color="000000"/>
              <w:bottom w:val="single" w:sz="4" w:space="0" w:color="auto"/>
            </w:tcBorders>
            <w:shd w:val="clear" w:color="auto" w:fill="F5F5F5"/>
          </w:tcPr>
          <w:p w14:paraId="4B092677" w14:textId="3F780960" w:rsidR="00E43412" w:rsidRPr="00DB248E" w:rsidRDefault="00E43412" w:rsidP="001706A2">
            <w:pPr>
              <w:rPr>
                <w:sz w:val="16"/>
                <w:szCs w:val="16"/>
              </w:rPr>
            </w:pPr>
            <w:r w:rsidRPr="00DB248E">
              <w:rPr>
                <w:sz w:val="16"/>
                <w:szCs w:val="16"/>
              </w:rPr>
              <w:t xml:space="preserve"> </w:t>
            </w:r>
          </w:p>
        </w:tc>
        <w:tc>
          <w:tcPr>
            <w:tcW w:w="540" w:type="dxa"/>
            <w:tcBorders>
              <w:top w:val="dotted" w:sz="2" w:space="0" w:color="000000"/>
              <w:bottom w:val="single" w:sz="4" w:space="0" w:color="auto"/>
            </w:tcBorders>
            <w:shd w:val="clear" w:color="auto" w:fill="F5F5F5"/>
          </w:tcPr>
          <w:p w14:paraId="39157BDF" w14:textId="7B0C87A1" w:rsidR="00E43412" w:rsidRPr="00DB248E" w:rsidRDefault="00E43412" w:rsidP="00B34D4F">
            <w:pPr>
              <w:rPr>
                <w:sz w:val="16"/>
                <w:szCs w:val="16"/>
              </w:rPr>
            </w:pPr>
            <w:r w:rsidRPr="00DB248E">
              <w:rPr>
                <w:sz w:val="16"/>
                <w:szCs w:val="16"/>
              </w:rPr>
              <w:t xml:space="preserve"> </w:t>
            </w:r>
          </w:p>
        </w:tc>
        <w:tc>
          <w:tcPr>
            <w:tcW w:w="180" w:type="dxa"/>
            <w:tcBorders>
              <w:top w:val="dotted" w:sz="2" w:space="0" w:color="000000"/>
              <w:bottom w:val="single" w:sz="4" w:space="0" w:color="auto"/>
            </w:tcBorders>
            <w:shd w:val="clear" w:color="auto" w:fill="F5F5F5"/>
          </w:tcPr>
          <w:p w14:paraId="083DEF49" w14:textId="2ABC30F0" w:rsidR="00E43412" w:rsidRPr="00DB248E" w:rsidRDefault="00E43412" w:rsidP="00DB248E">
            <w:pPr>
              <w:rPr>
                <w:sz w:val="16"/>
                <w:szCs w:val="16"/>
              </w:rPr>
            </w:pPr>
            <w:r w:rsidRPr="00DB248E">
              <w:rPr>
                <w:sz w:val="16"/>
                <w:szCs w:val="16"/>
              </w:rPr>
              <w:t xml:space="preserve"> </w:t>
            </w:r>
          </w:p>
        </w:tc>
        <w:tc>
          <w:tcPr>
            <w:tcW w:w="584" w:type="dxa"/>
            <w:tcBorders>
              <w:top w:val="dotted" w:sz="2" w:space="0" w:color="000000"/>
              <w:bottom w:val="single" w:sz="4" w:space="0" w:color="auto"/>
              <w:right w:val="single" w:sz="2" w:space="0" w:color="000000"/>
            </w:tcBorders>
            <w:shd w:val="clear" w:color="auto" w:fill="F5F5F5"/>
          </w:tcPr>
          <w:p w14:paraId="4B116BC1" w14:textId="0368D416" w:rsidR="00E43412" w:rsidRPr="00DB248E" w:rsidRDefault="00E43412" w:rsidP="00DB248E">
            <w:pPr>
              <w:rPr>
                <w:sz w:val="16"/>
                <w:szCs w:val="16"/>
              </w:rPr>
            </w:pPr>
          </w:p>
        </w:tc>
      </w:tr>
    </w:tbl>
    <w:p w14:paraId="688D99D5" w14:textId="3C3D3D38" w:rsidR="00997082" w:rsidRPr="00D65912" w:rsidRDefault="004F683C" w:rsidP="00065B26">
      <w:pPr>
        <w:rPr>
          <w:rStyle w:val="Hyperlink"/>
          <w:rFonts w:ascii="Calibri" w:hAnsi="Calibri" w:cs="Calibri"/>
          <w:color w:val="auto"/>
          <w:sz w:val="18"/>
          <w:szCs w:val="20"/>
          <w:u w:val="none"/>
        </w:rPr>
      </w:pPr>
      <w:r w:rsidRPr="00D65912">
        <w:rPr>
          <w:rStyle w:val="Hyperlink"/>
          <w:color w:val="auto"/>
          <w:u w:val="none"/>
        </w:rPr>
        <w:t>Legend:</w:t>
      </w:r>
      <w:r w:rsidR="00A33BD7" w:rsidRPr="00D65912">
        <w:rPr>
          <w:rStyle w:val="Hyperlink"/>
          <w:color w:val="auto"/>
          <w:u w:val="none"/>
        </w:rPr>
        <w:t xml:space="preserve"> AE, adverse event; CTC</w:t>
      </w:r>
      <w:r w:rsidR="00AA54A3" w:rsidRPr="00D65912">
        <w:rPr>
          <w:rStyle w:val="Hyperlink"/>
          <w:color w:val="auto"/>
          <w:u w:val="none"/>
        </w:rPr>
        <w:t xml:space="preserve">, </w:t>
      </w:r>
      <w:r w:rsidR="00AA54A3" w:rsidRPr="00D65912">
        <w:rPr>
          <w:bCs/>
        </w:rPr>
        <w:t>Common Terminology Criteria.</w:t>
      </w:r>
      <w:r w:rsidR="00AA54A3" w:rsidRPr="00D65912">
        <w:t xml:space="preserve"> </w:t>
      </w:r>
      <w:r w:rsidRPr="00D65912">
        <w:rPr>
          <w:rStyle w:val="Hyperlink"/>
          <w:color w:val="auto"/>
          <w:u w:val="none"/>
        </w:rPr>
        <w:t xml:space="preserve"> </w:t>
      </w:r>
    </w:p>
    <w:p w14:paraId="22BAF031" w14:textId="5EED898D" w:rsidR="00997082" w:rsidRPr="00D65912" w:rsidRDefault="00997082" w:rsidP="00490E17">
      <w:r w:rsidRPr="00D65912">
        <w:br w:type="page"/>
      </w:r>
    </w:p>
    <w:p w14:paraId="789D3A99" w14:textId="1B3B228C" w:rsidR="00997082" w:rsidRPr="00D65912" w:rsidRDefault="00997082" w:rsidP="00490E17">
      <w:r w:rsidRPr="00D65912">
        <w:rPr>
          <w:b/>
        </w:rPr>
        <w:t xml:space="preserve">Table </w:t>
      </w:r>
      <w:r w:rsidR="0036416F" w:rsidRPr="00D65912">
        <w:rPr>
          <w:b/>
        </w:rPr>
        <w:t>6</w:t>
      </w:r>
      <w:r w:rsidRPr="00D65912">
        <w:rPr>
          <w:b/>
        </w:rPr>
        <w:t>.</w:t>
      </w:r>
      <w:r w:rsidRPr="00D65912">
        <w:t xml:space="preserve"> </w:t>
      </w:r>
      <w:r w:rsidR="00B852B5" w:rsidRPr="00D65912">
        <w:t>Hematological</w:t>
      </w:r>
      <w:r w:rsidRPr="00D65912">
        <w:t xml:space="preserve"> and biochemical adverse events that occurred in </w:t>
      </w:r>
      <w:r w:rsidR="00D125EA" w:rsidRPr="00D65912">
        <w:t>≥</w:t>
      </w:r>
      <w:r w:rsidRPr="00D65912">
        <w:t xml:space="preserve"> 10% of patients.</w:t>
      </w:r>
    </w:p>
    <w:p w14:paraId="2F35B9B0" w14:textId="762DBCFC" w:rsidR="00C118F6" w:rsidRPr="00D65912" w:rsidRDefault="00C118F6" w:rsidP="001706A2"/>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45"/>
        <w:gridCol w:w="985"/>
        <w:gridCol w:w="905"/>
        <w:gridCol w:w="990"/>
        <w:gridCol w:w="990"/>
        <w:gridCol w:w="1175"/>
      </w:tblGrid>
      <w:tr w:rsidR="00BA44F4" w:rsidRPr="00D87A2F" w14:paraId="0C8E115F" w14:textId="77777777" w:rsidTr="00495330">
        <w:trPr>
          <w:cantSplit/>
          <w:tblHeader/>
          <w:jc w:val="center"/>
        </w:trPr>
        <w:tc>
          <w:tcPr>
            <w:tcW w:w="3145" w:type="dxa"/>
            <w:tcBorders>
              <w:top w:val="single" w:sz="4" w:space="0" w:color="auto"/>
            </w:tcBorders>
            <w:shd w:val="clear" w:color="auto" w:fill="E0E0E0"/>
            <w:tcMar>
              <w:left w:w="40" w:type="dxa"/>
              <w:right w:w="40" w:type="dxa"/>
            </w:tcMar>
            <w:vAlign w:val="bottom"/>
          </w:tcPr>
          <w:p w14:paraId="07339897" w14:textId="77777777" w:rsidR="00BA44F4" w:rsidRPr="00A25369" w:rsidRDefault="00BA44F4" w:rsidP="001706A2">
            <w:pPr>
              <w:rPr>
                <w:sz w:val="16"/>
                <w:szCs w:val="16"/>
              </w:rPr>
            </w:pPr>
          </w:p>
        </w:tc>
        <w:tc>
          <w:tcPr>
            <w:tcW w:w="985" w:type="dxa"/>
            <w:tcBorders>
              <w:top w:val="single" w:sz="4" w:space="0" w:color="auto"/>
            </w:tcBorders>
            <w:shd w:val="clear" w:color="auto" w:fill="E0E0E0"/>
            <w:tcMar>
              <w:left w:w="40" w:type="dxa"/>
              <w:right w:w="40" w:type="dxa"/>
            </w:tcMar>
            <w:vAlign w:val="bottom"/>
          </w:tcPr>
          <w:p w14:paraId="6171892F" w14:textId="77777777" w:rsidR="00BA44F4" w:rsidRPr="00A25369" w:rsidRDefault="00BA44F4" w:rsidP="00B34D4F">
            <w:pPr>
              <w:rPr>
                <w:sz w:val="16"/>
                <w:szCs w:val="16"/>
              </w:rPr>
            </w:pPr>
          </w:p>
        </w:tc>
        <w:tc>
          <w:tcPr>
            <w:tcW w:w="905" w:type="dxa"/>
            <w:tcBorders>
              <w:top w:val="single" w:sz="4" w:space="0" w:color="auto"/>
            </w:tcBorders>
            <w:shd w:val="clear" w:color="auto" w:fill="E0E0E0"/>
            <w:tcMar>
              <w:left w:w="40" w:type="dxa"/>
              <w:right w:w="40" w:type="dxa"/>
            </w:tcMar>
            <w:vAlign w:val="bottom"/>
          </w:tcPr>
          <w:p w14:paraId="5BA8AFFB" w14:textId="77777777" w:rsidR="00BA44F4" w:rsidRPr="00A25369" w:rsidRDefault="00BA44F4" w:rsidP="00DB248E">
            <w:pPr>
              <w:rPr>
                <w:sz w:val="16"/>
                <w:szCs w:val="16"/>
              </w:rPr>
            </w:pPr>
          </w:p>
        </w:tc>
        <w:tc>
          <w:tcPr>
            <w:tcW w:w="990" w:type="dxa"/>
            <w:tcBorders>
              <w:top w:val="single" w:sz="4" w:space="0" w:color="auto"/>
            </w:tcBorders>
            <w:shd w:val="clear" w:color="auto" w:fill="E0E0E0"/>
            <w:tcMar>
              <w:left w:w="40" w:type="dxa"/>
              <w:right w:w="40" w:type="dxa"/>
            </w:tcMar>
            <w:vAlign w:val="bottom"/>
          </w:tcPr>
          <w:p w14:paraId="71741D34" w14:textId="77777777" w:rsidR="00BA44F4" w:rsidRPr="00A25369" w:rsidRDefault="00BA44F4" w:rsidP="00A25369">
            <w:pPr>
              <w:rPr>
                <w:sz w:val="16"/>
                <w:szCs w:val="16"/>
              </w:rPr>
            </w:pPr>
          </w:p>
        </w:tc>
        <w:tc>
          <w:tcPr>
            <w:tcW w:w="990" w:type="dxa"/>
            <w:tcBorders>
              <w:top w:val="single" w:sz="4" w:space="0" w:color="auto"/>
            </w:tcBorders>
            <w:shd w:val="clear" w:color="auto" w:fill="E0E0E0"/>
          </w:tcPr>
          <w:p w14:paraId="0E9138BF" w14:textId="77777777" w:rsidR="00BA44F4" w:rsidRPr="00A25369" w:rsidRDefault="00BA44F4" w:rsidP="003E1FE2">
            <w:pPr>
              <w:rPr>
                <w:sz w:val="16"/>
                <w:szCs w:val="16"/>
              </w:rPr>
            </w:pPr>
          </w:p>
        </w:tc>
        <w:tc>
          <w:tcPr>
            <w:tcW w:w="1175" w:type="dxa"/>
            <w:tcBorders>
              <w:top w:val="single" w:sz="4" w:space="0" w:color="auto"/>
            </w:tcBorders>
            <w:shd w:val="clear" w:color="auto" w:fill="E0E0E0"/>
            <w:tcMar>
              <w:left w:w="40" w:type="dxa"/>
              <w:right w:w="40" w:type="dxa"/>
            </w:tcMar>
            <w:vAlign w:val="bottom"/>
          </w:tcPr>
          <w:p w14:paraId="743ABDBE" w14:textId="77777777" w:rsidR="00BA44F4" w:rsidRPr="00A25369" w:rsidRDefault="00BA44F4" w:rsidP="003E1FE2">
            <w:pPr>
              <w:rPr>
                <w:sz w:val="16"/>
                <w:szCs w:val="16"/>
              </w:rPr>
            </w:pPr>
          </w:p>
        </w:tc>
      </w:tr>
      <w:tr w:rsidR="00BA44F4" w:rsidRPr="009749EF" w14:paraId="228B66C7" w14:textId="77777777" w:rsidTr="00495330">
        <w:trPr>
          <w:cantSplit/>
          <w:tblHeader/>
          <w:jc w:val="center"/>
        </w:trPr>
        <w:tc>
          <w:tcPr>
            <w:tcW w:w="3145" w:type="dxa"/>
            <w:tcBorders>
              <w:bottom w:val="single" w:sz="4" w:space="0" w:color="auto"/>
            </w:tcBorders>
            <w:shd w:val="clear" w:color="auto" w:fill="E0E0E0"/>
            <w:tcMar>
              <w:left w:w="40" w:type="dxa"/>
              <w:right w:w="40" w:type="dxa"/>
            </w:tcMar>
            <w:vAlign w:val="bottom"/>
          </w:tcPr>
          <w:p w14:paraId="413D19FE" w14:textId="77777777" w:rsidR="00BA44F4" w:rsidRPr="00A25369" w:rsidRDefault="00BA44F4" w:rsidP="00065B26">
            <w:pPr>
              <w:rPr>
                <w:sz w:val="16"/>
                <w:szCs w:val="16"/>
              </w:rPr>
            </w:pPr>
          </w:p>
        </w:tc>
        <w:tc>
          <w:tcPr>
            <w:tcW w:w="985" w:type="dxa"/>
            <w:tcBorders>
              <w:bottom w:val="single" w:sz="4" w:space="0" w:color="auto"/>
            </w:tcBorders>
            <w:shd w:val="clear" w:color="auto" w:fill="E0E0E0"/>
            <w:tcMar>
              <w:left w:w="40" w:type="dxa"/>
              <w:right w:w="40" w:type="dxa"/>
            </w:tcMar>
            <w:vAlign w:val="center"/>
          </w:tcPr>
          <w:p w14:paraId="601AECC1" w14:textId="71FEA09B" w:rsidR="00BA44F4" w:rsidRPr="00A25369" w:rsidRDefault="00BA44F4" w:rsidP="00490E17">
            <w:pPr>
              <w:rPr>
                <w:sz w:val="16"/>
                <w:szCs w:val="16"/>
              </w:rPr>
            </w:pPr>
            <w:r w:rsidRPr="00A25369">
              <w:rPr>
                <w:sz w:val="16"/>
                <w:szCs w:val="16"/>
              </w:rPr>
              <w:t>Grade</w:t>
            </w:r>
            <w:r w:rsidR="00D12E63" w:rsidRPr="00A25369">
              <w:rPr>
                <w:sz w:val="16"/>
                <w:szCs w:val="16"/>
              </w:rPr>
              <w:t xml:space="preserve"> </w:t>
            </w:r>
            <w:r w:rsidRPr="00A25369">
              <w:rPr>
                <w:sz w:val="16"/>
                <w:szCs w:val="16"/>
              </w:rPr>
              <w:t>1</w:t>
            </w:r>
          </w:p>
        </w:tc>
        <w:tc>
          <w:tcPr>
            <w:tcW w:w="905" w:type="dxa"/>
            <w:tcBorders>
              <w:bottom w:val="single" w:sz="4" w:space="0" w:color="auto"/>
            </w:tcBorders>
            <w:shd w:val="clear" w:color="auto" w:fill="E0E0E0"/>
            <w:tcMar>
              <w:left w:w="40" w:type="dxa"/>
              <w:right w:w="40" w:type="dxa"/>
            </w:tcMar>
            <w:vAlign w:val="center"/>
          </w:tcPr>
          <w:p w14:paraId="03F98CE5" w14:textId="50643C77" w:rsidR="00BA44F4" w:rsidRPr="00A25369" w:rsidRDefault="00BA44F4" w:rsidP="001706A2">
            <w:pPr>
              <w:rPr>
                <w:sz w:val="16"/>
                <w:szCs w:val="16"/>
              </w:rPr>
            </w:pPr>
            <w:r w:rsidRPr="00A25369">
              <w:rPr>
                <w:sz w:val="16"/>
                <w:szCs w:val="16"/>
              </w:rPr>
              <w:t>Grade</w:t>
            </w:r>
            <w:r w:rsidR="00D12E63" w:rsidRPr="00A25369">
              <w:rPr>
                <w:sz w:val="16"/>
                <w:szCs w:val="16"/>
              </w:rPr>
              <w:t xml:space="preserve"> </w:t>
            </w:r>
            <w:r w:rsidRPr="00A25369">
              <w:rPr>
                <w:sz w:val="16"/>
                <w:szCs w:val="16"/>
              </w:rPr>
              <w:t>2</w:t>
            </w:r>
          </w:p>
        </w:tc>
        <w:tc>
          <w:tcPr>
            <w:tcW w:w="990" w:type="dxa"/>
            <w:tcBorders>
              <w:bottom w:val="single" w:sz="4" w:space="0" w:color="auto"/>
            </w:tcBorders>
            <w:shd w:val="clear" w:color="auto" w:fill="E0E0E0"/>
            <w:tcMar>
              <w:left w:w="40" w:type="dxa"/>
              <w:right w:w="40" w:type="dxa"/>
            </w:tcMar>
            <w:vAlign w:val="center"/>
          </w:tcPr>
          <w:p w14:paraId="179EEC6F" w14:textId="30707946" w:rsidR="00BA44F4" w:rsidRPr="00A25369" w:rsidRDefault="00BA44F4" w:rsidP="001706A2">
            <w:pPr>
              <w:rPr>
                <w:sz w:val="16"/>
                <w:szCs w:val="16"/>
              </w:rPr>
            </w:pPr>
            <w:r w:rsidRPr="00A25369">
              <w:rPr>
                <w:sz w:val="16"/>
                <w:szCs w:val="16"/>
              </w:rPr>
              <w:t>Grade</w:t>
            </w:r>
            <w:r w:rsidR="00D12E63" w:rsidRPr="00A25369">
              <w:rPr>
                <w:sz w:val="16"/>
                <w:szCs w:val="16"/>
              </w:rPr>
              <w:t xml:space="preserve"> </w:t>
            </w:r>
            <w:r w:rsidRPr="00A25369">
              <w:rPr>
                <w:sz w:val="16"/>
                <w:szCs w:val="16"/>
              </w:rPr>
              <w:t>3</w:t>
            </w:r>
          </w:p>
        </w:tc>
        <w:tc>
          <w:tcPr>
            <w:tcW w:w="990" w:type="dxa"/>
            <w:tcBorders>
              <w:bottom w:val="single" w:sz="4" w:space="0" w:color="auto"/>
            </w:tcBorders>
            <w:shd w:val="clear" w:color="auto" w:fill="E0E0E0"/>
            <w:vAlign w:val="center"/>
          </w:tcPr>
          <w:p w14:paraId="46E11D7D" w14:textId="65E93650" w:rsidR="00BA44F4" w:rsidRPr="00A25369" w:rsidRDefault="00BA44F4" w:rsidP="00B34D4F">
            <w:pPr>
              <w:rPr>
                <w:sz w:val="16"/>
                <w:szCs w:val="16"/>
              </w:rPr>
            </w:pPr>
            <w:r w:rsidRPr="00A25369">
              <w:rPr>
                <w:sz w:val="16"/>
                <w:szCs w:val="16"/>
              </w:rPr>
              <w:t>Grade</w:t>
            </w:r>
            <w:r w:rsidR="00D12E63" w:rsidRPr="00A25369">
              <w:rPr>
                <w:sz w:val="16"/>
                <w:szCs w:val="16"/>
              </w:rPr>
              <w:t xml:space="preserve"> </w:t>
            </w:r>
            <w:r w:rsidRPr="00A25369">
              <w:rPr>
                <w:sz w:val="16"/>
                <w:szCs w:val="16"/>
              </w:rPr>
              <w:t>4</w:t>
            </w:r>
          </w:p>
        </w:tc>
        <w:tc>
          <w:tcPr>
            <w:tcW w:w="1175" w:type="dxa"/>
            <w:tcBorders>
              <w:bottom w:val="single" w:sz="4" w:space="0" w:color="auto"/>
            </w:tcBorders>
            <w:shd w:val="clear" w:color="auto" w:fill="E0E0E0"/>
            <w:tcMar>
              <w:left w:w="40" w:type="dxa"/>
              <w:right w:w="40" w:type="dxa"/>
            </w:tcMar>
            <w:vAlign w:val="center"/>
          </w:tcPr>
          <w:p w14:paraId="453522F8" w14:textId="77777777" w:rsidR="00BA44F4" w:rsidRPr="00A25369" w:rsidRDefault="00BA44F4" w:rsidP="00DB248E">
            <w:pPr>
              <w:rPr>
                <w:sz w:val="16"/>
                <w:szCs w:val="16"/>
              </w:rPr>
            </w:pPr>
            <w:r w:rsidRPr="00A25369">
              <w:rPr>
                <w:sz w:val="16"/>
                <w:szCs w:val="16"/>
              </w:rPr>
              <w:t>N (%)</w:t>
            </w:r>
          </w:p>
        </w:tc>
      </w:tr>
      <w:tr w:rsidR="00BA44F4" w:rsidRPr="009749EF" w14:paraId="0FADF859" w14:textId="77777777" w:rsidTr="00495330">
        <w:trPr>
          <w:cantSplit/>
          <w:jc w:val="center"/>
        </w:trPr>
        <w:tc>
          <w:tcPr>
            <w:tcW w:w="3145" w:type="dxa"/>
            <w:tcMar>
              <w:left w:w="40" w:type="dxa"/>
              <w:right w:w="40" w:type="dxa"/>
            </w:tcMar>
          </w:tcPr>
          <w:p w14:paraId="58F29C3C" w14:textId="4A4AC671" w:rsidR="00BA44F4" w:rsidRPr="00A25369" w:rsidRDefault="00BA44F4" w:rsidP="00065B26">
            <w:pPr>
              <w:rPr>
                <w:sz w:val="16"/>
                <w:szCs w:val="16"/>
              </w:rPr>
            </w:pPr>
            <w:r w:rsidRPr="00A25369">
              <w:rPr>
                <w:sz w:val="16"/>
                <w:szCs w:val="16"/>
              </w:rPr>
              <w:t>Lymphopenia</w:t>
            </w:r>
          </w:p>
        </w:tc>
        <w:tc>
          <w:tcPr>
            <w:tcW w:w="985" w:type="dxa"/>
            <w:shd w:val="clear" w:color="auto" w:fill="FFFFFF"/>
            <w:tcMar>
              <w:left w:w="40" w:type="dxa"/>
              <w:right w:w="40" w:type="dxa"/>
            </w:tcMar>
            <w:vAlign w:val="center"/>
          </w:tcPr>
          <w:p w14:paraId="6E608F9F" w14:textId="6C239846" w:rsidR="00BA44F4" w:rsidRPr="00A25369" w:rsidRDefault="00BA44F4" w:rsidP="00490E17">
            <w:pPr>
              <w:rPr>
                <w:sz w:val="16"/>
                <w:szCs w:val="16"/>
              </w:rPr>
            </w:pPr>
          </w:p>
        </w:tc>
        <w:tc>
          <w:tcPr>
            <w:tcW w:w="905" w:type="dxa"/>
            <w:shd w:val="clear" w:color="auto" w:fill="FFFFFF"/>
            <w:tcMar>
              <w:left w:w="40" w:type="dxa"/>
              <w:right w:w="40" w:type="dxa"/>
            </w:tcMar>
            <w:vAlign w:val="center"/>
          </w:tcPr>
          <w:p w14:paraId="0972C133" w14:textId="442194BF" w:rsidR="00BA44F4" w:rsidRPr="00A25369" w:rsidRDefault="00BA44F4" w:rsidP="001706A2">
            <w:pPr>
              <w:rPr>
                <w:sz w:val="16"/>
                <w:szCs w:val="16"/>
              </w:rPr>
            </w:pPr>
            <w:r w:rsidRPr="00A25369">
              <w:rPr>
                <w:sz w:val="16"/>
                <w:szCs w:val="16"/>
              </w:rPr>
              <w:t>3</w:t>
            </w:r>
          </w:p>
        </w:tc>
        <w:tc>
          <w:tcPr>
            <w:tcW w:w="990" w:type="dxa"/>
            <w:shd w:val="clear" w:color="auto" w:fill="FFFFFF"/>
            <w:tcMar>
              <w:left w:w="40" w:type="dxa"/>
              <w:right w:w="40" w:type="dxa"/>
            </w:tcMar>
            <w:vAlign w:val="center"/>
          </w:tcPr>
          <w:p w14:paraId="126A6D83" w14:textId="77777777" w:rsidR="00BA44F4" w:rsidRPr="00A25369" w:rsidRDefault="00BA44F4" w:rsidP="001706A2">
            <w:pPr>
              <w:rPr>
                <w:sz w:val="16"/>
                <w:szCs w:val="16"/>
              </w:rPr>
            </w:pPr>
          </w:p>
        </w:tc>
        <w:tc>
          <w:tcPr>
            <w:tcW w:w="990" w:type="dxa"/>
            <w:shd w:val="clear" w:color="auto" w:fill="FFFFFF"/>
            <w:vAlign w:val="center"/>
          </w:tcPr>
          <w:p w14:paraId="17F805F8"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2109CA98" w14:textId="071F78EB" w:rsidR="00BA44F4" w:rsidRPr="00A25369" w:rsidRDefault="00BA44F4" w:rsidP="00DB248E">
            <w:pPr>
              <w:rPr>
                <w:sz w:val="16"/>
                <w:szCs w:val="16"/>
              </w:rPr>
            </w:pPr>
            <w:r w:rsidRPr="00A25369">
              <w:rPr>
                <w:sz w:val="16"/>
                <w:szCs w:val="16"/>
              </w:rPr>
              <w:t>3 (15</w:t>
            </w:r>
            <w:r w:rsidR="00FF64C2" w:rsidRPr="00A25369">
              <w:rPr>
                <w:sz w:val="16"/>
                <w:szCs w:val="16"/>
              </w:rPr>
              <w:t>·</w:t>
            </w:r>
            <w:r w:rsidRPr="00A25369">
              <w:rPr>
                <w:sz w:val="16"/>
                <w:szCs w:val="16"/>
              </w:rPr>
              <w:t>0)</w:t>
            </w:r>
          </w:p>
        </w:tc>
      </w:tr>
      <w:tr w:rsidR="00BA44F4" w:rsidRPr="009749EF" w14:paraId="56E676A2" w14:textId="77777777" w:rsidTr="00495330">
        <w:trPr>
          <w:cantSplit/>
          <w:jc w:val="center"/>
        </w:trPr>
        <w:tc>
          <w:tcPr>
            <w:tcW w:w="3145" w:type="dxa"/>
            <w:tcMar>
              <w:left w:w="40" w:type="dxa"/>
              <w:right w:w="40" w:type="dxa"/>
            </w:tcMar>
          </w:tcPr>
          <w:p w14:paraId="201D1A9E" w14:textId="1E51C838" w:rsidR="00BA44F4" w:rsidRPr="00A25369" w:rsidRDefault="00BA44F4" w:rsidP="00065B26">
            <w:pPr>
              <w:rPr>
                <w:sz w:val="16"/>
                <w:szCs w:val="16"/>
              </w:rPr>
            </w:pPr>
            <w:r w:rsidRPr="00A25369">
              <w:rPr>
                <w:sz w:val="16"/>
                <w:szCs w:val="16"/>
              </w:rPr>
              <w:t>Alkaline  phosphatase</w:t>
            </w:r>
          </w:p>
        </w:tc>
        <w:tc>
          <w:tcPr>
            <w:tcW w:w="985" w:type="dxa"/>
            <w:shd w:val="clear" w:color="auto" w:fill="FFFFFF"/>
            <w:tcMar>
              <w:left w:w="40" w:type="dxa"/>
              <w:right w:w="40" w:type="dxa"/>
            </w:tcMar>
            <w:vAlign w:val="center"/>
          </w:tcPr>
          <w:p w14:paraId="1792E04A" w14:textId="51B42305" w:rsidR="00BA44F4" w:rsidRPr="00A25369" w:rsidRDefault="00BA44F4" w:rsidP="00490E17">
            <w:pPr>
              <w:rPr>
                <w:sz w:val="16"/>
                <w:szCs w:val="16"/>
              </w:rPr>
            </w:pPr>
            <w:r w:rsidRPr="00A25369">
              <w:rPr>
                <w:sz w:val="16"/>
                <w:szCs w:val="16"/>
              </w:rPr>
              <w:t>3</w:t>
            </w:r>
          </w:p>
        </w:tc>
        <w:tc>
          <w:tcPr>
            <w:tcW w:w="905" w:type="dxa"/>
            <w:shd w:val="clear" w:color="auto" w:fill="FFFFFF"/>
            <w:tcMar>
              <w:left w:w="40" w:type="dxa"/>
              <w:right w:w="40" w:type="dxa"/>
            </w:tcMar>
            <w:vAlign w:val="center"/>
          </w:tcPr>
          <w:p w14:paraId="78B335E5" w14:textId="5DC4FB68" w:rsidR="00BA44F4" w:rsidRPr="00A25369" w:rsidRDefault="00BA44F4" w:rsidP="001706A2">
            <w:pPr>
              <w:rPr>
                <w:sz w:val="16"/>
                <w:szCs w:val="16"/>
              </w:rPr>
            </w:pPr>
            <w:r w:rsidRPr="00A25369">
              <w:rPr>
                <w:sz w:val="16"/>
                <w:szCs w:val="16"/>
              </w:rPr>
              <w:t>2</w:t>
            </w:r>
          </w:p>
        </w:tc>
        <w:tc>
          <w:tcPr>
            <w:tcW w:w="990" w:type="dxa"/>
            <w:shd w:val="clear" w:color="auto" w:fill="FFFFFF"/>
            <w:tcMar>
              <w:left w:w="40" w:type="dxa"/>
              <w:right w:w="40" w:type="dxa"/>
            </w:tcMar>
            <w:vAlign w:val="center"/>
          </w:tcPr>
          <w:p w14:paraId="0E27892E" w14:textId="4FA5D49F" w:rsidR="00BA44F4" w:rsidRPr="00A25369" w:rsidRDefault="00BA44F4" w:rsidP="001706A2">
            <w:pPr>
              <w:rPr>
                <w:sz w:val="16"/>
                <w:szCs w:val="16"/>
              </w:rPr>
            </w:pPr>
            <w:r w:rsidRPr="00A25369">
              <w:rPr>
                <w:sz w:val="16"/>
                <w:szCs w:val="16"/>
              </w:rPr>
              <w:t>1</w:t>
            </w:r>
          </w:p>
        </w:tc>
        <w:tc>
          <w:tcPr>
            <w:tcW w:w="990" w:type="dxa"/>
            <w:shd w:val="clear" w:color="auto" w:fill="FFFFFF"/>
            <w:vAlign w:val="center"/>
          </w:tcPr>
          <w:p w14:paraId="1DC66E46"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60812E9F" w14:textId="73E94D23" w:rsidR="00BA44F4" w:rsidRPr="00A25369" w:rsidRDefault="00BA44F4" w:rsidP="00DB248E">
            <w:pPr>
              <w:rPr>
                <w:sz w:val="16"/>
                <w:szCs w:val="16"/>
              </w:rPr>
            </w:pPr>
            <w:r w:rsidRPr="00A25369">
              <w:rPr>
                <w:sz w:val="16"/>
                <w:szCs w:val="16"/>
              </w:rPr>
              <w:t>6 (30</w:t>
            </w:r>
            <w:r w:rsidR="00FF64C2" w:rsidRPr="00A25369">
              <w:rPr>
                <w:sz w:val="16"/>
                <w:szCs w:val="16"/>
              </w:rPr>
              <w:t>·</w:t>
            </w:r>
            <w:r w:rsidRPr="00A25369">
              <w:rPr>
                <w:sz w:val="16"/>
                <w:szCs w:val="16"/>
              </w:rPr>
              <w:t>0)</w:t>
            </w:r>
          </w:p>
        </w:tc>
      </w:tr>
      <w:tr w:rsidR="00BA44F4" w:rsidRPr="009749EF" w14:paraId="04207183" w14:textId="77777777" w:rsidTr="00495330">
        <w:trPr>
          <w:cantSplit/>
          <w:jc w:val="center"/>
        </w:trPr>
        <w:tc>
          <w:tcPr>
            <w:tcW w:w="3145" w:type="dxa"/>
            <w:tcMar>
              <w:left w:w="40" w:type="dxa"/>
              <w:right w:w="40" w:type="dxa"/>
            </w:tcMar>
          </w:tcPr>
          <w:p w14:paraId="6261FBC4" w14:textId="0CBE31F0" w:rsidR="00BA44F4" w:rsidRPr="00A25369" w:rsidRDefault="00BA44F4" w:rsidP="00065B26">
            <w:pPr>
              <w:rPr>
                <w:sz w:val="16"/>
                <w:szCs w:val="16"/>
              </w:rPr>
            </w:pPr>
            <w:r w:rsidRPr="00A25369">
              <w:rPr>
                <w:sz w:val="16"/>
                <w:szCs w:val="16"/>
              </w:rPr>
              <w:t xml:space="preserve">SGOT </w:t>
            </w:r>
          </w:p>
        </w:tc>
        <w:tc>
          <w:tcPr>
            <w:tcW w:w="985" w:type="dxa"/>
            <w:shd w:val="clear" w:color="auto" w:fill="FFFFFF"/>
            <w:tcMar>
              <w:left w:w="40" w:type="dxa"/>
              <w:right w:w="40" w:type="dxa"/>
            </w:tcMar>
            <w:vAlign w:val="center"/>
          </w:tcPr>
          <w:p w14:paraId="64048304" w14:textId="1EE72F26" w:rsidR="00BA44F4" w:rsidRPr="00A25369" w:rsidRDefault="00BA44F4" w:rsidP="00490E17">
            <w:pPr>
              <w:rPr>
                <w:sz w:val="16"/>
                <w:szCs w:val="16"/>
              </w:rPr>
            </w:pPr>
            <w:r w:rsidRPr="00A25369">
              <w:rPr>
                <w:sz w:val="16"/>
                <w:szCs w:val="16"/>
              </w:rPr>
              <w:t>8</w:t>
            </w:r>
          </w:p>
        </w:tc>
        <w:tc>
          <w:tcPr>
            <w:tcW w:w="905" w:type="dxa"/>
            <w:shd w:val="clear" w:color="auto" w:fill="FFFFFF"/>
            <w:tcMar>
              <w:left w:w="40" w:type="dxa"/>
              <w:right w:w="40" w:type="dxa"/>
            </w:tcMar>
            <w:vAlign w:val="center"/>
          </w:tcPr>
          <w:p w14:paraId="1C23111D" w14:textId="435E5687" w:rsidR="00BA44F4" w:rsidRPr="00A25369" w:rsidRDefault="00BA44F4" w:rsidP="001706A2">
            <w:pPr>
              <w:rPr>
                <w:sz w:val="16"/>
                <w:szCs w:val="16"/>
              </w:rPr>
            </w:pPr>
            <w:r w:rsidRPr="00A25369">
              <w:rPr>
                <w:sz w:val="16"/>
                <w:szCs w:val="16"/>
              </w:rPr>
              <w:t>3</w:t>
            </w:r>
          </w:p>
        </w:tc>
        <w:tc>
          <w:tcPr>
            <w:tcW w:w="990" w:type="dxa"/>
            <w:shd w:val="clear" w:color="auto" w:fill="FFFFFF"/>
            <w:tcMar>
              <w:left w:w="40" w:type="dxa"/>
              <w:right w:w="40" w:type="dxa"/>
            </w:tcMar>
            <w:vAlign w:val="center"/>
          </w:tcPr>
          <w:p w14:paraId="08544527" w14:textId="4D3454F4" w:rsidR="00BA44F4" w:rsidRPr="00A25369" w:rsidRDefault="00BA44F4" w:rsidP="001706A2">
            <w:pPr>
              <w:rPr>
                <w:sz w:val="16"/>
                <w:szCs w:val="16"/>
              </w:rPr>
            </w:pPr>
            <w:r w:rsidRPr="00A25369">
              <w:rPr>
                <w:sz w:val="16"/>
                <w:szCs w:val="16"/>
              </w:rPr>
              <w:t>1</w:t>
            </w:r>
          </w:p>
        </w:tc>
        <w:tc>
          <w:tcPr>
            <w:tcW w:w="990" w:type="dxa"/>
            <w:shd w:val="clear" w:color="auto" w:fill="FFFFFF"/>
            <w:vAlign w:val="center"/>
          </w:tcPr>
          <w:p w14:paraId="23EDA4D0"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6ED88984" w14:textId="5A2A772F" w:rsidR="00BA44F4" w:rsidRPr="00A25369" w:rsidRDefault="00BA44F4" w:rsidP="00DB248E">
            <w:pPr>
              <w:rPr>
                <w:sz w:val="16"/>
                <w:szCs w:val="16"/>
              </w:rPr>
            </w:pPr>
            <w:r w:rsidRPr="00A25369">
              <w:rPr>
                <w:sz w:val="16"/>
                <w:szCs w:val="16"/>
              </w:rPr>
              <w:t>12 (60</w:t>
            </w:r>
            <w:r w:rsidR="00FF64C2" w:rsidRPr="00A25369">
              <w:rPr>
                <w:sz w:val="16"/>
                <w:szCs w:val="16"/>
              </w:rPr>
              <w:t>·</w:t>
            </w:r>
            <w:r w:rsidRPr="00A25369">
              <w:rPr>
                <w:sz w:val="16"/>
                <w:szCs w:val="16"/>
              </w:rPr>
              <w:t>0)</w:t>
            </w:r>
          </w:p>
        </w:tc>
      </w:tr>
      <w:tr w:rsidR="00BA44F4" w:rsidRPr="009749EF" w14:paraId="09FE081D" w14:textId="77777777" w:rsidTr="00495330">
        <w:trPr>
          <w:cantSplit/>
          <w:jc w:val="center"/>
        </w:trPr>
        <w:tc>
          <w:tcPr>
            <w:tcW w:w="3145" w:type="dxa"/>
            <w:tcMar>
              <w:left w:w="40" w:type="dxa"/>
              <w:right w:w="40" w:type="dxa"/>
            </w:tcMar>
          </w:tcPr>
          <w:p w14:paraId="6BAF5912" w14:textId="2D9F85D4" w:rsidR="00BA44F4" w:rsidRPr="00A25369" w:rsidRDefault="00BA44F4" w:rsidP="00065B26">
            <w:pPr>
              <w:rPr>
                <w:sz w:val="16"/>
                <w:szCs w:val="16"/>
              </w:rPr>
            </w:pPr>
            <w:r w:rsidRPr="00A25369">
              <w:rPr>
                <w:sz w:val="16"/>
                <w:szCs w:val="16"/>
              </w:rPr>
              <w:t xml:space="preserve">SGPT </w:t>
            </w:r>
          </w:p>
        </w:tc>
        <w:tc>
          <w:tcPr>
            <w:tcW w:w="985" w:type="dxa"/>
            <w:shd w:val="clear" w:color="auto" w:fill="FFFFFF"/>
            <w:tcMar>
              <w:left w:w="40" w:type="dxa"/>
              <w:right w:w="40" w:type="dxa"/>
            </w:tcMar>
            <w:vAlign w:val="center"/>
          </w:tcPr>
          <w:p w14:paraId="40F9075E" w14:textId="3D818C32" w:rsidR="00BA44F4" w:rsidRPr="00A25369" w:rsidRDefault="00BA44F4" w:rsidP="00490E17">
            <w:pPr>
              <w:rPr>
                <w:sz w:val="16"/>
                <w:szCs w:val="16"/>
              </w:rPr>
            </w:pPr>
            <w:r w:rsidRPr="00A25369">
              <w:rPr>
                <w:sz w:val="16"/>
                <w:szCs w:val="16"/>
              </w:rPr>
              <w:t>10</w:t>
            </w:r>
          </w:p>
        </w:tc>
        <w:tc>
          <w:tcPr>
            <w:tcW w:w="905" w:type="dxa"/>
            <w:shd w:val="clear" w:color="auto" w:fill="FFFFFF"/>
            <w:tcMar>
              <w:left w:w="40" w:type="dxa"/>
              <w:right w:w="40" w:type="dxa"/>
            </w:tcMar>
            <w:vAlign w:val="center"/>
          </w:tcPr>
          <w:p w14:paraId="2C9C767E" w14:textId="4CDCBFAF" w:rsidR="00BA44F4" w:rsidRPr="00A25369" w:rsidRDefault="00BA44F4" w:rsidP="001706A2">
            <w:pPr>
              <w:rPr>
                <w:sz w:val="16"/>
                <w:szCs w:val="16"/>
              </w:rPr>
            </w:pPr>
            <w:r w:rsidRPr="00A25369">
              <w:rPr>
                <w:sz w:val="16"/>
                <w:szCs w:val="16"/>
              </w:rPr>
              <w:t>2</w:t>
            </w:r>
          </w:p>
        </w:tc>
        <w:tc>
          <w:tcPr>
            <w:tcW w:w="990" w:type="dxa"/>
            <w:shd w:val="clear" w:color="auto" w:fill="FFFFFF"/>
            <w:tcMar>
              <w:left w:w="40" w:type="dxa"/>
              <w:right w:w="40" w:type="dxa"/>
            </w:tcMar>
            <w:vAlign w:val="center"/>
          </w:tcPr>
          <w:p w14:paraId="097A9558" w14:textId="75FBCD51" w:rsidR="00BA44F4" w:rsidRPr="00A25369" w:rsidRDefault="00BA44F4" w:rsidP="001706A2">
            <w:pPr>
              <w:rPr>
                <w:sz w:val="16"/>
                <w:szCs w:val="16"/>
              </w:rPr>
            </w:pPr>
            <w:r w:rsidRPr="00A25369">
              <w:rPr>
                <w:sz w:val="16"/>
                <w:szCs w:val="16"/>
              </w:rPr>
              <w:t>1</w:t>
            </w:r>
          </w:p>
        </w:tc>
        <w:tc>
          <w:tcPr>
            <w:tcW w:w="990" w:type="dxa"/>
            <w:shd w:val="clear" w:color="auto" w:fill="FFFFFF"/>
            <w:vAlign w:val="center"/>
          </w:tcPr>
          <w:p w14:paraId="3EC01514"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69F57E60" w14:textId="55E9A95B" w:rsidR="00BA44F4" w:rsidRPr="00A25369" w:rsidRDefault="00BA44F4" w:rsidP="00DB248E">
            <w:pPr>
              <w:rPr>
                <w:sz w:val="16"/>
                <w:szCs w:val="16"/>
              </w:rPr>
            </w:pPr>
            <w:r w:rsidRPr="00A25369">
              <w:rPr>
                <w:sz w:val="16"/>
                <w:szCs w:val="16"/>
              </w:rPr>
              <w:t>13 (65</w:t>
            </w:r>
            <w:r w:rsidR="00FF64C2" w:rsidRPr="00A25369">
              <w:rPr>
                <w:sz w:val="16"/>
                <w:szCs w:val="16"/>
              </w:rPr>
              <w:t>·</w:t>
            </w:r>
            <w:r w:rsidRPr="00A25369">
              <w:rPr>
                <w:sz w:val="16"/>
                <w:szCs w:val="16"/>
              </w:rPr>
              <w:t>0)</w:t>
            </w:r>
          </w:p>
        </w:tc>
      </w:tr>
      <w:tr w:rsidR="00BA44F4" w:rsidRPr="009749EF" w14:paraId="5C265940" w14:textId="77777777" w:rsidTr="00495330">
        <w:trPr>
          <w:cantSplit/>
          <w:jc w:val="center"/>
        </w:trPr>
        <w:tc>
          <w:tcPr>
            <w:tcW w:w="3145" w:type="dxa"/>
            <w:tcMar>
              <w:left w:w="40" w:type="dxa"/>
              <w:right w:w="40" w:type="dxa"/>
            </w:tcMar>
          </w:tcPr>
          <w:p w14:paraId="7189EED7" w14:textId="18919EDD" w:rsidR="00BA44F4" w:rsidRPr="00A25369" w:rsidRDefault="00BA44F4" w:rsidP="00065B26">
            <w:pPr>
              <w:rPr>
                <w:sz w:val="16"/>
                <w:szCs w:val="16"/>
              </w:rPr>
            </w:pPr>
            <w:r w:rsidRPr="00A25369">
              <w:rPr>
                <w:sz w:val="16"/>
                <w:szCs w:val="16"/>
              </w:rPr>
              <w:t>Hypocalcemia</w:t>
            </w:r>
          </w:p>
        </w:tc>
        <w:tc>
          <w:tcPr>
            <w:tcW w:w="985" w:type="dxa"/>
            <w:shd w:val="clear" w:color="auto" w:fill="FFFFFF"/>
            <w:tcMar>
              <w:left w:w="40" w:type="dxa"/>
              <w:right w:w="40" w:type="dxa"/>
            </w:tcMar>
            <w:vAlign w:val="center"/>
          </w:tcPr>
          <w:p w14:paraId="539C91AF" w14:textId="047C4343" w:rsidR="00BA44F4" w:rsidRPr="00A25369" w:rsidRDefault="00BA44F4" w:rsidP="00490E17">
            <w:pPr>
              <w:rPr>
                <w:sz w:val="16"/>
                <w:szCs w:val="16"/>
              </w:rPr>
            </w:pPr>
            <w:r w:rsidRPr="00A25369">
              <w:rPr>
                <w:sz w:val="16"/>
                <w:szCs w:val="16"/>
              </w:rPr>
              <w:t>8</w:t>
            </w:r>
          </w:p>
        </w:tc>
        <w:tc>
          <w:tcPr>
            <w:tcW w:w="905" w:type="dxa"/>
            <w:shd w:val="clear" w:color="auto" w:fill="FFFFFF"/>
            <w:tcMar>
              <w:left w:w="40" w:type="dxa"/>
              <w:right w:w="40" w:type="dxa"/>
            </w:tcMar>
            <w:vAlign w:val="center"/>
          </w:tcPr>
          <w:p w14:paraId="388DCFD9" w14:textId="49625C37" w:rsidR="00BA44F4" w:rsidRPr="00A25369" w:rsidRDefault="00BA44F4" w:rsidP="001706A2">
            <w:pPr>
              <w:rPr>
                <w:sz w:val="16"/>
                <w:szCs w:val="16"/>
              </w:rPr>
            </w:pPr>
            <w:r w:rsidRPr="00A25369">
              <w:rPr>
                <w:sz w:val="16"/>
                <w:szCs w:val="16"/>
              </w:rPr>
              <w:t>5</w:t>
            </w:r>
          </w:p>
        </w:tc>
        <w:tc>
          <w:tcPr>
            <w:tcW w:w="990" w:type="dxa"/>
            <w:shd w:val="clear" w:color="auto" w:fill="FFFFFF"/>
            <w:tcMar>
              <w:left w:w="40" w:type="dxa"/>
              <w:right w:w="40" w:type="dxa"/>
            </w:tcMar>
            <w:vAlign w:val="center"/>
          </w:tcPr>
          <w:p w14:paraId="336B998A" w14:textId="77777777" w:rsidR="00BA44F4" w:rsidRPr="00A25369" w:rsidRDefault="00BA44F4" w:rsidP="001706A2">
            <w:pPr>
              <w:rPr>
                <w:sz w:val="16"/>
                <w:szCs w:val="16"/>
              </w:rPr>
            </w:pPr>
          </w:p>
        </w:tc>
        <w:tc>
          <w:tcPr>
            <w:tcW w:w="990" w:type="dxa"/>
            <w:shd w:val="clear" w:color="auto" w:fill="FFFFFF"/>
            <w:vAlign w:val="center"/>
          </w:tcPr>
          <w:p w14:paraId="41EE1794"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660B5770" w14:textId="721A4793" w:rsidR="00BA44F4" w:rsidRPr="00A25369" w:rsidRDefault="00BA44F4" w:rsidP="00DB248E">
            <w:pPr>
              <w:rPr>
                <w:sz w:val="16"/>
                <w:szCs w:val="16"/>
              </w:rPr>
            </w:pPr>
            <w:r w:rsidRPr="00A25369">
              <w:rPr>
                <w:sz w:val="16"/>
                <w:szCs w:val="16"/>
              </w:rPr>
              <w:t>13 (65</w:t>
            </w:r>
            <w:r w:rsidR="00FF64C2" w:rsidRPr="00A25369">
              <w:rPr>
                <w:sz w:val="16"/>
                <w:szCs w:val="16"/>
              </w:rPr>
              <w:t>·</w:t>
            </w:r>
            <w:r w:rsidRPr="00A25369">
              <w:rPr>
                <w:sz w:val="16"/>
                <w:szCs w:val="16"/>
              </w:rPr>
              <w:t>0)</w:t>
            </w:r>
          </w:p>
        </w:tc>
      </w:tr>
      <w:tr w:rsidR="00BA44F4" w:rsidRPr="009749EF" w14:paraId="1537D01B" w14:textId="77777777" w:rsidTr="00495330">
        <w:trPr>
          <w:cantSplit/>
          <w:jc w:val="center"/>
        </w:trPr>
        <w:tc>
          <w:tcPr>
            <w:tcW w:w="3145" w:type="dxa"/>
            <w:tcMar>
              <w:left w:w="40" w:type="dxa"/>
              <w:right w:w="40" w:type="dxa"/>
            </w:tcMar>
          </w:tcPr>
          <w:p w14:paraId="463AC5DD" w14:textId="79A198AD" w:rsidR="00BA44F4" w:rsidRPr="00A25369" w:rsidRDefault="00BA44F4" w:rsidP="00065B26">
            <w:pPr>
              <w:rPr>
                <w:sz w:val="16"/>
                <w:szCs w:val="16"/>
              </w:rPr>
            </w:pPr>
            <w:r w:rsidRPr="00A25369">
              <w:rPr>
                <w:sz w:val="16"/>
                <w:szCs w:val="16"/>
              </w:rPr>
              <w:t>Serum creatinine</w:t>
            </w:r>
          </w:p>
        </w:tc>
        <w:tc>
          <w:tcPr>
            <w:tcW w:w="985" w:type="dxa"/>
            <w:shd w:val="clear" w:color="auto" w:fill="FFFFFF"/>
            <w:tcMar>
              <w:left w:w="40" w:type="dxa"/>
              <w:right w:w="40" w:type="dxa"/>
            </w:tcMar>
            <w:vAlign w:val="center"/>
          </w:tcPr>
          <w:p w14:paraId="57C5926A" w14:textId="6E5F5D66" w:rsidR="00BA44F4" w:rsidRPr="00A25369" w:rsidRDefault="00BA44F4" w:rsidP="00490E17">
            <w:pPr>
              <w:rPr>
                <w:sz w:val="16"/>
                <w:szCs w:val="16"/>
              </w:rPr>
            </w:pPr>
            <w:r w:rsidRPr="00A25369">
              <w:rPr>
                <w:sz w:val="16"/>
                <w:szCs w:val="16"/>
              </w:rPr>
              <w:t>6</w:t>
            </w:r>
          </w:p>
        </w:tc>
        <w:tc>
          <w:tcPr>
            <w:tcW w:w="905" w:type="dxa"/>
            <w:shd w:val="clear" w:color="auto" w:fill="FFFFFF"/>
            <w:tcMar>
              <w:left w:w="40" w:type="dxa"/>
              <w:right w:w="40" w:type="dxa"/>
            </w:tcMar>
            <w:vAlign w:val="center"/>
          </w:tcPr>
          <w:p w14:paraId="518ED242" w14:textId="5E57AB51" w:rsidR="00BA44F4" w:rsidRPr="00A25369" w:rsidRDefault="00BA44F4" w:rsidP="001706A2">
            <w:pPr>
              <w:rPr>
                <w:sz w:val="16"/>
                <w:szCs w:val="16"/>
              </w:rPr>
            </w:pPr>
            <w:r w:rsidRPr="00A25369">
              <w:rPr>
                <w:sz w:val="16"/>
                <w:szCs w:val="16"/>
              </w:rPr>
              <w:t>3</w:t>
            </w:r>
          </w:p>
        </w:tc>
        <w:tc>
          <w:tcPr>
            <w:tcW w:w="990" w:type="dxa"/>
            <w:shd w:val="clear" w:color="auto" w:fill="FFFFFF"/>
            <w:tcMar>
              <w:left w:w="40" w:type="dxa"/>
              <w:right w:w="40" w:type="dxa"/>
            </w:tcMar>
            <w:vAlign w:val="center"/>
          </w:tcPr>
          <w:p w14:paraId="6F252170" w14:textId="77777777" w:rsidR="00BA44F4" w:rsidRPr="00A25369" w:rsidRDefault="00BA44F4" w:rsidP="001706A2">
            <w:pPr>
              <w:rPr>
                <w:sz w:val="16"/>
                <w:szCs w:val="16"/>
              </w:rPr>
            </w:pPr>
          </w:p>
        </w:tc>
        <w:tc>
          <w:tcPr>
            <w:tcW w:w="990" w:type="dxa"/>
            <w:shd w:val="clear" w:color="auto" w:fill="FFFFFF"/>
            <w:vAlign w:val="center"/>
          </w:tcPr>
          <w:p w14:paraId="7E80C25D"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2CAD7394" w14:textId="1D3FA2F0" w:rsidR="00BA44F4" w:rsidRPr="00A25369" w:rsidRDefault="00BA44F4" w:rsidP="00DB248E">
            <w:pPr>
              <w:rPr>
                <w:sz w:val="16"/>
                <w:szCs w:val="16"/>
              </w:rPr>
            </w:pPr>
            <w:r w:rsidRPr="00A25369">
              <w:rPr>
                <w:sz w:val="16"/>
                <w:szCs w:val="16"/>
              </w:rPr>
              <w:t>9 (45</w:t>
            </w:r>
            <w:r w:rsidR="00FF64C2" w:rsidRPr="00A25369">
              <w:rPr>
                <w:sz w:val="16"/>
                <w:szCs w:val="16"/>
              </w:rPr>
              <w:t>·</w:t>
            </w:r>
            <w:r w:rsidRPr="00A25369">
              <w:rPr>
                <w:sz w:val="16"/>
                <w:szCs w:val="16"/>
              </w:rPr>
              <w:t>0)</w:t>
            </w:r>
          </w:p>
        </w:tc>
      </w:tr>
      <w:tr w:rsidR="00BA44F4" w:rsidRPr="009749EF" w14:paraId="4DFF77A8" w14:textId="77777777" w:rsidTr="00495330">
        <w:trPr>
          <w:cantSplit/>
          <w:jc w:val="center"/>
        </w:trPr>
        <w:tc>
          <w:tcPr>
            <w:tcW w:w="3145" w:type="dxa"/>
            <w:tcMar>
              <w:left w:w="40" w:type="dxa"/>
              <w:right w:w="40" w:type="dxa"/>
            </w:tcMar>
          </w:tcPr>
          <w:p w14:paraId="19375F66" w14:textId="1533A62E" w:rsidR="00BA44F4" w:rsidRPr="00A25369" w:rsidRDefault="00BA44F4" w:rsidP="00065B26">
            <w:pPr>
              <w:rPr>
                <w:sz w:val="16"/>
                <w:szCs w:val="16"/>
              </w:rPr>
            </w:pPr>
            <w:r w:rsidRPr="00A25369">
              <w:rPr>
                <w:sz w:val="16"/>
                <w:szCs w:val="16"/>
              </w:rPr>
              <w:t>Hyperglycemia</w:t>
            </w:r>
          </w:p>
        </w:tc>
        <w:tc>
          <w:tcPr>
            <w:tcW w:w="985" w:type="dxa"/>
            <w:shd w:val="clear" w:color="auto" w:fill="FFFFFF"/>
            <w:tcMar>
              <w:left w:w="40" w:type="dxa"/>
              <w:right w:w="40" w:type="dxa"/>
            </w:tcMar>
            <w:vAlign w:val="center"/>
          </w:tcPr>
          <w:p w14:paraId="7C537962" w14:textId="0A0BA83B" w:rsidR="00BA44F4" w:rsidRPr="00A25369" w:rsidRDefault="00BA44F4" w:rsidP="00490E17">
            <w:pPr>
              <w:rPr>
                <w:sz w:val="16"/>
                <w:szCs w:val="16"/>
              </w:rPr>
            </w:pPr>
            <w:r w:rsidRPr="00A25369">
              <w:rPr>
                <w:sz w:val="16"/>
                <w:szCs w:val="16"/>
              </w:rPr>
              <w:t>6</w:t>
            </w:r>
          </w:p>
        </w:tc>
        <w:tc>
          <w:tcPr>
            <w:tcW w:w="905" w:type="dxa"/>
            <w:shd w:val="clear" w:color="auto" w:fill="FFFFFF"/>
            <w:tcMar>
              <w:left w:w="40" w:type="dxa"/>
              <w:right w:w="40" w:type="dxa"/>
            </w:tcMar>
            <w:vAlign w:val="center"/>
          </w:tcPr>
          <w:p w14:paraId="2964A0AF" w14:textId="13BD5340" w:rsidR="00BA44F4" w:rsidRPr="00A25369" w:rsidRDefault="00BA44F4" w:rsidP="001706A2">
            <w:pPr>
              <w:rPr>
                <w:sz w:val="16"/>
                <w:szCs w:val="16"/>
              </w:rPr>
            </w:pPr>
            <w:r w:rsidRPr="00A25369">
              <w:rPr>
                <w:sz w:val="16"/>
                <w:szCs w:val="16"/>
              </w:rPr>
              <w:t>1</w:t>
            </w:r>
          </w:p>
        </w:tc>
        <w:tc>
          <w:tcPr>
            <w:tcW w:w="990" w:type="dxa"/>
            <w:shd w:val="clear" w:color="auto" w:fill="FFFFFF"/>
            <w:tcMar>
              <w:left w:w="40" w:type="dxa"/>
              <w:right w:w="40" w:type="dxa"/>
            </w:tcMar>
            <w:vAlign w:val="center"/>
          </w:tcPr>
          <w:p w14:paraId="14752BA0" w14:textId="77777777" w:rsidR="00BA44F4" w:rsidRPr="00A25369" w:rsidRDefault="00BA44F4" w:rsidP="001706A2">
            <w:pPr>
              <w:rPr>
                <w:sz w:val="16"/>
                <w:szCs w:val="16"/>
              </w:rPr>
            </w:pPr>
          </w:p>
        </w:tc>
        <w:tc>
          <w:tcPr>
            <w:tcW w:w="990" w:type="dxa"/>
            <w:shd w:val="clear" w:color="auto" w:fill="FFFFFF"/>
            <w:vAlign w:val="center"/>
          </w:tcPr>
          <w:p w14:paraId="6E1748A1"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0E4A287A" w14:textId="065AEB84" w:rsidR="00BA44F4" w:rsidRPr="00A25369" w:rsidRDefault="00BA44F4" w:rsidP="00DB248E">
            <w:pPr>
              <w:rPr>
                <w:sz w:val="16"/>
                <w:szCs w:val="16"/>
              </w:rPr>
            </w:pPr>
            <w:r w:rsidRPr="00A25369">
              <w:rPr>
                <w:sz w:val="16"/>
                <w:szCs w:val="16"/>
              </w:rPr>
              <w:t>7 (35</w:t>
            </w:r>
            <w:r w:rsidR="00FF64C2" w:rsidRPr="00A25369">
              <w:rPr>
                <w:sz w:val="16"/>
                <w:szCs w:val="16"/>
              </w:rPr>
              <w:t>·</w:t>
            </w:r>
            <w:r w:rsidRPr="00A25369">
              <w:rPr>
                <w:sz w:val="16"/>
                <w:szCs w:val="16"/>
              </w:rPr>
              <w:t>0)</w:t>
            </w:r>
          </w:p>
        </w:tc>
      </w:tr>
      <w:tr w:rsidR="00BA44F4" w:rsidRPr="009749EF" w14:paraId="2BA68399" w14:textId="77777777" w:rsidTr="00BA44F4">
        <w:trPr>
          <w:cantSplit/>
          <w:jc w:val="center"/>
        </w:trPr>
        <w:tc>
          <w:tcPr>
            <w:tcW w:w="3145" w:type="dxa"/>
            <w:tcMar>
              <w:left w:w="40" w:type="dxa"/>
              <w:right w:w="40" w:type="dxa"/>
            </w:tcMar>
          </w:tcPr>
          <w:p w14:paraId="5C9E4FBB" w14:textId="6FC0B69F" w:rsidR="00BA44F4" w:rsidRPr="00A25369" w:rsidRDefault="00BA44F4" w:rsidP="00065B26">
            <w:pPr>
              <w:rPr>
                <w:sz w:val="16"/>
                <w:szCs w:val="16"/>
              </w:rPr>
            </w:pPr>
            <w:r w:rsidRPr="00A25369">
              <w:rPr>
                <w:sz w:val="16"/>
                <w:szCs w:val="16"/>
              </w:rPr>
              <w:t>Hypoglycemia</w:t>
            </w:r>
          </w:p>
        </w:tc>
        <w:tc>
          <w:tcPr>
            <w:tcW w:w="985" w:type="dxa"/>
            <w:shd w:val="clear" w:color="auto" w:fill="FFFFFF"/>
            <w:tcMar>
              <w:left w:w="40" w:type="dxa"/>
              <w:right w:w="40" w:type="dxa"/>
            </w:tcMar>
            <w:vAlign w:val="center"/>
          </w:tcPr>
          <w:p w14:paraId="4065A1C2" w14:textId="0B2414A6" w:rsidR="00BA44F4" w:rsidRPr="00A25369" w:rsidRDefault="00BA44F4" w:rsidP="00490E17">
            <w:pPr>
              <w:rPr>
                <w:sz w:val="16"/>
                <w:szCs w:val="16"/>
              </w:rPr>
            </w:pPr>
            <w:r w:rsidRPr="00A25369">
              <w:rPr>
                <w:sz w:val="16"/>
                <w:szCs w:val="16"/>
              </w:rPr>
              <w:t>2</w:t>
            </w:r>
          </w:p>
        </w:tc>
        <w:tc>
          <w:tcPr>
            <w:tcW w:w="905" w:type="dxa"/>
            <w:shd w:val="clear" w:color="auto" w:fill="FFFFFF"/>
            <w:tcMar>
              <w:left w:w="40" w:type="dxa"/>
              <w:right w:w="40" w:type="dxa"/>
            </w:tcMar>
            <w:vAlign w:val="center"/>
          </w:tcPr>
          <w:p w14:paraId="15FB6DBD" w14:textId="6E5A9F73" w:rsidR="00BA44F4" w:rsidRPr="00A25369" w:rsidRDefault="00BA44F4" w:rsidP="001706A2">
            <w:pPr>
              <w:rPr>
                <w:sz w:val="16"/>
                <w:szCs w:val="16"/>
              </w:rPr>
            </w:pPr>
            <w:r w:rsidRPr="00A25369">
              <w:rPr>
                <w:sz w:val="16"/>
                <w:szCs w:val="16"/>
              </w:rPr>
              <w:t>3</w:t>
            </w:r>
          </w:p>
        </w:tc>
        <w:tc>
          <w:tcPr>
            <w:tcW w:w="990" w:type="dxa"/>
            <w:shd w:val="clear" w:color="auto" w:fill="FFFFFF"/>
            <w:tcMar>
              <w:left w:w="40" w:type="dxa"/>
              <w:right w:w="40" w:type="dxa"/>
            </w:tcMar>
            <w:vAlign w:val="center"/>
          </w:tcPr>
          <w:p w14:paraId="69ADB277" w14:textId="1F36D320" w:rsidR="00BA44F4" w:rsidRPr="00A25369" w:rsidRDefault="00BA44F4" w:rsidP="001706A2">
            <w:pPr>
              <w:rPr>
                <w:sz w:val="16"/>
                <w:szCs w:val="16"/>
              </w:rPr>
            </w:pPr>
          </w:p>
        </w:tc>
        <w:tc>
          <w:tcPr>
            <w:tcW w:w="990" w:type="dxa"/>
            <w:shd w:val="clear" w:color="auto" w:fill="FFFFFF"/>
            <w:vAlign w:val="center"/>
          </w:tcPr>
          <w:p w14:paraId="47A47205"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0AB70E26" w14:textId="3C9CE226" w:rsidR="00BA44F4" w:rsidRPr="00A25369" w:rsidRDefault="00BA44F4" w:rsidP="00DB248E">
            <w:pPr>
              <w:rPr>
                <w:sz w:val="16"/>
                <w:szCs w:val="16"/>
              </w:rPr>
            </w:pPr>
            <w:r w:rsidRPr="00A25369">
              <w:rPr>
                <w:sz w:val="16"/>
                <w:szCs w:val="16"/>
              </w:rPr>
              <w:t>5 (25</w:t>
            </w:r>
            <w:r w:rsidR="00FF64C2" w:rsidRPr="00A25369">
              <w:rPr>
                <w:sz w:val="16"/>
                <w:szCs w:val="16"/>
              </w:rPr>
              <w:t>·</w:t>
            </w:r>
            <w:r w:rsidRPr="00A25369">
              <w:rPr>
                <w:sz w:val="16"/>
                <w:szCs w:val="16"/>
              </w:rPr>
              <w:t>0)</w:t>
            </w:r>
          </w:p>
        </w:tc>
      </w:tr>
      <w:tr w:rsidR="00BA44F4" w:rsidRPr="009749EF" w14:paraId="275565B3" w14:textId="77777777" w:rsidTr="00BA44F4">
        <w:trPr>
          <w:cantSplit/>
          <w:jc w:val="center"/>
        </w:trPr>
        <w:tc>
          <w:tcPr>
            <w:tcW w:w="3145" w:type="dxa"/>
            <w:tcMar>
              <w:left w:w="40" w:type="dxa"/>
              <w:right w:w="40" w:type="dxa"/>
            </w:tcMar>
          </w:tcPr>
          <w:p w14:paraId="07D6D1C4" w14:textId="102E8F6B" w:rsidR="00BA44F4" w:rsidRPr="00A25369" w:rsidRDefault="00BA44F4" w:rsidP="00065B26">
            <w:pPr>
              <w:rPr>
                <w:sz w:val="16"/>
                <w:szCs w:val="16"/>
              </w:rPr>
            </w:pPr>
            <w:r w:rsidRPr="00A25369">
              <w:rPr>
                <w:sz w:val="16"/>
                <w:szCs w:val="16"/>
              </w:rPr>
              <w:t>Anemia</w:t>
            </w:r>
          </w:p>
        </w:tc>
        <w:tc>
          <w:tcPr>
            <w:tcW w:w="985" w:type="dxa"/>
            <w:shd w:val="clear" w:color="auto" w:fill="FFFFFF"/>
            <w:tcMar>
              <w:left w:w="40" w:type="dxa"/>
              <w:right w:w="40" w:type="dxa"/>
            </w:tcMar>
            <w:vAlign w:val="center"/>
          </w:tcPr>
          <w:p w14:paraId="5739F8C9" w14:textId="77777777" w:rsidR="00BA44F4" w:rsidRPr="00A25369" w:rsidRDefault="00BA44F4" w:rsidP="00490E17">
            <w:pPr>
              <w:rPr>
                <w:sz w:val="16"/>
                <w:szCs w:val="16"/>
              </w:rPr>
            </w:pPr>
          </w:p>
        </w:tc>
        <w:tc>
          <w:tcPr>
            <w:tcW w:w="905" w:type="dxa"/>
            <w:shd w:val="clear" w:color="auto" w:fill="FFFFFF"/>
            <w:tcMar>
              <w:left w:w="40" w:type="dxa"/>
              <w:right w:w="40" w:type="dxa"/>
            </w:tcMar>
            <w:vAlign w:val="center"/>
          </w:tcPr>
          <w:p w14:paraId="660A13C7" w14:textId="176C7436" w:rsidR="00BA44F4" w:rsidRPr="00A25369" w:rsidRDefault="00BA44F4" w:rsidP="001706A2">
            <w:pPr>
              <w:rPr>
                <w:sz w:val="16"/>
                <w:szCs w:val="16"/>
              </w:rPr>
            </w:pPr>
            <w:r w:rsidRPr="00A25369">
              <w:rPr>
                <w:sz w:val="16"/>
                <w:szCs w:val="16"/>
              </w:rPr>
              <w:t>1</w:t>
            </w:r>
          </w:p>
        </w:tc>
        <w:tc>
          <w:tcPr>
            <w:tcW w:w="990" w:type="dxa"/>
            <w:shd w:val="clear" w:color="auto" w:fill="FFFFFF"/>
            <w:tcMar>
              <w:left w:w="40" w:type="dxa"/>
              <w:right w:w="40" w:type="dxa"/>
            </w:tcMar>
            <w:vAlign w:val="center"/>
          </w:tcPr>
          <w:p w14:paraId="2BA5B48D" w14:textId="082EAC77" w:rsidR="00BA44F4" w:rsidRPr="00A25369" w:rsidRDefault="00BA44F4" w:rsidP="001706A2">
            <w:pPr>
              <w:rPr>
                <w:sz w:val="16"/>
                <w:szCs w:val="16"/>
              </w:rPr>
            </w:pPr>
            <w:r w:rsidRPr="00A25369">
              <w:rPr>
                <w:sz w:val="16"/>
                <w:szCs w:val="16"/>
              </w:rPr>
              <w:t>2</w:t>
            </w:r>
          </w:p>
        </w:tc>
        <w:tc>
          <w:tcPr>
            <w:tcW w:w="990" w:type="dxa"/>
            <w:shd w:val="clear" w:color="auto" w:fill="FFFFFF"/>
            <w:vAlign w:val="center"/>
          </w:tcPr>
          <w:p w14:paraId="0F0C5759"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677FA7CE" w14:textId="36A5DDFB" w:rsidR="00BA44F4" w:rsidRPr="00A25369" w:rsidRDefault="00BA44F4" w:rsidP="00DB248E">
            <w:pPr>
              <w:rPr>
                <w:sz w:val="16"/>
                <w:szCs w:val="16"/>
              </w:rPr>
            </w:pPr>
            <w:r w:rsidRPr="00A25369">
              <w:rPr>
                <w:sz w:val="16"/>
                <w:szCs w:val="16"/>
              </w:rPr>
              <w:t>3 (15</w:t>
            </w:r>
            <w:r w:rsidR="00FF64C2" w:rsidRPr="00A25369">
              <w:rPr>
                <w:sz w:val="16"/>
                <w:szCs w:val="16"/>
              </w:rPr>
              <w:t>·</w:t>
            </w:r>
            <w:r w:rsidRPr="00A25369">
              <w:rPr>
                <w:sz w:val="16"/>
                <w:szCs w:val="16"/>
              </w:rPr>
              <w:t>0)</w:t>
            </w:r>
          </w:p>
        </w:tc>
      </w:tr>
      <w:tr w:rsidR="00BA44F4" w:rsidRPr="009749EF" w14:paraId="00923347" w14:textId="77777777" w:rsidTr="00BA44F4">
        <w:trPr>
          <w:cantSplit/>
          <w:jc w:val="center"/>
        </w:trPr>
        <w:tc>
          <w:tcPr>
            <w:tcW w:w="3145" w:type="dxa"/>
            <w:tcMar>
              <w:left w:w="40" w:type="dxa"/>
              <w:right w:w="40" w:type="dxa"/>
            </w:tcMar>
          </w:tcPr>
          <w:p w14:paraId="267E7FE1" w14:textId="66BDA55E" w:rsidR="00BA44F4" w:rsidRPr="00A25369" w:rsidRDefault="00BA44F4" w:rsidP="00065B26">
            <w:pPr>
              <w:rPr>
                <w:sz w:val="16"/>
                <w:szCs w:val="16"/>
              </w:rPr>
            </w:pPr>
            <w:r w:rsidRPr="00A25369">
              <w:rPr>
                <w:sz w:val="16"/>
                <w:szCs w:val="16"/>
              </w:rPr>
              <w:t>Hyperkalemia</w:t>
            </w:r>
          </w:p>
        </w:tc>
        <w:tc>
          <w:tcPr>
            <w:tcW w:w="985" w:type="dxa"/>
            <w:shd w:val="clear" w:color="auto" w:fill="FFFFFF"/>
            <w:tcMar>
              <w:left w:w="40" w:type="dxa"/>
              <w:right w:w="40" w:type="dxa"/>
            </w:tcMar>
            <w:vAlign w:val="center"/>
          </w:tcPr>
          <w:p w14:paraId="5DFC9122" w14:textId="4EA705A7" w:rsidR="00BA44F4" w:rsidRPr="00A25369" w:rsidRDefault="00BA44F4" w:rsidP="00490E17">
            <w:pPr>
              <w:rPr>
                <w:sz w:val="16"/>
                <w:szCs w:val="16"/>
              </w:rPr>
            </w:pPr>
            <w:r w:rsidRPr="00A25369">
              <w:rPr>
                <w:sz w:val="16"/>
                <w:szCs w:val="16"/>
              </w:rPr>
              <w:t>5</w:t>
            </w:r>
          </w:p>
        </w:tc>
        <w:tc>
          <w:tcPr>
            <w:tcW w:w="905" w:type="dxa"/>
            <w:shd w:val="clear" w:color="auto" w:fill="FFFFFF"/>
            <w:tcMar>
              <w:left w:w="40" w:type="dxa"/>
              <w:right w:w="40" w:type="dxa"/>
            </w:tcMar>
            <w:vAlign w:val="center"/>
          </w:tcPr>
          <w:p w14:paraId="3D58C09C" w14:textId="33C98C35" w:rsidR="00BA44F4" w:rsidRPr="00A25369" w:rsidRDefault="00BA44F4" w:rsidP="001706A2">
            <w:pPr>
              <w:rPr>
                <w:sz w:val="16"/>
                <w:szCs w:val="16"/>
              </w:rPr>
            </w:pPr>
            <w:r w:rsidRPr="00A25369">
              <w:rPr>
                <w:sz w:val="16"/>
                <w:szCs w:val="16"/>
              </w:rPr>
              <w:t>3</w:t>
            </w:r>
          </w:p>
        </w:tc>
        <w:tc>
          <w:tcPr>
            <w:tcW w:w="990" w:type="dxa"/>
            <w:shd w:val="clear" w:color="auto" w:fill="FFFFFF"/>
            <w:tcMar>
              <w:left w:w="40" w:type="dxa"/>
              <w:right w:w="40" w:type="dxa"/>
            </w:tcMar>
            <w:vAlign w:val="center"/>
          </w:tcPr>
          <w:p w14:paraId="10E1F2CC" w14:textId="77777777" w:rsidR="00BA44F4" w:rsidRPr="00A25369" w:rsidRDefault="00BA44F4" w:rsidP="001706A2">
            <w:pPr>
              <w:rPr>
                <w:sz w:val="16"/>
                <w:szCs w:val="16"/>
              </w:rPr>
            </w:pPr>
          </w:p>
        </w:tc>
        <w:tc>
          <w:tcPr>
            <w:tcW w:w="990" w:type="dxa"/>
            <w:shd w:val="clear" w:color="auto" w:fill="FFFFFF"/>
            <w:vAlign w:val="center"/>
          </w:tcPr>
          <w:p w14:paraId="472C3295"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059D59FF" w14:textId="37BB8B83" w:rsidR="00BA44F4" w:rsidRPr="00A25369" w:rsidRDefault="00BA44F4" w:rsidP="00DB248E">
            <w:pPr>
              <w:rPr>
                <w:sz w:val="16"/>
                <w:szCs w:val="16"/>
              </w:rPr>
            </w:pPr>
            <w:r w:rsidRPr="00A25369">
              <w:rPr>
                <w:sz w:val="16"/>
                <w:szCs w:val="16"/>
              </w:rPr>
              <w:t>8 (40</w:t>
            </w:r>
            <w:r w:rsidR="00FF64C2" w:rsidRPr="00A25369">
              <w:rPr>
                <w:sz w:val="16"/>
                <w:szCs w:val="16"/>
              </w:rPr>
              <w:t>·</w:t>
            </w:r>
            <w:r w:rsidRPr="00A25369">
              <w:rPr>
                <w:sz w:val="16"/>
                <w:szCs w:val="16"/>
              </w:rPr>
              <w:t>0)</w:t>
            </w:r>
          </w:p>
        </w:tc>
      </w:tr>
      <w:tr w:rsidR="00BA44F4" w:rsidRPr="009749EF" w14:paraId="3B572144" w14:textId="77777777" w:rsidTr="00BA44F4">
        <w:trPr>
          <w:cantSplit/>
          <w:jc w:val="center"/>
        </w:trPr>
        <w:tc>
          <w:tcPr>
            <w:tcW w:w="3145" w:type="dxa"/>
            <w:tcMar>
              <w:left w:w="40" w:type="dxa"/>
              <w:right w:w="40" w:type="dxa"/>
            </w:tcMar>
          </w:tcPr>
          <w:p w14:paraId="44C79D0C" w14:textId="566C32CB" w:rsidR="00BA44F4" w:rsidRPr="00A25369" w:rsidRDefault="00BA44F4" w:rsidP="00065B26">
            <w:pPr>
              <w:rPr>
                <w:sz w:val="16"/>
                <w:szCs w:val="16"/>
              </w:rPr>
            </w:pPr>
            <w:r w:rsidRPr="00A25369">
              <w:rPr>
                <w:sz w:val="16"/>
                <w:szCs w:val="16"/>
              </w:rPr>
              <w:t>Hyponatremia</w:t>
            </w:r>
          </w:p>
        </w:tc>
        <w:tc>
          <w:tcPr>
            <w:tcW w:w="985" w:type="dxa"/>
            <w:shd w:val="clear" w:color="auto" w:fill="FFFFFF"/>
            <w:tcMar>
              <w:left w:w="40" w:type="dxa"/>
              <w:right w:w="40" w:type="dxa"/>
            </w:tcMar>
            <w:vAlign w:val="center"/>
          </w:tcPr>
          <w:p w14:paraId="38E0A8C1" w14:textId="13A4E88F" w:rsidR="00BA44F4" w:rsidRPr="00A25369" w:rsidRDefault="00BA44F4" w:rsidP="00490E17">
            <w:pPr>
              <w:rPr>
                <w:sz w:val="16"/>
                <w:szCs w:val="16"/>
              </w:rPr>
            </w:pPr>
            <w:r w:rsidRPr="00A25369">
              <w:rPr>
                <w:sz w:val="16"/>
                <w:szCs w:val="16"/>
              </w:rPr>
              <w:t>7</w:t>
            </w:r>
          </w:p>
        </w:tc>
        <w:tc>
          <w:tcPr>
            <w:tcW w:w="905" w:type="dxa"/>
            <w:shd w:val="clear" w:color="auto" w:fill="FFFFFF"/>
            <w:tcMar>
              <w:left w:w="40" w:type="dxa"/>
              <w:right w:w="40" w:type="dxa"/>
            </w:tcMar>
            <w:vAlign w:val="center"/>
          </w:tcPr>
          <w:p w14:paraId="1DB6D453" w14:textId="77777777" w:rsidR="00BA44F4" w:rsidRPr="00A25369" w:rsidRDefault="00BA44F4" w:rsidP="001706A2">
            <w:pPr>
              <w:rPr>
                <w:sz w:val="16"/>
                <w:szCs w:val="16"/>
              </w:rPr>
            </w:pPr>
          </w:p>
        </w:tc>
        <w:tc>
          <w:tcPr>
            <w:tcW w:w="990" w:type="dxa"/>
            <w:shd w:val="clear" w:color="auto" w:fill="FFFFFF"/>
            <w:tcMar>
              <w:left w:w="40" w:type="dxa"/>
              <w:right w:w="40" w:type="dxa"/>
            </w:tcMar>
            <w:vAlign w:val="center"/>
          </w:tcPr>
          <w:p w14:paraId="09FC3053" w14:textId="6201E747" w:rsidR="00BA44F4" w:rsidRPr="00A25369" w:rsidRDefault="00BA44F4" w:rsidP="001706A2">
            <w:pPr>
              <w:rPr>
                <w:sz w:val="16"/>
                <w:szCs w:val="16"/>
              </w:rPr>
            </w:pPr>
            <w:r w:rsidRPr="00A25369">
              <w:rPr>
                <w:sz w:val="16"/>
                <w:szCs w:val="16"/>
              </w:rPr>
              <w:t>1</w:t>
            </w:r>
          </w:p>
        </w:tc>
        <w:tc>
          <w:tcPr>
            <w:tcW w:w="990" w:type="dxa"/>
            <w:shd w:val="clear" w:color="auto" w:fill="FFFFFF"/>
            <w:vAlign w:val="center"/>
          </w:tcPr>
          <w:p w14:paraId="2AD68E29" w14:textId="77777777" w:rsidR="00BA44F4" w:rsidRPr="00A25369" w:rsidRDefault="00BA44F4" w:rsidP="00B34D4F">
            <w:pPr>
              <w:rPr>
                <w:sz w:val="16"/>
                <w:szCs w:val="16"/>
              </w:rPr>
            </w:pPr>
          </w:p>
        </w:tc>
        <w:tc>
          <w:tcPr>
            <w:tcW w:w="1175" w:type="dxa"/>
            <w:shd w:val="clear" w:color="auto" w:fill="FFFFFF"/>
            <w:tcMar>
              <w:left w:w="40" w:type="dxa"/>
              <w:right w:w="40" w:type="dxa"/>
            </w:tcMar>
            <w:vAlign w:val="center"/>
          </w:tcPr>
          <w:p w14:paraId="0418829B" w14:textId="311D0CE6" w:rsidR="00BA44F4" w:rsidRPr="00A25369" w:rsidRDefault="00BA44F4" w:rsidP="00DB248E">
            <w:pPr>
              <w:rPr>
                <w:sz w:val="16"/>
                <w:szCs w:val="16"/>
              </w:rPr>
            </w:pPr>
            <w:r w:rsidRPr="00A25369">
              <w:rPr>
                <w:sz w:val="16"/>
                <w:szCs w:val="16"/>
              </w:rPr>
              <w:t>8 (40</w:t>
            </w:r>
            <w:r w:rsidR="00FF64C2" w:rsidRPr="00A25369">
              <w:rPr>
                <w:sz w:val="16"/>
                <w:szCs w:val="16"/>
              </w:rPr>
              <w:t>·</w:t>
            </w:r>
            <w:r w:rsidRPr="00A25369">
              <w:rPr>
                <w:sz w:val="16"/>
                <w:szCs w:val="16"/>
              </w:rPr>
              <w:t>0)</w:t>
            </w:r>
          </w:p>
        </w:tc>
      </w:tr>
    </w:tbl>
    <w:p w14:paraId="53B7F898" w14:textId="71F01F39" w:rsidR="00C118F6" w:rsidRPr="00D35158" w:rsidRDefault="00C118F6" w:rsidP="00065B26"/>
    <w:p w14:paraId="3334398C" w14:textId="0CF1A9F6" w:rsidR="00997082" w:rsidRPr="00D65912" w:rsidRDefault="00B857E4" w:rsidP="00490E17">
      <w:r w:rsidRPr="00D65912">
        <w:t xml:space="preserve">Legend: </w:t>
      </w:r>
      <w:r w:rsidR="002A507B" w:rsidRPr="00D65912">
        <w:t>Treatment emergent effects. Relationship not collected for these events.</w:t>
      </w:r>
      <w:r w:rsidR="006556C1" w:rsidRPr="00D65912">
        <w:t xml:space="preserve"> SGOT, serum glutamic oxaloacetic transaminase; </w:t>
      </w:r>
      <w:r w:rsidR="00E030E9" w:rsidRPr="00D65912">
        <w:t>SGPT, serum glutamic-pyruvic transaminase.</w:t>
      </w:r>
    </w:p>
    <w:p w14:paraId="101E8330" w14:textId="6F6E4D68" w:rsidR="00DB03D4" w:rsidRPr="00D65912" w:rsidRDefault="00DB03D4" w:rsidP="00DB248E">
      <w:pPr>
        <w:rPr>
          <w:noProof/>
        </w:rPr>
      </w:pPr>
    </w:p>
    <w:sectPr w:rsidR="00DB03D4" w:rsidRPr="00D65912" w:rsidSect="006A7880">
      <w:headerReference w:type="even" r:id="rId46"/>
      <w:footerReference w:type="even" r:id="rId47"/>
      <w:footerReference w:type="default" r:id="rId48"/>
      <w:headerReference w:type="first" r:id="rId49"/>
      <w:pgSz w:w="11900" w:h="16840"/>
      <w:pgMar w:top="1417" w:right="1417" w:bottom="1417" w:left="1417" w:header="709" w:footer="850" w:gutter="0"/>
      <w:cols w:space="720"/>
      <w:docGrid w:linePitch="2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4991B" w16cid:durableId="1DD7E5ED"/>
  <w16cid:commentId w16cid:paraId="23146FCA" w16cid:durableId="1DD7E748"/>
  <w16cid:commentId w16cid:paraId="50DE58DD" w16cid:durableId="1DD7E70F"/>
  <w16cid:commentId w16cid:paraId="02457FA0" w16cid:durableId="1DD7E8B0"/>
  <w16cid:commentId w16cid:paraId="4E4A4E94" w16cid:durableId="1DD7E914"/>
  <w16cid:commentId w16cid:paraId="2BF760CC" w16cid:durableId="1DD7E45E"/>
  <w16cid:commentId w16cid:paraId="51947948" w16cid:durableId="1DD7E45F"/>
  <w16cid:commentId w16cid:paraId="43BE88AF" w16cid:durableId="1DD7E460"/>
  <w16cid:commentId w16cid:paraId="0598E3DB" w16cid:durableId="1DD7E461"/>
  <w16cid:commentId w16cid:paraId="15C2413F" w16cid:durableId="1DD7E462"/>
  <w16cid:commentId w16cid:paraId="5C376072" w16cid:durableId="1DD7E463"/>
  <w16cid:commentId w16cid:paraId="5FC966BA" w16cid:durableId="1DD7EB12"/>
  <w16cid:commentId w16cid:paraId="5950FEF0" w16cid:durableId="1DD7E464"/>
  <w16cid:commentId w16cid:paraId="6411104B" w16cid:durableId="1DD7E4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C38C" w14:textId="77777777" w:rsidR="008076D4" w:rsidRDefault="008076D4" w:rsidP="00065B26">
      <w:r>
        <w:separator/>
      </w:r>
    </w:p>
    <w:p w14:paraId="037BB990" w14:textId="77777777" w:rsidR="008076D4" w:rsidRDefault="008076D4" w:rsidP="00065B26"/>
    <w:p w14:paraId="3C8A8BC6" w14:textId="77777777" w:rsidR="008076D4" w:rsidRDefault="008076D4" w:rsidP="00065B26"/>
    <w:p w14:paraId="2A210931" w14:textId="77777777" w:rsidR="008076D4" w:rsidRDefault="008076D4" w:rsidP="00065B26"/>
    <w:p w14:paraId="506A639B" w14:textId="77777777" w:rsidR="008076D4" w:rsidRDefault="008076D4" w:rsidP="00065B26"/>
    <w:p w14:paraId="1C7C241A" w14:textId="77777777" w:rsidR="008076D4" w:rsidRDefault="008076D4" w:rsidP="00065B26"/>
    <w:p w14:paraId="6181B769" w14:textId="77777777" w:rsidR="008076D4" w:rsidRDefault="008076D4" w:rsidP="00065B26"/>
    <w:p w14:paraId="4866194D" w14:textId="77777777" w:rsidR="008076D4" w:rsidRDefault="008076D4" w:rsidP="00065B26"/>
    <w:p w14:paraId="0FE576DE" w14:textId="77777777" w:rsidR="008076D4" w:rsidRDefault="008076D4" w:rsidP="00065B26"/>
    <w:p w14:paraId="710DD898" w14:textId="77777777" w:rsidR="008076D4" w:rsidRDefault="008076D4" w:rsidP="00065B26"/>
    <w:p w14:paraId="3B3B3708" w14:textId="77777777" w:rsidR="008076D4" w:rsidRDefault="008076D4" w:rsidP="00065B26"/>
    <w:p w14:paraId="69BAF277" w14:textId="77777777" w:rsidR="008076D4" w:rsidRDefault="008076D4" w:rsidP="00065B26"/>
    <w:p w14:paraId="43F4A0CA" w14:textId="77777777" w:rsidR="008076D4" w:rsidRDefault="008076D4" w:rsidP="00065B26"/>
    <w:p w14:paraId="1AC92BE5" w14:textId="77777777" w:rsidR="008076D4" w:rsidRDefault="008076D4" w:rsidP="00065B26"/>
    <w:p w14:paraId="32A5A0BF" w14:textId="77777777" w:rsidR="008076D4" w:rsidRDefault="008076D4" w:rsidP="00065B26"/>
    <w:p w14:paraId="17148DD7" w14:textId="77777777" w:rsidR="008076D4" w:rsidRDefault="008076D4" w:rsidP="00065B26"/>
    <w:p w14:paraId="0A922B67" w14:textId="77777777" w:rsidR="008076D4" w:rsidRDefault="008076D4" w:rsidP="00065B26"/>
    <w:p w14:paraId="2497CE09" w14:textId="77777777" w:rsidR="008076D4" w:rsidRDefault="008076D4" w:rsidP="00065B26"/>
    <w:p w14:paraId="6EC7EAE9" w14:textId="77777777" w:rsidR="008076D4" w:rsidRDefault="008076D4" w:rsidP="00065B26"/>
    <w:p w14:paraId="068BDCF7" w14:textId="77777777" w:rsidR="008076D4" w:rsidRDefault="008076D4" w:rsidP="00065B26"/>
    <w:p w14:paraId="3EA8ADFF" w14:textId="77777777" w:rsidR="008076D4" w:rsidRDefault="008076D4" w:rsidP="00065B26"/>
    <w:p w14:paraId="6827E74D" w14:textId="77777777" w:rsidR="008076D4" w:rsidRDefault="008076D4" w:rsidP="00065B26"/>
    <w:p w14:paraId="5DE162BE" w14:textId="77777777" w:rsidR="008076D4" w:rsidRDefault="008076D4" w:rsidP="00065B26"/>
    <w:p w14:paraId="2A95F0D6" w14:textId="77777777" w:rsidR="008076D4" w:rsidRDefault="008076D4" w:rsidP="00065B26"/>
    <w:p w14:paraId="5545051A" w14:textId="77777777" w:rsidR="008076D4" w:rsidRDefault="008076D4" w:rsidP="00065B26"/>
    <w:p w14:paraId="53E19B99" w14:textId="77777777" w:rsidR="008076D4" w:rsidRDefault="008076D4" w:rsidP="00065B26"/>
    <w:p w14:paraId="111B1EAB" w14:textId="77777777" w:rsidR="008076D4" w:rsidRDefault="008076D4" w:rsidP="00065B26"/>
    <w:p w14:paraId="587430AE" w14:textId="77777777" w:rsidR="008076D4" w:rsidRDefault="008076D4" w:rsidP="00065B26"/>
    <w:p w14:paraId="7C7C63A4" w14:textId="77777777" w:rsidR="008076D4" w:rsidRDefault="008076D4" w:rsidP="00065B26"/>
    <w:p w14:paraId="4B078203" w14:textId="77777777" w:rsidR="008076D4" w:rsidRDefault="008076D4" w:rsidP="00065B26"/>
    <w:p w14:paraId="7A139B75" w14:textId="77777777" w:rsidR="008076D4" w:rsidRDefault="008076D4" w:rsidP="00065B26"/>
    <w:p w14:paraId="5D3FC6B2" w14:textId="77777777" w:rsidR="008076D4" w:rsidRDefault="008076D4" w:rsidP="00065B26"/>
    <w:p w14:paraId="72B689C8" w14:textId="77777777" w:rsidR="008076D4" w:rsidRDefault="008076D4" w:rsidP="00065B26"/>
    <w:p w14:paraId="5FD0A5CE" w14:textId="77777777" w:rsidR="008076D4" w:rsidRDefault="008076D4" w:rsidP="00065B26"/>
    <w:p w14:paraId="6275BC1B" w14:textId="77777777" w:rsidR="008076D4" w:rsidRDefault="008076D4" w:rsidP="00065B26"/>
    <w:p w14:paraId="59BE43B4" w14:textId="77777777" w:rsidR="008076D4" w:rsidRDefault="008076D4" w:rsidP="00065B26"/>
    <w:p w14:paraId="73383FCE" w14:textId="77777777" w:rsidR="008076D4" w:rsidRDefault="008076D4" w:rsidP="00065B26"/>
    <w:p w14:paraId="4FF4C5DC" w14:textId="77777777" w:rsidR="008076D4" w:rsidRDefault="008076D4" w:rsidP="00065B26"/>
    <w:p w14:paraId="7C5764B5" w14:textId="77777777" w:rsidR="008076D4" w:rsidRDefault="008076D4" w:rsidP="00065B26"/>
    <w:p w14:paraId="3FBF6126" w14:textId="77777777" w:rsidR="008076D4" w:rsidRDefault="008076D4" w:rsidP="00065B26"/>
    <w:p w14:paraId="2BFED023" w14:textId="77777777" w:rsidR="008076D4" w:rsidRDefault="008076D4" w:rsidP="00065B26"/>
    <w:p w14:paraId="6983A6AE" w14:textId="77777777" w:rsidR="008076D4" w:rsidRDefault="008076D4" w:rsidP="00065B26"/>
    <w:p w14:paraId="7A9E447D" w14:textId="77777777" w:rsidR="008076D4" w:rsidRDefault="008076D4" w:rsidP="00065B26"/>
    <w:p w14:paraId="24B6631A" w14:textId="77777777" w:rsidR="008076D4" w:rsidRDefault="008076D4" w:rsidP="00065B26"/>
    <w:p w14:paraId="0404A14F" w14:textId="77777777" w:rsidR="008076D4" w:rsidRDefault="008076D4" w:rsidP="00065B26"/>
    <w:p w14:paraId="40AD0467" w14:textId="77777777" w:rsidR="008076D4" w:rsidRDefault="008076D4" w:rsidP="00065B26"/>
    <w:p w14:paraId="488EBFCE" w14:textId="77777777" w:rsidR="008076D4" w:rsidRDefault="008076D4" w:rsidP="00065B26"/>
    <w:p w14:paraId="27611A41" w14:textId="77777777" w:rsidR="008076D4" w:rsidRDefault="008076D4" w:rsidP="00065B26"/>
    <w:p w14:paraId="5338EFFA" w14:textId="77777777" w:rsidR="008076D4" w:rsidRDefault="008076D4" w:rsidP="00065B26"/>
    <w:p w14:paraId="4A5B24C8" w14:textId="77777777" w:rsidR="008076D4" w:rsidRDefault="008076D4" w:rsidP="00065B26"/>
    <w:p w14:paraId="259EFA21" w14:textId="77777777" w:rsidR="008076D4" w:rsidRDefault="008076D4" w:rsidP="00065B26"/>
    <w:p w14:paraId="5EEE85EC" w14:textId="77777777" w:rsidR="008076D4" w:rsidRDefault="008076D4" w:rsidP="00065B26"/>
    <w:p w14:paraId="7F94A8F0" w14:textId="77777777" w:rsidR="008076D4" w:rsidRDefault="008076D4" w:rsidP="00065B26"/>
    <w:p w14:paraId="05220936" w14:textId="77777777" w:rsidR="008076D4" w:rsidRDefault="008076D4" w:rsidP="00065B26"/>
    <w:p w14:paraId="05C80010" w14:textId="77777777" w:rsidR="008076D4" w:rsidRDefault="008076D4" w:rsidP="00065B26"/>
    <w:p w14:paraId="64B71610" w14:textId="77777777" w:rsidR="008076D4" w:rsidRDefault="008076D4" w:rsidP="00065B26"/>
    <w:p w14:paraId="5ED6631D" w14:textId="77777777" w:rsidR="008076D4" w:rsidRDefault="008076D4" w:rsidP="00065B26"/>
    <w:p w14:paraId="61A540AD" w14:textId="77777777" w:rsidR="008076D4" w:rsidRDefault="008076D4" w:rsidP="00065B26"/>
    <w:p w14:paraId="1BAF1154" w14:textId="77777777" w:rsidR="008076D4" w:rsidRDefault="008076D4" w:rsidP="00065B26"/>
    <w:p w14:paraId="26388D3F" w14:textId="77777777" w:rsidR="008076D4" w:rsidRDefault="008076D4" w:rsidP="00065B26"/>
    <w:p w14:paraId="628F7989" w14:textId="77777777" w:rsidR="008076D4" w:rsidRDefault="008076D4" w:rsidP="00065B26"/>
    <w:p w14:paraId="353659D5" w14:textId="77777777" w:rsidR="008076D4" w:rsidRDefault="008076D4" w:rsidP="00065B26"/>
    <w:p w14:paraId="01210AC9" w14:textId="77777777" w:rsidR="008076D4" w:rsidRDefault="008076D4" w:rsidP="00065B26"/>
    <w:p w14:paraId="6BA782A8" w14:textId="77777777" w:rsidR="008076D4" w:rsidRDefault="008076D4" w:rsidP="00065B26"/>
    <w:p w14:paraId="144C455F" w14:textId="77777777" w:rsidR="008076D4" w:rsidRDefault="008076D4" w:rsidP="00065B26"/>
    <w:p w14:paraId="4D0E0063" w14:textId="77777777" w:rsidR="008076D4" w:rsidRDefault="008076D4" w:rsidP="00065B26"/>
    <w:p w14:paraId="2D31BC9E" w14:textId="77777777" w:rsidR="008076D4" w:rsidRDefault="008076D4" w:rsidP="00065B26"/>
    <w:p w14:paraId="681DCD64" w14:textId="77777777" w:rsidR="008076D4" w:rsidRDefault="008076D4" w:rsidP="00065B26"/>
    <w:p w14:paraId="5A5D66EB" w14:textId="77777777" w:rsidR="008076D4" w:rsidRDefault="008076D4" w:rsidP="00065B26"/>
    <w:p w14:paraId="4C422D4C" w14:textId="77777777" w:rsidR="008076D4" w:rsidRDefault="008076D4" w:rsidP="00065B26"/>
    <w:p w14:paraId="21D093FA" w14:textId="77777777" w:rsidR="008076D4" w:rsidRDefault="008076D4" w:rsidP="00065B26"/>
    <w:p w14:paraId="59C9AFB7" w14:textId="77777777" w:rsidR="008076D4" w:rsidRDefault="008076D4" w:rsidP="00065B26"/>
    <w:p w14:paraId="2966EDC7" w14:textId="77777777" w:rsidR="008076D4" w:rsidRDefault="008076D4" w:rsidP="00065B26"/>
    <w:p w14:paraId="6CBCAD27" w14:textId="77777777" w:rsidR="008076D4" w:rsidRDefault="008076D4" w:rsidP="00065B26"/>
    <w:p w14:paraId="1D4BA469" w14:textId="77777777" w:rsidR="008076D4" w:rsidRDefault="008076D4" w:rsidP="00065B26"/>
    <w:p w14:paraId="79EF118E" w14:textId="77777777" w:rsidR="008076D4" w:rsidRDefault="008076D4" w:rsidP="00065B26"/>
    <w:p w14:paraId="63816461" w14:textId="77777777" w:rsidR="008076D4" w:rsidRDefault="008076D4" w:rsidP="00065B26"/>
    <w:p w14:paraId="75F4B760" w14:textId="77777777" w:rsidR="008076D4" w:rsidRDefault="008076D4" w:rsidP="00065B26"/>
    <w:p w14:paraId="482BCB6C" w14:textId="77777777" w:rsidR="008076D4" w:rsidRDefault="008076D4" w:rsidP="00065B26"/>
    <w:p w14:paraId="5327B724" w14:textId="77777777" w:rsidR="008076D4" w:rsidRDefault="008076D4" w:rsidP="00065B26"/>
    <w:p w14:paraId="35A9AFCE" w14:textId="77777777" w:rsidR="008076D4" w:rsidRDefault="008076D4" w:rsidP="00065B26"/>
    <w:p w14:paraId="49CA2F80" w14:textId="77777777" w:rsidR="008076D4" w:rsidRDefault="008076D4" w:rsidP="00065B26"/>
    <w:p w14:paraId="6C8D2E25" w14:textId="77777777" w:rsidR="008076D4" w:rsidRDefault="008076D4" w:rsidP="00065B26"/>
    <w:p w14:paraId="7F3029D0" w14:textId="77777777" w:rsidR="008076D4" w:rsidRDefault="008076D4" w:rsidP="00065B26"/>
    <w:p w14:paraId="75C111D0" w14:textId="77777777" w:rsidR="008076D4" w:rsidRDefault="008076D4" w:rsidP="00065B26"/>
    <w:p w14:paraId="0AD53F25" w14:textId="77777777" w:rsidR="008076D4" w:rsidRDefault="008076D4" w:rsidP="00065B26"/>
    <w:p w14:paraId="31E4152E" w14:textId="77777777" w:rsidR="008076D4" w:rsidRDefault="008076D4" w:rsidP="00065B26"/>
    <w:p w14:paraId="160D5C08" w14:textId="77777777" w:rsidR="008076D4" w:rsidRDefault="008076D4" w:rsidP="00065B26"/>
    <w:p w14:paraId="19905BFA" w14:textId="77777777" w:rsidR="008076D4" w:rsidRDefault="008076D4" w:rsidP="00065B26"/>
    <w:p w14:paraId="52253AB8" w14:textId="77777777" w:rsidR="008076D4" w:rsidRDefault="008076D4" w:rsidP="00065B26"/>
    <w:p w14:paraId="794A87D2" w14:textId="77777777" w:rsidR="008076D4" w:rsidRDefault="008076D4" w:rsidP="00065B26"/>
    <w:p w14:paraId="3B498178" w14:textId="77777777" w:rsidR="008076D4" w:rsidRDefault="008076D4" w:rsidP="00065B26"/>
    <w:p w14:paraId="0DF8ADF1" w14:textId="77777777" w:rsidR="008076D4" w:rsidRDefault="008076D4" w:rsidP="00065B26"/>
    <w:p w14:paraId="1835A5C2" w14:textId="77777777" w:rsidR="008076D4" w:rsidRDefault="008076D4" w:rsidP="00065B26"/>
    <w:p w14:paraId="5D24C796" w14:textId="77777777" w:rsidR="008076D4" w:rsidRDefault="008076D4" w:rsidP="00065B26"/>
    <w:p w14:paraId="6709A39A" w14:textId="77777777" w:rsidR="008076D4" w:rsidRDefault="008076D4" w:rsidP="00065B26"/>
    <w:p w14:paraId="77D62A2D" w14:textId="77777777" w:rsidR="008076D4" w:rsidRDefault="008076D4" w:rsidP="00065B26"/>
    <w:p w14:paraId="6E1CFB61" w14:textId="77777777" w:rsidR="008076D4" w:rsidRDefault="008076D4" w:rsidP="00065B26"/>
    <w:p w14:paraId="68E49BD1" w14:textId="77777777" w:rsidR="008076D4" w:rsidRDefault="008076D4" w:rsidP="00065B26"/>
    <w:p w14:paraId="253A8A34" w14:textId="77777777" w:rsidR="008076D4" w:rsidRDefault="008076D4" w:rsidP="00065B26"/>
    <w:p w14:paraId="51D4A83C" w14:textId="77777777" w:rsidR="008076D4" w:rsidRDefault="008076D4" w:rsidP="00065B26"/>
    <w:p w14:paraId="6646DA3D" w14:textId="77777777" w:rsidR="008076D4" w:rsidRDefault="008076D4" w:rsidP="00065B26"/>
    <w:p w14:paraId="472F4B33" w14:textId="77777777" w:rsidR="008076D4" w:rsidRDefault="008076D4" w:rsidP="00065B26"/>
    <w:p w14:paraId="7C64B2B9" w14:textId="77777777" w:rsidR="008076D4" w:rsidRDefault="008076D4" w:rsidP="00065B26"/>
    <w:p w14:paraId="3E29632F" w14:textId="77777777" w:rsidR="008076D4" w:rsidRDefault="008076D4" w:rsidP="00065B26"/>
    <w:p w14:paraId="54CEE534" w14:textId="77777777" w:rsidR="008076D4" w:rsidRDefault="008076D4" w:rsidP="00065B26"/>
    <w:p w14:paraId="203BE1A5" w14:textId="77777777" w:rsidR="008076D4" w:rsidRDefault="008076D4" w:rsidP="00065B26"/>
    <w:p w14:paraId="344C440B" w14:textId="77777777" w:rsidR="008076D4" w:rsidRDefault="008076D4" w:rsidP="00065B26"/>
    <w:p w14:paraId="6CDB3050" w14:textId="77777777" w:rsidR="008076D4" w:rsidRDefault="008076D4" w:rsidP="00065B26"/>
    <w:p w14:paraId="2FD9507E" w14:textId="77777777" w:rsidR="008076D4" w:rsidRDefault="008076D4" w:rsidP="00065B26"/>
    <w:p w14:paraId="3EF1CD1D" w14:textId="77777777" w:rsidR="008076D4" w:rsidRDefault="008076D4" w:rsidP="00065B26"/>
    <w:p w14:paraId="5D56951E" w14:textId="77777777" w:rsidR="008076D4" w:rsidRDefault="008076D4" w:rsidP="00065B26"/>
    <w:p w14:paraId="5DA399F5" w14:textId="77777777" w:rsidR="008076D4" w:rsidRDefault="008076D4" w:rsidP="00065B26"/>
    <w:p w14:paraId="685621B8" w14:textId="77777777" w:rsidR="008076D4" w:rsidRDefault="008076D4" w:rsidP="00065B26"/>
    <w:p w14:paraId="4B588841" w14:textId="77777777" w:rsidR="008076D4" w:rsidRDefault="008076D4" w:rsidP="00065B26"/>
    <w:p w14:paraId="1E6FFB7C" w14:textId="77777777" w:rsidR="008076D4" w:rsidRDefault="008076D4" w:rsidP="00065B26"/>
    <w:p w14:paraId="490F7DAB" w14:textId="77777777" w:rsidR="008076D4" w:rsidRDefault="008076D4" w:rsidP="00065B26"/>
    <w:p w14:paraId="7254D6BE" w14:textId="77777777" w:rsidR="008076D4" w:rsidRDefault="008076D4" w:rsidP="00065B26"/>
    <w:p w14:paraId="3BBF3E1F" w14:textId="77777777" w:rsidR="008076D4" w:rsidRDefault="008076D4" w:rsidP="00065B26"/>
    <w:p w14:paraId="32BEF1EC" w14:textId="77777777" w:rsidR="008076D4" w:rsidRDefault="008076D4" w:rsidP="00065B26"/>
    <w:p w14:paraId="6253A939" w14:textId="77777777" w:rsidR="008076D4" w:rsidRDefault="008076D4" w:rsidP="00065B26"/>
    <w:p w14:paraId="3E8FDC47" w14:textId="77777777" w:rsidR="008076D4" w:rsidRDefault="008076D4" w:rsidP="00065B26"/>
    <w:p w14:paraId="30027133" w14:textId="77777777" w:rsidR="008076D4" w:rsidRDefault="008076D4" w:rsidP="00065B26"/>
    <w:p w14:paraId="68BD9076" w14:textId="77777777" w:rsidR="008076D4" w:rsidRDefault="008076D4" w:rsidP="00065B26"/>
    <w:p w14:paraId="4B5BDE07" w14:textId="77777777" w:rsidR="008076D4" w:rsidRDefault="008076D4" w:rsidP="00065B26"/>
    <w:p w14:paraId="1E61803F" w14:textId="77777777" w:rsidR="008076D4" w:rsidRDefault="008076D4" w:rsidP="00065B26"/>
    <w:p w14:paraId="1D81B23A" w14:textId="77777777" w:rsidR="008076D4" w:rsidRDefault="008076D4" w:rsidP="00065B26"/>
    <w:p w14:paraId="139F1D89" w14:textId="77777777" w:rsidR="008076D4" w:rsidRDefault="008076D4" w:rsidP="00065B26"/>
    <w:p w14:paraId="5A3CC8AA" w14:textId="77777777" w:rsidR="008076D4" w:rsidRDefault="008076D4" w:rsidP="00065B26"/>
    <w:p w14:paraId="68EB0EED" w14:textId="77777777" w:rsidR="008076D4" w:rsidRDefault="008076D4" w:rsidP="00065B26"/>
    <w:p w14:paraId="1CA88CE4" w14:textId="77777777" w:rsidR="008076D4" w:rsidRDefault="008076D4" w:rsidP="00065B26"/>
    <w:p w14:paraId="0931C4CC" w14:textId="77777777" w:rsidR="008076D4" w:rsidRDefault="008076D4" w:rsidP="00065B26"/>
    <w:p w14:paraId="555781E7" w14:textId="77777777" w:rsidR="008076D4" w:rsidRDefault="008076D4" w:rsidP="00065B26"/>
    <w:p w14:paraId="191F52D0" w14:textId="77777777" w:rsidR="008076D4" w:rsidRDefault="008076D4" w:rsidP="00065B26"/>
    <w:p w14:paraId="61B8AB82" w14:textId="77777777" w:rsidR="008076D4" w:rsidRDefault="008076D4" w:rsidP="00065B26"/>
    <w:p w14:paraId="0498920A" w14:textId="77777777" w:rsidR="008076D4" w:rsidRDefault="008076D4" w:rsidP="00065B26"/>
    <w:p w14:paraId="6C274E1D" w14:textId="77777777" w:rsidR="008076D4" w:rsidRDefault="008076D4" w:rsidP="00065B26"/>
    <w:p w14:paraId="3AECAF7D" w14:textId="77777777" w:rsidR="008076D4" w:rsidRDefault="008076D4" w:rsidP="00065B26"/>
    <w:p w14:paraId="2515191E" w14:textId="77777777" w:rsidR="008076D4" w:rsidRDefault="008076D4" w:rsidP="00065B26"/>
    <w:p w14:paraId="35714B0C" w14:textId="77777777" w:rsidR="008076D4" w:rsidRDefault="008076D4" w:rsidP="00065B26"/>
    <w:p w14:paraId="5658D935" w14:textId="77777777" w:rsidR="008076D4" w:rsidRDefault="008076D4" w:rsidP="00065B26"/>
    <w:p w14:paraId="2991BBE5" w14:textId="77777777" w:rsidR="008076D4" w:rsidRDefault="008076D4" w:rsidP="00065B26"/>
    <w:p w14:paraId="56E1FA69" w14:textId="77777777" w:rsidR="008076D4" w:rsidRDefault="008076D4" w:rsidP="00065B26"/>
    <w:p w14:paraId="36506D28" w14:textId="77777777" w:rsidR="008076D4" w:rsidRDefault="008076D4" w:rsidP="00065B26"/>
    <w:p w14:paraId="4678574C" w14:textId="77777777" w:rsidR="008076D4" w:rsidRDefault="008076D4" w:rsidP="00065B26"/>
    <w:p w14:paraId="11B9C831" w14:textId="77777777" w:rsidR="008076D4" w:rsidRDefault="008076D4" w:rsidP="00065B26"/>
    <w:p w14:paraId="1F41C184" w14:textId="77777777" w:rsidR="008076D4" w:rsidRDefault="008076D4" w:rsidP="00065B26"/>
    <w:p w14:paraId="38A9A3E5" w14:textId="77777777" w:rsidR="008076D4" w:rsidRDefault="008076D4" w:rsidP="00065B26"/>
    <w:p w14:paraId="5F0151D8" w14:textId="77777777" w:rsidR="008076D4" w:rsidRDefault="008076D4" w:rsidP="00DB248E"/>
    <w:p w14:paraId="50ADBA83" w14:textId="77777777" w:rsidR="008076D4" w:rsidRDefault="008076D4" w:rsidP="00DB248E"/>
    <w:p w14:paraId="33D914C6" w14:textId="77777777" w:rsidR="008076D4" w:rsidRDefault="008076D4" w:rsidP="003E1FE2"/>
    <w:p w14:paraId="29FEB9F6" w14:textId="77777777" w:rsidR="008076D4" w:rsidRDefault="008076D4" w:rsidP="003E1FE2"/>
  </w:endnote>
  <w:endnote w:type="continuationSeparator" w:id="0">
    <w:p w14:paraId="68C9229E" w14:textId="77777777" w:rsidR="008076D4" w:rsidRDefault="008076D4" w:rsidP="00065B26">
      <w:r>
        <w:continuationSeparator/>
      </w:r>
    </w:p>
    <w:p w14:paraId="0741F9AB" w14:textId="77777777" w:rsidR="008076D4" w:rsidRDefault="008076D4" w:rsidP="00065B26"/>
    <w:p w14:paraId="0913C8AD" w14:textId="77777777" w:rsidR="008076D4" w:rsidRDefault="008076D4" w:rsidP="00065B26"/>
    <w:p w14:paraId="57064720" w14:textId="77777777" w:rsidR="008076D4" w:rsidRDefault="008076D4" w:rsidP="00065B26"/>
    <w:p w14:paraId="26E36BE5" w14:textId="77777777" w:rsidR="008076D4" w:rsidRDefault="008076D4" w:rsidP="00065B26"/>
    <w:p w14:paraId="7DAEFECA" w14:textId="77777777" w:rsidR="008076D4" w:rsidRDefault="008076D4" w:rsidP="00065B26"/>
    <w:p w14:paraId="3D7179FA" w14:textId="77777777" w:rsidR="008076D4" w:rsidRDefault="008076D4" w:rsidP="00065B26"/>
    <w:p w14:paraId="4561498E" w14:textId="77777777" w:rsidR="008076D4" w:rsidRDefault="008076D4" w:rsidP="00065B26"/>
    <w:p w14:paraId="404FAF57" w14:textId="77777777" w:rsidR="008076D4" w:rsidRDefault="008076D4" w:rsidP="00065B26"/>
    <w:p w14:paraId="4C0685E1" w14:textId="77777777" w:rsidR="008076D4" w:rsidRDefault="008076D4" w:rsidP="00065B26"/>
    <w:p w14:paraId="314AEA72" w14:textId="77777777" w:rsidR="008076D4" w:rsidRDefault="008076D4" w:rsidP="00065B26"/>
    <w:p w14:paraId="2210EBDC" w14:textId="77777777" w:rsidR="008076D4" w:rsidRDefault="008076D4" w:rsidP="00065B26"/>
    <w:p w14:paraId="7E352598" w14:textId="77777777" w:rsidR="008076D4" w:rsidRDefault="008076D4" w:rsidP="00065B26"/>
    <w:p w14:paraId="57F02DC8" w14:textId="77777777" w:rsidR="008076D4" w:rsidRDefault="008076D4" w:rsidP="00065B26"/>
    <w:p w14:paraId="34192B59" w14:textId="77777777" w:rsidR="008076D4" w:rsidRDefault="008076D4" w:rsidP="00065B26"/>
    <w:p w14:paraId="44A0B911" w14:textId="77777777" w:rsidR="008076D4" w:rsidRDefault="008076D4" w:rsidP="00065B26"/>
    <w:p w14:paraId="64E8A2CE" w14:textId="77777777" w:rsidR="008076D4" w:rsidRDefault="008076D4" w:rsidP="00065B26"/>
    <w:p w14:paraId="4BBAACAD" w14:textId="77777777" w:rsidR="008076D4" w:rsidRDefault="008076D4" w:rsidP="00065B26"/>
    <w:p w14:paraId="537F3BA4" w14:textId="77777777" w:rsidR="008076D4" w:rsidRDefault="008076D4" w:rsidP="00065B26"/>
    <w:p w14:paraId="531FF7C4" w14:textId="77777777" w:rsidR="008076D4" w:rsidRDefault="008076D4" w:rsidP="00065B26"/>
    <w:p w14:paraId="0C70F758" w14:textId="77777777" w:rsidR="008076D4" w:rsidRDefault="008076D4" w:rsidP="00065B26"/>
    <w:p w14:paraId="64CD95FA" w14:textId="77777777" w:rsidR="008076D4" w:rsidRDefault="008076D4" w:rsidP="00065B26"/>
    <w:p w14:paraId="3DFF7BB3" w14:textId="77777777" w:rsidR="008076D4" w:rsidRDefault="008076D4" w:rsidP="00065B26"/>
    <w:p w14:paraId="0D3960BD" w14:textId="77777777" w:rsidR="008076D4" w:rsidRDefault="008076D4" w:rsidP="00065B26"/>
    <w:p w14:paraId="6D40FCE9" w14:textId="77777777" w:rsidR="008076D4" w:rsidRDefault="008076D4" w:rsidP="00065B26"/>
    <w:p w14:paraId="71337712" w14:textId="77777777" w:rsidR="008076D4" w:rsidRDefault="008076D4" w:rsidP="00065B26"/>
    <w:p w14:paraId="5E6BD41D" w14:textId="77777777" w:rsidR="008076D4" w:rsidRDefault="008076D4" w:rsidP="00065B26"/>
    <w:p w14:paraId="69B54FFF" w14:textId="77777777" w:rsidR="008076D4" w:rsidRDefault="008076D4" w:rsidP="00065B26"/>
    <w:p w14:paraId="6BCAE651" w14:textId="77777777" w:rsidR="008076D4" w:rsidRDefault="008076D4" w:rsidP="00065B26"/>
    <w:p w14:paraId="61F294DB" w14:textId="77777777" w:rsidR="008076D4" w:rsidRDefault="008076D4" w:rsidP="00065B26"/>
    <w:p w14:paraId="324570E6" w14:textId="77777777" w:rsidR="008076D4" w:rsidRDefault="008076D4" w:rsidP="00065B26"/>
    <w:p w14:paraId="2D08EB24" w14:textId="77777777" w:rsidR="008076D4" w:rsidRDefault="008076D4" w:rsidP="00065B26"/>
    <w:p w14:paraId="4A3197C6" w14:textId="77777777" w:rsidR="008076D4" w:rsidRDefault="008076D4" w:rsidP="00065B26"/>
    <w:p w14:paraId="6B985CA5" w14:textId="77777777" w:rsidR="008076D4" w:rsidRDefault="008076D4" w:rsidP="00065B26"/>
    <w:p w14:paraId="4F271E5A" w14:textId="77777777" w:rsidR="008076D4" w:rsidRDefault="008076D4" w:rsidP="00065B26"/>
    <w:p w14:paraId="2AC438A4" w14:textId="77777777" w:rsidR="008076D4" w:rsidRDefault="008076D4" w:rsidP="00065B26"/>
    <w:p w14:paraId="44BDAC2B" w14:textId="77777777" w:rsidR="008076D4" w:rsidRDefault="008076D4" w:rsidP="00065B26"/>
    <w:p w14:paraId="3B82B720" w14:textId="77777777" w:rsidR="008076D4" w:rsidRDefault="008076D4" w:rsidP="00065B26"/>
    <w:p w14:paraId="20B827BC" w14:textId="77777777" w:rsidR="008076D4" w:rsidRDefault="008076D4" w:rsidP="00065B26"/>
    <w:p w14:paraId="53D91A5B" w14:textId="77777777" w:rsidR="008076D4" w:rsidRDefault="008076D4" w:rsidP="00065B26"/>
    <w:p w14:paraId="4AD504B4" w14:textId="77777777" w:rsidR="008076D4" w:rsidRDefault="008076D4" w:rsidP="00065B26"/>
    <w:p w14:paraId="69223997" w14:textId="77777777" w:rsidR="008076D4" w:rsidRDefault="008076D4" w:rsidP="00065B26"/>
    <w:p w14:paraId="61084BA4" w14:textId="77777777" w:rsidR="008076D4" w:rsidRDefault="008076D4" w:rsidP="00065B26"/>
    <w:p w14:paraId="164AC11A" w14:textId="77777777" w:rsidR="008076D4" w:rsidRDefault="008076D4" w:rsidP="00065B26"/>
    <w:p w14:paraId="4CDEB2D9" w14:textId="77777777" w:rsidR="008076D4" w:rsidRDefault="008076D4" w:rsidP="00065B26"/>
    <w:p w14:paraId="168015B6" w14:textId="77777777" w:rsidR="008076D4" w:rsidRDefault="008076D4" w:rsidP="00065B26"/>
    <w:p w14:paraId="4ACDA9A7" w14:textId="77777777" w:rsidR="008076D4" w:rsidRDefault="008076D4" w:rsidP="00065B26"/>
    <w:p w14:paraId="4EF250E5" w14:textId="77777777" w:rsidR="008076D4" w:rsidRDefault="008076D4" w:rsidP="00065B26"/>
    <w:p w14:paraId="41164A3E" w14:textId="77777777" w:rsidR="008076D4" w:rsidRDefault="008076D4" w:rsidP="00065B26"/>
    <w:p w14:paraId="0F2AF954" w14:textId="77777777" w:rsidR="008076D4" w:rsidRDefault="008076D4" w:rsidP="00065B26"/>
    <w:p w14:paraId="7EABC5F5" w14:textId="77777777" w:rsidR="008076D4" w:rsidRDefault="008076D4" w:rsidP="00065B26"/>
    <w:p w14:paraId="1ED63BEC" w14:textId="77777777" w:rsidR="008076D4" w:rsidRDefault="008076D4" w:rsidP="00065B26"/>
    <w:p w14:paraId="1BC58036" w14:textId="77777777" w:rsidR="008076D4" w:rsidRDefault="008076D4" w:rsidP="00065B26"/>
    <w:p w14:paraId="02D4694B" w14:textId="77777777" w:rsidR="008076D4" w:rsidRDefault="008076D4" w:rsidP="00065B26"/>
    <w:p w14:paraId="29D81546" w14:textId="77777777" w:rsidR="008076D4" w:rsidRDefault="008076D4" w:rsidP="00065B26"/>
    <w:p w14:paraId="61B4ECA8" w14:textId="77777777" w:rsidR="008076D4" w:rsidRDefault="008076D4" w:rsidP="00065B26"/>
    <w:p w14:paraId="74E7CBC9" w14:textId="77777777" w:rsidR="008076D4" w:rsidRDefault="008076D4" w:rsidP="00065B26"/>
    <w:p w14:paraId="7B81C74A" w14:textId="77777777" w:rsidR="008076D4" w:rsidRDefault="008076D4" w:rsidP="00065B26"/>
    <w:p w14:paraId="3CC76A07" w14:textId="77777777" w:rsidR="008076D4" w:rsidRDefault="008076D4" w:rsidP="00065B26"/>
    <w:p w14:paraId="493B6A08" w14:textId="77777777" w:rsidR="008076D4" w:rsidRDefault="008076D4" w:rsidP="00065B26"/>
    <w:p w14:paraId="075F866F" w14:textId="77777777" w:rsidR="008076D4" w:rsidRDefault="008076D4" w:rsidP="00065B26"/>
    <w:p w14:paraId="76B4F569" w14:textId="77777777" w:rsidR="008076D4" w:rsidRDefault="008076D4" w:rsidP="00065B26"/>
    <w:p w14:paraId="1737B9FA" w14:textId="77777777" w:rsidR="008076D4" w:rsidRDefault="008076D4" w:rsidP="00065B26"/>
    <w:p w14:paraId="4FE676D3" w14:textId="77777777" w:rsidR="008076D4" w:rsidRDefault="008076D4" w:rsidP="00065B26"/>
    <w:p w14:paraId="57694FAC" w14:textId="77777777" w:rsidR="008076D4" w:rsidRDefault="008076D4" w:rsidP="00065B26"/>
    <w:p w14:paraId="7E225D36" w14:textId="77777777" w:rsidR="008076D4" w:rsidRDefault="008076D4" w:rsidP="00065B26"/>
    <w:p w14:paraId="075ED7C2" w14:textId="77777777" w:rsidR="008076D4" w:rsidRDefault="008076D4" w:rsidP="00065B26"/>
    <w:p w14:paraId="5C87D99C" w14:textId="77777777" w:rsidR="008076D4" w:rsidRDefault="008076D4" w:rsidP="00065B26"/>
    <w:p w14:paraId="62B40EFC" w14:textId="77777777" w:rsidR="008076D4" w:rsidRDefault="008076D4" w:rsidP="00065B26"/>
    <w:p w14:paraId="30AFC72B" w14:textId="77777777" w:rsidR="008076D4" w:rsidRDefault="008076D4" w:rsidP="00065B26"/>
    <w:p w14:paraId="62788C7E" w14:textId="77777777" w:rsidR="008076D4" w:rsidRDefault="008076D4" w:rsidP="00065B26"/>
    <w:p w14:paraId="45B2AFBD" w14:textId="77777777" w:rsidR="008076D4" w:rsidRDefault="008076D4" w:rsidP="00065B26"/>
    <w:p w14:paraId="730CCA10" w14:textId="77777777" w:rsidR="008076D4" w:rsidRDefault="008076D4" w:rsidP="00065B26"/>
    <w:p w14:paraId="4CB0B0F0" w14:textId="77777777" w:rsidR="008076D4" w:rsidRDefault="008076D4" w:rsidP="00065B26"/>
    <w:p w14:paraId="3180BB09" w14:textId="77777777" w:rsidR="008076D4" w:rsidRDefault="008076D4" w:rsidP="00065B26"/>
    <w:p w14:paraId="32940590" w14:textId="77777777" w:rsidR="008076D4" w:rsidRDefault="008076D4" w:rsidP="00065B26"/>
    <w:p w14:paraId="73A62F1D" w14:textId="77777777" w:rsidR="008076D4" w:rsidRDefault="008076D4" w:rsidP="00065B26"/>
    <w:p w14:paraId="496A6884" w14:textId="77777777" w:rsidR="008076D4" w:rsidRDefault="008076D4" w:rsidP="00065B26"/>
    <w:p w14:paraId="123868E5" w14:textId="77777777" w:rsidR="008076D4" w:rsidRDefault="008076D4" w:rsidP="00065B26"/>
    <w:p w14:paraId="191CE3F9" w14:textId="77777777" w:rsidR="008076D4" w:rsidRDefault="008076D4" w:rsidP="00065B26"/>
    <w:p w14:paraId="04628594" w14:textId="77777777" w:rsidR="008076D4" w:rsidRDefault="008076D4" w:rsidP="00065B26"/>
    <w:p w14:paraId="52AB2222" w14:textId="77777777" w:rsidR="008076D4" w:rsidRDefault="008076D4" w:rsidP="00065B26"/>
    <w:p w14:paraId="0A494201" w14:textId="77777777" w:rsidR="008076D4" w:rsidRDefault="008076D4" w:rsidP="00065B26"/>
    <w:p w14:paraId="3775D710" w14:textId="77777777" w:rsidR="008076D4" w:rsidRDefault="008076D4" w:rsidP="00065B26"/>
    <w:p w14:paraId="3EC84B37" w14:textId="77777777" w:rsidR="008076D4" w:rsidRDefault="008076D4" w:rsidP="00065B26"/>
    <w:p w14:paraId="24FA64FC" w14:textId="77777777" w:rsidR="008076D4" w:rsidRDefault="008076D4" w:rsidP="00065B26"/>
    <w:p w14:paraId="3500CF85" w14:textId="77777777" w:rsidR="008076D4" w:rsidRDefault="008076D4" w:rsidP="00065B26"/>
    <w:p w14:paraId="7B25EF17" w14:textId="77777777" w:rsidR="008076D4" w:rsidRDefault="008076D4" w:rsidP="00065B26"/>
    <w:p w14:paraId="79523405" w14:textId="77777777" w:rsidR="008076D4" w:rsidRDefault="008076D4" w:rsidP="00065B26"/>
    <w:p w14:paraId="61A2AEF5" w14:textId="77777777" w:rsidR="008076D4" w:rsidRDefault="008076D4" w:rsidP="00065B26"/>
    <w:p w14:paraId="391ED2AF" w14:textId="77777777" w:rsidR="008076D4" w:rsidRDefault="008076D4" w:rsidP="00065B26"/>
    <w:p w14:paraId="6E8549B4" w14:textId="77777777" w:rsidR="008076D4" w:rsidRDefault="008076D4" w:rsidP="00065B26"/>
    <w:p w14:paraId="0A697F32" w14:textId="77777777" w:rsidR="008076D4" w:rsidRDefault="008076D4" w:rsidP="00065B26"/>
    <w:p w14:paraId="0C415DEF" w14:textId="77777777" w:rsidR="008076D4" w:rsidRDefault="008076D4" w:rsidP="00065B26"/>
    <w:p w14:paraId="42BD5937" w14:textId="77777777" w:rsidR="008076D4" w:rsidRDefault="008076D4" w:rsidP="00065B26"/>
    <w:p w14:paraId="75146014" w14:textId="77777777" w:rsidR="008076D4" w:rsidRDefault="008076D4" w:rsidP="00065B26"/>
    <w:p w14:paraId="29B6DBF3" w14:textId="77777777" w:rsidR="008076D4" w:rsidRDefault="008076D4" w:rsidP="00065B26"/>
    <w:p w14:paraId="6720B658" w14:textId="77777777" w:rsidR="008076D4" w:rsidRDefault="008076D4" w:rsidP="00065B26"/>
    <w:p w14:paraId="6D00293B" w14:textId="77777777" w:rsidR="008076D4" w:rsidRDefault="008076D4" w:rsidP="00065B26"/>
    <w:p w14:paraId="3A3A9F6A" w14:textId="77777777" w:rsidR="008076D4" w:rsidRDefault="008076D4" w:rsidP="00065B26"/>
    <w:p w14:paraId="76027D65" w14:textId="77777777" w:rsidR="008076D4" w:rsidRDefault="008076D4" w:rsidP="00065B26"/>
    <w:p w14:paraId="58918E5D" w14:textId="77777777" w:rsidR="008076D4" w:rsidRDefault="008076D4" w:rsidP="00065B26"/>
    <w:p w14:paraId="630F7D98" w14:textId="77777777" w:rsidR="008076D4" w:rsidRDefault="008076D4" w:rsidP="00065B26"/>
    <w:p w14:paraId="64521B11" w14:textId="77777777" w:rsidR="008076D4" w:rsidRDefault="008076D4" w:rsidP="00065B26"/>
    <w:p w14:paraId="3CE535C4" w14:textId="77777777" w:rsidR="008076D4" w:rsidRDefault="008076D4" w:rsidP="00065B26"/>
    <w:p w14:paraId="404C6AD5" w14:textId="77777777" w:rsidR="008076D4" w:rsidRDefault="008076D4" w:rsidP="00065B26"/>
    <w:p w14:paraId="4EAB43EC" w14:textId="77777777" w:rsidR="008076D4" w:rsidRDefault="008076D4" w:rsidP="00065B26"/>
    <w:p w14:paraId="1B5986B5" w14:textId="77777777" w:rsidR="008076D4" w:rsidRDefault="008076D4" w:rsidP="00065B26"/>
    <w:p w14:paraId="54919CA7" w14:textId="77777777" w:rsidR="008076D4" w:rsidRDefault="008076D4" w:rsidP="00065B26"/>
    <w:p w14:paraId="713396C5" w14:textId="77777777" w:rsidR="008076D4" w:rsidRDefault="008076D4" w:rsidP="00065B26"/>
    <w:p w14:paraId="632BF72E" w14:textId="77777777" w:rsidR="008076D4" w:rsidRDefault="008076D4" w:rsidP="00065B26"/>
    <w:p w14:paraId="28B6840B" w14:textId="77777777" w:rsidR="008076D4" w:rsidRDefault="008076D4" w:rsidP="00065B26"/>
    <w:p w14:paraId="7CF455C9" w14:textId="77777777" w:rsidR="008076D4" w:rsidRDefault="008076D4" w:rsidP="00065B26"/>
    <w:p w14:paraId="448BFE46" w14:textId="77777777" w:rsidR="008076D4" w:rsidRDefault="008076D4" w:rsidP="00065B26"/>
    <w:p w14:paraId="49A69FD1" w14:textId="77777777" w:rsidR="008076D4" w:rsidRDefault="008076D4" w:rsidP="00065B26"/>
    <w:p w14:paraId="184DED58" w14:textId="77777777" w:rsidR="008076D4" w:rsidRDefault="008076D4" w:rsidP="00065B26"/>
    <w:p w14:paraId="00970956" w14:textId="77777777" w:rsidR="008076D4" w:rsidRDefault="008076D4" w:rsidP="00065B26"/>
    <w:p w14:paraId="3D4DDCD8" w14:textId="77777777" w:rsidR="008076D4" w:rsidRDefault="008076D4" w:rsidP="00065B26"/>
    <w:p w14:paraId="6F1E1193" w14:textId="77777777" w:rsidR="008076D4" w:rsidRDefault="008076D4" w:rsidP="00065B26"/>
    <w:p w14:paraId="6F95282A" w14:textId="77777777" w:rsidR="008076D4" w:rsidRDefault="008076D4" w:rsidP="00065B26"/>
    <w:p w14:paraId="4832C586" w14:textId="77777777" w:rsidR="008076D4" w:rsidRDefault="008076D4" w:rsidP="00065B26"/>
    <w:p w14:paraId="5ED07FAB" w14:textId="77777777" w:rsidR="008076D4" w:rsidRDefault="008076D4" w:rsidP="00065B26"/>
    <w:p w14:paraId="7FBEA2BA" w14:textId="77777777" w:rsidR="008076D4" w:rsidRDefault="008076D4" w:rsidP="00065B26"/>
    <w:p w14:paraId="4F75B115" w14:textId="77777777" w:rsidR="008076D4" w:rsidRDefault="008076D4" w:rsidP="00065B26"/>
    <w:p w14:paraId="711741AD" w14:textId="77777777" w:rsidR="008076D4" w:rsidRDefault="008076D4" w:rsidP="00065B26"/>
    <w:p w14:paraId="243F7BE4" w14:textId="77777777" w:rsidR="008076D4" w:rsidRDefault="008076D4" w:rsidP="00065B26"/>
    <w:p w14:paraId="32809ED7" w14:textId="77777777" w:rsidR="008076D4" w:rsidRDefault="008076D4" w:rsidP="00065B26"/>
    <w:p w14:paraId="0B5A5CC0" w14:textId="77777777" w:rsidR="008076D4" w:rsidRDefault="008076D4" w:rsidP="00065B26"/>
    <w:p w14:paraId="24A4DF88" w14:textId="77777777" w:rsidR="008076D4" w:rsidRDefault="008076D4" w:rsidP="00065B26"/>
    <w:p w14:paraId="64203D92" w14:textId="77777777" w:rsidR="008076D4" w:rsidRDefault="008076D4" w:rsidP="00065B26"/>
    <w:p w14:paraId="43E6E9B9" w14:textId="77777777" w:rsidR="008076D4" w:rsidRDefault="008076D4" w:rsidP="00065B26"/>
    <w:p w14:paraId="0CA13653" w14:textId="77777777" w:rsidR="008076D4" w:rsidRDefault="008076D4" w:rsidP="00065B26"/>
    <w:p w14:paraId="1FADD902" w14:textId="77777777" w:rsidR="008076D4" w:rsidRDefault="008076D4" w:rsidP="00065B26"/>
    <w:p w14:paraId="6B6AE6CF" w14:textId="77777777" w:rsidR="008076D4" w:rsidRDefault="008076D4" w:rsidP="00065B26"/>
    <w:p w14:paraId="7F257F2B" w14:textId="77777777" w:rsidR="008076D4" w:rsidRDefault="008076D4" w:rsidP="00065B26"/>
    <w:p w14:paraId="5C8C8B15" w14:textId="77777777" w:rsidR="008076D4" w:rsidRDefault="008076D4" w:rsidP="00065B26"/>
    <w:p w14:paraId="16C08537" w14:textId="77777777" w:rsidR="008076D4" w:rsidRDefault="008076D4" w:rsidP="00065B26"/>
    <w:p w14:paraId="72C347A0" w14:textId="77777777" w:rsidR="008076D4" w:rsidRDefault="008076D4" w:rsidP="00065B26"/>
    <w:p w14:paraId="489FAB41" w14:textId="77777777" w:rsidR="008076D4" w:rsidRDefault="008076D4" w:rsidP="00065B26"/>
    <w:p w14:paraId="3079A645" w14:textId="77777777" w:rsidR="008076D4" w:rsidRDefault="008076D4" w:rsidP="00065B26"/>
    <w:p w14:paraId="45EC6DBF" w14:textId="77777777" w:rsidR="008076D4" w:rsidRDefault="008076D4" w:rsidP="00065B26"/>
    <w:p w14:paraId="1A3B1992" w14:textId="77777777" w:rsidR="008076D4" w:rsidRDefault="008076D4" w:rsidP="00065B26"/>
    <w:p w14:paraId="6850C011" w14:textId="77777777" w:rsidR="008076D4" w:rsidRDefault="008076D4" w:rsidP="00065B26"/>
    <w:p w14:paraId="7CE537B2" w14:textId="77777777" w:rsidR="008076D4" w:rsidRDefault="008076D4" w:rsidP="00065B26"/>
    <w:p w14:paraId="00969A9C" w14:textId="77777777" w:rsidR="008076D4" w:rsidRDefault="008076D4" w:rsidP="00065B26"/>
    <w:p w14:paraId="2CB5F836" w14:textId="77777777" w:rsidR="008076D4" w:rsidRDefault="008076D4" w:rsidP="00065B26"/>
    <w:p w14:paraId="5C000988" w14:textId="77777777" w:rsidR="008076D4" w:rsidRDefault="008076D4" w:rsidP="00065B26"/>
    <w:p w14:paraId="087A8A8D" w14:textId="77777777" w:rsidR="008076D4" w:rsidRDefault="008076D4" w:rsidP="00065B26"/>
    <w:p w14:paraId="602200D0" w14:textId="77777777" w:rsidR="008076D4" w:rsidRDefault="008076D4" w:rsidP="00DB248E"/>
    <w:p w14:paraId="1386113E" w14:textId="77777777" w:rsidR="008076D4" w:rsidRDefault="008076D4" w:rsidP="00DB248E"/>
    <w:p w14:paraId="19503DA9" w14:textId="77777777" w:rsidR="008076D4" w:rsidRDefault="008076D4" w:rsidP="003E1FE2"/>
    <w:p w14:paraId="365A3078" w14:textId="77777777" w:rsidR="008076D4" w:rsidRDefault="008076D4" w:rsidP="003E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calaLancetPro">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AC84" w14:textId="0B9CE65E" w:rsidR="000412FF" w:rsidRPr="00F939F8" w:rsidRDefault="000412FF" w:rsidP="00F939F8">
    <w:pPr>
      <w:pStyle w:val="HeaderFooter"/>
      <w:jc w:val="center"/>
      <w:rPr>
        <w:rFonts w:ascii="Times New Roman" w:eastAsia="Times New Roman" w:hAnsi="Times New Roman"/>
        <w:color w:val="auto"/>
        <w:lang w:val="de-DE" w:bidi="x-none"/>
      </w:rPr>
    </w:pPr>
    <w:r>
      <w:fldChar w:fldCharType="begin"/>
    </w:r>
    <w:r>
      <w:instrText xml:space="preserve"> PAGE </w:instrText>
    </w:r>
    <w:r>
      <w:fldChar w:fldCharType="separate"/>
    </w:r>
    <w:r>
      <w:rPr>
        <w:noProof/>
      </w:rPr>
      <w:t>2</w:t>
    </w:r>
    <w:r>
      <w:fldChar w:fldCharType="end"/>
    </w:r>
  </w:p>
  <w:p w14:paraId="76751B8B" w14:textId="77777777" w:rsidR="000412FF" w:rsidRDefault="000412FF" w:rsidP="00065B26"/>
  <w:p w14:paraId="05AE8A4D" w14:textId="77777777" w:rsidR="000412FF" w:rsidRDefault="000412FF" w:rsidP="00065B26"/>
  <w:p w14:paraId="13FC678B" w14:textId="77777777" w:rsidR="000412FF" w:rsidRDefault="000412FF" w:rsidP="00065B26"/>
  <w:p w14:paraId="551D027B" w14:textId="77777777" w:rsidR="000412FF" w:rsidRDefault="000412FF" w:rsidP="00065B26"/>
  <w:p w14:paraId="04E08ACE" w14:textId="77777777" w:rsidR="000412FF" w:rsidRDefault="000412FF" w:rsidP="00065B26"/>
  <w:p w14:paraId="2E90DA18" w14:textId="77777777" w:rsidR="000412FF" w:rsidRDefault="000412FF" w:rsidP="00065B26"/>
  <w:p w14:paraId="6C838D41" w14:textId="77777777" w:rsidR="000412FF" w:rsidRDefault="000412FF" w:rsidP="00065B26"/>
  <w:p w14:paraId="37AE437E" w14:textId="77777777" w:rsidR="000412FF" w:rsidRDefault="000412FF" w:rsidP="00065B26"/>
  <w:p w14:paraId="198244D7" w14:textId="77777777" w:rsidR="000412FF" w:rsidRDefault="000412FF" w:rsidP="00065B26"/>
  <w:p w14:paraId="1F2BAFF1" w14:textId="77777777" w:rsidR="000412FF" w:rsidRDefault="000412FF" w:rsidP="00065B26"/>
  <w:p w14:paraId="6BA27C72" w14:textId="77777777" w:rsidR="000412FF" w:rsidRDefault="000412FF" w:rsidP="00065B26"/>
  <w:p w14:paraId="4F49FF1D" w14:textId="77777777" w:rsidR="000412FF" w:rsidRDefault="000412FF" w:rsidP="00065B26"/>
  <w:p w14:paraId="1CC48B00" w14:textId="77777777" w:rsidR="000412FF" w:rsidRDefault="000412FF" w:rsidP="00065B26"/>
  <w:p w14:paraId="0A9A513F" w14:textId="77777777" w:rsidR="000412FF" w:rsidRDefault="000412FF" w:rsidP="00065B26"/>
  <w:p w14:paraId="3E0441CC" w14:textId="77777777" w:rsidR="000412FF" w:rsidRDefault="000412FF" w:rsidP="00065B26"/>
  <w:p w14:paraId="25A6E817" w14:textId="77777777" w:rsidR="000412FF" w:rsidRDefault="000412FF" w:rsidP="00065B26"/>
  <w:p w14:paraId="0FD15000" w14:textId="77777777" w:rsidR="000412FF" w:rsidRDefault="000412FF" w:rsidP="00065B26"/>
  <w:p w14:paraId="3BD619AE" w14:textId="77777777" w:rsidR="000412FF" w:rsidRDefault="000412FF" w:rsidP="00065B26"/>
  <w:p w14:paraId="1BDD7786" w14:textId="77777777" w:rsidR="000412FF" w:rsidRDefault="000412FF" w:rsidP="00065B26"/>
  <w:p w14:paraId="64BFFFA6" w14:textId="77777777" w:rsidR="000412FF" w:rsidRDefault="000412FF" w:rsidP="00065B26"/>
  <w:p w14:paraId="2DB94A45" w14:textId="77777777" w:rsidR="000412FF" w:rsidRDefault="000412FF" w:rsidP="00065B26"/>
  <w:p w14:paraId="441F51B0" w14:textId="77777777" w:rsidR="000412FF" w:rsidRDefault="000412FF" w:rsidP="00065B26"/>
  <w:p w14:paraId="4928A831" w14:textId="77777777" w:rsidR="000412FF" w:rsidRDefault="000412FF" w:rsidP="00065B26"/>
  <w:p w14:paraId="71D0BBD8" w14:textId="77777777" w:rsidR="000412FF" w:rsidRDefault="000412FF" w:rsidP="00065B26"/>
  <w:p w14:paraId="745661C8" w14:textId="77777777" w:rsidR="000412FF" w:rsidRDefault="000412FF" w:rsidP="00065B26"/>
  <w:p w14:paraId="179EA250" w14:textId="77777777" w:rsidR="000412FF" w:rsidRDefault="000412FF" w:rsidP="00065B26"/>
  <w:p w14:paraId="0CB70F4E" w14:textId="77777777" w:rsidR="000412FF" w:rsidRDefault="000412FF" w:rsidP="00065B26"/>
  <w:p w14:paraId="2BC3F0C8" w14:textId="77777777" w:rsidR="000412FF" w:rsidRDefault="000412FF" w:rsidP="00065B26"/>
  <w:p w14:paraId="4E7ED568" w14:textId="77777777" w:rsidR="000412FF" w:rsidRDefault="000412FF" w:rsidP="00065B26"/>
  <w:p w14:paraId="3207F696" w14:textId="77777777" w:rsidR="000412FF" w:rsidRDefault="000412FF" w:rsidP="00065B26"/>
  <w:p w14:paraId="705110D5" w14:textId="77777777" w:rsidR="000412FF" w:rsidRDefault="000412FF" w:rsidP="00065B26"/>
  <w:p w14:paraId="6C8910C9" w14:textId="77777777" w:rsidR="000412FF" w:rsidRDefault="000412FF" w:rsidP="00065B26"/>
  <w:p w14:paraId="75EE8251" w14:textId="77777777" w:rsidR="000412FF" w:rsidRDefault="000412FF" w:rsidP="00065B26"/>
  <w:p w14:paraId="517CB45B" w14:textId="77777777" w:rsidR="000412FF" w:rsidRDefault="000412FF" w:rsidP="00065B26"/>
  <w:p w14:paraId="2FD39022" w14:textId="77777777" w:rsidR="000412FF" w:rsidRDefault="000412FF" w:rsidP="00065B26"/>
  <w:p w14:paraId="1233FC91" w14:textId="77777777" w:rsidR="000412FF" w:rsidRDefault="000412FF" w:rsidP="00065B26"/>
  <w:p w14:paraId="486EBBD3" w14:textId="77777777" w:rsidR="000412FF" w:rsidRDefault="000412FF" w:rsidP="00065B26"/>
  <w:p w14:paraId="7EA2245B" w14:textId="77777777" w:rsidR="000412FF" w:rsidRDefault="000412FF" w:rsidP="00065B26"/>
  <w:p w14:paraId="51C4B1EB" w14:textId="77777777" w:rsidR="000412FF" w:rsidRDefault="000412FF" w:rsidP="00065B26"/>
  <w:p w14:paraId="308E01E0" w14:textId="77777777" w:rsidR="000412FF" w:rsidRDefault="000412FF" w:rsidP="00065B26"/>
  <w:p w14:paraId="0120D051" w14:textId="77777777" w:rsidR="000412FF" w:rsidRDefault="000412FF" w:rsidP="00065B26"/>
  <w:p w14:paraId="6149DC8A" w14:textId="77777777" w:rsidR="000412FF" w:rsidRDefault="000412FF" w:rsidP="00065B26"/>
  <w:p w14:paraId="4DE11F42" w14:textId="77777777" w:rsidR="000412FF" w:rsidRDefault="000412FF" w:rsidP="00065B26"/>
  <w:p w14:paraId="139FC7BE" w14:textId="77777777" w:rsidR="000412FF" w:rsidRDefault="000412FF" w:rsidP="00065B26"/>
  <w:p w14:paraId="2287D7B3" w14:textId="77777777" w:rsidR="000412FF" w:rsidRDefault="000412FF" w:rsidP="00065B26"/>
  <w:p w14:paraId="7310BDEA" w14:textId="77777777" w:rsidR="000412FF" w:rsidRDefault="000412FF" w:rsidP="00065B26"/>
  <w:p w14:paraId="6EF39C17" w14:textId="77777777" w:rsidR="000412FF" w:rsidRDefault="000412FF" w:rsidP="00065B26"/>
  <w:p w14:paraId="396C1AB9" w14:textId="77777777" w:rsidR="000412FF" w:rsidRDefault="000412FF" w:rsidP="00065B26"/>
  <w:p w14:paraId="69FBB5DD" w14:textId="77777777" w:rsidR="000412FF" w:rsidRDefault="000412FF" w:rsidP="00065B26"/>
  <w:p w14:paraId="48F46D1C" w14:textId="77777777" w:rsidR="000412FF" w:rsidRDefault="000412FF" w:rsidP="00065B26"/>
  <w:p w14:paraId="0B94D0C8" w14:textId="77777777" w:rsidR="000412FF" w:rsidRDefault="000412FF" w:rsidP="00065B26"/>
  <w:p w14:paraId="1F9ABF61" w14:textId="77777777" w:rsidR="000412FF" w:rsidRDefault="000412FF" w:rsidP="00065B26"/>
  <w:p w14:paraId="6975BD01" w14:textId="77777777" w:rsidR="000412FF" w:rsidRDefault="000412FF" w:rsidP="00065B26"/>
  <w:p w14:paraId="6AC9FCF2" w14:textId="77777777" w:rsidR="000412FF" w:rsidRDefault="000412FF" w:rsidP="00065B26"/>
  <w:p w14:paraId="47FACD45" w14:textId="77777777" w:rsidR="000412FF" w:rsidRDefault="000412FF" w:rsidP="00065B26"/>
  <w:p w14:paraId="667459B4" w14:textId="77777777" w:rsidR="000412FF" w:rsidRDefault="000412FF" w:rsidP="00065B26"/>
  <w:p w14:paraId="3437111C" w14:textId="77777777" w:rsidR="000412FF" w:rsidRDefault="000412FF" w:rsidP="00DB248E"/>
  <w:p w14:paraId="61003ECE" w14:textId="77777777" w:rsidR="000412FF" w:rsidRDefault="000412FF" w:rsidP="00DB248E"/>
  <w:p w14:paraId="09D508B6" w14:textId="77777777" w:rsidR="000412FF" w:rsidRDefault="000412FF" w:rsidP="003E1FE2"/>
  <w:p w14:paraId="2F08E16F" w14:textId="77777777" w:rsidR="000412FF" w:rsidRDefault="000412FF" w:rsidP="003E1F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609B" w14:textId="54E87F22" w:rsidR="000412FF" w:rsidRDefault="000412FF" w:rsidP="00524D52">
    <w:pPr>
      <w:pStyle w:val="HeaderFooter"/>
      <w:jc w:val="center"/>
    </w:pPr>
    <w:r>
      <w:fldChar w:fldCharType="begin"/>
    </w:r>
    <w:r>
      <w:instrText xml:space="preserve"> PAGE </w:instrText>
    </w:r>
    <w:r>
      <w:fldChar w:fldCharType="separate"/>
    </w:r>
    <w:r w:rsidR="00C52ACA">
      <w:rPr>
        <w:noProof/>
      </w:rPr>
      <w:t>1</w:t>
    </w:r>
    <w:r>
      <w:fldChar w:fldCharType="end"/>
    </w:r>
  </w:p>
  <w:p w14:paraId="3C57C93C" w14:textId="77777777" w:rsidR="000412FF" w:rsidRDefault="000412FF" w:rsidP="00065B26"/>
  <w:p w14:paraId="69920882" w14:textId="77777777" w:rsidR="000412FF" w:rsidRDefault="000412FF" w:rsidP="00065B26"/>
  <w:p w14:paraId="0BC1343D" w14:textId="77777777" w:rsidR="000412FF" w:rsidRDefault="000412FF" w:rsidP="00065B26"/>
  <w:p w14:paraId="1AF02E4C" w14:textId="77777777" w:rsidR="000412FF" w:rsidRDefault="000412FF" w:rsidP="00DB248E"/>
  <w:p w14:paraId="7DC08273" w14:textId="77777777" w:rsidR="000412FF" w:rsidRDefault="000412FF" w:rsidP="00DB248E"/>
  <w:p w14:paraId="13605B77" w14:textId="77777777" w:rsidR="000412FF" w:rsidRDefault="000412FF" w:rsidP="003E1FE2"/>
  <w:p w14:paraId="26D0F9C6" w14:textId="77777777" w:rsidR="000412FF" w:rsidRDefault="000412FF" w:rsidP="003E1F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33C18" w14:textId="77777777" w:rsidR="008076D4" w:rsidRDefault="008076D4" w:rsidP="00065B26">
      <w:r>
        <w:separator/>
      </w:r>
    </w:p>
    <w:p w14:paraId="43356645" w14:textId="77777777" w:rsidR="008076D4" w:rsidRDefault="008076D4" w:rsidP="00065B26"/>
    <w:p w14:paraId="72A14127" w14:textId="77777777" w:rsidR="008076D4" w:rsidRDefault="008076D4" w:rsidP="00065B26"/>
    <w:p w14:paraId="2F4D5813" w14:textId="77777777" w:rsidR="008076D4" w:rsidRDefault="008076D4" w:rsidP="00065B26"/>
    <w:p w14:paraId="4538A1C0" w14:textId="77777777" w:rsidR="008076D4" w:rsidRDefault="008076D4" w:rsidP="00065B26"/>
    <w:p w14:paraId="28A21C37" w14:textId="77777777" w:rsidR="008076D4" w:rsidRDefault="008076D4" w:rsidP="00065B26"/>
    <w:p w14:paraId="6E213F2C" w14:textId="77777777" w:rsidR="008076D4" w:rsidRDefault="008076D4" w:rsidP="00065B26"/>
    <w:p w14:paraId="0C8168FC" w14:textId="77777777" w:rsidR="008076D4" w:rsidRDefault="008076D4" w:rsidP="00065B26"/>
    <w:p w14:paraId="5BA53189" w14:textId="77777777" w:rsidR="008076D4" w:rsidRDefault="008076D4" w:rsidP="00065B26"/>
    <w:p w14:paraId="6B6A3221" w14:textId="77777777" w:rsidR="008076D4" w:rsidRDefault="008076D4" w:rsidP="00065B26"/>
    <w:p w14:paraId="64120243" w14:textId="77777777" w:rsidR="008076D4" w:rsidRDefault="008076D4" w:rsidP="00065B26"/>
    <w:p w14:paraId="21EDC24C" w14:textId="77777777" w:rsidR="008076D4" w:rsidRDefault="008076D4" w:rsidP="00065B26"/>
    <w:p w14:paraId="39439E0C" w14:textId="77777777" w:rsidR="008076D4" w:rsidRDefault="008076D4" w:rsidP="00065B26"/>
    <w:p w14:paraId="7213144A" w14:textId="77777777" w:rsidR="008076D4" w:rsidRDefault="008076D4" w:rsidP="00065B26"/>
    <w:p w14:paraId="60FE443B" w14:textId="77777777" w:rsidR="008076D4" w:rsidRDefault="008076D4" w:rsidP="00065B26"/>
    <w:p w14:paraId="158C741D" w14:textId="77777777" w:rsidR="008076D4" w:rsidRDefault="008076D4" w:rsidP="00065B26"/>
    <w:p w14:paraId="484F267F" w14:textId="77777777" w:rsidR="008076D4" w:rsidRDefault="008076D4" w:rsidP="00065B26"/>
    <w:p w14:paraId="1F84A530" w14:textId="77777777" w:rsidR="008076D4" w:rsidRDefault="008076D4" w:rsidP="00065B26"/>
    <w:p w14:paraId="3EC1EE1E" w14:textId="77777777" w:rsidR="008076D4" w:rsidRDefault="008076D4" w:rsidP="00065B26"/>
    <w:p w14:paraId="30D8B9E9" w14:textId="77777777" w:rsidR="008076D4" w:rsidRDefault="008076D4" w:rsidP="00065B26"/>
    <w:p w14:paraId="0560DE4A" w14:textId="77777777" w:rsidR="008076D4" w:rsidRDefault="008076D4" w:rsidP="00065B26"/>
    <w:p w14:paraId="703C6AA9" w14:textId="77777777" w:rsidR="008076D4" w:rsidRDefault="008076D4" w:rsidP="00065B26"/>
    <w:p w14:paraId="58D4D4EC" w14:textId="77777777" w:rsidR="008076D4" w:rsidRDefault="008076D4" w:rsidP="00065B26"/>
    <w:p w14:paraId="77F9416A" w14:textId="77777777" w:rsidR="008076D4" w:rsidRDefault="008076D4" w:rsidP="00065B26"/>
    <w:p w14:paraId="304F7DFD" w14:textId="77777777" w:rsidR="008076D4" w:rsidRDefault="008076D4" w:rsidP="00065B26"/>
    <w:p w14:paraId="74A11DC3" w14:textId="77777777" w:rsidR="008076D4" w:rsidRDefault="008076D4" w:rsidP="00065B26"/>
    <w:p w14:paraId="63FFAD49" w14:textId="77777777" w:rsidR="008076D4" w:rsidRDefault="008076D4" w:rsidP="00065B26"/>
    <w:p w14:paraId="62A7B57D" w14:textId="77777777" w:rsidR="008076D4" w:rsidRDefault="008076D4" w:rsidP="00065B26"/>
    <w:p w14:paraId="56EA72CC" w14:textId="77777777" w:rsidR="008076D4" w:rsidRDefault="008076D4" w:rsidP="00065B26"/>
    <w:p w14:paraId="7B42D5A5" w14:textId="77777777" w:rsidR="008076D4" w:rsidRDefault="008076D4" w:rsidP="00065B26"/>
    <w:p w14:paraId="4E0B1D77" w14:textId="77777777" w:rsidR="008076D4" w:rsidRDefault="008076D4" w:rsidP="00065B26"/>
    <w:p w14:paraId="1B76481B" w14:textId="77777777" w:rsidR="008076D4" w:rsidRDefault="008076D4" w:rsidP="00065B26"/>
    <w:p w14:paraId="23B9008A" w14:textId="77777777" w:rsidR="008076D4" w:rsidRDefault="008076D4" w:rsidP="00065B26"/>
    <w:p w14:paraId="0B56619D" w14:textId="77777777" w:rsidR="008076D4" w:rsidRDefault="008076D4" w:rsidP="00065B26"/>
    <w:p w14:paraId="0BEB6F59" w14:textId="77777777" w:rsidR="008076D4" w:rsidRDefault="008076D4" w:rsidP="00065B26"/>
    <w:p w14:paraId="621B5C5B" w14:textId="77777777" w:rsidR="008076D4" w:rsidRDefault="008076D4" w:rsidP="00065B26"/>
    <w:p w14:paraId="4EB303A5" w14:textId="77777777" w:rsidR="008076D4" w:rsidRDefault="008076D4" w:rsidP="00065B26"/>
    <w:p w14:paraId="449FC30F" w14:textId="77777777" w:rsidR="008076D4" w:rsidRDefault="008076D4" w:rsidP="00065B26"/>
    <w:p w14:paraId="400AE26D" w14:textId="77777777" w:rsidR="008076D4" w:rsidRDefault="008076D4" w:rsidP="00065B26"/>
    <w:p w14:paraId="7C9D507A" w14:textId="77777777" w:rsidR="008076D4" w:rsidRDefault="008076D4" w:rsidP="00065B26"/>
    <w:p w14:paraId="3A255334" w14:textId="77777777" w:rsidR="008076D4" w:rsidRDefault="008076D4" w:rsidP="00065B26"/>
    <w:p w14:paraId="44F5C789" w14:textId="77777777" w:rsidR="008076D4" w:rsidRDefault="008076D4" w:rsidP="00065B26"/>
    <w:p w14:paraId="23F49DDA" w14:textId="77777777" w:rsidR="008076D4" w:rsidRDefault="008076D4" w:rsidP="00065B26"/>
    <w:p w14:paraId="7A5867D1" w14:textId="77777777" w:rsidR="008076D4" w:rsidRDefault="008076D4" w:rsidP="00065B26"/>
    <w:p w14:paraId="2C93C2E6" w14:textId="77777777" w:rsidR="008076D4" w:rsidRDefault="008076D4" w:rsidP="00065B26"/>
    <w:p w14:paraId="3BA8C2B4" w14:textId="77777777" w:rsidR="008076D4" w:rsidRDefault="008076D4" w:rsidP="00065B26"/>
    <w:p w14:paraId="5442425D" w14:textId="77777777" w:rsidR="008076D4" w:rsidRDefault="008076D4" w:rsidP="00065B26"/>
    <w:p w14:paraId="0CF8D4DC" w14:textId="77777777" w:rsidR="008076D4" w:rsidRDefault="008076D4" w:rsidP="00065B26"/>
    <w:p w14:paraId="410AC50D" w14:textId="77777777" w:rsidR="008076D4" w:rsidRDefault="008076D4" w:rsidP="00065B26"/>
    <w:p w14:paraId="5536685A" w14:textId="77777777" w:rsidR="008076D4" w:rsidRDefault="008076D4" w:rsidP="00065B26"/>
    <w:p w14:paraId="234E1C5D" w14:textId="77777777" w:rsidR="008076D4" w:rsidRDefault="008076D4" w:rsidP="00065B26"/>
    <w:p w14:paraId="06A2E332" w14:textId="77777777" w:rsidR="008076D4" w:rsidRDefault="008076D4" w:rsidP="00065B26"/>
    <w:p w14:paraId="31F2AC9D" w14:textId="77777777" w:rsidR="008076D4" w:rsidRDefault="008076D4" w:rsidP="00065B26"/>
    <w:p w14:paraId="45D4C665" w14:textId="77777777" w:rsidR="008076D4" w:rsidRDefault="008076D4" w:rsidP="00065B26"/>
    <w:p w14:paraId="0ECBF5D9" w14:textId="77777777" w:rsidR="008076D4" w:rsidRDefault="008076D4" w:rsidP="00065B26"/>
    <w:p w14:paraId="41A3418D" w14:textId="77777777" w:rsidR="008076D4" w:rsidRDefault="008076D4" w:rsidP="00065B26"/>
    <w:p w14:paraId="2F168F26" w14:textId="77777777" w:rsidR="008076D4" w:rsidRDefault="008076D4" w:rsidP="00065B26"/>
    <w:p w14:paraId="0F7E5EE1" w14:textId="77777777" w:rsidR="008076D4" w:rsidRDefault="008076D4" w:rsidP="00065B26"/>
    <w:p w14:paraId="7E0A8872" w14:textId="77777777" w:rsidR="008076D4" w:rsidRDefault="008076D4" w:rsidP="00065B26"/>
    <w:p w14:paraId="75216BC8" w14:textId="77777777" w:rsidR="008076D4" w:rsidRDefault="008076D4" w:rsidP="00065B26"/>
    <w:p w14:paraId="1E30C6ED" w14:textId="77777777" w:rsidR="008076D4" w:rsidRDefault="008076D4" w:rsidP="00065B26"/>
    <w:p w14:paraId="504C41E5" w14:textId="77777777" w:rsidR="008076D4" w:rsidRDefault="008076D4" w:rsidP="00065B26"/>
    <w:p w14:paraId="1888D931" w14:textId="77777777" w:rsidR="008076D4" w:rsidRDefault="008076D4" w:rsidP="00065B26"/>
    <w:p w14:paraId="5500EEF6" w14:textId="77777777" w:rsidR="008076D4" w:rsidRDefault="008076D4" w:rsidP="00065B26"/>
    <w:p w14:paraId="1FDC3C1F" w14:textId="77777777" w:rsidR="008076D4" w:rsidRDefault="008076D4" w:rsidP="00065B26"/>
    <w:p w14:paraId="5EFB2230" w14:textId="77777777" w:rsidR="008076D4" w:rsidRDefault="008076D4" w:rsidP="00065B26"/>
    <w:p w14:paraId="635B7CBA" w14:textId="77777777" w:rsidR="008076D4" w:rsidRDefault="008076D4" w:rsidP="00065B26"/>
    <w:p w14:paraId="47CCDDFC" w14:textId="77777777" w:rsidR="008076D4" w:rsidRDefault="008076D4" w:rsidP="00065B26"/>
    <w:p w14:paraId="196CF466" w14:textId="77777777" w:rsidR="008076D4" w:rsidRDefault="008076D4" w:rsidP="00065B26"/>
    <w:p w14:paraId="03E8BD75" w14:textId="77777777" w:rsidR="008076D4" w:rsidRDefault="008076D4" w:rsidP="00065B26"/>
    <w:p w14:paraId="12B8E129" w14:textId="77777777" w:rsidR="008076D4" w:rsidRDefault="008076D4" w:rsidP="00065B26"/>
    <w:p w14:paraId="59A2A973" w14:textId="77777777" w:rsidR="008076D4" w:rsidRDefault="008076D4" w:rsidP="00065B26"/>
    <w:p w14:paraId="504B8C86" w14:textId="77777777" w:rsidR="008076D4" w:rsidRDefault="008076D4" w:rsidP="00065B26"/>
    <w:p w14:paraId="7D5AD228" w14:textId="77777777" w:rsidR="008076D4" w:rsidRDefault="008076D4" w:rsidP="00065B26"/>
    <w:p w14:paraId="203D54CD" w14:textId="77777777" w:rsidR="008076D4" w:rsidRDefault="008076D4" w:rsidP="00065B26"/>
    <w:p w14:paraId="6BEAF125" w14:textId="77777777" w:rsidR="008076D4" w:rsidRDefault="008076D4" w:rsidP="00065B26"/>
    <w:p w14:paraId="2F320CE2" w14:textId="77777777" w:rsidR="008076D4" w:rsidRDefault="008076D4" w:rsidP="00065B26"/>
    <w:p w14:paraId="2E24F7EB" w14:textId="77777777" w:rsidR="008076D4" w:rsidRDefault="008076D4" w:rsidP="00065B26"/>
    <w:p w14:paraId="5B47C697" w14:textId="77777777" w:rsidR="008076D4" w:rsidRDefault="008076D4" w:rsidP="00065B26"/>
    <w:p w14:paraId="6B9A6EFC" w14:textId="77777777" w:rsidR="008076D4" w:rsidRDefault="008076D4" w:rsidP="00065B26"/>
    <w:p w14:paraId="1EA0BB7A" w14:textId="77777777" w:rsidR="008076D4" w:rsidRDefault="008076D4" w:rsidP="00065B26"/>
    <w:p w14:paraId="1744E973" w14:textId="77777777" w:rsidR="008076D4" w:rsidRDefault="008076D4" w:rsidP="00065B26"/>
    <w:p w14:paraId="49BCA81C" w14:textId="77777777" w:rsidR="008076D4" w:rsidRDefault="008076D4" w:rsidP="00065B26"/>
    <w:p w14:paraId="658A1103" w14:textId="77777777" w:rsidR="008076D4" w:rsidRDefault="008076D4" w:rsidP="00065B26"/>
    <w:p w14:paraId="7CBB8DEE" w14:textId="77777777" w:rsidR="008076D4" w:rsidRDefault="008076D4" w:rsidP="00065B26"/>
    <w:p w14:paraId="4240EE9A" w14:textId="77777777" w:rsidR="008076D4" w:rsidRDefault="008076D4" w:rsidP="00065B26"/>
    <w:p w14:paraId="500E6F9F" w14:textId="77777777" w:rsidR="008076D4" w:rsidRDefault="008076D4" w:rsidP="00065B26"/>
    <w:p w14:paraId="54DD1342" w14:textId="77777777" w:rsidR="008076D4" w:rsidRDefault="008076D4" w:rsidP="00065B26"/>
    <w:p w14:paraId="4038A56A" w14:textId="77777777" w:rsidR="008076D4" w:rsidRDefault="008076D4" w:rsidP="00065B26"/>
    <w:p w14:paraId="582EB690" w14:textId="77777777" w:rsidR="008076D4" w:rsidRDefault="008076D4" w:rsidP="00065B26"/>
    <w:p w14:paraId="131E911A" w14:textId="77777777" w:rsidR="008076D4" w:rsidRDefault="008076D4" w:rsidP="00065B26"/>
    <w:p w14:paraId="16B13D4F" w14:textId="77777777" w:rsidR="008076D4" w:rsidRDefault="008076D4" w:rsidP="00065B26"/>
    <w:p w14:paraId="2889AF48" w14:textId="77777777" w:rsidR="008076D4" w:rsidRDefault="008076D4" w:rsidP="00065B26"/>
    <w:p w14:paraId="45161DBF" w14:textId="77777777" w:rsidR="008076D4" w:rsidRDefault="008076D4" w:rsidP="00065B26"/>
    <w:p w14:paraId="7C7FF1E3" w14:textId="77777777" w:rsidR="008076D4" w:rsidRDefault="008076D4" w:rsidP="00065B26"/>
    <w:p w14:paraId="536F98EF" w14:textId="77777777" w:rsidR="008076D4" w:rsidRDefault="008076D4" w:rsidP="00065B26"/>
    <w:p w14:paraId="7B4AF23F" w14:textId="77777777" w:rsidR="008076D4" w:rsidRDefault="008076D4" w:rsidP="00065B26"/>
    <w:p w14:paraId="053C4A89" w14:textId="77777777" w:rsidR="008076D4" w:rsidRDefault="008076D4" w:rsidP="00065B26"/>
    <w:p w14:paraId="75040F9B" w14:textId="77777777" w:rsidR="008076D4" w:rsidRDefault="008076D4" w:rsidP="00065B26"/>
    <w:p w14:paraId="37D7A319" w14:textId="77777777" w:rsidR="008076D4" w:rsidRDefault="008076D4" w:rsidP="00065B26"/>
    <w:p w14:paraId="6698BE3C" w14:textId="77777777" w:rsidR="008076D4" w:rsidRDefault="008076D4" w:rsidP="00065B26"/>
    <w:p w14:paraId="0CC700EE" w14:textId="77777777" w:rsidR="008076D4" w:rsidRDefault="008076D4" w:rsidP="00065B26"/>
    <w:p w14:paraId="497B6AF9" w14:textId="77777777" w:rsidR="008076D4" w:rsidRDefault="008076D4" w:rsidP="00065B26"/>
    <w:p w14:paraId="1EC3BB5C" w14:textId="77777777" w:rsidR="008076D4" w:rsidRDefault="008076D4" w:rsidP="00065B26"/>
    <w:p w14:paraId="55F77749" w14:textId="77777777" w:rsidR="008076D4" w:rsidRDefault="008076D4" w:rsidP="00065B26"/>
    <w:p w14:paraId="11A81492" w14:textId="77777777" w:rsidR="008076D4" w:rsidRDefault="008076D4" w:rsidP="00065B26"/>
    <w:p w14:paraId="7829F1D6" w14:textId="77777777" w:rsidR="008076D4" w:rsidRDefault="008076D4" w:rsidP="00065B26"/>
    <w:p w14:paraId="7C2FA5E9" w14:textId="77777777" w:rsidR="008076D4" w:rsidRDefault="008076D4" w:rsidP="00065B26"/>
    <w:p w14:paraId="4AFCCF8F" w14:textId="77777777" w:rsidR="008076D4" w:rsidRDefault="008076D4" w:rsidP="00065B26"/>
    <w:p w14:paraId="5FB37AC9" w14:textId="77777777" w:rsidR="008076D4" w:rsidRDefault="008076D4" w:rsidP="00065B26"/>
    <w:p w14:paraId="037A690F" w14:textId="77777777" w:rsidR="008076D4" w:rsidRDefault="008076D4" w:rsidP="00065B26"/>
    <w:p w14:paraId="0A1D177B" w14:textId="77777777" w:rsidR="008076D4" w:rsidRDefault="008076D4" w:rsidP="00065B26"/>
    <w:p w14:paraId="191A718C" w14:textId="77777777" w:rsidR="008076D4" w:rsidRDefault="008076D4" w:rsidP="00065B26"/>
    <w:p w14:paraId="2682D39D" w14:textId="77777777" w:rsidR="008076D4" w:rsidRDefault="008076D4" w:rsidP="00065B26"/>
    <w:p w14:paraId="03FCFA04" w14:textId="77777777" w:rsidR="008076D4" w:rsidRDefault="008076D4" w:rsidP="00065B26"/>
    <w:p w14:paraId="1B1025FA" w14:textId="77777777" w:rsidR="008076D4" w:rsidRDefault="008076D4" w:rsidP="00065B26"/>
    <w:p w14:paraId="558D95FA" w14:textId="77777777" w:rsidR="008076D4" w:rsidRDefault="008076D4" w:rsidP="00065B26"/>
    <w:p w14:paraId="33BF6D77" w14:textId="77777777" w:rsidR="008076D4" w:rsidRDefault="008076D4" w:rsidP="00065B26"/>
    <w:p w14:paraId="51D7394F" w14:textId="77777777" w:rsidR="008076D4" w:rsidRDefault="008076D4" w:rsidP="00065B26"/>
    <w:p w14:paraId="48BE65B0" w14:textId="77777777" w:rsidR="008076D4" w:rsidRDefault="008076D4" w:rsidP="00065B26"/>
    <w:p w14:paraId="4B4FF08C" w14:textId="77777777" w:rsidR="008076D4" w:rsidRDefault="008076D4" w:rsidP="00065B26"/>
    <w:p w14:paraId="54CBFC01" w14:textId="77777777" w:rsidR="008076D4" w:rsidRDefault="008076D4" w:rsidP="00065B26"/>
    <w:p w14:paraId="308FA7B4" w14:textId="77777777" w:rsidR="008076D4" w:rsidRDefault="008076D4" w:rsidP="00065B26"/>
    <w:p w14:paraId="1221691A" w14:textId="77777777" w:rsidR="008076D4" w:rsidRDefault="008076D4" w:rsidP="00065B26"/>
    <w:p w14:paraId="26C9D394" w14:textId="77777777" w:rsidR="008076D4" w:rsidRDefault="008076D4" w:rsidP="00065B26"/>
    <w:p w14:paraId="27C69308" w14:textId="77777777" w:rsidR="008076D4" w:rsidRDefault="008076D4" w:rsidP="00065B26"/>
    <w:p w14:paraId="08037193" w14:textId="77777777" w:rsidR="008076D4" w:rsidRDefault="008076D4" w:rsidP="00065B26"/>
    <w:p w14:paraId="0728DBD0" w14:textId="77777777" w:rsidR="008076D4" w:rsidRDefault="008076D4" w:rsidP="00065B26"/>
    <w:p w14:paraId="45857202" w14:textId="77777777" w:rsidR="008076D4" w:rsidRDefault="008076D4" w:rsidP="00065B26"/>
    <w:p w14:paraId="2B73A074" w14:textId="77777777" w:rsidR="008076D4" w:rsidRDefault="008076D4" w:rsidP="00065B26"/>
    <w:p w14:paraId="0DDF40EF" w14:textId="77777777" w:rsidR="008076D4" w:rsidRDefault="008076D4" w:rsidP="00065B26"/>
    <w:p w14:paraId="48CACC8B" w14:textId="77777777" w:rsidR="008076D4" w:rsidRDefault="008076D4" w:rsidP="00065B26"/>
    <w:p w14:paraId="2715C16C" w14:textId="77777777" w:rsidR="008076D4" w:rsidRDefault="008076D4" w:rsidP="00065B26"/>
    <w:p w14:paraId="08AA064F" w14:textId="77777777" w:rsidR="008076D4" w:rsidRDefault="008076D4" w:rsidP="00065B26"/>
    <w:p w14:paraId="7DC0AF68" w14:textId="77777777" w:rsidR="008076D4" w:rsidRDefault="008076D4" w:rsidP="00065B26"/>
    <w:p w14:paraId="64161726" w14:textId="77777777" w:rsidR="008076D4" w:rsidRDefault="008076D4" w:rsidP="00065B26"/>
    <w:p w14:paraId="3E82FC13" w14:textId="77777777" w:rsidR="008076D4" w:rsidRDefault="008076D4" w:rsidP="00065B26"/>
    <w:p w14:paraId="420D34A0" w14:textId="77777777" w:rsidR="008076D4" w:rsidRDefault="008076D4" w:rsidP="00065B26"/>
    <w:p w14:paraId="0FA8C228" w14:textId="77777777" w:rsidR="008076D4" w:rsidRDefault="008076D4" w:rsidP="00065B26"/>
    <w:p w14:paraId="582D3ED0" w14:textId="77777777" w:rsidR="008076D4" w:rsidRDefault="008076D4" w:rsidP="00065B26"/>
    <w:p w14:paraId="5ACF99F0" w14:textId="77777777" w:rsidR="008076D4" w:rsidRDefault="008076D4" w:rsidP="00065B26"/>
    <w:p w14:paraId="69516700" w14:textId="77777777" w:rsidR="008076D4" w:rsidRDefault="008076D4" w:rsidP="00065B26"/>
    <w:p w14:paraId="72E94A88" w14:textId="77777777" w:rsidR="008076D4" w:rsidRDefault="008076D4" w:rsidP="00065B26"/>
    <w:p w14:paraId="7ADD33F2" w14:textId="77777777" w:rsidR="008076D4" w:rsidRDefault="008076D4" w:rsidP="00065B26"/>
    <w:p w14:paraId="131EC460" w14:textId="77777777" w:rsidR="008076D4" w:rsidRDefault="008076D4" w:rsidP="00065B26"/>
    <w:p w14:paraId="1E605B49" w14:textId="77777777" w:rsidR="008076D4" w:rsidRDefault="008076D4" w:rsidP="00065B26"/>
    <w:p w14:paraId="719AD323" w14:textId="77777777" w:rsidR="008076D4" w:rsidRDefault="008076D4" w:rsidP="00065B26"/>
    <w:p w14:paraId="5BA2DAD4" w14:textId="77777777" w:rsidR="008076D4" w:rsidRDefault="008076D4" w:rsidP="00065B26"/>
    <w:p w14:paraId="11B1CD43" w14:textId="77777777" w:rsidR="008076D4" w:rsidRDefault="008076D4" w:rsidP="00DB248E"/>
    <w:p w14:paraId="6D1C3970" w14:textId="77777777" w:rsidR="008076D4" w:rsidRDefault="008076D4" w:rsidP="00DB248E"/>
    <w:p w14:paraId="6ED45D12" w14:textId="77777777" w:rsidR="008076D4" w:rsidRDefault="008076D4" w:rsidP="003E1FE2"/>
    <w:p w14:paraId="64035E38" w14:textId="77777777" w:rsidR="008076D4" w:rsidRDefault="008076D4" w:rsidP="003E1FE2"/>
  </w:footnote>
  <w:footnote w:type="continuationSeparator" w:id="0">
    <w:p w14:paraId="3F51E201" w14:textId="77777777" w:rsidR="008076D4" w:rsidRDefault="008076D4" w:rsidP="00065B26">
      <w:r>
        <w:continuationSeparator/>
      </w:r>
    </w:p>
    <w:p w14:paraId="43581050" w14:textId="77777777" w:rsidR="008076D4" w:rsidRDefault="008076D4" w:rsidP="00065B26"/>
    <w:p w14:paraId="24769FA3" w14:textId="77777777" w:rsidR="008076D4" w:rsidRDefault="008076D4" w:rsidP="00065B26"/>
    <w:p w14:paraId="75D6EA22" w14:textId="77777777" w:rsidR="008076D4" w:rsidRDefault="008076D4" w:rsidP="00065B26"/>
    <w:p w14:paraId="50E103DA" w14:textId="77777777" w:rsidR="008076D4" w:rsidRDefault="008076D4" w:rsidP="00065B26"/>
    <w:p w14:paraId="635D9271" w14:textId="77777777" w:rsidR="008076D4" w:rsidRDefault="008076D4" w:rsidP="00065B26"/>
    <w:p w14:paraId="17C7E77F" w14:textId="77777777" w:rsidR="008076D4" w:rsidRDefault="008076D4" w:rsidP="00065B26"/>
    <w:p w14:paraId="6B08C2EF" w14:textId="77777777" w:rsidR="008076D4" w:rsidRDefault="008076D4" w:rsidP="00065B26"/>
    <w:p w14:paraId="4A2B35D2" w14:textId="77777777" w:rsidR="008076D4" w:rsidRDefault="008076D4" w:rsidP="00065B26"/>
    <w:p w14:paraId="76BCA1D0" w14:textId="77777777" w:rsidR="008076D4" w:rsidRDefault="008076D4" w:rsidP="00065B26"/>
    <w:p w14:paraId="3D989150" w14:textId="77777777" w:rsidR="008076D4" w:rsidRDefault="008076D4" w:rsidP="00065B26"/>
    <w:p w14:paraId="210B815B" w14:textId="77777777" w:rsidR="008076D4" w:rsidRDefault="008076D4" w:rsidP="00065B26"/>
    <w:p w14:paraId="516E4AFC" w14:textId="77777777" w:rsidR="008076D4" w:rsidRDefault="008076D4" w:rsidP="00065B26"/>
    <w:p w14:paraId="0F3F97F7" w14:textId="77777777" w:rsidR="008076D4" w:rsidRDefault="008076D4" w:rsidP="00065B26"/>
    <w:p w14:paraId="15B5A039" w14:textId="77777777" w:rsidR="008076D4" w:rsidRDefault="008076D4" w:rsidP="00065B26"/>
    <w:p w14:paraId="73D054BD" w14:textId="77777777" w:rsidR="008076D4" w:rsidRDefault="008076D4" w:rsidP="00065B26"/>
    <w:p w14:paraId="1A4FD30B" w14:textId="77777777" w:rsidR="008076D4" w:rsidRDefault="008076D4" w:rsidP="00065B26"/>
    <w:p w14:paraId="0360148E" w14:textId="77777777" w:rsidR="008076D4" w:rsidRDefault="008076D4" w:rsidP="00065B26"/>
    <w:p w14:paraId="180150F9" w14:textId="77777777" w:rsidR="008076D4" w:rsidRDefault="008076D4" w:rsidP="00065B26"/>
    <w:p w14:paraId="058C1B94" w14:textId="77777777" w:rsidR="008076D4" w:rsidRDefault="008076D4" w:rsidP="00065B26"/>
    <w:p w14:paraId="6B0ABC4D" w14:textId="77777777" w:rsidR="008076D4" w:rsidRDefault="008076D4" w:rsidP="00065B26"/>
    <w:p w14:paraId="15E6D760" w14:textId="77777777" w:rsidR="008076D4" w:rsidRDefault="008076D4" w:rsidP="00065B26"/>
    <w:p w14:paraId="53E14C06" w14:textId="77777777" w:rsidR="008076D4" w:rsidRDefault="008076D4" w:rsidP="00065B26"/>
    <w:p w14:paraId="052E6D55" w14:textId="77777777" w:rsidR="008076D4" w:rsidRDefault="008076D4" w:rsidP="00065B26"/>
    <w:p w14:paraId="6124FF9D" w14:textId="77777777" w:rsidR="008076D4" w:rsidRDefault="008076D4" w:rsidP="00065B26"/>
    <w:p w14:paraId="636F0A8A" w14:textId="77777777" w:rsidR="008076D4" w:rsidRDefault="008076D4" w:rsidP="00065B26"/>
    <w:p w14:paraId="35F44E8A" w14:textId="77777777" w:rsidR="008076D4" w:rsidRDefault="008076D4" w:rsidP="00065B26"/>
    <w:p w14:paraId="7875C804" w14:textId="77777777" w:rsidR="008076D4" w:rsidRDefault="008076D4" w:rsidP="00065B26"/>
    <w:p w14:paraId="59873105" w14:textId="77777777" w:rsidR="008076D4" w:rsidRDefault="008076D4" w:rsidP="00065B26"/>
    <w:p w14:paraId="3270787D" w14:textId="77777777" w:rsidR="008076D4" w:rsidRDefault="008076D4" w:rsidP="00065B26"/>
    <w:p w14:paraId="1FCB2DED" w14:textId="77777777" w:rsidR="008076D4" w:rsidRDefault="008076D4" w:rsidP="00065B26"/>
    <w:p w14:paraId="50ADA0C2" w14:textId="77777777" w:rsidR="008076D4" w:rsidRDefault="008076D4" w:rsidP="00065B26"/>
    <w:p w14:paraId="2FFD0D24" w14:textId="77777777" w:rsidR="008076D4" w:rsidRDefault="008076D4" w:rsidP="00065B26"/>
    <w:p w14:paraId="19EDEFAD" w14:textId="77777777" w:rsidR="008076D4" w:rsidRDefault="008076D4" w:rsidP="00065B26"/>
    <w:p w14:paraId="58109245" w14:textId="77777777" w:rsidR="008076D4" w:rsidRDefault="008076D4" w:rsidP="00065B26"/>
    <w:p w14:paraId="0EC8336A" w14:textId="77777777" w:rsidR="008076D4" w:rsidRDefault="008076D4" w:rsidP="00065B26"/>
    <w:p w14:paraId="316934E3" w14:textId="77777777" w:rsidR="008076D4" w:rsidRDefault="008076D4" w:rsidP="00065B26"/>
    <w:p w14:paraId="2C1EB7F7" w14:textId="77777777" w:rsidR="008076D4" w:rsidRDefault="008076D4" w:rsidP="00065B26"/>
    <w:p w14:paraId="31844DDB" w14:textId="77777777" w:rsidR="008076D4" w:rsidRDefault="008076D4" w:rsidP="00065B26"/>
    <w:p w14:paraId="3BAB9D35" w14:textId="77777777" w:rsidR="008076D4" w:rsidRDefault="008076D4" w:rsidP="00065B26"/>
    <w:p w14:paraId="41BABB24" w14:textId="77777777" w:rsidR="008076D4" w:rsidRDefault="008076D4" w:rsidP="00065B26"/>
    <w:p w14:paraId="33AA3975" w14:textId="77777777" w:rsidR="008076D4" w:rsidRDefault="008076D4" w:rsidP="00065B26"/>
    <w:p w14:paraId="246B0E21" w14:textId="77777777" w:rsidR="008076D4" w:rsidRDefault="008076D4" w:rsidP="00065B26"/>
    <w:p w14:paraId="3A09CC8C" w14:textId="77777777" w:rsidR="008076D4" w:rsidRDefault="008076D4" w:rsidP="00065B26"/>
    <w:p w14:paraId="24F8F86B" w14:textId="77777777" w:rsidR="008076D4" w:rsidRDefault="008076D4" w:rsidP="00065B26"/>
    <w:p w14:paraId="7E5EE760" w14:textId="77777777" w:rsidR="008076D4" w:rsidRDefault="008076D4" w:rsidP="00065B26"/>
    <w:p w14:paraId="19DF4B28" w14:textId="77777777" w:rsidR="008076D4" w:rsidRDefault="008076D4" w:rsidP="00065B26"/>
    <w:p w14:paraId="26530BFC" w14:textId="77777777" w:rsidR="008076D4" w:rsidRDefault="008076D4" w:rsidP="00065B26"/>
    <w:p w14:paraId="5AFF7CD7" w14:textId="77777777" w:rsidR="008076D4" w:rsidRDefault="008076D4" w:rsidP="00065B26"/>
    <w:p w14:paraId="16652A16" w14:textId="77777777" w:rsidR="008076D4" w:rsidRDefault="008076D4" w:rsidP="00065B26"/>
    <w:p w14:paraId="420C49A3" w14:textId="77777777" w:rsidR="008076D4" w:rsidRDefault="008076D4" w:rsidP="00065B26"/>
    <w:p w14:paraId="6C71BC2B" w14:textId="77777777" w:rsidR="008076D4" w:rsidRDefault="008076D4" w:rsidP="00065B26"/>
    <w:p w14:paraId="624CA22C" w14:textId="77777777" w:rsidR="008076D4" w:rsidRDefault="008076D4" w:rsidP="00065B26"/>
    <w:p w14:paraId="30F6690C" w14:textId="77777777" w:rsidR="008076D4" w:rsidRDefault="008076D4" w:rsidP="00065B26"/>
    <w:p w14:paraId="7828BCE2" w14:textId="77777777" w:rsidR="008076D4" w:rsidRDefault="008076D4" w:rsidP="00065B26"/>
    <w:p w14:paraId="4DE32DE6" w14:textId="77777777" w:rsidR="008076D4" w:rsidRDefault="008076D4" w:rsidP="00065B26"/>
    <w:p w14:paraId="1F64BDE1" w14:textId="77777777" w:rsidR="008076D4" w:rsidRDefault="008076D4" w:rsidP="00065B26"/>
    <w:p w14:paraId="76D514BC" w14:textId="77777777" w:rsidR="008076D4" w:rsidRDefault="008076D4" w:rsidP="00065B26"/>
    <w:p w14:paraId="678972BF" w14:textId="77777777" w:rsidR="008076D4" w:rsidRDefault="008076D4" w:rsidP="00065B26"/>
    <w:p w14:paraId="1F03EC5F" w14:textId="77777777" w:rsidR="008076D4" w:rsidRDefault="008076D4" w:rsidP="00065B26"/>
    <w:p w14:paraId="748FA9F6" w14:textId="77777777" w:rsidR="008076D4" w:rsidRDefault="008076D4" w:rsidP="00065B26"/>
    <w:p w14:paraId="46783E13" w14:textId="77777777" w:rsidR="008076D4" w:rsidRDefault="008076D4" w:rsidP="00065B26"/>
    <w:p w14:paraId="0DF2348C" w14:textId="77777777" w:rsidR="008076D4" w:rsidRDefault="008076D4" w:rsidP="00065B26"/>
    <w:p w14:paraId="1FD6A9F1" w14:textId="77777777" w:rsidR="008076D4" w:rsidRDefault="008076D4" w:rsidP="00065B26"/>
    <w:p w14:paraId="0942362E" w14:textId="77777777" w:rsidR="008076D4" w:rsidRDefault="008076D4" w:rsidP="00065B26"/>
    <w:p w14:paraId="4C253BF5" w14:textId="77777777" w:rsidR="008076D4" w:rsidRDefault="008076D4" w:rsidP="00065B26"/>
    <w:p w14:paraId="4B79F727" w14:textId="77777777" w:rsidR="008076D4" w:rsidRDefault="008076D4" w:rsidP="00065B26"/>
    <w:p w14:paraId="210B6225" w14:textId="77777777" w:rsidR="008076D4" w:rsidRDefault="008076D4" w:rsidP="00065B26"/>
    <w:p w14:paraId="4CC0EA26" w14:textId="77777777" w:rsidR="008076D4" w:rsidRDefault="008076D4" w:rsidP="00065B26"/>
    <w:p w14:paraId="1FE3A34D" w14:textId="77777777" w:rsidR="008076D4" w:rsidRDefault="008076D4" w:rsidP="00065B26"/>
    <w:p w14:paraId="7AFC7F3C" w14:textId="77777777" w:rsidR="008076D4" w:rsidRDefault="008076D4" w:rsidP="00065B26"/>
    <w:p w14:paraId="43AA1ED4" w14:textId="77777777" w:rsidR="008076D4" w:rsidRDefault="008076D4" w:rsidP="00065B26"/>
    <w:p w14:paraId="706D726B" w14:textId="77777777" w:rsidR="008076D4" w:rsidRDefault="008076D4" w:rsidP="00065B26"/>
    <w:p w14:paraId="31CB770C" w14:textId="77777777" w:rsidR="008076D4" w:rsidRDefault="008076D4" w:rsidP="00065B26"/>
    <w:p w14:paraId="65A2CAB8" w14:textId="77777777" w:rsidR="008076D4" w:rsidRDefault="008076D4" w:rsidP="00065B26"/>
    <w:p w14:paraId="3147DA00" w14:textId="77777777" w:rsidR="008076D4" w:rsidRDefault="008076D4" w:rsidP="00065B26"/>
    <w:p w14:paraId="2C82EDB8" w14:textId="77777777" w:rsidR="008076D4" w:rsidRDefault="008076D4" w:rsidP="00065B26"/>
    <w:p w14:paraId="35E67CC4" w14:textId="77777777" w:rsidR="008076D4" w:rsidRDefault="008076D4" w:rsidP="00065B26"/>
    <w:p w14:paraId="664D4BA2" w14:textId="77777777" w:rsidR="008076D4" w:rsidRDefault="008076D4" w:rsidP="00065B26"/>
    <w:p w14:paraId="3E5B7D4A" w14:textId="77777777" w:rsidR="008076D4" w:rsidRDefault="008076D4" w:rsidP="00065B26"/>
    <w:p w14:paraId="56E247E3" w14:textId="77777777" w:rsidR="008076D4" w:rsidRDefault="008076D4" w:rsidP="00065B26"/>
    <w:p w14:paraId="41ECBEA9" w14:textId="77777777" w:rsidR="008076D4" w:rsidRDefault="008076D4" w:rsidP="00065B26"/>
    <w:p w14:paraId="325B2227" w14:textId="77777777" w:rsidR="008076D4" w:rsidRDefault="008076D4" w:rsidP="00065B26"/>
    <w:p w14:paraId="6D39F3F4" w14:textId="77777777" w:rsidR="008076D4" w:rsidRDefault="008076D4" w:rsidP="00065B26"/>
    <w:p w14:paraId="6350C3E9" w14:textId="77777777" w:rsidR="008076D4" w:rsidRDefault="008076D4" w:rsidP="00065B26"/>
    <w:p w14:paraId="2C78AD9E" w14:textId="77777777" w:rsidR="008076D4" w:rsidRDefault="008076D4" w:rsidP="00065B26"/>
    <w:p w14:paraId="2CA9566C" w14:textId="77777777" w:rsidR="008076D4" w:rsidRDefault="008076D4" w:rsidP="00065B26"/>
    <w:p w14:paraId="776546C5" w14:textId="77777777" w:rsidR="008076D4" w:rsidRDefault="008076D4" w:rsidP="00065B26"/>
    <w:p w14:paraId="0358F618" w14:textId="77777777" w:rsidR="008076D4" w:rsidRDefault="008076D4" w:rsidP="00065B26"/>
    <w:p w14:paraId="06E5BA3C" w14:textId="77777777" w:rsidR="008076D4" w:rsidRDefault="008076D4" w:rsidP="00065B26"/>
    <w:p w14:paraId="36263629" w14:textId="77777777" w:rsidR="008076D4" w:rsidRDefault="008076D4" w:rsidP="00065B26"/>
    <w:p w14:paraId="72F89CBB" w14:textId="77777777" w:rsidR="008076D4" w:rsidRDefault="008076D4" w:rsidP="00065B26"/>
    <w:p w14:paraId="46A1A9F8" w14:textId="77777777" w:rsidR="008076D4" w:rsidRDefault="008076D4" w:rsidP="00065B26"/>
    <w:p w14:paraId="4302687C" w14:textId="77777777" w:rsidR="008076D4" w:rsidRDefault="008076D4" w:rsidP="00065B26"/>
    <w:p w14:paraId="4E6F2B45" w14:textId="77777777" w:rsidR="008076D4" w:rsidRDefault="008076D4" w:rsidP="00065B26"/>
    <w:p w14:paraId="19DBE82F" w14:textId="77777777" w:rsidR="008076D4" w:rsidRDefault="008076D4" w:rsidP="00065B26"/>
    <w:p w14:paraId="24671F0E" w14:textId="77777777" w:rsidR="008076D4" w:rsidRDefault="008076D4" w:rsidP="00065B26"/>
    <w:p w14:paraId="231F169B" w14:textId="77777777" w:rsidR="008076D4" w:rsidRDefault="008076D4" w:rsidP="00065B26"/>
    <w:p w14:paraId="7AB30CD3" w14:textId="77777777" w:rsidR="008076D4" w:rsidRDefault="008076D4" w:rsidP="00065B26"/>
    <w:p w14:paraId="41FFF6A9" w14:textId="77777777" w:rsidR="008076D4" w:rsidRDefault="008076D4" w:rsidP="00065B26"/>
    <w:p w14:paraId="13A67C8D" w14:textId="77777777" w:rsidR="008076D4" w:rsidRDefault="008076D4" w:rsidP="00065B26"/>
    <w:p w14:paraId="7504E7D0" w14:textId="77777777" w:rsidR="008076D4" w:rsidRDefault="008076D4" w:rsidP="00065B26"/>
    <w:p w14:paraId="583E1869" w14:textId="77777777" w:rsidR="008076D4" w:rsidRDefault="008076D4" w:rsidP="00065B26"/>
    <w:p w14:paraId="613B6C1A" w14:textId="77777777" w:rsidR="008076D4" w:rsidRDefault="008076D4" w:rsidP="00065B26"/>
    <w:p w14:paraId="3FAF1A3B" w14:textId="77777777" w:rsidR="008076D4" w:rsidRDefault="008076D4" w:rsidP="00065B26"/>
    <w:p w14:paraId="3B8E1BC8" w14:textId="77777777" w:rsidR="008076D4" w:rsidRDefault="008076D4" w:rsidP="00065B26"/>
    <w:p w14:paraId="55CC9308" w14:textId="77777777" w:rsidR="008076D4" w:rsidRDefault="008076D4" w:rsidP="00065B26"/>
    <w:p w14:paraId="24318FC5" w14:textId="77777777" w:rsidR="008076D4" w:rsidRDefault="008076D4" w:rsidP="00065B26"/>
    <w:p w14:paraId="1C6547B1" w14:textId="77777777" w:rsidR="008076D4" w:rsidRDefault="008076D4" w:rsidP="00065B26"/>
    <w:p w14:paraId="747C23F2" w14:textId="77777777" w:rsidR="008076D4" w:rsidRDefault="008076D4" w:rsidP="00065B26"/>
    <w:p w14:paraId="597BE22A" w14:textId="77777777" w:rsidR="008076D4" w:rsidRDefault="008076D4" w:rsidP="00065B26"/>
    <w:p w14:paraId="00A04AA4" w14:textId="77777777" w:rsidR="008076D4" w:rsidRDefault="008076D4" w:rsidP="00065B26"/>
    <w:p w14:paraId="205C1FD7" w14:textId="77777777" w:rsidR="008076D4" w:rsidRDefault="008076D4" w:rsidP="00065B26"/>
    <w:p w14:paraId="093E3FAB" w14:textId="77777777" w:rsidR="008076D4" w:rsidRDefault="008076D4" w:rsidP="00065B26"/>
    <w:p w14:paraId="341D49D1" w14:textId="77777777" w:rsidR="008076D4" w:rsidRDefault="008076D4" w:rsidP="00065B26"/>
    <w:p w14:paraId="62A5AC14" w14:textId="77777777" w:rsidR="008076D4" w:rsidRDefault="008076D4" w:rsidP="00065B26"/>
    <w:p w14:paraId="08C778F6" w14:textId="77777777" w:rsidR="008076D4" w:rsidRDefault="008076D4" w:rsidP="00065B26"/>
    <w:p w14:paraId="677830A2" w14:textId="77777777" w:rsidR="008076D4" w:rsidRDefault="008076D4" w:rsidP="00065B26"/>
    <w:p w14:paraId="08EEAAB2" w14:textId="77777777" w:rsidR="008076D4" w:rsidRDefault="008076D4" w:rsidP="00065B26"/>
    <w:p w14:paraId="47171B19" w14:textId="77777777" w:rsidR="008076D4" w:rsidRDefault="008076D4" w:rsidP="00065B26"/>
    <w:p w14:paraId="5C775CE8" w14:textId="77777777" w:rsidR="008076D4" w:rsidRDefault="008076D4" w:rsidP="00065B26"/>
    <w:p w14:paraId="6A340D6A" w14:textId="77777777" w:rsidR="008076D4" w:rsidRDefault="008076D4" w:rsidP="00065B26"/>
    <w:p w14:paraId="69F3933E" w14:textId="77777777" w:rsidR="008076D4" w:rsidRDefault="008076D4" w:rsidP="00065B26"/>
    <w:p w14:paraId="40649567" w14:textId="77777777" w:rsidR="008076D4" w:rsidRDefault="008076D4" w:rsidP="00065B26"/>
    <w:p w14:paraId="6DC46F20" w14:textId="77777777" w:rsidR="008076D4" w:rsidRDefault="008076D4" w:rsidP="00065B26"/>
    <w:p w14:paraId="23E80F3F" w14:textId="77777777" w:rsidR="008076D4" w:rsidRDefault="008076D4" w:rsidP="00065B26"/>
    <w:p w14:paraId="189D97AA" w14:textId="77777777" w:rsidR="008076D4" w:rsidRDefault="008076D4" w:rsidP="00065B26"/>
    <w:p w14:paraId="70D01BF0" w14:textId="77777777" w:rsidR="008076D4" w:rsidRDefault="008076D4" w:rsidP="00065B26"/>
    <w:p w14:paraId="7ACCB574" w14:textId="77777777" w:rsidR="008076D4" w:rsidRDefault="008076D4" w:rsidP="00065B26"/>
    <w:p w14:paraId="1A5A194E" w14:textId="77777777" w:rsidR="008076D4" w:rsidRDefault="008076D4" w:rsidP="00065B26"/>
    <w:p w14:paraId="0D898A0C" w14:textId="77777777" w:rsidR="008076D4" w:rsidRDefault="008076D4" w:rsidP="00065B26"/>
    <w:p w14:paraId="7081B77D" w14:textId="77777777" w:rsidR="008076D4" w:rsidRDefault="008076D4" w:rsidP="00065B26"/>
    <w:p w14:paraId="3B691B0A" w14:textId="77777777" w:rsidR="008076D4" w:rsidRDefault="008076D4" w:rsidP="00065B26"/>
    <w:p w14:paraId="4A3F2660" w14:textId="77777777" w:rsidR="008076D4" w:rsidRDefault="008076D4" w:rsidP="00065B26"/>
    <w:p w14:paraId="73AFFF3F" w14:textId="77777777" w:rsidR="008076D4" w:rsidRDefault="008076D4" w:rsidP="00065B26"/>
    <w:p w14:paraId="41E013F0" w14:textId="77777777" w:rsidR="008076D4" w:rsidRDefault="008076D4" w:rsidP="00065B26"/>
    <w:p w14:paraId="4C69C85C" w14:textId="77777777" w:rsidR="008076D4" w:rsidRDefault="008076D4" w:rsidP="00065B26"/>
    <w:p w14:paraId="11385A06" w14:textId="77777777" w:rsidR="008076D4" w:rsidRDefault="008076D4" w:rsidP="00065B26"/>
    <w:p w14:paraId="39E26189" w14:textId="77777777" w:rsidR="008076D4" w:rsidRDefault="008076D4" w:rsidP="00065B26"/>
    <w:p w14:paraId="3CC497F1" w14:textId="77777777" w:rsidR="008076D4" w:rsidRDefault="008076D4" w:rsidP="00065B26"/>
    <w:p w14:paraId="5D05C3DA" w14:textId="77777777" w:rsidR="008076D4" w:rsidRDefault="008076D4" w:rsidP="00065B26"/>
    <w:p w14:paraId="41377117" w14:textId="77777777" w:rsidR="008076D4" w:rsidRDefault="008076D4" w:rsidP="00065B26"/>
    <w:p w14:paraId="06FA529B" w14:textId="77777777" w:rsidR="008076D4" w:rsidRDefault="008076D4" w:rsidP="00065B26"/>
    <w:p w14:paraId="4C3FB037" w14:textId="77777777" w:rsidR="008076D4" w:rsidRDefault="008076D4" w:rsidP="00065B26"/>
    <w:p w14:paraId="425818C1" w14:textId="77777777" w:rsidR="008076D4" w:rsidRDefault="008076D4" w:rsidP="00065B26"/>
    <w:p w14:paraId="48BA77BC" w14:textId="77777777" w:rsidR="008076D4" w:rsidRDefault="008076D4" w:rsidP="00065B26"/>
    <w:p w14:paraId="3490360C" w14:textId="77777777" w:rsidR="008076D4" w:rsidRDefault="008076D4" w:rsidP="00065B26"/>
    <w:p w14:paraId="1B764088" w14:textId="77777777" w:rsidR="008076D4" w:rsidRDefault="008076D4" w:rsidP="00065B26"/>
    <w:p w14:paraId="2296508A" w14:textId="77777777" w:rsidR="008076D4" w:rsidRDefault="008076D4" w:rsidP="00DB248E"/>
    <w:p w14:paraId="7B9C7B45" w14:textId="77777777" w:rsidR="008076D4" w:rsidRDefault="008076D4" w:rsidP="00DB248E"/>
    <w:p w14:paraId="3D320EA9" w14:textId="77777777" w:rsidR="008076D4" w:rsidRDefault="008076D4" w:rsidP="003E1FE2"/>
    <w:p w14:paraId="44694854" w14:textId="77777777" w:rsidR="008076D4" w:rsidRDefault="008076D4" w:rsidP="003E1F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4196" w14:textId="77777777" w:rsidR="000412FF" w:rsidRPr="00297A4E" w:rsidRDefault="000412FF">
    <w:pPr>
      <w:pStyle w:val="HeaderFooter"/>
      <w:rPr>
        <w:rFonts w:ascii="Arial" w:hAnsi="Arial" w:cs="Arial"/>
        <w:color w:val="999999"/>
      </w:rPr>
    </w:pPr>
    <w:r w:rsidRPr="00297A4E">
      <w:rPr>
        <w:rFonts w:ascii="Arial" w:hAnsi="Arial" w:cs="Arial"/>
        <w:color w:val="999999"/>
      </w:rPr>
      <w:t xml:space="preserve">EORTC 90101 CREATE study in </w:t>
    </w:r>
    <w:r>
      <w:rPr>
        <w:rFonts w:ascii="Arial" w:hAnsi="Arial" w:cs="Arial"/>
        <w:color w:val="999999"/>
      </w:rPr>
      <w:t>PRCC1</w:t>
    </w:r>
    <w:r w:rsidRPr="00297A4E">
      <w:rPr>
        <w:rFonts w:ascii="Arial" w:hAnsi="Arial" w:cs="Arial"/>
        <w:color w:val="999999"/>
      </w:rPr>
      <w:t xml:space="preserve"> - manuscript </w:t>
    </w:r>
    <w:r>
      <w:rPr>
        <w:rFonts w:ascii="Arial" w:hAnsi="Arial" w:cs="Arial"/>
        <w:color w:val="999999"/>
      </w:rPr>
      <w:t xml:space="preserve">3rd </w:t>
    </w:r>
    <w:r w:rsidRPr="00297A4E">
      <w:rPr>
        <w:rFonts w:ascii="Arial" w:hAnsi="Arial" w:cs="Arial"/>
        <w:color w:val="999999"/>
      </w:rPr>
      <w:t xml:space="preserve">draft </w:t>
    </w:r>
  </w:p>
  <w:p w14:paraId="26AECB32" w14:textId="77777777" w:rsidR="000412FF" w:rsidRPr="00EC33FF" w:rsidRDefault="000412FF" w:rsidP="00EC33FF">
    <w:pPr>
      <w:pStyle w:val="HeaderFooter"/>
      <w:rPr>
        <w:rFonts w:ascii="Arial" w:hAnsi="Arial" w:cs="Arial"/>
        <w:color w:val="999999"/>
      </w:rPr>
    </w:pPr>
    <w:r w:rsidRPr="00297A4E">
      <w:rPr>
        <w:rFonts w:ascii="Arial" w:hAnsi="Arial" w:cs="Arial"/>
        <w:color w:val="999999"/>
      </w:rPr>
      <w:t>Article. Prepared for submission to The Lancet Oncology</w:t>
    </w:r>
  </w:p>
  <w:p w14:paraId="1AB5FD61" w14:textId="77777777" w:rsidR="000412FF" w:rsidRPr="00D65912" w:rsidRDefault="000412FF" w:rsidP="00065B26"/>
  <w:p w14:paraId="52C63F44" w14:textId="77777777" w:rsidR="000412FF" w:rsidRPr="00D65912" w:rsidRDefault="000412FF" w:rsidP="00065B26"/>
  <w:p w14:paraId="1A75E30E" w14:textId="77777777" w:rsidR="000412FF" w:rsidRPr="00D65912" w:rsidRDefault="000412FF" w:rsidP="00065B26"/>
  <w:p w14:paraId="37945146" w14:textId="77777777" w:rsidR="000412FF" w:rsidRPr="00D65912" w:rsidRDefault="000412FF" w:rsidP="00065B26"/>
  <w:p w14:paraId="4FFEC551" w14:textId="77777777" w:rsidR="000412FF" w:rsidRPr="00D65912" w:rsidRDefault="000412FF" w:rsidP="00065B26"/>
  <w:p w14:paraId="3027AD52" w14:textId="77777777" w:rsidR="000412FF" w:rsidRPr="00D65912" w:rsidRDefault="000412FF" w:rsidP="00065B26"/>
  <w:p w14:paraId="3E5ADCE7" w14:textId="77777777" w:rsidR="000412FF" w:rsidRPr="00D65912" w:rsidRDefault="000412FF" w:rsidP="00065B26"/>
  <w:p w14:paraId="6A20F18E" w14:textId="77777777" w:rsidR="000412FF" w:rsidRPr="00D65912" w:rsidRDefault="000412FF" w:rsidP="00065B26"/>
  <w:p w14:paraId="6E9DD91F" w14:textId="77777777" w:rsidR="000412FF" w:rsidRPr="00D65912" w:rsidRDefault="000412FF" w:rsidP="00065B26"/>
  <w:p w14:paraId="283A6F90" w14:textId="77777777" w:rsidR="000412FF" w:rsidRPr="00D65912" w:rsidRDefault="000412FF" w:rsidP="00065B26"/>
  <w:p w14:paraId="4388FE78" w14:textId="77777777" w:rsidR="000412FF" w:rsidRPr="00D65912" w:rsidRDefault="000412FF" w:rsidP="00065B26"/>
  <w:p w14:paraId="1B7E5F30" w14:textId="77777777" w:rsidR="000412FF" w:rsidRPr="00D65912" w:rsidRDefault="000412FF" w:rsidP="00065B26"/>
  <w:p w14:paraId="55923B28" w14:textId="77777777" w:rsidR="000412FF" w:rsidRPr="00D65912" w:rsidRDefault="000412FF" w:rsidP="00065B26"/>
  <w:p w14:paraId="617CD639" w14:textId="77777777" w:rsidR="000412FF" w:rsidRPr="00D65912" w:rsidRDefault="000412FF" w:rsidP="00065B26"/>
  <w:p w14:paraId="472064BE" w14:textId="77777777" w:rsidR="000412FF" w:rsidRPr="00D65912" w:rsidRDefault="000412FF" w:rsidP="00065B26"/>
  <w:p w14:paraId="1F73835E" w14:textId="77777777" w:rsidR="000412FF" w:rsidRPr="00D65912" w:rsidRDefault="000412FF" w:rsidP="00065B26"/>
  <w:p w14:paraId="7AF282FC" w14:textId="77777777" w:rsidR="000412FF" w:rsidRPr="00D65912" w:rsidRDefault="000412FF" w:rsidP="00065B26"/>
  <w:p w14:paraId="5BB7B69D" w14:textId="77777777" w:rsidR="000412FF" w:rsidRPr="00D65912" w:rsidRDefault="000412FF" w:rsidP="00065B26"/>
  <w:p w14:paraId="4036DF4E" w14:textId="77777777" w:rsidR="000412FF" w:rsidRPr="00D65912" w:rsidRDefault="000412FF" w:rsidP="00065B26"/>
  <w:p w14:paraId="78C40C06" w14:textId="77777777" w:rsidR="000412FF" w:rsidRPr="00D65912" w:rsidRDefault="000412FF" w:rsidP="00065B26"/>
  <w:p w14:paraId="5744099C" w14:textId="77777777" w:rsidR="000412FF" w:rsidRPr="00D65912" w:rsidRDefault="000412FF" w:rsidP="00065B26"/>
  <w:p w14:paraId="5C8C9133" w14:textId="77777777" w:rsidR="000412FF" w:rsidRPr="00D65912" w:rsidRDefault="000412FF" w:rsidP="00065B26"/>
  <w:p w14:paraId="1A957DDD" w14:textId="77777777" w:rsidR="000412FF" w:rsidRPr="00D65912" w:rsidRDefault="000412FF" w:rsidP="00065B26"/>
  <w:p w14:paraId="0D361008" w14:textId="77777777" w:rsidR="000412FF" w:rsidRPr="00D65912" w:rsidRDefault="000412FF" w:rsidP="00065B26"/>
  <w:p w14:paraId="511A2AB5" w14:textId="77777777" w:rsidR="000412FF" w:rsidRPr="00D65912" w:rsidRDefault="000412FF" w:rsidP="00065B26"/>
  <w:p w14:paraId="1AC80E40" w14:textId="77777777" w:rsidR="000412FF" w:rsidRPr="00D65912" w:rsidRDefault="000412FF" w:rsidP="00065B26"/>
  <w:p w14:paraId="0EB1F096" w14:textId="77777777" w:rsidR="000412FF" w:rsidRPr="00D65912" w:rsidRDefault="000412FF" w:rsidP="00065B26"/>
  <w:p w14:paraId="02CFFBAB" w14:textId="77777777" w:rsidR="000412FF" w:rsidRPr="00D65912" w:rsidRDefault="000412FF" w:rsidP="00065B26"/>
  <w:p w14:paraId="39D8CDD0" w14:textId="77777777" w:rsidR="000412FF" w:rsidRPr="00D65912" w:rsidRDefault="000412FF" w:rsidP="00065B26"/>
  <w:p w14:paraId="5F347CC6" w14:textId="77777777" w:rsidR="000412FF" w:rsidRPr="00D65912" w:rsidRDefault="000412FF" w:rsidP="00065B26"/>
  <w:p w14:paraId="023F7232" w14:textId="77777777" w:rsidR="000412FF" w:rsidRPr="00D65912" w:rsidRDefault="000412FF" w:rsidP="00065B26"/>
  <w:p w14:paraId="2A12954C" w14:textId="77777777" w:rsidR="000412FF" w:rsidRPr="00D65912" w:rsidRDefault="000412FF" w:rsidP="00065B26"/>
  <w:p w14:paraId="15FC40A5" w14:textId="77777777" w:rsidR="000412FF" w:rsidRPr="00BD5140" w:rsidRDefault="000412FF" w:rsidP="00065B26"/>
  <w:p w14:paraId="180CA4F1" w14:textId="77777777" w:rsidR="000412FF" w:rsidRPr="00BD5140" w:rsidRDefault="000412FF" w:rsidP="00065B26"/>
  <w:p w14:paraId="7C1C0B57" w14:textId="77777777" w:rsidR="000412FF" w:rsidRPr="00BD5140" w:rsidRDefault="000412FF" w:rsidP="00065B26"/>
  <w:p w14:paraId="5AA07712" w14:textId="77777777" w:rsidR="000412FF" w:rsidRPr="00BD5140" w:rsidRDefault="000412FF" w:rsidP="00065B26"/>
  <w:p w14:paraId="40CD3ABE" w14:textId="77777777" w:rsidR="000412FF" w:rsidRPr="00BD5140" w:rsidRDefault="000412FF" w:rsidP="00065B26"/>
  <w:p w14:paraId="42F51AAC" w14:textId="77777777" w:rsidR="000412FF" w:rsidRPr="00BD5140" w:rsidRDefault="000412FF" w:rsidP="00065B26"/>
  <w:p w14:paraId="7E39E592" w14:textId="77777777" w:rsidR="000412FF" w:rsidRPr="00BD5140" w:rsidRDefault="000412FF" w:rsidP="00065B26"/>
  <w:p w14:paraId="6422783D" w14:textId="77777777" w:rsidR="000412FF" w:rsidRPr="00BD5140" w:rsidRDefault="000412FF" w:rsidP="00065B26"/>
  <w:p w14:paraId="655251BE" w14:textId="77777777" w:rsidR="000412FF" w:rsidRPr="00BD5140" w:rsidRDefault="000412FF" w:rsidP="00065B26"/>
  <w:p w14:paraId="273627B3" w14:textId="77777777" w:rsidR="000412FF" w:rsidRPr="00BD5140" w:rsidRDefault="000412FF" w:rsidP="00065B26"/>
  <w:p w14:paraId="41AD42EF" w14:textId="77777777" w:rsidR="000412FF" w:rsidRPr="00BD5140" w:rsidRDefault="000412FF" w:rsidP="00065B26"/>
  <w:p w14:paraId="676FDD53" w14:textId="77777777" w:rsidR="000412FF" w:rsidRPr="00BD5140" w:rsidRDefault="000412FF" w:rsidP="00065B26"/>
  <w:p w14:paraId="731AF7C6" w14:textId="77777777" w:rsidR="000412FF" w:rsidRPr="00BD5140" w:rsidRDefault="000412FF" w:rsidP="00065B26"/>
  <w:p w14:paraId="2104C57F" w14:textId="77777777" w:rsidR="000412FF" w:rsidRPr="00BD5140" w:rsidRDefault="000412FF" w:rsidP="00065B26"/>
  <w:p w14:paraId="5DF47A83" w14:textId="77777777" w:rsidR="000412FF" w:rsidRPr="00BD5140" w:rsidRDefault="000412FF" w:rsidP="00065B26"/>
  <w:p w14:paraId="57753A86" w14:textId="77777777" w:rsidR="000412FF" w:rsidRPr="00BD5140" w:rsidRDefault="000412FF" w:rsidP="00065B26"/>
  <w:p w14:paraId="7D7C598D" w14:textId="77777777" w:rsidR="000412FF" w:rsidRPr="00BD5140" w:rsidRDefault="000412FF" w:rsidP="00065B26"/>
  <w:p w14:paraId="42B4FD08" w14:textId="77777777" w:rsidR="000412FF" w:rsidRPr="00BD5140" w:rsidRDefault="000412FF" w:rsidP="00065B26"/>
  <w:p w14:paraId="5EB7DDBD" w14:textId="77777777" w:rsidR="000412FF" w:rsidRPr="00BD5140" w:rsidRDefault="000412FF" w:rsidP="00065B26"/>
  <w:p w14:paraId="0A150781" w14:textId="77777777" w:rsidR="000412FF" w:rsidRPr="00BD5140" w:rsidRDefault="000412FF" w:rsidP="00065B26"/>
  <w:p w14:paraId="7FD225CF" w14:textId="77777777" w:rsidR="000412FF" w:rsidRPr="00BD5140" w:rsidRDefault="000412FF" w:rsidP="00065B26"/>
  <w:p w14:paraId="4613B932" w14:textId="77777777" w:rsidR="000412FF" w:rsidRPr="00BD5140" w:rsidRDefault="000412FF" w:rsidP="00065B26"/>
  <w:p w14:paraId="3FA40E96" w14:textId="77777777" w:rsidR="000412FF" w:rsidRPr="00BD5140" w:rsidRDefault="000412FF" w:rsidP="00065B26"/>
  <w:p w14:paraId="31802E30" w14:textId="77777777" w:rsidR="000412FF" w:rsidRPr="00BD5140" w:rsidRDefault="000412FF" w:rsidP="00065B26"/>
  <w:p w14:paraId="1EB87B64" w14:textId="77777777" w:rsidR="000412FF" w:rsidRDefault="000412FF" w:rsidP="00065B26"/>
  <w:p w14:paraId="414F19EF" w14:textId="77777777" w:rsidR="000412FF" w:rsidRDefault="000412FF" w:rsidP="00DB248E"/>
  <w:p w14:paraId="78FA1C3E" w14:textId="77777777" w:rsidR="000412FF" w:rsidRDefault="000412FF" w:rsidP="00DB248E"/>
  <w:p w14:paraId="32D42C34" w14:textId="77777777" w:rsidR="000412FF" w:rsidRDefault="000412FF" w:rsidP="003E1FE2"/>
  <w:p w14:paraId="1C48DE42" w14:textId="77777777" w:rsidR="000412FF" w:rsidRDefault="000412FF" w:rsidP="003E1F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6EC4" w14:textId="77777777" w:rsidR="000412FF" w:rsidRPr="009E2BEA" w:rsidRDefault="000412FF" w:rsidP="009E2BEA">
    <w:pPr>
      <w:pStyle w:val="HeaderFooter"/>
      <w:jc w:val="center"/>
      <w:rPr>
        <w:rFonts w:ascii="Times New Roman" w:eastAsia="Times New Roman" w:hAnsi="Times New Roman"/>
        <w:color w:val="auto"/>
        <w:lang w:val="de-DE"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8E9"/>
    <w:multiLevelType w:val="multilevel"/>
    <w:tmpl w:val="CFF43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963060"/>
    <w:multiLevelType w:val="hybridMultilevel"/>
    <w:tmpl w:val="2E8E4DA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nsid w:val="4066432A"/>
    <w:multiLevelType w:val="hybridMultilevel"/>
    <w:tmpl w:val="DAB0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EF2E7D"/>
    <w:multiLevelType w:val="hybridMultilevel"/>
    <w:tmpl w:val="54F6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FC1603"/>
    <w:multiLevelType w:val="hybridMultilevel"/>
    <w:tmpl w:val="28A489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cumentProtection w:edit="trackedChange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AA"/>
    <w:rsid w:val="00000EB1"/>
    <w:rsid w:val="00001221"/>
    <w:rsid w:val="00005CF6"/>
    <w:rsid w:val="000075B4"/>
    <w:rsid w:val="000076E9"/>
    <w:rsid w:val="0001164F"/>
    <w:rsid w:val="00012B1B"/>
    <w:rsid w:val="00012B85"/>
    <w:rsid w:val="0001577E"/>
    <w:rsid w:val="00015B44"/>
    <w:rsid w:val="00017603"/>
    <w:rsid w:val="00020554"/>
    <w:rsid w:val="00020723"/>
    <w:rsid w:val="0002090A"/>
    <w:rsid w:val="00021122"/>
    <w:rsid w:val="00021FA3"/>
    <w:rsid w:val="00022759"/>
    <w:rsid w:val="00022B2F"/>
    <w:rsid w:val="00023DE0"/>
    <w:rsid w:val="0002450C"/>
    <w:rsid w:val="00024BA7"/>
    <w:rsid w:val="00026A7F"/>
    <w:rsid w:val="000271FC"/>
    <w:rsid w:val="0002739D"/>
    <w:rsid w:val="00030A54"/>
    <w:rsid w:val="0003201A"/>
    <w:rsid w:val="000326F5"/>
    <w:rsid w:val="00032B2D"/>
    <w:rsid w:val="0003337A"/>
    <w:rsid w:val="00033EDF"/>
    <w:rsid w:val="000355C3"/>
    <w:rsid w:val="0003618D"/>
    <w:rsid w:val="000361B2"/>
    <w:rsid w:val="0003748C"/>
    <w:rsid w:val="00037506"/>
    <w:rsid w:val="000376C7"/>
    <w:rsid w:val="00037C92"/>
    <w:rsid w:val="00037D5D"/>
    <w:rsid w:val="000404BB"/>
    <w:rsid w:val="00040EE9"/>
    <w:rsid w:val="000412FF"/>
    <w:rsid w:val="00042168"/>
    <w:rsid w:val="00042A59"/>
    <w:rsid w:val="00042AE6"/>
    <w:rsid w:val="00042E33"/>
    <w:rsid w:val="000438B8"/>
    <w:rsid w:val="00045B17"/>
    <w:rsid w:val="00045BB0"/>
    <w:rsid w:val="0004625C"/>
    <w:rsid w:val="00046639"/>
    <w:rsid w:val="000466C6"/>
    <w:rsid w:val="00046BFA"/>
    <w:rsid w:val="00046C48"/>
    <w:rsid w:val="0004701B"/>
    <w:rsid w:val="000474EC"/>
    <w:rsid w:val="00050AEF"/>
    <w:rsid w:val="0005144E"/>
    <w:rsid w:val="000518F9"/>
    <w:rsid w:val="000519E6"/>
    <w:rsid w:val="00051B66"/>
    <w:rsid w:val="00052FEA"/>
    <w:rsid w:val="000558B5"/>
    <w:rsid w:val="00055A5B"/>
    <w:rsid w:val="00056AF7"/>
    <w:rsid w:val="000578AA"/>
    <w:rsid w:val="00057C8E"/>
    <w:rsid w:val="000601F0"/>
    <w:rsid w:val="00060E8F"/>
    <w:rsid w:val="00060EF8"/>
    <w:rsid w:val="00061625"/>
    <w:rsid w:val="000616C5"/>
    <w:rsid w:val="000618F6"/>
    <w:rsid w:val="00061B6C"/>
    <w:rsid w:val="00061F7E"/>
    <w:rsid w:val="00062EE0"/>
    <w:rsid w:val="00063817"/>
    <w:rsid w:val="00063823"/>
    <w:rsid w:val="000652C2"/>
    <w:rsid w:val="0006592C"/>
    <w:rsid w:val="00065B26"/>
    <w:rsid w:val="000701AF"/>
    <w:rsid w:val="000716E9"/>
    <w:rsid w:val="000719DD"/>
    <w:rsid w:val="00071B96"/>
    <w:rsid w:val="00071DF6"/>
    <w:rsid w:val="00072011"/>
    <w:rsid w:val="000729AA"/>
    <w:rsid w:val="0007488D"/>
    <w:rsid w:val="000754C7"/>
    <w:rsid w:val="000757C9"/>
    <w:rsid w:val="00075823"/>
    <w:rsid w:val="000766B6"/>
    <w:rsid w:val="000778B0"/>
    <w:rsid w:val="000818E8"/>
    <w:rsid w:val="00082531"/>
    <w:rsid w:val="00082B4C"/>
    <w:rsid w:val="000834DE"/>
    <w:rsid w:val="00083DD6"/>
    <w:rsid w:val="000840BC"/>
    <w:rsid w:val="000842A1"/>
    <w:rsid w:val="00085604"/>
    <w:rsid w:val="000859E9"/>
    <w:rsid w:val="00085DFD"/>
    <w:rsid w:val="00085F06"/>
    <w:rsid w:val="00086540"/>
    <w:rsid w:val="00090390"/>
    <w:rsid w:val="00090764"/>
    <w:rsid w:val="00090776"/>
    <w:rsid w:val="00091482"/>
    <w:rsid w:val="00091987"/>
    <w:rsid w:val="00092816"/>
    <w:rsid w:val="00092976"/>
    <w:rsid w:val="00092B06"/>
    <w:rsid w:val="00092D4D"/>
    <w:rsid w:val="00093C12"/>
    <w:rsid w:val="000942C3"/>
    <w:rsid w:val="000944D8"/>
    <w:rsid w:val="000954B0"/>
    <w:rsid w:val="00095A2F"/>
    <w:rsid w:val="000960DD"/>
    <w:rsid w:val="00096E3E"/>
    <w:rsid w:val="0009779F"/>
    <w:rsid w:val="000A02A9"/>
    <w:rsid w:val="000A06C1"/>
    <w:rsid w:val="000A3615"/>
    <w:rsid w:val="000A60D8"/>
    <w:rsid w:val="000A6DDF"/>
    <w:rsid w:val="000A6E27"/>
    <w:rsid w:val="000A7BB9"/>
    <w:rsid w:val="000B0DD6"/>
    <w:rsid w:val="000B1D53"/>
    <w:rsid w:val="000B2092"/>
    <w:rsid w:val="000B22E2"/>
    <w:rsid w:val="000B2C10"/>
    <w:rsid w:val="000B2DA2"/>
    <w:rsid w:val="000B31C5"/>
    <w:rsid w:val="000B31D6"/>
    <w:rsid w:val="000B571D"/>
    <w:rsid w:val="000B65F0"/>
    <w:rsid w:val="000B72F7"/>
    <w:rsid w:val="000B7366"/>
    <w:rsid w:val="000B7E99"/>
    <w:rsid w:val="000C0238"/>
    <w:rsid w:val="000C07A6"/>
    <w:rsid w:val="000C099D"/>
    <w:rsid w:val="000C0A44"/>
    <w:rsid w:val="000C104A"/>
    <w:rsid w:val="000C13E0"/>
    <w:rsid w:val="000C14A3"/>
    <w:rsid w:val="000C1CB1"/>
    <w:rsid w:val="000C27C4"/>
    <w:rsid w:val="000C2C93"/>
    <w:rsid w:val="000C2CBA"/>
    <w:rsid w:val="000C5078"/>
    <w:rsid w:val="000C6573"/>
    <w:rsid w:val="000C7CD1"/>
    <w:rsid w:val="000D10E6"/>
    <w:rsid w:val="000D34D5"/>
    <w:rsid w:val="000D4FA7"/>
    <w:rsid w:val="000D56CE"/>
    <w:rsid w:val="000D5C9A"/>
    <w:rsid w:val="000D5DC5"/>
    <w:rsid w:val="000D5E81"/>
    <w:rsid w:val="000E0098"/>
    <w:rsid w:val="000E051D"/>
    <w:rsid w:val="000E1102"/>
    <w:rsid w:val="000E11AA"/>
    <w:rsid w:val="000E1E77"/>
    <w:rsid w:val="000E26B8"/>
    <w:rsid w:val="000E2AD5"/>
    <w:rsid w:val="000E2DA8"/>
    <w:rsid w:val="000E3DE9"/>
    <w:rsid w:val="000E5F8F"/>
    <w:rsid w:val="000E6772"/>
    <w:rsid w:val="000E6949"/>
    <w:rsid w:val="000E6A5A"/>
    <w:rsid w:val="000E727B"/>
    <w:rsid w:val="000E7FDD"/>
    <w:rsid w:val="000F0365"/>
    <w:rsid w:val="000F039A"/>
    <w:rsid w:val="000F0A2E"/>
    <w:rsid w:val="000F2C04"/>
    <w:rsid w:val="000F4022"/>
    <w:rsid w:val="000F53CF"/>
    <w:rsid w:val="000F56BB"/>
    <w:rsid w:val="000F6896"/>
    <w:rsid w:val="000F6C1D"/>
    <w:rsid w:val="000F761D"/>
    <w:rsid w:val="000F7A4B"/>
    <w:rsid w:val="00101BEC"/>
    <w:rsid w:val="001022ED"/>
    <w:rsid w:val="00102BE8"/>
    <w:rsid w:val="00102F85"/>
    <w:rsid w:val="001038F7"/>
    <w:rsid w:val="00103CB2"/>
    <w:rsid w:val="001050F5"/>
    <w:rsid w:val="001051F2"/>
    <w:rsid w:val="0010606B"/>
    <w:rsid w:val="00106566"/>
    <w:rsid w:val="001106D4"/>
    <w:rsid w:val="001119B1"/>
    <w:rsid w:val="00111B76"/>
    <w:rsid w:val="001129A0"/>
    <w:rsid w:val="00113240"/>
    <w:rsid w:val="001132AE"/>
    <w:rsid w:val="00113428"/>
    <w:rsid w:val="00114057"/>
    <w:rsid w:val="00114EDB"/>
    <w:rsid w:val="001155DB"/>
    <w:rsid w:val="001155E2"/>
    <w:rsid w:val="00117166"/>
    <w:rsid w:val="00117D47"/>
    <w:rsid w:val="00120513"/>
    <w:rsid w:val="00122217"/>
    <w:rsid w:val="00122394"/>
    <w:rsid w:val="00122BFA"/>
    <w:rsid w:val="00122CDE"/>
    <w:rsid w:val="00123BE6"/>
    <w:rsid w:val="00123FA6"/>
    <w:rsid w:val="00124421"/>
    <w:rsid w:val="00124A64"/>
    <w:rsid w:val="00125C38"/>
    <w:rsid w:val="00126A2F"/>
    <w:rsid w:val="00127555"/>
    <w:rsid w:val="001276C1"/>
    <w:rsid w:val="00130942"/>
    <w:rsid w:val="001325DB"/>
    <w:rsid w:val="00133A93"/>
    <w:rsid w:val="001340A1"/>
    <w:rsid w:val="00134A2E"/>
    <w:rsid w:val="00134F8A"/>
    <w:rsid w:val="00135474"/>
    <w:rsid w:val="0013561C"/>
    <w:rsid w:val="00135E73"/>
    <w:rsid w:val="001360B3"/>
    <w:rsid w:val="0013692B"/>
    <w:rsid w:val="00136B93"/>
    <w:rsid w:val="00137872"/>
    <w:rsid w:val="00137C95"/>
    <w:rsid w:val="00141561"/>
    <w:rsid w:val="0014216A"/>
    <w:rsid w:val="0014285A"/>
    <w:rsid w:val="001436BD"/>
    <w:rsid w:val="00144720"/>
    <w:rsid w:val="00144CB9"/>
    <w:rsid w:val="00146B83"/>
    <w:rsid w:val="00151850"/>
    <w:rsid w:val="00151C25"/>
    <w:rsid w:val="00151D6C"/>
    <w:rsid w:val="001524B1"/>
    <w:rsid w:val="0015267C"/>
    <w:rsid w:val="001540EF"/>
    <w:rsid w:val="00154A9D"/>
    <w:rsid w:val="00155C87"/>
    <w:rsid w:val="0015618C"/>
    <w:rsid w:val="001566E0"/>
    <w:rsid w:val="00156B38"/>
    <w:rsid w:val="00156FE1"/>
    <w:rsid w:val="00157FEA"/>
    <w:rsid w:val="001626E5"/>
    <w:rsid w:val="00164CF9"/>
    <w:rsid w:val="001651EF"/>
    <w:rsid w:val="00165299"/>
    <w:rsid w:val="001653A5"/>
    <w:rsid w:val="001659BD"/>
    <w:rsid w:val="00165ED0"/>
    <w:rsid w:val="00166572"/>
    <w:rsid w:val="001677ED"/>
    <w:rsid w:val="00167DA1"/>
    <w:rsid w:val="001700CF"/>
    <w:rsid w:val="001706A2"/>
    <w:rsid w:val="00170793"/>
    <w:rsid w:val="00170868"/>
    <w:rsid w:val="0017118B"/>
    <w:rsid w:val="00171892"/>
    <w:rsid w:val="00171994"/>
    <w:rsid w:val="00172866"/>
    <w:rsid w:val="00172E22"/>
    <w:rsid w:val="00172F57"/>
    <w:rsid w:val="00172FD8"/>
    <w:rsid w:val="001736C0"/>
    <w:rsid w:val="00173E7E"/>
    <w:rsid w:val="00174D80"/>
    <w:rsid w:val="00176268"/>
    <w:rsid w:val="00176853"/>
    <w:rsid w:val="001769C3"/>
    <w:rsid w:val="0017725A"/>
    <w:rsid w:val="0017741A"/>
    <w:rsid w:val="00177DA3"/>
    <w:rsid w:val="00180830"/>
    <w:rsid w:val="001809C7"/>
    <w:rsid w:val="001815DB"/>
    <w:rsid w:val="00182B99"/>
    <w:rsid w:val="00182C89"/>
    <w:rsid w:val="00183640"/>
    <w:rsid w:val="0018488D"/>
    <w:rsid w:val="00184CEE"/>
    <w:rsid w:val="00186053"/>
    <w:rsid w:val="00187067"/>
    <w:rsid w:val="00187EF5"/>
    <w:rsid w:val="00190088"/>
    <w:rsid w:val="00190369"/>
    <w:rsid w:val="00192F0B"/>
    <w:rsid w:val="001946F2"/>
    <w:rsid w:val="0019556E"/>
    <w:rsid w:val="00195E3A"/>
    <w:rsid w:val="00196682"/>
    <w:rsid w:val="00196834"/>
    <w:rsid w:val="001A1E12"/>
    <w:rsid w:val="001A1F92"/>
    <w:rsid w:val="001A2748"/>
    <w:rsid w:val="001A2FFC"/>
    <w:rsid w:val="001A332E"/>
    <w:rsid w:val="001A3CA0"/>
    <w:rsid w:val="001A3ECF"/>
    <w:rsid w:val="001A3FE0"/>
    <w:rsid w:val="001A5DC1"/>
    <w:rsid w:val="001A63FE"/>
    <w:rsid w:val="001B0919"/>
    <w:rsid w:val="001B171E"/>
    <w:rsid w:val="001B2575"/>
    <w:rsid w:val="001B3720"/>
    <w:rsid w:val="001B391D"/>
    <w:rsid w:val="001B3981"/>
    <w:rsid w:val="001B4593"/>
    <w:rsid w:val="001B46FA"/>
    <w:rsid w:val="001B54B9"/>
    <w:rsid w:val="001B55FF"/>
    <w:rsid w:val="001B5619"/>
    <w:rsid w:val="001B5EC3"/>
    <w:rsid w:val="001B6BDF"/>
    <w:rsid w:val="001B6D01"/>
    <w:rsid w:val="001B7C5B"/>
    <w:rsid w:val="001C10A2"/>
    <w:rsid w:val="001C246C"/>
    <w:rsid w:val="001C2ED8"/>
    <w:rsid w:val="001C3136"/>
    <w:rsid w:val="001C3F5B"/>
    <w:rsid w:val="001C4CB2"/>
    <w:rsid w:val="001C5D2C"/>
    <w:rsid w:val="001D05A3"/>
    <w:rsid w:val="001D22EF"/>
    <w:rsid w:val="001D2CDC"/>
    <w:rsid w:val="001D3A2E"/>
    <w:rsid w:val="001D442C"/>
    <w:rsid w:val="001D49B6"/>
    <w:rsid w:val="001D4ECB"/>
    <w:rsid w:val="001D4F93"/>
    <w:rsid w:val="001D57D1"/>
    <w:rsid w:val="001D6DD0"/>
    <w:rsid w:val="001D716A"/>
    <w:rsid w:val="001D799F"/>
    <w:rsid w:val="001E0ECF"/>
    <w:rsid w:val="001E2686"/>
    <w:rsid w:val="001E3D58"/>
    <w:rsid w:val="001E3EBD"/>
    <w:rsid w:val="001E4FD4"/>
    <w:rsid w:val="001E6780"/>
    <w:rsid w:val="001E7701"/>
    <w:rsid w:val="001F17F5"/>
    <w:rsid w:val="001F1AE9"/>
    <w:rsid w:val="001F23F6"/>
    <w:rsid w:val="001F23F9"/>
    <w:rsid w:val="001F4282"/>
    <w:rsid w:val="001F47A0"/>
    <w:rsid w:val="001F5413"/>
    <w:rsid w:val="001F5A5E"/>
    <w:rsid w:val="001F708C"/>
    <w:rsid w:val="001F7AE2"/>
    <w:rsid w:val="00200127"/>
    <w:rsid w:val="002001B9"/>
    <w:rsid w:val="002009BA"/>
    <w:rsid w:val="0020131C"/>
    <w:rsid w:val="00202E41"/>
    <w:rsid w:val="00203E9B"/>
    <w:rsid w:val="002045EA"/>
    <w:rsid w:val="002047D0"/>
    <w:rsid w:val="0020500A"/>
    <w:rsid w:val="00205322"/>
    <w:rsid w:val="002053E9"/>
    <w:rsid w:val="00207D97"/>
    <w:rsid w:val="00210720"/>
    <w:rsid w:val="00210914"/>
    <w:rsid w:val="00213C4D"/>
    <w:rsid w:val="002150AF"/>
    <w:rsid w:val="0021519F"/>
    <w:rsid w:val="002159FE"/>
    <w:rsid w:val="00216F88"/>
    <w:rsid w:val="002171EF"/>
    <w:rsid w:val="002175E4"/>
    <w:rsid w:val="0022030E"/>
    <w:rsid w:val="002206F5"/>
    <w:rsid w:val="0022122F"/>
    <w:rsid w:val="00221609"/>
    <w:rsid w:val="00221CB4"/>
    <w:rsid w:val="00221F52"/>
    <w:rsid w:val="002226A0"/>
    <w:rsid w:val="00222D45"/>
    <w:rsid w:val="002236FB"/>
    <w:rsid w:val="00224CF1"/>
    <w:rsid w:val="00224D32"/>
    <w:rsid w:val="00224DCC"/>
    <w:rsid w:val="00225712"/>
    <w:rsid w:val="00225B20"/>
    <w:rsid w:val="00225D11"/>
    <w:rsid w:val="00225DB6"/>
    <w:rsid w:val="0022615F"/>
    <w:rsid w:val="00227444"/>
    <w:rsid w:val="0023023D"/>
    <w:rsid w:val="00230799"/>
    <w:rsid w:val="00230CA3"/>
    <w:rsid w:val="00230FE4"/>
    <w:rsid w:val="002310AD"/>
    <w:rsid w:val="002314DB"/>
    <w:rsid w:val="00232B25"/>
    <w:rsid w:val="00232CEA"/>
    <w:rsid w:val="002341F8"/>
    <w:rsid w:val="002343D9"/>
    <w:rsid w:val="00235D3B"/>
    <w:rsid w:val="00236315"/>
    <w:rsid w:val="00236B74"/>
    <w:rsid w:val="00236B89"/>
    <w:rsid w:val="002370E2"/>
    <w:rsid w:val="00237F9B"/>
    <w:rsid w:val="00237FEF"/>
    <w:rsid w:val="002430D9"/>
    <w:rsid w:val="0024498B"/>
    <w:rsid w:val="00244ADD"/>
    <w:rsid w:val="00244B98"/>
    <w:rsid w:val="00247781"/>
    <w:rsid w:val="00247A01"/>
    <w:rsid w:val="0025247F"/>
    <w:rsid w:val="0025457E"/>
    <w:rsid w:val="0025481B"/>
    <w:rsid w:val="002549FA"/>
    <w:rsid w:val="00254A34"/>
    <w:rsid w:val="00254F38"/>
    <w:rsid w:val="002560C3"/>
    <w:rsid w:val="00257C06"/>
    <w:rsid w:val="00257D43"/>
    <w:rsid w:val="00257DD5"/>
    <w:rsid w:val="002608E4"/>
    <w:rsid w:val="00261AEE"/>
    <w:rsid w:val="0026222D"/>
    <w:rsid w:val="00262DE6"/>
    <w:rsid w:val="00263314"/>
    <w:rsid w:val="002643C4"/>
    <w:rsid w:val="00264565"/>
    <w:rsid w:val="00266998"/>
    <w:rsid w:val="00266DF5"/>
    <w:rsid w:val="00267206"/>
    <w:rsid w:val="002677C8"/>
    <w:rsid w:val="00267C64"/>
    <w:rsid w:val="00271801"/>
    <w:rsid w:val="00271BC3"/>
    <w:rsid w:val="00272953"/>
    <w:rsid w:val="00272E6F"/>
    <w:rsid w:val="00272FA4"/>
    <w:rsid w:val="00273BB9"/>
    <w:rsid w:val="00274F92"/>
    <w:rsid w:val="002758F0"/>
    <w:rsid w:val="00275B83"/>
    <w:rsid w:val="00277B6B"/>
    <w:rsid w:val="0028032D"/>
    <w:rsid w:val="00280DD4"/>
    <w:rsid w:val="002820F5"/>
    <w:rsid w:val="0028233C"/>
    <w:rsid w:val="0028241D"/>
    <w:rsid w:val="002825F8"/>
    <w:rsid w:val="00282C16"/>
    <w:rsid w:val="00283D40"/>
    <w:rsid w:val="00284532"/>
    <w:rsid w:val="0028459D"/>
    <w:rsid w:val="00284F30"/>
    <w:rsid w:val="0028540A"/>
    <w:rsid w:val="002936F6"/>
    <w:rsid w:val="002953E4"/>
    <w:rsid w:val="002954C7"/>
    <w:rsid w:val="00295F1B"/>
    <w:rsid w:val="002964DC"/>
    <w:rsid w:val="00297A4E"/>
    <w:rsid w:val="002A0BC3"/>
    <w:rsid w:val="002A1319"/>
    <w:rsid w:val="002A1CBD"/>
    <w:rsid w:val="002A3578"/>
    <w:rsid w:val="002A507B"/>
    <w:rsid w:val="002A587D"/>
    <w:rsid w:val="002A6599"/>
    <w:rsid w:val="002A71B5"/>
    <w:rsid w:val="002A7F6F"/>
    <w:rsid w:val="002B061D"/>
    <w:rsid w:val="002B07C9"/>
    <w:rsid w:val="002B229D"/>
    <w:rsid w:val="002B4296"/>
    <w:rsid w:val="002B470C"/>
    <w:rsid w:val="002B5BBD"/>
    <w:rsid w:val="002B688C"/>
    <w:rsid w:val="002B6D3C"/>
    <w:rsid w:val="002B7975"/>
    <w:rsid w:val="002C07D7"/>
    <w:rsid w:val="002C0902"/>
    <w:rsid w:val="002C11E4"/>
    <w:rsid w:val="002C1A70"/>
    <w:rsid w:val="002C1B76"/>
    <w:rsid w:val="002C3CB4"/>
    <w:rsid w:val="002C421E"/>
    <w:rsid w:val="002C56C2"/>
    <w:rsid w:val="002C67CE"/>
    <w:rsid w:val="002C6AB5"/>
    <w:rsid w:val="002C6C0E"/>
    <w:rsid w:val="002D035D"/>
    <w:rsid w:val="002D096E"/>
    <w:rsid w:val="002D0E15"/>
    <w:rsid w:val="002D1658"/>
    <w:rsid w:val="002D1BC4"/>
    <w:rsid w:val="002D33A7"/>
    <w:rsid w:val="002D3429"/>
    <w:rsid w:val="002D3B86"/>
    <w:rsid w:val="002D43C2"/>
    <w:rsid w:val="002D4434"/>
    <w:rsid w:val="002D5A07"/>
    <w:rsid w:val="002D62AF"/>
    <w:rsid w:val="002D7368"/>
    <w:rsid w:val="002E0302"/>
    <w:rsid w:val="002E05A5"/>
    <w:rsid w:val="002E1306"/>
    <w:rsid w:val="002E21FF"/>
    <w:rsid w:val="002E37CA"/>
    <w:rsid w:val="002E6873"/>
    <w:rsid w:val="002E7B03"/>
    <w:rsid w:val="002F0CC8"/>
    <w:rsid w:val="002F0EFE"/>
    <w:rsid w:val="002F119A"/>
    <w:rsid w:val="002F2883"/>
    <w:rsid w:val="002F31BF"/>
    <w:rsid w:val="002F425B"/>
    <w:rsid w:val="002F55C4"/>
    <w:rsid w:val="002F6CD5"/>
    <w:rsid w:val="002F6EE5"/>
    <w:rsid w:val="002F7BDB"/>
    <w:rsid w:val="002F7FB7"/>
    <w:rsid w:val="003008E2"/>
    <w:rsid w:val="003013B9"/>
    <w:rsid w:val="0030278B"/>
    <w:rsid w:val="003027FB"/>
    <w:rsid w:val="00303B3B"/>
    <w:rsid w:val="00304E89"/>
    <w:rsid w:val="00305083"/>
    <w:rsid w:val="00305649"/>
    <w:rsid w:val="0030666F"/>
    <w:rsid w:val="00306DBB"/>
    <w:rsid w:val="00307D5A"/>
    <w:rsid w:val="00307FAA"/>
    <w:rsid w:val="00310486"/>
    <w:rsid w:val="003106AB"/>
    <w:rsid w:val="00310A07"/>
    <w:rsid w:val="0031318C"/>
    <w:rsid w:val="00313BC0"/>
    <w:rsid w:val="00314775"/>
    <w:rsid w:val="0031589B"/>
    <w:rsid w:val="003161D3"/>
    <w:rsid w:val="00316D55"/>
    <w:rsid w:val="00321BFD"/>
    <w:rsid w:val="00322C0E"/>
    <w:rsid w:val="00324DE5"/>
    <w:rsid w:val="00330163"/>
    <w:rsid w:val="003306A8"/>
    <w:rsid w:val="0033074E"/>
    <w:rsid w:val="00330880"/>
    <w:rsid w:val="00330B36"/>
    <w:rsid w:val="003343F8"/>
    <w:rsid w:val="00334869"/>
    <w:rsid w:val="00334BC4"/>
    <w:rsid w:val="0033579F"/>
    <w:rsid w:val="0034066F"/>
    <w:rsid w:val="00341922"/>
    <w:rsid w:val="00341CA0"/>
    <w:rsid w:val="00341CB5"/>
    <w:rsid w:val="003452CC"/>
    <w:rsid w:val="003461D0"/>
    <w:rsid w:val="0034662C"/>
    <w:rsid w:val="0034768A"/>
    <w:rsid w:val="003479B9"/>
    <w:rsid w:val="00347F0C"/>
    <w:rsid w:val="003519A6"/>
    <w:rsid w:val="0035290B"/>
    <w:rsid w:val="00354582"/>
    <w:rsid w:val="003549CA"/>
    <w:rsid w:val="00355B19"/>
    <w:rsid w:val="00355E5A"/>
    <w:rsid w:val="00356312"/>
    <w:rsid w:val="00356AAB"/>
    <w:rsid w:val="0036046E"/>
    <w:rsid w:val="0036079A"/>
    <w:rsid w:val="003617E6"/>
    <w:rsid w:val="00362513"/>
    <w:rsid w:val="00363564"/>
    <w:rsid w:val="0036416F"/>
    <w:rsid w:val="003656FD"/>
    <w:rsid w:val="0036771D"/>
    <w:rsid w:val="00370293"/>
    <w:rsid w:val="003710BA"/>
    <w:rsid w:val="003723F3"/>
    <w:rsid w:val="003726E4"/>
    <w:rsid w:val="00372741"/>
    <w:rsid w:val="0037277C"/>
    <w:rsid w:val="00372C69"/>
    <w:rsid w:val="0037364D"/>
    <w:rsid w:val="00374235"/>
    <w:rsid w:val="00375666"/>
    <w:rsid w:val="00376766"/>
    <w:rsid w:val="0037681C"/>
    <w:rsid w:val="00376CFD"/>
    <w:rsid w:val="00377372"/>
    <w:rsid w:val="00377FA3"/>
    <w:rsid w:val="0038236D"/>
    <w:rsid w:val="00382505"/>
    <w:rsid w:val="00383892"/>
    <w:rsid w:val="00383C48"/>
    <w:rsid w:val="00383D8F"/>
    <w:rsid w:val="003847B8"/>
    <w:rsid w:val="003848A4"/>
    <w:rsid w:val="00386E05"/>
    <w:rsid w:val="00387B87"/>
    <w:rsid w:val="00387E8E"/>
    <w:rsid w:val="00392BDF"/>
    <w:rsid w:val="00393A3B"/>
    <w:rsid w:val="00393F18"/>
    <w:rsid w:val="003943C1"/>
    <w:rsid w:val="003977A8"/>
    <w:rsid w:val="003A02F8"/>
    <w:rsid w:val="003A175D"/>
    <w:rsid w:val="003A243D"/>
    <w:rsid w:val="003A2BE2"/>
    <w:rsid w:val="003A2D65"/>
    <w:rsid w:val="003A3BC6"/>
    <w:rsid w:val="003A41E8"/>
    <w:rsid w:val="003A5059"/>
    <w:rsid w:val="003A597A"/>
    <w:rsid w:val="003A59BC"/>
    <w:rsid w:val="003A5D0E"/>
    <w:rsid w:val="003A5F9C"/>
    <w:rsid w:val="003A62AA"/>
    <w:rsid w:val="003A7128"/>
    <w:rsid w:val="003A744B"/>
    <w:rsid w:val="003A7512"/>
    <w:rsid w:val="003B08EA"/>
    <w:rsid w:val="003B145D"/>
    <w:rsid w:val="003B1DA3"/>
    <w:rsid w:val="003B1EA1"/>
    <w:rsid w:val="003B3192"/>
    <w:rsid w:val="003B34E7"/>
    <w:rsid w:val="003B4D23"/>
    <w:rsid w:val="003B5741"/>
    <w:rsid w:val="003B575D"/>
    <w:rsid w:val="003B5A3D"/>
    <w:rsid w:val="003B7EE1"/>
    <w:rsid w:val="003C01CB"/>
    <w:rsid w:val="003C1014"/>
    <w:rsid w:val="003C1C98"/>
    <w:rsid w:val="003C2B67"/>
    <w:rsid w:val="003C2CFA"/>
    <w:rsid w:val="003C385F"/>
    <w:rsid w:val="003C45D0"/>
    <w:rsid w:val="003C5C67"/>
    <w:rsid w:val="003C63A0"/>
    <w:rsid w:val="003C63C2"/>
    <w:rsid w:val="003C6CA2"/>
    <w:rsid w:val="003C709B"/>
    <w:rsid w:val="003C7820"/>
    <w:rsid w:val="003D0C0D"/>
    <w:rsid w:val="003D19CE"/>
    <w:rsid w:val="003D1E84"/>
    <w:rsid w:val="003D26AA"/>
    <w:rsid w:val="003D2E18"/>
    <w:rsid w:val="003D3A56"/>
    <w:rsid w:val="003D405E"/>
    <w:rsid w:val="003D7017"/>
    <w:rsid w:val="003D7227"/>
    <w:rsid w:val="003D7370"/>
    <w:rsid w:val="003D7596"/>
    <w:rsid w:val="003D7A4F"/>
    <w:rsid w:val="003D7A6A"/>
    <w:rsid w:val="003D7C44"/>
    <w:rsid w:val="003D7D52"/>
    <w:rsid w:val="003E023F"/>
    <w:rsid w:val="003E039B"/>
    <w:rsid w:val="003E1338"/>
    <w:rsid w:val="003E1A80"/>
    <w:rsid w:val="003E1B2C"/>
    <w:rsid w:val="003E1FE2"/>
    <w:rsid w:val="003E20EB"/>
    <w:rsid w:val="003E2B64"/>
    <w:rsid w:val="003E466E"/>
    <w:rsid w:val="003E5140"/>
    <w:rsid w:val="003E5932"/>
    <w:rsid w:val="003E5CD5"/>
    <w:rsid w:val="003E64D9"/>
    <w:rsid w:val="003E7955"/>
    <w:rsid w:val="003E7D61"/>
    <w:rsid w:val="003F0F8B"/>
    <w:rsid w:val="003F1067"/>
    <w:rsid w:val="003F25CD"/>
    <w:rsid w:val="003F2DDA"/>
    <w:rsid w:val="003F3034"/>
    <w:rsid w:val="003F4762"/>
    <w:rsid w:val="003F48E6"/>
    <w:rsid w:val="003F4AE7"/>
    <w:rsid w:val="003F5F29"/>
    <w:rsid w:val="003F7541"/>
    <w:rsid w:val="003F7742"/>
    <w:rsid w:val="003F797F"/>
    <w:rsid w:val="003F79F9"/>
    <w:rsid w:val="0040010D"/>
    <w:rsid w:val="0040045E"/>
    <w:rsid w:val="004007DB"/>
    <w:rsid w:val="00400F39"/>
    <w:rsid w:val="004012C2"/>
    <w:rsid w:val="00402B3E"/>
    <w:rsid w:val="00402DDE"/>
    <w:rsid w:val="0040431B"/>
    <w:rsid w:val="00404F0A"/>
    <w:rsid w:val="00407E63"/>
    <w:rsid w:val="00410869"/>
    <w:rsid w:val="0041142D"/>
    <w:rsid w:val="00411C28"/>
    <w:rsid w:val="00413FDC"/>
    <w:rsid w:val="00414102"/>
    <w:rsid w:val="0041474C"/>
    <w:rsid w:val="004152F0"/>
    <w:rsid w:val="00415E1D"/>
    <w:rsid w:val="0041657E"/>
    <w:rsid w:val="004167E5"/>
    <w:rsid w:val="00416DC2"/>
    <w:rsid w:val="004177B2"/>
    <w:rsid w:val="00417850"/>
    <w:rsid w:val="00417BBE"/>
    <w:rsid w:val="00417DB1"/>
    <w:rsid w:val="0042002E"/>
    <w:rsid w:val="004205DD"/>
    <w:rsid w:val="00420C27"/>
    <w:rsid w:val="00420D1A"/>
    <w:rsid w:val="004210EB"/>
    <w:rsid w:val="00421256"/>
    <w:rsid w:val="00421A9E"/>
    <w:rsid w:val="004222F4"/>
    <w:rsid w:val="0042450C"/>
    <w:rsid w:val="0042485B"/>
    <w:rsid w:val="00425324"/>
    <w:rsid w:val="00426201"/>
    <w:rsid w:val="0042653A"/>
    <w:rsid w:val="0042736A"/>
    <w:rsid w:val="0043033D"/>
    <w:rsid w:val="00431760"/>
    <w:rsid w:val="004318C0"/>
    <w:rsid w:val="00431979"/>
    <w:rsid w:val="00433573"/>
    <w:rsid w:val="00433FD5"/>
    <w:rsid w:val="004347AE"/>
    <w:rsid w:val="0043601B"/>
    <w:rsid w:val="00436CDA"/>
    <w:rsid w:val="00437677"/>
    <w:rsid w:val="00437EBF"/>
    <w:rsid w:val="00437FDF"/>
    <w:rsid w:val="004400F0"/>
    <w:rsid w:val="0044010B"/>
    <w:rsid w:val="0044051B"/>
    <w:rsid w:val="004414BF"/>
    <w:rsid w:val="00442BD1"/>
    <w:rsid w:val="00442D4F"/>
    <w:rsid w:val="004436C3"/>
    <w:rsid w:val="004448F9"/>
    <w:rsid w:val="004461AC"/>
    <w:rsid w:val="0044742D"/>
    <w:rsid w:val="004509A6"/>
    <w:rsid w:val="00450F85"/>
    <w:rsid w:val="00451A46"/>
    <w:rsid w:val="00452DD1"/>
    <w:rsid w:val="0045435A"/>
    <w:rsid w:val="00454717"/>
    <w:rsid w:val="00455B3F"/>
    <w:rsid w:val="004562C4"/>
    <w:rsid w:val="00457367"/>
    <w:rsid w:val="00460089"/>
    <w:rsid w:val="00460491"/>
    <w:rsid w:val="004607F4"/>
    <w:rsid w:val="00460BD8"/>
    <w:rsid w:val="00461A82"/>
    <w:rsid w:val="00462B7E"/>
    <w:rsid w:val="00462EEF"/>
    <w:rsid w:val="004634B8"/>
    <w:rsid w:val="00464472"/>
    <w:rsid w:val="0046530B"/>
    <w:rsid w:val="0046635F"/>
    <w:rsid w:val="00467365"/>
    <w:rsid w:val="00470563"/>
    <w:rsid w:val="004706FC"/>
    <w:rsid w:val="00471009"/>
    <w:rsid w:val="0047136B"/>
    <w:rsid w:val="00471417"/>
    <w:rsid w:val="00472086"/>
    <w:rsid w:val="00472928"/>
    <w:rsid w:val="004764C8"/>
    <w:rsid w:val="00477F05"/>
    <w:rsid w:val="00477FE2"/>
    <w:rsid w:val="004805A4"/>
    <w:rsid w:val="0048063B"/>
    <w:rsid w:val="00481580"/>
    <w:rsid w:val="00482AAA"/>
    <w:rsid w:val="00484766"/>
    <w:rsid w:val="00484FB3"/>
    <w:rsid w:val="00486558"/>
    <w:rsid w:val="00490610"/>
    <w:rsid w:val="00490E17"/>
    <w:rsid w:val="00491081"/>
    <w:rsid w:val="00492A6C"/>
    <w:rsid w:val="00492CA7"/>
    <w:rsid w:val="00492E5D"/>
    <w:rsid w:val="00494395"/>
    <w:rsid w:val="00494B20"/>
    <w:rsid w:val="00495330"/>
    <w:rsid w:val="00495346"/>
    <w:rsid w:val="0049617C"/>
    <w:rsid w:val="004A1491"/>
    <w:rsid w:val="004A3285"/>
    <w:rsid w:val="004A345A"/>
    <w:rsid w:val="004A43B8"/>
    <w:rsid w:val="004A4C1D"/>
    <w:rsid w:val="004A5B8D"/>
    <w:rsid w:val="004A75D6"/>
    <w:rsid w:val="004B03C2"/>
    <w:rsid w:val="004B12BF"/>
    <w:rsid w:val="004B13BA"/>
    <w:rsid w:val="004B1544"/>
    <w:rsid w:val="004B3989"/>
    <w:rsid w:val="004B3AD1"/>
    <w:rsid w:val="004B50AF"/>
    <w:rsid w:val="004B64A7"/>
    <w:rsid w:val="004B7D33"/>
    <w:rsid w:val="004C087D"/>
    <w:rsid w:val="004C101E"/>
    <w:rsid w:val="004C2F86"/>
    <w:rsid w:val="004C3832"/>
    <w:rsid w:val="004C3864"/>
    <w:rsid w:val="004C3E01"/>
    <w:rsid w:val="004C3F7B"/>
    <w:rsid w:val="004C40F1"/>
    <w:rsid w:val="004C56D9"/>
    <w:rsid w:val="004C6313"/>
    <w:rsid w:val="004C7615"/>
    <w:rsid w:val="004C7641"/>
    <w:rsid w:val="004D2FF3"/>
    <w:rsid w:val="004D31F5"/>
    <w:rsid w:val="004D39DB"/>
    <w:rsid w:val="004D4725"/>
    <w:rsid w:val="004D4D06"/>
    <w:rsid w:val="004D797B"/>
    <w:rsid w:val="004D7F87"/>
    <w:rsid w:val="004E09DE"/>
    <w:rsid w:val="004E0E0E"/>
    <w:rsid w:val="004E16C2"/>
    <w:rsid w:val="004E1B88"/>
    <w:rsid w:val="004E1FB3"/>
    <w:rsid w:val="004E26B5"/>
    <w:rsid w:val="004E4605"/>
    <w:rsid w:val="004E4CA8"/>
    <w:rsid w:val="004E5F5E"/>
    <w:rsid w:val="004E79C3"/>
    <w:rsid w:val="004F04DF"/>
    <w:rsid w:val="004F2CD7"/>
    <w:rsid w:val="004F3D51"/>
    <w:rsid w:val="004F4017"/>
    <w:rsid w:val="004F4A96"/>
    <w:rsid w:val="004F5FB4"/>
    <w:rsid w:val="004F60FC"/>
    <w:rsid w:val="004F683C"/>
    <w:rsid w:val="004F7F8D"/>
    <w:rsid w:val="005027AE"/>
    <w:rsid w:val="00502BE9"/>
    <w:rsid w:val="005034A8"/>
    <w:rsid w:val="00505460"/>
    <w:rsid w:val="00506238"/>
    <w:rsid w:val="00506884"/>
    <w:rsid w:val="00506FD9"/>
    <w:rsid w:val="00510261"/>
    <w:rsid w:val="0051100A"/>
    <w:rsid w:val="00512C60"/>
    <w:rsid w:val="00512E08"/>
    <w:rsid w:val="0051376A"/>
    <w:rsid w:val="00513842"/>
    <w:rsid w:val="00513D27"/>
    <w:rsid w:val="005143C5"/>
    <w:rsid w:val="0051587B"/>
    <w:rsid w:val="0051723F"/>
    <w:rsid w:val="00517368"/>
    <w:rsid w:val="005216A5"/>
    <w:rsid w:val="005216F2"/>
    <w:rsid w:val="005217DD"/>
    <w:rsid w:val="00522318"/>
    <w:rsid w:val="00522865"/>
    <w:rsid w:val="005231D6"/>
    <w:rsid w:val="00523DE1"/>
    <w:rsid w:val="00523EA2"/>
    <w:rsid w:val="00524D52"/>
    <w:rsid w:val="00525555"/>
    <w:rsid w:val="0052586F"/>
    <w:rsid w:val="00525940"/>
    <w:rsid w:val="00526275"/>
    <w:rsid w:val="0052719C"/>
    <w:rsid w:val="00527BF9"/>
    <w:rsid w:val="005303BC"/>
    <w:rsid w:val="00530A0E"/>
    <w:rsid w:val="00531AC5"/>
    <w:rsid w:val="005322C3"/>
    <w:rsid w:val="005327AF"/>
    <w:rsid w:val="00532869"/>
    <w:rsid w:val="00532C3B"/>
    <w:rsid w:val="00534F66"/>
    <w:rsid w:val="00537214"/>
    <w:rsid w:val="00541402"/>
    <w:rsid w:val="00541451"/>
    <w:rsid w:val="0054171D"/>
    <w:rsid w:val="00541A78"/>
    <w:rsid w:val="00542DC6"/>
    <w:rsid w:val="00544737"/>
    <w:rsid w:val="00545843"/>
    <w:rsid w:val="005459AA"/>
    <w:rsid w:val="00546C76"/>
    <w:rsid w:val="005478C6"/>
    <w:rsid w:val="00552E16"/>
    <w:rsid w:val="0055414B"/>
    <w:rsid w:val="005553D9"/>
    <w:rsid w:val="0055548A"/>
    <w:rsid w:val="00555881"/>
    <w:rsid w:val="00556C83"/>
    <w:rsid w:val="00556D93"/>
    <w:rsid w:val="00563448"/>
    <w:rsid w:val="00563A27"/>
    <w:rsid w:val="0056470D"/>
    <w:rsid w:val="00564873"/>
    <w:rsid w:val="00564F5F"/>
    <w:rsid w:val="00565A07"/>
    <w:rsid w:val="00565A60"/>
    <w:rsid w:val="005663F9"/>
    <w:rsid w:val="005664B1"/>
    <w:rsid w:val="00570284"/>
    <w:rsid w:val="005704BB"/>
    <w:rsid w:val="005705D8"/>
    <w:rsid w:val="005712B7"/>
    <w:rsid w:val="00571595"/>
    <w:rsid w:val="0057239F"/>
    <w:rsid w:val="00573F13"/>
    <w:rsid w:val="005740DF"/>
    <w:rsid w:val="005740E0"/>
    <w:rsid w:val="005742E3"/>
    <w:rsid w:val="00574B2E"/>
    <w:rsid w:val="00575381"/>
    <w:rsid w:val="005765F3"/>
    <w:rsid w:val="00577126"/>
    <w:rsid w:val="0057779A"/>
    <w:rsid w:val="00577F2B"/>
    <w:rsid w:val="00580216"/>
    <w:rsid w:val="005807CC"/>
    <w:rsid w:val="00580B5F"/>
    <w:rsid w:val="00580F23"/>
    <w:rsid w:val="00581028"/>
    <w:rsid w:val="005814B3"/>
    <w:rsid w:val="00581644"/>
    <w:rsid w:val="00582F5B"/>
    <w:rsid w:val="0058323F"/>
    <w:rsid w:val="00584212"/>
    <w:rsid w:val="00584F0C"/>
    <w:rsid w:val="005850A4"/>
    <w:rsid w:val="0058702D"/>
    <w:rsid w:val="00587069"/>
    <w:rsid w:val="005871F1"/>
    <w:rsid w:val="0058727D"/>
    <w:rsid w:val="00587FEC"/>
    <w:rsid w:val="005912AE"/>
    <w:rsid w:val="00591EB2"/>
    <w:rsid w:val="00593ADC"/>
    <w:rsid w:val="00595FA6"/>
    <w:rsid w:val="0059685D"/>
    <w:rsid w:val="0059728D"/>
    <w:rsid w:val="005A05AF"/>
    <w:rsid w:val="005A1110"/>
    <w:rsid w:val="005A16CA"/>
    <w:rsid w:val="005A173C"/>
    <w:rsid w:val="005A25C3"/>
    <w:rsid w:val="005A2941"/>
    <w:rsid w:val="005A3BE7"/>
    <w:rsid w:val="005A3EAA"/>
    <w:rsid w:val="005A4B7A"/>
    <w:rsid w:val="005A5455"/>
    <w:rsid w:val="005A575E"/>
    <w:rsid w:val="005A5E16"/>
    <w:rsid w:val="005A62D1"/>
    <w:rsid w:val="005A7373"/>
    <w:rsid w:val="005A740E"/>
    <w:rsid w:val="005A7FF2"/>
    <w:rsid w:val="005B0E66"/>
    <w:rsid w:val="005B43F1"/>
    <w:rsid w:val="005B456B"/>
    <w:rsid w:val="005B5D95"/>
    <w:rsid w:val="005C01FD"/>
    <w:rsid w:val="005C09CC"/>
    <w:rsid w:val="005C0DA5"/>
    <w:rsid w:val="005C1082"/>
    <w:rsid w:val="005C1B2A"/>
    <w:rsid w:val="005C522C"/>
    <w:rsid w:val="005C54F4"/>
    <w:rsid w:val="005C6089"/>
    <w:rsid w:val="005C6D06"/>
    <w:rsid w:val="005C7B09"/>
    <w:rsid w:val="005D13A5"/>
    <w:rsid w:val="005D1A9A"/>
    <w:rsid w:val="005D20FB"/>
    <w:rsid w:val="005D44B6"/>
    <w:rsid w:val="005D4BE9"/>
    <w:rsid w:val="005D608A"/>
    <w:rsid w:val="005D6742"/>
    <w:rsid w:val="005D71EE"/>
    <w:rsid w:val="005E09DE"/>
    <w:rsid w:val="005E0C25"/>
    <w:rsid w:val="005E0EEE"/>
    <w:rsid w:val="005E11A0"/>
    <w:rsid w:val="005E1214"/>
    <w:rsid w:val="005E1392"/>
    <w:rsid w:val="005E2DCD"/>
    <w:rsid w:val="005E2E7B"/>
    <w:rsid w:val="005E3612"/>
    <w:rsid w:val="005E42B1"/>
    <w:rsid w:val="005E49B9"/>
    <w:rsid w:val="005E4A9A"/>
    <w:rsid w:val="005F1E34"/>
    <w:rsid w:val="005F32C4"/>
    <w:rsid w:val="005F4D86"/>
    <w:rsid w:val="005F6628"/>
    <w:rsid w:val="006009B8"/>
    <w:rsid w:val="00600A9E"/>
    <w:rsid w:val="00601295"/>
    <w:rsid w:val="00602071"/>
    <w:rsid w:val="00603136"/>
    <w:rsid w:val="00603DAA"/>
    <w:rsid w:val="006057F6"/>
    <w:rsid w:val="00605C3D"/>
    <w:rsid w:val="006068D1"/>
    <w:rsid w:val="006076E0"/>
    <w:rsid w:val="00607DB9"/>
    <w:rsid w:val="006114F8"/>
    <w:rsid w:val="006115E4"/>
    <w:rsid w:val="00611D10"/>
    <w:rsid w:val="006127CB"/>
    <w:rsid w:val="0061293B"/>
    <w:rsid w:val="00614029"/>
    <w:rsid w:val="00614784"/>
    <w:rsid w:val="00615B8D"/>
    <w:rsid w:val="00615C16"/>
    <w:rsid w:val="00615C20"/>
    <w:rsid w:val="00615EB8"/>
    <w:rsid w:val="00617026"/>
    <w:rsid w:val="0061772C"/>
    <w:rsid w:val="00620C12"/>
    <w:rsid w:val="006227E3"/>
    <w:rsid w:val="00622E2B"/>
    <w:rsid w:val="00623342"/>
    <w:rsid w:val="006235CA"/>
    <w:rsid w:val="00623B45"/>
    <w:rsid w:val="00624454"/>
    <w:rsid w:val="00625DDB"/>
    <w:rsid w:val="00627571"/>
    <w:rsid w:val="006277A1"/>
    <w:rsid w:val="006277F9"/>
    <w:rsid w:val="00632018"/>
    <w:rsid w:val="0063226C"/>
    <w:rsid w:val="0063277A"/>
    <w:rsid w:val="006344DF"/>
    <w:rsid w:val="00634D87"/>
    <w:rsid w:val="0063558B"/>
    <w:rsid w:val="006363CF"/>
    <w:rsid w:val="006368B6"/>
    <w:rsid w:val="0063728F"/>
    <w:rsid w:val="006378C6"/>
    <w:rsid w:val="00637EC8"/>
    <w:rsid w:val="00641956"/>
    <w:rsid w:val="0064225B"/>
    <w:rsid w:val="0064279E"/>
    <w:rsid w:val="006446EC"/>
    <w:rsid w:val="00644BFC"/>
    <w:rsid w:val="00644D77"/>
    <w:rsid w:val="00645CFB"/>
    <w:rsid w:val="0064604C"/>
    <w:rsid w:val="00646C71"/>
    <w:rsid w:val="006474EF"/>
    <w:rsid w:val="00647548"/>
    <w:rsid w:val="00650802"/>
    <w:rsid w:val="00651025"/>
    <w:rsid w:val="006528DA"/>
    <w:rsid w:val="006538DF"/>
    <w:rsid w:val="00653F77"/>
    <w:rsid w:val="00654591"/>
    <w:rsid w:val="00654C05"/>
    <w:rsid w:val="00654CC8"/>
    <w:rsid w:val="006556C1"/>
    <w:rsid w:val="00655C11"/>
    <w:rsid w:val="00656304"/>
    <w:rsid w:val="00657397"/>
    <w:rsid w:val="00657402"/>
    <w:rsid w:val="0065793A"/>
    <w:rsid w:val="00657BB1"/>
    <w:rsid w:val="00663087"/>
    <w:rsid w:val="006630C3"/>
    <w:rsid w:val="00664CEE"/>
    <w:rsid w:val="006651A7"/>
    <w:rsid w:val="00665A8A"/>
    <w:rsid w:val="006665D5"/>
    <w:rsid w:val="00666F55"/>
    <w:rsid w:val="0067076C"/>
    <w:rsid w:val="006746C6"/>
    <w:rsid w:val="00675BFF"/>
    <w:rsid w:val="00676C34"/>
    <w:rsid w:val="0067784A"/>
    <w:rsid w:val="00680A7D"/>
    <w:rsid w:val="00680D5D"/>
    <w:rsid w:val="006810C7"/>
    <w:rsid w:val="00681E6C"/>
    <w:rsid w:val="0068266B"/>
    <w:rsid w:val="00682A7C"/>
    <w:rsid w:val="00682C04"/>
    <w:rsid w:val="006839B4"/>
    <w:rsid w:val="00685003"/>
    <w:rsid w:val="00685A77"/>
    <w:rsid w:val="00690C3B"/>
    <w:rsid w:val="006921BF"/>
    <w:rsid w:val="006926E7"/>
    <w:rsid w:val="006931FF"/>
    <w:rsid w:val="00693AC3"/>
    <w:rsid w:val="00693D18"/>
    <w:rsid w:val="00694045"/>
    <w:rsid w:val="0069421D"/>
    <w:rsid w:val="0069483D"/>
    <w:rsid w:val="00694D0B"/>
    <w:rsid w:val="00695878"/>
    <w:rsid w:val="00695DEF"/>
    <w:rsid w:val="00696CA5"/>
    <w:rsid w:val="00697E45"/>
    <w:rsid w:val="006A1E61"/>
    <w:rsid w:val="006A2406"/>
    <w:rsid w:val="006A36BE"/>
    <w:rsid w:val="006A3CF7"/>
    <w:rsid w:val="006A4F6A"/>
    <w:rsid w:val="006A4FE9"/>
    <w:rsid w:val="006A5F53"/>
    <w:rsid w:val="006A60F1"/>
    <w:rsid w:val="006A6928"/>
    <w:rsid w:val="006A74B7"/>
    <w:rsid w:val="006A7880"/>
    <w:rsid w:val="006B07D2"/>
    <w:rsid w:val="006B0A76"/>
    <w:rsid w:val="006B170C"/>
    <w:rsid w:val="006B1CAB"/>
    <w:rsid w:val="006B209E"/>
    <w:rsid w:val="006B3572"/>
    <w:rsid w:val="006B357C"/>
    <w:rsid w:val="006B3735"/>
    <w:rsid w:val="006B52C6"/>
    <w:rsid w:val="006B533A"/>
    <w:rsid w:val="006B6345"/>
    <w:rsid w:val="006B6AC4"/>
    <w:rsid w:val="006B7ECB"/>
    <w:rsid w:val="006C0C19"/>
    <w:rsid w:val="006C1A1F"/>
    <w:rsid w:val="006C25E6"/>
    <w:rsid w:val="006C2984"/>
    <w:rsid w:val="006C3214"/>
    <w:rsid w:val="006C32A5"/>
    <w:rsid w:val="006C4F68"/>
    <w:rsid w:val="006C7962"/>
    <w:rsid w:val="006D4394"/>
    <w:rsid w:val="006D4772"/>
    <w:rsid w:val="006D55B2"/>
    <w:rsid w:val="006D58D6"/>
    <w:rsid w:val="006D6083"/>
    <w:rsid w:val="006D7013"/>
    <w:rsid w:val="006D705B"/>
    <w:rsid w:val="006D71B7"/>
    <w:rsid w:val="006D71F1"/>
    <w:rsid w:val="006D7BE6"/>
    <w:rsid w:val="006E0BFB"/>
    <w:rsid w:val="006E12C0"/>
    <w:rsid w:val="006E131D"/>
    <w:rsid w:val="006E19E5"/>
    <w:rsid w:val="006E22A6"/>
    <w:rsid w:val="006E2ACF"/>
    <w:rsid w:val="006E2E1C"/>
    <w:rsid w:val="006E38AD"/>
    <w:rsid w:val="006E4785"/>
    <w:rsid w:val="006E4DAD"/>
    <w:rsid w:val="006E62BF"/>
    <w:rsid w:val="006E713B"/>
    <w:rsid w:val="006F0AD5"/>
    <w:rsid w:val="006F172E"/>
    <w:rsid w:val="006F1BFB"/>
    <w:rsid w:val="006F4F52"/>
    <w:rsid w:val="006F6063"/>
    <w:rsid w:val="006F6BA3"/>
    <w:rsid w:val="006F7000"/>
    <w:rsid w:val="006F7220"/>
    <w:rsid w:val="006F72CD"/>
    <w:rsid w:val="00700304"/>
    <w:rsid w:val="0070091E"/>
    <w:rsid w:val="00702227"/>
    <w:rsid w:val="00702B67"/>
    <w:rsid w:val="00702D8B"/>
    <w:rsid w:val="0070322F"/>
    <w:rsid w:val="00703E46"/>
    <w:rsid w:val="00705184"/>
    <w:rsid w:val="007055F2"/>
    <w:rsid w:val="007058C4"/>
    <w:rsid w:val="00705E37"/>
    <w:rsid w:val="00706FA1"/>
    <w:rsid w:val="00707165"/>
    <w:rsid w:val="00707D64"/>
    <w:rsid w:val="00710AB9"/>
    <w:rsid w:val="00710AEA"/>
    <w:rsid w:val="00710C76"/>
    <w:rsid w:val="007111ED"/>
    <w:rsid w:val="00711934"/>
    <w:rsid w:val="007132A9"/>
    <w:rsid w:val="00713354"/>
    <w:rsid w:val="00714033"/>
    <w:rsid w:val="0071427E"/>
    <w:rsid w:val="00714EC6"/>
    <w:rsid w:val="0071588E"/>
    <w:rsid w:val="007160C7"/>
    <w:rsid w:val="007163D3"/>
    <w:rsid w:val="00716E56"/>
    <w:rsid w:val="007178E5"/>
    <w:rsid w:val="007205B0"/>
    <w:rsid w:val="00720B2E"/>
    <w:rsid w:val="00720BA5"/>
    <w:rsid w:val="007216ED"/>
    <w:rsid w:val="00721993"/>
    <w:rsid w:val="00721C2D"/>
    <w:rsid w:val="00722664"/>
    <w:rsid w:val="007229E9"/>
    <w:rsid w:val="007235E6"/>
    <w:rsid w:val="00724127"/>
    <w:rsid w:val="00726F52"/>
    <w:rsid w:val="007301E0"/>
    <w:rsid w:val="00730681"/>
    <w:rsid w:val="00730896"/>
    <w:rsid w:val="00730A1D"/>
    <w:rsid w:val="00730F62"/>
    <w:rsid w:val="007313D9"/>
    <w:rsid w:val="00732728"/>
    <w:rsid w:val="00733370"/>
    <w:rsid w:val="0073469D"/>
    <w:rsid w:val="007349DF"/>
    <w:rsid w:val="0073500D"/>
    <w:rsid w:val="00736488"/>
    <w:rsid w:val="00737801"/>
    <w:rsid w:val="00740623"/>
    <w:rsid w:val="00741A3C"/>
    <w:rsid w:val="00741C95"/>
    <w:rsid w:val="00741D00"/>
    <w:rsid w:val="007427D4"/>
    <w:rsid w:val="00742BBF"/>
    <w:rsid w:val="00742DBC"/>
    <w:rsid w:val="007430F1"/>
    <w:rsid w:val="00743193"/>
    <w:rsid w:val="007444B6"/>
    <w:rsid w:val="007458C2"/>
    <w:rsid w:val="00746353"/>
    <w:rsid w:val="00746C6C"/>
    <w:rsid w:val="00747281"/>
    <w:rsid w:val="00750097"/>
    <w:rsid w:val="007517CA"/>
    <w:rsid w:val="00751F11"/>
    <w:rsid w:val="00752323"/>
    <w:rsid w:val="00752730"/>
    <w:rsid w:val="00752F7E"/>
    <w:rsid w:val="00752FF0"/>
    <w:rsid w:val="007539AB"/>
    <w:rsid w:val="0075556B"/>
    <w:rsid w:val="00755A7C"/>
    <w:rsid w:val="00756445"/>
    <w:rsid w:val="00756883"/>
    <w:rsid w:val="00756F8C"/>
    <w:rsid w:val="007577C7"/>
    <w:rsid w:val="00757BFD"/>
    <w:rsid w:val="007603D8"/>
    <w:rsid w:val="00762733"/>
    <w:rsid w:val="00762ACC"/>
    <w:rsid w:val="00764B6A"/>
    <w:rsid w:val="007650AC"/>
    <w:rsid w:val="00766547"/>
    <w:rsid w:val="00766786"/>
    <w:rsid w:val="00767D29"/>
    <w:rsid w:val="0077132C"/>
    <w:rsid w:val="00771960"/>
    <w:rsid w:val="007721F3"/>
    <w:rsid w:val="007747CD"/>
    <w:rsid w:val="0077488A"/>
    <w:rsid w:val="00775CC8"/>
    <w:rsid w:val="0077640E"/>
    <w:rsid w:val="00777A79"/>
    <w:rsid w:val="00781046"/>
    <w:rsid w:val="00782F22"/>
    <w:rsid w:val="00783307"/>
    <w:rsid w:val="007833D8"/>
    <w:rsid w:val="0078494F"/>
    <w:rsid w:val="00785020"/>
    <w:rsid w:val="00785792"/>
    <w:rsid w:val="00785820"/>
    <w:rsid w:val="00785EE2"/>
    <w:rsid w:val="00786B27"/>
    <w:rsid w:val="0079023A"/>
    <w:rsid w:val="007909AF"/>
    <w:rsid w:val="00792068"/>
    <w:rsid w:val="00792657"/>
    <w:rsid w:val="007937D3"/>
    <w:rsid w:val="007940E5"/>
    <w:rsid w:val="00795220"/>
    <w:rsid w:val="00795542"/>
    <w:rsid w:val="00795AA7"/>
    <w:rsid w:val="00795AF7"/>
    <w:rsid w:val="00796D91"/>
    <w:rsid w:val="00796DDA"/>
    <w:rsid w:val="007971E1"/>
    <w:rsid w:val="00797A52"/>
    <w:rsid w:val="007A0E7B"/>
    <w:rsid w:val="007A2863"/>
    <w:rsid w:val="007A2B77"/>
    <w:rsid w:val="007A6797"/>
    <w:rsid w:val="007A7D45"/>
    <w:rsid w:val="007B44AB"/>
    <w:rsid w:val="007B47C6"/>
    <w:rsid w:val="007B5ED7"/>
    <w:rsid w:val="007B6053"/>
    <w:rsid w:val="007B65D1"/>
    <w:rsid w:val="007C249B"/>
    <w:rsid w:val="007C2EA6"/>
    <w:rsid w:val="007C38B6"/>
    <w:rsid w:val="007C4211"/>
    <w:rsid w:val="007C5043"/>
    <w:rsid w:val="007C5FA2"/>
    <w:rsid w:val="007C604B"/>
    <w:rsid w:val="007C608A"/>
    <w:rsid w:val="007C625F"/>
    <w:rsid w:val="007C6DF1"/>
    <w:rsid w:val="007C7118"/>
    <w:rsid w:val="007D0EF2"/>
    <w:rsid w:val="007D2A2C"/>
    <w:rsid w:val="007D322A"/>
    <w:rsid w:val="007D451E"/>
    <w:rsid w:val="007D7EA9"/>
    <w:rsid w:val="007E05EE"/>
    <w:rsid w:val="007E110C"/>
    <w:rsid w:val="007E1EFF"/>
    <w:rsid w:val="007E3AD6"/>
    <w:rsid w:val="007E4A4F"/>
    <w:rsid w:val="007E4DB8"/>
    <w:rsid w:val="007E4E2E"/>
    <w:rsid w:val="007E5E50"/>
    <w:rsid w:val="007E6A47"/>
    <w:rsid w:val="007F33DF"/>
    <w:rsid w:val="007F3459"/>
    <w:rsid w:val="007F42FF"/>
    <w:rsid w:val="007F46E8"/>
    <w:rsid w:val="007F4E19"/>
    <w:rsid w:val="007F53D3"/>
    <w:rsid w:val="007F6AEF"/>
    <w:rsid w:val="007F6C0B"/>
    <w:rsid w:val="007F75EB"/>
    <w:rsid w:val="008003F4"/>
    <w:rsid w:val="008007A5"/>
    <w:rsid w:val="00801717"/>
    <w:rsid w:val="00802257"/>
    <w:rsid w:val="00802607"/>
    <w:rsid w:val="008036EB"/>
    <w:rsid w:val="0080380D"/>
    <w:rsid w:val="0080424B"/>
    <w:rsid w:val="0080427E"/>
    <w:rsid w:val="008048B1"/>
    <w:rsid w:val="00805B98"/>
    <w:rsid w:val="008063D3"/>
    <w:rsid w:val="00806DFB"/>
    <w:rsid w:val="008076D4"/>
    <w:rsid w:val="008077CC"/>
    <w:rsid w:val="0081023D"/>
    <w:rsid w:val="00811892"/>
    <w:rsid w:val="00811D30"/>
    <w:rsid w:val="00813AA4"/>
    <w:rsid w:val="00813BC2"/>
    <w:rsid w:val="00814335"/>
    <w:rsid w:val="00815110"/>
    <w:rsid w:val="00815313"/>
    <w:rsid w:val="008154CE"/>
    <w:rsid w:val="00815996"/>
    <w:rsid w:val="008161CC"/>
    <w:rsid w:val="00817C05"/>
    <w:rsid w:val="0082147D"/>
    <w:rsid w:val="00821ACE"/>
    <w:rsid w:val="00821E48"/>
    <w:rsid w:val="00821FCC"/>
    <w:rsid w:val="0082200D"/>
    <w:rsid w:val="00822D90"/>
    <w:rsid w:val="008248E2"/>
    <w:rsid w:val="00824F03"/>
    <w:rsid w:val="00825665"/>
    <w:rsid w:val="00825807"/>
    <w:rsid w:val="00827D8A"/>
    <w:rsid w:val="008324A7"/>
    <w:rsid w:val="0083444E"/>
    <w:rsid w:val="008370A8"/>
    <w:rsid w:val="00840104"/>
    <w:rsid w:val="0084045F"/>
    <w:rsid w:val="00842996"/>
    <w:rsid w:val="008432C6"/>
    <w:rsid w:val="008439D6"/>
    <w:rsid w:val="00844220"/>
    <w:rsid w:val="00844475"/>
    <w:rsid w:val="008449EC"/>
    <w:rsid w:val="00844F7D"/>
    <w:rsid w:val="00845098"/>
    <w:rsid w:val="008452EC"/>
    <w:rsid w:val="00845E9D"/>
    <w:rsid w:val="00846068"/>
    <w:rsid w:val="00846847"/>
    <w:rsid w:val="0084753D"/>
    <w:rsid w:val="008517BB"/>
    <w:rsid w:val="00852ABF"/>
    <w:rsid w:val="00854C1E"/>
    <w:rsid w:val="00855786"/>
    <w:rsid w:val="0085655D"/>
    <w:rsid w:val="00857B34"/>
    <w:rsid w:val="00857C28"/>
    <w:rsid w:val="008601F3"/>
    <w:rsid w:val="0086024D"/>
    <w:rsid w:val="00860C82"/>
    <w:rsid w:val="00860E71"/>
    <w:rsid w:val="008618B7"/>
    <w:rsid w:val="008620BD"/>
    <w:rsid w:val="00862EF7"/>
    <w:rsid w:val="00863CD6"/>
    <w:rsid w:val="0086407A"/>
    <w:rsid w:val="00864E28"/>
    <w:rsid w:val="008652A2"/>
    <w:rsid w:val="00865F17"/>
    <w:rsid w:val="00866038"/>
    <w:rsid w:val="00866134"/>
    <w:rsid w:val="008667A8"/>
    <w:rsid w:val="00866EEE"/>
    <w:rsid w:val="0086788A"/>
    <w:rsid w:val="0087145C"/>
    <w:rsid w:val="0087155A"/>
    <w:rsid w:val="00872839"/>
    <w:rsid w:val="00872B95"/>
    <w:rsid w:val="008748D6"/>
    <w:rsid w:val="00876978"/>
    <w:rsid w:val="00877CD4"/>
    <w:rsid w:val="00877D03"/>
    <w:rsid w:val="00881BED"/>
    <w:rsid w:val="008823D0"/>
    <w:rsid w:val="008838AD"/>
    <w:rsid w:val="008839D0"/>
    <w:rsid w:val="00885F7F"/>
    <w:rsid w:val="0088614E"/>
    <w:rsid w:val="00887F5E"/>
    <w:rsid w:val="00890636"/>
    <w:rsid w:val="00890E8D"/>
    <w:rsid w:val="00891499"/>
    <w:rsid w:val="0089176A"/>
    <w:rsid w:val="008924D4"/>
    <w:rsid w:val="008935BF"/>
    <w:rsid w:val="008942E0"/>
    <w:rsid w:val="00894CDD"/>
    <w:rsid w:val="00894EE8"/>
    <w:rsid w:val="00896BD0"/>
    <w:rsid w:val="00897B9C"/>
    <w:rsid w:val="008A17AB"/>
    <w:rsid w:val="008A1D5B"/>
    <w:rsid w:val="008A1F8B"/>
    <w:rsid w:val="008A342F"/>
    <w:rsid w:val="008A49E0"/>
    <w:rsid w:val="008A4BC4"/>
    <w:rsid w:val="008A4F25"/>
    <w:rsid w:val="008A5146"/>
    <w:rsid w:val="008A72EA"/>
    <w:rsid w:val="008B0AB0"/>
    <w:rsid w:val="008B0BA6"/>
    <w:rsid w:val="008B1649"/>
    <w:rsid w:val="008B191D"/>
    <w:rsid w:val="008B1E53"/>
    <w:rsid w:val="008B23F2"/>
    <w:rsid w:val="008B3186"/>
    <w:rsid w:val="008B394B"/>
    <w:rsid w:val="008B4227"/>
    <w:rsid w:val="008B4846"/>
    <w:rsid w:val="008B5318"/>
    <w:rsid w:val="008B701D"/>
    <w:rsid w:val="008B7885"/>
    <w:rsid w:val="008C02EE"/>
    <w:rsid w:val="008C1F31"/>
    <w:rsid w:val="008C203A"/>
    <w:rsid w:val="008C370E"/>
    <w:rsid w:val="008C3AB9"/>
    <w:rsid w:val="008C4059"/>
    <w:rsid w:val="008C4CFE"/>
    <w:rsid w:val="008C4E51"/>
    <w:rsid w:val="008C5C4A"/>
    <w:rsid w:val="008C7641"/>
    <w:rsid w:val="008D0443"/>
    <w:rsid w:val="008D158A"/>
    <w:rsid w:val="008D2468"/>
    <w:rsid w:val="008D47B2"/>
    <w:rsid w:val="008D57AC"/>
    <w:rsid w:val="008D5D20"/>
    <w:rsid w:val="008D6656"/>
    <w:rsid w:val="008E0C5D"/>
    <w:rsid w:val="008E1477"/>
    <w:rsid w:val="008E1E27"/>
    <w:rsid w:val="008E2922"/>
    <w:rsid w:val="008E4E8A"/>
    <w:rsid w:val="008E610F"/>
    <w:rsid w:val="008E627A"/>
    <w:rsid w:val="008E6E61"/>
    <w:rsid w:val="008E71AA"/>
    <w:rsid w:val="008E7557"/>
    <w:rsid w:val="008F00F0"/>
    <w:rsid w:val="008F18F1"/>
    <w:rsid w:val="008F35F9"/>
    <w:rsid w:val="008F3B52"/>
    <w:rsid w:val="008F47C7"/>
    <w:rsid w:val="008F4C80"/>
    <w:rsid w:val="008F609F"/>
    <w:rsid w:val="008F6484"/>
    <w:rsid w:val="008F6A79"/>
    <w:rsid w:val="008F74F5"/>
    <w:rsid w:val="008F7E23"/>
    <w:rsid w:val="009001E0"/>
    <w:rsid w:val="00900EF6"/>
    <w:rsid w:val="00902844"/>
    <w:rsid w:val="00903C3E"/>
    <w:rsid w:val="0090483C"/>
    <w:rsid w:val="0090542E"/>
    <w:rsid w:val="009058D7"/>
    <w:rsid w:val="009074D0"/>
    <w:rsid w:val="00910EC1"/>
    <w:rsid w:val="00910EE8"/>
    <w:rsid w:val="00914A66"/>
    <w:rsid w:val="009154A4"/>
    <w:rsid w:val="00916D59"/>
    <w:rsid w:val="0091729F"/>
    <w:rsid w:val="00917FC7"/>
    <w:rsid w:val="0092019E"/>
    <w:rsid w:val="00920558"/>
    <w:rsid w:val="009210FB"/>
    <w:rsid w:val="00921911"/>
    <w:rsid w:val="00921B19"/>
    <w:rsid w:val="0092232C"/>
    <w:rsid w:val="00922381"/>
    <w:rsid w:val="0092451D"/>
    <w:rsid w:val="00924EB9"/>
    <w:rsid w:val="00925755"/>
    <w:rsid w:val="00925F42"/>
    <w:rsid w:val="00930ACF"/>
    <w:rsid w:val="009314ED"/>
    <w:rsid w:val="00933254"/>
    <w:rsid w:val="0093325B"/>
    <w:rsid w:val="009336CB"/>
    <w:rsid w:val="00934856"/>
    <w:rsid w:val="009358ED"/>
    <w:rsid w:val="00936A64"/>
    <w:rsid w:val="009377D9"/>
    <w:rsid w:val="009403FE"/>
    <w:rsid w:val="00940CB9"/>
    <w:rsid w:val="00940D77"/>
    <w:rsid w:val="009428AF"/>
    <w:rsid w:val="00943138"/>
    <w:rsid w:val="00943DCC"/>
    <w:rsid w:val="00945135"/>
    <w:rsid w:val="0094567E"/>
    <w:rsid w:val="0094657E"/>
    <w:rsid w:val="00946FCA"/>
    <w:rsid w:val="0094739C"/>
    <w:rsid w:val="00951058"/>
    <w:rsid w:val="009538C2"/>
    <w:rsid w:val="009539A2"/>
    <w:rsid w:val="00954B0E"/>
    <w:rsid w:val="00954B31"/>
    <w:rsid w:val="00954B9D"/>
    <w:rsid w:val="00960CD0"/>
    <w:rsid w:val="00960EDD"/>
    <w:rsid w:val="009612FC"/>
    <w:rsid w:val="00961552"/>
    <w:rsid w:val="00961F02"/>
    <w:rsid w:val="00964BBD"/>
    <w:rsid w:val="009661F3"/>
    <w:rsid w:val="00967C1E"/>
    <w:rsid w:val="0097000A"/>
    <w:rsid w:val="00970421"/>
    <w:rsid w:val="0097090F"/>
    <w:rsid w:val="00970B2B"/>
    <w:rsid w:val="00971E55"/>
    <w:rsid w:val="00973ABB"/>
    <w:rsid w:val="0097474B"/>
    <w:rsid w:val="00976946"/>
    <w:rsid w:val="00976EDD"/>
    <w:rsid w:val="00977B32"/>
    <w:rsid w:val="009809D9"/>
    <w:rsid w:val="00982E53"/>
    <w:rsid w:val="00982FCB"/>
    <w:rsid w:val="009834F5"/>
    <w:rsid w:val="00983B86"/>
    <w:rsid w:val="00983DBB"/>
    <w:rsid w:val="00983F91"/>
    <w:rsid w:val="009844C7"/>
    <w:rsid w:val="00984738"/>
    <w:rsid w:val="009847A6"/>
    <w:rsid w:val="00984D76"/>
    <w:rsid w:val="00984F88"/>
    <w:rsid w:val="0098508E"/>
    <w:rsid w:val="00985165"/>
    <w:rsid w:val="00985699"/>
    <w:rsid w:val="00985AD9"/>
    <w:rsid w:val="0098667A"/>
    <w:rsid w:val="00986FD4"/>
    <w:rsid w:val="00986FD6"/>
    <w:rsid w:val="00987711"/>
    <w:rsid w:val="00987842"/>
    <w:rsid w:val="009908A9"/>
    <w:rsid w:val="00990A98"/>
    <w:rsid w:val="00990CA4"/>
    <w:rsid w:val="0099191E"/>
    <w:rsid w:val="00991D5A"/>
    <w:rsid w:val="00991FFA"/>
    <w:rsid w:val="00993C6E"/>
    <w:rsid w:val="00993F0C"/>
    <w:rsid w:val="00994763"/>
    <w:rsid w:val="009952F8"/>
    <w:rsid w:val="00996588"/>
    <w:rsid w:val="00996677"/>
    <w:rsid w:val="00997082"/>
    <w:rsid w:val="00997290"/>
    <w:rsid w:val="00997829"/>
    <w:rsid w:val="009978CE"/>
    <w:rsid w:val="00997F73"/>
    <w:rsid w:val="009A0F03"/>
    <w:rsid w:val="009A2107"/>
    <w:rsid w:val="009A23AA"/>
    <w:rsid w:val="009A3768"/>
    <w:rsid w:val="009A3BA7"/>
    <w:rsid w:val="009A5B45"/>
    <w:rsid w:val="009A6EC3"/>
    <w:rsid w:val="009A720C"/>
    <w:rsid w:val="009A79D3"/>
    <w:rsid w:val="009B0DF9"/>
    <w:rsid w:val="009B1F3A"/>
    <w:rsid w:val="009B2047"/>
    <w:rsid w:val="009B289B"/>
    <w:rsid w:val="009B2BE6"/>
    <w:rsid w:val="009B2E34"/>
    <w:rsid w:val="009B2E9D"/>
    <w:rsid w:val="009B4856"/>
    <w:rsid w:val="009B48B8"/>
    <w:rsid w:val="009B51ED"/>
    <w:rsid w:val="009B617B"/>
    <w:rsid w:val="009B6CB0"/>
    <w:rsid w:val="009B7747"/>
    <w:rsid w:val="009C0551"/>
    <w:rsid w:val="009C06DB"/>
    <w:rsid w:val="009C1519"/>
    <w:rsid w:val="009C25F2"/>
    <w:rsid w:val="009C2934"/>
    <w:rsid w:val="009C30C5"/>
    <w:rsid w:val="009C40E5"/>
    <w:rsid w:val="009C4363"/>
    <w:rsid w:val="009C4B4C"/>
    <w:rsid w:val="009C4D25"/>
    <w:rsid w:val="009C4DB0"/>
    <w:rsid w:val="009C55BB"/>
    <w:rsid w:val="009C5BEC"/>
    <w:rsid w:val="009C68E9"/>
    <w:rsid w:val="009D144E"/>
    <w:rsid w:val="009D1888"/>
    <w:rsid w:val="009D2F98"/>
    <w:rsid w:val="009D3249"/>
    <w:rsid w:val="009D3AF5"/>
    <w:rsid w:val="009D51DA"/>
    <w:rsid w:val="009D5BE1"/>
    <w:rsid w:val="009D5ED3"/>
    <w:rsid w:val="009D7271"/>
    <w:rsid w:val="009E0B02"/>
    <w:rsid w:val="009E0C1B"/>
    <w:rsid w:val="009E1649"/>
    <w:rsid w:val="009E1C0C"/>
    <w:rsid w:val="009E2205"/>
    <w:rsid w:val="009E26C9"/>
    <w:rsid w:val="009E2BEA"/>
    <w:rsid w:val="009E2ED0"/>
    <w:rsid w:val="009E30D2"/>
    <w:rsid w:val="009E3F63"/>
    <w:rsid w:val="009E5751"/>
    <w:rsid w:val="009F036C"/>
    <w:rsid w:val="009F0748"/>
    <w:rsid w:val="009F18B2"/>
    <w:rsid w:val="009F1965"/>
    <w:rsid w:val="009F319E"/>
    <w:rsid w:val="009F356E"/>
    <w:rsid w:val="009F35EF"/>
    <w:rsid w:val="009F36C5"/>
    <w:rsid w:val="009F3AB1"/>
    <w:rsid w:val="009F4B39"/>
    <w:rsid w:val="009F4D4E"/>
    <w:rsid w:val="009F53B8"/>
    <w:rsid w:val="009F54E6"/>
    <w:rsid w:val="009F5AE3"/>
    <w:rsid w:val="009F61A6"/>
    <w:rsid w:val="009F6798"/>
    <w:rsid w:val="009F689F"/>
    <w:rsid w:val="009F7C71"/>
    <w:rsid w:val="009F7D5C"/>
    <w:rsid w:val="00A00FA8"/>
    <w:rsid w:val="00A0114C"/>
    <w:rsid w:val="00A01F50"/>
    <w:rsid w:val="00A02A3D"/>
    <w:rsid w:val="00A02C13"/>
    <w:rsid w:val="00A033C2"/>
    <w:rsid w:val="00A03596"/>
    <w:rsid w:val="00A03FC6"/>
    <w:rsid w:val="00A04B12"/>
    <w:rsid w:val="00A052AD"/>
    <w:rsid w:val="00A054CB"/>
    <w:rsid w:val="00A05DAA"/>
    <w:rsid w:val="00A06526"/>
    <w:rsid w:val="00A06B57"/>
    <w:rsid w:val="00A072A9"/>
    <w:rsid w:val="00A07900"/>
    <w:rsid w:val="00A07BA8"/>
    <w:rsid w:val="00A07CA1"/>
    <w:rsid w:val="00A07CB0"/>
    <w:rsid w:val="00A07D8E"/>
    <w:rsid w:val="00A10C26"/>
    <w:rsid w:val="00A12A99"/>
    <w:rsid w:val="00A13690"/>
    <w:rsid w:val="00A14563"/>
    <w:rsid w:val="00A14D8E"/>
    <w:rsid w:val="00A15159"/>
    <w:rsid w:val="00A15415"/>
    <w:rsid w:val="00A15560"/>
    <w:rsid w:val="00A15C97"/>
    <w:rsid w:val="00A16130"/>
    <w:rsid w:val="00A16249"/>
    <w:rsid w:val="00A176B2"/>
    <w:rsid w:val="00A17F82"/>
    <w:rsid w:val="00A2079A"/>
    <w:rsid w:val="00A209A0"/>
    <w:rsid w:val="00A20FA2"/>
    <w:rsid w:val="00A21A45"/>
    <w:rsid w:val="00A228F4"/>
    <w:rsid w:val="00A25369"/>
    <w:rsid w:val="00A26912"/>
    <w:rsid w:val="00A27ECA"/>
    <w:rsid w:val="00A30AC3"/>
    <w:rsid w:val="00A30F2F"/>
    <w:rsid w:val="00A31D80"/>
    <w:rsid w:val="00A32D9D"/>
    <w:rsid w:val="00A33BD7"/>
    <w:rsid w:val="00A341C3"/>
    <w:rsid w:val="00A348B4"/>
    <w:rsid w:val="00A375A5"/>
    <w:rsid w:val="00A37B9C"/>
    <w:rsid w:val="00A401E7"/>
    <w:rsid w:val="00A406DB"/>
    <w:rsid w:val="00A40EC4"/>
    <w:rsid w:val="00A40F7E"/>
    <w:rsid w:val="00A41928"/>
    <w:rsid w:val="00A42131"/>
    <w:rsid w:val="00A42B01"/>
    <w:rsid w:val="00A42D09"/>
    <w:rsid w:val="00A43400"/>
    <w:rsid w:val="00A44C8E"/>
    <w:rsid w:val="00A44ECC"/>
    <w:rsid w:val="00A45317"/>
    <w:rsid w:val="00A462C6"/>
    <w:rsid w:val="00A46EEB"/>
    <w:rsid w:val="00A472DA"/>
    <w:rsid w:val="00A47788"/>
    <w:rsid w:val="00A47C67"/>
    <w:rsid w:val="00A50BF3"/>
    <w:rsid w:val="00A510A0"/>
    <w:rsid w:val="00A51A25"/>
    <w:rsid w:val="00A53A7A"/>
    <w:rsid w:val="00A554A0"/>
    <w:rsid w:val="00A55610"/>
    <w:rsid w:val="00A5594C"/>
    <w:rsid w:val="00A559CC"/>
    <w:rsid w:val="00A57974"/>
    <w:rsid w:val="00A602CF"/>
    <w:rsid w:val="00A61220"/>
    <w:rsid w:val="00A62A18"/>
    <w:rsid w:val="00A62BC9"/>
    <w:rsid w:val="00A6389A"/>
    <w:rsid w:val="00A63FE7"/>
    <w:rsid w:val="00A641D5"/>
    <w:rsid w:val="00A64A2E"/>
    <w:rsid w:val="00A65B16"/>
    <w:rsid w:val="00A65E98"/>
    <w:rsid w:val="00A66615"/>
    <w:rsid w:val="00A66FF0"/>
    <w:rsid w:val="00A67358"/>
    <w:rsid w:val="00A70787"/>
    <w:rsid w:val="00A70B07"/>
    <w:rsid w:val="00A70B5C"/>
    <w:rsid w:val="00A711E9"/>
    <w:rsid w:val="00A71279"/>
    <w:rsid w:val="00A71352"/>
    <w:rsid w:val="00A76A00"/>
    <w:rsid w:val="00A76DDC"/>
    <w:rsid w:val="00A8019B"/>
    <w:rsid w:val="00A807B7"/>
    <w:rsid w:val="00A81F2B"/>
    <w:rsid w:val="00A82239"/>
    <w:rsid w:val="00A832ED"/>
    <w:rsid w:val="00A835C8"/>
    <w:rsid w:val="00A8361A"/>
    <w:rsid w:val="00A83A26"/>
    <w:rsid w:val="00A85484"/>
    <w:rsid w:val="00A86B83"/>
    <w:rsid w:val="00A86F0B"/>
    <w:rsid w:val="00A87B6B"/>
    <w:rsid w:val="00A910E6"/>
    <w:rsid w:val="00A913CC"/>
    <w:rsid w:val="00A916A4"/>
    <w:rsid w:val="00A923EC"/>
    <w:rsid w:val="00A926EA"/>
    <w:rsid w:val="00A93200"/>
    <w:rsid w:val="00A932C6"/>
    <w:rsid w:val="00A93689"/>
    <w:rsid w:val="00A9399A"/>
    <w:rsid w:val="00A93DD5"/>
    <w:rsid w:val="00A94A55"/>
    <w:rsid w:val="00A95042"/>
    <w:rsid w:val="00AA01F8"/>
    <w:rsid w:val="00AA08F5"/>
    <w:rsid w:val="00AA0E80"/>
    <w:rsid w:val="00AA1589"/>
    <w:rsid w:val="00AA2FF2"/>
    <w:rsid w:val="00AA3793"/>
    <w:rsid w:val="00AA4573"/>
    <w:rsid w:val="00AA5199"/>
    <w:rsid w:val="00AA54A3"/>
    <w:rsid w:val="00AA55D4"/>
    <w:rsid w:val="00AA59AF"/>
    <w:rsid w:val="00AB1905"/>
    <w:rsid w:val="00AB3346"/>
    <w:rsid w:val="00AB6A1A"/>
    <w:rsid w:val="00AB77FF"/>
    <w:rsid w:val="00AC0216"/>
    <w:rsid w:val="00AC09AF"/>
    <w:rsid w:val="00AC0B26"/>
    <w:rsid w:val="00AC1059"/>
    <w:rsid w:val="00AC1BB3"/>
    <w:rsid w:val="00AC323D"/>
    <w:rsid w:val="00AC39FF"/>
    <w:rsid w:val="00AC3DA6"/>
    <w:rsid w:val="00AC4344"/>
    <w:rsid w:val="00AC4BB7"/>
    <w:rsid w:val="00AC4E55"/>
    <w:rsid w:val="00AC5DFA"/>
    <w:rsid w:val="00AC5F20"/>
    <w:rsid w:val="00AC752B"/>
    <w:rsid w:val="00AC75FF"/>
    <w:rsid w:val="00AD17E9"/>
    <w:rsid w:val="00AD2326"/>
    <w:rsid w:val="00AD363D"/>
    <w:rsid w:val="00AD3999"/>
    <w:rsid w:val="00AD457C"/>
    <w:rsid w:val="00AD5009"/>
    <w:rsid w:val="00AD56A7"/>
    <w:rsid w:val="00AD5AB2"/>
    <w:rsid w:val="00AD6EA2"/>
    <w:rsid w:val="00AD7E35"/>
    <w:rsid w:val="00AE0694"/>
    <w:rsid w:val="00AE0915"/>
    <w:rsid w:val="00AE0DC1"/>
    <w:rsid w:val="00AE4BA5"/>
    <w:rsid w:val="00AE4CB5"/>
    <w:rsid w:val="00AE5831"/>
    <w:rsid w:val="00AE762D"/>
    <w:rsid w:val="00AE7729"/>
    <w:rsid w:val="00AF010F"/>
    <w:rsid w:val="00AF0372"/>
    <w:rsid w:val="00AF0749"/>
    <w:rsid w:val="00AF0F10"/>
    <w:rsid w:val="00AF3686"/>
    <w:rsid w:val="00AF4B63"/>
    <w:rsid w:val="00AF53A2"/>
    <w:rsid w:val="00AF653E"/>
    <w:rsid w:val="00AF714F"/>
    <w:rsid w:val="00AF788B"/>
    <w:rsid w:val="00AF7A65"/>
    <w:rsid w:val="00B00333"/>
    <w:rsid w:val="00B00CB3"/>
    <w:rsid w:val="00B00D76"/>
    <w:rsid w:val="00B01146"/>
    <w:rsid w:val="00B011BF"/>
    <w:rsid w:val="00B01C92"/>
    <w:rsid w:val="00B04346"/>
    <w:rsid w:val="00B04B4E"/>
    <w:rsid w:val="00B04CD2"/>
    <w:rsid w:val="00B05416"/>
    <w:rsid w:val="00B0559D"/>
    <w:rsid w:val="00B0634F"/>
    <w:rsid w:val="00B07402"/>
    <w:rsid w:val="00B07D1D"/>
    <w:rsid w:val="00B07DC8"/>
    <w:rsid w:val="00B11606"/>
    <w:rsid w:val="00B11738"/>
    <w:rsid w:val="00B12A48"/>
    <w:rsid w:val="00B13039"/>
    <w:rsid w:val="00B135E4"/>
    <w:rsid w:val="00B13699"/>
    <w:rsid w:val="00B148C4"/>
    <w:rsid w:val="00B15E7B"/>
    <w:rsid w:val="00B1665D"/>
    <w:rsid w:val="00B16FDB"/>
    <w:rsid w:val="00B1748F"/>
    <w:rsid w:val="00B220D3"/>
    <w:rsid w:val="00B22CAD"/>
    <w:rsid w:val="00B24026"/>
    <w:rsid w:val="00B240E9"/>
    <w:rsid w:val="00B24591"/>
    <w:rsid w:val="00B24872"/>
    <w:rsid w:val="00B25074"/>
    <w:rsid w:val="00B2687E"/>
    <w:rsid w:val="00B27C1E"/>
    <w:rsid w:val="00B30F83"/>
    <w:rsid w:val="00B3295E"/>
    <w:rsid w:val="00B32A50"/>
    <w:rsid w:val="00B3362C"/>
    <w:rsid w:val="00B338AE"/>
    <w:rsid w:val="00B3451A"/>
    <w:rsid w:val="00B347D9"/>
    <w:rsid w:val="00B34A35"/>
    <w:rsid w:val="00B34D4F"/>
    <w:rsid w:val="00B351B0"/>
    <w:rsid w:val="00B354C4"/>
    <w:rsid w:val="00B35FE4"/>
    <w:rsid w:val="00B36714"/>
    <w:rsid w:val="00B36D10"/>
    <w:rsid w:val="00B3716A"/>
    <w:rsid w:val="00B37FBB"/>
    <w:rsid w:val="00B409EE"/>
    <w:rsid w:val="00B40C5A"/>
    <w:rsid w:val="00B40DCC"/>
    <w:rsid w:val="00B4140E"/>
    <w:rsid w:val="00B4299D"/>
    <w:rsid w:val="00B43678"/>
    <w:rsid w:val="00B439F1"/>
    <w:rsid w:val="00B44E48"/>
    <w:rsid w:val="00B457A3"/>
    <w:rsid w:val="00B46B3B"/>
    <w:rsid w:val="00B475A0"/>
    <w:rsid w:val="00B513AE"/>
    <w:rsid w:val="00B515FB"/>
    <w:rsid w:val="00B52AEF"/>
    <w:rsid w:val="00B52CE9"/>
    <w:rsid w:val="00B541CE"/>
    <w:rsid w:val="00B547EF"/>
    <w:rsid w:val="00B54CAE"/>
    <w:rsid w:val="00B54CF0"/>
    <w:rsid w:val="00B55199"/>
    <w:rsid w:val="00B5519B"/>
    <w:rsid w:val="00B559B3"/>
    <w:rsid w:val="00B56014"/>
    <w:rsid w:val="00B5672C"/>
    <w:rsid w:val="00B56E51"/>
    <w:rsid w:val="00B60245"/>
    <w:rsid w:val="00B60516"/>
    <w:rsid w:val="00B60596"/>
    <w:rsid w:val="00B61306"/>
    <w:rsid w:val="00B619B0"/>
    <w:rsid w:val="00B61B3E"/>
    <w:rsid w:val="00B62709"/>
    <w:rsid w:val="00B6287A"/>
    <w:rsid w:val="00B62F78"/>
    <w:rsid w:val="00B65356"/>
    <w:rsid w:val="00B6537A"/>
    <w:rsid w:val="00B6770E"/>
    <w:rsid w:val="00B67908"/>
    <w:rsid w:val="00B67CEF"/>
    <w:rsid w:val="00B7010F"/>
    <w:rsid w:val="00B70808"/>
    <w:rsid w:val="00B70C0D"/>
    <w:rsid w:val="00B70EAA"/>
    <w:rsid w:val="00B71A27"/>
    <w:rsid w:val="00B72672"/>
    <w:rsid w:val="00B72A0E"/>
    <w:rsid w:val="00B732B8"/>
    <w:rsid w:val="00B73596"/>
    <w:rsid w:val="00B74AAD"/>
    <w:rsid w:val="00B7509D"/>
    <w:rsid w:val="00B760CB"/>
    <w:rsid w:val="00B76523"/>
    <w:rsid w:val="00B767D6"/>
    <w:rsid w:val="00B771AC"/>
    <w:rsid w:val="00B772D6"/>
    <w:rsid w:val="00B8490C"/>
    <w:rsid w:val="00B85120"/>
    <w:rsid w:val="00B852B5"/>
    <w:rsid w:val="00B85499"/>
    <w:rsid w:val="00B857E4"/>
    <w:rsid w:val="00B858EB"/>
    <w:rsid w:val="00B85CD4"/>
    <w:rsid w:val="00B85E63"/>
    <w:rsid w:val="00B871A1"/>
    <w:rsid w:val="00B87FC4"/>
    <w:rsid w:val="00B87FC5"/>
    <w:rsid w:val="00B90AB0"/>
    <w:rsid w:val="00B90C00"/>
    <w:rsid w:val="00B9120B"/>
    <w:rsid w:val="00B91511"/>
    <w:rsid w:val="00B92B41"/>
    <w:rsid w:val="00B95445"/>
    <w:rsid w:val="00B95B43"/>
    <w:rsid w:val="00B95B8D"/>
    <w:rsid w:val="00B95C3E"/>
    <w:rsid w:val="00B963B3"/>
    <w:rsid w:val="00B96491"/>
    <w:rsid w:val="00B96ABD"/>
    <w:rsid w:val="00B96D65"/>
    <w:rsid w:val="00B97C2B"/>
    <w:rsid w:val="00BA1404"/>
    <w:rsid w:val="00BA145F"/>
    <w:rsid w:val="00BA16AC"/>
    <w:rsid w:val="00BA1CCB"/>
    <w:rsid w:val="00BA32EA"/>
    <w:rsid w:val="00BA341E"/>
    <w:rsid w:val="00BA44F4"/>
    <w:rsid w:val="00BA5B6A"/>
    <w:rsid w:val="00BA6159"/>
    <w:rsid w:val="00BA6E8B"/>
    <w:rsid w:val="00BB05DB"/>
    <w:rsid w:val="00BB0D08"/>
    <w:rsid w:val="00BB0D86"/>
    <w:rsid w:val="00BB1390"/>
    <w:rsid w:val="00BB3054"/>
    <w:rsid w:val="00BB3152"/>
    <w:rsid w:val="00BB4D56"/>
    <w:rsid w:val="00BB5450"/>
    <w:rsid w:val="00BB6FE6"/>
    <w:rsid w:val="00BC02E4"/>
    <w:rsid w:val="00BC057D"/>
    <w:rsid w:val="00BC0847"/>
    <w:rsid w:val="00BC09C1"/>
    <w:rsid w:val="00BC1606"/>
    <w:rsid w:val="00BC1893"/>
    <w:rsid w:val="00BC298F"/>
    <w:rsid w:val="00BC2D54"/>
    <w:rsid w:val="00BC3297"/>
    <w:rsid w:val="00BC526B"/>
    <w:rsid w:val="00BC6B7C"/>
    <w:rsid w:val="00BC6EAE"/>
    <w:rsid w:val="00BC793B"/>
    <w:rsid w:val="00BD0A4C"/>
    <w:rsid w:val="00BD1879"/>
    <w:rsid w:val="00BD21A6"/>
    <w:rsid w:val="00BD25CA"/>
    <w:rsid w:val="00BD32B6"/>
    <w:rsid w:val="00BD3374"/>
    <w:rsid w:val="00BD33F4"/>
    <w:rsid w:val="00BD3B62"/>
    <w:rsid w:val="00BD3D7B"/>
    <w:rsid w:val="00BD4064"/>
    <w:rsid w:val="00BD4555"/>
    <w:rsid w:val="00BD5140"/>
    <w:rsid w:val="00BD53E3"/>
    <w:rsid w:val="00BD56AA"/>
    <w:rsid w:val="00BD6203"/>
    <w:rsid w:val="00BD660E"/>
    <w:rsid w:val="00BD668F"/>
    <w:rsid w:val="00BD6727"/>
    <w:rsid w:val="00BD6860"/>
    <w:rsid w:val="00BD75F0"/>
    <w:rsid w:val="00BD77F2"/>
    <w:rsid w:val="00BD7F95"/>
    <w:rsid w:val="00BE0394"/>
    <w:rsid w:val="00BE1962"/>
    <w:rsid w:val="00BE225B"/>
    <w:rsid w:val="00BE2C48"/>
    <w:rsid w:val="00BE439A"/>
    <w:rsid w:val="00BE4481"/>
    <w:rsid w:val="00BE5055"/>
    <w:rsid w:val="00BE5238"/>
    <w:rsid w:val="00BE5AC1"/>
    <w:rsid w:val="00BE5C57"/>
    <w:rsid w:val="00BF03D3"/>
    <w:rsid w:val="00BF0999"/>
    <w:rsid w:val="00BF0AF5"/>
    <w:rsid w:val="00BF2B78"/>
    <w:rsid w:val="00BF2D38"/>
    <w:rsid w:val="00BF3E15"/>
    <w:rsid w:val="00BF40D5"/>
    <w:rsid w:val="00BF4848"/>
    <w:rsid w:val="00BF538B"/>
    <w:rsid w:val="00BF57D3"/>
    <w:rsid w:val="00BF65A4"/>
    <w:rsid w:val="00C0063C"/>
    <w:rsid w:val="00C010B7"/>
    <w:rsid w:val="00C032AF"/>
    <w:rsid w:val="00C03755"/>
    <w:rsid w:val="00C03D14"/>
    <w:rsid w:val="00C05569"/>
    <w:rsid w:val="00C0642F"/>
    <w:rsid w:val="00C07557"/>
    <w:rsid w:val="00C1091F"/>
    <w:rsid w:val="00C10ABD"/>
    <w:rsid w:val="00C10EE1"/>
    <w:rsid w:val="00C11583"/>
    <w:rsid w:val="00C118F6"/>
    <w:rsid w:val="00C138AF"/>
    <w:rsid w:val="00C141A4"/>
    <w:rsid w:val="00C1443A"/>
    <w:rsid w:val="00C14618"/>
    <w:rsid w:val="00C14A9A"/>
    <w:rsid w:val="00C14B51"/>
    <w:rsid w:val="00C1547B"/>
    <w:rsid w:val="00C179D8"/>
    <w:rsid w:val="00C20190"/>
    <w:rsid w:val="00C20B1C"/>
    <w:rsid w:val="00C21E5E"/>
    <w:rsid w:val="00C224D7"/>
    <w:rsid w:val="00C234A4"/>
    <w:rsid w:val="00C2359B"/>
    <w:rsid w:val="00C25A7C"/>
    <w:rsid w:val="00C25D5D"/>
    <w:rsid w:val="00C26227"/>
    <w:rsid w:val="00C262F6"/>
    <w:rsid w:val="00C27B06"/>
    <w:rsid w:val="00C31167"/>
    <w:rsid w:val="00C31378"/>
    <w:rsid w:val="00C317CB"/>
    <w:rsid w:val="00C32518"/>
    <w:rsid w:val="00C32CBA"/>
    <w:rsid w:val="00C33805"/>
    <w:rsid w:val="00C338B6"/>
    <w:rsid w:val="00C34473"/>
    <w:rsid w:val="00C34725"/>
    <w:rsid w:val="00C34D80"/>
    <w:rsid w:val="00C368A4"/>
    <w:rsid w:val="00C368AB"/>
    <w:rsid w:val="00C369B5"/>
    <w:rsid w:val="00C4011C"/>
    <w:rsid w:val="00C40217"/>
    <w:rsid w:val="00C404A1"/>
    <w:rsid w:val="00C41035"/>
    <w:rsid w:val="00C42401"/>
    <w:rsid w:val="00C434C5"/>
    <w:rsid w:val="00C438E6"/>
    <w:rsid w:val="00C4403E"/>
    <w:rsid w:val="00C444EC"/>
    <w:rsid w:val="00C448C2"/>
    <w:rsid w:val="00C453E0"/>
    <w:rsid w:val="00C45A3F"/>
    <w:rsid w:val="00C504A8"/>
    <w:rsid w:val="00C50E13"/>
    <w:rsid w:val="00C510E8"/>
    <w:rsid w:val="00C51BEC"/>
    <w:rsid w:val="00C51CE8"/>
    <w:rsid w:val="00C52ACA"/>
    <w:rsid w:val="00C530F9"/>
    <w:rsid w:val="00C53708"/>
    <w:rsid w:val="00C54092"/>
    <w:rsid w:val="00C553AB"/>
    <w:rsid w:val="00C558F6"/>
    <w:rsid w:val="00C564FC"/>
    <w:rsid w:val="00C6271F"/>
    <w:rsid w:val="00C6425D"/>
    <w:rsid w:val="00C64ADF"/>
    <w:rsid w:val="00C654B5"/>
    <w:rsid w:val="00C662B0"/>
    <w:rsid w:val="00C66D74"/>
    <w:rsid w:val="00C673D8"/>
    <w:rsid w:val="00C67AA4"/>
    <w:rsid w:val="00C7078B"/>
    <w:rsid w:val="00C720CD"/>
    <w:rsid w:val="00C72B4C"/>
    <w:rsid w:val="00C7353A"/>
    <w:rsid w:val="00C73A8F"/>
    <w:rsid w:val="00C73B0A"/>
    <w:rsid w:val="00C73D17"/>
    <w:rsid w:val="00C74E50"/>
    <w:rsid w:val="00C75C0D"/>
    <w:rsid w:val="00C76913"/>
    <w:rsid w:val="00C76C81"/>
    <w:rsid w:val="00C774F6"/>
    <w:rsid w:val="00C80115"/>
    <w:rsid w:val="00C8339C"/>
    <w:rsid w:val="00C8418C"/>
    <w:rsid w:val="00C841BF"/>
    <w:rsid w:val="00C846EE"/>
    <w:rsid w:val="00C8685E"/>
    <w:rsid w:val="00C8741B"/>
    <w:rsid w:val="00C907B3"/>
    <w:rsid w:val="00C9157F"/>
    <w:rsid w:val="00C91A99"/>
    <w:rsid w:val="00C91CDA"/>
    <w:rsid w:val="00C91E6D"/>
    <w:rsid w:val="00C92801"/>
    <w:rsid w:val="00C92809"/>
    <w:rsid w:val="00C93503"/>
    <w:rsid w:val="00C94013"/>
    <w:rsid w:val="00C94562"/>
    <w:rsid w:val="00C952F0"/>
    <w:rsid w:val="00C96F24"/>
    <w:rsid w:val="00C97CED"/>
    <w:rsid w:val="00C97FA0"/>
    <w:rsid w:val="00CA1233"/>
    <w:rsid w:val="00CA1517"/>
    <w:rsid w:val="00CA293D"/>
    <w:rsid w:val="00CA3987"/>
    <w:rsid w:val="00CA3CB7"/>
    <w:rsid w:val="00CA3E9E"/>
    <w:rsid w:val="00CA512A"/>
    <w:rsid w:val="00CA54BF"/>
    <w:rsid w:val="00CA7BCE"/>
    <w:rsid w:val="00CB0839"/>
    <w:rsid w:val="00CB16C9"/>
    <w:rsid w:val="00CB335E"/>
    <w:rsid w:val="00CB395D"/>
    <w:rsid w:val="00CB3C74"/>
    <w:rsid w:val="00CB455D"/>
    <w:rsid w:val="00CB4A83"/>
    <w:rsid w:val="00CB7BE7"/>
    <w:rsid w:val="00CC0062"/>
    <w:rsid w:val="00CC07B9"/>
    <w:rsid w:val="00CC0819"/>
    <w:rsid w:val="00CC1527"/>
    <w:rsid w:val="00CC1F9D"/>
    <w:rsid w:val="00CC267A"/>
    <w:rsid w:val="00CC271F"/>
    <w:rsid w:val="00CC2973"/>
    <w:rsid w:val="00CC378F"/>
    <w:rsid w:val="00CC3D80"/>
    <w:rsid w:val="00CC527F"/>
    <w:rsid w:val="00CC6163"/>
    <w:rsid w:val="00CC6678"/>
    <w:rsid w:val="00CC6E63"/>
    <w:rsid w:val="00CC7E1D"/>
    <w:rsid w:val="00CD0135"/>
    <w:rsid w:val="00CD04E1"/>
    <w:rsid w:val="00CD04F4"/>
    <w:rsid w:val="00CD0E0D"/>
    <w:rsid w:val="00CD0F62"/>
    <w:rsid w:val="00CD163D"/>
    <w:rsid w:val="00CD1F4D"/>
    <w:rsid w:val="00CD2D40"/>
    <w:rsid w:val="00CD2E59"/>
    <w:rsid w:val="00CD2FE7"/>
    <w:rsid w:val="00CD3672"/>
    <w:rsid w:val="00CD453B"/>
    <w:rsid w:val="00CD4872"/>
    <w:rsid w:val="00CD5644"/>
    <w:rsid w:val="00CD5979"/>
    <w:rsid w:val="00CD6124"/>
    <w:rsid w:val="00CD6DE5"/>
    <w:rsid w:val="00CD7307"/>
    <w:rsid w:val="00CD7CA8"/>
    <w:rsid w:val="00CD7F81"/>
    <w:rsid w:val="00CE02CB"/>
    <w:rsid w:val="00CE1F6D"/>
    <w:rsid w:val="00CE2481"/>
    <w:rsid w:val="00CE28AB"/>
    <w:rsid w:val="00CE2922"/>
    <w:rsid w:val="00CE388A"/>
    <w:rsid w:val="00CE3C71"/>
    <w:rsid w:val="00CE4F11"/>
    <w:rsid w:val="00CE573B"/>
    <w:rsid w:val="00CE5C40"/>
    <w:rsid w:val="00CE60E9"/>
    <w:rsid w:val="00CE6385"/>
    <w:rsid w:val="00CE64F8"/>
    <w:rsid w:val="00CE6DE1"/>
    <w:rsid w:val="00CE6FC0"/>
    <w:rsid w:val="00CE712A"/>
    <w:rsid w:val="00CF06B4"/>
    <w:rsid w:val="00CF45B8"/>
    <w:rsid w:val="00CF4A53"/>
    <w:rsid w:val="00CF4E2A"/>
    <w:rsid w:val="00CF76A9"/>
    <w:rsid w:val="00D00B56"/>
    <w:rsid w:val="00D015E5"/>
    <w:rsid w:val="00D01C3F"/>
    <w:rsid w:val="00D029F6"/>
    <w:rsid w:val="00D0319F"/>
    <w:rsid w:val="00D03C26"/>
    <w:rsid w:val="00D05DC6"/>
    <w:rsid w:val="00D10729"/>
    <w:rsid w:val="00D1115D"/>
    <w:rsid w:val="00D11915"/>
    <w:rsid w:val="00D11E62"/>
    <w:rsid w:val="00D125EA"/>
    <w:rsid w:val="00D12BD2"/>
    <w:rsid w:val="00D12E63"/>
    <w:rsid w:val="00D15C41"/>
    <w:rsid w:val="00D15E16"/>
    <w:rsid w:val="00D16372"/>
    <w:rsid w:val="00D16C0B"/>
    <w:rsid w:val="00D1706C"/>
    <w:rsid w:val="00D1740A"/>
    <w:rsid w:val="00D1799C"/>
    <w:rsid w:val="00D20BC7"/>
    <w:rsid w:val="00D22104"/>
    <w:rsid w:val="00D22D52"/>
    <w:rsid w:val="00D23DB0"/>
    <w:rsid w:val="00D24227"/>
    <w:rsid w:val="00D26A5B"/>
    <w:rsid w:val="00D27A11"/>
    <w:rsid w:val="00D27A9D"/>
    <w:rsid w:val="00D30F13"/>
    <w:rsid w:val="00D319FC"/>
    <w:rsid w:val="00D35158"/>
    <w:rsid w:val="00D35734"/>
    <w:rsid w:val="00D406F7"/>
    <w:rsid w:val="00D40BA3"/>
    <w:rsid w:val="00D40E00"/>
    <w:rsid w:val="00D43225"/>
    <w:rsid w:val="00D43CEB"/>
    <w:rsid w:val="00D44288"/>
    <w:rsid w:val="00D44DCD"/>
    <w:rsid w:val="00D46FF0"/>
    <w:rsid w:val="00D477D8"/>
    <w:rsid w:val="00D5036C"/>
    <w:rsid w:val="00D518DA"/>
    <w:rsid w:val="00D542D6"/>
    <w:rsid w:val="00D54353"/>
    <w:rsid w:val="00D54A4D"/>
    <w:rsid w:val="00D55C1E"/>
    <w:rsid w:val="00D55D4B"/>
    <w:rsid w:val="00D5700A"/>
    <w:rsid w:val="00D57356"/>
    <w:rsid w:val="00D6138E"/>
    <w:rsid w:val="00D61973"/>
    <w:rsid w:val="00D61BBE"/>
    <w:rsid w:val="00D624D7"/>
    <w:rsid w:val="00D63168"/>
    <w:rsid w:val="00D637FC"/>
    <w:rsid w:val="00D63C77"/>
    <w:rsid w:val="00D64443"/>
    <w:rsid w:val="00D650A0"/>
    <w:rsid w:val="00D65912"/>
    <w:rsid w:val="00D65CB8"/>
    <w:rsid w:val="00D66443"/>
    <w:rsid w:val="00D67DF2"/>
    <w:rsid w:val="00D702BB"/>
    <w:rsid w:val="00D70476"/>
    <w:rsid w:val="00D71DEE"/>
    <w:rsid w:val="00D72F70"/>
    <w:rsid w:val="00D732A5"/>
    <w:rsid w:val="00D7345A"/>
    <w:rsid w:val="00D73796"/>
    <w:rsid w:val="00D73A53"/>
    <w:rsid w:val="00D73C94"/>
    <w:rsid w:val="00D74032"/>
    <w:rsid w:val="00D760DB"/>
    <w:rsid w:val="00D76DBC"/>
    <w:rsid w:val="00D76E5F"/>
    <w:rsid w:val="00D7714B"/>
    <w:rsid w:val="00D77D95"/>
    <w:rsid w:val="00D806A4"/>
    <w:rsid w:val="00D80E6B"/>
    <w:rsid w:val="00D8178C"/>
    <w:rsid w:val="00D81B9E"/>
    <w:rsid w:val="00D81C7C"/>
    <w:rsid w:val="00D81E08"/>
    <w:rsid w:val="00D82DC0"/>
    <w:rsid w:val="00D836BE"/>
    <w:rsid w:val="00D84AE9"/>
    <w:rsid w:val="00D85AAC"/>
    <w:rsid w:val="00D86F7F"/>
    <w:rsid w:val="00D87A2F"/>
    <w:rsid w:val="00D87AE9"/>
    <w:rsid w:val="00D87AF9"/>
    <w:rsid w:val="00D90810"/>
    <w:rsid w:val="00D908F6"/>
    <w:rsid w:val="00D91103"/>
    <w:rsid w:val="00D91B51"/>
    <w:rsid w:val="00D9285A"/>
    <w:rsid w:val="00D92B2D"/>
    <w:rsid w:val="00D92E77"/>
    <w:rsid w:val="00D93B95"/>
    <w:rsid w:val="00D95590"/>
    <w:rsid w:val="00D9583E"/>
    <w:rsid w:val="00D960DF"/>
    <w:rsid w:val="00D960EC"/>
    <w:rsid w:val="00DA0974"/>
    <w:rsid w:val="00DA1AFC"/>
    <w:rsid w:val="00DA1C9C"/>
    <w:rsid w:val="00DA31A0"/>
    <w:rsid w:val="00DA31B6"/>
    <w:rsid w:val="00DA358C"/>
    <w:rsid w:val="00DA566B"/>
    <w:rsid w:val="00DA569D"/>
    <w:rsid w:val="00DA6988"/>
    <w:rsid w:val="00DA7F1F"/>
    <w:rsid w:val="00DB00C4"/>
    <w:rsid w:val="00DB03D4"/>
    <w:rsid w:val="00DB09E5"/>
    <w:rsid w:val="00DB13E0"/>
    <w:rsid w:val="00DB1CD7"/>
    <w:rsid w:val="00DB248E"/>
    <w:rsid w:val="00DB2B31"/>
    <w:rsid w:val="00DB35B5"/>
    <w:rsid w:val="00DB41AA"/>
    <w:rsid w:val="00DB50C0"/>
    <w:rsid w:val="00DB642A"/>
    <w:rsid w:val="00DB74B8"/>
    <w:rsid w:val="00DB775B"/>
    <w:rsid w:val="00DB7BC4"/>
    <w:rsid w:val="00DB7E37"/>
    <w:rsid w:val="00DC0951"/>
    <w:rsid w:val="00DC5157"/>
    <w:rsid w:val="00DC5B3A"/>
    <w:rsid w:val="00DC5BE8"/>
    <w:rsid w:val="00DC67BB"/>
    <w:rsid w:val="00DC7E04"/>
    <w:rsid w:val="00DC7F0C"/>
    <w:rsid w:val="00DD2F0F"/>
    <w:rsid w:val="00DD4808"/>
    <w:rsid w:val="00DD6FC3"/>
    <w:rsid w:val="00DD712D"/>
    <w:rsid w:val="00DE1752"/>
    <w:rsid w:val="00DE3CCB"/>
    <w:rsid w:val="00DE407B"/>
    <w:rsid w:val="00DE43B1"/>
    <w:rsid w:val="00DE5E4E"/>
    <w:rsid w:val="00DE66D8"/>
    <w:rsid w:val="00DE6DB6"/>
    <w:rsid w:val="00DE6E7E"/>
    <w:rsid w:val="00DE70D9"/>
    <w:rsid w:val="00DE73EB"/>
    <w:rsid w:val="00DE7509"/>
    <w:rsid w:val="00DE7B8F"/>
    <w:rsid w:val="00DF0198"/>
    <w:rsid w:val="00DF037F"/>
    <w:rsid w:val="00DF0551"/>
    <w:rsid w:val="00DF0A29"/>
    <w:rsid w:val="00DF0E45"/>
    <w:rsid w:val="00DF11B2"/>
    <w:rsid w:val="00DF15E4"/>
    <w:rsid w:val="00DF1E38"/>
    <w:rsid w:val="00DF2295"/>
    <w:rsid w:val="00DF27C2"/>
    <w:rsid w:val="00DF30F3"/>
    <w:rsid w:val="00DF4435"/>
    <w:rsid w:val="00DF5CDF"/>
    <w:rsid w:val="00DF66E3"/>
    <w:rsid w:val="00DF783F"/>
    <w:rsid w:val="00E009D8"/>
    <w:rsid w:val="00E00AB4"/>
    <w:rsid w:val="00E030E9"/>
    <w:rsid w:val="00E032E1"/>
    <w:rsid w:val="00E03D9B"/>
    <w:rsid w:val="00E04021"/>
    <w:rsid w:val="00E04084"/>
    <w:rsid w:val="00E042EE"/>
    <w:rsid w:val="00E045A2"/>
    <w:rsid w:val="00E05497"/>
    <w:rsid w:val="00E05735"/>
    <w:rsid w:val="00E05C27"/>
    <w:rsid w:val="00E06AAF"/>
    <w:rsid w:val="00E10DEA"/>
    <w:rsid w:val="00E11363"/>
    <w:rsid w:val="00E11A03"/>
    <w:rsid w:val="00E11DC3"/>
    <w:rsid w:val="00E14D0A"/>
    <w:rsid w:val="00E14D54"/>
    <w:rsid w:val="00E14E1F"/>
    <w:rsid w:val="00E15BD2"/>
    <w:rsid w:val="00E16541"/>
    <w:rsid w:val="00E17538"/>
    <w:rsid w:val="00E209C0"/>
    <w:rsid w:val="00E21EAD"/>
    <w:rsid w:val="00E21F73"/>
    <w:rsid w:val="00E22731"/>
    <w:rsid w:val="00E23286"/>
    <w:rsid w:val="00E23FEB"/>
    <w:rsid w:val="00E24423"/>
    <w:rsid w:val="00E24791"/>
    <w:rsid w:val="00E26BFC"/>
    <w:rsid w:val="00E27446"/>
    <w:rsid w:val="00E30684"/>
    <w:rsid w:val="00E31144"/>
    <w:rsid w:val="00E3142A"/>
    <w:rsid w:val="00E3274C"/>
    <w:rsid w:val="00E32D8B"/>
    <w:rsid w:val="00E340CB"/>
    <w:rsid w:val="00E35508"/>
    <w:rsid w:val="00E360C5"/>
    <w:rsid w:val="00E36ABF"/>
    <w:rsid w:val="00E37298"/>
    <w:rsid w:val="00E40791"/>
    <w:rsid w:val="00E41C4E"/>
    <w:rsid w:val="00E4252D"/>
    <w:rsid w:val="00E42E47"/>
    <w:rsid w:val="00E43144"/>
    <w:rsid w:val="00E43412"/>
    <w:rsid w:val="00E43591"/>
    <w:rsid w:val="00E43A1F"/>
    <w:rsid w:val="00E45385"/>
    <w:rsid w:val="00E45800"/>
    <w:rsid w:val="00E45CCB"/>
    <w:rsid w:val="00E47938"/>
    <w:rsid w:val="00E50939"/>
    <w:rsid w:val="00E5172E"/>
    <w:rsid w:val="00E51F4B"/>
    <w:rsid w:val="00E52F19"/>
    <w:rsid w:val="00E53524"/>
    <w:rsid w:val="00E537D0"/>
    <w:rsid w:val="00E53917"/>
    <w:rsid w:val="00E5440C"/>
    <w:rsid w:val="00E54DEA"/>
    <w:rsid w:val="00E555AA"/>
    <w:rsid w:val="00E55788"/>
    <w:rsid w:val="00E55C3E"/>
    <w:rsid w:val="00E61984"/>
    <w:rsid w:val="00E6274B"/>
    <w:rsid w:val="00E628E4"/>
    <w:rsid w:val="00E635AC"/>
    <w:rsid w:val="00E63740"/>
    <w:rsid w:val="00E651A5"/>
    <w:rsid w:val="00E65F99"/>
    <w:rsid w:val="00E66371"/>
    <w:rsid w:val="00E67518"/>
    <w:rsid w:val="00E67ECE"/>
    <w:rsid w:val="00E7222E"/>
    <w:rsid w:val="00E73078"/>
    <w:rsid w:val="00E73254"/>
    <w:rsid w:val="00E73D39"/>
    <w:rsid w:val="00E7678F"/>
    <w:rsid w:val="00E76C49"/>
    <w:rsid w:val="00E76C6E"/>
    <w:rsid w:val="00E76DDA"/>
    <w:rsid w:val="00E7727F"/>
    <w:rsid w:val="00E77D97"/>
    <w:rsid w:val="00E77E64"/>
    <w:rsid w:val="00E77E78"/>
    <w:rsid w:val="00E80189"/>
    <w:rsid w:val="00E80B6C"/>
    <w:rsid w:val="00E81086"/>
    <w:rsid w:val="00E81207"/>
    <w:rsid w:val="00E81A34"/>
    <w:rsid w:val="00E83228"/>
    <w:rsid w:val="00E852E4"/>
    <w:rsid w:val="00E85B9B"/>
    <w:rsid w:val="00E863D0"/>
    <w:rsid w:val="00E8731E"/>
    <w:rsid w:val="00E8739C"/>
    <w:rsid w:val="00E90989"/>
    <w:rsid w:val="00E91B84"/>
    <w:rsid w:val="00E91FA3"/>
    <w:rsid w:val="00E934D0"/>
    <w:rsid w:val="00E943C4"/>
    <w:rsid w:val="00E94A98"/>
    <w:rsid w:val="00E959DC"/>
    <w:rsid w:val="00E96AF0"/>
    <w:rsid w:val="00E96C1A"/>
    <w:rsid w:val="00E96E67"/>
    <w:rsid w:val="00E97350"/>
    <w:rsid w:val="00E97BC2"/>
    <w:rsid w:val="00E97DA1"/>
    <w:rsid w:val="00EA1042"/>
    <w:rsid w:val="00EA1E2D"/>
    <w:rsid w:val="00EA29E9"/>
    <w:rsid w:val="00EA2FDF"/>
    <w:rsid w:val="00EA326B"/>
    <w:rsid w:val="00EA3BE7"/>
    <w:rsid w:val="00EA533D"/>
    <w:rsid w:val="00EA5439"/>
    <w:rsid w:val="00EA5708"/>
    <w:rsid w:val="00EA64FF"/>
    <w:rsid w:val="00EA7099"/>
    <w:rsid w:val="00EA70E4"/>
    <w:rsid w:val="00EA74E0"/>
    <w:rsid w:val="00EA7770"/>
    <w:rsid w:val="00EB016D"/>
    <w:rsid w:val="00EB3C85"/>
    <w:rsid w:val="00EB44D1"/>
    <w:rsid w:val="00EB5423"/>
    <w:rsid w:val="00EB6293"/>
    <w:rsid w:val="00EB69BB"/>
    <w:rsid w:val="00EB6EBA"/>
    <w:rsid w:val="00EB7808"/>
    <w:rsid w:val="00EC04B2"/>
    <w:rsid w:val="00EC0CB4"/>
    <w:rsid w:val="00EC1C5F"/>
    <w:rsid w:val="00EC244A"/>
    <w:rsid w:val="00EC244B"/>
    <w:rsid w:val="00EC2D79"/>
    <w:rsid w:val="00EC33FF"/>
    <w:rsid w:val="00EC66E4"/>
    <w:rsid w:val="00EC6ABB"/>
    <w:rsid w:val="00EC6F13"/>
    <w:rsid w:val="00EC71D6"/>
    <w:rsid w:val="00ED0BEC"/>
    <w:rsid w:val="00ED1026"/>
    <w:rsid w:val="00ED2182"/>
    <w:rsid w:val="00ED2CC1"/>
    <w:rsid w:val="00ED4909"/>
    <w:rsid w:val="00ED4BD5"/>
    <w:rsid w:val="00ED5BDB"/>
    <w:rsid w:val="00ED5C83"/>
    <w:rsid w:val="00ED700B"/>
    <w:rsid w:val="00ED7B81"/>
    <w:rsid w:val="00EE035E"/>
    <w:rsid w:val="00EE10E0"/>
    <w:rsid w:val="00EE1155"/>
    <w:rsid w:val="00EE133B"/>
    <w:rsid w:val="00EE1BF5"/>
    <w:rsid w:val="00EE1CE4"/>
    <w:rsid w:val="00EE1D1A"/>
    <w:rsid w:val="00EE1F18"/>
    <w:rsid w:val="00EE3F5D"/>
    <w:rsid w:val="00EE4FAD"/>
    <w:rsid w:val="00EE5DAE"/>
    <w:rsid w:val="00EE6043"/>
    <w:rsid w:val="00EE6834"/>
    <w:rsid w:val="00EF13E8"/>
    <w:rsid w:val="00EF1D60"/>
    <w:rsid w:val="00EF271B"/>
    <w:rsid w:val="00EF47D8"/>
    <w:rsid w:val="00EF54CC"/>
    <w:rsid w:val="00EF5AD8"/>
    <w:rsid w:val="00EF5E9B"/>
    <w:rsid w:val="00EF6D12"/>
    <w:rsid w:val="00EF7C60"/>
    <w:rsid w:val="00EF7D21"/>
    <w:rsid w:val="00F0027D"/>
    <w:rsid w:val="00F010FF"/>
    <w:rsid w:val="00F01E6E"/>
    <w:rsid w:val="00F02D6B"/>
    <w:rsid w:val="00F05177"/>
    <w:rsid w:val="00F057AA"/>
    <w:rsid w:val="00F070BE"/>
    <w:rsid w:val="00F07EF4"/>
    <w:rsid w:val="00F101B3"/>
    <w:rsid w:val="00F13ACA"/>
    <w:rsid w:val="00F14711"/>
    <w:rsid w:val="00F14BE8"/>
    <w:rsid w:val="00F15BF0"/>
    <w:rsid w:val="00F16C5A"/>
    <w:rsid w:val="00F176BC"/>
    <w:rsid w:val="00F2004D"/>
    <w:rsid w:val="00F211B5"/>
    <w:rsid w:val="00F220EC"/>
    <w:rsid w:val="00F23D40"/>
    <w:rsid w:val="00F23E23"/>
    <w:rsid w:val="00F242E5"/>
    <w:rsid w:val="00F252A3"/>
    <w:rsid w:val="00F25C5E"/>
    <w:rsid w:val="00F27172"/>
    <w:rsid w:val="00F27588"/>
    <w:rsid w:val="00F27A91"/>
    <w:rsid w:val="00F27C57"/>
    <w:rsid w:val="00F31AD7"/>
    <w:rsid w:val="00F32312"/>
    <w:rsid w:val="00F32982"/>
    <w:rsid w:val="00F33FD7"/>
    <w:rsid w:val="00F35701"/>
    <w:rsid w:val="00F361CB"/>
    <w:rsid w:val="00F36B28"/>
    <w:rsid w:val="00F36BF8"/>
    <w:rsid w:val="00F36DF3"/>
    <w:rsid w:val="00F379F6"/>
    <w:rsid w:val="00F41672"/>
    <w:rsid w:val="00F41B06"/>
    <w:rsid w:val="00F4288F"/>
    <w:rsid w:val="00F42AD3"/>
    <w:rsid w:val="00F4372E"/>
    <w:rsid w:val="00F44F5C"/>
    <w:rsid w:val="00F46686"/>
    <w:rsid w:val="00F470E6"/>
    <w:rsid w:val="00F47F70"/>
    <w:rsid w:val="00F505B8"/>
    <w:rsid w:val="00F50D5E"/>
    <w:rsid w:val="00F524F6"/>
    <w:rsid w:val="00F533F8"/>
    <w:rsid w:val="00F55132"/>
    <w:rsid w:val="00F55172"/>
    <w:rsid w:val="00F56DB6"/>
    <w:rsid w:val="00F570E3"/>
    <w:rsid w:val="00F57E30"/>
    <w:rsid w:val="00F57F00"/>
    <w:rsid w:val="00F605EB"/>
    <w:rsid w:val="00F614E5"/>
    <w:rsid w:val="00F6198A"/>
    <w:rsid w:val="00F62370"/>
    <w:rsid w:val="00F62447"/>
    <w:rsid w:val="00F62630"/>
    <w:rsid w:val="00F627FD"/>
    <w:rsid w:val="00F63266"/>
    <w:rsid w:val="00F65B2D"/>
    <w:rsid w:val="00F65C04"/>
    <w:rsid w:val="00F663C6"/>
    <w:rsid w:val="00F70DE7"/>
    <w:rsid w:val="00F7290B"/>
    <w:rsid w:val="00F735DB"/>
    <w:rsid w:val="00F745E6"/>
    <w:rsid w:val="00F74C16"/>
    <w:rsid w:val="00F75C92"/>
    <w:rsid w:val="00F76544"/>
    <w:rsid w:val="00F766BB"/>
    <w:rsid w:val="00F77516"/>
    <w:rsid w:val="00F7766B"/>
    <w:rsid w:val="00F77B7B"/>
    <w:rsid w:val="00F77DFA"/>
    <w:rsid w:val="00F8021A"/>
    <w:rsid w:val="00F806EE"/>
    <w:rsid w:val="00F8088D"/>
    <w:rsid w:val="00F80EAF"/>
    <w:rsid w:val="00F80F95"/>
    <w:rsid w:val="00F810E5"/>
    <w:rsid w:val="00F81499"/>
    <w:rsid w:val="00F82155"/>
    <w:rsid w:val="00F83EE4"/>
    <w:rsid w:val="00F902B3"/>
    <w:rsid w:val="00F939F8"/>
    <w:rsid w:val="00F95292"/>
    <w:rsid w:val="00F96D53"/>
    <w:rsid w:val="00F97A1B"/>
    <w:rsid w:val="00F97CF5"/>
    <w:rsid w:val="00FA23AF"/>
    <w:rsid w:val="00FA29A1"/>
    <w:rsid w:val="00FA3B12"/>
    <w:rsid w:val="00FA47D3"/>
    <w:rsid w:val="00FA4CBE"/>
    <w:rsid w:val="00FA6E95"/>
    <w:rsid w:val="00FB1E4A"/>
    <w:rsid w:val="00FB25EC"/>
    <w:rsid w:val="00FB276A"/>
    <w:rsid w:val="00FB2E39"/>
    <w:rsid w:val="00FB30A7"/>
    <w:rsid w:val="00FB3701"/>
    <w:rsid w:val="00FB3F49"/>
    <w:rsid w:val="00FB429F"/>
    <w:rsid w:val="00FB4D4B"/>
    <w:rsid w:val="00FB534E"/>
    <w:rsid w:val="00FB698E"/>
    <w:rsid w:val="00FB6EA2"/>
    <w:rsid w:val="00FB75D5"/>
    <w:rsid w:val="00FB7C1B"/>
    <w:rsid w:val="00FB7E63"/>
    <w:rsid w:val="00FC11B1"/>
    <w:rsid w:val="00FC419D"/>
    <w:rsid w:val="00FC44B2"/>
    <w:rsid w:val="00FC4588"/>
    <w:rsid w:val="00FC46EE"/>
    <w:rsid w:val="00FC476F"/>
    <w:rsid w:val="00FC526C"/>
    <w:rsid w:val="00FC55CF"/>
    <w:rsid w:val="00FC57B9"/>
    <w:rsid w:val="00FC7142"/>
    <w:rsid w:val="00FC7EA7"/>
    <w:rsid w:val="00FD1117"/>
    <w:rsid w:val="00FD3415"/>
    <w:rsid w:val="00FD625A"/>
    <w:rsid w:val="00FE0997"/>
    <w:rsid w:val="00FE0CC5"/>
    <w:rsid w:val="00FE3039"/>
    <w:rsid w:val="00FE3F1A"/>
    <w:rsid w:val="00FE4855"/>
    <w:rsid w:val="00FE70D0"/>
    <w:rsid w:val="00FF0CA9"/>
    <w:rsid w:val="00FF0F4A"/>
    <w:rsid w:val="00FF121F"/>
    <w:rsid w:val="00FF17FC"/>
    <w:rsid w:val="00FF3C0A"/>
    <w:rsid w:val="00FF41A8"/>
    <w:rsid w:val="00FF44CB"/>
    <w:rsid w:val="00FF4EA8"/>
    <w:rsid w:val="00FF54A9"/>
    <w:rsid w:val="00FF64C2"/>
    <w:rsid w:val="00FF73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77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uiPriority="47"/>
    <w:lsdException w:name="TOC Heading" w:locked="0" w:uiPriority="48"/>
  </w:latentStyles>
  <w:style w:type="paragraph" w:default="1" w:styleId="Normal">
    <w:name w:val="Normal"/>
    <w:autoRedefine/>
    <w:qFormat/>
    <w:rsid w:val="00065B26"/>
    <w:pPr>
      <w:tabs>
        <w:tab w:val="left" w:pos="4111"/>
      </w:tabs>
      <w:adjustRightInd w:val="0"/>
      <w:spacing w:before="40" w:after="40"/>
    </w:pPr>
    <w:rPr>
      <w:color w:val="000000" w:themeColor="text1"/>
      <w:sz w:val="22"/>
      <w:szCs w:val="22"/>
      <w:lang w:val="en-US" w:eastAsia="ar-SA"/>
    </w:rPr>
  </w:style>
  <w:style w:type="paragraph" w:styleId="Heading1">
    <w:name w:val="heading 1"/>
    <w:basedOn w:val="Normal"/>
    <w:qFormat/>
    <w:locked/>
    <w:rsid w:val="00B34A35"/>
    <w:pPr>
      <w:spacing w:before="100" w:beforeAutospacing="1" w:after="100" w:afterAutospacing="1"/>
      <w:outlineLvl w:val="0"/>
    </w:pPr>
    <w:rPr>
      <w:b/>
      <w:bCs/>
      <w:kern w:val="36"/>
      <w:sz w:val="48"/>
      <w:szCs w:val="48"/>
    </w:rPr>
  </w:style>
  <w:style w:type="paragraph" w:styleId="Heading3">
    <w:name w:val="heading 3"/>
    <w:basedOn w:val="Normal"/>
    <w:next w:val="Normal"/>
    <w:qFormat/>
    <w:locked/>
    <w:rsid w:val="001C4CB2"/>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FreeForm">
    <w:name w:val="Free Form"/>
    <w:rPr>
      <w:rFonts w:ascii="Helvetica" w:eastAsia="ヒラギノ角ゴ Pro W3" w:hAnsi="Helvetica"/>
      <w:color w:val="000000"/>
      <w:sz w:val="24"/>
      <w:lang w:val="en-US" w:eastAsia="en-GB"/>
    </w:rPr>
  </w:style>
  <w:style w:type="character" w:styleId="CommentReference">
    <w:name w:val="annotation reference"/>
    <w:uiPriority w:val="99"/>
    <w:semiHidden/>
    <w:locked/>
    <w:rsid w:val="00092976"/>
    <w:rPr>
      <w:sz w:val="16"/>
      <w:szCs w:val="16"/>
    </w:rPr>
  </w:style>
  <w:style w:type="paragraph" w:styleId="CommentText">
    <w:name w:val="annotation text"/>
    <w:basedOn w:val="Normal"/>
    <w:link w:val="CommentTextChar"/>
    <w:uiPriority w:val="99"/>
    <w:semiHidden/>
    <w:locked/>
    <w:rsid w:val="00092976"/>
    <w:rPr>
      <w:sz w:val="20"/>
    </w:rPr>
  </w:style>
  <w:style w:type="paragraph" w:styleId="CommentSubject">
    <w:name w:val="annotation subject"/>
    <w:basedOn w:val="CommentText"/>
    <w:next w:val="CommentText"/>
    <w:link w:val="CommentSubjectChar"/>
    <w:uiPriority w:val="99"/>
    <w:semiHidden/>
    <w:locked/>
    <w:rsid w:val="00092976"/>
    <w:rPr>
      <w:b/>
      <w:bCs/>
    </w:rPr>
  </w:style>
  <w:style w:type="paragraph" w:styleId="BalloonText">
    <w:name w:val="Balloon Text"/>
    <w:basedOn w:val="Normal"/>
    <w:link w:val="BalloonTextChar"/>
    <w:uiPriority w:val="99"/>
    <w:semiHidden/>
    <w:locked/>
    <w:rsid w:val="00092976"/>
    <w:rPr>
      <w:rFonts w:ascii="Tahoma" w:hAnsi="Tahoma" w:cs="Tahoma"/>
    </w:rPr>
  </w:style>
  <w:style w:type="paragraph" w:styleId="NormalWeb">
    <w:name w:val="Normal (Web)"/>
    <w:basedOn w:val="Normal"/>
    <w:uiPriority w:val="99"/>
    <w:locked/>
    <w:rsid w:val="0043601B"/>
    <w:pPr>
      <w:spacing w:before="100" w:beforeAutospacing="1" w:after="100" w:afterAutospacing="1"/>
    </w:pPr>
  </w:style>
  <w:style w:type="character" w:styleId="Strong">
    <w:name w:val="Strong"/>
    <w:qFormat/>
    <w:locked/>
    <w:rsid w:val="0043601B"/>
    <w:rPr>
      <w:b/>
      <w:bCs/>
    </w:rPr>
  </w:style>
  <w:style w:type="character" w:styleId="Hyperlink">
    <w:name w:val="Hyperlink"/>
    <w:locked/>
    <w:rsid w:val="0043601B"/>
    <w:rPr>
      <w:color w:val="0000FF"/>
      <w:u w:val="single"/>
    </w:rPr>
  </w:style>
  <w:style w:type="character" w:customStyle="1" w:styleId="highlight">
    <w:name w:val="highlight"/>
    <w:basedOn w:val="DefaultParagraphFont"/>
    <w:rsid w:val="003943C1"/>
  </w:style>
  <w:style w:type="character" w:styleId="Emphasis">
    <w:name w:val="Emphasis"/>
    <w:qFormat/>
    <w:locked/>
    <w:rsid w:val="00126A2F"/>
    <w:rPr>
      <w:i/>
      <w:iCs/>
    </w:rPr>
  </w:style>
  <w:style w:type="character" w:customStyle="1" w:styleId="p7ttmtrg">
    <w:name w:val="p7ttm_trg"/>
    <w:basedOn w:val="DefaultParagraphFont"/>
    <w:rsid w:val="00C262F6"/>
  </w:style>
  <w:style w:type="paragraph" w:customStyle="1" w:styleId="Tables">
    <w:name w:val="Tables"/>
    <w:rsid w:val="00584212"/>
    <w:pPr>
      <w:suppressAutoHyphens/>
      <w:autoSpaceDE w:val="0"/>
    </w:pPr>
    <w:rPr>
      <w:rFonts w:ascii="Calibri" w:hAnsi="Calibri" w:cs="Arial"/>
      <w:color w:val="000000"/>
      <w:szCs w:val="24"/>
      <w:lang w:val="nl-BE" w:eastAsia="ar-SA"/>
    </w:rPr>
  </w:style>
  <w:style w:type="character" w:customStyle="1" w:styleId="st">
    <w:name w:val="st"/>
    <w:basedOn w:val="DefaultParagraphFont"/>
    <w:rsid w:val="00196834"/>
  </w:style>
  <w:style w:type="paragraph" w:styleId="Header">
    <w:name w:val="header"/>
    <w:basedOn w:val="Normal"/>
    <w:link w:val="HeaderChar"/>
    <w:uiPriority w:val="99"/>
    <w:locked/>
    <w:rsid w:val="003C63A0"/>
    <w:pPr>
      <w:tabs>
        <w:tab w:val="center" w:pos="4153"/>
        <w:tab w:val="right" w:pos="8306"/>
      </w:tabs>
    </w:pPr>
  </w:style>
  <w:style w:type="paragraph" w:styleId="Footer">
    <w:name w:val="footer"/>
    <w:basedOn w:val="Normal"/>
    <w:link w:val="FooterChar"/>
    <w:uiPriority w:val="99"/>
    <w:locked/>
    <w:rsid w:val="003C63A0"/>
    <w:pPr>
      <w:tabs>
        <w:tab w:val="center" w:pos="4153"/>
        <w:tab w:val="right" w:pos="8306"/>
      </w:tabs>
    </w:pPr>
  </w:style>
  <w:style w:type="table" w:styleId="TableGrid">
    <w:name w:val="Table Grid"/>
    <w:basedOn w:val="TableNormal"/>
    <w:locked/>
    <w:rsid w:val="000D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qFormat/>
    <w:rsid w:val="000D56CE"/>
    <w:pPr>
      <w:autoSpaceDE w:val="0"/>
      <w:autoSpaceDN w:val="0"/>
    </w:pPr>
    <w:rPr>
      <w:lang w:val="en-US"/>
    </w:rPr>
  </w:style>
  <w:style w:type="paragraph" w:customStyle="1" w:styleId="ColorfulShading-Accent11">
    <w:name w:val="Colorful Shading - Accent 11"/>
    <w:hidden/>
    <w:uiPriority w:val="99"/>
    <w:semiHidden/>
    <w:rsid w:val="00DB642A"/>
    <w:rPr>
      <w:sz w:val="24"/>
      <w:szCs w:val="24"/>
      <w:lang w:val="en-GB" w:eastAsia="en-GB"/>
    </w:rPr>
  </w:style>
  <w:style w:type="character" w:styleId="HTMLCite">
    <w:name w:val="HTML Cite"/>
    <w:locked/>
    <w:rsid w:val="00F77DFA"/>
    <w:rPr>
      <w:i/>
      <w:iCs/>
    </w:rPr>
  </w:style>
  <w:style w:type="character" w:customStyle="1" w:styleId="name">
    <w:name w:val="name"/>
    <w:rsid w:val="00F77DFA"/>
  </w:style>
  <w:style w:type="character" w:customStyle="1" w:styleId="slug-pub-date">
    <w:name w:val="slug-pub-date"/>
    <w:rsid w:val="00F77DFA"/>
  </w:style>
  <w:style w:type="character" w:customStyle="1" w:styleId="slug-vol">
    <w:name w:val="slug-vol"/>
    <w:rsid w:val="00F77DFA"/>
  </w:style>
  <w:style w:type="character" w:customStyle="1" w:styleId="slug-pages">
    <w:name w:val="slug-pages"/>
    <w:rsid w:val="00F77DFA"/>
  </w:style>
  <w:style w:type="character" w:customStyle="1" w:styleId="cit-source">
    <w:name w:val="cit-source"/>
    <w:rsid w:val="00F77DFA"/>
  </w:style>
  <w:style w:type="character" w:customStyle="1" w:styleId="cit-pub-date">
    <w:name w:val="cit-pub-date"/>
    <w:rsid w:val="00F77DFA"/>
  </w:style>
  <w:style w:type="character" w:customStyle="1" w:styleId="cit-vol">
    <w:name w:val="cit-vol"/>
    <w:rsid w:val="00F77DFA"/>
  </w:style>
  <w:style w:type="character" w:customStyle="1" w:styleId="cit-fpage">
    <w:name w:val="cit-fpage"/>
    <w:rsid w:val="00F77DFA"/>
  </w:style>
  <w:style w:type="character" w:customStyle="1" w:styleId="slug-issue">
    <w:name w:val="slug-issue"/>
    <w:rsid w:val="00F77DFA"/>
  </w:style>
  <w:style w:type="character" w:customStyle="1" w:styleId="cit-auth">
    <w:name w:val="cit-auth"/>
    <w:rsid w:val="00F77DFA"/>
  </w:style>
  <w:style w:type="character" w:customStyle="1" w:styleId="cit-name-surname">
    <w:name w:val="cit-name-surname"/>
    <w:rsid w:val="00F77DFA"/>
  </w:style>
  <w:style w:type="character" w:customStyle="1" w:styleId="cit-name-given-names">
    <w:name w:val="cit-name-given-names"/>
    <w:rsid w:val="00F77DFA"/>
  </w:style>
  <w:style w:type="character" w:customStyle="1" w:styleId="cit-etal">
    <w:name w:val="cit-etal"/>
    <w:rsid w:val="00F77DFA"/>
  </w:style>
  <w:style w:type="character" w:customStyle="1" w:styleId="cit-article-title">
    <w:name w:val="cit-article-title"/>
    <w:rsid w:val="00F77DFA"/>
  </w:style>
  <w:style w:type="character" w:customStyle="1" w:styleId="cit-lpage">
    <w:name w:val="cit-lpage"/>
    <w:rsid w:val="00F77DFA"/>
  </w:style>
  <w:style w:type="character" w:customStyle="1" w:styleId="cit">
    <w:name w:val="cit"/>
    <w:rsid w:val="00F77DFA"/>
  </w:style>
  <w:style w:type="character" w:customStyle="1" w:styleId="ref-journal">
    <w:name w:val="ref-journal"/>
    <w:rsid w:val="00F77DFA"/>
  </w:style>
  <w:style w:type="character" w:customStyle="1" w:styleId="ref-vol">
    <w:name w:val="ref-vol"/>
    <w:rsid w:val="00F77DFA"/>
  </w:style>
  <w:style w:type="character" w:customStyle="1" w:styleId="mixed-citation">
    <w:name w:val="mixed-citation"/>
    <w:rsid w:val="00F77DFA"/>
  </w:style>
  <w:style w:type="character" w:styleId="FollowedHyperlink">
    <w:name w:val="FollowedHyperlink"/>
    <w:locked/>
    <w:rsid w:val="007349DF"/>
    <w:rPr>
      <w:color w:val="954F72"/>
      <w:u w:val="single"/>
    </w:rPr>
  </w:style>
  <w:style w:type="paragraph" w:customStyle="1" w:styleId="ColorfulList-Accent11">
    <w:name w:val="Colorful List - Accent 11"/>
    <w:basedOn w:val="Normal"/>
    <w:uiPriority w:val="34"/>
    <w:qFormat/>
    <w:rsid w:val="00620C12"/>
    <w:pPr>
      <w:ind w:left="720"/>
      <w:contextualSpacing/>
    </w:pPr>
  </w:style>
  <w:style w:type="character" w:customStyle="1" w:styleId="highlight2">
    <w:name w:val="highlight2"/>
    <w:rsid w:val="00B54CF0"/>
  </w:style>
  <w:style w:type="character" w:customStyle="1" w:styleId="slug-pub-date3">
    <w:name w:val="slug-pub-date3"/>
    <w:rsid w:val="00B54CF0"/>
    <w:rPr>
      <w:b/>
      <w:bCs/>
    </w:rPr>
  </w:style>
  <w:style w:type="character" w:customStyle="1" w:styleId="slug-pages3">
    <w:name w:val="slug-pages3"/>
    <w:rsid w:val="00B54CF0"/>
    <w:rPr>
      <w:b/>
      <w:bCs/>
    </w:rPr>
  </w:style>
  <w:style w:type="character" w:customStyle="1" w:styleId="CommentTextChar">
    <w:name w:val="Comment Text Char"/>
    <w:link w:val="CommentText"/>
    <w:uiPriority w:val="99"/>
    <w:semiHidden/>
    <w:rsid w:val="00CA293D"/>
  </w:style>
  <w:style w:type="character" w:customStyle="1" w:styleId="HeaderChar">
    <w:name w:val="Header Char"/>
    <w:link w:val="Header"/>
    <w:uiPriority w:val="99"/>
    <w:rsid w:val="00CA293D"/>
    <w:rPr>
      <w:sz w:val="24"/>
      <w:szCs w:val="24"/>
    </w:rPr>
  </w:style>
  <w:style w:type="character" w:customStyle="1" w:styleId="FooterChar">
    <w:name w:val="Footer Char"/>
    <w:link w:val="Footer"/>
    <w:uiPriority w:val="99"/>
    <w:rsid w:val="00CA293D"/>
    <w:rPr>
      <w:sz w:val="24"/>
      <w:szCs w:val="24"/>
    </w:rPr>
  </w:style>
  <w:style w:type="character" w:customStyle="1" w:styleId="CommentSubjectChar">
    <w:name w:val="Comment Subject Char"/>
    <w:link w:val="CommentSubject"/>
    <w:uiPriority w:val="99"/>
    <w:semiHidden/>
    <w:rsid w:val="00CA293D"/>
    <w:rPr>
      <w:b/>
      <w:bCs/>
    </w:rPr>
  </w:style>
  <w:style w:type="character" w:customStyle="1" w:styleId="BalloonTextChar">
    <w:name w:val="Balloon Text Char"/>
    <w:link w:val="BalloonText"/>
    <w:uiPriority w:val="99"/>
    <w:semiHidden/>
    <w:rsid w:val="00CA293D"/>
    <w:rPr>
      <w:rFonts w:ascii="Tahoma" w:hAnsi="Tahoma" w:cs="Tahoma"/>
      <w:sz w:val="16"/>
      <w:szCs w:val="16"/>
    </w:rPr>
  </w:style>
  <w:style w:type="character" w:customStyle="1" w:styleId="st1">
    <w:name w:val="st1"/>
    <w:rsid w:val="00CA293D"/>
  </w:style>
  <w:style w:type="character" w:customStyle="1" w:styleId="tgc">
    <w:name w:val="_tgc"/>
    <w:rsid w:val="00CA293D"/>
  </w:style>
  <w:style w:type="table" w:styleId="TableClassic2">
    <w:name w:val="Table Classic 2"/>
    <w:basedOn w:val="TableNormal"/>
    <w:unhideWhenUsed/>
    <w:locked/>
    <w:rsid w:val="00CA293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nhideWhenUsed/>
    <w:locked/>
    <w:rsid w:val="00CA29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1">
    <w:name w:val="title1"/>
    <w:basedOn w:val="Normal"/>
    <w:rsid w:val="00BC526B"/>
    <w:rPr>
      <w:sz w:val="27"/>
      <w:szCs w:val="27"/>
      <w:lang w:eastAsia="nl-BE"/>
    </w:rPr>
  </w:style>
  <w:style w:type="paragraph" w:customStyle="1" w:styleId="desc2">
    <w:name w:val="desc2"/>
    <w:basedOn w:val="Normal"/>
    <w:rsid w:val="00BC526B"/>
    <w:rPr>
      <w:sz w:val="26"/>
      <w:szCs w:val="26"/>
      <w:lang w:eastAsia="nl-BE"/>
    </w:rPr>
  </w:style>
  <w:style w:type="paragraph" w:customStyle="1" w:styleId="details1">
    <w:name w:val="details1"/>
    <w:basedOn w:val="Normal"/>
    <w:rsid w:val="00BC526B"/>
    <w:rPr>
      <w:lang w:eastAsia="nl-BE"/>
    </w:rPr>
  </w:style>
  <w:style w:type="character" w:customStyle="1" w:styleId="jrnl">
    <w:name w:val="jrnl"/>
    <w:rsid w:val="00BC526B"/>
  </w:style>
  <w:style w:type="paragraph" w:styleId="ListParagraph">
    <w:name w:val="List Paragraph"/>
    <w:basedOn w:val="Normal"/>
    <w:uiPriority w:val="34"/>
    <w:qFormat/>
    <w:rsid w:val="00415E1D"/>
    <w:pPr>
      <w:tabs>
        <w:tab w:val="clear" w:pos="4111"/>
      </w:tabs>
      <w:spacing w:after="160" w:line="259" w:lineRule="auto"/>
      <w:ind w:left="720"/>
      <w:contextualSpacing/>
    </w:pPr>
    <w:rPr>
      <w:rFonts w:eastAsia="Calibri"/>
      <w:lang w:eastAsia="en-US"/>
    </w:rPr>
  </w:style>
  <w:style w:type="paragraph" w:styleId="NoSpacing">
    <w:name w:val="No Spacing"/>
    <w:uiPriority w:val="1"/>
    <w:qFormat/>
    <w:rsid w:val="00584212"/>
    <w:pPr>
      <w:tabs>
        <w:tab w:val="left" w:pos="4111"/>
      </w:tabs>
      <w:jc w:val="center"/>
    </w:pPr>
    <w:rPr>
      <w:sz w:val="24"/>
      <w:szCs w:val="24"/>
      <w:lang w:val="en-GB" w:eastAsia="en-GB"/>
    </w:rPr>
  </w:style>
  <w:style w:type="paragraph" w:styleId="Revision">
    <w:name w:val="Revision"/>
    <w:hidden/>
    <w:uiPriority w:val="99"/>
    <w:semiHidden/>
    <w:rsid w:val="0058727D"/>
    <w:rPr>
      <w:sz w:val="24"/>
      <w:szCs w:val="24"/>
      <w:lang w:val="en-GB" w:eastAsia="en-GB"/>
    </w:rPr>
  </w:style>
  <w:style w:type="paragraph" w:styleId="Title">
    <w:name w:val="Title"/>
    <w:basedOn w:val="Normal"/>
    <w:next w:val="Normal"/>
    <w:link w:val="TitleChar"/>
    <w:qFormat/>
    <w:locked/>
    <w:rsid w:val="00A602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02CF"/>
    <w:rPr>
      <w:rFonts w:asciiTheme="majorHAnsi" w:eastAsiaTheme="majorEastAsia" w:hAnsiTheme="majorHAnsi" w:cstheme="majorBidi"/>
      <w:spacing w:val="-10"/>
      <w:kern w:val="28"/>
      <w:sz w:val="56"/>
      <w:szCs w:val="56"/>
      <w:lang w:val="en-GB" w:eastAsia="en-GB"/>
    </w:rPr>
  </w:style>
  <w:style w:type="paragraph" w:customStyle="1" w:styleId="Tablestyle1">
    <w:name w:val="Table style 1"/>
    <w:basedOn w:val="Normal"/>
    <w:link w:val="Tablestyle1Char"/>
    <w:autoRedefine/>
    <w:qFormat/>
    <w:rsid w:val="004007DB"/>
  </w:style>
  <w:style w:type="character" w:customStyle="1" w:styleId="Tablestyle1Char">
    <w:name w:val="Table style 1 Char"/>
    <w:basedOn w:val="DefaultParagraphFont"/>
    <w:link w:val="Tablestyle1"/>
    <w:rsid w:val="004007DB"/>
    <w:rPr>
      <w:sz w:val="24"/>
      <w:szCs w:val="24"/>
      <w:lang w:val="en-GB" w:eastAsia="en-GB"/>
    </w:rPr>
  </w:style>
  <w:style w:type="character" w:customStyle="1" w:styleId="citation">
    <w:name w:val="citation"/>
    <w:basedOn w:val="DefaultParagraphFont"/>
    <w:rsid w:val="009F7C71"/>
  </w:style>
  <w:style w:type="character" w:customStyle="1" w:styleId="pseudotab">
    <w:name w:val="pseudotab"/>
    <w:basedOn w:val="DefaultParagraphFont"/>
    <w:rsid w:val="00221609"/>
  </w:style>
  <w:style w:type="paragraph" w:customStyle="1" w:styleId="Body">
    <w:name w:val="Body"/>
    <w:rsid w:val="00221609"/>
    <w:rPr>
      <w:rFonts w:ascii="Helvetica" w:eastAsia="ヒラギノ角ゴ Pro W3" w:hAnsi="Helvetica"/>
      <w:color w:val="000000"/>
      <w:sz w:val="24"/>
      <w:lang w:val="en-US" w:eastAsia="nl-BE"/>
    </w:rPr>
  </w:style>
  <w:style w:type="character" w:customStyle="1" w:styleId="journalname">
    <w:name w:val="journalname"/>
    <w:basedOn w:val="DefaultParagraphFont"/>
    <w:rsid w:val="00221609"/>
  </w:style>
  <w:style w:type="character" w:customStyle="1" w:styleId="journalnumber">
    <w:name w:val="journalnumber"/>
    <w:basedOn w:val="DefaultParagraphFont"/>
    <w:rsid w:val="00221609"/>
  </w:style>
  <w:style w:type="character" w:customStyle="1" w:styleId="cite-pages">
    <w:name w:val="cite-pages"/>
    <w:basedOn w:val="DefaultParagraphFont"/>
    <w:rsid w:val="00221609"/>
  </w:style>
  <w:style w:type="character" w:customStyle="1" w:styleId="fn">
    <w:name w:val="fn"/>
    <w:basedOn w:val="DefaultParagraphFont"/>
    <w:rsid w:val="00221609"/>
  </w:style>
  <w:style w:type="character" w:customStyle="1" w:styleId="Lowered">
    <w:name w:val="Lowered"/>
    <w:rsid w:val="00BC298F"/>
    <w:rPr>
      <w:vertAlign w:val="subscript"/>
    </w:rPr>
  </w:style>
  <w:style w:type="paragraph" w:customStyle="1" w:styleId="TNRStrongfontsz11">
    <w:name w:val="TNR Strong font sz 11"/>
    <w:basedOn w:val="Normal"/>
    <w:link w:val="TNRStrongfontsz11Char"/>
    <w:autoRedefine/>
    <w:qFormat/>
    <w:rsid w:val="00524D52"/>
  </w:style>
  <w:style w:type="character" w:customStyle="1" w:styleId="TNRStrongfontsz11Char">
    <w:name w:val="TNR Strong font sz 11 Char"/>
    <w:basedOn w:val="DefaultParagraphFont"/>
    <w:link w:val="TNRStrongfontsz11"/>
    <w:rsid w:val="00524D52"/>
    <w:rPr>
      <w:sz w:val="22"/>
      <w:szCs w:val="22"/>
      <w:lang w:val="nl-BE" w:eastAsia="ar-SA"/>
    </w:rPr>
  </w:style>
  <w:style w:type="paragraph" w:customStyle="1" w:styleId="Default">
    <w:name w:val="Default"/>
    <w:rsid w:val="005F6628"/>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customStyle="1" w:styleId="Hyperlink0">
    <w:name w:val="Hyperlink.0"/>
    <w:basedOn w:val="DefaultParagraphFont"/>
    <w:rsid w:val="00CF06B4"/>
    <w:rPr>
      <w:color w:val="0462C1"/>
      <w:u w:val="single" w:color="0462C1"/>
    </w:rPr>
  </w:style>
  <w:style w:type="character" w:customStyle="1" w:styleId="None">
    <w:name w:val="None"/>
    <w:rsid w:val="00CD0F62"/>
  </w:style>
  <w:style w:type="character" w:customStyle="1" w:styleId="Hyperlink1">
    <w:name w:val="Hyperlink.1"/>
    <w:basedOn w:val="None"/>
    <w:rsid w:val="00CD0F62"/>
    <w:rPr>
      <w:rFonts w:ascii="Arial" w:eastAsia="Arial" w:hAnsi="Arial" w:cs="Arial"/>
      <w:color w:val="0462C1"/>
      <w:u w:val="single" w:color="0462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uiPriority="47"/>
    <w:lsdException w:name="TOC Heading" w:locked="0" w:uiPriority="48"/>
  </w:latentStyles>
  <w:style w:type="paragraph" w:default="1" w:styleId="Normal">
    <w:name w:val="Normal"/>
    <w:autoRedefine/>
    <w:qFormat/>
    <w:rsid w:val="00065B26"/>
    <w:pPr>
      <w:tabs>
        <w:tab w:val="left" w:pos="4111"/>
      </w:tabs>
      <w:adjustRightInd w:val="0"/>
      <w:spacing w:before="40" w:after="40"/>
    </w:pPr>
    <w:rPr>
      <w:color w:val="000000" w:themeColor="text1"/>
      <w:sz w:val="22"/>
      <w:szCs w:val="22"/>
      <w:lang w:val="en-US" w:eastAsia="ar-SA"/>
    </w:rPr>
  </w:style>
  <w:style w:type="paragraph" w:styleId="Heading1">
    <w:name w:val="heading 1"/>
    <w:basedOn w:val="Normal"/>
    <w:qFormat/>
    <w:locked/>
    <w:rsid w:val="00B34A35"/>
    <w:pPr>
      <w:spacing w:before="100" w:beforeAutospacing="1" w:after="100" w:afterAutospacing="1"/>
      <w:outlineLvl w:val="0"/>
    </w:pPr>
    <w:rPr>
      <w:b/>
      <w:bCs/>
      <w:kern w:val="36"/>
      <w:sz w:val="48"/>
      <w:szCs w:val="48"/>
    </w:rPr>
  </w:style>
  <w:style w:type="paragraph" w:styleId="Heading3">
    <w:name w:val="heading 3"/>
    <w:basedOn w:val="Normal"/>
    <w:next w:val="Normal"/>
    <w:qFormat/>
    <w:locked/>
    <w:rsid w:val="001C4CB2"/>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FreeForm">
    <w:name w:val="Free Form"/>
    <w:rPr>
      <w:rFonts w:ascii="Helvetica" w:eastAsia="ヒラギノ角ゴ Pro W3" w:hAnsi="Helvetica"/>
      <w:color w:val="000000"/>
      <w:sz w:val="24"/>
      <w:lang w:val="en-US" w:eastAsia="en-GB"/>
    </w:rPr>
  </w:style>
  <w:style w:type="character" w:styleId="CommentReference">
    <w:name w:val="annotation reference"/>
    <w:uiPriority w:val="99"/>
    <w:semiHidden/>
    <w:locked/>
    <w:rsid w:val="00092976"/>
    <w:rPr>
      <w:sz w:val="16"/>
      <w:szCs w:val="16"/>
    </w:rPr>
  </w:style>
  <w:style w:type="paragraph" w:styleId="CommentText">
    <w:name w:val="annotation text"/>
    <w:basedOn w:val="Normal"/>
    <w:link w:val="CommentTextChar"/>
    <w:uiPriority w:val="99"/>
    <w:semiHidden/>
    <w:locked/>
    <w:rsid w:val="00092976"/>
    <w:rPr>
      <w:sz w:val="20"/>
    </w:rPr>
  </w:style>
  <w:style w:type="paragraph" w:styleId="CommentSubject">
    <w:name w:val="annotation subject"/>
    <w:basedOn w:val="CommentText"/>
    <w:next w:val="CommentText"/>
    <w:link w:val="CommentSubjectChar"/>
    <w:uiPriority w:val="99"/>
    <w:semiHidden/>
    <w:locked/>
    <w:rsid w:val="00092976"/>
    <w:rPr>
      <w:b/>
      <w:bCs/>
    </w:rPr>
  </w:style>
  <w:style w:type="paragraph" w:styleId="BalloonText">
    <w:name w:val="Balloon Text"/>
    <w:basedOn w:val="Normal"/>
    <w:link w:val="BalloonTextChar"/>
    <w:uiPriority w:val="99"/>
    <w:semiHidden/>
    <w:locked/>
    <w:rsid w:val="00092976"/>
    <w:rPr>
      <w:rFonts w:ascii="Tahoma" w:hAnsi="Tahoma" w:cs="Tahoma"/>
    </w:rPr>
  </w:style>
  <w:style w:type="paragraph" w:styleId="NormalWeb">
    <w:name w:val="Normal (Web)"/>
    <w:basedOn w:val="Normal"/>
    <w:uiPriority w:val="99"/>
    <w:locked/>
    <w:rsid w:val="0043601B"/>
    <w:pPr>
      <w:spacing w:before="100" w:beforeAutospacing="1" w:after="100" w:afterAutospacing="1"/>
    </w:pPr>
  </w:style>
  <w:style w:type="character" w:styleId="Strong">
    <w:name w:val="Strong"/>
    <w:qFormat/>
    <w:locked/>
    <w:rsid w:val="0043601B"/>
    <w:rPr>
      <w:b/>
      <w:bCs/>
    </w:rPr>
  </w:style>
  <w:style w:type="character" w:styleId="Hyperlink">
    <w:name w:val="Hyperlink"/>
    <w:locked/>
    <w:rsid w:val="0043601B"/>
    <w:rPr>
      <w:color w:val="0000FF"/>
      <w:u w:val="single"/>
    </w:rPr>
  </w:style>
  <w:style w:type="character" w:customStyle="1" w:styleId="highlight">
    <w:name w:val="highlight"/>
    <w:basedOn w:val="DefaultParagraphFont"/>
    <w:rsid w:val="003943C1"/>
  </w:style>
  <w:style w:type="character" w:styleId="Emphasis">
    <w:name w:val="Emphasis"/>
    <w:qFormat/>
    <w:locked/>
    <w:rsid w:val="00126A2F"/>
    <w:rPr>
      <w:i/>
      <w:iCs/>
    </w:rPr>
  </w:style>
  <w:style w:type="character" w:customStyle="1" w:styleId="p7ttmtrg">
    <w:name w:val="p7ttm_trg"/>
    <w:basedOn w:val="DefaultParagraphFont"/>
    <w:rsid w:val="00C262F6"/>
  </w:style>
  <w:style w:type="paragraph" w:customStyle="1" w:styleId="Tables">
    <w:name w:val="Tables"/>
    <w:rsid w:val="00584212"/>
    <w:pPr>
      <w:suppressAutoHyphens/>
      <w:autoSpaceDE w:val="0"/>
    </w:pPr>
    <w:rPr>
      <w:rFonts w:ascii="Calibri" w:hAnsi="Calibri" w:cs="Arial"/>
      <w:color w:val="000000"/>
      <w:szCs w:val="24"/>
      <w:lang w:val="nl-BE" w:eastAsia="ar-SA"/>
    </w:rPr>
  </w:style>
  <w:style w:type="character" w:customStyle="1" w:styleId="st">
    <w:name w:val="st"/>
    <w:basedOn w:val="DefaultParagraphFont"/>
    <w:rsid w:val="00196834"/>
  </w:style>
  <w:style w:type="paragraph" w:styleId="Header">
    <w:name w:val="header"/>
    <w:basedOn w:val="Normal"/>
    <w:link w:val="HeaderChar"/>
    <w:uiPriority w:val="99"/>
    <w:locked/>
    <w:rsid w:val="003C63A0"/>
    <w:pPr>
      <w:tabs>
        <w:tab w:val="center" w:pos="4153"/>
        <w:tab w:val="right" w:pos="8306"/>
      </w:tabs>
    </w:pPr>
  </w:style>
  <w:style w:type="paragraph" w:styleId="Footer">
    <w:name w:val="footer"/>
    <w:basedOn w:val="Normal"/>
    <w:link w:val="FooterChar"/>
    <w:uiPriority w:val="99"/>
    <w:locked/>
    <w:rsid w:val="003C63A0"/>
    <w:pPr>
      <w:tabs>
        <w:tab w:val="center" w:pos="4153"/>
        <w:tab w:val="right" w:pos="8306"/>
      </w:tabs>
    </w:pPr>
  </w:style>
  <w:style w:type="table" w:styleId="TableGrid">
    <w:name w:val="Table Grid"/>
    <w:basedOn w:val="TableNormal"/>
    <w:locked/>
    <w:rsid w:val="000D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qFormat/>
    <w:rsid w:val="000D56CE"/>
    <w:pPr>
      <w:autoSpaceDE w:val="0"/>
      <w:autoSpaceDN w:val="0"/>
    </w:pPr>
    <w:rPr>
      <w:lang w:val="en-US"/>
    </w:rPr>
  </w:style>
  <w:style w:type="paragraph" w:customStyle="1" w:styleId="ColorfulShading-Accent11">
    <w:name w:val="Colorful Shading - Accent 11"/>
    <w:hidden/>
    <w:uiPriority w:val="99"/>
    <w:semiHidden/>
    <w:rsid w:val="00DB642A"/>
    <w:rPr>
      <w:sz w:val="24"/>
      <w:szCs w:val="24"/>
      <w:lang w:val="en-GB" w:eastAsia="en-GB"/>
    </w:rPr>
  </w:style>
  <w:style w:type="character" w:styleId="HTMLCite">
    <w:name w:val="HTML Cite"/>
    <w:locked/>
    <w:rsid w:val="00F77DFA"/>
    <w:rPr>
      <w:i/>
      <w:iCs/>
    </w:rPr>
  </w:style>
  <w:style w:type="character" w:customStyle="1" w:styleId="name">
    <w:name w:val="name"/>
    <w:rsid w:val="00F77DFA"/>
  </w:style>
  <w:style w:type="character" w:customStyle="1" w:styleId="slug-pub-date">
    <w:name w:val="slug-pub-date"/>
    <w:rsid w:val="00F77DFA"/>
  </w:style>
  <w:style w:type="character" w:customStyle="1" w:styleId="slug-vol">
    <w:name w:val="slug-vol"/>
    <w:rsid w:val="00F77DFA"/>
  </w:style>
  <w:style w:type="character" w:customStyle="1" w:styleId="slug-pages">
    <w:name w:val="slug-pages"/>
    <w:rsid w:val="00F77DFA"/>
  </w:style>
  <w:style w:type="character" w:customStyle="1" w:styleId="cit-source">
    <w:name w:val="cit-source"/>
    <w:rsid w:val="00F77DFA"/>
  </w:style>
  <w:style w:type="character" w:customStyle="1" w:styleId="cit-pub-date">
    <w:name w:val="cit-pub-date"/>
    <w:rsid w:val="00F77DFA"/>
  </w:style>
  <w:style w:type="character" w:customStyle="1" w:styleId="cit-vol">
    <w:name w:val="cit-vol"/>
    <w:rsid w:val="00F77DFA"/>
  </w:style>
  <w:style w:type="character" w:customStyle="1" w:styleId="cit-fpage">
    <w:name w:val="cit-fpage"/>
    <w:rsid w:val="00F77DFA"/>
  </w:style>
  <w:style w:type="character" w:customStyle="1" w:styleId="slug-issue">
    <w:name w:val="slug-issue"/>
    <w:rsid w:val="00F77DFA"/>
  </w:style>
  <w:style w:type="character" w:customStyle="1" w:styleId="cit-auth">
    <w:name w:val="cit-auth"/>
    <w:rsid w:val="00F77DFA"/>
  </w:style>
  <w:style w:type="character" w:customStyle="1" w:styleId="cit-name-surname">
    <w:name w:val="cit-name-surname"/>
    <w:rsid w:val="00F77DFA"/>
  </w:style>
  <w:style w:type="character" w:customStyle="1" w:styleId="cit-name-given-names">
    <w:name w:val="cit-name-given-names"/>
    <w:rsid w:val="00F77DFA"/>
  </w:style>
  <w:style w:type="character" w:customStyle="1" w:styleId="cit-etal">
    <w:name w:val="cit-etal"/>
    <w:rsid w:val="00F77DFA"/>
  </w:style>
  <w:style w:type="character" w:customStyle="1" w:styleId="cit-article-title">
    <w:name w:val="cit-article-title"/>
    <w:rsid w:val="00F77DFA"/>
  </w:style>
  <w:style w:type="character" w:customStyle="1" w:styleId="cit-lpage">
    <w:name w:val="cit-lpage"/>
    <w:rsid w:val="00F77DFA"/>
  </w:style>
  <w:style w:type="character" w:customStyle="1" w:styleId="cit">
    <w:name w:val="cit"/>
    <w:rsid w:val="00F77DFA"/>
  </w:style>
  <w:style w:type="character" w:customStyle="1" w:styleId="ref-journal">
    <w:name w:val="ref-journal"/>
    <w:rsid w:val="00F77DFA"/>
  </w:style>
  <w:style w:type="character" w:customStyle="1" w:styleId="ref-vol">
    <w:name w:val="ref-vol"/>
    <w:rsid w:val="00F77DFA"/>
  </w:style>
  <w:style w:type="character" w:customStyle="1" w:styleId="mixed-citation">
    <w:name w:val="mixed-citation"/>
    <w:rsid w:val="00F77DFA"/>
  </w:style>
  <w:style w:type="character" w:styleId="FollowedHyperlink">
    <w:name w:val="FollowedHyperlink"/>
    <w:locked/>
    <w:rsid w:val="007349DF"/>
    <w:rPr>
      <w:color w:val="954F72"/>
      <w:u w:val="single"/>
    </w:rPr>
  </w:style>
  <w:style w:type="paragraph" w:customStyle="1" w:styleId="ColorfulList-Accent11">
    <w:name w:val="Colorful List - Accent 11"/>
    <w:basedOn w:val="Normal"/>
    <w:uiPriority w:val="34"/>
    <w:qFormat/>
    <w:rsid w:val="00620C12"/>
    <w:pPr>
      <w:ind w:left="720"/>
      <w:contextualSpacing/>
    </w:pPr>
  </w:style>
  <w:style w:type="character" w:customStyle="1" w:styleId="highlight2">
    <w:name w:val="highlight2"/>
    <w:rsid w:val="00B54CF0"/>
  </w:style>
  <w:style w:type="character" w:customStyle="1" w:styleId="slug-pub-date3">
    <w:name w:val="slug-pub-date3"/>
    <w:rsid w:val="00B54CF0"/>
    <w:rPr>
      <w:b/>
      <w:bCs/>
    </w:rPr>
  </w:style>
  <w:style w:type="character" w:customStyle="1" w:styleId="slug-pages3">
    <w:name w:val="slug-pages3"/>
    <w:rsid w:val="00B54CF0"/>
    <w:rPr>
      <w:b/>
      <w:bCs/>
    </w:rPr>
  </w:style>
  <w:style w:type="character" w:customStyle="1" w:styleId="CommentTextChar">
    <w:name w:val="Comment Text Char"/>
    <w:link w:val="CommentText"/>
    <w:uiPriority w:val="99"/>
    <w:semiHidden/>
    <w:rsid w:val="00CA293D"/>
  </w:style>
  <w:style w:type="character" w:customStyle="1" w:styleId="HeaderChar">
    <w:name w:val="Header Char"/>
    <w:link w:val="Header"/>
    <w:uiPriority w:val="99"/>
    <w:rsid w:val="00CA293D"/>
    <w:rPr>
      <w:sz w:val="24"/>
      <w:szCs w:val="24"/>
    </w:rPr>
  </w:style>
  <w:style w:type="character" w:customStyle="1" w:styleId="FooterChar">
    <w:name w:val="Footer Char"/>
    <w:link w:val="Footer"/>
    <w:uiPriority w:val="99"/>
    <w:rsid w:val="00CA293D"/>
    <w:rPr>
      <w:sz w:val="24"/>
      <w:szCs w:val="24"/>
    </w:rPr>
  </w:style>
  <w:style w:type="character" w:customStyle="1" w:styleId="CommentSubjectChar">
    <w:name w:val="Comment Subject Char"/>
    <w:link w:val="CommentSubject"/>
    <w:uiPriority w:val="99"/>
    <w:semiHidden/>
    <w:rsid w:val="00CA293D"/>
    <w:rPr>
      <w:b/>
      <w:bCs/>
    </w:rPr>
  </w:style>
  <w:style w:type="character" w:customStyle="1" w:styleId="BalloonTextChar">
    <w:name w:val="Balloon Text Char"/>
    <w:link w:val="BalloonText"/>
    <w:uiPriority w:val="99"/>
    <w:semiHidden/>
    <w:rsid w:val="00CA293D"/>
    <w:rPr>
      <w:rFonts w:ascii="Tahoma" w:hAnsi="Tahoma" w:cs="Tahoma"/>
      <w:sz w:val="16"/>
      <w:szCs w:val="16"/>
    </w:rPr>
  </w:style>
  <w:style w:type="character" w:customStyle="1" w:styleId="st1">
    <w:name w:val="st1"/>
    <w:rsid w:val="00CA293D"/>
  </w:style>
  <w:style w:type="character" w:customStyle="1" w:styleId="tgc">
    <w:name w:val="_tgc"/>
    <w:rsid w:val="00CA293D"/>
  </w:style>
  <w:style w:type="table" w:styleId="TableClassic2">
    <w:name w:val="Table Classic 2"/>
    <w:basedOn w:val="TableNormal"/>
    <w:unhideWhenUsed/>
    <w:locked/>
    <w:rsid w:val="00CA293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nhideWhenUsed/>
    <w:locked/>
    <w:rsid w:val="00CA29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1">
    <w:name w:val="title1"/>
    <w:basedOn w:val="Normal"/>
    <w:rsid w:val="00BC526B"/>
    <w:rPr>
      <w:sz w:val="27"/>
      <w:szCs w:val="27"/>
      <w:lang w:eastAsia="nl-BE"/>
    </w:rPr>
  </w:style>
  <w:style w:type="paragraph" w:customStyle="1" w:styleId="desc2">
    <w:name w:val="desc2"/>
    <w:basedOn w:val="Normal"/>
    <w:rsid w:val="00BC526B"/>
    <w:rPr>
      <w:sz w:val="26"/>
      <w:szCs w:val="26"/>
      <w:lang w:eastAsia="nl-BE"/>
    </w:rPr>
  </w:style>
  <w:style w:type="paragraph" w:customStyle="1" w:styleId="details1">
    <w:name w:val="details1"/>
    <w:basedOn w:val="Normal"/>
    <w:rsid w:val="00BC526B"/>
    <w:rPr>
      <w:lang w:eastAsia="nl-BE"/>
    </w:rPr>
  </w:style>
  <w:style w:type="character" w:customStyle="1" w:styleId="jrnl">
    <w:name w:val="jrnl"/>
    <w:rsid w:val="00BC526B"/>
  </w:style>
  <w:style w:type="paragraph" w:styleId="ListParagraph">
    <w:name w:val="List Paragraph"/>
    <w:basedOn w:val="Normal"/>
    <w:uiPriority w:val="34"/>
    <w:qFormat/>
    <w:rsid w:val="00415E1D"/>
    <w:pPr>
      <w:tabs>
        <w:tab w:val="clear" w:pos="4111"/>
      </w:tabs>
      <w:spacing w:after="160" w:line="259" w:lineRule="auto"/>
      <w:ind w:left="720"/>
      <w:contextualSpacing/>
    </w:pPr>
    <w:rPr>
      <w:rFonts w:eastAsia="Calibri"/>
      <w:lang w:eastAsia="en-US"/>
    </w:rPr>
  </w:style>
  <w:style w:type="paragraph" w:styleId="NoSpacing">
    <w:name w:val="No Spacing"/>
    <w:uiPriority w:val="1"/>
    <w:qFormat/>
    <w:rsid w:val="00584212"/>
    <w:pPr>
      <w:tabs>
        <w:tab w:val="left" w:pos="4111"/>
      </w:tabs>
      <w:jc w:val="center"/>
    </w:pPr>
    <w:rPr>
      <w:sz w:val="24"/>
      <w:szCs w:val="24"/>
      <w:lang w:val="en-GB" w:eastAsia="en-GB"/>
    </w:rPr>
  </w:style>
  <w:style w:type="paragraph" w:styleId="Revision">
    <w:name w:val="Revision"/>
    <w:hidden/>
    <w:uiPriority w:val="99"/>
    <w:semiHidden/>
    <w:rsid w:val="0058727D"/>
    <w:rPr>
      <w:sz w:val="24"/>
      <w:szCs w:val="24"/>
      <w:lang w:val="en-GB" w:eastAsia="en-GB"/>
    </w:rPr>
  </w:style>
  <w:style w:type="paragraph" w:styleId="Title">
    <w:name w:val="Title"/>
    <w:basedOn w:val="Normal"/>
    <w:next w:val="Normal"/>
    <w:link w:val="TitleChar"/>
    <w:qFormat/>
    <w:locked/>
    <w:rsid w:val="00A602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02CF"/>
    <w:rPr>
      <w:rFonts w:asciiTheme="majorHAnsi" w:eastAsiaTheme="majorEastAsia" w:hAnsiTheme="majorHAnsi" w:cstheme="majorBidi"/>
      <w:spacing w:val="-10"/>
      <w:kern w:val="28"/>
      <w:sz w:val="56"/>
      <w:szCs w:val="56"/>
      <w:lang w:val="en-GB" w:eastAsia="en-GB"/>
    </w:rPr>
  </w:style>
  <w:style w:type="paragraph" w:customStyle="1" w:styleId="Tablestyle1">
    <w:name w:val="Table style 1"/>
    <w:basedOn w:val="Normal"/>
    <w:link w:val="Tablestyle1Char"/>
    <w:autoRedefine/>
    <w:qFormat/>
    <w:rsid w:val="004007DB"/>
  </w:style>
  <w:style w:type="character" w:customStyle="1" w:styleId="Tablestyle1Char">
    <w:name w:val="Table style 1 Char"/>
    <w:basedOn w:val="DefaultParagraphFont"/>
    <w:link w:val="Tablestyle1"/>
    <w:rsid w:val="004007DB"/>
    <w:rPr>
      <w:sz w:val="24"/>
      <w:szCs w:val="24"/>
      <w:lang w:val="en-GB" w:eastAsia="en-GB"/>
    </w:rPr>
  </w:style>
  <w:style w:type="character" w:customStyle="1" w:styleId="citation">
    <w:name w:val="citation"/>
    <w:basedOn w:val="DefaultParagraphFont"/>
    <w:rsid w:val="009F7C71"/>
  </w:style>
  <w:style w:type="character" w:customStyle="1" w:styleId="pseudotab">
    <w:name w:val="pseudotab"/>
    <w:basedOn w:val="DefaultParagraphFont"/>
    <w:rsid w:val="00221609"/>
  </w:style>
  <w:style w:type="paragraph" w:customStyle="1" w:styleId="Body">
    <w:name w:val="Body"/>
    <w:rsid w:val="00221609"/>
    <w:rPr>
      <w:rFonts w:ascii="Helvetica" w:eastAsia="ヒラギノ角ゴ Pro W3" w:hAnsi="Helvetica"/>
      <w:color w:val="000000"/>
      <w:sz w:val="24"/>
      <w:lang w:val="en-US" w:eastAsia="nl-BE"/>
    </w:rPr>
  </w:style>
  <w:style w:type="character" w:customStyle="1" w:styleId="journalname">
    <w:name w:val="journalname"/>
    <w:basedOn w:val="DefaultParagraphFont"/>
    <w:rsid w:val="00221609"/>
  </w:style>
  <w:style w:type="character" w:customStyle="1" w:styleId="journalnumber">
    <w:name w:val="journalnumber"/>
    <w:basedOn w:val="DefaultParagraphFont"/>
    <w:rsid w:val="00221609"/>
  </w:style>
  <w:style w:type="character" w:customStyle="1" w:styleId="cite-pages">
    <w:name w:val="cite-pages"/>
    <w:basedOn w:val="DefaultParagraphFont"/>
    <w:rsid w:val="00221609"/>
  </w:style>
  <w:style w:type="character" w:customStyle="1" w:styleId="fn">
    <w:name w:val="fn"/>
    <w:basedOn w:val="DefaultParagraphFont"/>
    <w:rsid w:val="00221609"/>
  </w:style>
  <w:style w:type="character" w:customStyle="1" w:styleId="Lowered">
    <w:name w:val="Lowered"/>
    <w:rsid w:val="00BC298F"/>
    <w:rPr>
      <w:vertAlign w:val="subscript"/>
    </w:rPr>
  </w:style>
  <w:style w:type="paragraph" w:customStyle="1" w:styleId="TNRStrongfontsz11">
    <w:name w:val="TNR Strong font sz 11"/>
    <w:basedOn w:val="Normal"/>
    <w:link w:val="TNRStrongfontsz11Char"/>
    <w:autoRedefine/>
    <w:qFormat/>
    <w:rsid w:val="00524D52"/>
  </w:style>
  <w:style w:type="character" w:customStyle="1" w:styleId="TNRStrongfontsz11Char">
    <w:name w:val="TNR Strong font sz 11 Char"/>
    <w:basedOn w:val="DefaultParagraphFont"/>
    <w:link w:val="TNRStrongfontsz11"/>
    <w:rsid w:val="00524D52"/>
    <w:rPr>
      <w:sz w:val="22"/>
      <w:szCs w:val="22"/>
      <w:lang w:val="nl-BE" w:eastAsia="ar-SA"/>
    </w:rPr>
  </w:style>
  <w:style w:type="paragraph" w:customStyle="1" w:styleId="Default">
    <w:name w:val="Default"/>
    <w:rsid w:val="005F6628"/>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customStyle="1" w:styleId="Hyperlink0">
    <w:name w:val="Hyperlink.0"/>
    <w:basedOn w:val="DefaultParagraphFont"/>
    <w:rsid w:val="00CF06B4"/>
    <w:rPr>
      <w:color w:val="0462C1"/>
      <w:u w:val="single" w:color="0462C1"/>
    </w:rPr>
  </w:style>
  <w:style w:type="character" w:customStyle="1" w:styleId="None">
    <w:name w:val="None"/>
    <w:rsid w:val="00CD0F62"/>
  </w:style>
  <w:style w:type="character" w:customStyle="1" w:styleId="Hyperlink1">
    <w:name w:val="Hyperlink.1"/>
    <w:basedOn w:val="None"/>
    <w:rsid w:val="00CD0F62"/>
    <w:rPr>
      <w:rFonts w:ascii="Arial" w:eastAsia="Arial" w:hAnsi="Arial" w:cs="Arial"/>
      <w:color w:val="0462C1"/>
      <w:u w:val="single" w:color="0462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9364">
      <w:bodyDiv w:val="1"/>
      <w:marLeft w:val="0"/>
      <w:marRight w:val="0"/>
      <w:marTop w:val="0"/>
      <w:marBottom w:val="0"/>
      <w:divBdr>
        <w:top w:val="none" w:sz="0" w:space="0" w:color="auto"/>
        <w:left w:val="none" w:sz="0" w:space="0" w:color="auto"/>
        <w:bottom w:val="none" w:sz="0" w:space="0" w:color="auto"/>
        <w:right w:val="none" w:sz="0" w:space="0" w:color="auto"/>
      </w:divBdr>
      <w:divsChild>
        <w:div w:id="1584026767">
          <w:marLeft w:val="0"/>
          <w:marRight w:val="1"/>
          <w:marTop w:val="0"/>
          <w:marBottom w:val="0"/>
          <w:divBdr>
            <w:top w:val="none" w:sz="0" w:space="0" w:color="auto"/>
            <w:left w:val="none" w:sz="0" w:space="0" w:color="auto"/>
            <w:bottom w:val="none" w:sz="0" w:space="0" w:color="auto"/>
            <w:right w:val="none" w:sz="0" w:space="0" w:color="auto"/>
          </w:divBdr>
          <w:divsChild>
            <w:div w:id="214977213">
              <w:marLeft w:val="0"/>
              <w:marRight w:val="0"/>
              <w:marTop w:val="0"/>
              <w:marBottom w:val="0"/>
              <w:divBdr>
                <w:top w:val="none" w:sz="0" w:space="0" w:color="auto"/>
                <w:left w:val="none" w:sz="0" w:space="0" w:color="auto"/>
                <w:bottom w:val="none" w:sz="0" w:space="0" w:color="auto"/>
                <w:right w:val="none" w:sz="0" w:space="0" w:color="auto"/>
              </w:divBdr>
              <w:divsChild>
                <w:div w:id="810296089">
                  <w:marLeft w:val="0"/>
                  <w:marRight w:val="1"/>
                  <w:marTop w:val="0"/>
                  <w:marBottom w:val="0"/>
                  <w:divBdr>
                    <w:top w:val="none" w:sz="0" w:space="0" w:color="auto"/>
                    <w:left w:val="none" w:sz="0" w:space="0" w:color="auto"/>
                    <w:bottom w:val="none" w:sz="0" w:space="0" w:color="auto"/>
                    <w:right w:val="none" w:sz="0" w:space="0" w:color="auto"/>
                  </w:divBdr>
                  <w:divsChild>
                    <w:div w:id="108817330">
                      <w:marLeft w:val="0"/>
                      <w:marRight w:val="0"/>
                      <w:marTop w:val="0"/>
                      <w:marBottom w:val="0"/>
                      <w:divBdr>
                        <w:top w:val="none" w:sz="0" w:space="0" w:color="auto"/>
                        <w:left w:val="none" w:sz="0" w:space="0" w:color="auto"/>
                        <w:bottom w:val="none" w:sz="0" w:space="0" w:color="auto"/>
                        <w:right w:val="none" w:sz="0" w:space="0" w:color="auto"/>
                      </w:divBdr>
                      <w:divsChild>
                        <w:div w:id="2006129956">
                          <w:marLeft w:val="0"/>
                          <w:marRight w:val="0"/>
                          <w:marTop w:val="0"/>
                          <w:marBottom w:val="0"/>
                          <w:divBdr>
                            <w:top w:val="none" w:sz="0" w:space="0" w:color="auto"/>
                            <w:left w:val="none" w:sz="0" w:space="0" w:color="auto"/>
                            <w:bottom w:val="none" w:sz="0" w:space="0" w:color="auto"/>
                            <w:right w:val="none" w:sz="0" w:space="0" w:color="auto"/>
                          </w:divBdr>
                          <w:divsChild>
                            <w:div w:id="999890112">
                              <w:marLeft w:val="0"/>
                              <w:marRight w:val="0"/>
                              <w:marTop w:val="120"/>
                              <w:marBottom w:val="360"/>
                              <w:divBdr>
                                <w:top w:val="none" w:sz="0" w:space="0" w:color="auto"/>
                                <w:left w:val="none" w:sz="0" w:space="0" w:color="auto"/>
                                <w:bottom w:val="none" w:sz="0" w:space="0" w:color="auto"/>
                                <w:right w:val="none" w:sz="0" w:space="0" w:color="auto"/>
                              </w:divBdr>
                              <w:divsChild>
                                <w:div w:id="707800578">
                                  <w:marLeft w:val="0"/>
                                  <w:marRight w:val="0"/>
                                  <w:marTop w:val="0"/>
                                  <w:marBottom w:val="0"/>
                                  <w:divBdr>
                                    <w:top w:val="none" w:sz="0" w:space="0" w:color="auto"/>
                                    <w:left w:val="none" w:sz="0" w:space="0" w:color="auto"/>
                                    <w:bottom w:val="none" w:sz="0" w:space="0" w:color="auto"/>
                                    <w:right w:val="none" w:sz="0" w:space="0" w:color="auto"/>
                                  </w:divBdr>
                                </w:div>
                                <w:div w:id="5625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80699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41">
          <w:marLeft w:val="547"/>
          <w:marRight w:val="0"/>
          <w:marTop w:val="115"/>
          <w:marBottom w:val="0"/>
          <w:divBdr>
            <w:top w:val="none" w:sz="0" w:space="0" w:color="auto"/>
            <w:left w:val="none" w:sz="0" w:space="0" w:color="auto"/>
            <w:bottom w:val="none" w:sz="0" w:space="0" w:color="auto"/>
            <w:right w:val="none" w:sz="0" w:space="0" w:color="auto"/>
          </w:divBdr>
        </w:div>
      </w:divsChild>
    </w:div>
    <w:div w:id="381758097">
      <w:bodyDiv w:val="1"/>
      <w:marLeft w:val="0"/>
      <w:marRight w:val="0"/>
      <w:marTop w:val="0"/>
      <w:marBottom w:val="0"/>
      <w:divBdr>
        <w:top w:val="none" w:sz="0" w:space="0" w:color="auto"/>
        <w:left w:val="none" w:sz="0" w:space="0" w:color="auto"/>
        <w:bottom w:val="none" w:sz="0" w:space="0" w:color="auto"/>
        <w:right w:val="none" w:sz="0" w:space="0" w:color="auto"/>
      </w:divBdr>
    </w:div>
    <w:div w:id="597059031">
      <w:bodyDiv w:val="1"/>
      <w:marLeft w:val="0"/>
      <w:marRight w:val="0"/>
      <w:marTop w:val="0"/>
      <w:marBottom w:val="0"/>
      <w:divBdr>
        <w:top w:val="none" w:sz="0" w:space="0" w:color="auto"/>
        <w:left w:val="none" w:sz="0" w:space="0" w:color="auto"/>
        <w:bottom w:val="none" w:sz="0" w:space="0" w:color="auto"/>
        <w:right w:val="none" w:sz="0" w:space="0" w:color="auto"/>
      </w:divBdr>
      <w:divsChild>
        <w:div w:id="1169909047">
          <w:marLeft w:val="0"/>
          <w:marRight w:val="0"/>
          <w:marTop w:val="0"/>
          <w:marBottom w:val="0"/>
          <w:divBdr>
            <w:top w:val="none" w:sz="0" w:space="0" w:color="auto"/>
            <w:left w:val="none" w:sz="0" w:space="0" w:color="auto"/>
            <w:bottom w:val="none" w:sz="0" w:space="0" w:color="auto"/>
            <w:right w:val="none" w:sz="0" w:space="0" w:color="auto"/>
          </w:divBdr>
        </w:div>
      </w:divsChild>
    </w:div>
    <w:div w:id="655569599">
      <w:bodyDiv w:val="1"/>
      <w:marLeft w:val="0"/>
      <w:marRight w:val="0"/>
      <w:marTop w:val="0"/>
      <w:marBottom w:val="0"/>
      <w:divBdr>
        <w:top w:val="none" w:sz="0" w:space="0" w:color="auto"/>
        <w:left w:val="none" w:sz="0" w:space="0" w:color="auto"/>
        <w:bottom w:val="none" w:sz="0" w:space="0" w:color="auto"/>
        <w:right w:val="none" w:sz="0" w:space="0" w:color="auto"/>
      </w:divBdr>
      <w:divsChild>
        <w:div w:id="231543593">
          <w:marLeft w:val="547"/>
          <w:marRight w:val="0"/>
          <w:marTop w:val="115"/>
          <w:marBottom w:val="0"/>
          <w:divBdr>
            <w:top w:val="none" w:sz="0" w:space="0" w:color="auto"/>
            <w:left w:val="none" w:sz="0" w:space="0" w:color="auto"/>
            <w:bottom w:val="none" w:sz="0" w:space="0" w:color="auto"/>
            <w:right w:val="none" w:sz="0" w:space="0" w:color="auto"/>
          </w:divBdr>
        </w:div>
        <w:div w:id="951936824">
          <w:marLeft w:val="547"/>
          <w:marRight w:val="0"/>
          <w:marTop w:val="115"/>
          <w:marBottom w:val="0"/>
          <w:divBdr>
            <w:top w:val="none" w:sz="0" w:space="0" w:color="auto"/>
            <w:left w:val="none" w:sz="0" w:space="0" w:color="auto"/>
            <w:bottom w:val="none" w:sz="0" w:space="0" w:color="auto"/>
            <w:right w:val="none" w:sz="0" w:space="0" w:color="auto"/>
          </w:divBdr>
        </w:div>
        <w:div w:id="1021972981">
          <w:marLeft w:val="547"/>
          <w:marRight w:val="0"/>
          <w:marTop w:val="115"/>
          <w:marBottom w:val="0"/>
          <w:divBdr>
            <w:top w:val="none" w:sz="0" w:space="0" w:color="auto"/>
            <w:left w:val="none" w:sz="0" w:space="0" w:color="auto"/>
            <w:bottom w:val="none" w:sz="0" w:space="0" w:color="auto"/>
            <w:right w:val="none" w:sz="0" w:space="0" w:color="auto"/>
          </w:divBdr>
        </w:div>
        <w:div w:id="1047875580">
          <w:marLeft w:val="547"/>
          <w:marRight w:val="0"/>
          <w:marTop w:val="115"/>
          <w:marBottom w:val="0"/>
          <w:divBdr>
            <w:top w:val="none" w:sz="0" w:space="0" w:color="auto"/>
            <w:left w:val="none" w:sz="0" w:space="0" w:color="auto"/>
            <w:bottom w:val="none" w:sz="0" w:space="0" w:color="auto"/>
            <w:right w:val="none" w:sz="0" w:space="0" w:color="auto"/>
          </w:divBdr>
        </w:div>
        <w:div w:id="1755852750">
          <w:marLeft w:val="547"/>
          <w:marRight w:val="0"/>
          <w:marTop w:val="115"/>
          <w:marBottom w:val="0"/>
          <w:divBdr>
            <w:top w:val="none" w:sz="0" w:space="0" w:color="auto"/>
            <w:left w:val="none" w:sz="0" w:space="0" w:color="auto"/>
            <w:bottom w:val="none" w:sz="0" w:space="0" w:color="auto"/>
            <w:right w:val="none" w:sz="0" w:space="0" w:color="auto"/>
          </w:divBdr>
        </w:div>
        <w:div w:id="1987082905">
          <w:marLeft w:val="547"/>
          <w:marRight w:val="0"/>
          <w:marTop w:val="115"/>
          <w:marBottom w:val="0"/>
          <w:divBdr>
            <w:top w:val="none" w:sz="0" w:space="0" w:color="auto"/>
            <w:left w:val="none" w:sz="0" w:space="0" w:color="auto"/>
            <w:bottom w:val="none" w:sz="0" w:space="0" w:color="auto"/>
            <w:right w:val="none" w:sz="0" w:space="0" w:color="auto"/>
          </w:divBdr>
        </w:div>
      </w:divsChild>
    </w:div>
    <w:div w:id="690496971">
      <w:bodyDiv w:val="1"/>
      <w:marLeft w:val="0"/>
      <w:marRight w:val="0"/>
      <w:marTop w:val="0"/>
      <w:marBottom w:val="0"/>
      <w:divBdr>
        <w:top w:val="none" w:sz="0" w:space="0" w:color="auto"/>
        <w:left w:val="none" w:sz="0" w:space="0" w:color="auto"/>
        <w:bottom w:val="none" w:sz="0" w:space="0" w:color="auto"/>
        <w:right w:val="none" w:sz="0" w:space="0" w:color="auto"/>
      </w:divBdr>
      <w:divsChild>
        <w:div w:id="203910009">
          <w:marLeft w:val="0"/>
          <w:marRight w:val="1"/>
          <w:marTop w:val="0"/>
          <w:marBottom w:val="0"/>
          <w:divBdr>
            <w:top w:val="none" w:sz="0" w:space="0" w:color="auto"/>
            <w:left w:val="none" w:sz="0" w:space="0" w:color="auto"/>
            <w:bottom w:val="none" w:sz="0" w:space="0" w:color="auto"/>
            <w:right w:val="none" w:sz="0" w:space="0" w:color="auto"/>
          </w:divBdr>
          <w:divsChild>
            <w:div w:id="852841164">
              <w:marLeft w:val="0"/>
              <w:marRight w:val="0"/>
              <w:marTop w:val="0"/>
              <w:marBottom w:val="0"/>
              <w:divBdr>
                <w:top w:val="none" w:sz="0" w:space="0" w:color="auto"/>
                <w:left w:val="none" w:sz="0" w:space="0" w:color="auto"/>
                <w:bottom w:val="none" w:sz="0" w:space="0" w:color="auto"/>
                <w:right w:val="none" w:sz="0" w:space="0" w:color="auto"/>
              </w:divBdr>
              <w:divsChild>
                <w:div w:id="1986741077">
                  <w:marLeft w:val="0"/>
                  <w:marRight w:val="1"/>
                  <w:marTop w:val="0"/>
                  <w:marBottom w:val="0"/>
                  <w:divBdr>
                    <w:top w:val="none" w:sz="0" w:space="0" w:color="auto"/>
                    <w:left w:val="none" w:sz="0" w:space="0" w:color="auto"/>
                    <w:bottom w:val="none" w:sz="0" w:space="0" w:color="auto"/>
                    <w:right w:val="none" w:sz="0" w:space="0" w:color="auto"/>
                  </w:divBdr>
                  <w:divsChild>
                    <w:div w:id="1006326529">
                      <w:marLeft w:val="0"/>
                      <w:marRight w:val="0"/>
                      <w:marTop w:val="0"/>
                      <w:marBottom w:val="0"/>
                      <w:divBdr>
                        <w:top w:val="none" w:sz="0" w:space="0" w:color="auto"/>
                        <w:left w:val="none" w:sz="0" w:space="0" w:color="auto"/>
                        <w:bottom w:val="none" w:sz="0" w:space="0" w:color="auto"/>
                        <w:right w:val="none" w:sz="0" w:space="0" w:color="auto"/>
                      </w:divBdr>
                      <w:divsChild>
                        <w:div w:id="2137751079">
                          <w:marLeft w:val="0"/>
                          <w:marRight w:val="0"/>
                          <w:marTop w:val="0"/>
                          <w:marBottom w:val="0"/>
                          <w:divBdr>
                            <w:top w:val="none" w:sz="0" w:space="0" w:color="auto"/>
                            <w:left w:val="none" w:sz="0" w:space="0" w:color="auto"/>
                            <w:bottom w:val="none" w:sz="0" w:space="0" w:color="auto"/>
                            <w:right w:val="none" w:sz="0" w:space="0" w:color="auto"/>
                          </w:divBdr>
                          <w:divsChild>
                            <w:div w:id="103617407">
                              <w:marLeft w:val="0"/>
                              <w:marRight w:val="0"/>
                              <w:marTop w:val="120"/>
                              <w:marBottom w:val="360"/>
                              <w:divBdr>
                                <w:top w:val="none" w:sz="0" w:space="0" w:color="auto"/>
                                <w:left w:val="none" w:sz="0" w:space="0" w:color="auto"/>
                                <w:bottom w:val="none" w:sz="0" w:space="0" w:color="auto"/>
                                <w:right w:val="none" w:sz="0" w:space="0" w:color="auto"/>
                              </w:divBdr>
                              <w:divsChild>
                                <w:div w:id="1668940900">
                                  <w:marLeft w:val="420"/>
                                  <w:marRight w:val="0"/>
                                  <w:marTop w:val="0"/>
                                  <w:marBottom w:val="0"/>
                                  <w:divBdr>
                                    <w:top w:val="none" w:sz="0" w:space="0" w:color="auto"/>
                                    <w:left w:val="none" w:sz="0" w:space="0" w:color="auto"/>
                                    <w:bottom w:val="none" w:sz="0" w:space="0" w:color="auto"/>
                                    <w:right w:val="none" w:sz="0" w:space="0" w:color="auto"/>
                                  </w:divBdr>
                                  <w:divsChild>
                                    <w:div w:id="5816453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772437">
      <w:bodyDiv w:val="1"/>
      <w:marLeft w:val="0"/>
      <w:marRight w:val="0"/>
      <w:marTop w:val="0"/>
      <w:marBottom w:val="0"/>
      <w:divBdr>
        <w:top w:val="none" w:sz="0" w:space="0" w:color="auto"/>
        <w:left w:val="none" w:sz="0" w:space="0" w:color="auto"/>
        <w:bottom w:val="none" w:sz="0" w:space="0" w:color="auto"/>
        <w:right w:val="none" w:sz="0" w:space="0" w:color="auto"/>
      </w:divBdr>
    </w:div>
    <w:div w:id="792211804">
      <w:bodyDiv w:val="1"/>
      <w:marLeft w:val="0"/>
      <w:marRight w:val="0"/>
      <w:marTop w:val="0"/>
      <w:marBottom w:val="0"/>
      <w:divBdr>
        <w:top w:val="none" w:sz="0" w:space="0" w:color="auto"/>
        <w:left w:val="none" w:sz="0" w:space="0" w:color="auto"/>
        <w:bottom w:val="none" w:sz="0" w:space="0" w:color="auto"/>
        <w:right w:val="none" w:sz="0" w:space="0" w:color="auto"/>
      </w:divBdr>
      <w:divsChild>
        <w:div w:id="48693854">
          <w:marLeft w:val="1166"/>
          <w:marRight w:val="0"/>
          <w:marTop w:val="101"/>
          <w:marBottom w:val="0"/>
          <w:divBdr>
            <w:top w:val="none" w:sz="0" w:space="0" w:color="auto"/>
            <w:left w:val="none" w:sz="0" w:space="0" w:color="auto"/>
            <w:bottom w:val="none" w:sz="0" w:space="0" w:color="auto"/>
            <w:right w:val="none" w:sz="0" w:space="0" w:color="auto"/>
          </w:divBdr>
        </w:div>
        <w:div w:id="127937337">
          <w:marLeft w:val="1166"/>
          <w:marRight w:val="0"/>
          <w:marTop w:val="101"/>
          <w:marBottom w:val="0"/>
          <w:divBdr>
            <w:top w:val="none" w:sz="0" w:space="0" w:color="auto"/>
            <w:left w:val="none" w:sz="0" w:space="0" w:color="auto"/>
            <w:bottom w:val="none" w:sz="0" w:space="0" w:color="auto"/>
            <w:right w:val="none" w:sz="0" w:space="0" w:color="auto"/>
          </w:divBdr>
        </w:div>
        <w:div w:id="259216090">
          <w:marLeft w:val="547"/>
          <w:marRight w:val="0"/>
          <w:marTop w:val="115"/>
          <w:marBottom w:val="0"/>
          <w:divBdr>
            <w:top w:val="none" w:sz="0" w:space="0" w:color="auto"/>
            <w:left w:val="none" w:sz="0" w:space="0" w:color="auto"/>
            <w:bottom w:val="none" w:sz="0" w:space="0" w:color="auto"/>
            <w:right w:val="none" w:sz="0" w:space="0" w:color="auto"/>
          </w:divBdr>
        </w:div>
        <w:div w:id="339746722">
          <w:marLeft w:val="547"/>
          <w:marRight w:val="0"/>
          <w:marTop w:val="115"/>
          <w:marBottom w:val="0"/>
          <w:divBdr>
            <w:top w:val="none" w:sz="0" w:space="0" w:color="auto"/>
            <w:left w:val="none" w:sz="0" w:space="0" w:color="auto"/>
            <w:bottom w:val="none" w:sz="0" w:space="0" w:color="auto"/>
            <w:right w:val="none" w:sz="0" w:space="0" w:color="auto"/>
          </w:divBdr>
        </w:div>
        <w:div w:id="885530514">
          <w:marLeft w:val="547"/>
          <w:marRight w:val="0"/>
          <w:marTop w:val="115"/>
          <w:marBottom w:val="0"/>
          <w:divBdr>
            <w:top w:val="none" w:sz="0" w:space="0" w:color="auto"/>
            <w:left w:val="none" w:sz="0" w:space="0" w:color="auto"/>
            <w:bottom w:val="none" w:sz="0" w:space="0" w:color="auto"/>
            <w:right w:val="none" w:sz="0" w:space="0" w:color="auto"/>
          </w:divBdr>
        </w:div>
        <w:div w:id="892353872">
          <w:marLeft w:val="1166"/>
          <w:marRight w:val="0"/>
          <w:marTop w:val="101"/>
          <w:marBottom w:val="0"/>
          <w:divBdr>
            <w:top w:val="none" w:sz="0" w:space="0" w:color="auto"/>
            <w:left w:val="none" w:sz="0" w:space="0" w:color="auto"/>
            <w:bottom w:val="none" w:sz="0" w:space="0" w:color="auto"/>
            <w:right w:val="none" w:sz="0" w:space="0" w:color="auto"/>
          </w:divBdr>
        </w:div>
        <w:div w:id="1191380066">
          <w:marLeft w:val="547"/>
          <w:marRight w:val="0"/>
          <w:marTop w:val="115"/>
          <w:marBottom w:val="0"/>
          <w:divBdr>
            <w:top w:val="none" w:sz="0" w:space="0" w:color="auto"/>
            <w:left w:val="none" w:sz="0" w:space="0" w:color="auto"/>
            <w:bottom w:val="none" w:sz="0" w:space="0" w:color="auto"/>
            <w:right w:val="none" w:sz="0" w:space="0" w:color="auto"/>
          </w:divBdr>
        </w:div>
        <w:div w:id="1215194754">
          <w:marLeft w:val="1166"/>
          <w:marRight w:val="0"/>
          <w:marTop w:val="101"/>
          <w:marBottom w:val="0"/>
          <w:divBdr>
            <w:top w:val="none" w:sz="0" w:space="0" w:color="auto"/>
            <w:left w:val="none" w:sz="0" w:space="0" w:color="auto"/>
            <w:bottom w:val="none" w:sz="0" w:space="0" w:color="auto"/>
            <w:right w:val="none" w:sz="0" w:space="0" w:color="auto"/>
          </w:divBdr>
        </w:div>
      </w:divsChild>
    </w:div>
    <w:div w:id="820196031">
      <w:bodyDiv w:val="1"/>
      <w:marLeft w:val="0"/>
      <w:marRight w:val="0"/>
      <w:marTop w:val="0"/>
      <w:marBottom w:val="0"/>
      <w:divBdr>
        <w:top w:val="none" w:sz="0" w:space="0" w:color="auto"/>
        <w:left w:val="none" w:sz="0" w:space="0" w:color="auto"/>
        <w:bottom w:val="none" w:sz="0" w:space="0" w:color="auto"/>
        <w:right w:val="none" w:sz="0" w:space="0" w:color="auto"/>
      </w:divBdr>
      <w:divsChild>
        <w:div w:id="166140404">
          <w:marLeft w:val="547"/>
          <w:marRight w:val="0"/>
          <w:marTop w:val="115"/>
          <w:marBottom w:val="0"/>
          <w:divBdr>
            <w:top w:val="none" w:sz="0" w:space="0" w:color="auto"/>
            <w:left w:val="none" w:sz="0" w:space="0" w:color="auto"/>
            <w:bottom w:val="none" w:sz="0" w:space="0" w:color="auto"/>
            <w:right w:val="none" w:sz="0" w:space="0" w:color="auto"/>
          </w:divBdr>
        </w:div>
        <w:div w:id="369961429">
          <w:marLeft w:val="547"/>
          <w:marRight w:val="0"/>
          <w:marTop w:val="115"/>
          <w:marBottom w:val="0"/>
          <w:divBdr>
            <w:top w:val="none" w:sz="0" w:space="0" w:color="auto"/>
            <w:left w:val="none" w:sz="0" w:space="0" w:color="auto"/>
            <w:bottom w:val="none" w:sz="0" w:space="0" w:color="auto"/>
            <w:right w:val="none" w:sz="0" w:space="0" w:color="auto"/>
          </w:divBdr>
        </w:div>
        <w:div w:id="2043361513">
          <w:marLeft w:val="547"/>
          <w:marRight w:val="0"/>
          <w:marTop w:val="115"/>
          <w:marBottom w:val="0"/>
          <w:divBdr>
            <w:top w:val="none" w:sz="0" w:space="0" w:color="auto"/>
            <w:left w:val="none" w:sz="0" w:space="0" w:color="auto"/>
            <w:bottom w:val="none" w:sz="0" w:space="0" w:color="auto"/>
            <w:right w:val="none" w:sz="0" w:space="0" w:color="auto"/>
          </w:divBdr>
        </w:div>
      </w:divsChild>
    </w:div>
    <w:div w:id="964890986">
      <w:bodyDiv w:val="1"/>
      <w:marLeft w:val="0"/>
      <w:marRight w:val="0"/>
      <w:marTop w:val="0"/>
      <w:marBottom w:val="0"/>
      <w:divBdr>
        <w:top w:val="none" w:sz="0" w:space="0" w:color="auto"/>
        <w:left w:val="none" w:sz="0" w:space="0" w:color="auto"/>
        <w:bottom w:val="none" w:sz="0" w:space="0" w:color="auto"/>
        <w:right w:val="none" w:sz="0" w:space="0" w:color="auto"/>
      </w:divBdr>
      <w:divsChild>
        <w:div w:id="423770558">
          <w:marLeft w:val="0"/>
          <w:marRight w:val="0"/>
          <w:marTop w:val="0"/>
          <w:marBottom w:val="0"/>
          <w:divBdr>
            <w:top w:val="none" w:sz="0" w:space="0" w:color="auto"/>
            <w:left w:val="none" w:sz="0" w:space="0" w:color="auto"/>
            <w:bottom w:val="none" w:sz="0" w:space="0" w:color="auto"/>
            <w:right w:val="none" w:sz="0" w:space="0" w:color="auto"/>
          </w:divBdr>
        </w:div>
      </w:divsChild>
    </w:div>
    <w:div w:id="971861837">
      <w:bodyDiv w:val="1"/>
      <w:marLeft w:val="0"/>
      <w:marRight w:val="0"/>
      <w:marTop w:val="0"/>
      <w:marBottom w:val="0"/>
      <w:divBdr>
        <w:top w:val="none" w:sz="0" w:space="0" w:color="auto"/>
        <w:left w:val="none" w:sz="0" w:space="0" w:color="auto"/>
        <w:bottom w:val="none" w:sz="0" w:space="0" w:color="auto"/>
        <w:right w:val="none" w:sz="0" w:space="0" w:color="auto"/>
      </w:divBdr>
    </w:div>
    <w:div w:id="1047948585">
      <w:bodyDiv w:val="1"/>
      <w:marLeft w:val="0"/>
      <w:marRight w:val="0"/>
      <w:marTop w:val="0"/>
      <w:marBottom w:val="0"/>
      <w:divBdr>
        <w:top w:val="none" w:sz="0" w:space="0" w:color="auto"/>
        <w:left w:val="none" w:sz="0" w:space="0" w:color="auto"/>
        <w:bottom w:val="none" w:sz="0" w:space="0" w:color="auto"/>
        <w:right w:val="none" w:sz="0" w:space="0" w:color="auto"/>
      </w:divBdr>
      <w:divsChild>
        <w:div w:id="1845853745">
          <w:marLeft w:val="0"/>
          <w:marRight w:val="0"/>
          <w:marTop w:val="0"/>
          <w:marBottom w:val="0"/>
          <w:divBdr>
            <w:top w:val="none" w:sz="0" w:space="0" w:color="auto"/>
            <w:left w:val="none" w:sz="0" w:space="0" w:color="auto"/>
            <w:bottom w:val="none" w:sz="0" w:space="0" w:color="auto"/>
            <w:right w:val="none" w:sz="0" w:space="0" w:color="auto"/>
          </w:divBdr>
        </w:div>
      </w:divsChild>
    </w:div>
    <w:div w:id="1090466069">
      <w:bodyDiv w:val="1"/>
      <w:marLeft w:val="0"/>
      <w:marRight w:val="0"/>
      <w:marTop w:val="0"/>
      <w:marBottom w:val="0"/>
      <w:divBdr>
        <w:top w:val="none" w:sz="0" w:space="0" w:color="auto"/>
        <w:left w:val="none" w:sz="0" w:space="0" w:color="auto"/>
        <w:bottom w:val="none" w:sz="0" w:space="0" w:color="auto"/>
        <w:right w:val="none" w:sz="0" w:space="0" w:color="auto"/>
      </w:divBdr>
      <w:divsChild>
        <w:div w:id="626930062">
          <w:marLeft w:val="0"/>
          <w:marRight w:val="0"/>
          <w:marTop w:val="0"/>
          <w:marBottom w:val="0"/>
          <w:divBdr>
            <w:top w:val="none" w:sz="0" w:space="0" w:color="auto"/>
            <w:left w:val="none" w:sz="0" w:space="0" w:color="auto"/>
            <w:bottom w:val="none" w:sz="0" w:space="0" w:color="auto"/>
            <w:right w:val="none" w:sz="0" w:space="0" w:color="auto"/>
          </w:divBdr>
        </w:div>
        <w:div w:id="858082521">
          <w:marLeft w:val="0"/>
          <w:marRight w:val="0"/>
          <w:marTop w:val="0"/>
          <w:marBottom w:val="0"/>
          <w:divBdr>
            <w:top w:val="none" w:sz="0" w:space="0" w:color="auto"/>
            <w:left w:val="none" w:sz="0" w:space="0" w:color="auto"/>
            <w:bottom w:val="none" w:sz="0" w:space="0" w:color="auto"/>
            <w:right w:val="none" w:sz="0" w:space="0" w:color="auto"/>
          </w:divBdr>
        </w:div>
      </w:divsChild>
    </w:div>
    <w:div w:id="1098480349">
      <w:bodyDiv w:val="1"/>
      <w:marLeft w:val="0"/>
      <w:marRight w:val="0"/>
      <w:marTop w:val="0"/>
      <w:marBottom w:val="0"/>
      <w:divBdr>
        <w:top w:val="none" w:sz="0" w:space="0" w:color="auto"/>
        <w:left w:val="none" w:sz="0" w:space="0" w:color="auto"/>
        <w:bottom w:val="none" w:sz="0" w:space="0" w:color="auto"/>
        <w:right w:val="none" w:sz="0" w:space="0" w:color="auto"/>
      </w:divBdr>
      <w:divsChild>
        <w:div w:id="1138843309">
          <w:marLeft w:val="0"/>
          <w:marRight w:val="0"/>
          <w:marTop w:val="100"/>
          <w:marBottom w:val="100"/>
          <w:divBdr>
            <w:top w:val="none" w:sz="0" w:space="0" w:color="auto"/>
            <w:left w:val="none" w:sz="0" w:space="0" w:color="auto"/>
            <w:bottom w:val="none" w:sz="0" w:space="0" w:color="auto"/>
            <w:right w:val="none" w:sz="0" w:space="0" w:color="auto"/>
          </w:divBdr>
          <w:divsChild>
            <w:div w:id="154612838">
              <w:marLeft w:val="0"/>
              <w:marRight w:val="0"/>
              <w:marTop w:val="0"/>
              <w:marBottom w:val="0"/>
              <w:divBdr>
                <w:top w:val="none" w:sz="0" w:space="0" w:color="auto"/>
                <w:left w:val="none" w:sz="0" w:space="0" w:color="auto"/>
                <w:bottom w:val="none" w:sz="0" w:space="0" w:color="auto"/>
                <w:right w:val="none" w:sz="0" w:space="0" w:color="auto"/>
              </w:divBdr>
              <w:divsChild>
                <w:div w:id="2105371025">
                  <w:marLeft w:val="105"/>
                  <w:marRight w:val="105"/>
                  <w:marTop w:val="105"/>
                  <w:marBottom w:val="105"/>
                  <w:divBdr>
                    <w:top w:val="none" w:sz="0" w:space="0" w:color="auto"/>
                    <w:left w:val="none" w:sz="0" w:space="0" w:color="auto"/>
                    <w:bottom w:val="none" w:sz="0" w:space="0" w:color="auto"/>
                    <w:right w:val="none" w:sz="0" w:space="0" w:color="auto"/>
                  </w:divBdr>
                  <w:divsChild>
                    <w:div w:id="841166594">
                      <w:marLeft w:val="0"/>
                      <w:marRight w:val="0"/>
                      <w:marTop w:val="0"/>
                      <w:marBottom w:val="0"/>
                      <w:divBdr>
                        <w:top w:val="none" w:sz="0" w:space="0" w:color="auto"/>
                        <w:left w:val="none" w:sz="0" w:space="0" w:color="auto"/>
                        <w:bottom w:val="none" w:sz="0" w:space="0" w:color="auto"/>
                        <w:right w:val="none" w:sz="0" w:space="0" w:color="auto"/>
                      </w:divBdr>
                      <w:divsChild>
                        <w:div w:id="512038264">
                          <w:marLeft w:val="0"/>
                          <w:marRight w:val="0"/>
                          <w:marTop w:val="0"/>
                          <w:marBottom w:val="0"/>
                          <w:divBdr>
                            <w:top w:val="none" w:sz="0" w:space="0" w:color="auto"/>
                            <w:left w:val="none" w:sz="0" w:space="0" w:color="auto"/>
                            <w:bottom w:val="none" w:sz="0" w:space="0" w:color="auto"/>
                            <w:right w:val="none" w:sz="0" w:space="0" w:color="auto"/>
                          </w:divBdr>
                          <w:divsChild>
                            <w:div w:id="1547453349">
                              <w:marLeft w:val="0"/>
                              <w:marRight w:val="0"/>
                              <w:marTop w:val="0"/>
                              <w:marBottom w:val="0"/>
                              <w:divBdr>
                                <w:top w:val="none" w:sz="0" w:space="0" w:color="auto"/>
                                <w:left w:val="none" w:sz="0" w:space="0" w:color="auto"/>
                                <w:bottom w:val="none" w:sz="0" w:space="0" w:color="auto"/>
                                <w:right w:val="none" w:sz="0" w:space="0" w:color="auto"/>
                              </w:divBdr>
                              <w:divsChild>
                                <w:div w:id="453446506">
                                  <w:marLeft w:val="0"/>
                                  <w:marRight w:val="0"/>
                                  <w:marTop w:val="0"/>
                                  <w:marBottom w:val="0"/>
                                  <w:divBdr>
                                    <w:top w:val="none" w:sz="0" w:space="0" w:color="auto"/>
                                    <w:left w:val="none" w:sz="0" w:space="0" w:color="auto"/>
                                    <w:bottom w:val="none" w:sz="0" w:space="0" w:color="auto"/>
                                    <w:right w:val="none" w:sz="0" w:space="0" w:color="auto"/>
                                  </w:divBdr>
                                  <w:divsChild>
                                    <w:div w:id="88937080">
                                      <w:marLeft w:val="105"/>
                                      <w:marRight w:val="105"/>
                                      <w:marTop w:val="105"/>
                                      <w:marBottom w:val="105"/>
                                      <w:divBdr>
                                        <w:top w:val="none" w:sz="0" w:space="0" w:color="auto"/>
                                        <w:left w:val="none" w:sz="0" w:space="0" w:color="auto"/>
                                        <w:bottom w:val="none" w:sz="0" w:space="0" w:color="auto"/>
                                        <w:right w:val="none" w:sz="0" w:space="0" w:color="auto"/>
                                      </w:divBdr>
                                      <w:divsChild>
                                        <w:div w:id="1877814812">
                                          <w:marLeft w:val="0"/>
                                          <w:marRight w:val="0"/>
                                          <w:marTop w:val="0"/>
                                          <w:marBottom w:val="0"/>
                                          <w:divBdr>
                                            <w:top w:val="none" w:sz="0" w:space="0" w:color="auto"/>
                                            <w:left w:val="none" w:sz="0" w:space="0" w:color="auto"/>
                                            <w:bottom w:val="none" w:sz="0" w:space="0" w:color="auto"/>
                                            <w:right w:val="none" w:sz="0" w:space="0" w:color="auto"/>
                                          </w:divBdr>
                                          <w:divsChild>
                                            <w:div w:id="953563086">
                                              <w:marLeft w:val="0"/>
                                              <w:marRight w:val="0"/>
                                              <w:marTop w:val="0"/>
                                              <w:marBottom w:val="0"/>
                                              <w:divBdr>
                                                <w:top w:val="none" w:sz="0" w:space="0" w:color="auto"/>
                                                <w:left w:val="none" w:sz="0" w:space="0" w:color="auto"/>
                                                <w:bottom w:val="none" w:sz="0" w:space="0" w:color="auto"/>
                                                <w:right w:val="none" w:sz="0" w:space="0" w:color="auto"/>
                                              </w:divBdr>
                                              <w:divsChild>
                                                <w:div w:id="1359157932">
                                                  <w:marLeft w:val="105"/>
                                                  <w:marRight w:val="105"/>
                                                  <w:marTop w:val="105"/>
                                                  <w:marBottom w:val="105"/>
                                                  <w:divBdr>
                                                    <w:top w:val="none" w:sz="0" w:space="0" w:color="auto"/>
                                                    <w:left w:val="none" w:sz="0" w:space="0" w:color="auto"/>
                                                    <w:bottom w:val="none" w:sz="0" w:space="0" w:color="auto"/>
                                                    <w:right w:val="none" w:sz="0" w:space="0" w:color="auto"/>
                                                  </w:divBdr>
                                                  <w:divsChild>
                                                    <w:div w:id="1515341734">
                                                      <w:marLeft w:val="0"/>
                                                      <w:marRight w:val="0"/>
                                                      <w:marTop w:val="0"/>
                                                      <w:marBottom w:val="0"/>
                                                      <w:divBdr>
                                                        <w:top w:val="none" w:sz="0" w:space="0" w:color="auto"/>
                                                        <w:left w:val="none" w:sz="0" w:space="0" w:color="auto"/>
                                                        <w:bottom w:val="none" w:sz="0" w:space="0" w:color="auto"/>
                                                        <w:right w:val="none" w:sz="0" w:space="0" w:color="auto"/>
                                                      </w:divBdr>
                                                      <w:divsChild>
                                                        <w:div w:id="157816542">
                                                          <w:marLeft w:val="0"/>
                                                          <w:marRight w:val="0"/>
                                                          <w:marTop w:val="0"/>
                                                          <w:marBottom w:val="0"/>
                                                          <w:divBdr>
                                                            <w:top w:val="none" w:sz="0" w:space="0" w:color="auto"/>
                                                            <w:left w:val="none" w:sz="0" w:space="0" w:color="auto"/>
                                                            <w:bottom w:val="none" w:sz="0" w:space="0" w:color="auto"/>
                                                            <w:right w:val="none" w:sz="0" w:space="0" w:color="auto"/>
                                                          </w:divBdr>
                                                          <w:divsChild>
                                                            <w:div w:id="191965574">
                                                              <w:marLeft w:val="0"/>
                                                              <w:marRight w:val="0"/>
                                                              <w:marTop w:val="0"/>
                                                              <w:marBottom w:val="0"/>
                                                              <w:divBdr>
                                                                <w:top w:val="none" w:sz="0" w:space="0" w:color="auto"/>
                                                                <w:left w:val="none" w:sz="0" w:space="0" w:color="auto"/>
                                                                <w:bottom w:val="none" w:sz="0" w:space="0" w:color="auto"/>
                                                                <w:right w:val="none" w:sz="0" w:space="0" w:color="auto"/>
                                                              </w:divBdr>
                                                              <w:divsChild>
                                                                <w:div w:id="1574925103">
                                                                  <w:marLeft w:val="0"/>
                                                                  <w:marRight w:val="0"/>
                                                                  <w:marTop w:val="0"/>
                                                                  <w:marBottom w:val="0"/>
                                                                  <w:divBdr>
                                                                    <w:top w:val="none" w:sz="0" w:space="0" w:color="auto"/>
                                                                    <w:left w:val="none" w:sz="0" w:space="0" w:color="auto"/>
                                                                    <w:bottom w:val="none" w:sz="0" w:space="0" w:color="auto"/>
                                                                    <w:right w:val="none" w:sz="0" w:space="0" w:color="auto"/>
                                                                  </w:divBdr>
                                                                  <w:divsChild>
                                                                    <w:div w:id="450251250">
                                                                      <w:marLeft w:val="0"/>
                                                                      <w:marRight w:val="0"/>
                                                                      <w:marTop w:val="0"/>
                                                                      <w:marBottom w:val="0"/>
                                                                      <w:divBdr>
                                                                        <w:top w:val="none" w:sz="0" w:space="0" w:color="auto"/>
                                                                        <w:left w:val="none" w:sz="0" w:space="0" w:color="auto"/>
                                                                        <w:bottom w:val="none" w:sz="0" w:space="0" w:color="auto"/>
                                                                        <w:right w:val="none" w:sz="0" w:space="0" w:color="auto"/>
                                                                      </w:divBdr>
                                                                      <w:divsChild>
                                                                        <w:div w:id="2138911498">
                                                                          <w:marLeft w:val="105"/>
                                                                          <w:marRight w:val="105"/>
                                                                          <w:marTop w:val="105"/>
                                                                          <w:marBottom w:val="105"/>
                                                                          <w:divBdr>
                                                                            <w:top w:val="none" w:sz="0" w:space="0" w:color="auto"/>
                                                                            <w:left w:val="none" w:sz="0" w:space="0" w:color="auto"/>
                                                                            <w:bottom w:val="none" w:sz="0" w:space="0" w:color="auto"/>
                                                                            <w:right w:val="none" w:sz="0" w:space="0" w:color="auto"/>
                                                                          </w:divBdr>
                                                                          <w:divsChild>
                                                                            <w:div w:id="1635407765">
                                                                              <w:marLeft w:val="0"/>
                                                                              <w:marRight w:val="0"/>
                                                                              <w:marTop w:val="0"/>
                                                                              <w:marBottom w:val="0"/>
                                                                              <w:divBdr>
                                                                                <w:top w:val="none" w:sz="0" w:space="0" w:color="auto"/>
                                                                                <w:left w:val="none" w:sz="0" w:space="0" w:color="auto"/>
                                                                                <w:bottom w:val="none" w:sz="0" w:space="0" w:color="auto"/>
                                                                                <w:right w:val="none" w:sz="0" w:space="0" w:color="auto"/>
                                                                              </w:divBdr>
                                                                              <w:divsChild>
                                                                                <w:div w:id="1929924819">
                                                                                  <w:marLeft w:val="0"/>
                                                                                  <w:marRight w:val="0"/>
                                                                                  <w:marTop w:val="0"/>
                                                                                  <w:marBottom w:val="0"/>
                                                                                  <w:divBdr>
                                                                                    <w:top w:val="none" w:sz="0" w:space="0" w:color="auto"/>
                                                                                    <w:left w:val="none" w:sz="0" w:space="0" w:color="auto"/>
                                                                                    <w:bottom w:val="none" w:sz="0" w:space="0" w:color="auto"/>
                                                                                    <w:right w:val="none" w:sz="0" w:space="0" w:color="auto"/>
                                                                                  </w:divBdr>
                                                                                  <w:divsChild>
                                                                                    <w:div w:id="1153449017">
                                                                                      <w:marLeft w:val="0"/>
                                                                                      <w:marRight w:val="0"/>
                                                                                      <w:marTop w:val="0"/>
                                                                                      <w:marBottom w:val="0"/>
                                                                                      <w:divBdr>
                                                                                        <w:top w:val="none" w:sz="0" w:space="0" w:color="auto"/>
                                                                                        <w:left w:val="none" w:sz="0" w:space="0" w:color="auto"/>
                                                                                        <w:bottom w:val="none" w:sz="0" w:space="0" w:color="auto"/>
                                                                                        <w:right w:val="none" w:sz="0" w:space="0" w:color="auto"/>
                                                                                      </w:divBdr>
                                                                                      <w:divsChild>
                                                                                        <w:div w:id="482745538">
                                                                                          <w:marLeft w:val="0"/>
                                                                                          <w:marRight w:val="0"/>
                                                                                          <w:marTop w:val="0"/>
                                                                                          <w:marBottom w:val="0"/>
                                                                                          <w:divBdr>
                                                                                            <w:top w:val="none" w:sz="0" w:space="0" w:color="auto"/>
                                                                                            <w:left w:val="none" w:sz="0" w:space="0" w:color="auto"/>
                                                                                            <w:bottom w:val="none" w:sz="0" w:space="0" w:color="auto"/>
                                                                                            <w:right w:val="none" w:sz="0" w:space="0" w:color="auto"/>
                                                                                          </w:divBdr>
                                                                                          <w:divsChild>
                                                                                            <w:div w:id="1689915981">
                                                                                              <w:marLeft w:val="0"/>
                                                                                              <w:marRight w:val="0"/>
                                                                                              <w:marTop w:val="0"/>
                                                                                              <w:marBottom w:val="0"/>
                                                                                              <w:divBdr>
                                                                                                <w:top w:val="none" w:sz="0" w:space="0" w:color="auto"/>
                                                                                                <w:left w:val="none" w:sz="0" w:space="0" w:color="auto"/>
                                                                                                <w:bottom w:val="none" w:sz="0" w:space="0" w:color="auto"/>
                                                                                                <w:right w:val="none" w:sz="0" w:space="0" w:color="auto"/>
                                                                                              </w:divBdr>
                                                                                              <w:divsChild>
                                                                                                <w:div w:id="385569654">
                                                                                                  <w:marLeft w:val="0"/>
                                                                                                  <w:marRight w:val="0"/>
                                                                                                  <w:marTop w:val="0"/>
                                                                                                  <w:marBottom w:val="0"/>
                                                                                                  <w:divBdr>
                                                                                                    <w:top w:val="none" w:sz="0" w:space="0" w:color="auto"/>
                                                                                                    <w:left w:val="none" w:sz="0" w:space="0" w:color="auto"/>
                                                                                                    <w:bottom w:val="none" w:sz="0" w:space="0" w:color="auto"/>
                                                                                                    <w:right w:val="none" w:sz="0" w:space="0" w:color="auto"/>
                                                                                                  </w:divBdr>
                                                                                                  <w:divsChild>
                                                                                                    <w:div w:id="1517841122">
                                                                                                      <w:marLeft w:val="0"/>
                                                                                                      <w:marRight w:val="0"/>
                                                                                                      <w:marTop w:val="0"/>
                                                                                                      <w:marBottom w:val="0"/>
                                                                                                      <w:divBdr>
                                                                                                        <w:top w:val="none" w:sz="0" w:space="0" w:color="auto"/>
                                                                                                        <w:left w:val="none" w:sz="0" w:space="0" w:color="auto"/>
                                                                                                        <w:bottom w:val="none" w:sz="0" w:space="0" w:color="auto"/>
                                                                                                        <w:right w:val="none" w:sz="0" w:space="0" w:color="auto"/>
                                                                                                      </w:divBdr>
                                                                                                      <w:divsChild>
                                                                                                        <w:div w:id="9616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617796">
      <w:bodyDiv w:val="1"/>
      <w:marLeft w:val="0"/>
      <w:marRight w:val="0"/>
      <w:marTop w:val="0"/>
      <w:marBottom w:val="0"/>
      <w:divBdr>
        <w:top w:val="none" w:sz="0" w:space="0" w:color="auto"/>
        <w:left w:val="none" w:sz="0" w:space="0" w:color="auto"/>
        <w:bottom w:val="none" w:sz="0" w:space="0" w:color="auto"/>
        <w:right w:val="none" w:sz="0" w:space="0" w:color="auto"/>
      </w:divBdr>
    </w:div>
    <w:div w:id="1753547081">
      <w:bodyDiv w:val="1"/>
      <w:marLeft w:val="0"/>
      <w:marRight w:val="0"/>
      <w:marTop w:val="0"/>
      <w:marBottom w:val="0"/>
      <w:divBdr>
        <w:top w:val="none" w:sz="0" w:space="0" w:color="auto"/>
        <w:left w:val="none" w:sz="0" w:space="0" w:color="auto"/>
        <w:bottom w:val="none" w:sz="0" w:space="0" w:color="auto"/>
        <w:right w:val="none" w:sz="0" w:space="0" w:color="auto"/>
      </w:divBdr>
      <w:divsChild>
        <w:div w:id="1090348986">
          <w:marLeft w:val="0"/>
          <w:marRight w:val="0"/>
          <w:marTop w:val="0"/>
          <w:marBottom w:val="0"/>
          <w:divBdr>
            <w:top w:val="none" w:sz="0" w:space="0" w:color="auto"/>
            <w:left w:val="none" w:sz="0" w:space="0" w:color="auto"/>
            <w:bottom w:val="none" w:sz="0" w:space="0" w:color="auto"/>
            <w:right w:val="none" w:sz="0" w:space="0" w:color="auto"/>
          </w:divBdr>
        </w:div>
        <w:div w:id="1225137202">
          <w:marLeft w:val="0"/>
          <w:marRight w:val="0"/>
          <w:marTop w:val="0"/>
          <w:marBottom w:val="0"/>
          <w:divBdr>
            <w:top w:val="none" w:sz="0" w:space="0" w:color="auto"/>
            <w:left w:val="none" w:sz="0" w:space="0" w:color="auto"/>
            <w:bottom w:val="none" w:sz="0" w:space="0" w:color="auto"/>
            <w:right w:val="none" w:sz="0" w:space="0" w:color="auto"/>
          </w:divBdr>
        </w:div>
      </w:divsChild>
    </w:div>
    <w:div w:id="1803770766">
      <w:bodyDiv w:val="1"/>
      <w:marLeft w:val="0"/>
      <w:marRight w:val="0"/>
      <w:marTop w:val="0"/>
      <w:marBottom w:val="0"/>
      <w:divBdr>
        <w:top w:val="none" w:sz="0" w:space="0" w:color="auto"/>
        <w:left w:val="none" w:sz="0" w:space="0" w:color="auto"/>
        <w:bottom w:val="none" w:sz="0" w:space="0" w:color="auto"/>
        <w:right w:val="none" w:sz="0" w:space="0" w:color="auto"/>
      </w:divBdr>
      <w:divsChild>
        <w:div w:id="188027634">
          <w:marLeft w:val="0"/>
          <w:marRight w:val="0"/>
          <w:marTop w:val="0"/>
          <w:marBottom w:val="0"/>
          <w:divBdr>
            <w:top w:val="none" w:sz="0" w:space="0" w:color="auto"/>
            <w:left w:val="none" w:sz="0" w:space="0" w:color="auto"/>
            <w:bottom w:val="none" w:sz="0" w:space="0" w:color="auto"/>
            <w:right w:val="none" w:sz="0" w:space="0" w:color="auto"/>
          </w:divBdr>
        </w:div>
        <w:div w:id="1630667519">
          <w:marLeft w:val="0"/>
          <w:marRight w:val="0"/>
          <w:marTop w:val="0"/>
          <w:marBottom w:val="0"/>
          <w:divBdr>
            <w:top w:val="none" w:sz="0" w:space="0" w:color="auto"/>
            <w:left w:val="none" w:sz="0" w:space="0" w:color="auto"/>
            <w:bottom w:val="none" w:sz="0" w:space="0" w:color="auto"/>
            <w:right w:val="none" w:sz="0" w:space="0" w:color="auto"/>
          </w:divBdr>
        </w:div>
        <w:div w:id="2051416299">
          <w:marLeft w:val="0"/>
          <w:marRight w:val="0"/>
          <w:marTop w:val="0"/>
          <w:marBottom w:val="0"/>
          <w:divBdr>
            <w:top w:val="none" w:sz="0" w:space="0" w:color="auto"/>
            <w:left w:val="none" w:sz="0" w:space="0" w:color="auto"/>
            <w:bottom w:val="none" w:sz="0" w:space="0" w:color="auto"/>
            <w:right w:val="none" w:sz="0" w:space="0" w:color="auto"/>
          </w:divBdr>
        </w:div>
      </w:divsChild>
    </w:div>
    <w:div w:id="1816750094">
      <w:bodyDiv w:val="1"/>
      <w:marLeft w:val="0"/>
      <w:marRight w:val="0"/>
      <w:marTop w:val="0"/>
      <w:marBottom w:val="0"/>
      <w:divBdr>
        <w:top w:val="none" w:sz="0" w:space="0" w:color="auto"/>
        <w:left w:val="none" w:sz="0" w:space="0" w:color="auto"/>
        <w:bottom w:val="none" w:sz="0" w:space="0" w:color="auto"/>
        <w:right w:val="none" w:sz="0" w:space="0" w:color="auto"/>
      </w:divBdr>
      <w:divsChild>
        <w:div w:id="1036928545">
          <w:marLeft w:val="547"/>
          <w:marRight w:val="0"/>
          <w:marTop w:val="115"/>
          <w:marBottom w:val="0"/>
          <w:divBdr>
            <w:top w:val="none" w:sz="0" w:space="0" w:color="auto"/>
            <w:left w:val="none" w:sz="0" w:space="0" w:color="auto"/>
            <w:bottom w:val="none" w:sz="0" w:space="0" w:color="auto"/>
            <w:right w:val="none" w:sz="0" w:space="0" w:color="auto"/>
          </w:divBdr>
        </w:div>
      </w:divsChild>
    </w:div>
    <w:div w:id="2025863422">
      <w:bodyDiv w:val="1"/>
      <w:marLeft w:val="0"/>
      <w:marRight w:val="0"/>
      <w:marTop w:val="0"/>
      <w:marBottom w:val="0"/>
      <w:divBdr>
        <w:top w:val="none" w:sz="0" w:space="0" w:color="auto"/>
        <w:left w:val="none" w:sz="0" w:space="0" w:color="auto"/>
        <w:bottom w:val="none" w:sz="0" w:space="0" w:color="auto"/>
        <w:right w:val="none" w:sz="0" w:space="0" w:color="auto"/>
      </w:divBdr>
    </w:div>
    <w:div w:id="2036467526">
      <w:bodyDiv w:val="1"/>
      <w:marLeft w:val="0"/>
      <w:marRight w:val="0"/>
      <w:marTop w:val="0"/>
      <w:marBottom w:val="0"/>
      <w:divBdr>
        <w:top w:val="none" w:sz="0" w:space="0" w:color="auto"/>
        <w:left w:val="none" w:sz="0" w:space="0" w:color="auto"/>
        <w:bottom w:val="none" w:sz="0" w:space="0" w:color="auto"/>
        <w:right w:val="none" w:sz="0" w:space="0" w:color="auto"/>
      </w:divBdr>
    </w:div>
    <w:div w:id="2041127150">
      <w:bodyDiv w:val="1"/>
      <w:marLeft w:val="0"/>
      <w:marRight w:val="0"/>
      <w:marTop w:val="0"/>
      <w:marBottom w:val="0"/>
      <w:divBdr>
        <w:top w:val="none" w:sz="0" w:space="0" w:color="auto"/>
        <w:left w:val="none" w:sz="0" w:space="0" w:color="auto"/>
        <w:bottom w:val="none" w:sz="0" w:space="0" w:color="auto"/>
        <w:right w:val="none" w:sz="0" w:space="0" w:color="auto"/>
      </w:divBdr>
      <w:divsChild>
        <w:div w:id="1217738525">
          <w:marLeft w:val="0"/>
          <w:marRight w:val="0"/>
          <w:marTop w:val="0"/>
          <w:marBottom w:val="0"/>
          <w:divBdr>
            <w:top w:val="none" w:sz="0" w:space="0" w:color="auto"/>
            <w:left w:val="none" w:sz="0" w:space="0" w:color="auto"/>
            <w:bottom w:val="none" w:sz="0" w:space="0" w:color="auto"/>
            <w:right w:val="none" w:sz="0" w:space="0" w:color="auto"/>
          </w:divBdr>
        </w:div>
      </w:divsChild>
    </w:div>
    <w:div w:id="2072654409">
      <w:bodyDiv w:val="1"/>
      <w:marLeft w:val="0"/>
      <w:marRight w:val="0"/>
      <w:marTop w:val="0"/>
      <w:marBottom w:val="0"/>
      <w:divBdr>
        <w:top w:val="none" w:sz="0" w:space="0" w:color="auto"/>
        <w:left w:val="none" w:sz="0" w:space="0" w:color="auto"/>
        <w:bottom w:val="none" w:sz="0" w:space="0" w:color="auto"/>
        <w:right w:val="none" w:sz="0" w:space="0" w:color="auto"/>
      </w:divBdr>
      <w:divsChild>
        <w:div w:id="1277786397">
          <w:marLeft w:val="0"/>
          <w:marRight w:val="0"/>
          <w:marTop w:val="0"/>
          <w:marBottom w:val="0"/>
          <w:divBdr>
            <w:top w:val="none" w:sz="0" w:space="0" w:color="auto"/>
            <w:left w:val="none" w:sz="0" w:space="0" w:color="auto"/>
            <w:bottom w:val="none" w:sz="0" w:space="0" w:color="auto"/>
            <w:right w:val="none" w:sz="0" w:space="0" w:color="auto"/>
          </w:divBdr>
        </w:div>
        <w:div w:id="1911305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ncbi.nlm.nih.gov/pubmed/?term=Lovly%20CM%5BAuthor%5D&amp;cauthor=true&amp;cauthor_uid=24875859" TargetMode="External"/><Relationship Id="rId26" Type="http://schemas.openxmlformats.org/officeDocument/2006/relationships/hyperlink" Target="http://www.ncbi.nlm.nih.gov/pubmed/?term=Ladanyi%20M%5Bauth%5D" TargetMode="External"/><Relationship Id="rId39" Type="http://schemas.openxmlformats.org/officeDocument/2006/relationships/hyperlink" Target="http://www.ncbi.nlm.nih.gov/pubmed/?term=Desai%20S%5BAuthor%5D&amp;cauthor=true&amp;cauthor_uid=24455567%22%20%5Ct%20%22_parent" TargetMode="External"/><Relationship Id="rId3" Type="http://schemas.openxmlformats.org/officeDocument/2006/relationships/customXml" Target="../customXml/item3.xml"/><Relationship Id="rId21" Type="http://schemas.openxmlformats.org/officeDocument/2006/relationships/hyperlink" Target="http://www.ncbi.nlm.nih.gov/pubmed/24875859" TargetMode="External"/><Relationship Id="rId34" Type="http://schemas.openxmlformats.org/officeDocument/2006/relationships/hyperlink" Target="http://www.ncbi.nlm.nih.gov/pubmed/?term=Bang%20YJ%5Bauth%5D" TargetMode="External"/><Relationship Id="rId42" Type="http://schemas.openxmlformats.org/officeDocument/2006/relationships/image" Target="media/image2.jpe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dx.doi.org/10.1155/2014/470340" TargetMode="External"/><Relationship Id="rId25" Type="http://schemas.openxmlformats.org/officeDocument/2006/relationships/hyperlink" Target="https://www.ncbi.nlm.nih.gov/pubmed/28787259" TargetMode="External"/><Relationship Id="rId33" Type="http://schemas.openxmlformats.org/officeDocument/2006/relationships/hyperlink" Target="http://www.ema.europa.eu/docs/en_GB/document_library/EPAR_" TargetMode="External"/><Relationship Id="rId38" Type="http://schemas.openxmlformats.org/officeDocument/2006/relationships/hyperlink" Target="http://www.ncbi.nlm.nih.gov/pubmed/?term=Joshi%20A%5BAuthor%5D&amp;cauthor=true&amp;cauthor_uid=24455567%22%20%5Ct%20%22_parent"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ortc.be/services/doc/protocols/90101v10.0.pdf" TargetMode="External"/><Relationship Id="rId20" Type="http://schemas.openxmlformats.org/officeDocument/2006/relationships/hyperlink" Target="http://www.ncbi.nlm.nih.gov/pubmed/?term=Lipson%20D%5BAuthor%5D&amp;cauthor=true&amp;cauthor_uid=24875859" TargetMode="External"/><Relationship Id="rId29" Type="http://schemas.openxmlformats.org/officeDocument/2006/relationships/hyperlink" Target="http://www.ncbi.nlm.nih.gov/pubmed/?term=Akalin%20T%5Bauth%5D"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cbi.nlm.nih.gov/pubmed/?term=Lim%20MS%5BAuthor%5D&amp;cauthor=true&amp;cauthor_uid=28787259" TargetMode="External"/><Relationship Id="rId32" Type="http://schemas.openxmlformats.org/officeDocument/2006/relationships/hyperlink" Target="http://www.ncbi.nlm.nih.gov/pubmed/21154129" TargetMode="External"/><Relationship Id="rId37" Type="http://schemas.openxmlformats.org/officeDocument/2006/relationships/hyperlink" Target="http://www.ncbi.nlm.nih.gov/pubmed/?term=Noronha%20V%5BAuthor%5D&amp;cauthor=true&amp;cauthor_uid=24455567%22%20%5Ct%20%22_parent" TargetMode="External"/><Relationship Id="rId40" Type="http://schemas.openxmlformats.org/officeDocument/2006/relationships/hyperlink" Target="http://www.ncbi.nlm.nih.gov/pubmed/24455567%22%20%5Ct%20%22_parent"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clinicaltrials.gov/show/NCT01524926" TargetMode="External"/><Relationship Id="rId23" Type="http://schemas.openxmlformats.org/officeDocument/2006/relationships/hyperlink" Target="https://www.ncbi.nlm.nih.gov/pubmed/?term=Voss%20SD%5BAuthor%5D&amp;cauthor=true&amp;cauthor_uid=28787259" TargetMode="External"/><Relationship Id="rId28" Type="http://schemas.openxmlformats.org/officeDocument/2006/relationships/hyperlink" Target="http://www.ncbi.nlm.nih.gov/pubmed/?term=Ozturk%20S%5Bauth%5D" TargetMode="External"/><Relationship Id="rId36" Type="http://schemas.openxmlformats.org/officeDocument/2006/relationships/hyperlink" Target="http://www.ncbi.nlm.nih.gov/pubmed/?term=Prabhash%20K%5BAuthor%5D&amp;cauthor=true&amp;cauthor_uid=24455567%22%20%5Ct%20%22_parent" TargetMode="External"/><Relationship Id="rId49" Type="http://schemas.openxmlformats.org/officeDocument/2006/relationships/header" Target="header2.xml"/><Relationship Id="rId61"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www.ncbi.nlm.nih.gov/pubmed/?term=Gupta%20A%5BAuthor%5D&amp;cauthor=true&amp;cauthor_uid=24875859" TargetMode="External"/><Relationship Id="rId31" Type="http://schemas.openxmlformats.org/officeDocument/2006/relationships/hyperlink" Target="http://www.ncbi.nlm.nih.gov/pubmed/?term=Rodig%20SJ%5BAuthor%5D&amp;cauthor=true&amp;cauthor_uid=21154129"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patrick.schoffski@uzleuven.be" TargetMode="External"/><Relationship Id="rId22" Type="http://schemas.openxmlformats.org/officeDocument/2006/relationships/hyperlink" Target="https://www.ncbi.nlm.nih.gov/pubmed/?term=Moss%C3%A9%20YP%5BAuthor%5D&amp;cauthor=true&amp;cauthor_uid=28787259" TargetMode="External"/><Relationship Id="rId27" Type="http://schemas.openxmlformats.org/officeDocument/2006/relationships/hyperlink" Target="http://www.ncbi.nlm.nih.gov/pubmed/?term=Firat%20O%5Bauth%5D" TargetMode="External"/><Relationship Id="rId30" Type="http://schemas.openxmlformats.org/officeDocument/2006/relationships/hyperlink" Target="http://www.ncbi.nlm.nih.gov/pubmed/?term=Coker%20A%5Bauth%5D" TargetMode="External"/><Relationship Id="rId35" Type="http://schemas.openxmlformats.org/officeDocument/2006/relationships/hyperlink" Target="http://www.ncbi.nlm.nih.gov/pubmed/?term=Sahu%20A%5BAuthor%5D&amp;cauthor=true&amp;cauthor_uid=24455567%22%20%5Ct%20%22_parent" TargetMode="External"/><Relationship Id="rId43" Type="http://schemas.openxmlformats.org/officeDocument/2006/relationships/image" Target="media/image3.jpeg"/><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eipt_x0020_Date xmlns="34c74c1e-317b-494a-90b3-c1c029eb0a28" xsi:nil="true"/>
    <EORTC_x0020_Zone xmlns="34c74c1e-317b-494a-90b3-c1c029eb0a28">8</EORTC_x0020_Zone>
    <Modality xmlns="34c74c1e-317b-494a-90b3-c1c029eb0a28" xsi:nil="true"/>
    <Archived xmlns="34c74c1e-317b-494a-90b3-c1c029eb0a28">false</Archived>
    <GCP_x0020_Training xmlns="34c74c1e-317b-494a-90b3-c1c029eb0a28" xsi:nil="true"/>
    <EORTCSection xmlns="34c74c1e-317b-494a-90b3-c1c029eb0a28">41</EORTCSection>
    <ExportFolder xmlns="34c74c1e-317b-494a-90b3-c1c029eb0a28" xsi:nil="true"/>
    <IRB-IEC_x0020_Requirement xmlns="34c74c1e-317b-494a-90b3-c1c029eb0a28">false</IRB-IEC_x0020_Requirement>
    <File_x0020_Plan_x0020_Version xmlns="34c74c1e-317b-494a-90b3-c1c029eb0a28" xsi:nil="true"/>
    <CA_x0020_Requirement xmlns="34c74c1e-317b-494a-90b3-c1c029eb0a28">false</CA_x0020_Requirement>
    <Rename xmlns="34c74c1e-317b-494a-90b3-c1c029eb0a28" xsi:nil="true"/>
    <EORTC_x0020_Template xmlns="6df07a32-ca69-471e-8b92-0013f00be126" xsi:nil="true"/>
    <Document_x0020_Source xmlns="34c74c1e-317b-494a-90b3-c1c029eb0a28" xsi:nil="true"/>
    <Protocol_x0020_Amendment_x0020_Number xmlns="34c74c1e-317b-494a-90b3-c1c029eb0a28" xsi:nil="true"/>
    <Expiry_x0020_Date xmlns="34c74c1e-317b-494a-90b3-c1c029eb0a28" xsi:nil="true"/>
    <Company_x0020_Name xmlns="34c74c1e-317b-494a-90b3-c1c029eb0a28" xsi:nil="true"/>
    <Language_x0020_Code xmlns="34c74c1e-317b-494a-90b3-c1c029eb0a28" xsi:nil="true"/>
    <IBType xmlns="34c74c1e-317b-494a-90b3-c1c029eb0a28" xsi:nil="true"/>
    <Sublission_x0020_Date xmlns="34c74c1e-317b-494a-90b3-c1c029eb0a28" xsi:nil="true"/>
    <Web_x0020_Document xmlns="34c74c1e-317b-494a-90b3-c1c029eb0a28">false</Web_x0020_Document>
    <Approval_x0020_Date xmlns="34c74c1e-317b-494a-90b3-c1c029eb0a28" xsi:nil="true"/>
    <Study xmlns="34c74c1e-317b-494a-90b3-c1c029eb0a28">90101</Study>
    <PI_x0020_Name xmlns="34c74c1e-317b-494a-90b3-c1c029eb0a28" xsi:nil="true"/>
    <CV_x0020_Site_x0020_Number xmlns="34c74c1e-317b-494a-90b3-c1c029eb0a28" xsi:nil="true"/>
    <Release_x0020_Date xmlns="34c74c1e-317b-494a-90b3-c1c029eb0a28" xsi:nil="true"/>
    <Review_x0020_Date xmlns="34c74c1e-317b-494a-90b3-c1c029eb0a28" xsi:nil="true"/>
    <Facility_x0020_type xmlns="34c74c1e-317b-494a-90b3-c1c029eb0a28" xsi:nil="true"/>
    <Revision_x0020_Number xmlns="34c74c1e-317b-494a-90b3-c1c029eb0a28" xsi:nil="true"/>
    <Owner xmlns="6DF07A32-CA69-471E-8B92-0013F00BE126">
      <UserInfo>
        <DisplayName/>
        <AccountId xsi:nil="true"/>
        <AccountType/>
      </UserInfo>
    </Owner>
    <m3e2f07992ed4da9ab57824932a9d319 xmlns="34c74c1e-317b-494a-90b3-c1c029eb0a28">
      <Terms xmlns="http://schemas.microsoft.com/office/infopath/2007/PartnerControls">
        <TermInfo xmlns="http://schemas.microsoft.com/office/infopath/2007/PartnerControls">
          <TermName xmlns="http://schemas.microsoft.com/office/infopath/2007/PartnerControls">Work Document</TermName>
          <TermId xmlns="http://schemas.microsoft.com/office/infopath/2007/PartnerControls">c417fe0d-bea6-4111-9fd3-15d9b64ed0e5</TermId>
        </TermInfo>
      </Terms>
    </m3e2f07992ed4da9ab57824932a9d319>
    <Equipment xmlns="34c74c1e-317b-494a-90b3-c1c029eb0a28" xsi:nil="true"/>
    <Country_x0020_Code xmlns="34c74c1e-317b-494a-90b3-c1c029eb0a28" xsi:nil="true"/>
    <Facility_x0020_name xmlns="34c74c1e-317b-494a-90b3-c1c029eb0a28" xsi:nil="true"/>
    <Correspondance_x0020_type xmlns="34c74c1e-317b-494a-90b3-c1c029eb0a28" xsi:nil="true"/>
    <Drug_x0020_Name xmlns="34c74c1e-317b-494a-90b3-c1c029eb0a28" xsi:nil="true"/>
    <Signature_x0020_Date xmlns="34c74c1e-317b-494a-90b3-c1c029eb0a28" xsi:nil="true"/>
    <Confidential1 xmlns="34c74c1e-317b-494a-90b3-c1c029eb0a28">false</Confidential1>
    <Auditable xmlns="34c74c1e-317b-494a-90b3-c1c029eb0a28">true</Auditable>
    <Submission_x0020_Number xmlns="34c74c1e-317b-494a-90b3-c1c029eb0a28" xsi:nil="true"/>
    <_Status xmlns="http://schemas.microsoft.com/sharepoint/v3/fields">Not Started</_Status>
    <_dlc_DocId xmlns="a602533b-95d9-45d7-835c-32eec3b38757">EORTC2016-1739223485-62</_dlc_DocId>
    <TaxCatchAll xmlns="a602533b-95d9-45d7-835c-32eec3b38757">
      <Value>34</Value>
    </TaxCatchAll>
    <_dlc_DocIdUrl xmlns="a602533b-95d9-45d7-835c-32eec3b38757">
      <Url>http://portal2016.eortc.be/Clinical_Trials/90101/_layouts/15/DocIdRedir.aspx?ID=EORTC2016-1739223485-62</Url>
      <Description>EORTC2016-1739223485-62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ORTC Clinical Trials 2016" ma:contentTypeID="0x010100C000D8EEDC91FE4BBB0262C5C853ED23" ma:contentTypeVersion="0" ma:contentTypeDescription="EORTC Clinical Trials 2016" ma:contentTypeScope="" ma:versionID="5d5b1862ea06c17d207d30ad4bd8f288">
  <xsd:schema xmlns:xsd="http://www.w3.org/2001/XMLSchema" xmlns:xs="http://www.w3.org/2001/XMLSchema" xmlns:p="http://schemas.microsoft.com/office/2006/metadata/properties" xmlns:ns1="34c74c1e-317b-494a-90b3-c1c029eb0a28" xmlns:ns3="6DF07A32-CA69-471E-8B92-0013F00BE126" xmlns:ns4="http://schemas.microsoft.com/sharepoint/v3/fields" xmlns:ns5="6df07a32-ca69-471e-8b92-0013f00be126" xmlns:ns6="a602533b-95d9-45d7-835c-32eec3b38757" targetNamespace="http://schemas.microsoft.com/office/2006/metadata/properties" ma:root="true" ma:fieldsID="3bfae88a11dcc8acaa7501adee1dd8b8" ns1:_="" ns3:_="" ns4:_="" ns5:_="" ns6:_="">
    <xsd:import namespace="34c74c1e-317b-494a-90b3-c1c029eb0a28"/>
    <xsd:import namespace="6DF07A32-CA69-471E-8B92-0013F00BE126"/>
    <xsd:import namespace="http://schemas.microsoft.com/sharepoint/v3/fields"/>
    <xsd:import namespace="6df07a32-ca69-471e-8b92-0013f00be126"/>
    <xsd:import namespace="a602533b-95d9-45d7-835c-32eec3b38757"/>
    <xsd:element name="properties">
      <xsd:complexType>
        <xsd:sequence>
          <xsd:element name="documentManagement">
            <xsd:complexType>
              <xsd:all>
                <xsd:element ref="ns1:EORTC_x0020_Zone" minOccurs="0"/>
                <xsd:element ref="ns1:EORTCSection" minOccurs="0"/>
                <xsd:element ref="ns1:Country_x0020_Code" minOccurs="0"/>
                <xsd:element ref="ns1:Language_x0020_Code" minOccurs="0"/>
                <xsd:element ref="ns1:CV_x0020_Site_x0020_Number" minOccurs="0"/>
                <xsd:element ref="ns1:PI_x0020_Name" minOccurs="0"/>
                <xsd:element ref="ns1:IBType" minOccurs="0"/>
                <xsd:element ref="ns1:Drug_x0020_Name" minOccurs="0"/>
                <xsd:element ref="ns1:Company_x0020_Name" minOccurs="0"/>
                <xsd:element ref="ns1:Facility_x0020_name" minOccurs="0"/>
                <xsd:element ref="ns1:Facility_x0020_type" minOccurs="0"/>
                <xsd:element ref="ns1:Receipt_x0020_Date" minOccurs="0"/>
                <xsd:element ref="ns1:Approval_x0020_Date" minOccurs="0"/>
                <xsd:element ref="ns1:Signature_x0020_Date" minOccurs="0"/>
                <xsd:element ref="ns1:Sublission_x0020_Date" minOccurs="0"/>
                <xsd:element ref="ns1:Release_x0020_Date" minOccurs="0"/>
                <xsd:element ref="ns1:Review_x0020_Date" minOccurs="0"/>
                <xsd:element ref="ns1:Expiry_x0020_Date" minOccurs="0"/>
                <xsd:element ref="ns1:GCP_x0020_Training" minOccurs="0"/>
                <xsd:element ref="ns1:Revision_x0020_Number" minOccurs="0"/>
                <xsd:element ref="ns1:Correspondance_x0020_type" minOccurs="0"/>
                <xsd:element ref="ns1:Study" minOccurs="0"/>
                <xsd:element ref="ns1:Submission_x0020_Number" minOccurs="0"/>
                <xsd:element ref="ns1:Protocol_x0020_Amendment_x0020_Number" minOccurs="0"/>
                <xsd:element ref="ns3:Owner" minOccurs="0"/>
                <xsd:element ref="ns1:Document_x0020_Source" minOccurs="0"/>
                <xsd:element ref="ns1:Confidential1" minOccurs="0"/>
                <xsd:element ref="ns1:CA_x0020_Requirement" minOccurs="0"/>
                <xsd:element ref="ns1:IRB-IEC_x0020_Requirement" minOccurs="0"/>
                <xsd:element ref="ns4:_Status" minOccurs="0"/>
                <xsd:element ref="ns1:Rename" minOccurs="0"/>
                <xsd:element ref="ns5:EORTC_x0020_Template" minOccurs="0"/>
                <xsd:element ref="ns1:Web_x0020_Document" minOccurs="0"/>
                <xsd:element ref="ns1:Auditable" minOccurs="0"/>
                <xsd:element ref="ns1:File_x0020_Plan_x0020_Version" minOccurs="0"/>
                <xsd:element ref="ns1:m3e2f07992ed4da9ab57824932a9d319" minOccurs="0"/>
                <xsd:element ref="ns1:CV_x0020_Site_x0020_Number_x003a_Institution_x0020_Country_x0020_Name" minOccurs="0"/>
                <xsd:element ref="ns1:CV_x0020_Site_x0020_Number_x003a_Institution_x0020_Name" minOccurs="0"/>
                <xsd:element ref="ns1:CV_x0020_Site_x0020_Number_x003a_Institution_x0020_Country_x0020_Code" minOccurs="0"/>
                <xsd:element ref="ns6:_dlc_DocId" minOccurs="0"/>
                <xsd:element ref="ns6:_dlc_DocIdUrl" minOccurs="0"/>
                <xsd:element ref="ns1:Language_x0020_Code_x003a_Language" minOccurs="0"/>
                <xsd:element ref="ns6:_dlc_DocIdPersistId" minOccurs="0"/>
                <xsd:element ref="ns1:Country_x0020_Code_x003a_Country_x0020_Name" minOccurs="0"/>
                <xsd:element ref="ns6:TaxCatchAll" minOccurs="0"/>
                <xsd:element ref="ns6:TaxCatchAllLabel" minOccurs="0"/>
                <xsd:element ref="ns1:ExportFolder" minOccurs="0"/>
                <xsd:element ref="ns1:Equipment" minOccurs="0"/>
                <xsd:element ref="ns1:Modality" minOccurs="0"/>
                <xsd:element ref="ns1: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4c1e-317b-494a-90b3-c1c029eb0a28" elementFormDefault="qualified">
    <xsd:import namespace="http://schemas.microsoft.com/office/2006/documentManagement/types"/>
    <xsd:import namespace="http://schemas.microsoft.com/office/infopath/2007/PartnerControls"/>
    <xsd:element name="EORTC_x0020_Zone" ma:index="0" nillable="true" ma:displayName="EORTC Zone" ma:list="{30585372-2361-48bd-9ca5-4328b9b321ca}" ma:internalName="EORTC_x0020_Zone" ma:showField="Title" ma:web="123c64c8-b108-4b34-af72-849d52a10822">
      <xsd:simpleType>
        <xsd:restriction base="dms:Lookup"/>
      </xsd:simpleType>
    </xsd:element>
    <xsd:element name="EORTCSection" ma:index="1" nillable="true" ma:displayName="EORTC Section" ma:list="{62e6168a-8d63-4c09-95c9-83574d35ce7d}" ma:internalName="EORTCSection" ma:showField="Zone_x002d_Section" ma:web="123c64c8-b108-4b34-af72-849d52a10822">
      <xsd:simpleType>
        <xsd:restriction base="dms:Lookup"/>
      </xsd:simpleType>
    </xsd:element>
    <xsd:element name="Country_x0020_Code" ma:index="5" nillable="true" ma:displayName="Country Code" ma:list="{b3400215-5bff-4cad-acf1-cc428d0bcf21}" ma:internalName="Country_x0020_Code" ma:showField="Title" ma:web="123c64c8-b108-4b34-af72-849d52a10822">
      <xsd:simpleType>
        <xsd:restriction base="dms:Lookup"/>
      </xsd:simpleType>
    </xsd:element>
    <xsd:element name="Language_x0020_Code" ma:index="6" nillable="true" ma:displayName="Language Code" ma:description="Document language using ISO code" ma:list="{29160c39-e92c-4104-8c2c-0eb36fc9d85e}" ma:internalName="Language_x0020_Code" ma:showField="Title" ma:web="123c64c8-b108-4b34-af72-849d52a10822">
      <xsd:simpleType>
        <xsd:restriction base="dms:Lookup"/>
      </xsd:simpleType>
    </xsd:element>
    <xsd:element name="CV_x0020_Site_x0020_Number" ma:index="7" nillable="true" ma:displayName="Site Number" ma:list="{0c2b1a35-66ca-41b9-a46c-785feda5a430}" ma:internalName="CV_x0020_Site_x0020_Number" ma:showField="Institution" ma:web="123c64c8-b108-4b34-af72-849d52a10822">
      <xsd:simpleType>
        <xsd:restriction base="dms:Lookup"/>
      </xsd:simpleType>
    </xsd:element>
    <xsd:element name="PI_x0020_Name" ma:index="8" nillable="true" ma:displayName="PI Name" ma:description="Principle Investigators name" ma:internalName="PI_x0020_Name">
      <xsd:simpleType>
        <xsd:restriction base="dms:Text">
          <xsd:maxLength value="255"/>
        </xsd:restriction>
      </xsd:simpleType>
    </xsd:element>
    <xsd:element name="IBType" ma:index="9" nillable="true" ma:displayName="IB_Type" ma:description="EORTC sub-type for IB and SmPCs." ma:list="{93242f58-309b-48be-b5d2-e103e4df65f6}" ma:internalName="IBType" ma:showField="Title" ma:web="123c64c8-b108-4b34-af72-849d52a10822">
      <xsd:simpleType>
        <xsd:restriction base="dms:Lookup"/>
      </xsd:simpleType>
    </xsd:element>
    <xsd:element name="Drug_x0020_Name" ma:index="10" nillable="true" ma:displayName="Drug Name" ma:description="INN drug name and/or code." ma:list="{88a10e7c-af80-47be-9135-6049967aadc8}" ma:internalName="Drug_x0020_Name" ma:showField="LinkTitleNoMenu" ma:web="123c64c8-b108-4b34-af72-849d52a10822">
      <xsd:simpleType>
        <xsd:restriction base="dms:Lookup"/>
      </xsd:simpleType>
    </xsd:element>
    <xsd:element name="Company_x0020_Name" ma:index="11" nillable="true" ma:displayName="Company Name" ma:list="{fb9260e2-0727-4857-9a86-6d874f914b7e}" ma:internalName="Company_x0020_Name" ma:showField="Title" ma:web="123c64c8-b108-4b34-af72-849d52a10822">
      <xsd:simpleType>
        <xsd:restriction base="dms:Lookup"/>
      </xsd:simpleType>
    </xsd:element>
    <xsd:element name="Facility_x0020_name" ma:index="12" nillable="true" ma:displayName="Facility name" ma:internalName="Facility_x0020_name">
      <xsd:simpleType>
        <xsd:restriction base="dms:Text">
          <xsd:maxLength value="255"/>
        </xsd:restriction>
      </xsd:simpleType>
    </xsd:element>
    <xsd:element name="Facility_x0020_type" ma:index="13" nillable="true" ma:displayName="Facility type" ma:internalName="Facility_x0020_type">
      <xsd:simpleType>
        <xsd:restriction base="dms:Text">
          <xsd:maxLength value="255"/>
        </xsd:restriction>
      </xsd:simpleType>
    </xsd:element>
    <xsd:element name="Receipt_x0020_Date" ma:index="14" nillable="true" ma:displayName="Receipt Date" ma:format="DateOnly" ma:internalName="Receipt_x0020_Date">
      <xsd:simpleType>
        <xsd:restriction base="dms:DateTime"/>
      </xsd:simpleType>
    </xsd:element>
    <xsd:element name="Approval_x0020_Date" ma:index="15" nillable="true" ma:displayName="Approval Date" ma:format="DateOnly" ma:internalName="Approval_x0020_Date">
      <xsd:simpleType>
        <xsd:restriction base="dms:DateTime"/>
      </xsd:simpleType>
    </xsd:element>
    <xsd:element name="Signature_x0020_Date" ma:index="16" nillable="true" ma:displayName="Signature Date" ma:format="DateOnly" ma:internalName="Signature_x0020_Date">
      <xsd:simpleType>
        <xsd:restriction base="dms:DateTime"/>
      </xsd:simpleType>
    </xsd:element>
    <xsd:element name="Sublission_x0020_Date" ma:index="17" nillable="true" ma:displayName="Submission Date" ma:format="DateOnly" ma:internalName="Sublission_x0020_Date">
      <xsd:simpleType>
        <xsd:restriction base="dms:DateTime"/>
      </xsd:simpleType>
    </xsd:element>
    <xsd:element name="Release_x0020_Date" ma:index="18" nillable="true" ma:displayName="Release Date" ma:description="Date of the final revision." ma:format="DateOnly" ma:internalName="Release_x0020_Date">
      <xsd:simpleType>
        <xsd:restriction base="dms:DateTime"/>
      </xsd:simpleType>
    </xsd:element>
    <xsd:element name="Review_x0020_Date" ma:index="19" nillable="true" ma:displayName="Review Date" ma:format="DateOnly" ma:internalName="Review_x0020_Date">
      <xsd:simpleType>
        <xsd:restriction base="dms:DateTime"/>
      </xsd:simpleType>
    </xsd:element>
    <xsd:element name="Expiry_x0020_Date" ma:index="20" nillable="true" ma:displayName="Expiry Date" ma:format="DateOnly" ma:internalName="Expiry_x0020_Date">
      <xsd:simpleType>
        <xsd:restriction base="dms:DateTime"/>
      </xsd:simpleType>
    </xsd:element>
    <xsd:element name="GCP_x0020_Training" ma:index="21" nillable="true" ma:displayName="GCP Training" ma:description="GCP training is certified by; separate certificate, read and understood declaration, or indication in CV" ma:format="Dropdown" ma:internalName="GCP_x0020_Training">
      <xsd:simpleType>
        <xsd:restriction base="dms:Choice">
          <xsd:enumeration value="Certificate"/>
          <xsd:enumeration value="Read and Understood"/>
          <xsd:enumeration value="Included in CV"/>
        </xsd:restriction>
      </xsd:simpleType>
    </xsd:element>
    <xsd:element name="Revision_x0020_Number" ma:index="22" nillable="true" ma:displayName="Revision Number" ma:description="Internal version n°" ma:internalName="Revision_x0020_Number">
      <xsd:simpleType>
        <xsd:restriction base="dms:Text">
          <xsd:maxLength value="50"/>
        </xsd:restriction>
      </xsd:simpleType>
    </xsd:element>
    <xsd:element name="Correspondance_x0020_type" ma:index="23" nillable="true" ma:displayName="Correspondance type" ma:internalName="Correspondance_x0020_type">
      <xsd:simpleType>
        <xsd:restriction base="dms:Text">
          <xsd:maxLength value="255"/>
        </xsd:restriction>
      </xsd:simpleType>
    </xsd:element>
    <xsd:element name="Study" ma:index="24" nillable="true" ma:displayName="Study" ma:default="90101" ma:internalName="Study">
      <xsd:simpleType>
        <xsd:restriction base="dms:Text">
          <xsd:maxLength value="255"/>
        </xsd:restriction>
      </xsd:simpleType>
    </xsd:element>
    <xsd:element name="Submission_x0020_Number" ma:index="25" nillable="true" ma:displayName="Submission Number" ma:internalName="Submission_x0020_Number">
      <xsd:simpleType>
        <xsd:restriction base="dms:Text">
          <xsd:maxLength value="255"/>
        </xsd:restriction>
      </xsd:simpleType>
    </xsd:element>
    <xsd:element name="Protocol_x0020_Amendment_x0020_Number" ma:index="26" nillable="true" ma:displayName="Protocol Amendment Number" ma:internalName="Protocol_x0020_Amendment_x0020_Number">
      <xsd:simpleType>
        <xsd:restriction base="dms:Text">
          <xsd:maxLength value="255"/>
        </xsd:restriction>
      </xsd:simpleType>
    </xsd:element>
    <xsd:element name="Document_x0020_Source" ma:index="28" nillable="true" ma:displayName="Document Source" ma:description="Paper / electronic / internal / external" ma:list="{5d3e6bdd-bc94-497e-b0a2-3b1ac4f093f5}" ma:internalName="Document_x0020_Source" ma:showField="Title" ma:web="123c64c8-b108-4b34-af72-849d52a10822">
      <xsd:simpleType>
        <xsd:restriction base="dms:Lookup"/>
      </xsd:simpleType>
    </xsd:element>
    <xsd:element name="Confidential1" ma:index="29" nillable="true" ma:displayName="Confidential" ma:default="0" ma:description="Level of confidentiality (Stat only, doc blinded, etc?)&#10;" ma:internalName="Confidential1">
      <xsd:simpleType>
        <xsd:restriction base="dms:Boolean"/>
      </xsd:simpleType>
    </xsd:element>
    <xsd:element name="CA_x0020_Requirement" ma:index="30" nillable="true" ma:displayName="CA" ma:default="0" ma:internalName="CA_x0020_Requirement">
      <xsd:simpleType>
        <xsd:restriction base="dms:Boolean"/>
      </xsd:simpleType>
    </xsd:element>
    <xsd:element name="IRB-IEC_x0020_Requirement" ma:index="31" nillable="true" ma:displayName="EC" ma:default="0" ma:internalName="IRB_x002d_IEC_x0020_Requirement">
      <xsd:simpleType>
        <xsd:restriction base="dms:Boolean"/>
      </xsd:simpleType>
    </xsd:element>
    <xsd:element name="Rename" ma:index="34" nillable="true" ma:displayName="Rename" ma:description="Used to rename a document when extracting to zip (Download to Zip)" ma:internalName="Rename">
      <xsd:simpleType>
        <xsd:restriction base="dms:Text">
          <xsd:maxLength value="255"/>
        </xsd:restriction>
      </xsd:simpleType>
    </xsd:element>
    <xsd:element name="Web_x0020_Document" ma:index="36" nillable="true" ma:displayName="Web Document" ma:default="0" ma:description="Visible to investigator." ma:internalName="Web_x0020_Document">
      <xsd:simpleType>
        <xsd:restriction base="dms:Boolean"/>
      </xsd:simpleType>
    </xsd:element>
    <xsd:element name="Auditable" ma:index="37" nillable="true" ma:displayName="Auditable" ma:default="1" ma:description="Will this document be available to auditors?" ma:internalName="Auditable">
      <xsd:simpleType>
        <xsd:restriction base="dms:Boolean"/>
      </xsd:simpleType>
    </xsd:element>
    <xsd:element name="File_x0020_Plan_x0020_Version" ma:index="38" nillable="true" ma:displayName="File Plan Version" ma:description="EORTC File Plan version number" ma:list="{3620a15b-f07c-437f-8fad-88eb63641551}" ma:internalName="File_x0020_Plan_x0020_Version" ma:showField="Title" ma:web="123c64c8-b108-4b34-af72-849d52a10822">
      <xsd:simpleType>
        <xsd:restriction base="dms:Lookup"/>
      </xsd:simpleType>
    </xsd:element>
    <xsd:element name="m3e2f07992ed4da9ab57824932a9d319" ma:index="39" ma:taxonomy="true" ma:internalName="m3e2f07992ed4da9ab57824932a9d319" ma:taxonomyFieldName="EORTCDocumentTitle" ma:displayName="EORTC Document Title" ma:indexed="true" ma:default="" ma:fieldId="{63e2f079-92ed-4da9-ab57-824932a9d319}" ma:sspId="9e8e733c-92d0-46f1-af33-d1236ce7dc37" ma:termSetId="2c246961-5943-4158-8ea4-a90d5449e41a" ma:anchorId="00000000-0000-0000-0000-000000000000" ma:open="false" ma:isKeyword="false">
      <xsd:complexType>
        <xsd:sequence>
          <xsd:element ref="pc:Terms" minOccurs="0" maxOccurs="1"/>
        </xsd:sequence>
      </xsd:complexType>
    </xsd:element>
    <xsd:element name="CV_x0020_Site_x0020_Number_x003a_Institution_x0020_Country_x0020_Name" ma:index="41" nillable="true" ma:displayName="CV Site Number:Institution Country Name" ma:list="{0c2b1a35-66ca-41b9-a46c-785feda5a430}" ma:internalName="CV_x0020_Site_x0020_Number_x003A_Institution_x0020_Country_x0020_Name" ma:readOnly="true" ma:showField="Country_x0020_Name" ma:web="123c64c8-b108-4b34-af72-849d52a10822">
      <xsd:simpleType>
        <xsd:restriction base="dms:Lookup"/>
      </xsd:simpleType>
    </xsd:element>
    <xsd:element name="CV_x0020_Site_x0020_Number_x003a_Institution_x0020_Name" ma:index="42" nillable="true" ma:displayName="CV Site Number:Institution Name" ma:list="{0c2b1a35-66ca-41b9-a46c-785feda5a430}" ma:internalName="CV_x0020_Site_x0020_Number_x003A_Institution_x0020_Name" ma:readOnly="true" ma:showField="Title" ma:web="123c64c8-b108-4b34-af72-849d52a10822">
      <xsd:simpleType>
        <xsd:restriction base="dms:Lookup"/>
      </xsd:simpleType>
    </xsd:element>
    <xsd:element name="CV_x0020_Site_x0020_Number_x003a_Institution_x0020_Country_x0020_Code" ma:index="43" nillable="true" ma:displayName="CV Site Number:Institution Country Code" ma:list="{0c2b1a35-66ca-41b9-a46c-785feda5a430}" ma:internalName="CV_x0020_Site_x0020_Number_x003A_Institution_x0020_Country_x0020_Code" ma:readOnly="true" ma:showField="Country_x0020_Code" ma:web="123c64c8-b108-4b34-af72-849d52a10822">
      <xsd:simpleType>
        <xsd:restriction base="dms:Lookup"/>
      </xsd:simpleType>
    </xsd:element>
    <xsd:element name="Language_x0020_Code_x003a_Language" ma:index="47" nillable="true" ma:displayName="Language Code:Language" ma:list="{29160c39-e92c-4104-8c2c-0eb36fc9d85e}" ma:internalName="Language_x0020_Code_x003A_Language" ma:readOnly="true" ma:showField="Language0" ma:web="123c64c8-b108-4b34-af72-849d52a10822">
      <xsd:simpleType>
        <xsd:restriction base="dms:Lookup"/>
      </xsd:simpleType>
    </xsd:element>
    <xsd:element name="Country_x0020_Code_x003a_Country_x0020_Name" ma:index="51" nillable="true" ma:displayName="Country Code:Country Name" ma:list="{b3400215-5bff-4cad-acf1-cc428d0bcf21}" ma:internalName="Country_x0020_Code_x003A_Country_x0020_Name" ma:readOnly="true" ma:showField="Country_x0020_Name" ma:web="123c64c8-b108-4b34-af72-849d52a10822">
      <xsd:simpleType>
        <xsd:restriction base="dms:Lookup"/>
      </xsd:simpleType>
    </xsd:element>
    <xsd:element name="ExportFolder" ma:index="56" nillable="true" ma:displayName="Export Folder" ma:internalName="ExportFolder">
      <xsd:simpleType>
        <xsd:restriction base="dms:Text">
          <xsd:maxLength value="255"/>
        </xsd:restriction>
      </xsd:simpleType>
    </xsd:element>
    <xsd:element name="Equipment" ma:index="57" nillable="true" ma:displayName="Equipment" ma:internalName="Equipment">
      <xsd:simpleType>
        <xsd:restriction base="dms:Text">
          <xsd:maxLength value="255"/>
        </xsd:restriction>
      </xsd:simpleType>
    </xsd:element>
    <xsd:element name="Modality" ma:index="58" nillable="true" ma:displayName="Modality" ma:list="{8507da71-321e-4738-8ec2-1c7fa6b1b3c5}" ma:internalName="Modality" ma:showField="Title" ma:web="123c64c8-b108-4b34-af72-849d52a10822">
      <xsd:simpleType>
        <xsd:restriction base="dms:Lookup"/>
      </xsd:simpleType>
    </xsd:element>
    <xsd:element name="Archived" ma:index="59" nillable="true" ma:displayName="Archived" ma:default="0" ma:description="Indicates that this document is due for archiving."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F07A32-CA69-471E-8B92-0013F00BE126" elementFormDefault="qualified">
    <xsd:import namespace="http://schemas.microsoft.com/office/2006/documentManagement/types"/>
    <xsd:import namespace="http://schemas.microsoft.com/office/infopath/2007/PartnerControls"/>
    <xsd:element name="Owner" ma:index="27" nillable="true" ma:displayName="Owner" ma:description="Owner of this document" ma:list="UserInfo" ma:SearchPeopleOnly="false"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07a32-ca69-471e-8b92-0013f00be126" elementFormDefault="qualified">
    <xsd:import namespace="http://schemas.microsoft.com/office/2006/documentManagement/types"/>
    <xsd:import namespace="http://schemas.microsoft.com/office/infopath/2007/PartnerControls"/>
    <xsd:element name="EORTC_x0020_Template" ma:index="35" nillable="true" ma:displayName="EORTC Template" ma:internalName="EORTC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02533b-95d9-45d7-835c-32eec3b38757"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description="" ma:hidden="true" ma:list="{aa3fbcb6-8755-4504-8ce1-0a056cf59e8c}" ma:internalName="TaxCatchAll" ma:showField="CatchAllData" ma:web="a602533b-95d9-45d7-835c-32eec3b38757">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description="" ma:hidden="true" ma:list="{aa3fbcb6-8755-4504-8ce1-0a056cf59e8c}" ma:internalName="TaxCatchAllLabel" ma:readOnly="true" ma:showField="CatchAllDataLabel" ma:web="a602533b-95d9-45d7-835c-32eec3b38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4" ma:displayName="Title"/>
        <xsd:element ref="dc:subject" minOccurs="0" maxOccurs="1"/>
        <xsd:element ref="dc:description" minOccurs="0" maxOccurs="1" ma:index="3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A98A-8A30-45AE-847D-6EBFAE4FC66E}">
  <ds:schemaRefs>
    <ds:schemaRef ds:uri="http://schemas.microsoft.com/office/2006/metadata/properties"/>
    <ds:schemaRef ds:uri="http://schemas.microsoft.com/office/infopath/2007/PartnerControls"/>
    <ds:schemaRef ds:uri="34c74c1e-317b-494a-90b3-c1c029eb0a28"/>
    <ds:schemaRef ds:uri="6df07a32-ca69-471e-8b92-0013f00be126"/>
    <ds:schemaRef ds:uri="6DF07A32-CA69-471E-8B92-0013F00BE126"/>
    <ds:schemaRef ds:uri="http://schemas.microsoft.com/sharepoint/v3/fields"/>
    <ds:schemaRef ds:uri="a602533b-95d9-45d7-835c-32eec3b38757"/>
  </ds:schemaRefs>
</ds:datastoreItem>
</file>

<file path=customXml/itemProps2.xml><?xml version="1.0" encoding="utf-8"?>
<ds:datastoreItem xmlns:ds="http://schemas.openxmlformats.org/officeDocument/2006/customXml" ds:itemID="{702A60B5-53AD-4289-8E81-7938CE57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4c1e-317b-494a-90b3-c1c029eb0a28"/>
    <ds:schemaRef ds:uri="6DF07A32-CA69-471E-8B92-0013F00BE126"/>
    <ds:schemaRef ds:uri="http://schemas.microsoft.com/sharepoint/v3/fields"/>
    <ds:schemaRef ds:uri="6df07a32-ca69-471e-8b92-0013f00be126"/>
    <ds:schemaRef ds:uri="a602533b-95d9-45d7-835c-32eec3b38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00F7A-6E3A-4D53-8886-22B79F5EE391}">
  <ds:schemaRefs>
    <ds:schemaRef ds:uri="http://schemas.microsoft.com/office/2006/metadata/longProperties"/>
  </ds:schemaRefs>
</ds:datastoreItem>
</file>

<file path=customXml/itemProps4.xml><?xml version="1.0" encoding="utf-8"?>
<ds:datastoreItem xmlns:ds="http://schemas.openxmlformats.org/officeDocument/2006/customXml" ds:itemID="{BB70D50A-C310-4BC3-AE7C-7C7D8AEF2E35}">
  <ds:schemaRefs>
    <ds:schemaRef ds:uri="http://schemas.microsoft.com/sharepoint/v3/contenttype/forms"/>
  </ds:schemaRefs>
</ds:datastoreItem>
</file>

<file path=customXml/itemProps5.xml><?xml version="1.0" encoding="utf-8"?>
<ds:datastoreItem xmlns:ds="http://schemas.openxmlformats.org/officeDocument/2006/customXml" ds:itemID="{248F870D-969B-45E4-AA8D-1FF9A6CA3B80}">
  <ds:schemaRefs>
    <ds:schemaRef ds:uri="http://schemas.microsoft.com/sharepoint/events"/>
  </ds:schemaRefs>
</ds:datastoreItem>
</file>

<file path=customXml/itemProps6.xml><?xml version="1.0" encoding="utf-8"?>
<ds:datastoreItem xmlns:ds="http://schemas.openxmlformats.org/officeDocument/2006/customXml" ds:itemID="{83563A6E-152E-4DFC-BD0C-9973AEFC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12980</Words>
  <Characters>73989</Characters>
  <Application>Microsoft Office Word</Application>
  <DocSecurity>0</DocSecurity>
  <Lines>616</Lines>
  <Paragraphs>173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90101 IMFT final analysis manuscript</vt:lpstr>
      <vt:lpstr>90101 IMFT final analysis manuscript</vt:lpstr>
      <vt:lpstr>90101 IMFT final analysis manuscript</vt:lpstr>
    </vt:vector>
  </TitlesOfParts>
  <Company>Bingham Mayne and Smith</Company>
  <LinksUpToDate>false</LinksUpToDate>
  <CharactersWithSpaces>86796</CharactersWithSpaces>
  <SharedDoc>false</SharedDoc>
  <HLinks>
    <vt:vector size="18" baseType="variant">
      <vt:variant>
        <vt:i4>3735590</vt:i4>
      </vt:variant>
      <vt:variant>
        <vt:i4>6</vt:i4>
      </vt:variant>
      <vt:variant>
        <vt:i4>0</vt:i4>
      </vt:variant>
      <vt:variant>
        <vt:i4>5</vt:i4>
      </vt:variant>
      <vt:variant>
        <vt:lpwstr>http://www.ncbi.nlm.nih.gov/pubmed/24658158</vt:lpwstr>
      </vt:variant>
      <vt:variant>
        <vt:lpwstr/>
      </vt:variant>
      <vt:variant>
        <vt:i4>4784145</vt:i4>
      </vt:variant>
      <vt:variant>
        <vt:i4>3</vt:i4>
      </vt:variant>
      <vt:variant>
        <vt:i4>0</vt:i4>
      </vt:variant>
      <vt:variant>
        <vt:i4>5</vt:i4>
      </vt:variant>
      <vt:variant>
        <vt:lpwstr>http://www.uzleuven.be/study-protocol-eortc-90101-create</vt:lpwstr>
      </vt:variant>
      <vt:variant>
        <vt:lpwstr/>
      </vt:variant>
      <vt:variant>
        <vt:i4>4259888</vt:i4>
      </vt:variant>
      <vt:variant>
        <vt:i4>0</vt:i4>
      </vt:variant>
      <vt:variant>
        <vt:i4>0</vt:i4>
      </vt:variant>
      <vt:variant>
        <vt:i4>5</vt:i4>
      </vt:variant>
      <vt:variant>
        <vt:lpwstr>mailto:patrick.schoffski@uzleuven.be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90101 IMFT final analysis manuscript</dc:title>
  <dc:creator>Julia O'Regan</dc:creator>
  <cp:lastModifiedBy>sjs</cp:lastModifiedBy>
  <cp:revision>2</cp:revision>
  <cp:lastPrinted>2017-12-18T09:22:00Z</cp:lastPrinted>
  <dcterms:created xsi:type="dcterms:W3CDTF">2018-06-14T01:22:00Z</dcterms:created>
  <dcterms:modified xsi:type="dcterms:W3CDTF">2018-06-14T01:22:00Z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ORTCDocumentTitle">
    <vt:lpwstr>34;#Work Document|c417fe0d-bea6-4111-9fd3-15d9b64ed0e5</vt:lpwstr>
  </property>
  <property fmtid="{D5CDD505-2E9C-101B-9397-08002B2CF9AE}" pid="3" name="ContentTypeId">
    <vt:lpwstr>0x010100C000D8EEDC91FE4BBB0262C5C853ED23</vt:lpwstr>
  </property>
  <property fmtid="{D5CDD505-2E9C-101B-9397-08002B2CF9AE}" pid="4" name="_dlc_DocIdItemGuid">
    <vt:lpwstr>24d15d63-aa90-4769-a8ad-ae851d1c3e4e</vt:lpwstr>
  </property>
</Properties>
</file>