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A4" w:rsidRPr="00A759A4" w:rsidRDefault="00A759A4" w:rsidP="00A759A4">
      <w:pPr>
        <w:rPr>
          <w:i/>
        </w:rPr>
      </w:pPr>
      <w:proofErr w:type="gramStart"/>
      <w:r>
        <w:t>Sullivan, A., Ketende, S. and Joshi, H. (in press) Social Class and Inequalities in Early Cognitive Scores.</w:t>
      </w:r>
      <w:proofErr w:type="gramEnd"/>
      <w:r>
        <w:t xml:space="preserve"> </w:t>
      </w:r>
      <w:r>
        <w:rPr>
          <w:i/>
        </w:rPr>
        <w:t>Sociology.</w:t>
      </w:r>
    </w:p>
    <w:p w:rsidR="00322BAA" w:rsidRPr="004C70EC" w:rsidRDefault="00322BAA" w:rsidP="00322BAA">
      <w:pPr>
        <w:pStyle w:val="Heading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Social Class and Inequalities in Early Cognitive Scores </w:t>
      </w:r>
    </w:p>
    <w:p w:rsidR="00BD5CF1" w:rsidRPr="004C70EC" w:rsidRDefault="00BD5CF1" w:rsidP="00BD5CF1">
      <w:pPr>
        <w:pStyle w:val="Heading2"/>
        <w:spacing w:line="240" w:lineRule="auto"/>
        <w:jc w:val="both"/>
        <w:rPr>
          <w:rFonts w:ascii="Times New Roman" w:eastAsia="Times New Roman" w:hAnsi="Times New Roman" w:cs="Times New Roman"/>
          <w:b w:val="0"/>
          <w:i/>
          <w:color w:val="auto"/>
          <w:sz w:val="24"/>
          <w:szCs w:val="24"/>
        </w:rPr>
      </w:pPr>
      <w:r>
        <w:rPr>
          <w:rFonts w:ascii="Times New Roman" w:eastAsia="Times New Roman" w:hAnsi="Times New Roman" w:cs="Times New Roman"/>
          <w:b w:val="0"/>
          <w:color w:val="auto"/>
          <w:sz w:val="24"/>
          <w:szCs w:val="24"/>
        </w:rPr>
        <w:t xml:space="preserve">Abstract: </w:t>
      </w:r>
      <w:r w:rsidRPr="00EF792D">
        <w:rPr>
          <w:rFonts w:ascii="Times New Roman" w:eastAsia="Times New Roman" w:hAnsi="Times New Roman" w:cs="Times New Roman"/>
          <w:b w:val="0"/>
          <w:i/>
          <w:color w:val="auto"/>
          <w:sz w:val="24"/>
          <w:szCs w:val="24"/>
        </w:rPr>
        <w:t>R</w:t>
      </w:r>
      <w:r w:rsidRPr="004C70EC">
        <w:rPr>
          <w:rFonts w:ascii="Times New Roman" w:eastAsia="Times New Roman" w:hAnsi="Times New Roman" w:cs="Times New Roman"/>
          <w:b w:val="0"/>
          <w:i/>
          <w:color w:val="auto"/>
          <w:sz w:val="24"/>
          <w:szCs w:val="24"/>
        </w:rPr>
        <w:t xml:space="preserve">esearch </w:t>
      </w:r>
      <w:r>
        <w:rPr>
          <w:rFonts w:ascii="Times New Roman" w:eastAsia="Times New Roman" w:hAnsi="Times New Roman" w:cs="Times New Roman"/>
          <w:b w:val="0"/>
          <w:i/>
          <w:color w:val="auto"/>
          <w:sz w:val="24"/>
          <w:szCs w:val="24"/>
        </w:rPr>
        <w:t xml:space="preserve">emphasizing </w:t>
      </w:r>
      <w:r w:rsidRPr="004C70EC">
        <w:rPr>
          <w:rFonts w:ascii="Times New Roman" w:eastAsia="Times New Roman" w:hAnsi="Times New Roman" w:cs="Times New Roman"/>
          <w:b w:val="0"/>
          <w:i/>
          <w:color w:val="auto"/>
          <w:sz w:val="24"/>
          <w:szCs w:val="24"/>
        </w:rPr>
        <w:t>the importance of parenting behaviours and aspirations</w:t>
      </w:r>
      <w:r>
        <w:rPr>
          <w:rFonts w:ascii="Times New Roman" w:eastAsia="Times New Roman" w:hAnsi="Times New Roman" w:cs="Times New Roman"/>
          <w:b w:val="0"/>
          <w:i/>
          <w:color w:val="auto"/>
          <w:sz w:val="24"/>
          <w:szCs w:val="24"/>
        </w:rPr>
        <w:t xml:space="preserve"> for child outcomes has</w:t>
      </w:r>
      <w:r w:rsidRPr="004C70EC">
        <w:rPr>
          <w:rFonts w:ascii="Times New Roman" w:eastAsia="Times New Roman" w:hAnsi="Times New Roman" w:cs="Times New Roman"/>
          <w:b w:val="0"/>
          <w:i/>
          <w:color w:val="auto"/>
          <w:sz w:val="24"/>
          <w:szCs w:val="24"/>
        </w:rPr>
        <w:t xml:space="preserve"> been seized on by policymakers </w:t>
      </w:r>
      <w:r>
        <w:rPr>
          <w:rFonts w:ascii="Times New Roman" w:eastAsia="Times New Roman" w:hAnsi="Times New Roman" w:cs="Times New Roman"/>
          <w:b w:val="0"/>
          <w:i/>
          <w:color w:val="auto"/>
          <w:sz w:val="24"/>
          <w:szCs w:val="24"/>
        </w:rPr>
        <w:t>to suggest the responsibility of the worst</w:t>
      </w:r>
      <w:r w:rsidRPr="004C70EC">
        <w:rPr>
          <w:rFonts w:ascii="Times New Roman" w:eastAsia="Times New Roman" w:hAnsi="Times New Roman" w:cs="Times New Roman"/>
          <w:b w:val="0"/>
          <w:i/>
          <w:color w:val="auto"/>
          <w:sz w:val="24"/>
          <w:szCs w:val="24"/>
        </w:rPr>
        <w:t xml:space="preserve"> off themselves for low levels of social mobility.</w:t>
      </w:r>
      <w:r>
        <w:rPr>
          <w:rFonts w:ascii="Times New Roman" w:eastAsia="Times New Roman" w:hAnsi="Times New Roman" w:cs="Times New Roman"/>
          <w:b w:val="0"/>
          <w:i/>
          <w:color w:val="auto"/>
          <w:sz w:val="24"/>
          <w:szCs w:val="24"/>
        </w:rPr>
        <w:t xml:space="preserve"> This paper provides a critique of the way in which research evidence has been used to support the dominant policy discourse in this area, as well as an empirical analysis. We use the Millennium Cohort Study</w:t>
      </w:r>
      <w:r w:rsidRPr="004C70EC">
        <w:rPr>
          <w:rFonts w:ascii="Times New Roman" w:eastAsia="Times New Roman" w:hAnsi="Times New Roman" w:cs="Times New Roman"/>
          <w:b w:val="0"/>
          <w:i/>
          <w:color w:val="auto"/>
          <w:sz w:val="24"/>
          <w:szCs w:val="24"/>
        </w:rPr>
        <w:t xml:space="preserve"> </w:t>
      </w:r>
      <w:r>
        <w:rPr>
          <w:rFonts w:ascii="Times New Roman" w:eastAsia="Times New Roman" w:hAnsi="Times New Roman" w:cs="Times New Roman"/>
          <w:b w:val="0"/>
          <w:i/>
          <w:color w:val="auto"/>
          <w:sz w:val="24"/>
          <w:szCs w:val="24"/>
        </w:rPr>
        <w:t>to</w:t>
      </w:r>
      <w:r w:rsidRPr="004C70EC">
        <w:rPr>
          <w:rFonts w:ascii="Times New Roman" w:eastAsia="Times New Roman" w:hAnsi="Times New Roman" w:cs="Times New Roman"/>
          <w:b w:val="0"/>
          <w:i/>
          <w:color w:val="auto"/>
          <w:sz w:val="24"/>
          <w:szCs w:val="24"/>
        </w:rPr>
        <w:t xml:space="preserve"> interrogate the relationship between social class and attainment in the early years of</w:t>
      </w:r>
      <w:r>
        <w:rPr>
          <w:rFonts w:ascii="Times New Roman" w:eastAsia="Times New Roman" w:hAnsi="Times New Roman" w:cs="Times New Roman"/>
          <w:b w:val="0"/>
          <w:i/>
          <w:color w:val="auto"/>
          <w:sz w:val="24"/>
          <w:szCs w:val="24"/>
        </w:rPr>
        <w:t xml:space="preserve"> schooling. We investigate t</w:t>
      </w:r>
      <w:r w:rsidRPr="004C70EC">
        <w:rPr>
          <w:rFonts w:ascii="Times New Roman" w:eastAsia="Times New Roman" w:hAnsi="Times New Roman" w:cs="Times New Roman"/>
          <w:b w:val="0"/>
          <w:i/>
          <w:color w:val="auto"/>
          <w:sz w:val="24"/>
          <w:szCs w:val="24"/>
        </w:rPr>
        <w:t xml:space="preserve">he extent to which </w:t>
      </w:r>
      <w:r>
        <w:rPr>
          <w:rFonts w:ascii="Times New Roman" w:eastAsia="Times New Roman" w:hAnsi="Times New Roman" w:cs="Times New Roman"/>
          <w:b w:val="0"/>
          <w:i/>
          <w:color w:val="auto"/>
          <w:sz w:val="24"/>
          <w:szCs w:val="24"/>
        </w:rPr>
        <w:t>social class inequalities in early cognitive scores can be accounted for by parental education, income, family social resources, and parental behaviours. We conclude that social class remains an important concept for both researchers and policy makers, and that the link between structural inequalities and inequalities in children’s cognitive scores cannot be readily accounted for in terms of individual parenting behaviours.</w:t>
      </w:r>
    </w:p>
    <w:p w:rsidR="00322BAA" w:rsidRPr="004C70EC" w:rsidRDefault="00322BAA" w:rsidP="00322BAA">
      <w:pPr>
        <w:pStyle w:val="Heading2"/>
        <w:spacing w:line="240" w:lineRule="auto"/>
        <w:jc w:val="both"/>
        <w:rPr>
          <w:rFonts w:ascii="Times New Roman" w:hAnsi="Times New Roman"/>
          <w:b w:val="0"/>
          <w:i/>
          <w:color w:val="auto"/>
          <w:sz w:val="24"/>
          <w:szCs w:val="24"/>
        </w:rPr>
      </w:pPr>
    </w:p>
    <w:p w:rsidR="00322BAA" w:rsidRDefault="00322BAA" w:rsidP="00322BAA"/>
    <w:p w:rsidR="00322BAA" w:rsidRDefault="00322BAA" w:rsidP="00322BAA">
      <w:r>
        <w:t>Keywords: Education; social class; income; parenting; test scores; Millennium Cohort Study; longitudinal</w:t>
      </w:r>
    </w:p>
    <w:p w:rsidR="00322BAA" w:rsidRDefault="00322BAA" w:rsidP="00322BAA"/>
    <w:p w:rsidR="00322BAA" w:rsidRDefault="00322BAA" w:rsidP="00322BAA">
      <w:r>
        <w:t>Dr Alice Sullivan*, Institute of Education, University of London</w:t>
      </w:r>
    </w:p>
    <w:p w:rsidR="00322BAA" w:rsidRDefault="00322BAA" w:rsidP="00322BAA">
      <w:r>
        <w:t>Mr Sosthenes Ketende, Institute of Education, University of London</w:t>
      </w:r>
    </w:p>
    <w:p w:rsidR="00322BAA" w:rsidRDefault="00322BAA" w:rsidP="00322BAA">
      <w:r>
        <w:t>Professor Heather Joshi, Institute of Education, University of London</w:t>
      </w:r>
    </w:p>
    <w:p w:rsidR="00322BAA" w:rsidRDefault="00322BAA" w:rsidP="00322BAA"/>
    <w:p w:rsidR="00322BAA" w:rsidRDefault="00322BAA" w:rsidP="00322BAA">
      <w:r>
        <w:t>*Institute of Education, Centre for Longitudinal Studies</w:t>
      </w:r>
    </w:p>
    <w:p w:rsidR="00322BAA" w:rsidRDefault="00322BAA" w:rsidP="00322BAA">
      <w:r>
        <w:t>55-59 Gordon Square</w:t>
      </w:r>
    </w:p>
    <w:p w:rsidR="00322BAA" w:rsidRDefault="00322BAA" w:rsidP="00322BAA">
      <w:r>
        <w:t>LONDON</w:t>
      </w:r>
    </w:p>
    <w:p w:rsidR="00322BAA" w:rsidRDefault="00322BAA" w:rsidP="00322BAA">
      <w:r>
        <w:t>WC1H 0AL</w:t>
      </w:r>
    </w:p>
    <w:p w:rsidR="00322BAA" w:rsidRDefault="00322BAA" w:rsidP="00322BAA">
      <w:r>
        <w:t>020 76126661</w:t>
      </w:r>
    </w:p>
    <w:p w:rsidR="00322BAA" w:rsidRDefault="00322BAA" w:rsidP="00322BAA">
      <w:r>
        <w:t>a.sullivan@ioe.ac.uk</w:t>
      </w:r>
    </w:p>
    <w:p w:rsidR="00322BAA" w:rsidRDefault="00322BAA" w:rsidP="00322BAA"/>
    <w:p w:rsidR="00322BAA" w:rsidRDefault="00322BAA">
      <w:pPr>
        <w:rPr>
          <w:rFonts w:eastAsiaTheme="majorEastAsia"/>
          <w:b/>
          <w:bCs/>
        </w:rPr>
      </w:pPr>
      <w:r>
        <w:br w:type="page"/>
      </w:r>
    </w:p>
    <w:p w:rsidR="004C70EC" w:rsidRPr="004C70EC" w:rsidRDefault="00270B0E" w:rsidP="004C70EC">
      <w:pPr>
        <w:pStyle w:val="Heading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Social Class and Inequalities in </w:t>
      </w:r>
      <w:r w:rsidR="008D75FB">
        <w:rPr>
          <w:rFonts w:ascii="Times New Roman" w:hAnsi="Times New Roman" w:cs="Times New Roman"/>
          <w:color w:val="auto"/>
          <w:sz w:val="24"/>
          <w:szCs w:val="24"/>
        </w:rPr>
        <w:t xml:space="preserve">Early </w:t>
      </w:r>
      <w:r w:rsidR="00897EE8">
        <w:rPr>
          <w:rFonts w:ascii="Times New Roman" w:hAnsi="Times New Roman" w:cs="Times New Roman"/>
          <w:color w:val="auto"/>
          <w:sz w:val="24"/>
          <w:szCs w:val="24"/>
        </w:rPr>
        <w:t xml:space="preserve">Cognitive Scores </w:t>
      </w:r>
    </w:p>
    <w:p w:rsidR="00CB1D92" w:rsidRPr="004C70EC" w:rsidRDefault="004C70EC" w:rsidP="00CB1D92">
      <w:pPr>
        <w:pStyle w:val="Heading2"/>
        <w:spacing w:line="240" w:lineRule="auto"/>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Abstract: </w:t>
      </w:r>
      <w:r w:rsidR="00EF792D" w:rsidRPr="00EF792D">
        <w:rPr>
          <w:rFonts w:ascii="Times New Roman" w:hAnsi="Times New Roman" w:cs="Times New Roman"/>
          <w:b w:val="0"/>
          <w:i/>
          <w:color w:val="auto"/>
          <w:sz w:val="24"/>
          <w:szCs w:val="24"/>
        </w:rPr>
        <w:t>R</w:t>
      </w:r>
      <w:r w:rsidR="00CB1D92" w:rsidRPr="004C70EC">
        <w:rPr>
          <w:rFonts w:ascii="Times New Roman" w:hAnsi="Times New Roman" w:cs="Times New Roman"/>
          <w:b w:val="0"/>
          <w:i/>
          <w:color w:val="auto"/>
          <w:sz w:val="24"/>
          <w:szCs w:val="24"/>
        </w:rPr>
        <w:t xml:space="preserve">esearch </w:t>
      </w:r>
      <w:r w:rsidR="00D70DC7">
        <w:rPr>
          <w:rFonts w:ascii="Times New Roman" w:hAnsi="Times New Roman" w:cs="Times New Roman"/>
          <w:b w:val="0"/>
          <w:i/>
          <w:color w:val="auto"/>
          <w:sz w:val="24"/>
          <w:szCs w:val="24"/>
        </w:rPr>
        <w:t xml:space="preserve">emphasizing </w:t>
      </w:r>
      <w:r w:rsidR="00CB1D92" w:rsidRPr="004C70EC">
        <w:rPr>
          <w:rFonts w:ascii="Times New Roman" w:hAnsi="Times New Roman" w:cs="Times New Roman"/>
          <w:b w:val="0"/>
          <w:i/>
          <w:color w:val="auto"/>
          <w:sz w:val="24"/>
          <w:szCs w:val="24"/>
        </w:rPr>
        <w:t>the importance of parenting behaviours and aspirations</w:t>
      </w:r>
      <w:r w:rsidR="000314F5">
        <w:rPr>
          <w:rFonts w:ascii="Times New Roman" w:hAnsi="Times New Roman" w:cs="Times New Roman"/>
          <w:b w:val="0"/>
          <w:i/>
          <w:color w:val="auto"/>
          <w:sz w:val="24"/>
          <w:szCs w:val="24"/>
        </w:rPr>
        <w:t xml:space="preserve"> for child outcomes</w:t>
      </w:r>
      <w:r w:rsidR="006A5B43">
        <w:rPr>
          <w:rFonts w:ascii="Times New Roman" w:hAnsi="Times New Roman" w:cs="Times New Roman"/>
          <w:b w:val="0"/>
          <w:i/>
          <w:color w:val="auto"/>
          <w:sz w:val="24"/>
          <w:szCs w:val="24"/>
        </w:rPr>
        <w:t xml:space="preserve"> has</w:t>
      </w:r>
      <w:r w:rsidR="00CB1D92" w:rsidRPr="004C70EC">
        <w:rPr>
          <w:rFonts w:ascii="Times New Roman" w:hAnsi="Times New Roman" w:cs="Times New Roman"/>
          <w:b w:val="0"/>
          <w:i/>
          <w:color w:val="auto"/>
          <w:sz w:val="24"/>
          <w:szCs w:val="24"/>
        </w:rPr>
        <w:t xml:space="preserve"> been seized on by policymakers </w:t>
      </w:r>
      <w:r w:rsidR="00CB1D92">
        <w:rPr>
          <w:rFonts w:ascii="Times New Roman" w:hAnsi="Times New Roman" w:cs="Times New Roman"/>
          <w:b w:val="0"/>
          <w:i/>
          <w:color w:val="auto"/>
          <w:sz w:val="24"/>
          <w:szCs w:val="24"/>
        </w:rPr>
        <w:t>to suggest the responsibility of the worst</w:t>
      </w:r>
      <w:r w:rsidR="00CB1D92" w:rsidRPr="004C70EC">
        <w:rPr>
          <w:rFonts w:ascii="Times New Roman" w:hAnsi="Times New Roman" w:cs="Times New Roman"/>
          <w:b w:val="0"/>
          <w:i/>
          <w:color w:val="auto"/>
          <w:sz w:val="24"/>
          <w:szCs w:val="24"/>
        </w:rPr>
        <w:t xml:space="preserve"> off themselves for low levels of social mobility.</w:t>
      </w:r>
      <w:r w:rsidR="00CB1D92">
        <w:rPr>
          <w:rFonts w:ascii="Times New Roman" w:hAnsi="Times New Roman" w:cs="Times New Roman"/>
          <w:b w:val="0"/>
          <w:i/>
          <w:color w:val="auto"/>
          <w:sz w:val="24"/>
          <w:szCs w:val="24"/>
        </w:rPr>
        <w:t xml:space="preserve"> </w:t>
      </w:r>
      <w:r w:rsidR="00C11C78">
        <w:rPr>
          <w:rFonts w:ascii="Times New Roman" w:hAnsi="Times New Roman" w:cs="Times New Roman"/>
          <w:b w:val="0"/>
          <w:i/>
          <w:color w:val="auto"/>
          <w:sz w:val="24"/>
          <w:szCs w:val="24"/>
        </w:rPr>
        <w:t>This paper provides a critique of the way in which research evidence has been used to support the dominant policy discourse in this area, as well as an empirical analysis. W</w:t>
      </w:r>
      <w:r w:rsidR="00CB1D92">
        <w:rPr>
          <w:rFonts w:ascii="Times New Roman" w:hAnsi="Times New Roman" w:cs="Times New Roman"/>
          <w:b w:val="0"/>
          <w:i/>
          <w:color w:val="auto"/>
          <w:sz w:val="24"/>
          <w:szCs w:val="24"/>
        </w:rPr>
        <w:t>e use the Millennium Cohort Study</w:t>
      </w:r>
      <w:r w:rsidR="00CB1D92" w:rsidRPr="004C70EC">
        <w:rPr>
          <w:rFonts w:ascii="Times New Roman" w:hAnsi="Times New Roman" w:cs="Times New Roman"/>
          <w:b w:val="0"/>
          <w:i/>
          <w:color w:val="auto"/>
          <w:sz w:val="24"/>
          <w:szCs w:val="24"/>
        </w:rPr>
        <w:t xml:space="preserve"> </w:t>
      </w:r>
      <w:r w:rsidR="00CB1D92">
        <w:rPr>
          <w:rFonts w:ascii="Times New Roman" w:hAnsi="Times New Roman" w:cs="Times New Roman"/>
          <w:b w:val="0"/>
          <w:i/>
          <w:color w:val="auto"/>
          <w:sz w:val="24"/>
          <w:szCs w:val="24"/>
        </w:rPr>
        <w:t>to</w:t>
      </w:r>
      <w:r w:rsidR="00CB1D92" w:rsidRPr="004C70EC">
        <w:rPr>
          <w:rFonts w:ascii="Times New Roman" w:hAnsi="Times New Roman" w:cs="Times New Roman"/>
          <w:b w:val="0"/>
          <w:i/>
          <w:color w:val="auto"/>
          <w:sz w:val="24"/>
          <w:szCs w:val="24"/>
        </w:rPr>
        <w:t xml:space="preserve"> interrogate the relationship between social class and attainment in the early years of</w:t>
      </w:r>
      <w:r w:rsidR="00CB1D92">
        <w:rPr>
          <w:rFonts w:ascii="Times New Roman" w:hAnsi="Times New Roman" w:cs="Times New Roman"/>
          <w:b w:val="0"/>
          <w:i/>
          <w:color w:val="auto"/>
          <w:sz w:val="24"/>
          <w:szCs w:val="24"/>
        </w:rPr>
        <w:t xml:space="preserve"> schooling. We investigate t</w:t>
      </w:r>
      <w:r w:rsidR="00CB1D92" w:rsidRPr="004C70EC">
        <w:rPr>
          <w:rFonts w:ascii="Times New Roman" w:hAnsi="Times New Roman" w:cs="Times New Roman"/>
          <w:b w:val="0"/>
          <w:i/>
          <w:color w:val="auto"/>
          <w:sz w:val="24"/>
          <w:szCs w:val="24"/>
        </w:rPr>
        <w:t xml:space="preserve">he extent to which </w:t>
      </w:r>
      <w:r w:rsidR="009D069F">
        <w:rPr>
          <w:rFonts w:ascii="Times New Roman" w:hAnsi="Times New Roman" w:cs="Times New Roman"/>
          <w:b w:val="0"/>
          <w:i/>
          <w:color w:val="auto"/>
          <w:sz w:val="24"/>
          <w:szCs w:val="24"/>
        </w:rPr>
        <w:t>social class inequalities in early cognitive scores can be accounted for by parental education</w:t>
      </w:r>
      <w:r w:rsidR="00862572">
        <w:rPr>
          <w:rFonts w:ascii="Times New Roman" w:hAnsi="Times New Roman" w:cs="Times New Roman"/>
          <w:b w:val="0"/>
          <w:i/>
          <w:color w:val="auto"/>
          <w:sz w:val="24"/>
          <w:szCs w:val="24"/>
        </w:rPr>
        <w:t>,</w:t>
      </w:r>
      <w:r w:rsidR="009D069F">
        <w:rPr>
          <w:rFonts w:ascii="Times New Roman" w:hAnsi="Times New Roman" w:cs="Times New Roman"/>
          <w:b w:val="0"/>
          <w:i/>
          <w:color w:val="auto"/>
          <w:sz w:val="24"/>
          <w:szCs w:val="24"/>
        </w:rPr>
        <w:t xml:space="preserve"> income, </w:t>
      </w:r>
      <w:r w:rsidR="00550F20">
        <w:rPr>
          <w:rFonts w:ascii="Times New Roman" w:hAnsi="Times New Roman" w:cs="Times New Roman"/>
          <w:b w:val="0"/>
          <w:i/>
          <w:color w:val="auto"/>
          <w:sz w:val="24"/>
          <w:szCs w:val="24"/>
        </w:rPr>
        <w:t>family social resources</w:t>
      </w:r>
      <w:r w:rsidR="000314F5">
        <w:rPr>
          <w:rFonts w:ascii="Times New Roman" w:hAnsi="Times New Roman" w:cs="Times New Roman"/>
          <w:b w:val="0"/>
          <w:i/>
          <w:color w:val="auto"/>
          <w:sz w:val="24"/>
          <w:szCs w:val="24"/>
        </w:rPr>
        <w:t>,</w:t>
      </w:r>
      <w:r w:rsidR="00550F20">
        <w:rPr>
          <w:rFonts w:ascii="Times New Roman" w:hAnsi="Times New Roman" w:cs="Times New Roman"/>
          <w:b w:val="0"/>
          <w:i/>
          <w:color w:val="auto"/>
          <w:sz w:val="24"/>
          <w:szCs w:val="24"/>
        </w:rPr>
        <w:t xml:space="preserve"> and </w:t>
      </w:r>
      <w:r w:rsidR="00CB1D92">
        <w:rPr>
          <w:rFonts w:ascii="Times New Roman" w:hAnsi="Times New Roman" w:cs="Times New Roman"/>
          <w:b w:val="0"/>
          <w:i/>
          <w:color w:val="auto"/>
          <w:sz w:val="24"/>
          <w:szCs w:val="24"/>
        </w:rPr>
        <w:t>parental behaviours.</w:t>
      </w:r>
      <w:r w:rsidR="009D069F">
        <w:rPr>
          <w:rFonts w:ascii="Times New Roman" w:hAnsi="Times New Roman" w:cs="Times New Roman"/>
          <w:b w:val="0"/>
          <w:i/>
          <w:color w:val="auto"/>
          <w:sz w:val="24"/>
          <w:szCs w:val="24"/>
        </w:rPr>
        <w:t xml:space="preserve"> We conclude that social class remains an important concept for both researchers and policy makers, and that the link between structural inequalities and inequalities in children’s cognitive scores cannot be readily accounted for in terms of individual par</w:t>
      </w:r>
      <w:r w:rsidR="00F22E1F">
        <w:rPr>
          <w:rFonts w:ascii="Times New Roman" w:hAnsi="Times New Roman" w:cs="Times New Roman"/>
          <w:b w:val="0"/>
          <w:i/>
          <w:color w:val="auto"/>
          <w:sz w:val="24"/>
          <w:szCs w:val="24"/>
        </w:rPr>
        <w:t>enting</w:t>
      </w:r>
      <w:r w:rsidR="009D069F">
        <w:rPr>
          <w:rFonts w:ascii="Times New Roman" w:hAnsi="Times New Roman" w:cs="Times New Roman"/>
          <w:b w:val="0"/>
          <w:i/>
          <w:color w:val="auto"/>
          <w:sz w:val="24"/>
          <w:szCs w:val="24"/>
        </w:rPr>
        <w:t xml:space="preserve"> behaviours.</w:t>
      </w:r>
    </w:p>
    <w:p w:rsidR="007D5FEE" w:rsidRPr="00853ABD" w:rsidRDefault="00853ABD" w:rsidP="00853ABD">
      <w:pPr>
        <w:pStyle w:val="Heading2"/>
      </w:pPr>
      <w:r>
        <w:t>Introduction</w:t>
      </w:r>
    </w:p>
    <w:p w:rsidR="000314F5" w:rsidRDefault="003C05AA" w:rsidP="00CD0A42">
      <w:pPr>
        <w:pStyle w:val="NormalWeb"/>
      </w:pPr>
      <w:r w:rsidRPr="00546FE3">
        <w:rPr>
          <w:rFonts w:cs="Arial"/>
        </w:rPr>
        <w:t>The relationship between socio-economic disadvantage and educational outcomes</w:t>
      </w:r>
      <w:r w:rsidR="006A5B43">
        <w:rPr>
          <w:rFonts w:cs="Arial"/>
        </w:rPr>
        <w:t>, and between social origins and destinations,</w:t>
      </w:r>
      <w:r w:rsidRPr="00546FE3">
        <w:rPr>
          <w:rFonts w:cs="Arial"/>
        </w:rPr>
        <w:t xml:space="preserve"> has been documented over many years </w:t>
      </w:r>
      <w:r w:rsidR="00C16BF1" w:rsidRPr="00546FE3">
        <w:rPr>
          <w:rFonts w:cs="Arial"/>
        </w:rPr>
        <w:fldChar w:fldCharType="begin"/>
      </w:r>
      <w:r w:rsidR="0005386F">
        <w:rPr>
          <w:rFonts w:cs="Arial"/>
        </w:rPr>
        <w:instrText xml:space="preserve"> ADDIN EN.CITE &lt;EndNote&gt;&lt;Cite&gt;&lt;Author&gt;Floud&lt;/Author&gt;&lt;Year&gt;1956&lt;/Year&gt;&lt;RecNum&gt;181&lt;/RecNum&gt;&lt;record&gt;&lt;rec-number&gt;181&lt;/rec-number&gt;&lt;foreign-keys&gt;&lt;key app="EN" db-id="aeretdtfgatxzketrem5pp9n9d2vvexz5rvr"&gt;181&lt;/key&gt;&lt;/foreign-keys&gt;&lt;ref-type name="Book"&gt;6&lt;/ref-type&gt;&lt;contributors&gt;&lt;authors&gt;&lt;author&gt;Floud, J.&lt;/author&gt;&lt;author&gt;Halsey, A. H.&lt;/author&gt;&lt;author&gt;Martin, F.&lt;/author&gt;&lt;/authors&gt;&lt;/contributors&gt;&lt;titles&gt;&lt;title&gt;Social class and educational opportunity&lt;/title&gt;&lt;/titles&gt;&lt;dates&gt;&lt;year&gt;1956&lt;/year&gt;&lt;/dates&gt;&lt;publisher&gt;Heinemann&lt;/publisher&gt;&lt;label&gt;floudHalseyAndMartinSCEO&lt;/label&gt;&lt;urls&gt;&lt;/urls&gt;&lt;/record&gt;&lt;/Cite&gt;&lt;Cite&gt;&lt;Author&gt;Halsey&lt;/Author&gt;&lt;Year&gt;1980&lt;/Year&gt;&lt;RecNum&gt;83&lt;/RecNum&gt;&lt;record&gt;&lt;rec-number&gt;83&lt;/rec-number&gt;&lt;foreign-keys&gt;&lt;key app="EN" db-id="aeretdtfgatxzketrem5pp9n9d2vvexz5rvr"&gt;83&lt;/key&gt;&lt;/foreign-keys&gt;&lt;ref-type name="Book"&gt;6&lt;/ref-type&gt;&lt;contributors&gt;&lt;authors&gt;&lt;author&gt;Halsey, A.H.&lt;/author&gt;&lt;author&gt;Heath, A.&lt;/author&gt;&lt;author&gt;Ridge, J.&lt;/author&gt;&lt;/authors&gt;&lt;/contributors&gt;&lt;titles&gt;&lt;title&gt;Origins and Destinations: family, class, and education in modern Britain&lt;/title&gt;&lt;/titles&gt;&lt;dates&gt;&lt;year&gt;1980&lt;/year&gt;&lt;/dates&gt;&lt;pub-location&gt;Oxford&lt;/pub-location&gt;&lt;publisher&gt;OUP&lt;/publisher&gt;&lt;urls&gt;&lt;/urls&gt;&lt;/record&gt;&lt;/Cite&gt;&lt;Cite&gt;&lt;Author&gt;Feinstein&lt;/Author&gt;&lt;Year&gt;2003&lt;/Year&gt;&lt;RecNum&gt;88&lt;/RecNum&gt;&lt;record&gt;&lt;rec-number&gt;88&lt;/rec-number&gt;&lt;foreign-keys&gt;&lt;key app="EN" db-id="aeretdtfgatxzketrem5pp9n9d2vvexz5rvr"&gt;88&lt;/key&gt;&lt;/foreign-keys&gt;&lt;ref-type name="Journal Article"&gt;17&lt;/ref-type&gt;&lt;contributors&gt;&lt;authors&gt;&lt;author&gt;Feinstein, L.&lt;/author&gt;&lt;/authors&gt;&lt;/contributors&gt;&lt;titles&gt;&lt;title&gt;Inequality in the Early Cognitive Development of British Children in the 1970 Cohort&lt;/title&gt;&lt;secondary-title&gt;Economica&lt;/secondary-title&gt;&lt;/titles&gt;&lt;periodical&gt;&lt;full-title&gt;Economica&lt;/full-title&gt;&lt;/periodical&gt;&lt;pages&gt;73-97&lt;/pages&gt;&lt;volume&gt;70&lt;/volume&gt;&lt;number&gt;1&lt;/number&gt;&lt;dates&gt;&lt;year&gt;2003&lt;/year&gt;&lt;/dates&gt;&lt;urls&gt;&lt;/urls&gt;&lt;/record&gt;&lt;/Cite&gt;&lt;/EndNote&gt;</w:instrText>
      </w:r>
      <w:r w:rsidR="00C16BF1" w:rsidRPr="00546FE3">
        <w:rPr>
          <w:rFonts w:cs="Arial"/>
        </w:rPr>
        <w:fldChar w:fldCharType="separate"/>
      </w:r>
      <w:r w:rsidR="007F5606">
        <w:rPr>
          <w:rFonts w:cs="Arial"/>
        </w:rPr>
        <w:t>(Feinstein 2003; Floud, et al. 1956; Halsey, et al. 1980)</w:t>
      </w:r>
      <w:r w:rsidR="00C16BF1" w:rsidRPr="00546FE3">
        <w:rPr>
          <w:rFonts w:cs="Arial"/>
        </w:rPr>
        <w:fldChar w:fldCharType="end"/>
      </w:r>
      <w:r w:rsidRPr="00546FE3">
        <w:rPr>
          <w:rFonts w:cs="Arial"/>
        </w:rPr>
        <w:t>.</w:t>
      </w:r>
      <w:r w:rsidRPr="00546FE3">
        <w:rPr>
          <w:rFonts w:cs="Arial"/>
          <w:color w:val="333333"/>
        </w:rPr>
        <w:t xml:space="preserve"> </w:t>
      </w:r>
      <w:r w:rsidR="00862572">
        <w:t>Recently</w:t>
      </w:r>
      <w:r w:rsidR="00CD0A42" w:rsidRPr="00546FE3">
        <w:t xml:space="preserve">, there has been a strong policy response to research stating that </w:t>
      </w:r>
      <w:r w:rsidR="000314F5">
        <w:t xml:space="preserve">intergenerational </w:t>
      </w:r>
      <w:r w:rsidR="005418CD">
        <w:t xml:space="preserve">income </w:t>
      </w:r>
      <w:r w:rsidR="00CD0A42" w:rsidRPr="00546FE3">
        <w:t xml:space="preserve">mobility </w:t>
      </w:r>
      <w:r w:rsidR="0045211C">
        <w:t xml:space="preserve">has </w:t>
      </w:r>
      <w:r w:rsidR="00CD0A42" w:rsidRPr="00546FE3">
        <w:t xml:space="preserve">declined </w:t>
      </w:r>
      <w:r w:rsidR="005418CD">
        <w:t xml:space="preserve">among men </w:t>
      </w:r>
      <w:r w:rsidR="00CD0A42" w:rsidRPr="00546FE3">
        <w:t xml:space="preserve">in Britain, </w:t>
      </w:r>
      <w:r w:rsidR="004D49AC">
        <w:t>based on a comparison of</w:t>
      </w:r>
      <w:r w:rsidR="00CD0A42" w:rsidRPr="00546FE3">
        <w:t xml:space="preserve"> the British cohort born in 1958 to the cohort born in 1970 </w:t>
      </w:r>
      <w:r w:rsidR="00C16BF1" w:rsidRPr="00546FE3">
        <w:fldChar w:fldCharType="begin"/>
      </w:r>
      <w:r w:rsidR="0005386F">
        <w:instrText xml:space="preserve"> ADDIN EN.CITE &lt;EndNote&gt;&lt;Cite&gt;&lt;Author&gt;Blanden&lt;/Author&gt;&lt;Year&gt;2004&lt;/Year&gt;&lt;RecNum&gt;1171&lt;/RecNum&gt;&lt;record&gt;&lt;rec-number&gt;1171&lt;/rec-number&gt;&lt;foreign-keys&gt;&lt;key app="EN" db-id="aeretdtfgatxzketrem5pp9n9d2vvexz5rvr"&gt;1171&lt;/key&gt;&lt;/foreign-keys&gt;&lt;ref-type name="Book Section"&gt;5&lt;/ref-type&gt;&lt;contributors&gt;&lt;authors&gt;&lt;author&gt;Blanden, J.&lt;/author&gt;&lt;author&gt;Goodman, A.&lt;/author&gt;&lt;author&gt;Gregg, P.&lt;/author&gt;&lt;author&gt;Machin, S.&lt;/author&gt;&lt;/authors&gt;&lt;secondary-authors&gt;&lt;author&gt;M. Corak&lt;/author&gt;&lt;/secondary-authors&gt;&lt;/contributors&gt;&lt;titles&gt;&lt;title&gt;Changes in Intergenerational Mobility in Britain&lt;/title&gt;&lt;secondary-title&gt;Generational Income Mobility in North America and Europe&lt;/secondary-title&gt;&lt;/titles&gt;&lt;dates&gt;&lt;year&gt;2004&lt;/year&gt;&lt;/dates&gt;&lt;pub-location&gt;Cambridge&lt;/pub-location&gt;&lt;publisher&gt;Cambridge University Press&lt;/publisher&gt;&lt;urls&gt;&lt;/urls&gt;&lt;/record&gt;&lt;/Cite&gt;&lt;/EndNote&gt;</w:instrText>
      </w:r>
      <w:r w:rsidR="00C16BF1" w:rsidRPr="00546FE3">
        <w:fldChar w:fldCharType="separate"/>
      </w:r>
      <w:r w:rsidR="00F64BFC" w:rsidRPr="00546FE3">
        <w:t>(Blanden, et al. 2004)</w:t>
      </w:r>
      <w:r w:rsidR="00C16BF1" w:rsidRPr="00546FE3">
        <w:fldChar w:fldCharType="end"/>
      </w:r>
      <w:r w:rsidR="0071576D">
        <w:t>, though relative occupational</w:t>
      </w:r>
      <w:r w:rsidR="005418CD">
        <w:t xml:space="preserve"> class mobility is apparently unchanged </w:t>
      </w:r>
      <w:r w:rsidR="00C16BF1">
        <w:fldChar w:fldCharType="begin"/>
      </w:r>
      <w:r w:rsidR="0005386F">
        <w:instrText xml:space="preserve"> ADDIN EN.CITE &lt;EndNote&gt;&lt;Cite&gt;&lt;Author&gt;Goldthorpe&lt;/Author&gt;&lt;Year&gt;2007&lt;/Year&gt;&lt;RecNum&gt;1173&lt;/RecNum&gt;&lt;record&gt;&lt;rec-number&gt;1173&lt;/rec-number&gt;&lt;foreign-keys&gt;&lt;key app="EN" db-id="aeretdtfgatxzketrem5pp9n9d2vvexz5rvr"&gt;1173&lt;/key&gt;&lt;/foreign-keys&gt;&lt;ref-type name="Journal Article"&gt;17&lt;/ref-type&gt;&lt;contributors&gt;&lt;authors&gt;&lt;author&gt;Goldthorpe, J.&lt;/author&gt;&lt;author&gt;Jackson, M.&lt;/author&gt;&lt;/authors&gt;&lt;/contributors&gt;&lt;titles&gt;&lt;title&gt;Intergenerational class mobility in contemporary Britain: political concerns and empirical findngs&lt;/title&gt;&lt;secondary-title&gt;British Journal of Sociology&lt;/secondary-title&gt;&lt;/titles&gt;&lt;periodical&gt;&lt;full-title&gt;British Journal of Sociology&lt;/full-title&gt;&lt;/periodical&gt;&lt;pages&gt;525-546&lt;/pages&gt;&lt;volume&gt;58&lt;/volume&gt;&lt;number&gt;4&lt;/number&gt;&lt;dates&gt;&lt;year&gt;2007&lt;/year&gt;&lt;/dates&gt;&lt;urls&gt;&lt;/urls&gt;&lt;/record&gt;&lt;/Cite&gt;&lt;/EndNote&gt;</w:instrText>
      </w:r>
      <w:r w:rsidR="00C16BF1">
        <w:fldChar w:fldCharType="separate"/>
      </w:r>
      <w:r w:rsidR="00627404">
        <w:t>(Goldthorpe and Jackson 2007)</w:t>
      </w:r>
      <w:r w:rsidR="00C16BF1">
        <w:fldChar w:fldCharType="end"/>
      </w:r>
      <w:r w:rsidR="00F64BFC" w:rsidRPr="00546FE3">
        <w:t xml:space="preserve">. </w:t>
      </w:r>
    </w:p>
    <w:p w:rsidR="001218DC" w:rsidRDefault="000314F5" w:rsidP="00CD0A42">
      <w:pPr>
        <w:pStyle w:val="NormalWeb"/>
      </w:pPr>
      <w:r>
        <w:t>Some</w:t>
      </w:r>
      <w:r w:rsidR="00550572" w:rsidRPr="00546FE3">
        <w:t xml:space="preserve"> </w:t>
      </w:r>
      <w:r w:rsidR="00CD0A42" w:rsidRPr="00546FE3">
        <w:t>commentators have stated that declining mobility is due to the abolition of Grammar schools</w:t>
      </w:r>
      <w:r w:rsidR="00EF36B6">
        <w:t xml:space="preserve">, a view </w:t>
      </w:r>
      <w:r w:rsidR="00044ADB">
        <w:t xml:space="preserve">challenged by Boliver and Swift </w:t>
      </w:r>
      <w:r w:rsidR="00C16BF1">
        <w:fldChar w:fldCharType="begin"/>
      </w:r>
      <w:r w:rsidR="0005386F">
        <w:instrText xml:space="preserve"> ADDIN EN.CITE &lt;EndNote&gt;&lt;Cite ExcludeAuth="1"&gt;&lt;Author&gt;Boliver&lt;/Author&gt;&lt;Year&gt;2011&lt;/Year&gt;&lt;RecNum&gt;1203&lt;/RecNum&gt;&lt;record&gt;&lt;rec-number&gt;1203&lt;/rec-number&gt;&lt;foreign-keys&gt;&lt;key app="EN" db-id="aeretdtfgatxzketrem5pp9n9d2vvexz5rvr"&gt;1203&lt;/key&gt;&lt;/foreign-keys&gt;&lt;ref-type name="Journal Article"&gt;17&lt;/ref-type&gt;&lt;contributors&gt;&lt;authors&gt;&lt;author&gt;Boliver, V.&lt;/author&gt;&lt;author&gt;Swift, A.&lt;/author&gt;&lt;/authors&gt;&lt;/contributors&gt;&lt;titles&gt;&lt;title&gt;Do comprehensive schools reduce social mobility&lt;/title&gt;&lt;secondary-title&gt;British Journal of Sociology&lt;/secondary-title&gt;&lt;/titles&gt;&lt;periodical&gt;&lt;full-title&gt;British Journal of Sociology&lt;/full-title&gt;&lt;/periodical&gt;&lt;pages&gt;89-110&lt;/pages&gt;&lt;volume&gt;62&lt;/volume&gt;&lt;number&gt;1&lt;/number&gt;&lt;dates&gt;&lt;year&gt;2011&lt;/year&gt;&lt;/dates&gt;&lt;urls&gt;&lt;/urls&gt;&lt;/record&gt;&lt;/Cite&gt;&lt;/EndNote&gt;</w:instrText>
      </w:r>
      <w:r w:rsidR="00C16BF1">
        <w:fldChar w:fldCharType="separate"/>
      </w:r>
      <w:r w:rsidR="00044ADB">
        <w:t>(2011)</w:t>
      </w:r>
      <w:r w:rsidR="00C16BF1">
        <w:fldChar w:fldCharType="end"/>
      </w:r>
      <w:r w:rsidR="00CD0A42" w:rsidRPr="00546FE3">
        <w:t xml:space="preserve">. </w:t>
      </w:r>
      <w:r>
        <w:t>However, i</w:t>
      </w:r>
      <w:r w:rsidR="0045211C">
        <w:t>n recent years</w:t>
      </w:r>
      <w:r w:rsidR="005E7294" w:rsidRPr="00546FE3">
        <w:t xml:space="preserve">, a policy discourse has emerged, seeking to explain </w:t>
      </w:r>
      <w:r w:rsidR="007854BB" w:rsidRPr="00546FE3">
        <w:t>educational</w:t>
      </w:r>
      <w:r w:rsidR="005E7294" w:rsidRPr="00546FE3">
        <w:t xml:space="preserve"> differentials </w:t>
      </w:r>
      <w:r w:rsidR="007854BB" w:rsidRPr="00546FE3">
        <w:t xml:space="preserve">and </w:t>
      </w:r>
      <w:r w:rsidR="00862572">
        <w:t>social immobility</w:t>
      </w:r>
      <w:r w:rsidR="007854BB" w:rsidRPr="00546FE3">
        <w:t xml:space="preserve"> </w:t>
      </w:r>
      <w:r w:rsidR="005E7294" w:rsidRPr="00546FE3">
        <w:t xml:space="preserve">in terms of ‘parenting’. </w:t>
      </w:r>
      <w:r w:rsidR="00AE4436" w:rsidRPr="00546FE3">
        <w:t xml:space="preserve">For example, Nick Clegg, the Deputy Prime Minister, has blamed low levels of social mobility on differences in parenting </w:t>
      </w:r>
      <w:r w:rsidR="00C16BF1" w:rsidRPr="00546FE3">
        <w:fldChar w:fldCharType="begin"/>
      </w:r>
      <w:r w:rsidR="0005386F">
        <w:instrText xml:space="preserve"> ADDIN EN.CITE &lt;EndNote&gt;&lt;Cite&gt;&lt;Author&gt;Telegraph&lt;/Author&gt;&lt;Year&gt;2010&lt;/Year&gt;&lt;RecNum&gt;1202&lt;/RecNum&gt;&lt;record&gt;&lt;rec-number&gt;1202&lt;/rec-number&gt;&lt;foreign-keys&gt;&lt;key app="EN" db-id="aeretdtfgatxzketrem5pp9n9d2vvexz5rvr"&gt;1202&lt;/key&gt;&lt;/foreign-keys&gt;&lt;ref-type name="Newspaper Article"&gt;23&lt;/ref-type&gt;&lt;contributors&gt;&lt;authors&gt;&lt;author&gt;Telegraph&lt;/author&gt;&lt;/authors&gt;&lt;/contributors&gt;&lt;titles&gt;&lt;title&gt;Good parenting not poverty shape a child&amp;apos;s destiny&lt;/title&gt;&lt;secondary-title&gt;Telegraph&lt;/secondary-title&gt;&lt;/titles&gt;&lt;dates&gt;&lt;year&gt;2010&lt;/year&gt;&lt;/dates&gt;&lt;pub-location&gt;London&lt;/pub-location&gt;&lt;urls&gt;&lt;/urls&gt;&lt;/record&gt;&lt;/Cite&gt;&lt;/EndNote&gt;</w:instrText>
      </w:r>
      <w:r w:rsidR="00C16BF1" w:rsidRPr="00546FE3">
        <w:fldChar w:fldCharType="separate"/>
      </w:r>
      <w:r w:rsidR="007A20DF" w:rsidRPr="00546FE3">
        <w:t>(Telegraph 2010)</w:t>
      </w:r>
      <w:r w:rsidR="00C16BF1" w:rsidRPr="00546FE3">
        <w:fldChar w:fldCharType="end"/>
      </w:r>
      <w:r w:rsidR="00C26F4C" w:rsidRPr="00546FE3">
        <w:t>,</w:t>
      </w:r>
      <w:r w:rsidR="00CD0A42" w:rsidRPr="00546FE3">
        <w:t xml:space="preserve"> citing “the different degree to which different parents invest in and engage with their own children’s development and progress”. </w:t>
      </w:r>
      <w:r w:rsidR="00E84B88" w:rsidRPr="00546FE3">
        <w:t xml:space="preserve">The Frank Field report </w:t>
      </w:r>
      <w:r w:rsidR="00C16BF1" w:rsidRPr="00546FE3">
        <w:fldChar w:fldCharType="begin"/>
      </w:r>
      <w:r w:rsidR="0005386F">
        <w:instrText xml:space="preserve"> ADDIN EN.CITE &lt;EndNote&gt;&lt;Cite ExcludeAuth="1"&gt;&lt;Author&gt;Field&lt;/Author&gt;&lt;Year&gt;2010&lt;/Year&gt;&lt;RecNum&gt;1204&lt;/RecNum&gt;&lt;record&gt;&lt;rec-number&gt;1204&lt;/rec-number&gt;&lt;foreign-keys&gt;&lt;key app="EN" db-id="aeretdtfgatxzketrem5pp9n9d2vvexz5rvr"&gt;1204&lt;/key&gt;&lt;/foreign-keys&gt;&lt;ref-type name="Report"&gt;27&lt;/ref-type&gt;&lt;contributors&gt;&lt;authors&gt;&lt;author&gt;Field, F.&lt;/author&gt;&lt;/authors&gt;&lt;/contributors&gt;&lt;titles&gt;&lt;title&gt;The foundation years: preventing poor children becoming poor adults&lt;/title&gt;&lt;secondary-title&gt;The report of the Independent Review on Poverty and Life Chances&lt;/secondary-title&gt;&lt;/titles&gt;&lt;dates&gt;&lt;year&gt;2010&lt;/year&gt;&lt;/dates&gt;&lt;pub-location&gt;London&lt;/pub-location&gt;&lt;publisher&gt;HM Government&lt;/publisher&gt;&lt;urls&gt;&lt;/urls&gt;&lt;/record&gt;&lt;/Cite&gt;&lt;/EndNote&gt;</w:instrText>
      </w:r>
      <w:r w:rsidR="00C16BF1" w:rsidRPr="00546FE3">
        <w:fldChar w:fldCharType="separate"/>
      </w:r>
      <w:r w:rsidR="004D49AC">
        <w:t>(2010)</w:t>
      </w:r>
      <w:r w:rsidR="00C16BF1" w:rsidRPr="00546FE3">
        <w:fldChar w:fldCharType="end"/>
      </w:r>
      <w:r w:rsidR="003C05AA" w:rsidRPr="00546FE3">
        <w:t>, starting</w:t>
      </w:r>
      <w:r w:rsidR="00E84B88" w:rsidRPr="00546FE3">
        <w:t xml:space="preserve"> from a premiss that few would disagree with - that poor children are disadvantaged by</w:t>
      </w:r>
      <w:r w:rsidR="00810F20" w:rsidRPr="00546FE3">
        <w:t xml:space="preserve"> more than just a lack of money</w:t>
      </w:r>
      <w:r w:rsidR="003C05AA" w:rsidRPr="00546FE3">
        <w:t xml:space="preserve"> - </w:t>
      </w:r>
      <w:r w:rsidR="00E84B88" w:rsidRPr="00546FE3">
        <w:t>goes on to make the more controversial claim that ‘…a modern definition of poverty must take into account those children whose parents remain disengaged from their responsi</w:t>
      </w:r>
      <w:r w:rsidR="00810F20" w:rsidRPr="00546FE3">
        <w:t xml:space="preserve">bilities.’ </w:t>
      </w:r>
      <w:proofErr w:type="gramStart"/>
      <w:r w:rsidR="00810F20" w:rsidRPr="00546FE3">
        <w:t>(Field 2010 p.15).</w:t>
      </w:r>
      <w:proofErr w:type="gramEnd"/>
      <w:r w:rsidR="00810F20" w:rsidRPr="00546FE3">
        <w:t xml:space="preserve"> Field</w:t>
      </w:r>
      <w:r w:rsidR="00E84B88" w:rsidRPr="00546FE3">
        <w:t xml:space="preserve"> states that Britain ‘…is witnessing a rupturing in its once stro</w:t>
      </w:r>
      <w:r w:rsidR="00E74BAE">
        <w:t xml:space="preserve">ng parenting tradition’ (p.18), and attributes this to </w:t>
      </w:r>
      <w:r w:rsidR="003538C2" w:rsidRPr="00546FE3">
        <w:t>housing estates, de-industrialisation, and the growth of single-</w:t>
      </w:r>
      <w:r w:rsidR="0045211C">
        <w:t xml:space="preserve">parent </w:t>
      </w:r>
      <w:r w:rsidR="003538C2" w:rsidRPr="00546FE3">
        <w:t>families.</w:t>
      </w:r>
      <w:r w:rsidR="00BA79A7">
        <w:t xml:space="preserve"> </w:t>
      </w:r>
    </w:p>
    <w:p w:rsidR="00DF733B" w:rsidRDefault="00DF733B" w:rsidP="00CD0A42">
      <w:pPr>
        <w:pStyle w:val="NormalWeb"/>
      </w:pPr>
      <w:r>
        <w:t xml:space="preserve">This paper offers a critique of the way in which research </w:t>
      </w:r>
      <w:r w:rsidR="000314F5">
        <w:t xml:space="preserve">evidence </w:t>
      </w:r>
      <w:r>
        <w:t>has been interpreted to support th</w:t>
      </w:r>
      <w:r w:rsidR="00862572">
        <w:t xml:space="preserve">is </w:t>
      </w:r>
      <w:r>
        <w:t xml:space="preserve">dominant policy discourse, and </w:t>
      </w:r>
      <w:r w:rsidR="00862572">
        <w:t>has neglected t</w:t>
      </w:r>
      <w:r>
        <w:t xml:space="preserve">he vital concept of social class. We go on to provide an empirical assessment of the social class gap in cognitive scores in the early years of primary education, and the extent to which this can be accounted for </w:t>
      </w:r>
      <w:r w:rsidR="00CB0E3B">
        <w:t>by ‘parenting’ and other factors.</w:t>
      </w:r>
    </w:p>
    <w:p w:rsidR="00CB0E3B" w:rsidRPr="00546FE3" w:rsidRDefault="00CB0E3B" w:rsidP="00896E8E">
      <w:pPr>
        <w:pStyle w:val="Heading3"/>
        <w:spacing w:line="240" w:lineRule="auto"/>
      </w:pPr>
      <w:r>
        <w:t>The link between policy claims and empirical evidence on ‘parenting’</w:t>
      </w:r>
    </w:p>
    <w:p w:rsidR="00BA79A7" w:rsidRPr="000749E0" w:rsidRDefault="001501B4" w:rsidP="00896E8E">
      <w:pPr>
        <w:spacing w:line="240" w:lineRule="auto"/>
      </w:pPr>
      <w:r>
        <w:t xml:space="preserve">Evidence from the British Cohort Studies and the Effective Provision of Pre-school Education (EPPE) project has featured heavily in recent debates on educational inequalities. Sylva </w:t>
      </w:r>
      <w:proofErr w:type="gramStart"/>
      <w:r>
        <w:t>et</w:t>
      </w:r>
      <w:proofErr w:type="gramEnd"/>
      <w:r>
        <w:t xml:space="preserve">. al. </w:t>
      </w:r>
      <w:r w:rsidR="00C16BF1">
        <w:fldChar w:fldCharType="begin"/>
      </w:r>
      <w:r w:rsidR="0005386F">
        <w:instrText xml:space="preserve"> ADDIN EN.CITE &lt;EndNote&gt;&lt;Cite ExcludeAuth="1"&gt;&lt;Author&gt;Sylva&lt;/Author&gt;&lt;Year&gt;2004&lt;/Year&gt;&lt;RecNum&gt;1206&lt;/RecNum&gt;&lt;record&gt;&lt;rec-number&gt;1206&lt;/rec-number&gt;&lt;foreign-keys&gt;&lt;key app="EN" db-id="aeretdtfgatxzketrem5pp9n9d2vvexz5rvr"&gt;1206&lt;/key&gt;&lt;/foreign-keys&gt;&lt;ref-type name="Book"&gt;6&lt;/ref-type&gt;&lt;contributors&gt;&lt;authors&gt;&lt;author&gt;Sylva, K.&lt;/author&gt;&lt;author&gt;Melhuish, E.&lt;/author&gt;&lt;author&gt;Sammons, P.&lt;/author&gt;&lt;author&gt;Siraj-Blatchford, I.&lt;/author&gt;&lt;author&gt;Taggart, B.&lt;/author&gt;&lt;/authors&gt;&lt;/contributors&gt;&lt;titles&gt;&lt;title&gt;The effective provision of pre-school education (EPPE) Project: Findings from the pre-school to the end of Key Stage 1&lt;/title&gt;&lt;/titles&gt;&lt;dates&gt;&lt;year&gt;2004&lt;/year&gt;&lt;/dates&gt;&lt;pub-location&gt;London&lt;/pub-location&gt;&lt;publisher&gt;DfES&lt;/publisher&gt;&lt;urls&gt;&lt;/urls&gt;&lt;/record&gt;&lt;/Cite&gt;&lt;/EndNote&gt;</w:instrText>
      </w:r>
      <w:r w:rsidR="00C16BF1">
        <w:fldChar w:fldCharType="separate"/>
      </w:r>
      <w:r>
        <w:t>(2004)</w:t>
      </w:r>
      <w:r w:rsidR="00C16BF1">
        <w:fldChar w:fldCharType="end"/>
      </w:r>
      <w:r>
        <w:t xml:space="preserve"> make a strong case for the importance of parenting to early outcomes, stating that ‘</w:t>
      </w:r>
      <w:r w:rsidRPr="00C55FE0">
        <w:rPr>
          <w:i/>
        </w:rPr>
        <w:t>what parents do with their children is more important than who they</w:t>
      </w:r>
      <w:r>
        <w:t xml:space="preserve"> </w:t>
      </w:r>
      <w:r w:rsidRPr="00C55FE0">
        <w:rPr>
          <w:i/>
        </w:rPr>
        <w:t>are</w:t>
      </w:r>
      <w:r>
        <w:t xml:space="preserve">’ (p.5). </w:t>
      </w:r>
      <w:r>
        <w:lastRenderedPageBreak/>
        <w:t>This claim is echoed by Graham Allen MP in a recent government report, ‘</w:t>
      </w:r>
      <w:proofErr w:type="gramStart"/>
      <w:r>
        <w:rPr>
          <w:i/>
        </w:rPr>
        <w:t>What</w:t>
      </w:r>
      <w:proofErr w:type="gramEnd"/>
      <w:r>
        <w:rPr>
          <w:i/>
        </w:rPr>
        <w:t xml:space="preserve"> parents do is more important than who they are. Especially in a child’s earliest years, the right kind of parenting is a bigger influence on their future than wealth, class education or any other common social </w:t>
      </w:r>
      <w:r w:rsidRPr="001F1030">
        <w:rPr>
          <w:i/>
        </w:rPr>
        <w:t>factor</w:t>
      </w:r>
      <w:r w:rsidRPr="00D00790">
        <w:t>’</w:t>
      </w:r>
      <w:r w:rsidR="00C16BF1">
        <w:fldChar w:fldCharType="begin"/>
      </w:r>
      <w:r w:rsidR="0005386F">
        <w:instrText xml:space="preserve"> ADDIN EN.CITE &lt;EndNote&gt;&lt;Cite&gt;&lt;Author&gt;Allen&lt;/Author&gt;&lt;Year&gt;2011&lt;/Year&gt;&lt;RecNum&gt;1250&lt;/RecNum&gt;&lt;Pages&gt;xiv&lt;/Pages&gt;&lt;record&gt;&lt;rec-number&gt;1250&lt;/rec-number&gt;&lt;foreign-keys&gt;&lt;key app="EN" db-id="aeretdtfgatxzketrem5pp9n9d2vvexz5rvr"&gt;1250&lt;/key&gt;&lt;/foreign-keys&gt;&lt;ref-type name="Report"&gt;27&lt;/ref-type&gt;&lt;contributors&gt;&lt;authors&gt;&lt;author&gt;Allen, G.&lt;/author&gt;&lt;/authors&gt;&lt;/contributors&gt;&lt;titles&gt;&lt;title&gt;Early Intervention: The Next Steps&lt;/title&gt;&lt;/titles&gt;&lt;dates&gt;&lt;year&gt;2011&lt;/year&gt;&lt;/dates&gt;&lt;pub-location&gt;London&lt;/pub-location&gt;&lt;publisher&gt;HM Government&lt;/publisher&gt;&lt;urls&gt;&lt;/urls&gt;&lt;/record&gt;&lt;/Cite&gt;&lt;/EndNote&gt;</w:instrText>
      </w:r>
      <w:r w:rsidR="00C16BF1">
        <w:fldChar w:fldCharType="separate"/>
      </w:r>
      <w:r w:rsidR="007F5606">
        <w:t>(Allen 2011)</w:t>
      </w:r>
      <w:r w:rsidR="00C16BF1">
        <w:fldChar w:fldCharType="end"/>
      </w:r>
      <w:r w:rsidR="004D49AC">
        <w:t xml:space="preserve"> </w:t>
      </w:r>
      <w:r>
        <w:t>p.xiv</w:t>
      </w:r>
      <w:r w:rsidR="005005BF">
        <w:t>)</w:t>
      </w:r>
      <w:r>
        <w:t>.</w:t>
      </w:r>
      <w:r w:rsidR="000314F5">
        <w:t xml:space="preserve"> </w:t>
      </w:r>
      <w:r w:rsidR="00BA79A7">
        <w:t>David Cameron</w:t>
      </w:r>
      <w:r w:rsidR="006A5B43">
        <w:t xml:space="preserve"> cites ‘research evidence’ which</w:t>
      </w:r>
      <w:r w:rsidR="00BA79A7">
        <w:t xml:space="preserve"> </w:t>
      </w:r>
      <w:r w:rsidR="006A5B43">
        <w:rPr>
          <w:i/>
        </w:rPr>
        <w:t>“…</w:t>
      </w:r>
      <w:r w:rsidR="00BA79A7">
        <w:rPr>
          <w:i/>
        </w:rPr>
        <w:t xml:space="preserve"> shows that the differences in child outcomes between a child born in poverty and a child born in wealth are no longer statistically significant when both are raised by “confident and able” parents. It would be over the top to say that it is to social science what E=MC</w:t>
      </w:r>
      <w:r w:rsidR="00BA79A7" w:rsidRPr="005F179D">
        <w:rPr>
          <w:i/>
          <w:vertAlign w:val="superscript"/>
        </w:rPr>
        <w:t>2</w:t>
      </w:r>
      <w:r w:rsidR="00BA79A7">
        <w:rPr>
          <w:i/>
        </w:rPr>
        <w:t xml:space="preserve"> was to physics...That discovery defined the laws of relativity; this one is the new law for social mobility.”</w:t>
      </w:r>
      <w:r w:rsidR="00C16BF1" w:rsidRPr="0020673A">
        <w:fldChar w:fldCharType="begin"/>
      </w:r>
      <w:r w:rsidR="0005386F">
        <w:instrText xml:space="preserve"> ADDIN EN.CITE &lt;EndNote&gt;&lt;Cite&gt;&lt;Author&gt;Cameron&lt;/Author&gt;&lt;Year&gt;2010&lt;/Year&gt;&lt;RecNum&gt;1284&lt;/RecNum&gt;&lt;record&gt;&lt;rec-number&gt;1284&lt;/rec-number&gt;&lt;foreign-keys&gt;&lt;key app="EN" db-id="aeretdtfgatxzketrem5pp9n9d2vvexz5rvr"&gt;1284&lt;/key&gt;&lt;/foreign-keys&gt;&lt;ref-type name="Generic"&gt;13&lt;/ref-type&gt;&lt;contributors&gt;&lt;authors&gt;&lt;author&gt;Cameron, D&lt;/author&gt;&lt;/authors&gt;&lt;/contributors&gt;&lt;titles&gt;&lt;title&gt;Speech &amp;apos;Supporting Parents&amp;apos;&lt;/title&gt;&lt;/titles&gt;&lt;dates&gt;&lt;year&gt;2010&lt;/year&gt;&lt;/dates&gt;&lt;publisher&gt;http://www.conservatives.com/News/Speeches/2010/01/David_Cameron_Supporting_parents.aspx&lt;/publisher&gt;&lt;urls&gt;&lt;related-urls&gt;&lt;url&gt;http://www.conservatives.com/News/Speeches/2010/01/David_Cameron_Supporting_parents.aspx&lt;/url&gt;&lt;/related-urls&gt;&lt;/urls&gt;&lt;/record&gt;&lt;/Cite&gt;&lt;/EndNote&gt;</w:instrText>
      </w:r>
      <w:r w:rsidR="00C16BF1" w:rsidRPr="0020673A">
        <w:fldChar w:fldCharType="separate"/>
      </w:r>
      <w:r w:rsidR="0020673A" w:rsidRPr="0020673A">
        <w:t>(Cameron 2010)</w:t>
      </w:r>
      <w:r w:rsidR="00C16BF1" w:rsidRPr="0020673A">
        <w:fldChar w:fldCharType="end"/>
      </w:r>
      <w:r w:rsidR="006A5B43">
        <w:t>.</w:t>
      </w:r>
      <w:r w:rsidR="00BA79A7">
        <w:rPr>
          <w:i/>
        </w:rPr>
        <w:t xml:space="preserve"> </w:t>
      </w:r>
      <w:r w:rsidR="00A23F3C">
        <w:t xml:space="preserve"> This extraordinary claim is based on a Demos report</w:t>
      </w:r>
      <w:r w:rsidR="004F7F58">
        <w:t xml:space="preserve"> </w:t>
      </w:r>
      <w:r w:rsidR="00C16BF1">
        <w:fldChar w:fldCharType="begin"/>
      </w:r>
      <w:r w:rsidR="0005386F">
        <w:instrText xml:space="preserve"> ADDIN EN.CITE &lt;EndNote&gt;&lt;Cite&gt;&lt;Author&gt;Lexmond&lt;/Author&gt;&lt;Year&gt;2009&lt;/Year&gt;&lt;RecNum&gt;1283&lt;/RecNum&gt;&lt;record&gt;&lt;rec-number&gt;1283&lt;/rec-number&gt;&lt;foreign-keys&gt;&lt;key app="EN" db-id="aeretdtfgatxzketrem5pp9n9d2vvexz5rvr"&gt;1283&lt;/key&gt;&lt;/foreign-keys&gt;&lt;ref-type name="Book"&gt;6&lt;/ref-type&gt;&lt;contributors&gt;&lt;authors&gt;&lt;author&gt;Lexmond, J.&lt;/author&gt;&lt;author&gt;Reeves, R.&lt;/author&gt;&lt;/authors&gt;&lt;/contributors&gt;&lt;titles&gt;&lt;title&gt;&amp;quot;Parents are the principal architects of a fairer society...&amp;quot;: Building Character&lt;/title&gt;&lt;/titles&gt;&lt;dates&gt;&lt;year&gt;2009&lt;/year&gt;&lt;/dates&gt;&lt;pub-location&gt;London&lt;/pub-location&gt;&lt;publisher&gt;Demos&lt;/publisher&gt;&lt;urls&gt;&lt;/urls&gt;&lt;/record&gt;&lt;/Cite&gt;&lt;/EndNote&gt;</w:instrText>
      </w:r>
      <w:r w:rsidR="00C16BF1">
        <w:fldChar w:fldCharType="separate"/>
      </w:r>
      <w:r w:rsidR="00752447">
        <w:t>(Lexmond and Reeves 2009)</w:t>
      </w:r>
      <w:r w:rsidR="00C16BF1">
        <w:fldChar w:fldCharType="end"/>
      </w:r>
      <w:r w:rsidR="00752447">
        <w:t xml:space="preserve"> </w:t>
      </w:r>
      <w:r w:rsidR="00862572">
        <w:t>focussi</w:t>
      </w:r>
      <w:r w:rsidR="005741DD">
        <w:t>ng only on behavioural outcomes. The report</w:t>
      </w:r>
      <w:r w:rsidR="004F7F58">
        <w:t xml:space="preserve"> </w:t>
      </w:r>
      <w:r w:rsidR="005741DD">
        <w:t>has</w:t>
      </w:r>
      <w:r w:rsidR="0020673A">
        <w:t xml:space="preserve"> not had</w:t>
      </w:r>
      <w:r w:rsidR="004F7F58">
        <w:t xml:space="preserve"> the</w:t>
      </w:r>
      <w:r w:rsidR="00CA6826">
        <w:t xml:space="preserve"> benefit of scientific scrutiny</w:t>
      </w:r>
      <w:r w:rsidR="00862572">
        <w:t xml:space="preserve">, and </w:t>
      </w:r>
      <w:r w:rsidR="005741DD">
        <w:t>its</w:t>
      </w:r>
      <w:r w:rsidR="00862572">
        <w:t xml:space="preserve"> modelling strategy is questionable</w:t>
      </w:r>
      <w:r w:rsidR="00CA6826">
        <w:t xml:space="preserve">. </w:t>
      </w:r>
      <w:r w:rsidR="00E855F6">
        <w:t>Cameron’</w:t>
      </w:r>
      <w:r w:rsidR="00CA6826">
        <w:t xml:space="preserve">s </w:t>
      </w:r>
      <w:r w:rsidR="004568C5">
        <w:t xml:space="preserve">interpretation </w:t>
      </w:r>
      <w:r w:rsidR="006A5B43">
        <w:t xml:space="preserve">has been </w:t>
      </w:r>
      <w:r w:rsidR="00862572">
        <w:t>challenged</w:t>
      </w:r>
      <w:r w:rsidR="006A5B43">
        <w:t xml:space="preserve"> </w:t>
      </w:r>
      <w:r w:rsidR="00E855F6">
        <w:t xml:space="preserve">by scholars in the field </w:t>
      </w:r>
      <w:r w:rsidR="00C16BF1">
        <w:fldChar w:fldCharType="begin"/>
      </w:r>
      <w:r w:rsidR="0005386F">
        <w:instrText xml:space="preserve"> ADDIN EN.CITE &lt;EndNote&gt;&lt;Cite&gt;&lt;Author&gt;Kiernan&lt;/Author&gt;&lt;Year&gt;14th January 2010&lt;/Year&gt;&lt;RecNum&gt;1285&lt;/RecNum&gt;&lt;record&gt;&lt;rec-number&gt;1285&lt;/rec-number&gt;&lt;foreign-keys&gt;&lt;key app="EN" db-id="aeretdtfgatxzketrem5pp9n9d2vvexz5rvr"&gt;1285&lt;/key&gt;&lt;/foreign-keys&gt;&lt;ref-type name="Generic"&gt;13&lt;/ref-type&gt;&lt;contributors&gt;&lt;authors&gt;&lt;author&gt;Kiernan, K.&lt;/author&gt;&lt;/authors&gt;&lt;/contributors&gt;&lt;titles&gt;&lt;title&gt;Letter to &amp;apos;The Guardian&amp;apos;&lt;/title&gt;&lt;/titles&gt;&lt;dates&gt;&lt;year&gt;14th January 2010&lt;/year&gt;&lt;/dates&gt;&lt;urls&gt;&lt;/urls&gt;&lt;/record&gt;&lt;/Cite&gt;&lt;/EndNote&gt;</w:instrText>
      </w:r>
      <w:r w:rsidR="00C16BF1">
        <w:fldChar w:fldCharType="separate"/>
      </w:r>
      <w:r w:rsidR="006A5B43">
        <w:t>(Kiernan 14th January 2010)</w:t>
      </w:r>
      <w:r w:rsidR="00C16BF1">
        <w:fldChar w:fldCharType="end"/>
      </w:r>
      <w:r w:rsidR="00B4735E">
        <w:t xml:space="preserve">. </w:t>
      </w:r>
      <w:r w:rsidR="005741DD">
        <w:t>We must add that social mobility is of course not entirely driven by early cognitive scores, let alone by early behavioural adjustment.</w:t>
      </w:r>
    </w:p>
    <w:p w:rsidR="00CB0E3B" w:rsidRDefault="00862572" w:rsidP="00CB0E3B">
      <w:pPr>
        <w:pStyle w:val="NormalWeb"/>
        <w:rPr>
          <w:rFonts w:cs="Arial"/>
          <w:szCs w:val="22"/>
        </w:rPr>
      </w:pPr>
      <w:r>
        <w:rPr>
          <w:rFonts w:cs="Arial"/>
          <w:szCs w:val="22"/>
        </w:rPr>
        <w:t xml:space="preserve">Policymakers have also paid much attention </w:t>
      </w:r>
      <w:r w:rsidR="00CB0E3B">
        <w:rPr>
          <w:rFonts w:cs="Arial"/>
          <w:szCs w:val="22"/>
        </w:rPr>
        <w:t xml:space="preserve">to research using the ‘parental interest’ variable from the National Child Development Study (NCDS) and British Cohort Study (BCS70). </w:t>
      </w:r>
      <w:r w:rsidR="00CB0E3B">
        <w:t xml:space="preserve">Clegg </w:t>
      </w:r>
      <w:r w:rsidR="00C16BF1">
        <w:fldChar w:fldCharType="begin"/>
      </w:r>
      <w:r w:rsidR="0005386F">
        <w:instrText xml:space="preserve"> ADDIN EN.CITE &lt;EndNote&gt;&lt;Cite&gt;&lt;Author&gt;Telegraph&lt;/Author&gt;&lt;Year&gt;2010&lt;/Year&gt;&lt;RecNum&gt;1202&lt;/RecNum&gt;&lt;record&gt;&lt;rec-number&gt;1202&lt;/rec-number&gt;&lt;foreign-keys&gt;&lt;key app="EN" db-id="aeretdtfgatxzketrem5pp9n9d2vvexz5rvr"&gt;1202&lt;/key&gt;&lt;/foreign-keys&gt;&lt;ref-type name="Newspaper Article"&gt;23&lt;/ref-type&gt;&lt;contributors&gt;&lt;authors&gt;&lt;author&gt;Telegraph&lt;/author&gt;&lt;/authors&gt;&lt;/contributors&gt;&lt;titles&gt;&lt;title&gt;Good parenting not poverty shape a child&amp;apos;s destiny&lt;/title&gt;&lt;secondary-title&gt;Telegraph&lt;/secondary-title&gt;&lt;/titles&gt;&lt;dates&gt;&lt;year&gt;2010&lt;/year&gt;&lt;/dates&gt;&lt;pub-location&gt;London&lt;/pub-location&gt;&lt;urls&gt;&lt;/urls&gt;&lt;/record&gt;&lt;/Cite&gt;&lt;/EndNote&gt;</w:instrText>
      </w:r>
      <w:r w:rsidR="00C16BF1">
        <w:fldChar w:fldCharType="separate"/>
      </w:r>
      <w:r w:rsidR="00CB0E3B">
        <w:t>(Telegraph 2010)</w:t>
      </w:r>
      <w:r w:rsidR="00C16BF1">
        <w:fldChar w:fldCharType="end"/>
      </w:r>
      <w:r w:rsidR="00CB0E3B">
        <w:t xml:space="preserve"> cited findings  that parental interest in a child’s education is four times more important than socio-economic background to that child’s final educational achievements </w:t>
      </w:r>
      <w:r w:rsidR="00C16BF1">
        <w:fldChar w:fldCharType="begin"/>
      </w:r>
      <w:r w:rsidR="0005386F">
        <w:instrText xml:space="preserve"> ADDIN EN.CITE &lt;EndNote&gt;&lt;Cite&gt;&lt;Author&gt;Feinstein&lt;/Author&gt;&lt;Year&gt;1999&lt;/Year&gt;&lt;RecNum&gt;273&lt;/RecNum&gt;&lt;record&gt;&lt;rec-number&gt;273&lt;/rec-number&gt;&lt;foreign-keys&gt;&lt;key app="EN" db-id="aeretdtfgatxzketrem5pp9n9d2vvexz5rvr"&gt;273&lt;/key&gt;&lt;/foreign-keys&gt;&lt;ref-type name="Journal Article"&gt;17&lt;/ref-type&gt;&lt;contributors&gt;&lt;authors&gt;&lt;author&gt;Feinstein, L.&lt;/author&gt;&lt;author&gt;Symons, J.&lt;/author&gt;&lt;/authors&gt;&lt;/contributors&gt;&lt;titles&gt;&lt;title&gt;Attainment in secondary school&lt;/title&gt;&lt;secondary-title&gt;Oxford Economic Papers&lt;/secondary-title&gt;&lt;/titles&gt;&lt;pages&gt;300-321&lt;/pages&gt;&lt;volume&gt;51&lt;/volume&gt;&lt;dates&gt;&lt;year&gt;1999&lt;/year&gt;&lt;/dates&gt;&lt;urls&gt;&lt;/urls&gt;&lt;/record&gt;&lt;/Cite&gt;&lt;/EndNote&gt;</w:instrText>
      </w:r>
      <w:r w:rsidR="00C16BF1">
        <w:fldChar w:fldCharType="separate"/>
      </w:r>
      <w:r w:rsidR="00CB0E3B">
        <w:t>(Feinstein and Symons 1999)</w:t>
      </w:r>
      <w:r w:rsidR="00C16BF1">
        <w:fldChar w:fldCharType="end"/>
      </w:r>
      <w:r w:rsidR="00CB0E3B">
        <w:t xml:space="preserve">. </w:t>
      </w:r>
      <w:r w:rsidR="00CB0E3B">
        <w:rPr>
          <w:rFonts w:cs="Arial"/>
          <w:szCs w:val="22"/>
        </w:rPr>
        <w:t xml:space="preserve">Field (2010) citing </w:t>
      </w:r>
      <w:r w:rsidR="00C16BF1">
        <w:rPr>
          <w:rFonts w:cs="Arial"/>
          <w:szCs w:val="22"/>
        </w:rPr>
        <w:fldChar w:fldCharType="begin"/>
      </w:r>
      <w:r w:rsidR="0005386F">
        <w:rPr>
          <w:rFonts w:cs="Arial"/>
          <w:szCs w:val="22"/>
        </w:rPr>
        <w:instrText xml:space="preserve"> ADDIN EN.CITE &lt;EndNote&gt;&lt;Cite&gt;&lt;Author&gt;Blanden&lt;/Author&gt;&lt;Year&gt;2006&lt;/Year&gt;&lt;RecNum&gt;1195&lt;/RecNum&gt;&lt;record&gt;&lt;rec-number&gt;1195&lt;/rec-number&gt;&lt;foreign-keys&gt;&lt;key app="EN" db-id="aeretdtfgatxzketrem5pp9n9d2vvexz5rvr"&gt;1195&lt;/key&gt;&lt;/foreign-keys&gt;&lt;ref-type name="Report"&gt;27&lt;/ref-type&gt;&lt;contributors&gt;&lt;authors&gt;&lt;author&gt;Blanden, J.&lt;/author&gt;&lt;/authors&gt;&lt;/contributors&gt;&lt;titles&gt;&lt;title&gt;&amp;apos;Bucking the Trend&amp;apos;: What enables those who are disadvantaged in childhood to succeed later in life?&lt;/title&gt;&lt;secondary-title&gt;DWP Working Paper&lt;/secondary-title&gt;&lt;/titles&gt;&lt;volume&gt;31&lt;/volume&gt;&lt;dates&gt;&lt;year&gt;2006&lt;/year&gt;&lt;/dates&gt;&lt;urls&gt;&lt;/urls&gt;&lt;/record&gt;&lt;/Cite&gt;&lt;/EndNote&gt;</w:instrText>
      </w:r>
      <w:r w:rsidR="00C16BF1">
        <w:rPr>
          <w:rFonts w:cs="Arial"/>
          <w:szCs w:val="22"/>
        </w:rPr>
        <w:fldChar w:fldCharType="separate"/>
      </w:r>
      <w:r w:rsidR="00CB0E3B">
        <w:rPr>
          <w:rFonts w:cs="Arial"/>
          <w:szCs w:val="22"/>
        </w:rPr>
        <w:t>(Blanden 2006)</w:t>
      </w:r>
      <w:r w:rsidR="00C16BF1">
        <w:rPr>
          <w:rFonts w:cs="Arial"/>
          <w:szCs w:val="22"/>
        </w:rPr>
        <w:fldChar w:fldCharType="end"/>
      </w:r>
      <w:r w:rsidR="00CB0E3B">
        <w:rPr>
          <w:rFonts w:cs="Arial"/>
          <w:szCs w:val="22"/>
        </w:rPr>
        <w:t xml:space="preserve"> states that ‘Other research has shown that the simple fact of a mother or father being interested in their children’s education alone increases a child’s chances of moving out of poverty as an adult by 25 percentage points.’ But this ‘simple fact’ </w:t>
      </w:r>
      <w:r w:rsidR="00A23F3C">
        <w:rPr>
          <w:rFonts w:cs="Arial"/>
          <w:szCs w:val="22"/>
        </w:rPr>
        <w:t xml:space="preserve">is constructed through an uncritical interpretation of the data. </w:t>
      </w:r>
      <w:r w:rsidR="00612C17">
        <w:rPr>
          <w:rFonts w:cs="Arial"/>
          <w:szCs w:val="22"/>
        </w:rPr>
        <w:t>‘P</w:t>
      </w:r>
      <w:r w:rsidR="00A23F3C">
        <w:rPr>
          <w:rFonts w:cs="Arial"/>
          <w:szCs w:val="22"/>
        </w:rPr>
        <w:t xml:space="preserve">arental interest’ </w:t>
      </w:r>
      <w:r w:rsidR="00CB0E3B">
        <w:rPr>
          <w:rFonts w:cs="Arial"/>
          <w:szCs w:val="22"/>
        </w:rPr>
        <w:t>refers to the teacher’s report of each parent’s level of interest at age 10</w:t>
      </w:r>
      <w:r w:rsidR="00437297">
        <w:rPr>
          <w:rFonts w:cs="Arial"/>
          <w:szCs w:val="22"/>
        </w:rPr>
        <w:t xml:space="preserve"> or 11</w:t>
      </w:r>
      <w:r w:rsidR="00CB0E3B">
        <w:rPr>
          <w:rFonts w:cs="Arial"/>
          <w:szCs w:val="22"/>
        </w:rPr>
        <w:t xml:space="preserve">. Since teachers’ contact with parents at this time was largely limited to an annual parents’ evening towards the end of the academic year, it is likely that teachers will have drawn inferences about the interest of the parents at least partly from the characteristics of the child, such as their academic performance, behaviour and social class. </w:t>
      </w:r>
      <w:proofErr w:type="gramStart"/>
      <w:r w:rsidR="00CB0E3B">
        <w:rPr>
          <w:rFonts w:cs="Arial"/>
          <w:szCs w:val="22"/>
        </w:rPr>
        <w:t>Hardly surprising then that this variable is predictive of academic attainment.</w:t>
      </w:r>
      <w:proofErr w:type="gramEnd"/>
      <w:r w:rsidR="00A23F3C">
        <w:rPr>
          <w:rFonts w:cs="Arial"/>
          <w:szCs w:val="22"/>
        </w:rPr>
        <w:t xml:space="preserve"> </w:t>
      </w:r>
      <w:r w:rsidR="00CB0E3B">
        <w:rPr>
          <w:rFonts w:cs="Arial"/>
          <w:szCs w:val="22"/>
        </w:rPr>
        <w:t xml:space="preserve">Qualitative evidence suggests that few parents are actually uninterested, but many have difficulty in expressing their interest in ways that are recognised by teachers </w:t>
      </w:r>
      <w:r w:rsidR="00C16BF1">
        <w:rPr>
          <w:rFonts w:cs="Arial"/>
          <w:szCs w:val="22"/>
        </w:rPr>
        <w:fldChar w:fldCharType="begin"/>
      </w:r>
      <w:r w:rsidR="0005386F">
        <w:rPr>
          <w:rFonts w:cs="Arial"/>
          <w:szCs w:val="22"/>
        </w:rPr>
        <w:instrText xml:space="preserve"> ADDIN EN.CITE &lt;EndNote&gt;&lt;Cite&gt;&lt;Author&gt;Vincent&lt;/Author&gt;&lt;Year&gt;2012&lt;/Year&gt;&lt;RecNum&gt;1264&lt;/RecNum&gt;&lt;record&gt;&lt;rec-number&gt;1264&lt;/rec-number&gt;&lt;foreign-keys&gt;&lt;key app="EN" db-id="aeretdtfgatxzketrem5pp9n9d2vvexz5rvr"&gt;1264&lt;/key&gt;&lt;/foreign-keys&gt;&lt;ref-type name="Book"&gt;6&lt;/ref-type&gt;&lt;contributors&gt;&lt;authors&gt;&lt;author&gt;Vincent, C.&lt;/author&gt;&lt;/authors&gt;&lt;/contributors&gt;&lt;titles&gt;&lt;title&gt;Parenting: Responsibilities, risks and respect (Inaugural Professorial Lecture)&lt;/title&gt;&lt;/titles&gt;&lt;dates&gt;&lt;year&gt;2012&lt;/year&gt;&lt;/dates&gt;&lt;pub-location&gt;London&lt;/pub-location&gt;&lt;publisher&gt;Institute of Education&lt;/publisher&gt;&lt;urls&gt;&lt;/urls&gt;&lt;/record&gt;&lt;/Cite&gt;&lt;/EndNote&gt;</w:instrText>
      </w:r>
      <w:r w:rsidR="00C16BF1">
        <w:rPr>
          <w:rFonts w:cs="Arial"/>
          <w:szCs w:val="22"/>
        </w:rPr>
        <w:fldChar w:fldCharType="separate"/>
      </w:r>
      <w:r w:rsidR="00CB0E3B">
        <w:rPr>
          <w:rFonts w:cs="Arial"/>
          <w:szCs w:val="22"/>
        </w:rPr>
        <w:t>(Vincent 2012)</w:t>
      </w:r>
      <w:r w:rsidR="00C16BF1">
        <w:rPr>
          <w:rFonts w:cs="Arial"/>
          <w:szCs w:val="22"/>
        </w:rPr>
        <w:fldChar w:fldCharType="end"/>
      </w:r>
      <w:r w:rsidR="00CB0E3B">
        <w:rPr>
          <w:rFonts w:cs="Arial"/>
          <w:szCs w:val="22"/>
        </w:rPr>
        <w:t xml:space="preserve">. </w:t>
      </w:r>
    </w:p>
    <w:p w:rsidR="00CB0E3B" w:rsidRPr="003C66BC" w:rsidRDefault="00CB0E3B" w:rsidP="00CB0E3B">
      <w:pPr>
        <w:spacing w:line="240" w:lineRule="auto"/>
      </w:pPr>
      <w:r>
        <w:t xml:space="preserve">The view that raising the aspirations of poor families is an important lever in tackling low educational attainment and raising social mobility is </w:t>
      </w:r>
      <w:r w:rsidR="004568C5">
        <w:t xml:space="preserve">also </w:t>
      </w:r>
      <w:r>
        <w:t xml:space="preserve">prevalent in policy circles. But the assumption of a ‘poverty of aspirations’ among disadvantaged young people and their families has been </w:t>
      </w:r>
      <w:r w:rsidR="00437297">
        <w:t>disputed</w:t>
      </w:r>
      <w:r>
        <w:t xml:space="preserve"> by several small-scale qualitative studies </w:t>
      </w:r>
      <w:r w:rsidR="00C16BF1">
        <w:fldChar w:fldCharType="begin"/>
      </w:r>
      <w:r w:rsidR="0005386F">
        <w:instrText xml:space="preserve"> ADDIN EN.CITE &lt;EndNote&gt;&lt;Cite&gt;&lt;Author&gt;Lupton&lt;/Author&gt;&lt;Year&gt;2011&lt;/Year&gt;&lt;RecNum&gt;1272&lt;/RecNum&gt;&lt;record&gt;&lt;rec-number&gt;1272&lt;/rec-number&gt;&lt;foreign-keys&gt;&lt;key app="EN" db-id="aeretdtfgatxzketrem5pp9n9d2vvexz5rvr"&gt;1272&lt;/key&gt;&lt;/foreign-keys&gt;&lt;ref-type name="Journal Article"&gt;17&lt;/ref-type&gt;&lt;contributors&gt;&lt;authors&gt;&lt;author&gt;Lupton, R.&lt;/author&gt;&lt;author&gt;Kintrea, K.&lt;/author&gt;&lt;/authors&gt;&lt;/contributors&gt;&lt;titles&gt;&lt;title&gt;Can community-based interventions on aspirations raise young people&amp;apos;s attainment&lt;/title&gt;&lt;secondary-title&gt;Social Policy and Society&lt;/secondary-title&gt;&lt;/titles&gt;&lt;periodical&gt;&lt;full-title&gt;Social Policy and Society&lt;/full-title&gt;&lt;/periodical&gt;&lt;pages&gt;321-335&lt;/pages&gt;&lt;volume&gt;10&lt;/volume&gt;&lt;number&gt;3&lt;/number&gt;&lt;dates&gt;&lt;year&gt;2011&lt;/year&gt;&lt;/dates&gt;&lt;urls&gt;&lt;/urls&gt;&lt;/record&gt;&lt;/Cite&gt;&lt;/EndNote&gt;</w:instrText>
      </w:r>
      <w:r w:rsidR="00C16BF1">
        <w:fldChar w:fldCharType="separate"/>
      </w:r>
      <w:r>
        <w:t>(Lupton and Kintrea 2011)</w:t>
      </w:r>
      <w:r w:rsidR="00C16BF1">
        <w:fldChar w:fldCharType="end"/>
      </w:r>
      <w:r>
        <w:t xml:space="preserve">. Our data support </w:t>
      </w:r>
      <w:r w:rsidR="00437297">
        <w:t xml:space="preserve">this challenge to </w:t>
      </w:r>
      <w:r>
        <w:t xml:space="preserve">the orthodoxy. </w:t>
      </w:r>
      <w:r>
        <w:rPr>
          <w:rFonts w:cs="Arial"/>
          <w:szCs w:val="22"/>
        </w:rPr>
        <w:t xml:space="preserve">The Millennium Cohort Study mothers had almost universally high aspirations for their seven-year-olds, with 97% saying that they wanted their child to attend university </w:t>
      </w:r>
      <w:r w:rsidR="00C16BF1">
        <w:rPr>
          <w:rFonts w:cs="Arial"/>
          <w:szCs w:val="22"/>
        </w:rPr>
        <w:fldChar w:fldCharType="begin"/>
      </w:r>
      <w:r w:rsidR="0005386F">
        <w:rPr>
          <w:rFonts w:cs="Arial"/>
          <w:szCs w:val="22"/>
        </w:rPr>
        <w:instrText xml:space="preserve"> ADDIN EN.CITE &lt;EndNote&gt;&lt;Cite&gt;&lt;Author&gt;Hansen&lt;/Author&gt;&lt;Year&gt;2010&lt;/Year&gt;&lt;RecNum&gt;1249&lt;/RecNum&gt;&lt;record&gt;&lt;rec-number&gt;1249&lt;/rec-number&gt;&lt;foreign-keys&gt;&lt;key app="EN" db-id="aeretdtfgatxzketrem5pp9n9d2vvexz5rvr"&gt;1249&lt;/key&gt;&lt;/foreign-keys&gt;&lt;ref-type name="Book Section"&gt;5&lt;/ref-type&gt;&lt;contributors&gt;&lt;authors&gt;&lt;author&gt;Hansen, K.&lt;/author&gt;&lt;author&gt;Jones, E.&lt;/author&gt;&lt;/authors&gt;&lt;secondary-authors&gt;&lt;author&gt;Hansen, K.&lt;/author&gt;&lt;author&gt;Jones, E.&lt;/author&gt;&lt;author&gt;Joshi, H.&lt;/author&gt;&lt;author&gt;Budge, D.&lt;/author&gt;&lt;/secondary-authors&gt;&lt;/contributors&gt;&lt;titles&gt;&lt;title&gt;Education, schooling and childcare&lt;/title&gt;&lt;secondary-title&gt;Millennium Cohort Study Fourth Survey: A user&amp;apos;s guide to initial findings&lt;/secondary-title&gt;&lt;/titles&gt;&lt;dates&gt;&lt;year&gt;2010&lt;/year&gt;&lt;/dates&gt;&lt;pub-location&gt;London&lt;/pub-location&gt;&lt;publisher&gt;Centre for Longitudinal Studies&lt;/publisher&gt;&lt;urls&gt;&lt;/urls&gt;&lt;/record&gt;&lt;/Cite&gt;&lt;/EndNote&gt;</w:instrText>
      </w:r>
      <w:r w:rsidR="00C16BF1">
        <w:rPr>
          <w:rFonts w:cs="Arial"/>
          <w:szCs w:val="22"/>
        </w:rPr>
        <w:fldChar w:fldCharType="separate"/>
      </w:r>
      <w:r>
        <w:rPr>
          <w:rFonts w:cs="Arial"/>
          <w:szCs w:val="22"/>
        </w:rPr>
        <w:t>(Hansen and Jones 2010)</w:t>
      </w:r>
      <w:r w:rsidR="00C16BF1">
        <w:rPr>
          <w:rFonts w:cs="Arial"/>
          <w:szCs w:val="22"/>
        </w:rPr>
        <w:fldChar w:fldCharType="end"/>
      </w:r>
      <w:r>
        <w:rPr>
          <w:rFonts w:cs="Arial"/>
          <w:szCs w:val="22"/>
        </w:rPr>
        <w:t>. A</w:t>
      </w:r>
      <w:r w:rsidRPr="00B15AB0">
        <w:rPr>
          <w:rFonts w:ascii="Times-Roman" w:hAnsi="Times-Roman" w:cs="Times-Roman"/>
        </w:rPr>
        <w:t xml:space="preserve"> variable with no variability cannot be </w:t>
      </w:r>
      <w:proofErr w:type="gramStart"/>
      <w:r w:rsidRPr="00B15AB0">
        <w:rPr>
          <w:rFonts w:ascii="Times-Roman" w:hAnsi="Times-Roman" w:cs="Times-Roman"/>
        </w:rPr>
        <w:t>predictive,</w:t>
      </w:r>
      <w:proofErr w:type="gramEnd"/>
      <w:r w:rsidRPr="00B15AB0">
        <w:rPr>
          <w:rFonts w:ascii="Times-Roman" w:hAnsi="Times-Roman" w:cs="Times-Roman"/>
        </w:rPr>
        <w:t xml:space="preserve"> although it may be universally influential</w:t>
      </w:r>
      <w:r>
        <w:rPr>
          <w:rFonts w:ascii="Times-Roman" w:hAnsi="Times-Roman" w:cs="Times-Roman"/>
        </w:rPr>
        <w:t xml:space="preserve">, hence maternal aspirations are not included in </w:t>
      </w:r>
      <w:r w:rsidR="00A0367D">
        <w:rPr>
          <w:rFonts w:ascii="Times-Roman" w:hAnsi="Times-Roman" w:cs="Times-Roman"/>
        </w:rPr>
        <w:t xml:space="preserve">the </w:t>
      </w:r>
      <w:r>
        <w:rPr>
          <w:rFonts w:ascii="Times-Roman" w:hAnsi="Times-Roman" w:cs="Times-Roman"/>
        </w:rPr>
        <w:t>models</w:t>
      </w:r>
      <w:r w:rsidR="00A0367D">
        <w:rPr>
          <w:rFonts w:ascii="Times-Roman" w:hAnsi="Times-Roman" w:cs="Times-Roman"/>
        </w:rPr>
        <w:t xml:space="preserve"> we present in this paper</w:t>
      </w:r>
      <w:r w:rsidRPr="00B15AB0">
        <w:rPr>
          <w:rFonts w:ascii="Times-Roman" w:hAnsi="Times-Roman" w:cs="Times-Roman"/>
        </w:rPr>
        <w:t>.</w:t>
      </w:r>
      <w:r w:rsidRPr="00A8677B">
        <w:rPr>
          <w:rFonts w:ascii="Times-Roman" w:hAnsi="Times-Roman" w:cs="Times-Roman"/>
          <w:b/>
        </w:rPr>
        <w:t xml:space="preserve"> </w:t>
      </w:r>
      <w:r>
        <w:rPr>
          <w:rFonts w:cs="Arial"/>
          <w:szCs w:val="22"/>
        </w:rPr>
        <w:t>It is of course likely that some mothers’ aspirations will decline as the child progresses through the school system, and realistic expectations become more apparent.</w:t>
      </w:r>
    </w:p>
    <w:p w:rsidR="00CB0E3B" w:rsidRPr="00CB0E3B" w:rsidRDefault="000749E0" w:rsidP="00CB0E3B">
      <w:pPr>
        <w:pStyle w:val="NormalWeb"/>
      </w:pPr>
      <w:r>
        <w:t>R</w:t>
      </w:r>
      <w:r w:rsidR="00E35D96">
        <w:t xml:space="preserve">igorous research evidence does not back </w:t>
      </w:r>
      <w:r w:rsidR="005654A6">
        <w:t xml:space="preserve">the more </w:t>
      </w:r>
      <w:r>
        <w:t xml:space="preserve">exaggerated claims </w:t>
      </w:r>
      <w:r w:rsidR="005654A6">
        <w:t>on parenting and unequal child outcomes</w:t>
      </w:r>
      <w:r w:rsidR="00E35D96">
        <w:t xml:space="preserve">. </w:t>
      </w:r>
      <w:proofErr w:type="spellStart"/>
      <w:r w:rsidR="00E35D96">
        <w:t>Ermisch</w:t>
      </w:r>
      <w:proofErr w:type="spellEnd"/>
      <w:r w:rsidR="00E35D96">
        <w:t xml:space="preserve"> </w:t>
      </w:r>
      <w:r w:rsidR="00C16BF1">
        <w:fldChar w:fldCharType="begin"/>
      </w:r>
      <w:r w:rsidR="0005386F">
        <w:instrText xml:space="preserve"> ADDIN EN.CITE &lt;EndNote&gt;&lt;Cite ExcludeAuth="1"&gt;&lt;Author&gt;Ermisch&lt;/Author&gt;&lt;Year&gt;2008&lt;/Year&gt;&lt;RecNum&gt;1183&lt;/RecNum&gt;&lt;record&gt;&lt;rec-number&gt;1183&lt;/rec-number&gt;&lt;foreign-keys&gt;&lt;key app="EN" db-id="aeretdtfgatxzketrem5pp9n9d2vvexz5rvr"&gt;1183&lt;/key&gt;&lt;/foreign-keys&gt;&lt;ref-type name="Journal Article"&gt;17&lt;/ref-type&gt;&lt;contributors&gt;&lt;authors&gt;&lt;author&gt;Ermisch, J.&lt;/author&gt;&lt;/authors&gt;&lt;/contributors&gt;&lt;titles&gt;&lt;title&gt;Origins of Social Immobility and Inequality: Parenting and early child development&lt;/title&gt;&lt;secondary-title&gt;National Institute Economic Review&lt;/secondary-title&gt;&lt;/titles&gt;&lt;periodical&gt;&lt;full-title&gt;National Institute Economic Review&lt;/full-title&gt;&lt;/periodical&gt;&lt;pages&gt;62-71&lt;/pages&gt;&lt;volume&gt;205&lt;/volume&gt;&lt;number&gt;62&lt;/number&gt;&lt;dates&gt;&lt;year&gt;2008&lt;/year&gt;&lt;/dates&gt;&lt;urls&gt;&lt;/urls&gt;&lt;/record&gt;&lt;/Cite&gt;&lt;/EndNote&gt;</w:instrText>
      </w:r>
      <w:r w:rsidR="00C16BF1">
        <w:fldChar w:fldCharType="separate"/>
      </w:r>
      <w:r w:rsidR="00E35D96">
        <w:t>(2008)</w:t>
      </w:r>
      <w:r w:rsidR="00C16BF1">
        <w:fldChar w:fldCharType="end"/>
      </w:r>
      <w:r w:rsidR="00E35D96">
        <w:t>, in his analysis of children’s cognitive and behavioural outcomes at age 3, states that ‘…</w:t>
      </w:r>
      <w:r w:rsidR="00E35D96" w:rsidRPr="00B6578E">
        <w:rPr>
          <w:i/>
        </w:rPr>
        <w:t>what parents do is important’</w:t>
      </w:r>
      <w:r w:rsidR="00E35D96">
        <w:t xml:space="preserve">(p.69) and helps to account for the income gradient in child outcomes, but by no means explains it entirely. A similar conclusion is reached for outcomes at age 5 by Kiernan and </w:t>
      </w:r>
      <w:proofErr w:type="spellStart"/>
      <w:r w:rsidR="00E35D96">
        <w:t>Mensah</w:t>
      </w:r>
      <w:proofErr w:type="spellEnd"/>
      <w:r w:rsidR="00E35D96">
        <w:t xml:space="preserve"> </w:t>
      </w:r>
      <w:r w:rsidR="00C16BF1">
        <w:fldChar w:fldCharType="begin"/>
      </w:r>
      <w:r w:rsidR="0005386F">
        <w:instrText xml:space="preserve"> ADDIN EN.CITE &lt;EndNote&gt;&lt;Cite ExcludeAuth="1"&gt;&lt;Author&gt;Kiernan&lt;/Author&gt;&lt;Year&gt;2011&lt;/Year&gt;&lt;RecNum&gt;1165&lt;/RecNum&gt;&lt;record&gt;&lt;rec-number&gt;1165&lt;/rec-number&gt;&lt;foreign-keys&gt;&lt;key app="EN" db-id="aeretdtfgatxzketrem5pp9n9d2vvexz5rvr"&gt;1165&lt;/key&gt;&lt;/foreign-keys&gt;&lt;ref-type name="Journal Article"&gt;17&lt;/ref-type&gt;&lt;contributors&gt;&lt;authors&gt;&lt;author&gt;Kiernan, K.&lt;/author&gt;&lt;author&gt;Mensah, F.K.&lt;/author&gt;&lt;/authors&gt;&lt;/contributors&gt;&lt;titles&gt;&lt;title&gt;Poverty, Family Resources and Children&amp;apos;s Educational Attainment: The Mediating Role of Parenting&lt;/title&gt;&lt;secondary-title&gt;British Educational Research Journal&lt;/secondary-title&gt;&lt;/titles&gt;&lt;periodical&gt;&lt;full-title&gt;British Educational Research Journal&lt;/full-title&gt;&lt;/periodical&gt;&lt;pages&gt;317-336&lt;/pages&gt;&lt;volume&gt;37&lt;/volume&gt;&lt;number&gt;2&lt;/number&gt;&lt;dates&gt;&lt;year&gt;2011&lt;/year&gt;&lt;/dates&gt;&lt;urls&gt;&lt;/urls&gt;&lt;/record&gt;&lt;/Cite&gt;&lt;/EndNote&gt;</w:instrText>
      </w:r>
      <w:r w:rsidR="00C16BF1">
        <w:fldChar w:fldCharType="separate"/>
      </w:r>
      <w:r w:rsidR="00E35D96">
        <w:t>(2011)</w:t>
      </w:r>
      <w:r w:rsidR="00C16BF1">
        <w:fldChar w:fldCharType="end"/>
      </w:r>
      <w:r w:rsidR="00E35D96">
        <w:t xml:space="preserve">, who estimate the proportion of the effect of childhood disadvantage which can be accounted for </w:t>
      </w:r>
      <w:r w:rsidR="00E35D96">
        <w:lastRenderedPageBreak/>
        <w:t xml:space="preserve">by parenting practices (based on a composite measure) at 40%, leaving 60% that cannot be explained in this way. The authors also point out that figures such as these are sensitive  to what is included in the model, and are thus subject to omitted variable bias. In addition, they stress that family resources and parenting are strongly inter-related. </w:t>
      </w:r>
      <w:r>
        <w:t>None of this implies that</w:t>
      </w:r>
      <w:r w:rsidR="00CB0E3B">
        <w:t xml:space="preserve"> parenting is not important. </w:t>
      </w:r>
      <w:r w:rsidR="005654A6">
        <w:t>P</w:t>
      </w:r>
      <w:r w:rsidR="00CB0E3B">
        <w:t xml:space="preserve">arenting, characterised by consistently applied rules and regularity has been shown to be linked to positive child outcomes </w:t>
      </w:r>
      <w:r w:rsidR="00C16BF1">
        <w:fldChar w:fldCharType="begin"/>
      </w:r>
      <w:r w:rsidR="0005386F">
        <w:instrText xml:space="preserve"> ADDIN EN.CITE &lt;EndNote&gt;&lt;Cite&gt;&lt;Author&gt;Washbrook&lt;/Author&gt;&lt;Year&gt;2011&lt;/Year&gt;&lt;RecNum&gt;1196&lt;/RecNum&gt;&lt;record&gt;&lt;rec-number&gt;1196&lt;/rec-number&gt;&lt;foreign-keys&gt;&lt;key app="EN" db-id="aeretdtfgatxzketrem5pp9n9d2vvexz5rvr"&gt;1196&lt;/key&gt;&lt;/foreign-keys&gt;&lt;ref-type name="Report"&gt;27&lt;/ref-type&gt;&lt;contributors&gt;&lt;authors&gt;&lt;author&gt;Washbrook, E.&lt;/author&gt;&lt;/authors&gt;&lt;/contributors&gt;&lt;titles&gt;&lt;title&gt;Early environments and child outcomes: An analysis commission for the independent review on life chances&lt;/title&gt;&lt;secondary-title&gt;Supporting Evidence Paper&lt;/secondary-title&gt;&lt;/titles&gt;&lt;dates&gt;&lt;year&gt;2011&lt;/year&gt;&lt;/dates&gt;&lt;pub-location&gt;Bristol&lt;/pub-location&gt;&lt;publisher&gt;Centre for Market and Public Organization, University of Bristol&lt;/publisher&gt;&lt;urls&gt;&lt;/urls&gt;&lt;/record&gt;&lt;/Cite&gt;&lt;/EndNote&gt;</w:instrText>
      </w:r>
      <w:r w:rsidR="00C16BF1">
        <w:fldChar w:fldCharType="separate"/>
      </w:r>
      <w:r w:rsidR="00CB0E3B">
        <w:t>(Washbrook 2011)</w:t>
      </w:r>
      <w:r w:rsidR="00C16BF1">
        <w:fldChar w:fldCharType="end"/>
      </w:r>
      <w:r w:rsidR="00CB0E3B">
        <w:t xml:space="preserve">. Qualitative research has </w:t>
      </w:r>
      <w:r w:rsidR="00B6578E">
        <w:t xml:space="preserve">also </w:t>
      </w:r>
      <w:r w:rsidR="00CB0E3B">
        <w:t xml:space="preserve">examined social class differences in parenting styles. </w:t>
      </w:r>
      <w:proofErr w:type="spellStart"/>
      <w:r w:rsidR="00CB0E3B">
        <w:rPr>
          <w:rFonts w:cs="Arial"/>
          <w:szCs w:val="22"/>
        </w:rPr>
        <w:t>Lareau</w:t>
      </w:r>
      <w:proofErr w:type="spellEnd"/>
      <w:r w:rsidR="00CB0E3B">
        <w:rPr>
          <w:rFonts w:cs="Arial"/>
          <w:szCs w:val="22"/>
        </w:rPr>
        <w:t xml:space="preserve"> </w:t>
      </w:r>
      <w:r w:rsidR="00C16BF1">
        <w:rPr>
          <w:rFonts w:cs="Arial"/>
          <w:szCs w:val="22"/>
        </w:rPr>
        <w:fldChar w:fldCharType="begin"/>
      </w:r>
      <w:r w:rsidR="0005386F">
        <w:rPr>
          <w:rFonts w:cs="Arial"/>
          <w:szCs w:val="22"/>
        </w:rPr>
        <w:instrText xml:space="preserve"> ADDIN EN.CITE &lt;EndNote&gt;&lt;Cite ExcludeAuth="1"&gt;&lt;Author&gt;Lareau&lt;/Author&gt;&lt;Year&gt;2003&lt;/Year&gt;&lt;RecNum&gt;1197&lt;/RecNum&gt;&lt;record&gt;&lt;rec-number&gt;1197&lt;/rec-number&gt;&lt;foreign-keys&gt;&lt;key app="EN" db-id="aeretdtfgatxzketrem5pp9n9d2vvexz5rvr"&gt;1197&lt;/key&gt;&lt;/foreign-keys&gt;&lt;ref-type name="Book"&gt;6&lt;/ref-type&gt;&lt;contributors&gt;&lt;authors&gt;&lt;author&gt;Lareau, A.&lt;/author&gt;&lt;/authors&gt;&lt;/contributors&gt;&lt;titles&gt;&lt;title&gt;Unequal Childhoods&lt;/title&gt;&lt;/titles&gt;&lt;dates&gt;&lt;year&gt;2003&lt;/year&gt;&lt;/dates&gt;&lt;pub-location&gt;Berkeley&lt;/pub-location&gt;&lt;publisher&gt;University of California Press&lt;/publisher&gt;&lt;urls&gt;&lt;/urls&gt;&lt;/record&gt;&lt;/Cite&gt;&lt;/EndNote&gt;</w:instrText>
      </w:r>
      <w:r w:rsidR="00C16BF1">
        <w:rPr>
          <w:rFonts w:cs="Arial"/>
          <w:szCs w:val="22"/>
        </w:rPr>
        <w:fldChar w:fldCharType="separate"/>
      </w:r>
      <w:r w:rsidR="00CB0E3B">
        <w:rPr>
          <w:rFonts w:cs="Arial"/>
          <w:szCs w:val="22"/>
        </w:rPr>
        <w:t>(2003)</w:t>
      </w:r>
      <w:r w:rsidR="00C16BF1">
        <w:rPr>
          <w:rFonts w:cs="Arial"/>
          <w:szCs w:val="22"/>
        </w:rPr>
        <w:fldChar w:fldCharType="end"/>
      </w:r>
      <w:r w:rsidR="00CB0E3B">
        <w:rPr>
          <w:rFonts w:cs="Arial"/>
          <w:szCs w:val="22"/>
        </w:rPr>
        <w:t xml:space="preserve"> draws a distinction between the middle class mode of parenting, which she terms ‘concerted cultivation’, and the working class mode, termed ‘the accomplishment of natural growth’. Concerted cultivation is linked to cultural capital, and includes fostering the child’s abilities through a range of organised activities including cultural and sports activities, often requiring intensive investment of time and money </w:t>
      </w:r>
      <w:r w:rsidR="00C16BF1">
        <w:rPr>
          <w:rFonts w:cs="Arial"/>
          <w:szCs w:val="22"/>
        </w:rPr>
        <w:fldChar w:fldCharType="begin"/>
      </w:r>
      <w:r w:rsidR="0005386F">
        <w:rPr>
          <w:rFonts w:cs="Arial"/>
          <w:szCs w:val="22"/>
        </w:rPr>
        <w:instrText xml:space="preserve"> ADDIN EN.CITE &lt;EndNote&gt;&lt;Cite&gt;&lt;Author&gt;Vincent&lt;/Author&gt;&lt;Year&gt;2007&lt;/Year&gt;&lt;RecNum&gt;1263&lt;/RecNum&gt;&lt;record&gt;&lt;rec-number&gt;1263&lt;/rec-number&gt;&lt;foreign-keys&gt;&lt;key app="EN" db-id="aeretdtfgatxzketrem5pp9n9d2vvexz5rvr"&gt;1263&lt;/key&gt;&lt;/foreign-keys&gt;&lt;ref-type name="Journal Article"&gt;17&lt;/ref-type&gt;&lt;contributors&gt;&lt;authors&gt;&lt;author&gt;Vincent, C.&lt;/author&gt;&lt;author&gt;Ball, S.J.&lt;/author&gt;&lt;/authors&gt;&lt;/contributors&gt;&lt;titles&gt;&lt;title&gt;&amp;apos;Making Up&amp;apos; the Middle-Class Child: Families, activities and class dispositions&lt;/title&gt;&lt;secondary-title&gt;Sociology&lt;/secondary-title&gt;&lt;/titles&gt;&lt;periodical&gt;&lt;full-title&gt;Sociology&lt;/full-title&gt;&lt;/periodical&gt;&lt;pages&gt;1061-1077&lt;/pages&gt;&lt;volume&gt;41&lt;/volume&gt;&lt;number&gt;6&lt;/number&gt;&lt;dates&gt;&lt;year&gt;2007&lt;/year&gt;&lt;/dates&gt;&lt;urls&gt;&lt;/urls&gt;&lt;/record&gt;&lt;/Cite&gt;&lt;/EndNote&gt;</w:instrText>
      </w:r>
      <w:r w:rsidR="00C16BF1">
        <w:rPr>
          <w:rFonts w:cs="Arial"/>
          <w:szCs w:val="22"/>
        </w:rPr>
        <w:fldChar w:fldCharType="separate"/>
      </w:r>
      <w:r w:rsidR="00CB0E3B">
        <w:rPr>
          <w:rFonts w:cs="Arial"/>
          <w:szCs w:val="22"/>
        </w:rPr>
        <w:t>(Vincent and Ball 2007)</w:t>
      </w:r>
      <w:r w:rsidR="00C16BF1">
        <w:rPr>
          <w:rFonts w:cs="Arial"/>
          <w:szCs w:val="22"/>
        </w:rPr>
        <w:fldChar w:fldCharType="end"/>
      </w:r>
      <w:r w:rsidR="00CB0E3B">
        <w:rPr>
          <w:rFonts w:cs="Arial"/>
          <w:szCs w:val="22"/>
        </w:rPr>
        <w:t xml:space="preserve">. </w:t>
      </w:r>
    </w:p>
    <w:p w:rsidR="000314F5" w:rsidRDefault="000314F5" w:rsidP="000314F5">
      <w:pPr>
        <w:pStyle w:val="NormalWeb"/>
      </w:pPr>
      <w:r>
        <w:t xml:space="preserve">The treatment of different aspects of parents’ interactions with their child as simply ‘parenting’ can lead to an under-theorised approach which ultimately sheds little explanatory light. While some authors acknowledge the things that working class families do to promote their children’s educational attainment </w:t>
      </w:r>
      <w:r w:rsidR="00C16BF1">
        <w:fldChar w:fldCharType="begin"/>
      </w:r>
      <w:r w:rsidR="0005386F">
        <w:instrText xml:space="preserve"> ADDIN EN.CITE &lt;EndNote&gt;&lt;Cite&gt;&lt;Author&gt;Siraj-Blatchford&lt;/Author&gt;&lt;Year&gt;2009&lt;/Year&gt;&lt;RecNum&gt;1200&lt;/RecNum&gt;&lt;record&gt;&lt;rec-number&gt;1200&lt;/rec-number&gt;&lt;foreign-keys&gt;&lt;key app="EN" db-id="aeretdtfgatxzketrem5pp9n9d2vvexz5rvr"&gt;1200&lt;/key&gt;&lt;/foreign-keys&gt;&lt;ref-type name="Journal Article"&gt;17&lt;/ref-type&gt;&lt;contributors&gt;&lt;authors&gt;&lt;author&gt;Siraj-Blatchford, I.&lt;/author&gt;&lt;/authors&gt;&lt;/contributors&gt;&lt;titles&gt;&lt;title&gt;Learning in the home and at school: how working class children &amp;apos;succeed against the odds&amp;apos;&lt;/title&gt;&lt;secondary-title&gt;British Educational Research Journal&lt;/secondary-title&gt;&lt;/titles&gt;&lt;periodical&gt;&lt;full-title&gt;British Educational Research Journal&lt;/full-title&gt;&lt;/periodical&gt;&lt;pages&gt;463-482&lt;/pages&gt;&lt;volume&gt;36&lt;/volume&gt;&lt;number&gt;3&lt;/number&gt;&lt;dates&gt;&lt;year&gt;2009&lt;/year&gt;&lt;/dates&gt;&lt;urls&gt;&lt;/urls&gt;&lt;/record&gt;&lt;/Cite&gt;&lt;/EndNote&gt;</w:instrText>
      </w:r>
      <w:r w:rsidR="00C16BF1">
        <w:fldChar w:fldCharType="separate"/>
      </w:r>
      <w:r>
        <w:t>(Siraj-Blatchford 2009)</w:t>
      </w:r>
      <w:r w:rsidR="00C16BF1">
        <w:fldChar w:fldCharType="end"/>
      </w:r>
      <w:r>
        <w:t xml:space="preserve">, an emphasis on parenting can feed into a crude deficit view in which low-income parents are to blame for their children’s failures </w:t>
      </w:r>
      <w:r w:rsidR="00C16BF1">
        <w:fldChar w:fldCharType="begin"/>
      </w:r>
      <w:r w:rsidR="0005386F">
        <w:instrText xml:space="preserve"> ADDIN EN.CITE &lt;EndNote&gt;&lt;Cite&gt;&lt;Author&gt;Vincent&lt;/Author&gt;&lt;Year&gt;2010&lt;/Year&gt;&lt;RecNum&gt;1262&lt;/RecNum&gt;&lt;record&gt;&lt;rec-number&gt;1262&lt;/rec-number&gt;&lt;foreign-keys&gt;&lt;key app="EN" db-id="aeretdtfgatxzketrem5pp9n9d2vvexz5rvr"&gt;1262&lt;/key&gt;&lt;/foreign-keys&gt;&lt;ref-type name="Journal Article"&gt;17&lt;/ref-type&gt;&lt;contributors&gt;&lt;authors&gt;&lt;author&gt;Vincent, C.&lt;/author&gt;&lt;author&gt;Ball, S.J.&lt;/author&gt;&lt;author&gt;Braun, A.&lt;/author&gt;&lt;/authors&gt;&lt;/contributors&gt;&lt;titles&gt;&lt;title&gt;Between the estate and the state: struggling to be a &amp;apos;good&amp;apos; mother&lt;/title&gt;&lt;secondary-title&gt;British Journal of Sociology of Education&lt;/secondary-title&gt;&lt;/titles&gt;&lt;periodical&gt;&lt;full-title&gt;British Journal of Sociology of Education&lt;/full-title&gt;&lt;/periodical&gt;&lt;pages&gt;123-138&lt;/pages&gt;&lt;volume&gt;31&lt;/volume&gt;&lt;number&gt;2&lt;/number&gt;&lt;dates&gt;&lt;year&gt;2010&lt;/year&gt;&lt;/dates&gt;&lt;urls&gt;&lt;/urls&gt;&lt;/record&gt;&lt;/Cite&gt;&lt;/EndNote&gt;</w:instrText>
      </w:r>
      <w:r w:rsidR="00C16BF1">
        <w:fldChar w:fldCharType="separate"/>
      </w:r>
      <w:r>
        <w:t>(Vincent, et al. 2010)</w:t>
      </w:r>
      <w:r w:rsidR="00C16BF1">
        <w:fldChar w:fldCharType="end"/>
      </w:r>
      <w:r>
        <w:t>. This disregards the impact of parents’ resources on both parenting itself and on the outcomes of parenting. Parenting is affected when parents are suffering stress and poor health</w:t>
      </w:r>
      <w:r w:rsidRPr="00680087">
        <w:t xml:space="preserve"> </w:t>
      </w:r>
      <w:r w:rsidR="00C16BF1">
        <w:fldChar w:fldCharType="begin">
          <w:fldData xml:space="preserve">PEVuZE5vdGU+PENpdGU+PEF1dGhvcj5XaGl0dHk8L0F1dGhvcj48WWVhcj4yMDAyPC9ZZWFyPjxS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==
</w:fldData>
        </w:fldChar>
      </w:r>
      <w:r w:rsidR="0005386F">
        <w:instrText xml:space="preserve"> ADDIN EN.CITE </w:instrText>
      </w:r>
      <w:r w:rsidR="00C16BF1">
        <w:fldChar w:fldCharType="begin">
          <w:fldData xml:space="preserve">PEVuZE5vdGU+PENpdGU+PEF1dGhvcj5XaGl0dHk8L0F1dGhvcj48WWVhcj4yMDAyPC9ZZWFyPjxS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==
</w:fldData>
        </w:fldChar>
      </w:r>
      <w:r w:rsidR="0005386F">
        <w:instrText xml:space="preserve"> ADDIN EN.CITE.DATA </w:instrText>
      </w:r>
      <w:r w:rsidR="00C16BF1">
        <w:fldChar w:fldCharType="end"/>
      </w:r>
      <w:r w:rsidR="00C16BF1">
        <w:fldChar w:fldCharType="separate"/>
      </w:r>
      <w:r>
        <w:t>(Duncan and Brooks-Gunn 1997; Ghate and Hazel 2004; Mortimore and Whitty 2000; Whitty 2002)</w:t>
      </w:r>
      <w:r w:rsidR="00C16BF1">
        <w:fldChar w:fldCharType="end"/>
      </w:r>
      <w:r>
        <w:t xml:space="preserve">. Cultural and cognitive resources also matter, for example, a parent with limited reading skills is likely to be less able to read to their child, and if they do read to their child, their efforts may still be less effective than the efforts of a more educated parent. </w:t>
      </w:r>
    </w:p>
    <w:p w:rsidR="0023267C" w:rsidRDefault="0023267C" w:rsidP="000314F5">
      <w:pPr>
        <w:pStyle w:val="NormalWeb"/>
      </w:pPr>
      <w:r>
        <w:t>Social mobility</w:t>
      </w:r>
      <w:r w:rsidR="00566E0A">
        <w:t xml:space="preserve"> and the notion of meritocracy </w:t>
      </w:r>
      <w:r w:rsidR="00847DB7">
        <w:t xml:space="preserve">are used to </w:t>
      </w:r>
      <w:r w:rsidR="00566E0A">
        <w:t>legitimise</w:t>
      </w:r>
      <w:r>
        <w:t xml:space="preserve"> socio-economic inequality. Therefore, if social mobility is seen to be low, the government must be seen to act. </w:t>
      </w:r>
      <w:r w:rsidR="00847DB7">
        <w:t>N</w:t>
      </w:r>
      <w:r w:rsidR="00566E0A">
        <w:t xml:space="preserve">eo-liberal ideology attributes personal responsibility for a lack of social mobility to the poor, </w:t>
      </w:r>
      <w:r w:rsidR="00847DB7">
        <w:t xml:space="preserve">rather than to structural factors which vary between societies, including the size of the gap between rich and poor, </w:t>
      </w:r>
      <w:r w:rsidR="00566E0A">
        <w:t xml:space="preserve">hence the appeal of the idea that inequalities can be explained by ‘what parents do’. </w:t>
      </w:r>
      <w:r w:rsidR="00847DB7">
        <w:t xml:space="preserve">The parenting agenda is also supported by those from a quite different political perspective whose aim is to support early </w:t>
      </w:r>
      <w:proofErr w:type="gramStart"/>
      <w:r w:rsidR="00847DB7">
        <w:t>years</w:t>
      </w:r>
      <w:proofErr w:type="gramEnd"/>
      <w:r w:rsidR="00847DB7">
        <w:t xml:space="preserve"> provision. Nevertheless, the interpretation of research evidence should never be entirely driven by political agendas, whether progressive or reactionary. Both researchers and policymakers have at times been complicit in the uncritical construction and interpretation of</w:t>
      </w:r>
      <w:r w:rsidR="00566E0A">
        <w:t xml:space="preserve"> evidence </w:t>
      </w:r>
      <w:r w:rsidR="00847DB7">
        <w:t xml:space="preserve">to support exaggerated claims regarding the importance of parenting </w:t>
      </w:r>
      <w:r w:rsidR="00847DB7" w:rsidRPr="00847DB7">
        <w:t>in accounting for socio-economic inequality</w:t>
      </w:r>
      <w:r w:rsidR="00847DB7">
        <w:t xml:space="preserve">. </w:t>
      </w:r>
    </w:p>
    <w:p w:rsidR="002F108A" w:rsidRDefault="002F108A" w:rsidP="002F108A">
      <w:pPr>
        <w:pStyle w:val="Heading2"/>
      </w:pPr>
      <w:r>
        <w:t>Why social class?</w:t>
      </w:r>
    </w:p>
    <w:p w:rsidR="00CB0E3B" w:rsidRDefault="00CB0E3B" w:rsidP="00CB0E3B">
      <w:pPr>
        <w:pStyle w:val="NormalWeb"/>
      </w:pPr>
      <w:r>
        <w:t xml:space="preserve">Researchers in the field of social and educational inequalities would, we suspect universally, agree that poverty alone cannot explain educational inequalities. Nevertheless, the fact that income is not the only factor that determines </w:t>
      </w:r>
      <w:proofErr w:type="gramStart"/>
      <w:r>
        <w:t>educational outcomes hardly implies</w:t>
      </w:r>
      <w:proofErr w:type="gramEnd"/>
      <w:r>
        <w:t xml:space="preserve"> that disengaged parenting among the poor is a sufficient explanation for socially structured differentials in educational outcomes. </w:t>
      </w:r>
    </w:p>
    <w:p w:rsidR="00563CA4" w:rsidRDefault="002F108A" w:rsidP="00563CA4">
      <w:pPr>
        <w:pStyle w:val="NormalWeb"/>
      </w:pPr>
      <w:r>
        <w:t>T</w:t>
      </w:r>
      <w:r w:rsidR="00563CA4">
        <w:t xml:space="preserve">here </w:t>
      </w:r>
      <w:r>
        <w:t>are</w:t>
      </w:r>
      <w:r w:rsidR="00563CA4">
        <w:t xml:space="preserve"> problem</w:t>
      </w:r>
      <w:r>
        <w:t>s</w:t>
      </w:r>
      <w:r w:rsidR="00563CA4">
        <w:t xml:space="preserve"> with conceptualising social inequalities purely in terms of poverty</w:t>
      </w:r>
      <w:r w:rsidR="00E74BAE">
        <w:t>.</w:t>
      </w:r>
      <w:r w:rsidR="00563CA4">
        <w:t xml:space="preserve"> Current policy discourse </w:t>
      </w:r>
      <w:r w:rsidR="00F113DD">
        <w:t xml:space="preserve">tends to describe </w:t>
      </w:r>
      <w:r w:rsidR="00563CA4">
        <w:t>social inequalities almost exclusively in terms of the gap betw</w:t>
      </w:r>
      <w:r w:rsidR="001A269F">
        <w:t xml:space="preserve">een the </w:t>
      </w:r>
      <w:r w:rsidR="005005BF">
        <w:t xml:space="preserve">‘income </w:t>
      </w:r>
      <w:r w:rsidR="001A269F">
        <w:t>poor</w:t>
      </w:r>
      <w:r w:rsidR="005005BF">
        <w:t>’</w:t>
      </w:r>
      <w:r w:rsidR="001A269F">
        <w:t xml:space="preserve"> and everyone else, despite the fact that both educational and occupational attainment have strong social gradients across the social spectrum, </w:t>
      </w:r>
      <w:r w:rsidR="001A269F">
        <w:lastRenderedPageBreak/>
        <w:t xml:space="preserve">including differentials between fractions of the middle class </w:t>
      </w:r>
      <w:r w:rsidR="00C16BF1">
        <w:fldChar w:fldCharType="begin"/>
      </w:r>
      <w:r w:rsidR="0005386F">
        <w:instrText xml:space="preserve"> ADDIN EN.CITE &lt;EndNote&gt;&lt;Cite&gt;&lt;Author&gt;Savage&lt;/Author&gt;&lt;Year&gt;1997&lt;/Year&gt;&lt;RecNum&gt;245&lt;/RecNum&gt;&lt;record&gt;&lt;rec-number&gt;245&lt;/rec-number&gt;&lt;foreign-keys&gt;&lt;key app="EN" db-id="aeretdtfgatxzketrem5pp9n9d2vvexz5rvr"&gt;245&lt;/key&gt;&lt;/foreign-keys&gt;&lt;ref-type name="Journal Article"&gt;17&lt;/ref-type&gt;&lt;contributors&gt;&lt;authors&gt;&lt;author&gt;Savage, M.&lt;/author&gt;&lt;author&gt;Egerton, M.&lt;/author&gt;&lt;/authors&gt;&lt;/contributors&gt;&lt;titles&gt;&lt;title&gt;Social Mobility, Individual Ability and the Inheritance of Class Inequality&lt;/title&gt;&lt;secondary-title&gt;Sociology&lt;/secondary-title&gt;&lt;alt-title&gt;Sociology&lt;/alt-title&gt;&lt;/titles&gt;&lt;periodical&gt;&lt;full-title&gt;Sociology&lt;/full-title&gt;&lt;/periodical&gt;&lt;alt-periodical&gt;&lt;full-title&gt;Sociology&lt;/full-title&gt;&lt;/alt-periodical&gt;&lt;pages&gt;645-72&lt;/pages&gt;&lt;volume&gt;31&lt;/volume&gt;&lt;number&gt;4&lt;/number&gt;&lt;dates&gt;&lt;year&gt;1997&lt;/year&gt;&lt;/dates&gt;&lt;label&gt;savageAndEgertonSMIA&lt;/label&gt;&lt;urls&gt;&lt;/urls&gt;&lt;/record&gt;&lt;/Cite&gt;&lt;/EndNote&gt;</w:instrText>
      </w:r>
      <w:r w:rsidR="00C16BF1">
        <w:fldChar w:fldCharType="separate"/>
      </w:r>
      <w:r w:rsidR="001A269F">
        <w:t>(Savage and Egerton 1997)</w:t>
      </w:r>
      <w:r w:rsidR="00C16BF1">
        <w:fldChar w:fldCharType="end"/>
      </w:r>
      <w:r w:rsidR="001A269F">
        <w:t xml:space="preserve">. </w:t>
      </w:r>
      <w:r w:rsidR="00563CA4">
        <w:t xml:space="preserve">This association of social inequalities only with the </w:t>
      </w:r>
      <w:r w:rsidR="00627404">
        <w:t>lowest income group</w:t>
      </w:r>
      <w:r w:rsidR="00563CA4">
        <w:t>, who are more likely to be workless, allow</w:t>
      </w:r>
      <w:r w:rsidR="00DF531A">
        <w:t>s</w:t>
      </w:r>
      <w:r w:rsidR="00563CA4">
        <w:t xml:space="preserve"> commentators to portray social inequality as a moral p</w:t>
      </w:r>
      <w:r w:rsidR="001A269F">
        <w:t>roblem</w:t>
      </w:r>
      <w:r w:rsidR="00563CA4">
        <w:t xml:space="preserve"> for which the poor themselves are to blame. </w:t>
      </w:r>
    </w:p>
    <w:p w:rsidR="00327F23" w:rsidRPr="00B2527C" w:rsidRDefault="00327F23" w:rsidP="00197350">
      <w:pPr>
        <w:pStyle w:val="NormalWeb"/>
      </w:pPr>
      <w:r>
        <w:t>Sociologists have typically framed social inequalities in terms of social class rather than income. But the very idea that society is socially stratified into classes meets with scepticism from many quarters. Certain politicians and certain social theorists</w:t>
      </w:r>
      <w:r w:rsidR="004F23CD">
        <w:t xml:space="preserve"> </w:t>
      </w:r>
      <w:r w:rsidR="00C16BF1">
        <w:fldChar w:fldCharType="begin"/>
      </w:r>
      <w:r w:rsidR="0005386F">
        <w:instrText xml:space="preserve"> ADDIN EN.CITE &lt;EndNote&gt;&lt;Cite&gt;&lt;Author&gt;Giddens&lt;/Author&gt;&lt;Year&gt;1991&lt;/Year&gt;&lt;RecNum&gt;1242&lt;/RecNum&gt;&lt;record&gt;&lt;rec-number&gt;1242&lt;/rec-number&gt;&lt;foreign-keys&gt;&lt;key app="EN" db-id="aeretdtfgatxzketrem5pp9n9d2vvexz5rvr"&gt;1242&lt;/key&gt;&lt;/foreign-keys&gt;&lt;ref-type name="Book"&gt;6&lt;/ref-type&gt;&lt;contributors&gt;&lt;authors&gt;&lt;author&gt;Giddens, A.&lt;/author&gt;&lt;/authors&gt;&lt;/contributors&gt;&lt;titles&gt;&lt;title&gt;Modernity and self identity&lt;/title&gt;&lt;/titles&gt;&lt;dates&gt;&lt;year&gt;1991&lt;/year&gt;&lt;/dates&gt;&lt;pub-location&gt;Cambridge&lt;/pub-location&gt;&lt;publisher&gt;Polity&lt;/publisher&gt;&lt;urls&gt;&lt;/urls&gt;&lt;/record&gt;&lt;/Cite&gt;&lt;Cite&gt;&lt;Author&gt;Beck&lt;/Author&gt;&lt;Year&gt;1992&lt;/Year&gt;&lt;RecNum&gt;1243&lt;/RecNum&gt;&lt;record&gt;&lt;rec-number&gt;1243&lt;/rec-number&gt;&lt;foreign-keys&gt;&lt;key app="EN" db-id="aeretdtfgatxzketrem5pp9n9d2vvexz5rvr"&gt;1243&lt;/key&gt;&lt;/foreign-keys&gt;&lt;ref-type name="Book"&gt;6&lt;/ref-type&gt;&lt;contributors&gt;&lt;authors&gt;&lt;author&gt;Beck, U.&lt;/author&gt;&lt;/authors&gt;&lt;/contributors&gt;&lt;titles&gt;&lt;title&gt;Risk Society&lt;/title&gt;&lt;/titles&gt;&lt;dates&gt;&lt;year&gt;1992&lt;/year&gt;&lt;/dates&gt;&lt;pub-location&gt;London&lt;/pub-location&gt;&lt;publisher&gt;Sage&lt;/publisher&gt;&lt;urls&gt;&lt;/urls&gt;&lt;/record&gt;&lt;/Cite&gt;&lt;/EndNote&gt;</w:instrText>
      </w:r>
      <w:r w:rsidR="00C16BF1">
        <w:fldChar w:fldCharType="separate"/>
      </w:r>
      <w:r w:rsidR="00970319">
        <w:t>(Beck 1992; Giddens 1991)</w:t>
      </w:r>
      <w:r w:rsidR="00C16BF1">
        <w:fldChar w:fldCharType="end"/>
      </w:r>
      <w:r>
        <w:t xml:space="preserve"> have claimed, in the teeth of overwhelming empirical evidence, that we are living in an increasingly classless society. </w:t>
      </w:r>
      <w:r w:rsidR="00AE5F19">
        <w:t>R</w:t>
      </w:r>
      <w:r>
        <w:t xml:space="preserve">esearchers from disciplines outside sociology, such as psychology and economics, often assume that social class simply represents a proxy for income, and will tend to use income data in preference to social class where both are available. </w:t>
      </w:r>
      <w:r w:rsidR="00563CA4">
        <w:t xml:space="preserve">But for sociologists, </w:t>
      </w:r>
      <w:r w:rsidR="00970319">
        <w:t xml:space="preserve">while there are of course competing perspectives on class analysis </w:t>
      </w:r>
      <w:r w:rsidR="00C16BF1">
        <w:fldChar w:fldCharType="begin"/>
      </w:r>
      <w:r w:rsidR="0005386F">
        <w:instrText xml:space="preserve"> ADDIN EN.CITE &lt;EndNote&gt;&lt;Cite&gt;&lt;Author&gt;Crompton&lt;/Author&gt;&lt;Year&gt;2008&lt;/Year&gt;&lt;RecNum&gt;1244&lt;/RecNum&gt;&lt;record&gt;&lt;rec-number&gt;1244&lt;/rec-number&gt;&lt;foreign-keys&gt;&lt;key app="EN" db-id="aeretdtfgatxzketrem5pp9n9d2vvexz5rvr"&gt;1244&lt;/key&gt;&lt;/foreign-keys&gt;&lt;ref-type name="Book"&gt;6&lt;/ref-type&gt;&lt;contributors&gt;&lt;authors&gt;&lt;author&gt;Crompton, R.&lt;/author&gt;&lt;/authors&gt;&lt;/contributors&gt;&lt;titles&gt;&lt;title&gt;Class and Stratification&lt;/title&gt;&lt;/titles&gt;&lt;dates&gt;&lt;year&gt;2008&lt;/year&gt;&lt;/dates&gt;&lt;pub-location&gt;Cambridge&lt;/pub-location&gt;&lt;publisher&gt;Polity&lt;/publisher&gt;&lt;urls&gt;&lt;/urls&gt;&lt;/record&gt;&lt;/Cite&gt;&lt;/EndNote&gt;</w:instrText>
      </w:r>
      <w:r w:rsidR="00C16BF1">
        <w:fldChar w:fldCharType="separate"/>
      </w:r>
      <w:r w:rsidR="00970319">
        <w:t>(Crompton 2008)</w:t>
      </w:r>
      <w:r w:rsidR="00C16BF1">
        <w:fldChar w:fldCharType="end"/>
      </w:r>
      <w:r w:rsidR="00970319">
        <w:t xml:space="preserve">, there is a shared understanding that </w:t>
      </w:r>
      <w:r w:rsidR="00563CA4">
        <w:t xml:space="preserve">social classes are categories defined not just by income, but by labour market position, power and status. </w:t>
      </w:r>
    </w:p>
    <w:p w:rsidR="00133167" w:rsidRDefault="00133167" w:rsidP="00197350">
      <w:pPr>
        <w:pStyle w:val="NormalWeb"/>
      </w:pPr>
      <w:r>
        <w:t>The most widely used social class schema in Bri</w:t>
      </w:r>
      <w:r w:rsidR="000F52A2">
        <w:t>tain today is the NS-SEC scale. W</w:t>
      </w:r>
      <w:r w:rsidR="00B6578E">
        <w:t>e use</w:t>
      </w:r>
      <w:r>
        <w:t xml:space="preserve"> this schema </w:t>
      </w:r>
      <w:r w:rsidR="00B6578E">
        <w:t>to maximise</w:t>
      </w:r>
      <w:r>
        <w:t xml:space="preserve"> the comparability of the current p</w:t>
      </w:r>
      <w:r w:rsidR="00804CD5">
        <w:t>aper with other research. NS-SEC is an occupational schema, and</w:t>
      </w:r>
      <w:r>
        <w:t xml:space="preserve"> determines class position in terms of employment relations. I</w:t>
      </w:r>
      <w:r w:rsidR="00AE5F19">
        <w:t>t</w:t>
      </w:r>
      <w:r>
        <w:t xml:space="preserve"> reflects not just income, but longer term economic security, stability and prospects, as reflected in a person’s labour market position</w:t>
      </w:r>
      <w:r w:rsidR="00804CD5">
        <w:t xml:space="preserve">. It also reflects power in terms of relationships of </w:t>
      </w:r>
      <w:r w:rsidR="00B2527C">
        <w:t xml:space="preserve">authority, </w:t>
      </w:r>
      <w:r w:rsidR="00804CD5">
        <w:t>command</w:t>
      </w:r>
      <w:r w:rsidR="00AE5F19">
        <w:t xml:space="preserve">, </w:t>
      </w:r>
      <w:r w:rsidR="00804CD5">
        <w:t xml:space="preserve">control </w:t>
      </w:r>
      <w:r w:rsidR="00C959F7">
        <w:t xml:space="preserve"> and autonomy </w:t>
      </w:r>
      <w:r w:rsidR="00804CD5">
        <w:t>within the workplace</w:t>
      </w:r>
      <w:r>
        <w:t xml:space="preserve"> </w:t>
      </w:r>
      <w:r w:rsidR="00C16BF1">
        <w:fldChar w:fldCharType="begin"/>
      </w:r>
      <w:r w:rsidR="0005386F">
        <w:instrText xml:space="preserve"> ADDIN EN.CITE &lt;EndNote&gt;&lt;Cite&gt;&lt;Author&gt;Goldthorpe&lt;/Author&gt;&lt;Year&gt;2006&lt;/Year&gt;&lt;RecNum&gt;1275&lt;/RecNum&gt;&lt;record&gt;&lt;rec-number&gt;1275&lt;/rec-number&gt;&lt;foreign-keys&gt;&lt;key app="EN" db-id="aeretdtfgatxzketrem5pp9n9d2vvexz5rvr"&gt;1275&lt;/key&gt;&lt;/foreign-keys&gt;&lt;ref-type name="Book Section"&gt;5&lt;/ref-type&gt;&lt;contributors&gt;&lt;authors&gt;&lt;author&gt;Goldthorpe, J.&lt;/author&gt;&lt;author&gt;McKnight, A.&lt;/author&gt;&lt;/authors&gt;&lt;secondary-authors&gt;&lt;author&gt;S. Morgan&lt;/author&gt;&lt;author&gt;D.B. Grusky&lt;/author&gt;&lt;author&gt;G.S. Fields&lt;/author&gt;&lt;/secondary-authors&gt;&lt;/contributors&gt;&lt;titles&gt;&lt;title&gt;The economic basis of social class&lt;/title&gt;&lt;secondary-title&gt;Mobility and Inequality: Frontiers of research from sociology and economics&lt;/secondary-title&gt;&lt;/titles&gt;&lt;dates&gt;&lt;year&gt;2006&lt;/year&gt;&lt;/dates&gt;&lt;pub-location&gt;Stanford&lt;/pub-location&gt;&lt;publisher&gt;Stanford University Press&lt;/publisher&gt;&lt;urls&gt;&lt;/urls&gt;&lt;/record&gt;&lt;/Cite&gt;&lt;/EndNote&gt;</w:instrText>
      </w:r>
      <w:r w:rsidR="00C16BF1">
        <w:fldChar w:fldCharType="separate"/>
      </w:r>
      <w:r>
        <w:t>(Goldthorpe and McKnight 2006)</w:t>
      </w:r>
      <w:r w:rsidR="00C16BF1">
        <w:fldChar w:fldCharType="end"/>
      </w:r>
      <w:r>
        <w:t xml:space="preserve">. </w:t>
      </w:r>
      <w:r w:rsidR="00B2527C">
        <w:t xml:space="preserve">The NS-SEC schema has been criticised by advocates of the Cambridge </w:t>
      </w:r>
      <w:r w:rsidR="00AE5F19">
        <w:t xml:space="preserve">social status </w:t>
      </w:r>
      <w:r w:rsidR="00B2527C">
        <w:t xml:space="preserve">scale </w:t>
      </w:r>
      <w:r w:rsidR="00E136A8">
        <w:t xml:space="preserve">and others </w:t>
      </w:r>
      <w:r w:rsidR="00C16BF1">
        <w:fldChar w:fldCharType="begin"/>
      </w:r>
      <w:r w:rsidR="0005386F">
        <w:instrText xml:space="preserve"> ADDIN EN.CITE &lt;EndNote&gt;&lt;Cite&gt;&lt;Author&gt;Blackburn&lt;/Author&gt;&lt;Year&gt;1998&lt;/Year&gt;&lt;RecNum&gt;1278&lt;/RecNum&gt;&lt;record&gt;&lt;rec-number&gt;1278&lt;/rec-number&gt;&lt;foreign-keys&gt;&lt;key app="EN" db-id="aeretdtfgatxzketrem5pp9n9d2vvexz5rvr"&gt;1278&lt;/key&gt;&lt;/foreign-keys&gt;&lt;ref-type name="Journal Article"&gt;17&lt;/ref-type&gt;&lt;contributors&gt;&lt;authors&gt;&lt;author&gt;Blackburn, R.M.&lt;/author&gt;&lt;/authors&gt;&lt;/contributors&gt;&lt;titles&gt;&lt;title&gt;A New System of Classes: But what are they and do we need them? &lt;/title&gt;&lt;secondary-title&gt;Work Employment and Society&lt;/secondary-title&gt;&lt;/titles&gt;&lt;periodical&gt;&lt;full-title&gt;Work Employment and Society&lt;/full-title&gt;&lt;/periodical&gt;&lt;pages&gt;735-741&lt;/pages&gt;&lt;volume&gt;12&lt;/volume&gt;&lt;number&gt;4&lt;/number&gt;&lt;dates&gt;&lt;year&gt;1998&lt;/year&gt;&lt;/dates&gt;&lt;urls&gt;&lt;/urls&gt;&lt;/record&gt;&lt;/Cite&gt;&lt;Cite&gt;&lt;Author&gt;Prandy&lt;/Author&gt;&lt;Year&gt;1998&lt;/Year&gt;&lt;RecNum&gt;1279&lt;/RecNum&gt;&lt;record&gt;&lt;rec-number&gt;1279&lt;/rec-number&gt;&lt;foreign-keys&gt;&lt;key app="EN" db-id="aeretdtfgatxzketrem5pp9n9d2vvexz5rvr"&gt;1279&lt;/key&gt;&lt;/foreign-keys&gt;&lt;ref-type name="Journal Article"&gt;17&lt;/ref-type&gt;&lt;contributors&gt;&lt;authors&gt;&lt;author&gt;Prandy, K.&lt;/author&gt;&lt;/authors&gt;&lt;/contributors&gt;&lt;titles&gt;&lt;title&gt;Deconstructing Classes: Critical Comments on the Revised Social Classification&lt;/title&gt;&lt;secondary-title&gt;Work Employment and Society&lt;/secondary-title&gt;&lt;/titles&gt;&lt;periodical&gt;&lt;full-title&gt;Work Employment and Society&lt;/full-title&gt;&lt;/periodical&gt;&lt;pages&gt;743-754&lt;/pages&gt;&lt;volume&gt;12&lt;/volume&gt;&lt;number&gt;4&lt;/number&gt;&lt;dates&gt;&lt;year&gt;1998&lt;/year&gt;&lt;/dates&gt;&lt;urls&gt;&lt;/urls&gt;&lt;/record&gt;&lt;/Cite&gt;&lt;/EndNote&gt;</w:instrText>
      </w:r>
      <w:r w:rsidR="00C16BF1">
        <w:fldChar w:fldCharType="separate"/>
      </w:r>
      <w:r w:rsidR="002B2351">
        <w:t>(Blackburn 1998; Prandy 1998)</w:t>
      </w:r>
      <w:r w:rsidR="00C16BF1">
        <w:fldChar w:fldCharType="end"/>
      </w:r>
      <w:r w:rsidR="00B6578E">
        <w:t>. One criticism is that social inequalities are not simply based on occupational categories</w:t>
      </w:r>
      <w:r w:rsidR="00E136A8">
        <w:t>. We acknowledge this, but support the usefulness of an analytical distinction between occupational classes and other sources of social inequality.</w:t>
      </w:r>
    </w:p>
    <w:p w:rsidR="00331AE4" w:rsidRDefault="00563CA4" w:rsidP="00127748">
      <w:pPr>
        <w:spacing w:line="240" w:lineRule="auto"/>
      </w:pPr>
      <w:r>
        <w:t>S</w:t>
      </w:r>
      <w:r w:rsidR="00550572">
        <w:t xml:space="preserve">ociologists have </w:t>
      </w:r>
      <w:r>
        <w:t xml:space="preserve">also </w:t>
      </w:r>
      <w:r w:rsidR="00550572">
        <w:t xml:space="preserve">long recognised that the intergenerational transmission of class inequalities is not due to </w:t>
      </w:r>
      <w:r w:rsidR="00507583">
        <w:t xml:space="preserve">material resources </w:t>
      </w:r>
      <w:r w:rsidR="00550572">
        <w:t xml:space="preserve">alone, but also depends on social and cultural </w:t>
      </w:r>
      <w:r w:rsidR="00507583">
        <w:t>assets</w:t>
      </w:r>
      <w:r w:rsidR="00550572">
        <w:t>.</w:t>
      </w:r>
      <w:r w:rsidR="00DA1341">
        <w:t xml:space="preserve"> </w:t>
      </w:r>
      <w:r w:rsidR="00F76542">
        <w:t>C</w:t>
      </w:r>
      <w:r w:rsidR="00DA1341">
        <w:t xml:space="preserve">ultural capital </w:t>
      </w:r>
      <w:r w:rsidR="00387187">
        <w:t xml:space="preserve"> </w:t>
      </w:r>
      <w:r w:rsidR="00430D24">
        <w:t xml:space="preserve">refers to </w:t>
      </w:r>
      <w:r w:rsidR="00DA1341">
        <w:t xml:space="preserve">cultural practices associated with the educated middle-classes, such as reading, </w:t>
      </w:r>
      <w:r w:rsidR="00430D24">
        <w:t>which</w:t>
      </w:r>
      <w:r w:rsidR="00DA1341">
        <w:t xml:space="preserve"> linked to educational attainment</w:t>
      </w:r>
      <w:r w:rsidR="00430D24">
        <w:t xml:space="preserve"> </w:t>
      </w:r>
      <w:r w:rsidR="00C16BF1">
        <w:fldChar w:fldCharType="begin"/>
      </w:r>
      <w:r w:rsidR="0005386F">
        <w:instrText xml:space="preserve"> ADDIN EN.CITE &lt;EndNote&gt;&lt;Cite&gt;&lt;Author&gt;Bourdieu&lt;/Author&gt;&lt;Year&gt;[1977] 1990&lt;/Year&gt;&lt;RecNum&gt;678&lt;/RecNum&gt;&lt;record&gt;&lt;rec-number&gt;678&lt;/rec-number&gt;&lt;foreign-keys&gt;&lt;key app="EN" db-id="aeretdtfgatxzketrem5pp9n9d2vvexz5rvr"&gt;678&lt;/key&gt;&lt;/foreign-keys&gt;&lt;ref-type name="Book"&gt;6&lt;/ref-type&gt;&lt;contributors&gt;&lt;authors&gt;&lt;author&gt;Bourdieu, Pierre&lt;/author&gt;&lt;author&gt;Passeron, Jean Claude&lt;/author&gt;&lt;/authors&gt;&lt;/contributors&gt;&lt;titles&gt;&lt;title&gt;Reproduction in education, society and culture&lt;/title&gt;&lt;/titles&gt;&lt;pages&gt;[1], xx, 254 p., fold. plate&lt;/pages&gt;&lt;edition&gt;2nd&lt;/edition&gt;&lt;keywords&gt;&lt;keyword&gt;Educational sociology.&lt;/keyword&gt;&lt;keyword&gt;Education Philosophy.&lt;/keyword&gt;&lt;/keywords&gt;&lt;dates&gt;&lt;year&gt;[1977] 1990&lt;/year&gt;&lt;/dates&gt;&lt;pub-location&gt;London ; Beverly Hills&lt;/pub-location&gt;&lt;publisher&gt;Sage Publications&lt;/publisher&gt;&lt;isbn&gt;0803999941. 080399995X&lt;/isbn&gt;&lt;call-num&gt;LC189 .B613&amp;#xD;301.15/7&lt;/call-num&gt;&lt;urls&gt;&lt;/urls&gt;&lt;/record&gt;&lt;/Cite&gt;&lt;Cite&gt;&lt;Author&gt;Sullivan&lt;/Author&gt;&lt;Year&gt;2001&lt;/Year&gt;&lt;RecNum&gt;91&lt;/RecNum&gt;&lt;record&gt;&lt;rec-number&gt;91&lt;/rec-number&gt;&lt;foreign-keys&gt;&lt;key app="EN" db-id="aeretdtfgatxzketrem5pp9n9d2vvexz5rvr"&gt;91&lt;/key&gt;&lt;/foreign-keys&gt;&lt;ref-type name="Journal Article"&gt;17&lt;/ref-type&gt;&lt;contributors&gt;&lt;authors&gt;&lt;author&gt;Sullivan, A.&lt;/author&gt;&lt;/authors&gt;&lt;/contributors&gt;&lt;titles&gt;&lt;title&gt;Cultural Capital and Educational Attainment&lt;/title&gt;&lt;secondary-title&gt;Sociology&lt;/secondary-title&gt;&lt;/titles&gt;&lt;periodical&gt;&lt;full-title&gt;Sociology&lt;/full-title&gt;&lt;/periodical&gt;&lt;pages&gt;893-912&lt;/pages&gt;&lt;volume&gt;35&lt;/volume&gt;&lt;number&gt;4&lt;/number&gt;&lt;dates&gt;&lt;year&gt;2001&lt;/year&gt;&lt;/dates&gt;&lt;urls&gt;&lt;/urls&gt;&lt;/record&gt;&lt;/Cite&gt;&lt;/EndNote&gt;</w:instrText>
      </w:r>
      <w:r w:rsidR="00C16BF1">
        <w:fldChar w:fldCharType="separate"/>
      </w:r>
      <w:r w:rsidR="00430D24">
        <w:t>(Bourdieu and Passeron [1977] 1990; Sullivan 2001)</w:t>
      </w:r>
      <w:r w:rsidR="00C16BF1">
        <w:fldChar w:fldCharType="end"/>
      </w:r>
      <w:r w:rsidR="00DA1341">
        <w:t xml:space="preserve">. Social capital refers to 'the set of resources that inhere in family relations and in community social organisation and that are useful for the cognitive or social development of a child or young person' </w:t>
      </w:r>
      <w:r w:rsidR="00C16BF1">
        <w:fldChar w:fldCharType="begin"/>
      </w:r>
      <w:r w:rsidR="0005386F">
        <w:instrText xml:space="preserve"> ADDIN EN.CITE &lt;EndNote&gt;&lt;Cite&gt;&lt;Author&gt;Coleman&lt;/Author&gt;&lt;Year&gt;1994&lt;/Year&gt;&lt;RecNum&gt;288&lt;/RecNum&gt;&lt;record&gt;&lt;rec-number&gt;288&lt;/rec-number&gt;&lt;foreign-keys&gt;&lt;key app="EN" db-id="aeretdtfgatxzketrem5pp9n9d2vvexz5rvr"&gt;288&lt;/key&gt;&lt;/foreign-keys&gt;&lt;ref-type name="Book"&gt;6&lt;/ref-type&gt;&lt;contributors&gt;&lt;authors&gt;&lt;author&gt;Coleman, J. S.&lt;/author&gt;&lt;/authors&gt;&lt;/contributors&gt;&lt;titles&gt;&lt;title&gt;Foundations of Social Theory&lt;/title&gt;&lt;/titles&gt;&lt;dates&gt;&lt;year&gt;1994&lt;/year&gt;&lt;/dates&gt;&lt;pub-location&gt;Cambridge, Mass&lt;/pub-location&gt;&lt;publisher&gt;Belknap Press&lt;/publisher&gt;&lt;urls&gt;&lt;/urls&gt;&lt;/record&gt;&lt;/Cite&gt;&lt;/EndNote&gt;</w:instrText>
      </w:r>
      <w:r w:rsidR="00C16BF1">
        <w:fldChar w:fldCharType="separate"/>
      </w:r>
      <w:r w:rsidR="0005386F">
        <w:t>(Coleman 1994)</w:t>
      </w:r>
      <w:r w:rsidR="00C16BF1">
        <w:fldChar w:fldCharType="end"/>
      </w:r>
      <w:r w:rsidR="00DA1341">
        <w:t xml:space="preserve"> p. 300).  Single-parent families and families with large numbers of siblings, as well as families where the parents are working long hours or have physical or mental health problems, can be seen as disadvantaged in this regard.</w:t>
      </w:r>
      <w:r w:rsidR="00403982">
        <w:t xml:space="preserve"> Some of the classed practices which policymakers describe as ‘parenting’ would be recognised by sociologists as reflecting cultural and </w:t>
      </w:r>
      <w:r w:rsidR="00F921FA">
        <w:t xml:space="preserve">social </w:t>
      </w:r>
      <w:r w:rsidR="00403982">
        <w:t xml:space="preserve">capital. </w:t>
      </w:r>
    </w:p>
    <w:p w:rsidR="002F108A" w:rsidRDefault="002F108A" w:rsidP="00127748">
      <w:pPr>
        <w:spacing w:line="240" w:lineRule="auto"/>
      </w:pPr>
    </w:p>
    <w:p w:rsidR="002F108A" w:rsidRDefault="002F108A" w:rsidP="005741DD">
      <w:pPr>
        <w:spacing w:line="240" w:lineRule="auto"/>
      </w:pPr>
      <w:r>
        <w:t>In previous work, we have found that, while social class is linked to early childhood outcomes across a range of domains, such as health and behaviour, class inequalities in the educational domain are far greater, and therefore demand particular attention</w:t>
      </w:r>
      <w:r w:rsidR="003D083B">
        <w:t xml:space="preserve"> </w:t>
      </w:r>
      <w:r w:rsidR="00C16BF1">
        <w:fldChar w:fldCharType="begin"/>
      </w:r>
      <w:r w:rsidR="0005386F">
        <w:instrText xml:space="preserve"> ADDIN EN.CITE &lt;EndNote&gt;&lt;Cite&gt;&lt;Author&gt;Sullivan&lt;/Author&gt;&lt;Year&gt;2010&lt;/Year&gt;&lt;RecNum&gt;1176&lt;/RecNum&gt;&lt;record&gt;&lt;rec-number&gt;1176&lt;/rec-number&gt;&lt;foreign-keys&gt;&lt;key app="EN" db-id="aeretdtfgatxzketrem5pp9n9d2vvexz5rvr"&gt;1176&lt;/key&gt;&lt;/foreign-keys&gt;&lt;ref-type name="Book"&gt;6&lt;/ref-type&gt;&lt;contributors&gt;&lt;authors&gt;&lt;author&gt;Sullivan, A.&lt;/author&gt;&lt;author&gt;Cara, Ol&lt;/author&gt;&lt;author&gt;Joshi, H.&lt;/author&gt;&lt;author&gt;Ketende, S.&lt;/author&gt;&lt;author&gt;Obolenskaya, P.&lt;/author&gt;&lt;/authors&gt;&lt;/contributors&gt;&lt;titles&gt;&lt;title&gt;The consequences of childhood disadvantage in Northern Ireland at age 5&lt;/title&gt;&lt;/titles&gt;&lt;dates&gt;&lt;year&gt;2010&lt;/year&gt;&lt;/dates&gt;&lt;pub-location&gt;Belfast&lt;/pub-location&gt;&lt;publisher&gt;Office of the First Minister and the Deputy First Minister&lt;/publisher&gt;&lt;urls&gt;&lt;related-urls&gt;&lt;url&gt;http://www.ofmdfmni.gov.uk/the_consequences_of_childhood_disadvantage_in_northern_ireland.pdf&lt;/url&gt;&lt;/related-urls&gt;&lt;/urls&gt;&lt;/record&gt;&lt;/Cite&gt;&lt;Cite&gt;&lt;Author&gt;Sullivan&lt;/Author&gt;&lt;Year&gt;2010&lt;/Year&gt;&lt;RecNum&gt;1281&lt;/RecNum&gt;&lt;record&gt;&lt;rec-number&gt;1281&lt;/rec-number&gt;&lt;foreign-keys&gt;&lt;key app="EN" db-id="aeretdtfgatxzketrem5pp9n9d2vvexz5rvr"&gt;1281&lt;/key&gt;&lt;/foreign-keys&gt;&lt;ref-type name="Book"&gt;6&lt;/ref-type&gt;&lt;contributors&gt;&lt;authors&gt;&lt;author&gt;Sullivan, A.&lt;/author&gt;&lt;author&gt;Joshi, H.&lt;/author&gt;&lt;author&gt;Ketende, S.&lt;/author&gt;&lt;author&gt;Obolenskaya, P.&lt;/author&gt;&lt;/authors&gt;&lt;/contributors&gt;&lt;titles&gt;&lt;title&gt;The Consequences at Age 7 of Early Childhood Disadvantage in Northern Ireland and Great Britain&lt;/title&gt;&lt;/titles&gt;&lt;dates&gt;&lt;year&gt;2010&lt;/year&gt;&lt;/dates&gt;&lt;pub-location&gt;Belfast&lt;/pub-location&gt;&lt;publisher&gt;Office of the First Minister and the Deputy First Minister&lt;/publisher&gt;&lt;urls&gt;&lt;/urls&gt;&lt;/record&gt;&lt;/Cite&gt;&lt;/EndNote&gt;</w:instrText>
      </w:r>
      <w:r w:rsidR="00C16BF1">
        <w:fldChar w:fldCharType="separate"/>
      </w:r>
      <w:r w:rsidR="003D083B">
        <w:t>(Sullivan, et al. 2010a; Sullivan, et al. 2010b)</w:t>
      </w:r>
      <w:r w:rsidR="00C16BF1">
        <w:fldChar w:fldCharType="end"/>
      </w:r>
      <w:r>
        <w:t xml:space="preserve">. Other studies have </w:t>
      </w:r>
      <w:r w:rsidR="00EB361C">
        <w:t>decomposed</w:t>
      </w:r>
      <w:r>
        <w:t xml:space="preserve"> the effect of social origins on the highest qualification achieved in adulthood </w:t>
      </w:r>
      <w:r w:rsidR="00C16BF1">
        <w:fldChar w:fldCharType="begin"/>
      </w:r>
      <w:r w:rsidR="0005386F">
        <w:instrText xml:space="preserve"> ADDIN EN.CITE &lt;EndNote&gt;&lt;Cite&gt;&lt;Author&gt;Jaeger&lt;/Author&gt;&lt;Year&gt;2007&lt;/Year&gt;&lt;RecNum&gt;1274&lt;/RecNum&gt;&lt;record&gt;&lt;rec-number&gt;1274&lt;/rec-number&gt;&lt;foreign-keys&gt;&lt;key app="EN" db-id="aeretdtfgatxzketrem5pp9n9d2vvexz5rvr"&gt;1274&lt;/key&gt;&lt;/foreign-keys&gt;&lt;ref-type name="Journal Article"&gt;17&lt;/ref-type&gt;&lt;contributors&gt;&lt;authors&gt;&lt;author&gt;Jaeger, M.M.&lt;/author&gt;&lt;/authors&gt;&lt;/contributors&gt;&lt;titles&gt;&lt;title&gt;Educational mobility across three generations: the changing impact of parental social class, economic, cultural and social capital&lt;/title&gt;&lt;secondary-title&gt;European Societies&lt;/secondary-title&gt;&lt;/titles&gt;&lt;periodical&gt;&lt;full-title&gt;European Societies&lt;/full-title&gt;&lt;/periodical&gt;&lt;pages&gt;527-550&lt;/pages&gt;&lt;volume&gt;9&lt;/volume&gt;&lt;number&gt;4&lt;/number&gt;&lt;dates&gt;&lt;year&gt;2007&lt;/year&gt;&lt;/dates&gt;&lt;urls&gt;&lt;/urls&gt;&lt;/record&gt;&lt;/Cite&gt;&lt;Cite&gt;&lt;Author&gt;Bukodi&lt;/Author&gt;&lt;Year&gt;2012&lt;/Year&gt;&lt;RecNum&gt;1276&lt;/RecNum&gt;&lt;record&gt;&lt;rec-number&gt;1276&lt;/rec-number&gt;&lt;foreign-keys&gt;&lt;key app="EN" db-id="aeretdtfgatxzketrem5pp9n9d2vvexz5rvr"&gt;1276&lt;/key&gt;&lt;/foreign-keys&gt;&lt;ref-type name="Book"&gt;6&lt;/ref-type&gt;&lt;contributors&gt;&lt;authors&gt;&lt;author&gt;Bukodi, E.&lt;/author&gt;&lt;author&gt;Goldthorpe, J.&lt;/author&gt;&lt;/authors&gt;&lt;/contributors&gt;&lt;titles&gt;&lt;title&gt;Decomposing &amp;apos;Social Origins&amp;apos;: The effects of parents&amp;apos; class, status and education on the educational attainment of their children&lt;/title&gt;&lt;/titles&gt;&lt;dates&gt;&lt;year&gt;2012&lt;/year&gt;&lt;/dates&gt;&lt;pub-location&gt;Nuffield College, University of Oxford&lt;/pub-location&gt;&lt;publisher&gt;Manuscript&lt;/publisher&gt;&lt;urls&gt;&lt;/urls&gt;&lt;/record&gt;&lt;/Cite&gt;&lt;/EndNote&gt;</w:instrText>
      </w:r>
      <w:r w:rsidR="00C16BF1">
        <w:fldChar w:fldCharType="separate"/>
      </w:r>
      <w:r>
        <w:t>(Bukodi and Goldthorpe 2012; Jaeger 2007)</w:t>
      </w:r>
      <w:r w:rsidR="00C16BF1">
        <w:fldChar w:fldCharType="end"/>
      </w:r>
      <w:r>
        <w:t xml:space="preserve">. The current study contributes to this literature by unpacking social class effects in the early years, where the effects of social stratification on </w:t>
      </w:r>
      <w:r w:rsidR="00BB587E">
        <w:t xml:space="preserve">formal </w:t>
      </w:r>
      <w:r>
        <w:t xml:space="preserve">educational transitions </w:t>
      </w:r>
      <w:r w:rsidR="00C16BF1">
        <w:fldChar w:fldCharType="begin"/>
      </w:r>
      <w:r w:rsidR="0005386F">
        <w:instrText xml:space="preserve"> ADDIN EN.CITE &lt;EndNote&gt;&lt;Cite&gt;&lt;Author&gt;Boudon&lt;/Author&gt;&lt;Year&gt;1974&lt;/Year&gt;&lt;RecNum&gt;26&lt;/RecNum&gt;&lt;record&gt;&lt;rec-number&gt;26&lt;/rec-number&gt;&lt;foreign-keys&gt;&lt;key app="EN" db-id="aeretdtfgatxzketrem5pp9n9d2vvexz5rvr"&gt;26&lt;/key&gt;&lt;/foreign-keys&gt;&lt;ref-type name="Book"&gt;6&lt;/ref-type&gt;&lt;contributors&gt;&lt;authors&gt;&lt;author&gt;Boudon, R.&lt;/author&gt;&lt;/authors&gt;&lt;/contributors&gt;&lt;titles&gt;&lt;title&gt;Education, Opportunity and Social Inequality&lt;/title&gt;&lt;/titles&gt;&lt;dates&gt;&lt;year&gt;1974&lt;/year&gt;&lt;/dates&gt;&lt;pub-location&gt;New York&lt;/pub-location&gt;&lt;publisher&gt;Wiley&lt;/publisher&gt;&lt;urls&gt;&lt;/urls&gt;&lt;/record&gt;&lt;/Cite&gt;&lt;/EndNote&gt;</w:instrText>
      </w:r>
      <w:r w:rsidR="00C16BF1">
        <w:fldChar w:fldCharType="separate"/>
      </w:r>
      <w:r w:rsidR="0005386F">
        <w:t>(Boudon 1974)</w:t>
      </w:r>
      <w:r w:rsidR="00C16BF1">
        <w:fldChar w:fldCharType="end"/>
      </w:r>
      <w:r>
        <w:t xml:space="preserve"> are less salient.</w:t>
      </w:r>
    </w:p>
    <w:p w:rsidR="009637E9" w:rsidRDefault="004C7F6E" w:rsidP="009637E9">
      <w:pPr>
        <w:pStyle w:val="Heading2"/>
      </w:pPr>
      <w:r>
        <w:lastRenderedPageBreak/>
        <w:t xml:space="preserve">Research Questions </w:t>
      </w:r>
    </w:p>
    <w:p w:rsidR="00D43FF8" w:rsidRDefault="00D43FF8" w:rsidP="00D43FF8">
      <w:pPr>
        <w:pStyle w:val="NormalWeb"/>
      </w:pPr>
      <w:r>
        <w:t xml:space="preserve">This paper </w:t>
      </w:r>
      <w:r w:rsidR="008D6EF9">
        <w:t>assesses</w:t>
      </w:r>
      <w:r>
        <w:t xml:space="preserve"> the relative importance of economic, social and cul</w:t>
      </w:r>
      <w:r w:rsidR="00EB361C">
        <w:t>tural resources in explaining social class differential</w:t>
      </w:r>
      <w:r w:rsidR="00C959F7">
        <w:t xml:space="preserve"> in children’s cognitive scores</w:t>
      </w:r>
      <w:r>
        <w:t xml:space="preserve">. We </w:t>
      </w:r>
      <w:r w:rsidR="001C7E5A">
        <w:t xml:space="preserve">also </w:t>
      </w:r>
      <w:r>
        <w:t>address the question of the relative importance of as</w:t>
      </w:r>
      <w:r w:rsidR="001C7E5A">
        <w:t>pects of parenting, and how these</w:t>
      </w:r>
      <w:r>
        <w:t xml:space="preserve"> may interact with other family resources.</w:t>
      </w:r>
    </w:p>
    <w:p w:rsidR="004C7F6E" w:rsidRDefault="004C7F6E" w:rsidP="004C7F6E">
      <w:pPr>
        <w:pStyle w:val="Heading2"/>
        <w:spacing w:line="240" w:lineRule="auto"/>
        <w:jc w:val="both"/>
        <w:rPr>
          <w:rFonts w:ascii="Times New Roman" w:hAnsi="Times New Roman" w:cs="Times New Roman"/>
          <w:b w:val="0"/>
          <w:color w:val="auto"/>
          <w:sz w:val="24"/>
          <w:szCs w:val="24"/>
        </w:rPr>
      </w:pPr>
      <w:r w:rsidRPr="004C7F6E">
        <w:rPr>
          <w:rFonts w:ascii="Times New Roman" w:hAnsi="Times New Roman" w:cs="Times New Roman"/>
          <w:b w:val="0"/>
          <w:color w:val="auto"/>
          <w:sz w:val="24"/>
          <w:szCs w:val="24"/>
        </w:rPr>
        <w:t xml:space="preserve">1. How strongly is social class linked to </w:t>
      </w:r>
      <w:r w:rsidR="00C9551B">
        <w:rPr>
          <w:rFonts w:ascii="Times New Roman" w:hAnsi="Times New Roman" w:cs="Times New Roman"/>
          <w:b w:val="0"/>
          <w:color w:val="auto"/>
          <w:sz w:val="24"/>
          <w:szCs w:val="24"/>
        </w:rPr>
        <w:t>test scores at age 7?</w:t>
      </w:r>
    </w:p>
    <w:p w:rsidR="004C7F6E" w:rsidRPr="004C7F6E" w:rsidRDefault="004C7F6E" w:rsidP="004C7F6E">
      <w:pPr>
        <w:pStyle w:val="Heading2"/>
        <w:spacing w:line="240" w:lineRule="auto"/>
        <w:jc w:val="both"/>
        <w:rPr>
          <w:rFonts w:ascii="Times New Roman" w:hAnsi="Times New Roman" w:cs="Times New Roman"/>
          <w:b w:val="0"/>
          <w:color w:val="auto"/>
          <w:sz w:val="24"/>
          <w:szCs w:val="24"/>
        </w:rPr>
      </w:pPr>
      <w:r w:rsidRPr="004C7F6E">
        <w:rPr>
          <w:rFonts w:ascii="Times New Roman" w:hAnsi="Times New Roman" w:cs="Times New Roman"/>
          <w:b w:val="0"/>
          <w:color w:val="auto"/>
          <w:sz w:val="24"/>
          <w:szCs w:val="24"/>
        </w:rPr>
        <w:t>2. To what extent do these social class gaps increase between the ages of 5 and 7?</w:t>
      </w:r>
    </w:p>
    <w:p w:rsidR="004C7F6E" w:rsidRDefault="004C7F6E" w:rsidP="004C7F6E">
      <w:pPr>
        <w:pStyle w:val="Heading2"/>
        <w:spacing w:line="240" w:lineRule="auto"/>
        <w:jc w:val="both"/>
        <w:rPr>
          <w:rFonts w:ascii="Times New Roman" w:hAnsi="Times New Roman" w:cs="Times New Roman"/>
          <w:b w:val="0"/>
          <w:color w:val="auto"/>
          <w:sz w:val="24"/>
          <w:szCs w:val="24"/>
        </w:rPr>
      </w:pPr>
      <w:r w:rsidRPr="004C7F6E">
        <w:rPr>
          <w:rFonts w:ascii="Times New Roman" w:hAnsi="Times New Roman" w:cs="Times New Roman"/>
          <w:b w:val="0"/>
          <w:color w:val="auto"/>
          <w:sz w:val="24"/>
          <w:szCs w:val="24"/>
        </w:rPr>
        <w:t>3. To what extent is the social class 'effect' accou</w:t>
      </w:r>
      <w:r w:rsidR="00143F23">
        <w:rPr>
          <w:rFonts w:ascii="Times New Roman" w:hAnsi="Times New Roman" w:cs="Times New Roman"/>
          <w:b w:val="0"/>
          <w:color w:val="auto"/>
          <w:sz w:val="24"/>
          <w:szCs w:val="24"/>
        </w:rPr>
        <w:t xml:space="preserve">nted for by measures of income </w:t>
      </w:r>
      <w:r w:rsidRPr="004C7F6E">
        <w:rPr>
          <w:rFonts w:ascii="Times New Roman" w:hAnsi="Times New Roman" w:cs="Times New Roman"/>
          <w:b w:val="0"/>
          <w:color w:val="auto"/>
          <w:sz w:val="24"/>
          <w:szCs w:val="24"/>
        </w:rPr>
        <w:t>and education?</w:t>
      </w:r>
    </w:p>
    <w:p w:rsidR="006B0AD2" w:rsidRDefault="006B0AD2" w:rsidP="006B0AD2">
      <w:r>
        <w:tab/>
        <w:t>If social class is essentially a proxy for income, then income should largely account for the link between social class and test scores.</w:t>
      </w:r>
    </w:p>
    <w:p w:rsidR="006B0AD2" w:rsidRDefault="006B0AD2" w:rsidP="006B0AD2">
      <w:r>
        <w:tab/>
        <w:t xml:space="preserve">If on the other hand cultural </w:t>
      </w:r>
      <w:r w:rsidR="00600C44">
        <w:t xml:space="preserve">and cognitive </w:t>
      </w:r>
      <w:r>
        <w:t xml:space="preserve">rather than economic resources drive the link between social </w:t>
      </w:r>
      <w:proofErr w:type="gramStart"/>
      <w:r>
        <w:t>class</w:t>
      </w:r>
      <w:proofErr w:type="gramEnd"/>
      <w:r>
        <w:t xml:space="preserve"> and test scores, this should be reflected in a stronger ‘effect’ of parents’ education than of income.</w:t>
      </w:r>
    </w:p>
    <w:p w:rsidR="006B0AD2" w:rsidRPr="006B0AD2" w:rsidRDefault="006B0AD2" w:rsidP="006B0AD2">
      <w:r>
        <w:tab/>
        <w:t xml:space="preserve">If social class has a direct </w:t>
      </w:r>
      <w:r w:rsidR="008D6EF9">
        <w:t>‘</w:t>
      </w:r>
      <w:r>
        <w:t>effect</w:t>
      </w:r>
      <w:r w:rsidR="008D6EF9">
        <w:t>’</w:t>
      </w:r>
      <w:r>
        <w:t xml:space="preserve"> which is unmediated by education or income this could suggest the importance of class-based resources other than income and education, although we cannot rule out the possibility that social class effects could be picking up measurement error in the income and education variables.</w:t>
      </w:r>
    </w:p>
    <w:p w:rsidR="004C7F6E" w:rsidRPr="004C7F6E" w:rsidRDefault="004C7F6E" w:rsidP="004C7F6E">
      <w:pPr>
        <w:pStyle w:val="Heading2"/>
        <w:spacing w:line="240" w:lineRule="auto"/>
        <w:jc w:val="both"/>
        <w:rPr>
          <w:rFonts w:ascii="Times New Roman" w:hAnsi="Times New Roman" w:cs="Times New Roman"/>
          <w:b w:val="0"/>
          <w:color w:val="auto"/>
          <w:sz w:val="24"/>
          <w:szCs w:val="24"/>
        </w:rPr>
      </w:pPr>
      <w:r w:rsidRPr="004C7F6E">
        <w:rPr>
          <w:rFonts w:ascii="Times New Roman" w:hAnsi="Times New Roman" w:cs="Times New Roman"/>
          <w:b w:val="0"/>
          <w:color w:val="auto"/>
          <w:sz w:val="24"/>
          <w:szCs w:val="24"/>
        </w:rPr>
        <w:t>4. To what extent is the social class 'effect' accounted for by the family's social resources, e.g. neighbourhood resources and parental physical and mental health?</w:t>
      </w:r>
    </w:p>
    <w:p w:rsidR="004C7F6E" w:rsidRDefault="004C7F6E" w:rsidP="004C7F6E">
      <w:pPr>
        <w:pStyle w:val="Heading2"/>
        <w:spacing w:line="240" w:lineRule="auto"/>
        <w:jc w:val="both"/>
        <w:rPr>
          <w:rFonts w:ascii="Times New Roman" w:hAnsi="Times New Roman" w:cs="Times New Roman"/>
          <w:b w:val="0"/>
          <w:color w:val="auto"/>
          <w:sz w:val="24"/>
          <w:szCs w:val="24"/>
        </w:rPr>
      </w:pPr>
      <w:r w:rsidRPr="004C7F6E">
        <w:rPr>
          <w:rFonts w:ascii="Times New Roman" w:hAnsi="Times New Roman" w:cs="Times New Roman"/>
          <w:b w:val="0"/>
          <w:color w:val="auto"/>
          <w:sz w:val="24"/>
          <w:szCs w:val="24"/>
        </w:rPr>
        <w:t>5. To what extent can the social class 'effect' be accounted for by measures of 'parenting', and which aspects of parenting appear to be important?</w:t>
      </w:r>
      <w:r w:rsidR="006B0AD2">
        <w:rPr>
          <w:rFonts w:ascii="Times New Roman" w:hAnsi="Times New Roman" w:cs="Times New Roman"/>
          <w:b w:val="0"/>
          <w:color w:val="auto"/>
          <w:sz w:val="24"/>
          <w:szCs w:val="24"/>
        </w:rPr>
        <w:t xml:space="preserve"> </w:t>
      </w:r>
    </w:p>
    <w:p w:rsidR="006B0AD2" w:rsidRDefault="006B0AD2" w:rsidP="006B0AD2"/>
    <w:p w:rsidR="004C7F6E" w:rsidRPr="0029296B" w:rsidRDefault="004C7F6E" w:rsidP="004C7F6E">
      <w:pPr>
        <w:pStyle w:val="Heading2"/>
      </w:pPr>
      <w:r w:rsidRPr="0029296B">
        <w:t>The Millennium Cohort Study (MCS)</w:t>
      </w:r>
    </w:p>
    <w:p w:rsidR="004C7F6E" w:rsidRDefault="004C7F6E" w:rsidP="004C7F6E">
      <w:pPr>
        <w:rPr>
          <w:rFonts w:cs="Arial"/>
          <w:color w:val="333333"/>
          <w:szCs w:val="22"/>
          <w:lang w:eastAsia="en-GB"/>
        </w:rPr>
      </w:pPr>
    </w:p>
    <w:p w:rsidR="004C7F6E" w:rsidRPr="00532997" w:rsidRDefault="004C7F6E" w:rsidP="004C7F6E">
      <w:pPr>
        <w:rPr>
          <w:rFonts w:cs="Arial"/>
          <w:szCs w:val="22"/>
          <w:lang w:eastAsia="en-GB"/>
        </w:rPr>
      </w:pPr>
      <w:r w:rsidRPr="00532997">
        <w:rPr>
          <w:rFonts w:cs="Arial"/>
          <w:szCs w:val="22"/>
          <w:lang w:eastAsia="en-GB"/>
        </w:rPr>
        <w:t>Understanding the social conditions surrounding the first seven years of a child’s life is fundamental to the study of the whole life course. The M</w:t>
      </w:r>
      <w:r w:rsidR="006E5BEB">
        <w:rPr>
          <w:rFonts w:cs="Arial"/>
          <w:szCs w:val="22"/>
          <w:lang w:eastAsia="en-GB"/>
        </w:rPr>
        <w:t xml:space="preserve">illennium </w:t>
      </w:r>
      <w:r w:rsidRPr="00532997">
        <w:rPr>
          <w:rFonts w:cs="Arial"/>
          <w:szCs w:val="22"/>
          <w:lang w:eastAsia="en-GB"/>
        </w:rPr>
        <w:t>C</w:t>
      </w:r>
      <w:r w:rsidR="006E5BEB">
        <w:rPr>
          <w:rFonts w:cs="Arial"/>
          <w:szCs w:val="22"/>
          <w:lang w:eastAsia="en-GB"/>
        </w:rPr>
        <w:t xml:space="preserve">ohort </w:t>
      </w:r>
      <w:r w:rsidRPr="00532997">
        <w:rPr>
          <w:rFonts w:cs="Arial"/>
          <w:szCs w:val="22"/>
          <w:lang w:eastAsia="en-GB"/>
        </w:rPr>
        <w:t>S</w:t>
      </w:r>
      <w:r w:rsidR="006E5BEB">
        <w:rPr>
          <w:rFonts w:cs="Arial"/>
          <w:szCs w:val="22"/>
          <w:lang w:eastAsia="en-GB"/>
        </w:rPr>
        <w:t>tudy (MCS)</w:t>
      </w:r>
      <w:r w:rsidRPr="00532997">
        <w:rPr>
          <w:rFonts w:cs="Arial"/>
          <w:szCs w:val="22"/>
          <w:lang w:eastAsia="en-GB"/>
        </w:rPr>
        <w:t xml:space="preserve"> provides an opportunity to answer major questions about the prospects of children born in 2000-01 concerning wealth and poverty, the quality of family life, and outcomes for children.</w:t>
      </w:r>
    </w:p>
    <w:p w:rsidR="004C7F6E" w:rsidRPr="00532997" w:rsidRDefault="004C7F6E" w:rsidP="004C7F6E">
      <w:pPr>
        <w:rPr>
          <w:rFonts w:cs="Arial"/>
          <w:szCs w:val="22"/>
          <w:lang w:eastAsia="en-GB"/>
        </w:rPr>
      </w:pPr>
    </w:p>
    <w:p w:rsidR="004C7F6E" w:rsidRPr="00532997" w:rsidRDefault="004C7F6E" w:rsidP="004C7F6E">
      <w:pPr>
        <w:rPr>
          <w:rFonts w:cs="Arial"/>
          <w:szCs w:val="22"/>
          <w:lang w:eastAsia="en-GB"/>
        </w:rPr>
      </w:pPr>
      <w:r w:rsidRPr="00532997">
        <w:rPr>
          <w:rFonts w:cs="Arial"/>
          <w:szCs w:val="22"/>
          <w:lang w:eastAsia="en-GB"/>
        </w:rPr>
        <w:t xml:space="preserve">The sample was selected from </w:t>
      </w:r>
      <w:r w:rsidR="00C959F7">
        <w:rPr>
          <w:rFonts w:cs="Arial"/>
          <w:szCs w:val="22"/>
          <w:lang w:eastAsia="en-GB"/>
        </w:rPr>
        <w:t xml:space="preserve">all births in </w:t>
      </w:r>
      <w:r w:rsidRPr="00532997">
        <w:rPr>
          <w:rFonts w:cs="Arial"/>
          <w:szCs w:val="22"/>
          <w:lang w:eastAsia="en-GB"/>
        </w:rPr>
        <w:t>a random sample of electoral wards, disproportionately stratified to ensure adequate representation of all four UK countries, deprived areas and are</w:t>
      </w:r>
      <w:r>
        <w:rPr>
          <w:rFonts w:cs="Arial"/>
          <w:szCs w:val="22"/>
          <w:lang w:eastAsia="en-GB"/>
        </w:rPr>
        <w:t>as with high concentrations of b</w:t>
      </w:r>
      <w:r w:rsidRPr="00532997">
        <w:rPr>
          <w:rFonts w:cs="Arial"/>
          <w:szCs w:val="22"/>
          <w:lang w:eastAsia="en-GB"/>
        </w:rPr>
        <w:t>lack and Asian families in England. The sample design of the MCS differs from that of its predecessors (</w:t>
      </w:r>
      <w:r w:rsidR="006E5BEB">
        <w:rPr>
          <w:rFonts w:cs="Arial"/>
          <w:szCs w:val="22"/>
          <w:lang w:eastAsia="en-GB"/>
        </w:rPr>
        <w:t>the 1946, 1958 and 1970 birth cohort studies</w:t>
      </w:r>
      <w:r w:rsidRPr="00532997">
        <w:rPr>
          <w:rFonts w:cs="Arial"/>
          <w:szCs w:val="22"/>
          <w:lang w:eastAsia="en-GB"/>
        </w:rPr>
        <w:t xml:space="preserve">) in that it took </w:t>
      </w:r>
      <w:r w:rsidR="00CE2210">
        <w:rPr>
          <w:rFonts w:cs="Arial"/>
          <w:szCs w:val="22"/>
          <w:lang w:eastAsia="en-GB"/>
        </w:rPr>
        <w:t xml:space="preserve">in </w:t>
      </w:r>
      <w:r w:rsidRPr="00532997">
        <w:rPr>
          <w:rFonts w:cs="Arial"/>
          <w:szCs w:val="22"/>
          <w:lang w:eastAsia="en-GB"/>
        </w:rPr>
        <w:t>a whole year's births, and covers the whole of the United Kingdom.  There have, so far, been four surveys</w:t>
      </w:r>
      <w:r w:rsidR="00127934">
        <w:rPr>
          <w:rFonts w:cs="Arial"/>
          <w:szCs w:val="22"/>
          <w:lang w:eastAsia="en-GB"/>
        </w:rPr>
        <w:t xml:space="preserve"> (</w:t>
      </w:r>
      <w:r w:rsidR="006E5BEB">
        <w:rPr>
          <w:rFonts w:cs="Arial"/>
          <w:szCs w:val="22"/>
          <w:lang w:eastAsia="en-GB"/>
        </w:rPr>
        <w:t xml:space="preserve">also </w:t>
      </w:r>
      <w:r w:rsidR="004346DD">
        <w:rPr>
          <w:rFonts w:cs="Arial"/>
          <w:szCs w:val="22"/>
          <w:lang w:eastAsia="en-GB"/>
        </w:rPr>
        <w:t>known as</w:t>
      </w:r>
      <w:r w:rsidR="00127934">
        <w:rPr>
          <w:rFonts w:cs="Arial"/>
          <w:szCs w:val="22"/>
          <w:lang w:eastAsia="en-GB"/>
        </w:rPr>
        <w:t xml:space="preserve"> </w:t>
      </w:r>
      <w:r w:rsidR="004346DD">
        <w:rPr>
          <w:rFonts w:cs="Arial"/>
          <w:szCs w:val="22"/>
          <w:lang w:eastAsia="en-GB"/>
        </w:rPr>
        <w:t>‘</w:t>
      </w:r>
      <w:r w:rsidR="00127934">
        <w:rPr>
          <w:rFonts w:cs="Arial"/>
          <w:szCs w:val="22"/>
          <w:lang w:eastAsia="en-GB"/>
        </w:rPr>
        <w:t>sweeps</w:t>
      </w:r>
      <w:r w:rsidR="004346DD">
        <w:rPr>
          <w:rFonts w:cs="Arial"/>
          <w:szCs w:val="22"/>
          <w:lang w:eastAsia="en-GB"/>
        </w:rPr>
        <w:t>’ or ‘waves’</w:t>
      </w:r>
      <w:r w:rsidR="00127934">
        <w:rPr>
          <w:rFonts w:cs="Arial"/>
          <w:szCs w:val="22"/>
          <w:lang w:eastAsia="en-GB"/>
        </w:rPr>
        <w:t>)</w:t>
      </w:r>
      <w:r w:rsidRPr="00532997">
        <w:rPr>
          <w:rFonts w:cs="Arial"/>
          <w:szCs w:val="22"/>
          <w:lang w:eastAsia="en-GB"/>
        </w:rPr>
        <w:t>:</w:t>
      </w:r>
    </w:p>
    <w:p w:rsidR="004C7F6E" w:rsidRPr="00532997" w:rsidRDefault="004C7F6E" w:rsidP="004C7F6E">
      <w:pPr>
        <w:rPr>
          <w:rFonts w:cs="Arial"/>
          <w:szCs w:val="22"/>
          <w:lang w:eastAsia="en-GB"/>
        </w:rPr>
      </w:pPr>
    </w:p>
    <w:p w:rsidR="004C7F6E" w:rsidRPr="00532997" w:rsidRDefault="004C7F6E" w:rsidP="004C7F6E">
      <w:pPr>
        <w:numPr>
          <w:ilvl w:val="0"/>
          <w:numId w:val="1"/>
        </w:numPr>
        <w:rPr>
          <w:rFonts w:cs="Arial"/>
          <w:szCs w:val="22"/>
          <w:lang w:eastAsia="en-GB"/>
        </w:rPr>
      </w:pPr>
      <w:r w:rsidRPr="00532997">
        <w:rPr>
          <w:rFonts w:cs="Arial"/>
          <w:szCs w:val="22"/>
          <w:lang w:eastAsia="en-GB"/>
        </w:rPr>
        <w:t>Millennium Cohort Survey (MCS 1</w:t>
      </w:r>
      <w:r w:rsidR="004346DD">
        <w:rPr>
          <w:rFonts w:cs="Arial"/>
          <w:szCs w:val="22"/>
          <w:lang w:eastAsia="en-GB"/>
        </w:rPr>
        <w:t>)</w:t>
      </w:r>
      <w:r w:rsidRPr="00532997">
        <w:rPr>
          <w:rFonts w:cs="Arial"/>
          <w:szCs w:val="22"/>
          <w:lang w:eastAsia="en-GB"/>
        </w:rPr>
        <w:t>: at age 9 months</w:t>
      </w:r>
    </w:p>
    <w:p w:rsidR="004C7F6E" w:rsidRPr="00532997" w:rsidRDefault="004C7F6E" w:rsidP="004C7F6E">
      <w:pPr>
        <w:numPr>
          <w:ilvl w:val="0"/>
          <w:numId w:val="1"/>
        </w:numPr>
        <w:rPr>
          <w:rFonts w:cs="Arial"/>
          <w:szCs w:val="22"/>
          <w:lang w:eastAsia="en-GB"/>
        </w:rPr>
      </w:pPr>
      <w:r w:rsidRPr="00532997">
        <w:rPr>
          <w:rFonts w:cs="Arial"/>
          <w:szCs w:val="22"/>
          <w:lang w:eastAsia="en-GB"/>
        </w:rPr>
        <w:t>MCS 2 at age three</w:t>
      </w:r>
    </w:p>
    <w:p w:rsidR="004C7F6E" w:rsidRPr="00532997" w:rsidRDefault="004C7F6E" w:rsidP="004C7F6E">
      <w:pPr>
        <w:numPr>
          <w:ilvl w:val="0"/>
          <w:numId w:val="1"/>
        </w:numPr>
        <w:rPr>
          <w:rFonts w:cs="Arial"/>
          <w:szCs w:val="22"/>
          <w:lang w:eastAsia="en-GB"/>
        </w:rPr>
      </w:pPr>
      <w:r w:rsidRPr="00532997">
        <w:rPr>
          <w:rFonts w:cs="Arial"/>
          <w:szCs w:val="22"/>
          <w:lang w:eastAsia="en-GB"/>
        </w:rPr>
        <w:t>MCS 3 at age five</w:t>
      </w:r>
    </w:p>
    <w:p w:rsidR="004C7F6E" w:rsidRPr="00532997" w:rsidRDefault="004C7F6E" w:rsidP="004C7F6E">
      <w:pPr>
        <w:numPr>
          <w:ilvl w:val="0"/>
          <w:numId w:val="1"/>
        </w:numPr>
        <w:rPr>
          <w:rFonts w:cs="Arial"/>
          <w:szCs w:val="22"/>
          <w:lang w:eastAsia="en-GB"/>
        </w:rPr>
      </w:pPr>
      <w:r w:rsidRPr="00532997">
        <w:rPr>
          <w:rFonts w:cs="Arial"/>
          <w:szCs w:val="22"/>
          <w:lang w:eastAsia="en-GB"/>
        </w:rPr>
        <w:lastRenderedPageBreak/>
        <w:t xml:space="preserve">MCS 4 at age seven </w:t>
      </w:r>
    </w:p>
    <w:p w:rsidR="004C7F6E" w:rsidRPr="00532997" w:rsidRDefault="004C7F6E" w:rsidP="004C7F6E">
      <w:pPr>
        <w:rPr>
          <w:rFonts w:cs="Arial"/>
          <w:szCs w:val="22"/>
          <w:lang w:eastAsia="en-GB"/>
        </w:rPr>
      </w:pPr>
    </w:p>
    <w:p w:rsidR="004C7F6E" w:rsidRPr="00532997" w:rsidRDefault="004C7F6E" w:rsidP="004C7F6E">
      <w:pPr>
        <w:rPr>
          <w:rFonts w:cs="Arial"/>
          <w:szCs w:val="22"/>
          <w:lang w:eastAsia="en-GB"/>
        </w:rPr>
      </w:pPr>
      <w:r w:rsidRPr="00532997">
        <w:rPr>
          <w:rFonts w:cs="Arial"/>
          <w:szCs w:val="22"/>
          <w:lang w:eastAsia="en-GB"/>
        </w:rPr>
        <w:t xml:space="preserve">At each </w:t>
      </w:r>
      <w:r w:rsidR="00127934">
        <w:rPr>
          <w:rFonts w:cs="Arial"/>
          <w:szCs w:val="22"/>
          <w:lang w:eastAsia="en-GB"/>
        </w:rPr>
        <w:t>sweep</w:t>
      </w:r>
      <w:r w:rsidR="00127934" w:rsidRPr="00532997">
        <w:rPr>
          <w:rFonts w:cs="Arial"/>
          <w:szCs w:val="22"/>
          <w:lang w:eastAsia="en-GB"/>
        </w:rPr>
        <w:t xml:space="preserve"> </w:t>
      </w:r>
      <w:r w:rsidRPr="00532997">
        <w:rPr>
          <w:rFonts w:cs="Arial"/>
          <w:szCs w:val="22"/>
          <w:lang w:eastAsia="en-GB"/>
        </w:rPr>
        <w:t xml:space="preserve">there have been interviews with both resident parents, collecting a wide range of socio-economic and health data. </w:t>
      </w:r>
      <w:r w:rsidR="003D2188">
        <w:rPr>
          <w:rFonts w:cs="Arial"/>
          <w:szCs w:val="22"/>
          <w:lang w:eastAsia="en-GB"/>
        </w:rPr>
        <w:t>The</w:t>
      </w:r>
      <w:r w:rsidRPr="00532997">
        <w:rPr>
          <w:rFonts w:cs="Arial"/>
          <w:szCs w:val="22"/>
          <w:lang w:eastAsia="en-GB"/>
        </w:rPr>
        <w:t xml:space="preserve"> three most recent sweeps </w:t>
      </w:r>
      <w:r w:rsidR="003D2188">
        <w:rPr>
          <w:rFonts w:cs="Arial"/>
          <w:szCs w:val="22"/>
          <w:lang w:eastAsia="en-GB"/>
        </w:rPr>
        <w:t>have included</w:t>
      </w:r>
      <w:r w:rsidRPr="00532997">
        <w:rPr>
          <w:rFonts w:cs="Arial"/>
          <w:szCs w:val="22"/>
          <w:lang w:eastAsia="en-GB"/>
        </w:rPr>
        <w:t xml:space="preserve"> assessments of the child’s cognitive development.  </w:t>
      </w:r>
    </w:p>
    <w:p w:rsidR="004C7F6E" w:rsidRPr="00532997" w:rsidRDefault="004C7F6E" w:rsidP="004C7F6E">
      <w:pPr>
        <w:rPr>
          <w:rFonts w:cs="Arial"/>
          <w:szCs w:val="22"/>
          <w:lang w:eastAsia="en-GB"/>
        </w:rPr>
      </w:pPr>
    </w:p>
    <w:p w:rsidR="004C7F6E" w:rsidRDefault="004C7F6E" w:rsidP="004C7F6E">
      <w:pPr>
        <w:pStyle w:val="Heading2"/>
        <w:rPr>
          <w:rFonts w:cs="Arial"/>
          <w:szCs w:val="22"/>
        </w:rPr>
      </w:pPr>
      <w:r>
        <w:t>Analytical Strategy</w:t>
      </w:r>
      <w:r>
        <w:rPr>
          <w:rFonts w:cs="Arial"/>
          <w:szCs w:val="22"/>
        </w:rPr>
        <w:t xml:space="preserve"> </w:t>
      </w:r>
    </w:p>
    <w:p w:rsidR="004C7F6E" w:rsidRPr="004C7F6E" w:rsidRDefault="004C7F6E" w:rsidP="004C7F6E"/>
    <w:p w:rsidR="003408C1" w:rsidRDefault="003408C1" w:rsidP="009637E9">
      <w:pPr>
        <w:rPr>
          <w:rFonts w:cs="Arial"/>
          <w:szCs w:val="22"/>
        </w:rPr>
      </w:pPr>
      <w:r w:rsidRPr="006F4464">
        <w:rPr>
          <w:rFonts w:cs="Arial"/>
          <w:szCs w:val="22"/>
        </w:rPr>
        <w:t xml:space="preserve">We </w:t>
      </w:r>
      <w:r w:rsidR="00DA1341">
        <w:rPr>
          <w:rFonts w:cs="Arial"/>
          <w:szCs w:val="22"/>
        </w:rPr>
        <w:t>have analys</w:t>
      </w:r>
      <w:r w:rsidRPr="006F4464">
        <w:rPr>
          <w:rFonts w:cs="Arial"/>
          <w:szCs w:val="22"/>
        </w:rPr>
        <w:t xml:space="preserve">ed outcomes at age 7 in terms of indicators taken at earlier sweeps, avoiding  the possible ambiguity of explaining outcomes in terms of current circumstances which could be affected by reverse causation. </w:t>
      </w:r>
      <w:r w:rsidR="00D01FA9">
        <w:t>This also implies that we focus on the inf</w:t>
      </w:r>
      <w:r w:rsidR="00430D24">
        <w:t xml:space="preserve">luence of home background, and </w:t>
      </w:r>
      <w:r w:rsidR="00D01FA9">
        <w:t xml:space="preserve">not any influences via the school that may mediate it. </w:t>
      </w:r>
      <w:r>
        <w:rPr>
          <w:rFonts w:cs="Arial"/>
          <w:szCs w:val="22"/>
        </w:rPr>
        <w:t>Our analysis</w:t>
      </w:r>
      <w:r w:rsidRPr="006F4464">
        <w:rPr>
          <w:rFonts w:cs="Arial"/>
          <w:szCs w:val="22"/>
        </w:rPr>
        <w:t xml:space="preserve"> thereby present</w:t>
      </w:r>
      <w:r>
        <w:rPr>
          <w:rFonts w:cs="Arial"/>
          <w:szCs w:val="22"/>
        </w:rPr>
        <w:t>s</w:t>
      </w:r>
      <w:r w:rsidRPr="006F4464">
        <w:rPr>
          <w:rFonts w:cs="Arial"/>
          <w:szCs w:val="22"/>
        </w:rPr>
        <w:t xml:space="preserve"> an estimate of some medium-term outcomes of </w:t>
      </w:r>
      <w:r>
        <w:rPr>
          <w:rFonts w:cs="Arial"/>
          <w:szCs w:val="22"/>
        </w:rPr>
        <w:t xml:space="preserve">the children’s </w:t>
      </w:r>
      <w:r w:rsidR="00BE1E79">
        <w:rPr>
          <w:rFonts w:cs="Arial"/>
          <w:szCs w:val="22"/>
        </w:rPr>
        <w:t xml:space="preserve">early </w:t>
      </w:r>
      <w:r>
        <w:rPr>
          <w:rFonts w:cs="Arial"/>
          <w:szCs w:val="22"/>
        </w:rPr>
        <w:t xml:space="preserve">circumstances and </w:t>
      </w:r>
      <w:r w:rsidRPr="006F4464">
        <w:rPr>
          <w:rFonts w:cs="Arial"/>
          <w:szCs w:val="22"/>
        </w:rPr>
        <w:t xml:space="preserve">conditions </w:t>
      </w:r>
      <w:r>
        <w:rPr>
          <w:rFonts w:cs="Arial"/>
          <w:szCs w:val="22"/>
        </w:rPr>
        <w:t>of life</w:t>
      </w:r>
      <w:r w:rsidRPr="006F4464">
        <w:rPr>
          <w:rFonts w:cs="Arial"/>
          <w:szCs w:val="22"/>
        </w:rPr>
        <w:t>.</w:t>
      </w:r>
    </w:p>
    <w:p w:rsidR="00E04786" w:rsidRDefault="00E04786" w:rsidP="009637E9">
      <w:pPr>
        <w:rPr>
          <w:rFonts w:cs="Arial"/>
          <w:szCs w:val="22"/>
        </w:rPr>
      </w:pPr>
    </w:p>
    <w:p w:rsidR="00E04786" w:rsidRDefault="00E04786" w:rsidP="009637E9">
      <w:pPr>
        <w:rPr>
          <w:rFonts w:cs="Arial"/>
          <w:szCs w:val="22"/>
        </w:rPr>
      </w:pPr>
      <w:r>
        <w:t xml:space="preserve">We exploit the temporal dimension in the longitudinal design of the data by conditioning upon earlier observations to predict later outcomes using multiple linear </w:t>
      </w:r>
      <w:proofErr w:type="gramStart"/>
      <w:r>
        <w:t>regression</w:t>
      </w:r>
      <w:proofErr w:type="gramEnd"/>
      <w:r>
        <w:t xml:space="preserve">. Age-specific test scores at age 7 years are modelled controlling for the test score outcome at age 5 years. </w:t>
      </w:r>
      <w:r w:rsidRPr="006F4464">
        <w:rPr>
          <w:rFonts w:cs="Arial"/>
          <w:szCs w:val="22"/>
        </w:rPr>
        <w:t xml:space="preserve">All analyses </w:t>
      </w:r>
      <w:r>
        <w:rPr>
          <w:rFonts w:cs="Arial"/>
          <w:szCs w:val="22"/>
        </w:rPr>
        <w:t>are</w:t>
      </w:r>
      <w:r w:rsidRPr="006F4464">
        <w:rPr>
          <w:rFonts w:cs="Arial"/>
          <w:szCs w:val="22"/>
        </w:rPr>
        <w:t xml:space="preserve"> appropriately weighted to account for the sample design, attrition and non-response and </w:t>
      </w:r>
      <w:r>
        <w:rPr>
          <w:rFonts w:cs="Arial"/>
          <w:szCs w:val="22"/>
        </w:rPr>
        <w:t>are</w:t>
      </w:r>
      <w:r w:rsidRPr="006F4464">
        <w:rPr>
          <w:rFonts w:cs="Arial"/>
          <w:szCs w:val="22"/>
        </w:rPr>
        <w:t xml:space="preserve"> carried out in STATA software </w:t>
      </w:r>
      <w:r w:rsidR="00C16BF1">
        <w:rPr>
          <w:rFonts w:cs="Arial"/>
          <w:szCs w:val="22"/>
        </w:rPr>
        <w:fldChar w:fldCharType="begin"/>
      </w:r>
      <w:r w:rsidR="0005386F">
        <w:rPr>
          <w:rFonts w:cs="Arial"/>
          <w:szCs w:val="22"/>
        </w:rPr>
        <w:instrText xml:space="preserve"> ADDIN EN.CITE &lt;EndNote&gt;&lt;Cite&gt;&lt;Author&gt;Ketende&lt;/Author&gt;&lt;Year&gt;2010&lt;/Year&gt;&lt;RecNum&gt;1177&lt;/RecNum&gt;&lt;record&gt;&lt;rec-number&gt;1177&lt;/rec-number&gt;&lt;foreign-keys&gt;&lt;key app="EN" db-id="aeretdtfgatxzketrem5pp9n9d2vvexz5rvr"&gt;1177&lt;/key&gt;&lt;/foreign-keys&gt;&lt;ref-type name="Book"&gt;6&lt;/ref-type&gt;&lt;contributors&gt;&lt;authors&gt;&lt;author&gt;Ketende, S.&lt;/author&gt;&lt;/authors&gt;&lt;/contributors&gt;&lt;titles&gt;&lt;title&gt;MCS Technical Report on Response 3rd Edition&lt;/title&gt;&lt;/titles&gt;&lt;dates&gt;&lt;year&gt;2010&lt;/year&gt;&lt;/dates&gt;&lt;pub-location&gt;London&lt;/pub-location&gt;&lt;publisher&gt;Centre for Longitudinal Studies&lt;/publisher&gt;&lt;urls&gt;&lt;related-urls&gt;&lt;url&gt;http://www.cls.ioe.ac.uk/core/documents/download.asp?id=1339&amp;amp;log_stat=1&lt;/url&gt;&lt;/related-urls&gt;&lt;/urls&gt;&lt;/record&gt;&lt;/Cite&gt;&lt;/EndNote&gt;</w:instrText>
      </w:r>
      <w:r w:rsidR="00C16BF1">
        <w:rPr>
          <w:rFonts w:cs="Arial"/>
          <w:szCs w:val="22"/>
        </w:rPr>
        <w:fldChar w:fldCharType="separate"/>
      </w:r>
      <w:r w:rsidRPr="006F4464">
        <w:rPr>
          <w:rFonts w:cs="Arial"/>
          <w:szCs w:val="22"/>
        </w:rPr>
        <w:t>(Ketende 2010)</w:t>
      </w:r>
      <w:r w:rsidR="00C16BF1">
        <w:rPr>
          <w:rFonts w:cs="Arial"/>
          <w:szCs w:val="22"/>
        </w:rPr>
        <w:fldChar w:fldCharType="end"/>
      </w:r>
      <w:r w:rsidRPr="006F4464">
        <w:rPr>
          <w:rFonts w:cs="Arial"/>
          <w:szCs w:val="22"/>
        </w:rPr>
        <w:t>.</w:t>
      </w:r>
    </w:p>
    <w:p w:rsidR="003408C1" w:rsidRDefault="003408C1" w:rsidP="009637E9">
      <w:pPr>
        <w:rPr>
          <w:rFonts w:cs="Arial"/>
          <w:szCs w:val="22"/>
        </w:rPr>
      </w:pPr>
    </w:p>
    <w:p w:rsidR="00F03E16" w:rsidRDefault="00F377D1" w:rsidP="005A637B">
      <w:pPr>
        <w:rPr>
          <w:rFonts w:cs="Arial"/>
          <w:szCs w:val="22"/>
        </w:rPr>
      </w:pPr>
      <w:r w:rsidRPr="005B5010">
        <w:rPr>
          <w:szCs w:val="22"/>
        </w:rPr>
        <w:t xml:space="preserve">Three </w:t>
      </w:r>
      <w:r w:rsidR="00527E97">
        <w:rPr>
          <w:szCs w:val="22"/>
        </w:rPr>
        <w:t xml:space="preserve">cognitive assessment </w:t>
      </w:r>
      <w:r w:rsidRPr="005B5010">
        <w:rPr>
          <w:szCs w:val="22"/>
        </w:rPr>
        <w:t>scales were used in the fourth MCS sweep. They are the Pattern C</w:t>
      </w:r>
      <w:r>
        <w:rPr>
          <w:szCs w:val="22"/>
        </w:rPr>
        <w:t>onstruc</w:t>
      </w:r>
      <w:r w:rsidRPr="005B5010">
        <w:rPr>
          <w:szCs w:val="22"/>
        </w:rPr>
        <w:t>tion and Word Reading subscales from the British Ability Scales</w:t>
      </w:r>
      <w:r>
        <w:rPr>
          <w:szCs w:val="22"/>
        </w:rPr>
        <w:t xml:space="preserve"> (BAS)</w:t>
      </w:r>
      <w:r w:rsidRPr="005B5010">
        <w:rPr>
          <w:szCs w:val="22"/>
        </w:rPr>
        <w:t xml:space="preserve"> </w:t>
      </w:r>
      <w:r w:rsidR="00C16BF1">
        <w:rPr>
          <w:szCs w:val="22"/>
        </w:rPr>
        <w:fldChar w:fldCharType="begin"/>
      </w:r>
      <w:r w:rsidR="0005386F">
        <w:rPr>
          <w:szCs w:val="22"/>
        </w:rPr>
        <w:instrText xml:space="preserve"> ADDIN EN.CITE &lt;EndNote&gt;&lt;Cite&gt;&lt;Author&gt;Elliott&lt;/Author&gt;&lt;Year&gt;1996&lt;/Year&gt;&lt;RecNum&gt;1179&lt;/RecNum&gt;&lt;record&gt;&lt;rec-number&gt;1179&lt;/rec-number&gt;&lt;foreign-keys&gt;&lt;key app="EN" db-id="aeretdtfgatxzketrem5pp9n9d2vvexz5rvr"&gt;1179&lt;/key&gt;&lt;/foreign-keys&gt;&lt;ref-type name="Book"&gt;6&lt;/ref-type&gt;&lt;contributors&gt;&lt;authors&gt;&lt;author&gt;Elliott&lt;/author&gt;&lt;/authors&gt;&lt;/contributors&gt;&lt;titles&gt;&lt;title&gt;The British Ability Scales II&lt;/title&gt;&lt;/titles&gt;&lt;dates&gt;&lt;year&gt;1996&lt;/year&gt;&lt;/dates&gt;&lt;pub-location&gt;Windsor, Berkshire&lt;/pub-location&gt;&lt;publisher&gt;NFER&lt;/publisher&gt;&lt;urls&gt;&lt;/urls&gt;&lt;/record&gt;&lt;/Cite&gt;&lt;/EndNote&gt;</w:instrText>
      </w:r>
      <w:r w:rsidR="00C16BF1">
        <w:rPr>
          <w:szCs w:val="22"/>
        </w:rPr>
        <w:fldChar w:fldCharType="separate"/>
      </w:r>
      <w:r w:rsidR="00430D24">
        <w:rPr>
          <w:szCs w:val="22"/>
        </w:rPr>
        <w:t>(Elliott 1996)</w:t>
      </w:r>
      <w:r w:rsidR="00C16BF1">
        <w:rPr>
          <w:szCs w:val="22"/>
        </w:rPr>
        <w:fldChar w:fldCharType="end"/>
      </w:r>
      <w:r w:rsidR="00430D24">
        <w:rPr>
          <w:szCs w:val="22"/>
        </w:rPr>
        <w:t xml:space="preserve"> </w:t>
      </w:r>
      <w:r w:rsidRPr="005B5010">
        <w:rPr>
          <w:szCs w:val="22"/>
        </w:rPr>
        <w:t>and the Progress in Maths assessment. All were directly administered by interviewers</w:t>
      </w:r>
      <w:r w:rsidR="00A211FC">
        <w:rPr>
          <w:szCs w:val="22"/>
        </w:rPr>
        <w:t xml:space="preserve"> at the child’s home</w:t>
      </w:r>
      <w:r w:rsidR="00070D91">
        <w:rPr>
          <w:szCs w:val="22"/>
        </w:rPr>
        <w:t>.</w:t>
      </w:r>
      <w:r w:rsidRPr="005B5010">
        <w:rPr>
          <w:szCs w:val="22"/>
        </w:rPr>
        <w:t xml:space="preserve"> </w:t>
      </w:r>
      <w:r w:rsidR="00F2710F">
        <w:rPr>
          <w:szCs w:val="22"/>
        </w:rPr>
        <w:t>We examine children’s scores on a scale combining these three assessments.</w:t>
      </w:r>
      <w:r w:rsidR="00F03E16">
        <w:rPr>
          <w:szCs w:val="22"/>
        </w:rPr>
        <w:t xml:space="preserve"> </w:t>
      </w:r>
      <w:r w:rsidR="00430D24">
        <w:rPr>
          <w:rFonts w:cs="Arial"/>
          <w:szCs w:val="22"/>
        </w:rPr>
        <w:t xml:space="preserve">The composite cognitive scores at ages 5 and 7 were derived through factor analysis by Jones and Schoon </w:t>
      </w:r>
      <w:r w:rsidR="00C16BF1">
        <w:rPr>
          <w:rFonts w:cs="Arial"/>
          <w:szCs w:val="22"/>
        </w:rPr>
        <w:fldChar w:fldCharType="begin"/>
      </w:r>
      <w:r w:rsidR="0005386F">
        <w:rPr>
          <w:rFonts w:cs="Arial"/>
          <w:szCs w:val="22"/>
        </w:rPr>
        <w:instrText xml:space="preserve"> ADDIN EN.CITE &lt;EndNote&gt;&lt;Cite ExcludeAuth="1"&gt;&lt;Author&gt;Jones&lt;/Author&gt;&lt;Year&gt;2010&lt;/Year&gt;&lt;RecNum&gt;1185&lt;/RecNum&gt;&lt;record&gt;&lt;rec-number&gt;1185&lt;/rec-number&gt;&lt;foreign-keys&gt;&lt;key app="EN" db-id="aeretdtfgatxzketrem5pp9n9d2vvexz5rvr"&gt;1185&lt;/key&gt;&lt;/foreign-keys&gt;&lt;ref-type name="Book Section"&gt;5&lt;/ref-type&gt;&lt;contributors&gt;&lt;authors&gt;&lt;author&gt;Jones, E.M.&lt;/author&gt;&lt;author&gt;Schoon, I.&lt;/author&gt;&lt;/authors&gt;&lt;secondary-authors&gt;&lt;author&gt;K. Hansen&lt;/author&gt;&lt;author&gt;E. Jones&lt;/author&gt;&lt;author&gt;H. Joshi&lt;/author&gt;&lt;author&gt;D. Budge&lt;/author&gt;&lt;/secondary-authors&gt;&lt;/contributors&gt;&lt;titles&gt;&lt;title&gt;Cognitive Development&lt;/title&gt;&lt;secondary-title&gt;The Millennium Cohort Study Fourth Survey: A user&amp;apos;s guide to initial findings&lt;/secondary-title&gt;&lt;/titles&gt;&lt;dates&gt;&lt;year&gt;2010&lt;/year&gt;&lt;/dates&gt;&lt;pub-location&gt;London&lt;/pub-location&gt;&lt;publisher&gt;Centre for Longitudinal Studies&lt;/publisher&gt;&lt;urls&gt;&lt;/urls&gt;&lt;/record&gt;&lt;/Cite&gt;&lt;/EndNote&gt;</w:instrText>
      </w:r>
      <w:r w:rsidR="00C16BF1">
        <w:rPr>
          <w:rFonts w:cs="Arial"/>
          <w:szCs w:val="22"/>
        </w:rPr>
        <w:fldChar w:fldCharType="separate"/>
      </w:r>
      <w:r w:rsidR="00430D24">
        <w:rPr>
          <w:rFonts w:cs="Arial"/>
          <w:szCs w:val="22"/>
        </w:rPr>
        <w:t>(2010)</w:t>
      </w:r>
      <w:r w:rsidR="00C16BF1">
        <w:rPr>
          <w:rFonts w:cs="Arial"/>
          <w:szCs w:val="22"/>
        </w:rPr>
        <w:fldChar w:fldCharType="end"/>
      </w:r>
      <w:r w:rsidR="00430D24">
        <w:rPr>
          <w:rFonts w:cs="Arial"/>
          <w:szCs w:val="22"/>
        </w:rPr>
        <w:t xml:space="preserve">. </w:t>
      </w:r>
      <w:r w:rsidR="005A637B">
        <w:rPr>
          <w:rFonts w:cs="Arial"/>
          <w:szCs w:val="22"/>
        </w:rPr>
        <w:t xml:space="preserve">It is important to acknowledge that children’s levels of motivation and compliance will affect their scores in </w:t>
      </w:r>
      <w:r w:rsidR="00022278">
        <w:rPr>
          <w:rFonts w:cs="Arial"/>
          <w:szCs w:val="22"/>
        </w:rPr>
        <w:t>cognitive</w:t>
      </w:r>
      <w:r w:rsidR="005A637B">
        <w:rPr>
          <w:rFonts w:cs="Arial"/>
          <w:szCs w:val="22"/>
        </w:rPr>
        <w:t xml:space="preserve"> tests. </w:t>
      </w:r>
      <w:r w:rsidR="00426578">
        <w:rPr>
          <w:rFonts w:cs="Arial"/>
          <w:szCs w:val="22"/>
        </w:rPr>
        <w:t>We do not interpret the</w:t>
      </w:r>
      <w:r w:rsidR="00022278">
        <w:rPr>
          <w:rFonts w:cs="Arial"/>
          <w:szCs w:val="22"/>
        </w:rPr>
        <w:t>se tests</w:t>
      </w:r>
      <w:r w:rsidR="00426578">
        <w:rPr>
          <w:rFonts w:cs="Arial"/>
          <w:szCs w:val="22"/>
        </w:rPr>
        <w:t xml:space="preserve"> as tests of </w:t>
      </w:r>
      <w:r w:rsidR="00022278">
        <w:rPr>
          <w:rFonts w:cs="Arial"/>
          <w:szCs w:val="22"/>
        </w:rPr>
        <w:t xml:space="preserve">innate </w:t>
      </w:r>
      <w:r w:rsidR="00426578">
        <w:rPr>
          <w:rFonts w:cs="Arial"/>
          <w:szCs w:val="22"/>
        </w:rPr>
        <w:t xml:space="preserve">intelligence, but as tests of </w:t>
      </w:r>
      <w:r w:rsidR="00A615EC">
        <w:rPr>
          <w:rFonts w:cs="Arial"/>
          <w:szCs w:val="22"/>
        </w:rPr>
        <w:t xml:space="preserve">capability </w:t>
      </w:r>
      <w:r w:rsidR="00426578">
        <w:rPr>
          <w:rFonts w:cs="Arial"/>
          <w:szCs w:val="22"/>
        </w:rPr>
        <w:t xml:space="preserve">to complete </w:t>
      </w:r>
      <w:proofErr w:type="gramStart"/>
      <w:r w:rsidR="00426578">
        <w:rPr>
          <w:rFonts w:cs="Arial"/>
          <w:szCs w:val="22"/>
        </w:rPr>
        <w:t>a particular task under given conditions</w:t>
      </w:r>
      <w:proofErr w:type="gramEnd"/>
      <w:r w:rsidR="00426578">
        <w:rPr>
          <w:rFonts w:cs="Arial"/>
          <w:szCs w:val="22"/>
        </w:rPr>
        <w:t xml:space="preserve">. </w:t>
      </w:r>
    </w:p>
    <w:p w:rsidR="00F03E16" w:rsidRDefault="00F03E16" w:rsidP="005A637B">
      <w:pPr>
        <w:rPr>
          <w:rFonts w:cs="Arial"/>
          <w:szCs w:val="22"/>
        </w:rPr>
      </w:pPr>
    </w:p>
    <w:p w:rsidR="00E23894" w:rsidRDefault="007F5606" w:rsidP="005A637B">
      <w:pPr>
        <w:rPr>
          <w:rFonts w:cs="Arial"/>
          <w:szCs w:val="22"/>
        </w:rPr>
      </w:pPr>
      <w:r>
        <w:rPr>
          <w:rFonts w:cs="Arial"/>
          <w:szCs w:val="22"/>
        </w:rPr>
        <w:t xml:space="preserve">Summary statistics for the test scores used in our analyses are provided in table 1. </w:t>
      </w:r>
    </w:p>
    <w:p w:rsidR="00022278" w:rsidRDefault="00022278" w:rsidP="005A637B">
      <w:pPr>
        <w:rPr>
          <w:rFonts w:cs="Arial"/>
          <w:szCs w:val="22"/>
        </w:rPr>
      </w:pPr>
      <w:r>
        <w:rPr>
          <w:rFonts w:cs="Arial"/>
          <w:szCs w:val="22"/>
        </w:rPr>
        <w:t>TABLE 1 HERE</w:t>
      </w:r>
    </w:p>
    <w:p w:rsidR="00022278" w:rsidRDefault="00022278" w:rsidP="005A637B">
      <w:pPr>
        <w:rPr>
          <w:rFonts w:cs="Arial"/>
          <w:szCs w:val="22"/>
        </w:rPr>
      </w:pPr>
    </w:p>
    <w:p w:rsidR="005473B8" w:rsidRDefault="00917BAD" w:rsidP="00535CFE">
      <w:pPr>
        <w:rPr>
          <w:szCs w:val="22"/>
        </w:rPr>
      </w:pPr>
      <w:r w:rsidRPr="00535CFE">
        <w:rPr>
          <w:szCs w:val="22"/>
        </w:rPr>
        <w:t xml:space="preserve">We </w:t>
      </w:r>
      <w:r w:rsidR="00070D91">
        <w:rPr>
          <w:szCs w:val="22"/>
        </w:rPr>
        <w:t>aim</w:t>
      </w:r>
      <w:r w:rsidRPr="00535CFE">
        <w:rPr>
          <w:szCs w:val="22"/>
        </w:rPr>
        <w:t xml:space="preserve"> to understand the impact of parents’ social class, income and education on children’s </w:t>
      </w:r>
      <w:r w:rsidR="00430D24">
        <w:rPr>
          <w:szCs w:val="22"/>
        </w:rPr>
        <w:t>cognitive</w:t>
      </w:r>
      <w:r w:rsidRPr="00535CFE">
        <w:rPr>
          <w:szCs w:val="22"/>
        </w:rPr>
        <w:t xml:space="preserve"> scores. To what extent are these differentials driven by economic and cultural resources respectively, and to what extent are they </w:t>
      </w:r>
      <w:r w:rsidR="000312F2">
        <w:rPr>
          <w:szCs w:val="22"/>
        </w:rPr>
        <w:t>driven by aspects of parenting,</w:t>
      </w:r>
      <w:r w:rsidRPr="00535CFE">
        <w:rPr>
          <w:szCs w:val="22"/>
        </w:rPr>
        <w:t xml:space="preserve"> which in practice overlap with cultural resources in particular</w:t>
      </w:r>
      <w:r w:rsidR="004425BF">
        <w:rPr>
          <w:szCs w:val="22"/>
        </w:rPr>
        <w:t>?</w:t>
      </w:r>
      <w:r w:rsidR="004425BF" w:rsidRPr="00535CFE">
        <w:rPr>
          <w:szCs w:val="22"/>
        </w:rPr>
        <w:t xml:space="preserve"> </w:t>
      </w:r>
      <w:r w:rsidRPr="00535CFE">
        <w:rPr>
          <w:szCs w:val="22"/>
        </w:rPr>
        <w:t>We are restricted by the variables that are available in the MCS data.</w:t>
      </w:r>
      <w:r w:rsidR="00535CFE" w:rsidRPr="00535CFE">
        <w:rPr>
          <w:szCs w:val="22"/>
        </w:rPr>
        <w:t xml:space="preserve"> </w:t>
      </w:r>
      <w:r w:rsidR="0073727D">
        <w:rPr>
          <w:szCs w:val="22"/>
        </w:rPr>
        <w:t>For example</w:t>
      </w:r>
      <w:r w:rsidR="00B75A75">
        <w:rPr>
          <w:szCs w:val="22"/>
        </w:rPr>
        <w:t xml:space="preserve">, </w:t>
      </w:r>
      <w:r w:rsidR="00535CFE" w:rsidRPr="00535CFE">
        <w:rPr>
          <w:szCs w:val="22"/>
        </w:rPr>
        <w:t xml:space="preserve">taking parents’ education as a proxy for their cultural </w:t>
      </w:r>
      <w:r w:rsidR="00070D91">
        <w:rPr>
          <w:szCs w:val="22"/>
        </w:rPr>
        <w:t xml:space="preserve">and cognitive </w:t>
      </w:r>
      <w:r w:rsidR="00535CFE" w:rsidRPr="00535CFE">
        <w:rPr>
          <w:szCs w:val="22"/>
        </w:rPr>
        <w:t>resources is certainly not ideal</w:t>
      </w:r>
      <w:r w:rsidRPr="00535CFE">
        <w:rPr>
          <w:szCs w:val="22"/>
        </w:rPr>
        <w:t xml:space="preserve"> </w:t>
      </w:r>
      <w:r w:rsidR="00535CFE" w:rsidRPr="00535CFE">
        <w:rPr>
          <w:szCs w:val="22"/>
        </w:rPr>
        <w:t>(</w:t>
      </w:r>
      <w:r w:rsidR="00706DB7">
        <w:rPr>
          <w:szCs w:val="22"/>
        </w:rPr>
        <w:t>Sullivan</w:t>
      </w:r>
      <w:r w:rsidR="00535CFE" w:rsidRPr="00535CFE">
        <w:rPr>
          <w:szCs w:val="22"/>
        </w:rPr>
        <w:t xml:space="preserve"> 2001). The MCS lacks direct measures of the cultural </w:t>
      </w:r>
      <w:r w:rsidR="00070D91">
        <w:rPr>
          <w:szCs w:val="22"/>
        </w:rPr>
        <w:t xml:space="preserve">and cognitive </w:t>
      </w:r>
      <w:r w:rsidR="00535CFE" w:rsidRPr="00535CFE">
        <w:rPr>
          <w:szCs w:val="22"/>
        </w:rPr>
        <w:t>resour</w:t>
      </w:r>
      <w:r w:rsidR="00D01FA9">
        <w:rPr>
          <w:szCs w:val="22"/>
        </w:rPr>
        <w:t>ces of parents, such as parents’ own</w:t>
      </w:r>
      <w:r w:rsidR="00535CFE" w:rsidRPr="00535CFE">
        <w:rPr>
          <w:szCs w:val="22"/>
        </w:rPr>
        <w:t xml:space="preserve"> reading behaviour. It does however contain measures of parental fostering of children’s cultural capital, through reading to the child, taking the child to the library, etc. </w:t>
      </w:r>
      <w:r w:rsidR="005473B8">
        <w:rPr>
          <w:szCs w:val="22"/>
        </w:rPr>
        <w:t xml:space="preserve">We have included a </w:t>
      </w:r>
      <w:r w:rsidR="005473B8">
        <w:rPr>
          <w:szCs w:val="22"/>
        </w:rPr>
        <w:lastRenderedPageBreak/>
        <w:t>substantial set of measures of social resources and parental behaviours. Our aim is not to provide the most parsimonious model possible, but t</w:t>
      </w:r>
      <w:r w:rsidR="00350688">
        <w:rPr>
          <w:szCs w:val="22"/>
        </w:rPr>
        <w:t>o provide a test of whether the social background estimates are robust, even in a very full model</w:t>
      </w:r>
      <w:r w:rsidR="005473B8">
        <w:rPr>
          <w:szCs w:val="22"/>
        </w:rPr>
        <w:t>.</w:t>
      </w:r>
    </w:p>
    <w:p w:rsidR="00D91CDD" w:rsidRDefault="00D91CDD" w:rsidP="00535CFE">
      <w:pPr>
        <w:rPr>
          <w:szCs w:val="22"/>
        </w:rPr>
      </w:pPr>
    </w:p>
    <w:p w:rsidR="00B75A75" w:rsidRDefault="00D91CDD" w:rsidP="00535CFE">
      <w:r>
        <w:rPr>
          <w:szCs w:val="22"/>
        </w:rPr>
        <w:t>We present a series of linear regression models.</w:t>
      </w:r>
      <w:r w:rsidR="003A202D">
        <w:rPr>
          <w:szCs w:val="22"/>
        </w:rPr>
        <w:t xml:space="preserve"> </w:t>
      </w:r>
      <w:r w:rsidR="00070D91">
        <w:rPr>
          <w:szCs w:val="22"/>
        </w:rPr>
        <w:t>E</w:t>
      </w:r>
      <w:r w:rsidR="003A202D">
        <w:rPr>
          <w:szCs w:val="22"/>
        </w:rPr>
        <w:t>xplanatory variables are captured in the first three waves of the study.</w:t>
      </w:r>
      <w:r w:rsidR="00B22275">
        <w:rPr>
          <w:szCs w:val="22"/>
        </w:rPr>
        <w:t xml:space="preserve"> We </w:t>
      </w:r>
      <w:r w:rsidR="00741060">
        <w:rPr>
          <w:szCs w:val="22"/>
        </w:rPr>
        <w:t xml:space="preserve">include cases with </w:t>
      </w:r>
      <w:r w:rsidR="00B22275">
        <w:rPr>
          <w:szCs w:val="22"/>
        </w:rPr>
        <w:t xml:space="preserve">missing values </w:t>
      </w:r>
      <w:r w:rsidR="00D02262">
        <w:rPr>
          <w:szCs w:val="22"/>
        </w:rPr>
        <w:t xml:space="preserve">on the </w:t>
      </w:r>
      <w:proofErr w:type="spellStart"/>
      <w:r w:rsidR="00D02262">
        <w:rPr>
          <w:szCs w:val="22"/>
        </w:rPr>
        <w:t>regressors</w:t>
      </w:r>
      <w:proofErr w:type="spellEnd"/>
      <w:r w:rsidR="00D02262">
        <w:rPr>
          <w:szCs w:val="22"/>
        </w:rPr>
        <w:t xml:space="preserve"> </w:t>
      </w:r>
      <w:r w:rsidR="00B22275">
        <w:rPr>
          <w:szCs w:val="22"/>
        </w:rPr>
        <w:t>as far as possible. Where appropriate, missing values at a given wave are imputed from the value at an earlier wave</w:t>
      </w:r>
      <w:r w:rsidR="00741060">
        <w:rPr>
          <w:szCs w:val="22"/>
        </w:rPr>
        <w:t>,</w:t>
      </w:r>
      <w:r w:rsidR="00E355DA">
        <w:rPr>
          <w:szCs w:val="22"/>
        </w:rPr>
        <w:t xml:space="preserve"> </w:t>
      </w:r>
      <w:r w:rsidR="00D02262">
        <w:t xml:space="preserve">otherwise missing values are treated as a residual category, though their coefficients, generally insignificant, are not displayed. </w:t>
      </w:r>
    </w:p>
    <w:p w:rsidR="00E62A2D" w:rsidRDefault="00E62A2D" w:rsidP="00535CFE"/>
    <w:p w:rsidR="00E62A2D" w:rsidRDefault="00E62A2D" w:rsidP="00E62A2D">
      <w:pPr>
        <w:rPr>
          <w:rFonts w:cs="Arial"/>
          <w:szCs w:val="22"/>
        </w:rPr>
      </w:pPr>
      <w:r>
        <w:rPr>
          <w:rFonts w:cs="Arial"/>
          <w:szCs w:val="22"/>
        </w:rPr>
        <w:t xml:space="preserve">When reporting effect sizes, we take the view that it is essential to ground these meaningfully. As such we reject the practice of using standardized coefficients and reporting their size as small, medium or large according to a set of thresholds </w:t>
      </w:r>
      <w:r w:rsidR="00C16BF1">
        <w:rPr>
          <w:rFonts w:cs="Arial"/>
          <w:szCs w:val="22"/>
        </w:rPr>
        <w:fldChar w:fldCharType="begin"/>
      </w:r>
      <w:r w:rsidR="0005386F">
        <w:rPr>
          <w:rFonts w:cs="Arial"/>
          <w:szCs w:val="22"/>
        </w:rPr>
        <w:instrText xml:space="preserve"> ADDIN EN.CITE &lt;EndNote&gt;&lt;Cite&gt;&lt;Author&gt;Cohen&lt;/Author&gt;&lt;Year&gt;1988&lt;/Year&gt;&lt;RecNum&gt;1245&lt;/RecNum&gt;&lt;record&gt;&lt;rec-number&gt;1245&lt;/rec-number&gt;&lt;foreign-keys&gt;&lt;key app="EN" db-id="aeretdtfgatxzketrem5pp9n9d2vvexz5rvr"&gt;1245&lt;/key&gt;&lt;/foreign-keys&gt;&lt;ref-type name="Book"&gt;6&lt;/ref-type&gt;&lt;contributors&gt;&lt;authors&gt;&lt;author&gt;Cohen, J.&lt;/author&gt;&lt;/authors&gt;&lt;/contributors&gt;&lt;titles&gt;&lt;title&gt;Statistical Power Analysis for the Behavioural Sciences&lt;/title&gt;&lt;/titles&gt;&lt;edition&gt;2nd&lt;/edition&gt;&lt;dates&gt;&lt;year&gt;1988&lt;/year&gt;&lt;/dates&gt;&lt;pub-location&gt;Hillsdale NJ&lt;/pub-location&gt;&lt;publisher&gt;Lawrence Erlbaum&lt;/publisher&gt;&lt;urls&gt;&lt;/urls&gt;&lt;/record&gt;&lt;/Cite&gt;&lt;/EndNote&gt;</w:instrText>
      </w:r>
      <w:r w:rsidR="00C16BF1">
        <w:rPr>
          <w:rFonts w:cs="Arial"/>
          <w:szCs w:val="22"/>
        </w:rPr>
        <w:fldChar w:fldCharType="separate"/>
      </w:r>
      <w:r>
        <w:rPr>
          <w:rFonts w:cs="Arial"/>
          <w:szCs w:val="22"/>
        </w:rPr>
        <w:t>(Cohen 1988)</w:t>
      </w:r>
      <w:r w:rsidR="00C16BF1">
        <w:rPr>
          <w:rFonts w:cs="Arial"/>
          <w:szCs w:val="22"/>
        </w:rPr>
        <w:fldChar w:fldCharType="end"/>
      </w:r>
      <w:r>
        <w:rPr>
          <w:rFonts w:cs="Arial"/>
          <w:szCs w:val="22"/>
        </w:rPr>
        <w:t xml:space="preserve">. Such thresholds are arbitrary, and hinder the researcher from thinking about what the results actually mean </w:t>
      </w:r>
      <w:r w:rsidR="00C16BF1">
        <w:rPr>
          <w:rFonts w:cs="Arial"/>
          <w:szCs w:val="22"/>
        </w:rPr>
        <w:fldChar w:fldCharType="begin"/>
      </w:r>
      <w:r w:rsidR="0005386F">
        <w:rPr>
          <w:rFonts w:cs="Arial"/>
          <w:szCs w:val="22"/>
        </w:rPr>
        <w:instrText xml:space="preserve"> ADDIN EN.CITE &lt;EndNote&gt;&lt;Cite&gt;&lt;Author&gt;Glass&lt;/Author&gt;&lt;Year&gt;1981&lt;/Year&gt;&lt;RecNum&gt;1246&lt;/RecNum&gt;&lt;record&gt;&lt;rec-number&gt;1246&lt;/rec-number&gt;&lt;foreign-keys&gt;&lt;key app="EN" db-id="aeretdtfgatxzketrem5pp9n9d2vvexz5rvr"&gt;1246&lt;/key&gt;&lt;/foreign-keys&gt;&lt;ref-type name="Book"&gt;6&lt;/ref-type&gt;&lt;contributors&gt;&lt;authors&gt;&lt;author&gt;Glass, D.V.&lt;/author&gt;&lt;author&gt;McGaw, B&lt;/author&gt;&lt;author&gt;Smith, M.L.&lt;/author&gt;&lt;/authors&gt;&lt;/contributors&gt;&lt;titles&gt;&lt;title&gt;Meta-analysis in social research&lt;/title&gt;&lt;/titles&gt;&lt;dates&gt;&lt;year&gt;1981&lt;/year&gt;&lt;/dates&gt;&lt;pub-location&gt;Beverly Hills, CA&lt;/pub-location&gt;&lt;publisher&gt;Sage&lt;/publisher&gt;&lt;urls&gt;&lt;/urls&gt;&lt;/record&gt;&lt;/Cite&gt;&lt;Cite&gt;&lt;Author&gt;Ellis&lt;/Author&gt;&lt;Year&gt;2010&lt;/Year&gt;&lt;RecNum&gt;1247&lt;/RecNum&gt;&lt;record&gt;&lt;rec-number&gt;1247&lt;/rec-number&gt;&lt;foreign-keys&gt;&lt;key app="EN" db-id="aeretdtfgatxzketrem5pp9n9d2vvexz5rvr"&gt;1247&lt;/key&gt;&lt;/foreign-keys&gt;&lt;ref-type name="Book"&gt;6&lt;/ref-type&gt;&lt;contributors&gt;&lt;authors&gt;&lt;author&gt;Ellis, P.D.&lt;/author&gt;&lt;/authors&gt;&lt;/contributors&gt;&lt;titles&gt;&lt;title&gt;The essential guide to effect sizes&lt;/title&gt;&lt;/titles&gt;&lt;dates&gt;&lt;year&gt;2010&lt;/year&gt;&lt;/dates&gt;&lt;pub-location&gt;Cambridge University Press&lt;/pub-location&gt;&lt;publisher&gt;Cambridge&lt;/publisher&gt;&lt;urls&gt;&lt;/urls&gt;&lt;/record&gt;&lt;/Cite&gt;&lt;/EndNote&gt;</w:instrText>
      </w:r>
      <w:r w:rsidR="00C16BF1">
        <w:rPr>
          <w:rFonts w:cs="Arial"/>
          <w:szCs w:val="22"/>
        </w:rPr>
        <w:fldChar w:fldCharType="separate"/>
      </w:r>
      <w:r>
        <w:rPr>
          <w:rFonts w:cs="Arial"/>
          <w:szCs w:val="22"/>
        </w:rPr>
        <w:t>(Ellis 2010; Glass, et al. 1981)</w:t>
      </w:r>
      <w:r w:rsidR="00C16BF1">
        <w:rPr>
          <w:rFonts w:cs="Arial"/>
          <w:szCs w:val="22"/>
        </w:rPr>
        <w:fldChar w:fldCharType="end"/>
      </w:r>
      <w:r>
        <w:rPr>
          <w:rFonts w:cs="Arial"/>
          <w:szCs w:val="22"/>
        </w:rPr>
        <w:t>. We include the child’s age in months in the model, which allows us to compare the size of our coefficients with the difference associated with one additional month in age, holding constant everything else in that particular model.</w:t>
      </w:r>
    </w:p>
    <w:p w:rsidR="00741060" w:rsidRDefault="00741060" w:rsidP="00535CFE">
      <w:pPr>
        <w:rPr>
          <w:szCs w:val="22"/>
        </w:rPr>
      </w:pPr>
    </w:p>
    <w:p w:rsidR="00F2710F" w:rsidRPr="00E62A2D" w:rsidRDefault="00F2710F" w:rsidP="00535CFE">
      <w:pPr>
        <w:rPr>
          <w:b/>
          <w:szCs w:val="22"/>
        </w:rPr>
      </w:pPr>
      <w:r w:rsidRPr="00E62A2D">
        <w:rPr>
          <w:b/>
          <w:szCs w:val="22"/>
        </w:rPr>
        <w:t>Explanatory Variables</w:t>
      </w:r>
    </w:p>
    <w:p w:rsidR="003408C1" w:rsidRDefault="003408C1" w:rsidP="009637E9">
      <w:pPr>
        <w:rPr>
          <w:rFonts w:cs="Arial"/>
          <w:szCs w:val="22"/>
        </w:rPr>
      </w:pPr>
      <w:r>
        <w:rPr>
          <w:rFonts w:cs="Arial"/>
          <w:szCs w:val="22"/>
        </w:rPr>
        <w:t xml:space="preserve">Model 1: </w:t>
      </w:r>
      <w:r w:rsidR="00F377D1">
        <w:rPr>
          <w:rFonts w:cs="Arial"/>
          <w:szCs w:val="22"/>
        </w:rPr>
        <w:t xml:space="preserve">Social </w:t>
      </w:r>
      <w:r w:rsidR="0073727D">
        <w:rPr>
          <w:rFonts w:cs="Arial"/>
          <w:szCs w:val="22"/>
        </w:rPr>
        <w:t>class and ascribed characteristics</w:t>
      </w:r>
    </w:p>
    <w:p w:rsidR="00F377D1" w:rsidRPr="0043251F" w:rsidRDefault="003408C1" w:rsidP="00F377D1">
      <w:pPr>
        <w:pStyle w:val="ListParagraph"/>
        <w:numPr>
          <w:ilvl w:val="0"/>
          <w:numId w:val="4"/>
        </w:numPr>
        <w:spacing w:line="264" w:lineRule="auto"/>
      </w:pPr>
      <w:r w:rsidRPr="0043251F">
        <w:t xml:space="preserve">Social class </w:t>
      </w:r>
      <w:r w:rsidR="00F377D1" w:rsidRPr="0043251F">
        <w:t xml:space="preserve">based on the NS-SEC categorisation, which groups occupations according to their employment relations and conditions </w:t>
      </w:r>
      <w:r w:rsidR="00C16BF1" w:rsidRPr="0043251F">
        <w:fldChar w:fldCharType="begin"/>
      </w:r>
      <w:r w:rsidR="0005386F">
        <w:instrText xml:space="preserve"> ADDIN EN.CITE &lt;EndNote&gt;&lt;Cite&gt;&lt;Author&gt;Goldthorpe&lt;/Author&gt;&lt;Year&gt;1997&lt;/Year&gt;&lt;RecNum&gt;1258&lt;/RecNum&gt;&lt;record&gt;&lt;rec-number&gt;1258&lt;/rec-number&gt;&lt;foreign-keys&gt;&lt;key app="EN" db-id="aeretdtfgatxzketrem5pp9n9d2vvexz5rvr"&gt;1258&lt;/key&gt;&lt;/foreign-keys&gt;&lt;ref-type name="Book Section"&gt;5&lt;/ref-type&gt;&lt;contributors&gt;&lt;authors&gt;&lt;author&gt;Goldthorpe, J.H.&lt;/author&gt;&lt;/authors&gt;&lt;secondary-authors&gt;&lt;author&gt;Rose, D.&lt;/author&gt;&lt;author&gt;O&amp;apos;Reilly, K.&lt;/author&gt;&lt;/secondary-authors&gt;&lt;/contributors&gt;&lt;titles&gt;&lt;title&gt;The &amp;apos;Goldthorpe&amp;apos; class schema: some observations on conceptual and operational&lt;/title&gt;&lt;secondary-title&gt;Constructing Classes: Towards a new social classification for the UK&lt;/secondary-title&gt;&lt;/titles&gt;&lt;dates&gt;&lt;year&gt;1997&lt;/year&gt;&lt;/dates&gt;&lt;pub-location&gt;Swindon&lt;/pub-location&gt;&lt;publisher&gt;ESRC/ONS&lt;/publisher&gt;&lt;urls&gt;&lt;/urls&gt;&lt;/record&gt;&lt;/Cite&gt;&lt;/EndNote&gt;</w:instrText>
      </w:r>
      <w:r w:rsidR="00C16BF1" w:rsidRPr="0043251F">
        <w:fldChar w:fldCharType="separate"/>
      </w:r>
      <w:r w:rsidR="00F357B0" w:rsidRPr="0043251F">
        <w:t>(Goldthorpe 1997)</w:t>
      </w:r>
      <w:r w:rsidR="00C16BF1" w:rsidRPr="0043251F">
        <w:fldChar w:fldCharType="end"/>
      </w:r>
      <w:r w:rsidR="00F357B0" w:rsidRPr="0043251F">
        <w:t xml:space="preserve">. </w:t>
      </w:r>
      <w:r w:rsidR="006A6FD2" w:rsidRPr="0043251F">
        <w:t xml:space="preserve">The most recent job is used where there is no current job. </w:t>
      </w:r>
      <w:r w:rsidR="006C6A35" w:rsidRPr="0043251F">
        <w:t xml:space="preserve">We adopt the approach of using the highest ranked of the mother’s and father’s </w:t>
      </w:r>
      <w:r w:rsidR="004425BF" w:rsidRPr="0043251F">
        <w:t xml:space="preserve">most recent </w:t>
      </w:r>
      <w:r w:rsidR="00412B06" w:rsidRPr="0043251F">
        <w:t xml:space="preserve">occupation </w:t>
      </w:r>
      <w:r w:rsidR="004425BF" w:rsidRPr="0043251F">
        <w:t xml:space="preserve">reported </w:t>
      </w:r>
      <w:r w:rsidR="00412B06" w:rsidRPr="0043251F">
        <w:t>across the first two waves of the study, treating missing values</w:t>
      </w:r>
      <w:r w:rsidR="005E0306" w:rsidRPr="0043251F">
        <w:t>,</w:t>
      </w:r>
      <w:r w:rsidR="00E53F52" w:rsidRPr="0043251F">
        <w:t xml:space="preserve"> </w:t>
      </w:r>
      <w:r w:rsidR="005E0306" w:rsidRPr="0043251F">
        <w:t>and those who have never had an occupation</w:t>
      </w:r>
      <w:r w:rsidR="00412B06" w:rsidRPr="0043251F">
        <w:t xml:space="preserve"> as a separate category.</w:t>
      </w:r>
    </w:p>
    <w:p w:rsidR="00F377D1" w:rsidRDefault="00D15F2D" w:rsidP="003408C1">
      <w:pPr>
        <w:pStyle w:val="ListParagraph"/>
        <w:numPr>
          <w:ilvl w:val="0"/>
          <w:numId w:val="2"/>
        </w:numPr>
        <w:rPr>
          <w:rFonts w:cs="Arial"/>
          <w:szCs w:val="22"/>
        </w:rPr>
      </w:pPr>
      <w:r>
        <w:rPr>
          <w:rFonts w:cs="Arial"/>
          <w:szCs w:val="22"/>
        </w:rPr>
        <w:t>Child’s gender</w:t>
      </w:r>
    </w:p>
    <w:p w:rsidR="0073727D" w:rsidRPr="006C6A35" w:rsidRDefault="00957C85" w:rsidP="003408C1">
      <w:pPr>
        <w:pStyle w:val="ListParagraph"/>
        <w:numPr>
          <w:ilvl w:val="0"/>
          <w:numId w:val="2"/>
        </w:numPr>
        <w:rPr>
          <w:rFonts w:cs="Arial"/>
          <w:szCs w:val="22"/>
        </w:rPr>
      </w:pPr>
      <w:r w:rsidRPr="006C6A35">
        <w:rPr>
          <w:rFonts w:cs="Arial"/>
          <w:szCs w:val="22"/>
        </w:rPr>
        <w:t>Child’s e</w:t>
      </w:r>
      <w:r w:rsidR="006C6A35">
        <w:rPr>
          <w:rFonts w:cs="Arial"/>
          <w:szCs w:val="22"/>
        </w:rPr>
        <w:t>thnic g</w:t>
      </w:r>
      <w:r w:rsidR="00F377D1" w:rsidRPr="006C6A35">
        <w:rPr>
          <w:rFonts w:cs="Arial"/>
          <w:szCs w:val="22"/>
        </w:rPr>
        <w:t>roup</w:t>
      </w:r>
    </w:p>
    <w:p w:rsidR="00E32F74" w:rsidRDefault="00E32F74" w:rsidP="003408C1">
      <w:pPr>
        <w:pStyle w:val="ListParagraph"/>
        <w:numPr>
          <w:ilvl w:val="0"/>
          <w:numId w:val="2"/>
        </w:numPr>
        <w:rPr>
          <w:rFonts w:cs="Arial"/>
          <w:szCs w:val="22"/>
        </w:rPr>
      </w:pPr>
      <w:r w:rsidRPr="006C6A35">
        <w:rPr>
          <w:rFonts w:cs="Arial"/>
          <w:szCs w:val="22"/>
        </w:rPr>
        <w:t xml:space="preserve">Child’s age </w:t>
      </w:r>
      <w:r w:rsidR="009009BF">
        <w:rPr>
          <w:rFonts w:cs="Arial"/>
          <w:szCs w:val="22"/>
        </w:rPr>
        <w:t xml:space="preserve">in months </w:t>
      </w:r>
      <w:r w:rsidRPr="006C6A35">
        <w:rPr>
          <w:rFonts w:cs="Arial"/>
          <w:szCs w:val="22"/>
        </w:rPr>
        <w:t>when tested</w:t>
      </w:r>
      <w:r w:rsidR="00FB37B6">
        <w:rPr>
          <w:rFonts w:cs="Arial"/>
          <w:szCs w:val="22"/>
        </w:rPr>
        <w:t xml:space="preserve">, </w:t>
      </w:r>
      <w:r w:rsidR="009009BF">
        <w:rPr>
          <w:rFonts w:cs="Arial"/>
          <w:szCs w:val="22"/>
        </w:rPr>
        <w:t>as</w:t>
      </w:r>
      <w:r w:rsidR="00FB37B6">
        <w:rPr>
          <w:rFonts w:cs="Arial"/>
          <w:szCs w:val="22"/>
        </w:rPr>
        <w:t xml:space="preserve"> there was some variation</w:t>
      </w:r>
      <w:r w:rsidR="00E53F52">
        <w:rPr>
          <w:rFonts w:cs="Arial"/>
          <w:szCs w:val="22"/>
        </w:rPr>
        <w:t xml:space="preserve"> (SD= 2.9 around a mean of </w:t>
      </w:r>
      <w:r w:rsidR="00FB37B6">
        <w:rPr>
          <w:rFonts w:cs="Arial"/>
          <w:szCs w:val="22"/>
        </w:rPr>
        <w:t>87 months</w:t>
      </w:r>
      <w:r w:rsidR="00E53F52">
        <w:rPr>
          <w:rFonts w:cs="Arial"/>
          <w:szCs w:val="22"/>
        </w:rPr>
        <w:t>).</w:t>
      </w:r>
    </w:p>
    <w:p w:rsidR="009F1F0D" w:rsidRDefault="0073727D" w:rsidP="003408C1">
      <w:pPr>
        <w:pStyle w:val="ListParagraph"/>
        <w:numPr>
          <w:ilvl w:val="0"/>
          <w:numId w:val="2"/>
        </w:numPr>
        <w:rPr>
          <w:rFonts w:cs="Arial"/>
          <w:szCs w:val="22"/>
        </w:rPr>
      </w:pPr>
      <w:r>
        <w:rPr>
          <w:rFonts w:cs="Arial"/>
          <w:szCs w:val="22"/>
        </w:rPr>
        <w:t>UK Country</w:t>
      </w:r>
      <w:r w:rsidR="00B22275">
        <w:rPr>
          <w:rFonts w:cs="Arial"/>
          <w:szCs w:val="22"/>
        </w:rPr>
        <w:t xml:space="preserve"> at wave 2</w:t>
      </w:r>
    </w:p>
    <w:p w:rsidR="00F377D1" w:rsidRDefault="00F377D1" w:rsidP="00F377D1">
      <w:pPr>
        <w:rPr>
          <w:rFonts w:cs="Arial"/>
          <w:szCs w:val="22"/>
        </w:rPr>
      </w:pPr>
    </w:p>
    <w:p w:rsidR="009F1F0D" w:rsidRDefault="009F1F0D" w:rsidP="00F377D1">
      <w:pPr>
        <w:rPr>
          <w:rFonts w:cs="Arial"/>
          <w:szCs w:val="22"/>
        </w:rPr>
      </w:pPr>
      <w:r>
        <w:rPr>
          <w:rFonts w:cs="Arial"/>
          <w:szCs w:val="22"/>
        </w:rPr>
        <w:t>Model 2: Model 1 +</w:t>
      </w:r>
      <w:r w:rsidR="0073727D">
        <w:rPr>
          <w:rFonts w:cs="Arial"/>
          <w:szCs w:val="22"/>
        </w:rPr>
        <w:t xml:space="preserve"> </w:t>
      </w:r>
      <w:r w:rsidR="0034385C">
        <w:rPr>
          <w:rFonts w:cs="Arial"/>
          <w:szCs w:val="22"/>
        </w:rPr>
        <w:t>Income</w:t>
      </w:r>
      <w:r w:rsidR="0073727D">
        <w:rPr>
          <w:rFonts w:cs="Arial"/>
          <w:szCs w:val="22"/>
        </w:rPr>
        <w:t xml:space="preserve"> and Education</w:t>
      </w:r>
    </w:p>
    <w:p w:rsidR="003A202D" w:rsidRDefault="00261E64" w:rsidP="0073727D">
      <w:pPr>
        <w:pStyle w:val="ListParagraph"/>
        <w:numPr>
          <w:ilvl w:val="0"/>
          <w:numId w:val="7"/>
        </w:numPr>
        <w:rPr>
          <w:rFonts w:cs="Arial"/>
          <w:szCs w:val="22"/>
        </w:rPr>
      </w:pPr>
      <w:r>
        <w:rPr>
          <w:rFonts w:cs="Arial"/>
          <w:szCs w:val="22"/>
        </w:rPr>
        <w:t>Family</w:t>
      </w:r>
      <w:r w:rsidRPr="003A202D">
        <w:rPr>
          <w:rFonts w:cs="Arial"/>
          <w:szCs w:val="22"/>
        </w:rPr>
        <w:t xml:space="preserve"> </w:t>
      </w:r>
      <w:r w:rsidR="0073727D" w:rsidRPr="003A202D">
        <w:rPr>
          <w:rFonts w:cs="Arial"/>
          <w:szCs w:val="22"/>
        </w:rPr>
        <w:t>income</w:t>
      </w:r>
      <w:r w:rsidR="009F4B4F">
        <w:rPr>
          <w:rFonts w:cs="Arial"/>
          <w:szCs w:val="22"/>
        </w:rPr>
        <w:t xml:space="preserve"> at </w:t>
      </w:r>
      <w:r w:rsidR="005E0306">
        <w:rPr>
          <w:rFonts w:cs="Arial"/>
          <w:szCs w:val="22"/>
        </w:rPr>
        <w:t xml:space="preserve">sweep </w:t>
      </w:r>
      <w:r w:rsidR="009F4B4F">
        <w:rPr>
          <w:rFonts w:cs="Arial"/>
          <w:szCs w:val="22"/>
        </w:rPr>
        <w:t>2</w:t>
      </w:r>
      <w:r w:rsidR="006C6A35" w:rsidRPr="003A202D">
        <w:rPr>
          <w:rFonts w:cs="Arial"/>
          <w:szCs w:val="22"/>
        </w:rPr>
        <w:t>: grouped in quintiles</w:t>
      </w:r>
      <w:r w:rsidR="00585AD3" w:rsidRPr="003A202D">
        <w:rPr>
          <w:rFonts w:cs="Arial"/>
          <w:szCs w:val="22"/>
        </w:rPr>
        <w:t xml:space="preserve">. </w:t>
      </w:r>
      <w:r w:rsidR="003A202D">
        <w:rPr>
          <w:rFonts w:cs="Arial"/>
          <w:szCs w:val="22"/>
        </w:rPr>
        <w:t>Quintiles are defined by the M</w:t>
      </w:r>
      <w:r w:rsidR="000312F2">
        <w:rPr>
          <w:rFonts w:cs="Arial"/>
          <w:szCs w:val="22"/>
        </w:rPr>
        <w:t>CS2</w:t>
      </w:r>
      <w:r w:rsidR="003A202D">
        <w:rPr>
          <w:rFonts w:cs="Arial"/>
          <w:szCs w:val="22"/>
        </w:rPr>
        <w:t xml:space="preserve"> income distribution. The top income quintile had a weekly household income of </w:t>
      </w:r>
      <w:r w:rsidR="004C57F3">
        <w:rPr>
          <w:rFonts w:cs="Arial"/>
          <w:szCs w:val="22"/>
        </w:rPr>
        <w:t xml:space="preserve">at least </w:t>
      </w:r>
      <w:r w:rsidR="003A202D">
        <w:rPr>
          <w:rFonts w:cs="Arial"/>
          <w:szCs w:val="22"/>
        </w:rPr>
        <w:t xml:space="preserve">£691, net of tax. The bottom quintile </w:t>
      </w:r>
      <w:r w:rsidR="004C57F3">
        <w:rPr>
          <w:rFonts w:cs="Arial"/>
          <w:szCs w:val="22"/>
        </w:rPr>
        <w:t xml:space="preserve">received </w:t>
      </w:r>
      <w:r w:rsidR="003A202D">
        <w:rPr>
          <w:rFonts w:cs="Arial"/>
          <w:szCs w:val="22"/>
        </w:rPr>
        <w:t>up to £193 weekly.</w:t>
      </w:r>
      <w:r>
        <w:rPr>
          <w:rFonts w:cs="Arial"/>
          <w:szCs w:val="22"/>
        </w:rPr>
        <w:t xml:space="preserve"> Our income variable is not adjusted for family composition, as family composition variables are included in the analysis. </w:t>
      </w:r>
    </w:p>
    <w:p w:rsidR="0073727D" w:rsidRPr="003A202D" w:rsidRDefault="006C6A35" w:rsidP="0073727D">
      <w:pPr>
        <w:pStyle w:val="ListParagraph"/>
        <w:numPr>
          <w:ilvl w:val="0"/>
          <w:numId w:val="7"/>
        </w:numPr>
        <w:rPr>
          <w:rFonts w:cs="Arial"/>
          <w:szCs w:val="22"/>
        </w:rPr>
      </w:pPr>
      <w:r w:rsidRPr="003A202D">
        <w:rPr>
          <w:rFonts w:cs="Arial"/>
          <w:szCs w:val="22"/>
        </w:rPr>
        <w:t>Educational level: the highest academic qualification of either parent</w:t>
      </w:r>
      <w:r w:rsidR="00412B06">
        <w:rPr>
          <w:rFonts w:cs="Arial"/>
          <w:szCs w:val="22"/>
        </w:rPr>
        <w:t xml:space="preserve"> across the first two </w:t>
      </w:r>
      <w:r w:rsidR="005E0306">
        <w:rPr>
          <w:rFonts w:cs="Arial"/>
          <w:szCs w:val="22"/>
        </w:rPr>
        <w:t xml:space="preserve">sweeps </w:t>
      </w:r>
      <w:r w:rsidR="00412B06">
        <w:rPr>
          <w:rFonts w:cs="Arial"/>
          <w:szCs w:val="22"/>
        </w:rPr>
        <w:t>of the study</w:t>
      </w:r>
      <w:r w:rsidRPr="003A202D">
        <w:rPr>
          <w:rFonts w:cs="Arial"/>
          <w:szCs w:val="22"/>
        </w:rPr>
        <w:t>.</w:t>
      </w:r>
      <w:r w:rsidR="003611C7" w:rsidRPr="003A202D">
        <w:rPr>
          <w:rFonts w:cs="Arial"/>
          <w:szCs w:val="22"/>
        </w:rPr>
        <w:t xml:space="preserve"> In our initial </w:t>
      </w:r>
      <w:r w:rsidR="00F357B0">
        <w:rPr>
          <w:rFonts w:cs="Arial"/>
          <w:szCs w:val="22"/>
        </w:rPr>
        <w:t>analyses</w:t>
      </w:r>
      <w:r w:rsidR="003611C7" w:rsidRPr="003A202D">
        <w:rPr>
          <w:rFonts w:cs="Arial"/>
          <w:szCs w:val="22"/>
        </w:rPr>
        <w:t>, we used the standard derived variable deposited with the dataset, which treats vocational and academic qualifications as N</w:t>
      </w:r>
      <w:r w:rsidR="00AF1F9F">
        <w:rPr>
          <w:rFonts w:cs="Arial"/>
          <w:szCs w:val="22"/>
        </w:rPr>
        <w:t xml:space="preserve">ational </w:t>
      </w:r>
      <w:r w:rsidR="003611C7" w:rsidRPr="003A202D">
        <w:rPr>
          <w:rFonts w:cs="Arial"/>
          <w:szCs w:val="22"/>
        </w:rPr>
        <w:t>V</w:t>
      </w:r>
      <w:r w:rsidR="00AF1F9F">
        <w:rPr>
          <w:rFonts w:cs="Arial"/>
          <w:szCs w:val="22"/>
        </w:rPr>
        <w:t xml:space="preserve">ocational </w:t>
      </w:r>
      <w:r w:rsidR="003611C7" w:rsidRPr="003A202D">
        <w:rPr>
          <w:rFonts w:cs="Arial"/>
          <w:szCs w:val="22"/>
        </w:rPr>
        <w:t>Q</w:t>
      </w:r>
      <w:r w:rsidR="00AF1F9F">
        <w:rPr>
          <w:rFonts w:cs="Arial"/>
          <w:szCs w:val="22"/>
        </w:rPr>
        <w:t>ualification (NVQ)</w:t>
      </w:r>
      <w:r w:rsidR="003611C7" w:rsidRPr="003A202D">
        <w:rPr>
          <w:rFonts w:cs="Arial"/>
          <w:szCs w:val="22"/>
        </w:rPr>
        <w:t xml:space="preserve"> equivalents. However, we found that this </w:t>
      </w:r>
      <w:r w:rsidR="003611C7" w:rsidRPr="003A202D">
        <w:rPr>
          <w:rFonts w:cs="Arial"/>
          <w:szCs w:val="22"/>
        </w:rPr>
        <w:lastRenderedPageBreak/>
        <w:t>variable was substantially less predictive of child outcomes that a variable giving precedence to academic qualifications</w:t>
      </w:r>
      <w:r w:rsidR="002E4485" w:rsidRPr="003A202D">
        <w:rPr>
          <w:rFonts w:cs="Arial"/>
          <w:szCs w:val="22"/>
        </w:rPr>
        <w:t>, so we changed our approach</w:t>
      </w:r>
      <w:r w:rsidR="00572B18" w:rsidRPr="003A202D">
        <w:rPr>
          <w:rFonts w:cs="Arial"/>
          <w:szCs w:val="22"/>
        </w:rPr>
        <w:t xml:space="preserve"> accordingly</w:t>
      </w:r>
      <w:r w:rsidR="002E4485" w:rsidRPr="003A202D">
        <w:rPr>
          <w:rFonts w:cs="Arial"/>
          <w:szCs w:val="22"/>
        </w:rPr>
        <w:t>.</w:t>
      </w:r>
    </w:p>
    <w:p w:rsidR="0073727D" w:rsidRDefault="0073727D" w:rsidP="0073727D">
      <w:pPr>
        <w:rPr>
          <w:rFonts w:cs="Arial"/>
          <w:szCs w:val="22"/>
        </w:rPr>
      </w:pPr>
    </w:p>
    <w:p w:rsidR="0073727D" w:rsidRPr="0073727D" w:rsidRDefault="0043251F" w:rsidP="0073727D">
      <w:pPr>
        <w:rPr>
          <w:rFonts w:cs="Arial"/>
          <w:szCs w:val="22"/>
        </w:rPr>
      </w:pPr>
      <w:r>
        <w:rPr>
          <w:rFonts w:cs="Arial"/>
          <w:szCs w:val="22"/>
        </w:rPr>
        <w:t>Model 3: Model 2+ S</w:t>
      </w:r>
      <w:r w:rsidR="0073727D">
        <w:rPr>
          <w:rFonts w:cs="Arial"/>
          <w:szCs w:val="22"/>
        </w:rPr>
        <w:t>ocial resources</w:t>
      </w:r>
    </w:p>
    <w:p w:rsidR="009F1F0D" w:rsidRPr="00F377D1" w:rsidRDefault="009F1F0D" w:rsidP="00F377D1">
      <w:pPr>
        <w:rPr>
          <w:rFonts w:cs="Arial"/>
          <w:szCs w:val="22"/>
        </w:rPr>
      </w:pPr>
    </w:p>
    <w:p w:rsidR="009637E9" w:rsidRDefault="009F1F0D" w:rsidP="009F1F0D">
      <w:pPr>
        <w:pStyle w:val="ListParagraph"/>
        <w:numPr>
          <w:ilvl w:val="0"/>
          <w:numId w:val="5"/>
        </w:numPr>
        <w:rPr>
          <w:rFonts w:cs="Arial"/>
          <w:szCs w:val="22"/>
        </w:rPr>
      </w:pPr>
      <w:r>
        <w:rPr>
          <w:rFonts w:cs="Arial"/>
          <w:szCs w:val="22"/>
        </w:rPr>
        <w:t>Age of mother at first birth</w:t>
      </w:r>
      <w:r w:rsidR="0073727D">
        <w:rPr>
          <w:rFonts w:cs="Arial"/>
          <w:szCs w:val="22"/>
        </w:rPr>
        <w:t xml:space="preserve">: </w:t>
      </w:r>
      <w:r w:rsidR="001C7F74">
        <w:rPr>
          <w:rFonts w:cs="Arial"/>
          <w:szCs w:val="22"/>
        </w:rPr>
        <w:t>women who delay motherhood</w:t>
      </w:r>
      <w:r w:rsidR="0073727D">
        <w:rPr>
          <w:rFonts w:cs="Arial"/>
          <w:szCs w:val="22"/>
        </w:rPr>
        <w:t xml:space="preserve"> may have greater social resources</w:t>
      </w:r>
      <w:r w:rsidR="004C57F3">
        <w:rPr>
          <w:rFonts w:cs="Arial"/>
          <w:szCs w:val="22"/>
        </w:rPr>
        <w:t>.</w:t>
      </w:r>
    </w:p>
    <w:p w:rsidR="009F1F0D" w:rsidRDefault="009F1F0D" w:rsidP="009F1F0D">
      <w:pPr>
        <w:pStyle w:val="ListParagraph"/>
        <w:numPr>
          <w:ilvl w:val="0"/>
          <w:numId w:val="5"/>
        </w:numPr>
        <w:rPr>
          <w:rFonts w:cs="Arial"/>
          <w:szCs w:val="22"/>
        </w:rPr>
      </w:pPr>
      <w:r>
        <w:rPr>
          <w:rFonts w:cs="Arial"/>
          <w:szCs w:val="22"/>
        </w:rPr>
        <w:t>Number</w:t>
      </w:r>
      <w:r w:rsidR="00261E64">
        <w:rPr>
          <w:rFonts w:cs="Arial"/>
          <w:szCs w:val="22"/>
        </w:rPr>
        <w:t>s</w:t>
      </w:r>
      <w:r>
        <w:rPr>
          <w:rFonts w:cs="Arial"/>
          <w:szCs w:val="22"/>
        </w:rPr>
        <w:t xml:space="preserve"> of older </w:t>
      </w:r>
      <w:r w:rsidR="00571378">
        <w:rPr>
          <w:rFonts w:cs="Arial"/>
          <w:szCs w:val="22"/>
        </w:rPr>
        <w:t xml:space="preserve">and younger </w:t>
      </w:r>
      <w:r>
        <w:rPr>
          <w:rFonts w:cs="Arial"/>
          <w:szCs w:val="22"/>
        </w:rPr>
        <w:t>siblings</w:t>
      </w:r>
      <w:r w:rsidR="00412B06">
        <w:rPr>
          <w:rFonts w:cs="Arial"/>
          <w:szCs w:val="22"/>
        </w:rPr>
        <w:t xml:space="preserve"> at </w:t>
      </w:r>
      <w:r w:rsidR="009F4B4F">
        <w:rPr>
          <w:rFonts w:cs="Arial"/>
          <w:szCs w:val="22"/>
        </w:rPr>
        <w:t>wave 3</w:t>
      </w:r>
      <w:r w:rsidR="00571378">
        <w:rPr>
          <w:rFonts w:cs="Arial"/>
          <w:szCs w:val="22"/>
        </w:rPr>
        <w:t>: resources are spread more thinly the more siblings there are, and older siblings may be favoured above younger ones</w:t>
      </w:r>
      <w:r w:rsidR="00572B18">
        <w:rPr>
          <w:rFonts w:cs="Arial"/>
          <w:szCs w:val="22"/>
        </w:rPr>
        <w:t xml:space="preserve"> </w:t>
      </w:r>
      <w:r w:rsidR="00C16BF1">
        <w:rPr>
          <w:rFonts w:cs="Arial"/>
          <w:szCs w:val="22"/>
        </w:rPr>
        <w:fldChar w:fldCharType="begin"/>
      </w:r>
      <w:r w:rsidR="0005386F">
        <w:rPr>
          <w:rFonts w:cs="Arial"/>
          <w:szCs w:val="22"/>
        </w:rPr>
        <w:instrText xml:space="preserve"> ADDIN EN.CITE &lt;EndNote&gt;&lt;Cite&gt;&lt;Author&gt;Nisbet&lt;/Author&gt;&lt;Year&gt;1953&lt;/Year&gt;&lt;RecNum&gt;238&lt;/RecNum&gt;&lt;record&gt;&lt;rec-number&gt;238&lt;/rec-number&gt;&lt;foreign-keys&gt;&lt;key app="EN" db-id="aeretdtfgatxzketrem5pp9n9d2vvexz5rvr"&gt;238&lt;/key&gt;&lt;/foreign-keys&gt;&lt;ref-type name="Journal Article"&gt;17&lt;/ref-type&gt;&lt;contributors&gt;&lt;authors&gt;&lt;author&gt;Nisbet, J.&lt;/author&gt;&lt;/authors&gt;&lt;/contributors&gt;&lt;titles&gt;&lt;title&gt;Family Environment and Intelligence&lt;/title&gt;&lt;secondary-title&gt;Eugenics Review&lt;/secondary-title&gt;&lt;alt-title&gt;Eugenics Review&lt;/alt-title&gt;&lt;/titles&gt;&lt;pages&gt;31-42&lt;/pages&gt;&lt;volume&gt;XLV&lt;/volume&gt;&lt;dates&gt;&lt;year&gt;1953&lt;/year&gt;&lt;/dates&gt;&lt;label&gt;nisbetFEI&lt;/label&gt;&lt;urls&gt;&lt;/urls&gt;&lt;/record&gt;&lt;/Cite&gt;&lt;/EndNote&gt;</w:instrText>
      </w:r>
      <w:r w:rsidR="00C16BF1">
        <w:rPr>
          <w:rFonts w:cs="Arial"/>
          <w:szCs w:val="22"/>
        </w:rPr>
        <w:fldChar w:fldCharType="separate"/>
      </w:r>
      <w:r w:rsidR="00572B18">
        <w:rPr>
          <w:rFonts w:cs="Arial"/>
          <w:szCs w:val="22"/>
        </w:rPr>
        <w:t>(Nisbet 1953)</w:t>
      </w:r>
      <w:r w:rsidR="00C16BF1">
        <w:rPr>
          <w:rFonts w:cs="Arial"/>
          <w:szCs w:val="22"/>
        </w:rPr>
        <w:fldChar w:fldCharType="end"/>
      </w:r>
      <w:r w:rsidR="00571378">
        <w:rPr>
          <w:rFonts w:cs="Arial"/>
          <w:szCs w:val="22"/>
        </w:rPr>
        <w:t>.</w:t>
      </w:r>
    </w:p>
    <w:p w:rsidR="00E53F52" w:rsidRPr="00E53F52" w:rsidRDefault="00E32F74" w:rsidP="009F1F0D">
      <w:pPr>
        <w:pStyle w:val="ListParagraph"/>
        <w:numPr>
          <w:ilvl w:val="0"/>
          <w:numId w:val="5"/>
        </w:numPr>
        <w:rPr>
          <w:rFonts w:cs="Arial"/>
          <w:szCs w:val="22"/>
        </w:rPr>
      </w:pPr>
      <w:r w:rsidRPr="00E53F52">
        <w:rPr>
          <w:rFonts w:cs="Arial"/>
          <w:szCs w:val="22"/>
        </w:rPr>
        <w:t>Combined labour market status</w:t>
      </w:r>
      <w:r w:rsidR="00D02262">
        <w:rPr>
          <w:rFonts w:cs="Arial"/>
          <w:szCs w:val="22"/>
        </w:rPr>
        <w:t xml:space="preserve"> of parent(s)</w:t>
      </w:r>
      <w:r w:rsidR="00D30711" w:rsidRPr="00E53F52">
        <w:rPr>
          <w:rFonts w:cs="Arial"/>
          <w:szCs w:val="22"/>
        </w:rPr>
        <w:t xml:space="preserve"> at wave 2</w:t>
      </w:r>
      <w:r w:rsidR="00571378" w:rsidRPr="00E53F52">
        <w:rPr>
          <w:rFonts w:cs="Arial"/>
          <w:szCs w:val="22"/>
        </w:rPr>
        <w:t xml:space="preserve">: </w:t>
      </w:r>
      <w:r w:rsidR="00571378" w:rsidRPr="00E53F52">
        <w:rPr>
          <w:szCs w:val="22"/>
        </w:rPr>
        <w:t>some commentators see maternal employment as potentially negative, while others stress the social value of integration into the labour market, including for single mothers.</w:t>
      </w:r>
      <w:r w:rsidR="00B22275" w:rsidRPr="00E53F52">
        <w:rPr>
          <w:szCs w:val="22"/>
        </w:rPr>
        <w:t xml:space="preserve"> Previous work has </w:t>
      </w:r>
      <w:r w:rsidR="005E0306" w:rsidRPr="00E53F52">
        <w:rPr>
          <w:szCs w:val="22"/>
        </w:rPr>
        <w:t>found little</w:t>
      </w:r>
      <w:r w:rsidR="00B22275" w:rsidRPr="00E53F52">
        <w:rPr>
          <w:szCs w:val="22"/>
        </w:rPr>
        <w:t xml:space="preserve"> effect of mother</w:t>
      </w:r>
      <w:r w:rsidR="00FB37B6" w:rsidRPr="00E53F52">
        <w:rPr>
          <w:szCs w:val="22"/>
        </w:rPr>
        <w:t>’</w:t>
      </w:r>
      <w:r w:rsidR="00B22275" w:rsidRPr="00E53F52">
        <w:rPr>
          <w:szCs w:val="22"/>
        </w:rPr>
        <w:t xml:space="preserve">s </w:t>
      </w:r>
      <w:r w:rsidR="00FB37B6" w:rsidRPr="00E53F52">
        <w:rPr>
          <w:szCs w:val="22"/>
        </w:rPr>
        <w:t xml:space="preserve">employment </w:t>
      </w:r>
      <w:r w:rsidR="00B22275" w:rsidRPr="00E53F52">
        <w:rPr>
          <w:szCs w:val="22"/>
        </w:rPr>
        <w:t xml:space="preserve">on children’s </w:t>
      </w:r>
      <w:r w:rsidR="00F42D99" w:rsidRPr="00E53F52">
        <w:t>cognitive scores at age 5</w:t>
      </w:r>
      <w:r w:rsidR="00F42D99" w:rsidRPr="00E53F52">
        <w:rPr>
          <w:color w:val="333333"/>
        </w:rPr>
        <w:t xml:space="preserve"> </w:t>
      </w:r>
      <w:r w:rsidR="00C16BF1" w:rsidRPr="00CF1509">
        <w:fldChar w:fldCharType="begin"/>
      </w:r>
      <w:r w:rsidR="0005386F">
        <w:instrText xml:space="preserve"> ADDIN EN.CITE &lt;EndNote&gt;&lt;Cite&gt;&lt;Author&gt;Hawkes&lt;/Author&gt;&lt;Year&gt;2011&lt;/Year&gt;&lt;RecNum&gt;1261&lt;/RecNum&gt;&lt;record&gt;&lt;rec-number&gt;1261&lt;/rec-number&gt;&lt;foreign-keys&gt;&lt;key app="EN" db-id="aeretdtfgatxzketrem5pp9n9d2vvexz5rvr"&gt;1261&lt;/key&gt;&lt;/foreign-keys&gt;&lt;ref-type name="Journal Article"&gt;17&lt;/ref-type&gt;&lt;contributors&gt;&lt;authors&gt;&lt;author&gt;Hawkes, D.&lt;/author&gt;&lt;author&gt;Joshi, H.&lt;/author&gt;&lt;/authors&gt;&lt;/contributors&gt;&lt;titles&gt;&lt;title&gt;Unequal entry to motherhood and unequal outcomes for children&lt;/title&gt;&lt;secondary-title&gt;CLS Working Paper&lt;/secondary-title&gt;&lt;/titles&gt;&lt;periodical&gt;&lt;full-title&gt;CLS Working Paper&lt;/full-title&gt;&lt;/periodical&gt;&lt;volume&gt;2011/3&lt;/volume&gt;&lt;dates&gt;&lt;year&gt;2011&lt;/year&gt;&lt;/dates&gt;&lt;urls&gt;&lt;/urls&gt;&lt;/record&gt;&lt;/Cite&gt;&lt;/EndNote&gt;</w:instrText>
      </w:r>
      <w:r w:rsidR="00C16BF1" w:rsidRPr="00CF1509">
        <w:fldChar w:fldCharType="separate"/>
      </w:r>
      <w:r w:rsidR="00E53F52" w:rsidRPr="00CF1509">
        <w:t>(Hawkes and Joshi 2011)</w:t>
      </w:r>
      <w:r w:rsidR="00C16BF1" w:rsidRPr="00CF1509">
        <w:fldChar w:fldCharType="end"/>
      </w:r>
      <w:r w:rsidR="00E53F52" w:rsidRPr="00CF1509">
        <w:t>.</w:t>
      </w:r>
    </w:p>
    <w:p w:rsidR="00571378" w:rsidRPr="00E53F52" w:rsidRDefault="0098614A" w:rsidP="009F1F0D">
      <w:pPr>
        <w:pStyle w:val="ListParagraph"/>
        <w:numPr>
          <w:ilvl w:val="0"/>
          <w:numId w:val="5"/>
        </w:numPr>
        <w:rPr>
          <w:rFonts w:cs="Arial"/>
          <w:szCs w:val="22"/>
        </w:rPr>
      </w:pPr>
      <w:r w:rsidRPr="00E53F52">
        <w:rPr>
          <w:szCs w:val="22"/>
        </w:rPr>
        <w:t>Main informant’s (typically mother’s)</w:t>
      </w:r>
      <w:r w:rsidR="00D42A96" w:rsidRPr="00E53F52">
        <w:rPr>
          <w:szCs w:val="22"/>
        </w:rPr>
        <w:t xml:space="preserve"> disability or longstanding illness</w:t>
      </w:r>
      <w:r w:rsidR="009F4B4F" w:rsidRPr="00E53F52">
        <w:rPr>
          <w:szCs w:val="22"/>
        </w:rPr>
        <w:t xml:space="preserve"> at wave </w:t>
      </w:r>
      <w:r w:rsidR="009F4B4F" w:rsidRPr="00E53F52">
        <w:rPr>
          <w:rFonts w:cs="Arial"/>
          <w:szCs w:val="22"/>
        </w:rPr>
        <w:t>2</w:t>
      </w:r>
    </w:p>
    <w:p w:rsidR="004C57F3" w:rsidRPr="004C57F3" w:rsidRDefault="00564432" w:rsidP="009F1F0D">
      <w:pPr>
        <w:pStyle w:val="ListParagraph"/>
        <w:numPr>
          <w:ilvl w:val="0"/>
          <w:numId w:val="5"/>
        </w:numPr>
        <w:rPr>
          <w:rFonts w:cs="Arial"/>
          <w:szCs w:val="22"/>
        </w:rPr>
      </w:pPr>
      <w:r w:rsidRPr="004C57F3">
        <w:rPr>
          <w:szCs w:val="22"/>
        </w:rPr>
        <w:t>Main informant’s (typically mother’s)</w:t>
      </w:r>
      <w:r w:rsidR="009F4B4F" w:rsidRPr="004C57F3">
        <w:rPr>
          <w:szCs w:val="22"/>
        </w:rPr>
        <w:t xml:space="preserve"> </w:t>
      </w:r>
      <w:r w:rsidR="00921562" w:rsidRPr="004C57F3">
        <w:rPr>
          <w:szCs w:val="22"/>
        </w:rPr>
        <w:t xml:space="preserve">depression, measured on the </w:t>
      </w:r>
      <w:r w:rsidR="00572B18" w:rsidRPr="004C57F3">
        <w:rPr>
          <w:szCs w:val="22"/>
        </w:rPr>
        <w:t>Kessler scale</w:t>
      </w:r>
      <w:r w:rsidR="00921562" w:rsidRPr="004C57F3">
        <w:rPr>
          <w:szCs w:val="22"/>
        </w:rPr>
        <w:t xml:space="preserve"> </w:t>
      </w:r>
      <w:r w:rsidR="00C16BF1" w:rsidRPr="004C57F3">
        <w:rPr>
          <w:szCs w:val="22"/>
        </w:rPr>
        <w:fldChar w:fldCharType="begin"/>
      </w:r>
      <w:r w:rsidR="0005386F">
        <w:rPr>
          <w:szCs w:val="22"/>
        </w:rPr>
        <w:instrText xml:space="preserve"> ADDIN EN.CITE &lt;EndNote&gt;&lt;Cite&gt;&lt;Author&gt;Kessler&lt;/Author&gt;&lt;Year&gt;2002&lt;/Year&gt;&lt;RecNum&gt;1248&lt;/RecNum&gt;&lt;record&gt;&lt;rec-number&gt;1248&lt;/rec-number&gt;&lt;foreign-keys&gt;&lt;key app="EN" db-id="aeretdtfgatxzketrem5pp9n9d2vvexz5rvr"&gt;1248&lt;/key&gt;&lt;/foreign-keys&gt;&lt;ref-type name="Journal Article"&gt;17&lt;/ref-type&gt;&lt;contributors&gt;&lt;authors&gt;&lt;author&gt;Kessler, R.C.&lt;/author&gt;&lt;author&gt;Andrews, G.&lt;/author&gt;&lt;author&gt;Colpe, L.J.&lt;/author&gt;&lt;author&gt;Hiripi, E.&lt;/author&gt;&lt;author&gt;Mroczek, D.K.&lt;/author&gt;&lt;author&gt;Normand, S.L.T.&lt;/author&gt;&lt;author&gt;Walters, E.E.&lt;/author&gt;&lt;author&gt;Zaslavsky, A.M.&lt;/author&gt;&lt;/authors&gt;&lt;/contributors&gt;&lt;titles&gt;&lt;title&gt;Short screening scales to monitor population prevalences and trends in non-specific psychological distress&lt;/title&gt;&lt;secondary-title&gt;Psychological Medicine&lt;/secondary-title&gt;&lt;/titles&gt;&lt;periodical&gt;&lt;full-title&gt;Psychological Medicine&lt;/full-title&gt;&lt;/periodical&gt;&lt;pages&gt;959-976&lt;/pages&gt;&lt;volume&gt;32&lt;/volume&gt;&lt;dates&gt;&lt;year&gt;2002&lt;/year&gt;&lt;/dates&gt;&lt;urls&gt;&lt;/urls&gt;&lt;/record&gt;&lt;/Cite&gt;&lt;/EndNote&gt;</w:instrText>
      </w:r>
      <w:r w:rsidR="00C16BF1" w:rsidRPr="004C57F3">
        <w:rPr>
          <w:szCs w:val="22"/>
        </w:rPr>
        <w:fldChar w:fldCharType="separate"/>
      </w:r>
      <w:r w:rsidR="00921562" w:rsidRPr="004C57F3">
        <w:rPr>
          <w:szCs w:val="22"/>
        </w:rPr>
        <w:t>(Kessler, et al. 2002)</w:t>
      </w:r>
      <w:r w:rsidR="00C16BF1" w:rsidRPr="004C57F3">
        <w:rPr>
          <w:szCs w:val="22"/>
        </w:rPr>
        <w:fldChar w:fldCharType="end"/>
      </w:r>
      <w:r w:rsidR="009F4B4F" w:rsidRPr="004C57F3">
        <w:rPr>
          <w:szCs w:val="22"/>
        </w:rPr>
        <w:t xml:space="preserve"> at </w:t>
      </w:r>
      <w:r w:rsidR="00FB37B6" w:rsidRPr="004C57F3">
        <w:rPr>
          <w:szCs w:val="22"/>
        </w:rPr>
        <w:t xml:space="preserve">sweep </w:t>
      </w:r>
      <w:r w:rsidR="009F4B4F" w:rsidRPr="004C57F3">
        <w:rPr>
          <w:szCs w:val="22"/>
        </w:rPr>
        <w:t>2</w:t>
      </w:r>
      <w:r w:rsidR="00D42A96" w:rsidRPr="004C57F3">
        <w:rPr>
          <w:szCs w:val="22"/>
        </w:rPr>
        <w:t>: Parents’ physical and mental ill-health may reduce their availability to their children and the effectiveness of their parenting.</w:t>
      </w:r>
      <w:r w:rsidR="009F4B4F" w:rsidRPr="004C57F3">
        <w:rPr>
          <w:szCs w:val="22"/>
        </w:rPr>
        <w:t xml:space="preserve"> </w:t>
      </w:r>
    </w:p>
    <w:p w:rsidR="00D42A96" w:rsidRPr="004C57F3" w:rsidRDefault="00D42A96" w:rsidP="009F1F0D">
      <w:pPr>
        <w:pStyle w:val="ListParagraph"/>
        <w:numPr>
          <w:ilvl w:val="0"/>
          <w:numId w:val="5"/>
        </w:numPr>
        <w:rPr>
          <w:rFonts w:cs="Arial"/>
          <w:szCs w:val="22"/>
        </w:rPr>
      </w:pPr>
      <w:r w:rsidRPr="004C57F3">
        <w:rPr>
          <w:szCs w:val="22"/>
        </w:rPr>
        <w:t>Local area type</w:t>
      </w:r>
      <w:r w:rsidR="00B22275" w:rsidRPr="004C57F3">
        <w:rPr>
          <w:szCs w:val="22"/>
        </w:rPr>
        <w:t xml:space="preserve"> at the first survey</w:t>
      </w:r>
      <w:r w:rsidR="00921562" w:rsidRPr="004C57F3">
        <w:rPr>
          <w:szCs w:val="22"/>
        </w:rPr>
        <w:t>. The wards MCS families were sampled in were categorised as 1. Disadvantaged, 2. Non-disadvantaged and 3. Minority ethnic. D</w:t>
      </w:r>
      <w:r w:rsidRPr="004C57F3">
        <w:rPr>
          <w:szCs w:val="22"/>
        </w:rPr>
        <w:t>ifferent types of neighbourhood may affect the social resources available to parents.</w:t>
      </w:r>
    </w:p>
    <w:p w:rsidR="00F2710F" w:rsidRDefault="00F2710F" w:rsidP="003450AB">
      <w:pPr>
        <w:ind w:left="360"/>
        <w:rPr>
          <w:rFonts w:cs="Arial"/>
          <w:szCs w:val="22"/>
        </w:rPr>
      </w:pPr>
    </w:p>
    <w:p w:rsidR="003450AB" w:rsidRPr="00D42A96" w:rsidRDefault="00D42A96" w:rsidP="003450AB">
      <w:pPr>
        <w:ind w:left="360"/>
        <w:rPr>
          <w:rFonts w:cs="Arial"/>
          <w:szCs w:val="22"/>
        </w:rPr>
      </w:pPr>
      <w:r>
        <w:rPr>
          <w:rFonts w:cs="Arial"/>
          <w:szCs w:val="22"/>
        </w:rPr>
        <w:t>Model 4: Model 3+ Parents’ behaviours</w:t>
      </w:r>
    </w:p>
    <w:p w:rsidR="009F1F0D" w:rsidRDefault="009F1F0D" w:rsidP="009F1F0D">
      <w:pPr>
        <w:pStyle w:val="ListParagraph"/>
        <w:numPr>
          <w:ilvl w:val="0"/>
          <w:numId w:val="5"/>
        </w:numPr>
        <w:rPr>
          <w:rFonts w:cs="Arial"/>
          <w:szCs w:val="22"/>
        </w:rPr>
      </w:pPr>
      <w:r>
        <w:rPr>
          <w:rFonts w:cs="Arial"/>
          <w:szCs w:val="22"/>
        </w:rPr>
        <w:t>Breastfeeding</w:t>
      </w:r>
      <w:r w:rsidR="00D42A96">
        <w:rPr>
          <w:rFonts w:cs="Arial"/>
          <w:szCs w:val="22"/>
        </w:rPr>
        <w:t xml:space="preserve">: reflects mother’s effort, but also her circumstances and other resources, such as her own tested cognitive ability </w:t>
      </w:r>
      <w:r w:rsidR="00C16BF1">
        <w:rPr>
          <w:rFonts w:cs="Arial"/>
          <w:szCs w:val="22"/>
        </w:rPr>
        <w:fldChar w:fldCharType="begin"/>
      </w:r>
      <w:r w:rsidR="0005386F">
        <w:rPr>
          <w:rFonts w:cs="Arial"/>
          <w:szCs w:val="22"/>
        </w:rPr>
        <w:instrText xml:space="preserve"> ADDIN EN.CITE &lt;EndNote&gt;&lt;Cite&gt;&lt;Author&gt;Der&lt;/Author&gt;&lt;Year&gt;2006&lt;/Year&gt;&lt;RecNum&gt;1190&lt;/RecNum&gt;&lt;record&gt;&lt;rec-number&gt;1190&lt;/rec-number&gt;&lt;foreign-keys&gt;&lt;key app="EN" db-id="aeretdtfgatxzketrem5pp9n9d2vvexz5rvr"&gt;1190&lt;/key&gt;&lt;/foreign-keys&gt;&lt;ref-type name="Journal Article"&gt;17&lt;/ref-type&gt;&lt;contributors&gt;&lt;authors&gt;&lt;author&gt;Der, G.&lt;/author&gt;&lt;author&gt;Batty, G.D.&lt;/author&gt;&lt;author&gt;Deary, I.J.&lt;/author&gt;&lt;/authors&gt;&lt;/contributors&gt;&lt;titles&gt;&lt;title&gt;Effect of breast feeding on intelligence in children: prospective study, sibling pairs analysis and meta-analysis&lt;/title&gt;&lt;secondary-title&gt;British Medical Journal&lt;/secondary-title&gt;&lt;/titles&gt;&lt;periodical&gt;&lt;full-title&gt;British Medical Journal&lt;/full-title&gt;&lt;/periodical&gt;&lt;volume&gt;333&lt;/volume&gt;&lt;dates&gt;&lt;year&gt;2006&lt;/year&gt;&lt;/dates&gt;&lt;urls&gt;&lt;/urls&gt;&lt;/record&gt;&lt;/Cite&gt;&lt;/EndNote&gt;</w:instrText>
      </w:r>
      <w:r w:rsidR="00C16BF1">
        <w:rPr>
          <w:rFonts w:cs="Arial"/>
          <w:szCs w:val="22"/>
        </w:rPr>
        <w:fldChar w:fldCharType="separate"/>
      </w:r>
      <w:r w:rsidR="003450AB">
        <w:rPr>
          <w:rFonts w:cs="Arial"/>
          <w:szCs w:val="22"/>
        </w:rPr>
        <w:t>(Der, et al. 2006)</w:t>
      </w:r>
      <w:r w:rsidR="00C16BF1">
        <w:rPr>
          <w:rFonts w:cs="Arial"/>
          <w:szCs w:val="22"/>
        </w:rPr>
        <w:fldChar w:fldCharType="end"/>
      </w:r>
      <w:r w:rsidR="003450AB">
        <w:rPr>
          <w:rFonts w:cs="Arial"/>
          <w:szCs w:val="22"/>
        </w:rPr>
        <w:t>.</w:t>
      </w:r>
      <w:r w:rsidR="00504D27">
        <w:rPr>
          <w:rFonts w:cs="Arial"/>
          <w:szCs w:val="22"/>
        </w:rPr>
        <w:t xml:space="preserve"> Recent research supports the view that breastfeeding has a positive effect on cognitive outcomes for children</w:t>
      </w:r>
      <w:r w:rsidR="00F072E4">
        <w:rPr>
          <w:rFonts w:cs="Arial"/>
          <w:szCs w:val="22"/>
        </w:rPr>
        <w:t xml:space="preserve"> </w:t>
      </w:r>
      <w:r w:rsidR="00C16BF1">
        <w:rPr>
          <w:rFonts w:cs="Arial"/>
          <w:szCs w:val="22"/>
        </w:rPr>
        <w:fldChar w:fldCharType="begin"/>
      </w:r>
      <w:r w:rsidR="0005386F">
        <w:rPr>
          <w:rFonts w:cs="Arial"/>
          <w:szCs w:val="22"/>
        </w:rPr>
        <w:instrText xml:space="preserve"> ADDIN EN.CITE &lt;EndNote&gt;&lt;Cite&gt;&lt;Author&gt;Quigley&lt;/Author&gt;&lt;Year&gt;2009&lt;/Year&gt;&lt;RecNum&gt;1254&lt;/RecNum&gt;&lt;record&gt;&lt;rec-number&gt;1254&lt;/rec-number&gt;&lt;foreign-keys&gt;&lt;key app="EN" db-id="aeretdtfgatxzketrem5pp9n9d2vvexz5rvr"&gt;1254&lt;/key&gt;&lt;/foreign-keys&gt;&lt;ref-type name="Journal Article"&gt;17&lt;/ref-type&gt;&lt;contributors&gt;&lt;authors&gt;&lt;author&gt;Quigley, M.A.&lt;/author&gt;&lt;author&gt;Hockley, C.&lt;/author&gt;&lt;author&gt;Carson, C.&lt;/author&gt;&lt;author&gt;Kelly, Y.&lt;/author&gt;&lt;author&gt;Renfrew, M.&lt;/author&gt;&lt;author&gt;Sacker, A.&lt;/author&gt;&lt;/authors&gt;&lt;/contributors&gt;&lt;titles&gt;&lt;title&gt;Breastfeeding is associated with improved child cognitive development: evidence from the UK Millennium Cohort Study&lt;/title&gt;&lt;secondary-title&gt;Journal of Epidemiology and Community Health&lt;/secondary-title&gt;&lt;/titles&gt;&lt;periodical&gt;&lt;full-title&gt;Journal of Epidemiology and Community Health&lt;/full-title&gt;&lt;/periodical&gt;&lt;pages&gt;A3-A4&lt;/pages&gt;&lt;volume&gt;63 (Sup 2)&lt;/volume&gt;&lt;number&gt;8&lt;/number&gt;&lt;dates&gt;&lt;year&gt;2009&lt;/year&gt;&lt;/dates&gt;&lt;urls&gt;&lt;/urls&gt;&lt;/record&gt;&lt;/Cite&gt;&lt;/EndNote&gt;</w:instrText>
      </w:r>
      <w:r w:rsidR="00C16BF1">
        <w:rPr>
          <w:rFonts w:cs="Arial"/>
          <w:szCs w:val="22"/>
        </w:rPr>
        <w:fldChar w:fldCharType="separate"/>
      </w:r>
      <w:r w:rsidR="00F072E4">
        <w:rPr>
          <w:rFonts w:cs="Arial"/>
          <w:szCs w:val="22"/>
        </w:rPr>
        <w:t>(Quigley, et al. 2009)</w:t>
      </w:r>
      <w:r w:rsidR="00C16BF1">
        <w:rPr>
          <w:rFonts w:cs="Arial"/>
          <w:szCs w:val="22"/>
        </w:rPr>
        <w:fldChar w:fldCharType="end"/>
      </w:r>
      <w:r w:rsidR="00504D27">
        <w:rPr>
          <w:rFonts w:cs="Arial"/>
          <w:szCs w:val="22"/>
        </w:rPr>
        <w:t>.</w:t>
      </w:r>
    </w:p>
    <w:p w:rsidR="003450AB" w:rsidRDefault="003450AB" w:rsidP="009F1F0D">
      <w:pPr>
        <w:pStyle w:val="ListParagraph"/>
        <w:numPr>
          <w:ilvl w:val="0"/>
          <w:numId w:val="5"/>
        </w:numPr>
        <w:rPr>
          <w:rFonts w:cs="Arial"/>
          <w:szCs w:val="22"/>
        </w:rPr>
      </w:pPr>
      <w:r>
        <w:rPr>
          <w:rFonts w:cs="Arial"/>
          <w:szCs w:val="22"/>
        </w:rPr>
        <w:t>Authoritative parenting</w:t>
      </w:r>
      <w:r w:rsidR="00B22275">
        <w:rPr>
          <w:rFonts w:cs="Arial"/>
          <w:szCs w:val="22"/>
        </w:rPr>
        <w:t xml:space="preserve"> at age 3</w:t>
      </w:r>
      <w:r>
        <w:rPr>
          <w:rFonts w:cs="Arial"/>
          <w:szCs w:val="22"/>
        </w:rPr>
        <w:t>: Consistent and firm not harsh parenting is expected to lead to positive child outcomes</w:t>
      </w:r>
      <w:r w:rsidR="006C6A35">
        <w:rPr>
          <w:rFonts w:cs="Arial"/>
          <w:szCs w:val="22"/>
        </w:rPr>
        <w:t>. This is reflected in the following variables:</w:t>
      </w:r>
    </w:p>
    <w:p w:rsidR="006C6A35" w:rsidRDefault="00957C85" w:rsidP="00957C85">
      <w:pPr>
        <w:pStyle w:val="ListParagraph"/>
        <w:numPr>
          <w:ilvl w:val="1"/>
          <w:numId w:val="5"/>
        </w:numPr>
        <w:rPr>
          <w:rFonts w:cs="Arial"/>
          <w:szCs w:val="22"/>
        </w:rPr>
      </w:pPr>
      <w:r>
        <w:rPr>
          <w:rFonts w:cs="Arial"/>
          <w:szCs w:val="22"/>
        </w:rPr>
        <w:t>Regular bedtimes</w:t>
      </w:r>
    </w:p>
    <w:p w:rsidR="00957C85" w:rsidRDefault="006C6A35" w:rsidP="00957C85">
      <w:pPr>
        <w:pStyle w:val="ListParagraph"/>
        <w:numPr>
          <w:ilvl w:val="1"/>
          <w:numId w:val="5"/>
        </w:numPr>
        <w:rPr>
          <w:rFonts w:cs="Arial"/>
          <w:szCs w:val="22"/>
        </w:rPr>
      </w:pPr>
      <w:r>
        <w:rPr>
          <w:rFonts w:cs="Arial"/>
          <w:szCs w:val="22"/>
        </w:rPr>
        <w:t>Regular</w:t>
      </w:r>
      <w:r w:rsidR="00957C85">
        <w:rPr>
          <w:rFonts w:cs="Arial"/>
          <w:szCs w:val="22"/>
        </w:rPr>
        <w:t xml:space="preserve"> mealtimes</w:t>
      </w:r>
    </w:p>
    <w:p w:rsidR="00921562" w:rsidRDefault="00921562" w:rsidP="00957C85">
      <w:pPr>
        <w:pStyle w:val="ListParagraph"/>
        <w:numPr>
          <w:ilvl w:val="1"/>
          <w:numId w:val="5"/>
        </w:numPr>
        <w:rPr>
          <w:rFonts w:cs="Arial"/>
          <w:szCs w:val="22"/>
        </w:rPr>
      </w:pPr>
      <w:r>
        <w:rPr>
          <w:rFonts w:cs="Arial"/>
          <w:szCs w:val="22"/>
        </w:rPr>
        <w:t>Family rules</w:t>
      </w:r>
    </w:p>
    <w:p w:rsidR="00E32F74" w:rsidRDefault="00E32F74" w:rsidP="009F1F0D">
      <w:pPr>
        <w:pStyle w:val="ListParagraph"/>
        <w:numPr>
          <w:ilvl w:val="0"/>
          <w:numId w:val="5"/>
        </w:numPr>
        <w:rPr>
          <w:rFonts w:cs="Arial"/>
          <w:szCs w:val="22"/>
        </w:rPr>
      </w:pPr>
      <w:r>
        <w:rPr>
          <w:rFonts w:cs="Arial"/>
          <w:szCs w:val="22"/>
        </w:rPr>
        <w:t>The Home Learning Environment</w:t>
      </w:r>
      <w:r w:rsidR="00B22275">
        <w:rPr>
          <w:rFonts w:cs="Arial"/>
          <w:szCs w:val="22"/>
        </w:rPr>
        <w:t xml:space="preserve"> at age 3</w:t>
      </w:r>
      <w:r w:rsidR="003450AB">
        <w:rPr>
          <w:rFonts w:cs="Arial"/>
          <w:szCs w:val="22"/>
        </w:rPr>
        <w:t>: These measures capture, at least to some degree, the ‘concerted cultivation’ associated with middle-class parenting.</w:t>
      </w:r>
    </w:p>
    <w:p w:rsidR="00957C85" w:rsidRDefault="00957C85" w:rsidP="00957C85">
      <w:pPr>
        <w:pStyle w:val="ListParagraph"/>
        <w:numPr>
          <w:ilvl w:val="1"/>
          <w:numId w:val="5"/>
        </w:numPr>
        <w:rPr>
          <w:rFonts w:cs="Arial"/>
          <w:szCs w:val="22"/>
        </w:rPr>
      </w:pPr>
      <w:r>
        <w:rPr>
          <w:rFonts w:cs="Arial"/>
          <w:szCs w:val="22"/>
        </w:rPr>
        <w:t>TV viewing</w:t>
      </w:r>
    </w:p>
    <w:p w:rsidR="00957C85" w:rsidRDefault="00957C85" w:rsidP="00957C85">
      <w:pPr>
        <w:pStyle w:val="ListParagraph"/>
        <w:numPr>
          <w:ilvl w:val="1"/>
          <w:numId w:val="5"/>
        </w:numPr>
        <w:rPr>
          <w:rFonts w:cs="Arial"/>
          <w:szCs w:val="22"/>
        </w:rPr>
      </w:pPr>
      <w:r>
        <w:rPr>
          <w:rFonts w:cs="Arial"/>
          <w:szCs w:val="22"/>
        </w:rPr>
        <w:t>Reading to the child</w:t>
      </w:r>
    </w:p>
    <w:p w:rsidR="00957C85" w:rsidRDefault="00957C85" w:rsidP="00957C85">
      <w:pPr>
        <w:pStyle w:val="ListParagraph"/>
        <w:numPr>
          <w:ilvl w:val="1"/>
          <w:numId w:val="5"/>
        </w:numPr>
        <w:rPr>
          <w:rFonts w:cs="Arial"/>
          <w:szCs w:val="22"/>
        </w:rPr>
      </w:pPr>
      <w:r>
        <w:rPr>
          <w:rFonts w:cs="Arial"/>
          <w:szCs w:val="22"/>
        </w:rPr>
        <w:t>Library</w:t>
      </w:r>
      <w:r w:rsidR="006C6A35">
        <w:rPr>
          <w:rFonts w:cs="Arial"/>
          <w:szCs w:val="22"/>
        </w:rPr>
        <w:t xml:space="preserve"> visits</w:t>
      </w:r>
    </w:p>
    <w:p w:rsidR="00957C85" w:rsidRDefault="006C6A35" w:rsidP="00957C85">
      <w:pPr>
        <w:pStyle w:val="ListParagraph"/>
        <w:numPr>
          <w:ilvl w:val="1"/>
          <w:numId w:val="5"/>
        </w:numPr>
        <w:rPr>
          <w:rFonts w:cs="Arial"/>
          <w:szCs w:val="22"/>
        </w:rPr>
      </w:pPr>
      <w:r>
        <w:rPr>
          <w:rFonts w:cs="Arial"/>
          <w:szCs w:val="22"/>
        </w:rPr>
        <w:t>Teaching the a</w:t>
      </w:r>
      <w:r w:rsidR="00957C85">
        <w:rPr>
          <w:rFonts w:cs="Arial"/>
          <w:szCs w:val="22"/>
        </w:rPr>
        <w:t xml:space="preserve">lphabet </w:t>
      </w:r>
    </w:p>
    <w:p w:rsidR="00957C85" w:rsidRDefault="006C6A35" w:rsidP="00957C85">
      <w:pPr>
        <w:pStyle w:val="ListParagraph"/>
        <w:numPr>
          <w:ilvl w:val="1"/>
          <w:numId w:val="5"/>
        </w:numPr>
        <w:rPr>
          <w:rFonts w:cs="Arial"/>
          <w:szCs w:val="22"/>
        </w:rPr>
      </w:pPr>
      <w:r>
        <w:rPr>
          <w:rFonts w:cs="Arial"/>
          <w:szCs w:val="22"/>
        </w:rPr>
        <w:t xml:space="preserve">Teaching </w:t>
      </w:r>
      <w:r w:rsidR="00467F38">
        <w:rPr>
          <w:rFonts w:cs="Arial"/>
          <w:szCs w:val="22"/>
        </w:rPr>
        <w:t>counting</w:t>
      </w:r>
    </w:p>
    <w:p w:rsidR="006D062B" w:rsidRDefault="006D062B" w:rsidP="006D062B">
      <w:pPr>
        <w:ind w:left="360"/>
        <w:rPr>
          <w:rFonts w:cs="Arial"/>
          <w:szCs w:val="22"/>
        </w:rPr>
      </w:pPr>
    </w:p>
    <w:p w:rsidR="003450AB" w:rsidRDefault="003450AB" w:rsidP="006D062B">
      <w:pPr>
        <w:ind w:left="360"/>
        <w:rPr>
          <w:rFonts w:cs="Arial"/>
          <w:szCs w:val="22"/>
        </w:rPr>
      </w:pPr>
      <w:r>
        <w:rPr>
          <w:rFonts w:cs="Arial"/>
          <w:szCs w:val="22"/>
        </w:rPr>
        <w:t>Model 5: Model 4 + Child’s test scores at age 5</w:t>
      </w:r>
    </w:p>
    <w:p w:rsidR="00BB034A" w:rsidRPr="006D062B" w:rsidRDefault="003450AB" w:rsidP="006D062B">
      <w:pPr>
        <w:ind w:left="360"/>
        <w:rPr>
          <w:rFonts w:cs="Arial"/>
          <w:szCs w:val="22"/>
        </w:rPr>
      </w:pPr>
      <w:r>
        <w:rPr>
          <w:rFonts w:cs="Arial"/>
          <w:szCs w:val="22"/>
        </w:rPr>
        <w:lastRenderedPageBreak/>
        <w:t>The inclusion of age 5 test scores in the model means that</w:t>
      </w:r>
      <w:r w:rsidR="006D062B" w:rsidRPr="006D062B">
        <w:rPr>
          <w:rFonts w:cs="Arial"/>
          <w:szCs w:val="22"/>
        </w:rPr>
        <w:t xml:space="preserve"> </w:t>
      </w:r>
      <w:r>
        <w:rPr>
          <w:rFonts w:cs="Arial"/>
          <w:szCs w:val="22"/>
        </w:rPr>
        <w:t xml:space="preserve">it </w:t>
      </w:r>
      <w:r w:rsidR="006D062B" w:rsidRPr="006D062B">
        <w:rPr>
          <w:rFonts w:cs="Arial"/>
          <w:szCs w:val="22"/>
        </w:rPr>
        <w:t>becomes a model of ho</w:t>
      </w:r>
      <w:r w:rsidR="006D062B">
        <w:rPr>
          <w:rFonts w:cs="Arial"/>
          <w:szCs w:val="22"/>
        </w:rPr>
        <w:t>w</w:t>
      </w:r>
      <w:r>
        <w:rPr>
          <w:rFonts w:cs="Arial"/>
          <w:szCs w:val="22"/>
        </w:rPr>
        <w:t xml:space="preserve"> far the predictions of model 4</w:t>
      </w:r>
      <w:r w:rsidR="006D062B" w:rsidRPr="006D062B">
        <w:rPr>
          <w:rFonts w:cs="Arial"/>
          <w:szCs w:val="22"/>
        </w:rPr>
        <w:t xml:space="preserve"> had already been established by age 5, and how far they continued to be reflected in changes in the </w:t>
      </w:r>
      <w:r w:rsidR="00564432">
        <w:rPr>
          <w:rFonts w:cs="Arial"/>
          <w:szCs w:val="22"/>
        </w:rPr>
        <w:t xml:space="preserve">child’s test scores </w:t>
      </w:r>
      <w:r w:rsidR="006D062B" w:rsidRPr="006D062B">
        <w:rPr>
          <w:rFonts w:cs="Arial"/>
          <w:szCs w:val="22"/>
        </w:rPr>
        <w:t>between age 5 and age 7</w:t>
      </w:r>
      <w:r w:rsidR="006D062B">
        <w:rPr>
          <w:rFonts w:cs="Arial"/>
          <w:szCs w:val="22"/>
        </w:rPr>
        <w:t>.</w:t>
      </w:r>
      <w:r w:rsidR="005A637B">
        <w:rPr>
          <w:rFonts w:cs="Arial"/>
          <w:szCs w:val="22"/>
        </w:rPr>
        <w:t xml:space="preserve"> Essentially it is a model of progress, with the proviso that the tests taken at age 5 were not the same as those taken at 7. </w:t>
      </w:r>
      <w:r w:rsidR="00593EAD">
        <w:rPr>
          <w:rFonts w:cs="Arial"/>
          <w:szCs w:val="22"/>
        </w:rPr>
        <w:t xml:space="preserve">Coefficients in this model could also be biased if measurement error in the cognitive tests at age 5 is linked to other variables of interest </w:t>
      </w:r>
      <w:r w:rsidR="00C16BF1">
        <w:rPr>
          <w:rFonts w:cs="Arial"/>
          <w:szCs w:val="22"/>
        </w:rPr>
        <w:fldChar w:fldCharType="begin"/>
      </w:r>
      <w:r w:rsidR="0005386F">
        <w:rPr>
          <w:rFonts w:cs="Arial"/>
          <w:szCs w:val="22"/>
        </w:rPr>
        <w:instrText xml:space="preserve"> ADDIN EN.CITE &lt;EndNote&gt;&lt;Cite&gt;&lt;Author&gt;Jerrim&lt;/Author&gt;&lt;Year&gt;2011&lt;/Year&gt;&lt;RecNum&gt;1260&lt;/RecNum&gt;&lt;record&gt;&lt;rec-number&gt;1260&lt;/rec-number&gt;&lt;foreign-keys&gt;&lt;key app="EN" db-id="aeretdtfgatxzketrem5pp9n9d2vvexz5rvr"&gt;1260&lt;/key&gt;&lt;/foreign-keys&gt;&lt;ref-type name="Conference Paper"&gt;47&lt;/ref-type&gt;&lt;contributors&gt;&lt;authors&gt;&lt;author&gt;Jerrim, J.&lt;/author&gt;&lt;author&gt;Vignoles, V.&lt;/author&gt;&lt;/authors&gt;&lt;/contributors&gt;&lt;titles&gt;&lt;title&gt;Social mobility, regression to the mean and the cognitive development of high ability children from disadvantaged homes&lt;/title&gt;&lt;secondary-title&gt;QSS Seminar&lt;/secondary-title&gt;&lt;/titles&gt;&lt;dates&gt;&lt;year&gt;2011&lt;/year&gt;&lt;/dates&gt;&lt;pub-location&gt;Institute of Education, London&lt;/pub-location&gt;&lt;urls&gt;&lt;/urls&gt;&lt;/record&gt;&lt;/Cite&gt;&lt;/EndNote&gt;</w:instrText>
      </w:r>
      <w:r w:rsidR="00C16BF1">
        <w:rPr>
          <w:rFonts w:cs="Arial"/>
          <w:szCs w:val="22"/>
        </w:rPr>
        <w:fldChar w:fldCharType="separate"/>
      </w:r>
      <w:r w:rsidR="00593EAD">
        <w:rPr>
          <w:rFonts w:cs="Arial"/>
          <w:szCs w:val="22"/>
        </w:rPr>
        <w:t>(Jerrim and Vignoles 2011)</w:t>
      </w:r>
      <w:r w:rsidR="00C16BF1">
        <w:rPr>
          <w:rFonts w:cs="Arial"/>
          <w:szCs w:val="22"/>
        </w:rPr>
        <w:fldChar w:fldCharType="end"/>
      </w:r>
      <w:r w:rsidR="00593EAD">
        <w:rPr>
          <w:rFonts w:cs="Arial"/>
          <w:szCs w:val="22"/>
        </w:rPr>
        <w:t xml:space="preserve">. </w:t>
      </w:r>
      <w:r w:rsidR="00BB034A">
        <w:rPr>
          <w:rFonts w:cs="Arial"/>
          <w:szCs w:val="22"/>
        </w:rPr>
        <w:t xml:space="preserve">This model also includes the child’s age in months when </w:t>
      </w:r>
      <w:r w:rsidR="00D15F2D">
        <w:rPr>
          <w:rFonts w:cs="Arial"/>
          <w:szCs w:val="22"/>
        </w:rPr>
        <w:t xml:space="preserve">s/he </w:t>
      </w:r>
      <w:r w:rsidR="00BB034A">
        <w:rPr>
          <w:rFonts w:cs="Arial"/>
          <w:szCs w:val="22"/>
        </w:rPr>
        <w:t>took the age 5 tests.</w:t>
      </w:r>
    </w:p>
    <w:p w:rsidR="006D062B" w:rsidRPr="006D062B" w:rsidRDefault="006D062B" w:rsidP="006D062B">
      <w:pPr>
        <w:rPr>
          <w:rFonts w:cs="Arial"/>
          <w:szCs w:val="22"/>
        </w:rPr>
      </w:pPr>
    </w:p>
    <w:p w:rsidR="008C567A" w:rsidRDefault="008C567A" w:rsidP="009637E9">
      <w:pPr>
        <w:rPr>
          <w:rFonts w:cs="Arial"/>
          <w:szCs w:val="22"/>
        </w:rPr>
      </w:pPr>
    </w:p>
    <w:p w:rsidR="008C567A" w:rsidRDefault="008C567A" w:rsidP="008C567A">
      <w:pPr>
        <w:pStyle w:val="Heading2"/>
      </w:pPr>
      <w:r>
        <w:t>Results</w:t>
      </w:r>
    </w:p>
    <w:p w:rsidR="001426AB" w:rsidRDefault="001426AB" w:rsidP="001426AB"/>
    <w:p w:rsidR="004D34CB" w:rsidRDefault="00022278" w:rsidP="00445E31">
      <w:r>
        <w:t>Table 2</w:t>
      </w:r>
      <w:r w:rsidR="0094225C">
        <w:t xml:space="preserve"> shows a set of linear regression models. </w:t>
      </w:r>
      <w:r w:rsidR="004D34CB">
        <w:t xml:space="preserve">Model 1 shows a strong social class gradient in children’s </w:t>
      </w:r>
      <w:r w:rsidR="00D15F2D">
        <w:t xml:space="preserve">cognitive </w:t>
      </w:r>
      <w:r w:rsidR="004D34CB">
        <w:t xml:space="preserve">scores, controlling for the other variables in the model. The advantage accruing to the higher </w:t>
      </w:r>
      <w:proofErr w:type="spellStart"/>
      <w:r w:rsidR="004D34CB">
        <w:t>salariat</w:t>
      </w:r>
      <w:proofErr w:type="spellEnd"/>
      <w:r w:rsidR="004D34CB">
        <w:t xml:space="preserve"> compared to the semi</w:t>
      </w:r>
      <w:r w:rsidR="0094225C">
        <w:t>-routine</w:t>
      </w:r>
      <w:r w:rsidR="004D34CB">
        <w:t xml:space="preserve"> and routine </w:t>
      </w:r>
      <w:r w:rsidR="0094225C">
        <w:t xml:space="preserve">workers </w:t>
      </w:r>
      <w:r w:rsidR="00494E45">
        <w:t>class is 18.5</w:t>
      </w:r>
      <w:r w:rsidR="004D34CB">
        <w:t xml:space="preserve"> times larger than the benefit associated with an additional month in age. There is also an advantage for girls in this model, equivalent to 1.7 months of difference in age. </w:t>
      </w:r>
      <w:r w:rsidR="00A93739">
        <w:t xml:space="preserve">This model shows a positive effect for Indian children, and a negative one for Bangladeshi and Pakistani children, compared to whites. Children in Scotland are </w:t>
      </w:r>
      <w:r w:rsidR="00494E45">
        <w:t>significantly</w:t>
      </w:r>
      <w:r w:rsidR="00A93739">
        <w:t xml:space="preserve"> behind children in England</w:t>
      </w:r>
      <w:r w:rsidR="00741060">
        <w:t>.</w:t>
      </w:r>
    </w:p>
    <w:p w:rsidR="0094225C" w:rsidRDefault="0094225C" w:rsidP="00445E31"/>
    <w:p w:rsidR="0094225C" w:rsidRDefault="00022278" w:rsidP="00445E31">
      <w:r>
        <w:t>TABLE 2</w:t>
      </w:r>
      <w:r w:rsidR="0094225C">
        <w:t xml:space="preserve"> HERE</w:t>
      </w:r>
    </w:p>
    <w:p w:rsidR="00A93739" w:rsidRDefault="00A93739" w:rsidP="00445E31"/>
    <w:p w:rsidR="00A93739" w:rsidRDefault="00A93739" w:rsidP="00445E31">
      <w:r>
        <w:t xml:space="preserve">Model 2 introduces income in quintiles and parents’ education. Parents’ qualifications are the most powerful predictor. The children of graduates have an advantage equivalent to 12.5 months in age, with an even larger coefficient for children whose parents have postgraduate degrees. A levels and A-C GCSE passes also predict significantly higher test scores compared to no qualifications. Income is also significant, but the coefficients are more modest in size. Children in the top income quintile gained an advantage equivalent to </w:t>
      </w:r>
      <w:r w:rsidR="00494E45">
        <w:t>2.7</w:t>
      </w:r>
      <w:r>
        <w:t xml:space="preserve"> months in age compared to those in the bottom income quintile. In this model, the </w:t>
      </w:r>
      <w:r w:rsidR="00862980">
        <w:t xml:space="preserve">effect of social class is reduced but still substantial. The advantage of the higher </w:t>
      </w:r>
      <w:proofErr w:type="spellStart"/>
      <w:r w:rsidR="00862980">
        <w:t>salariat</w:t>
      </w:r>
      <w:proofErr w:type="spellEnd"/>
      <w:r w:rsidR="00862980">
        <w:t xml:space="preserve"> </w:t>
      </w:r>
      <w:r w:rsidR="00706DB7">
        <w:t>shrinks t</w:t>
      </w:r>
      <w:r w:rsidR="00862980">
        <w:t>o the equivalent of 7.4 months in age.</w:t>
      </w:r>
    </w:p>
    <w:p w:rsidR="00862980" w:rsidRDefault="00862980" w:rsidP="00445E31"/>
    <w:p w:rsidR="00A92D68" w:rsidRDefault="00862980" w:rsidP="00445E31">
      <w:r>
        <w:t xml:space="preserve">Model 3 includes the family’s social resources. </w:t>
      </w:r>
      <w:r w:rsidR="005A4D04">
        <w:t xml:space="preserve">The effect of parents’ employment </w:t>
      </w:r>
      <w:r>
        <w:t xml:space="preserve">and couple status </w:t>
      </w:r>
      <w:r w:rsidR="00D30711">
        <w:t xml:space="preserve">at wave 2 </w:t>
      </w:r>
      <w:r w:rsidR="006A6FD2">
        <w:t>is</w:t>
      </w:r>
      <w:r w:rsidR="005A4D04">
        <w:t xml:space="preserve"> </w:t>
      </w:r>
      <w:r w:rsidR="007D341A">
        <w:t>not statistically significant</w:t>
      </w:r>
      <w:r w:rsidR="005A4D04">
        <w:t xml:space="preserve">. </w:t>
      </w:r>
      <w:r>
        <w:t>T</w:t>
      </w:r>
      <w:r w:rsidR="00A92D68">
        <w:t>he age of the mother at first birth is significant</w:t>
      </w:r>
      <w:r>
        <w:t xml:space="preserve">, with the children of older mothers scoring </w:t>
      </w:r>
      <w:r w:rsidR="006E0FC9">
        <w:t>higher than</w:t>
      </w:r>
      <w:r>
        <w:t xml:space="preserve"> children of mothers of up to 20 years old</w:t>
      </w:r>
      <w:r w:rsidR="00A92D68">
        <w:t xml:space="preserve">. The number of younger siblings is insignificant, but having two or more older siblings is negative compared to being an only child. Two older siblings is equivalent to a </w:t>
      </w:r>
      <w:r>
        <w:t xml:space="preserve">2.9 </w:t>
      </w:r>
      <w:r w:rsidR="00A92D68">
        <w:t>month disadvantage.</w:t>
      </w:r>
      <w:r w:rsidR="009C5236">
        <w:t xml:space="preserve"> </w:t>
      </w:r>
      <w:r w:rsidR="00F2108B">
        <w:t xml:space="preserve">Maternal </w:t>
      </w:r>
      <w:r w:rsidR="009C5236">
        <w:t xml:space="preserve">physical illness was not significant, but a high score on the Kessler depression scale </w:t>
      </w:r>
      <w:r w:rsidR="00F2108B">
        <w:t xml:space="preserve">had a </w:t>
      </w:r>
      <w:r w:rsidR="009C5236">
        <w:t>negative</w:t>
      </w:r>
      <w:r w:rsidR="00F2108B">
        <w:t xml:space="preserve"> estimate</w:t>
      </w:r>
      <w:r w:rsidR="009C5236">
        <w:t xml:space="preserve">, equivalent to a </w:t>
      </w:r>
      <w:r w:rsidR="007D341A">
        <w:t>5.4</w:t>
      </w:r>
      <w:r w:rsidR="009C5236">
        <w:t xml:space="preserve"> month disadvantage. Perhaps surprisingly, the type of area that the family were sampled in was not significant</w:t>
      </w:r>
      <w:r w:rsidR="00571B22">
        <w:t xml:space="preserve">, suggesting that </w:t>
      </w:r>
      <w:r w:rsidR="00F2108B">
        <w:t xml:space="preserve">individual families’ </w:t>
      </w:r>
      <w:r w:rsidR="00571B22">
        <w:t xml:space="preserve">advantage or </w:t>
      </w:r>
      <w:proofErr w:type="gramStart"/>
      <w:r w:rsidR="00571B22">
        <w:t>disadvantage,</w:t>
      </w:r>
      <w:proofErr w:type="gramEnd"/>
      <w:r w:rsidR="00571B22">
        <w:t xml:space="preserve"> </w:t>
      </w:r>
      <w:r w:rsidR="00F2108B">
        <w:t xml:space="preserve">is sufficient to account for </w:t>
      </w:r>
      <w:r w:rsidR="00F072E4">
        <w:t>neighbourhood differences</w:t>
      </w:r>
      <w:r w:rsidR="00F2108B">
        <w:t>.</w:t>
      </w:r>
    </w:p>
    <w:p w:rsidR="006351BF" w:rsidRDefault="006351BF" w:rsidP="00445E31"/>
    <w:p w:rsidR="009C5236" w:rsidRDefault="00571B22" w:rsidP="00445E31">
      <w:r>
        <w:t xml:space="preserve">In model 4 we </w:t>
      </w:r>
      <w:r w:rsidR="00F2108B">
        <w:t>bring in</w:t>
      </w:r>
      <w:r>
        <w:t xml:space="preserve"> parental behaviours.</w:t>
      </w:r>
      <w:r w:rsidR="006351BF">
        <w:t xml:space="preserve"> </w:t>
      </w:r>
      <w:r>
        <w:t>B</w:t>
      </w:r>
      <w:r w:rsidR="006351BF">
        <w:t>reastfeeding is positive, even if only carried out for up to three months, but with a larger parameter for 3-6 months</w:t>
      </w:r>
      <w:r w:rsidR="00C16E56">
        <w:t xml:space="preserve"> of breastfeeding</w:t>
      </w:r>
      <w:r w:rsidR="006351BF">
        <w:t>, equivalent to 2.8 months in age. Regular bedtimes and regular mealtimes were both significant</w:t>
      </w:r>
      <w:r w:rsidR="00F2108B">
        <w:t xml:space="preserve"> in the expected direction</w:t>
      </w:r>
      <w:r w:rsidR="006351BF">
        <w:t xml:space="preserve">. </w:t>
      </w:r>
      <w:r w:rsidR="006A6FD2">
        <w:t xml:space="preserve">Having rules which are ‘not very strictly enforced’ is negative compared to having strictly enforced rules. </w:t>
      </w:r>
      <w:r w:rsidR="00F2108B">
        <w:t xml:space="preserve">The </w:t>
      </w:r>
      <w:r w:rsidR="00921562">
        <w:t>results for TV viewing ra</w:t>
      </w:r>
      <w:r w:rsidR="00C16E56">
        <w:t xml:space="preserve">n counter to expectations, with a positive </w:t>
      </w:r>
      <w:r w:rsidR="00F072E4">
        <w:t>coefficient</w:t>
      </w:r>
      <w:r w:rsidR="00C16E56">
        <w:t xml:space="preserve"> for children who watched an hour or more of TV, and an apparently greater advantage for those who watched over three hours of TV daily, equivalent to a three month advantage in age. More in line with our expectations, daily reading to the child, taking the child to the library and helping the child to learn the alphabet all had significant effects in the predicted directions. </w:t>
      </w:r>
      <w:r w:rsidR="00E04786">
        <w:t>However, teaching counting wa</w:t>
      </w:r>
      <w:r w:rsidR="00ED1B9F">
        <w:t>s non-significant</w:t>
      </w:r>
      <w:r w:rsidR="00706DB7">
        <w:t>, all else equal</w:t>
      </w:r>
      <w:r w:rsidR="00ED1B9F">
        <w:t xml:space="preserve">. </w:t>
      </w:r>
    </w:p>
    <w:p w:rsidR="000707D3" w:rsidRDefault="000707D3" w:rsidP="00445E31"/>
    <w:p w:rsidR="00074A61" w:rsidRDefault="00A0433A" w:rsidP="00445E31">
      <w:r>
        <w:t>Does the parenting informatio</w:t>
      </w:r>
      <w:r w:rsidR="007D341A">
        <w:t>n account for the social class gradient</w:t>
      </w:r>
      <w:r w:rsidR="001E7C50">
        <w:t>?</w:t>
      </w:r>
      <w:r>
        <w:t xml:space="preserve"> Not greatly,</w:t>
      </w:r>
      <w:r w:rsidR="001E7C50">
        <w:t xml:space="preserve"> </w:t>
      </w:r>
      <w:r>
        <w:t>as the coefficient</w:t>
      </w:r>
      <w:r w:rsidR="00E04786">
        <w:t>s</w:t>
      </w:r>
      <w:r>
        <w:t xml:space="preserve"> on p</w:t>
      </w:r>
      <w:r w:rsidR="00F50372">
        <w:t xml:space="preserve">arents’ education and social class are </w:t>
      </w:r>
      <w:r>
        <w:t xml:space="preserve">still </w:t>
      </w:r>
      <w:r w:rsidR="00F50372">
        <w:t>the most powerful predictors of children’s test scores in model</w:t>
      </w:r>
      <w:r>
        <w:t xml:space="preserve"> </w:t>
      </w:r>
      <w:r w:rsidR="00741060">
        <w:t xml:space="preserve">4 </w:t>
      </w:r>
      <w:r>
        <w:t>and have only been mildly attenuated since model 3, with its fuller battery of family circumstances</w:t>
      </w:r>
      <w:r w:rsidR="00F50372">
        <w:t>.</w:t>
      </w:r>
      <w:r w:rsidR="00571B22">
        <w:t xml:space="preserve"> Ethnicity on the other hand</w:t>
      </w:r>
      <w:r w:rsidR="00D30711">
        <w:t>,</w:t>
      </w:r>
      <w:r w:rsidR="00D30711" w:rsidRPr="00D30711">
        <w:t xml:space="preserve"> </w:t>
      </w:r>
      <w:r w:rsidR="00D30711">
        <w:t>having been reduced to insignificance by the introduction of family resources, remains so when parenting factors are introduced.</w:t>
      </w:r>
      <w:r w:rsidR="00571B22">
        <w:t xml:space="preserve"> </w:t>
      </w:r>
    </w:p>
    <w:p w:rsidR="00D30711" w:rsidRDefault="00D30711" w:rsidP="00445E31"/>
    <w:p w:rsidR="00074A61" w:rsidRDefault="00074A61" w:rsidP="00445E31">
      <w:r>
        <w:t>We investigated whether there were interactions between important variables such as gender, ethnicity and social class</w:t>
      </w:r>
      <w:r w:rsidR="006A6FD2">
        <w:t>, and dimensions of parenting</w:t>
      </w:r>
      <w:r>
        <w:t xml:space="preserve">. </w:t>
      </w:r>
      <w:r w:rsidR="00706DB7">
        <w:t>But</w:t>
      </w:r>
      <w:r>
        <w:t xml:space="preserve"> no statistically significant interaction terms</w:t>
      </w:r>
      <w:r w:rsidR="00706DB7">
        <w:t xml:space="preserve"> were found</w:t>
      </w:r>
      <w:r>
        <w:t>.</w:t>
      </w:r>
    </w:p>
    <w:p w:rsidR="00F50372" w:rsidRDefault="00F50372" w:rsidP="00445E31"/>
    <w:p w:rsidR="00F50372" w:rsidRDefault="00F50372" w:rsidP="00445E31">
      <w:r>
        <w:t xml:space="preserve">Model 5 includes the child’s test score at age 5, so that this model is essentially one of progress between the ages of 5 and 7. </w:t>
      </w:r>
      <w:r w:rsidR="0066337C">
        <w:t>The influence of s</w:t>
      </w:r>
      <w:r w:rsidR="007301E3">
        <w:t xml:space="preserve">ocial class and parents’ education </w:t>
      </w:r>
      <w:r w:rsidR="0066337C">
        <w:t xml:space="preserve">on the change since age 5 is </w:t>
      </w:r>
      <w:r w:rsidR="007301E3">
        <w:t xml:space="preserve">still powerful, though reduced, but </w:t>
      </w:r>
      <w:r w:rsidR="007D341A">
        <w:t>only the top income category remains significant in this model</w:t>
      </w:r>
      <w:r w:rsidR="007301E3">
        <w:t>. Children of Indian, Pakistani and Bangladeshi backgrounds and those in the ‘other ethnic’ category made substantially more progress between the ages of 5 and 7 than the white majority.</w:t>
      </w:r>
    </w:p>
    <w:p w:rsidR="00234F9F" w:rsidRDefault="00234F9F" w:rsidP="00445E31"/>
    <w:p w:rsidR="00234F9F" w:rsidRDefault="00234F9F" w:rsidP="00445E31">
      <w:r>
        <w:t xml:space="preserve">Older siblings become insignificant in this model, suggesting the </w:t>
      </w:r>
      <w:r w:rsidR="00D30711">
        <w:t xml:space="preserve">disadvantage </w:t>
      </w:r>
      <w:r>
        <w:t xml:space="preserve">of having older siblings is </w:t>
      </w:r>
      <w:r w:rsidR="000E07AC">
        <w:t xml:space="preserve">established by </w:t>
      </w:r>
      <w:r>
        <w:t xml:space="preserve">age 5. However, </w:t>
      </w:r>
      <w:r w:rsidR="00D30711">
        <w:t>mothers’</w:t>
      </w:r>
      <w:r w:rsidR="00FD0944">
        <w:t xml:space="preserve"> depression when the child was 3</w:t>
      </w:r>
      <w:r w:rsidR="00AA5B41">
        <w:t xml:space="preserve"> </w:t>
      </w:r>
      <w:r w:rsidR="00564432">
        <w:t>casts a continuing significant shadow</w:t>
      </w:r>
      <w:r>
        <w:t>.</w:t>
      </w:r>
    </w:p>
    <w:p w:rsidR="00234F9F" w:rsidRDefault="00234F9F" w:rsidP="00445E31"/>
    <w:p w:rsidR="00234F9F" w:rsidRDefault="00234F9F" w:rsidP="00445E31">
      <w:r>
        <w:t>Of the parenting behaviour measures</w:t>
      </w:r>
      <w:r w:rsidR="00A0433A">
        <w:t xml:space="preserve"> from age 3</w:t>
      </w:r>
      <w:r>
        <w:t>, regular bed times, TV viewing, going to the library and teaching the alphabet remain significant in this model, and teaching counting becomes significant.</w:t>
      </w:r>
      <w:r w:rsidR="00FD0944" w:rsidRPr="00FD0944">
        <w:t xml:space="preserve"> </w:t>
      </w:r>
      <w:r w:rsidR="00FD0944">
        <w:t>Each of these 6 significant terms adds about one month’s progress to the predicted score.</w:t>
      </w:r>
    </w:p>
    <w:p w:rsidR="00562A86" w:rsidRDefault="00562A86" w:rsidP="00445E31"/>
    <w:p w:rsidR="00F93543" w:rsidRDefault="00697482" w:rsidP="00445E31">
      <w:r>
        <w:t>FIGURE 1</w:t>
      </w:r>
    </w:p>
    <w:p w:rsidR="00F93543" w:rsidRDefault="00F93543" w:rsidP="00445E31"/>
    <w:p w:rsidR="00562A86" w:rsidRDefault="00562A86" w:rsidP="00445E31"/>
    <w:p w:rsidR="003507F3" w:rsidRPr="003507F3" w:rsidRDefault="00B4044C" w:rsidP="003507F3">
      <w:r>
        <w:lastRenderedPageBreak/>
        <w:t>Fig</w:t>
      </w:r>
      <w:r w:rsidR="00697482">
        <w:t>ure 1</w:t>
      </w:r>
      <w:r w:rsidR="00562A86">
        <w:t xml:space="preserve"> shows the extent to which the social class, education and income parameters are mediated by the inclusion of each additional block of variables. </w:t>
      </w:r>
      <w:r w:rsidR="00BA059A">
        <w:t xml:space="preserve">The coefficients are divided by the coefficient for age in months, and only statistically significant parameters are shown. </w:t>
      </w:r>
      <w:r w:rsidR="00562A86">
        <w:t xml:space="preserve">Unsurprisingly, the social class parameters are substantially reduced by the inclusion of income and education in model 2. The inclusion of the family’s social resources in model 3 </w:t>
      </w:r>
      <w:r w:rsidR="00BA059A">
        <w:t>leads to a more modest reduction in the social class and education coefficients</w:t>
      </w:r>
      <w:r w:rsidR="00C77F42">
        <w:t xml:space="preserve">, but income is </w:t>
      </w:r>
      <w:r w:rsidR="00AA5B41">
        <w:t>reduced more substantially</w:t>
      </w:r>
      <w:r w:rsidR="00BA059A">
        <w:t xml:space="preserve">. The inclusion of </w:t>
      </w:r>
      <w:r w:rsidR="00C77F42">
        <w:t xml:space="preserve">parents’ behaviours in model 4 further chips away at the social class and education coefficients, but they remain substantial despite the large number of potentially mediating variables that have been included. Finally, model 5 shows that, despite the range of controls that have been included, children whose parents have higher degrees or undergraduate degrees and those who have </w:t>
      </w:r>
      <w:proofErr w:type="spellStart"/>
      <w:r w:rsidR="00C77F42">
        <w:t>salariat</w:t>
      </w:r>
      <w:proofErr w:type="spellEnd"/>
      <w:r w:rsidR="00C77F42">
        <w:t xml:space="preserve"> class parents make significantly more progress between the ages of 5 and 7 compared to (respectively) those with no qualifications and those in routine and semi-routine occupations.</w:t>
      </w:r>
      <w:r w:rsidR="003507F3">
        <w:t xml:space="preserve"> </w:t>
      </w:r>
      <w:r w:rsidR="003507F3" w:rsidRPr="003507F3">
        <w:t xml:space="preserve">Summing </w:t>
      </w:r>
      <w:r w:rsidR="003507F3">
        <w:t xml:space="preserve">the estimates for the </w:t>
      </w:r>
      <w:r w:rsidR="003507F3" w:rsidRPr="003507F3">
        <w:t xml:space="preserve">top </w:t>
      </w:r>
      <w:r w:rsidR="003507F3">
        <w:t xml:space="preserve">social class and education categories, </w:t>
      </w:r>
      <w:r w:rsidR="003507F3" w:rsidRPr="003507F3">
        <w:t xml:space="preserve">the gap between children whose parents are in </w:t>
      </w:r>
      <w:r w:rsidR="00B66CCE">
        <w:t xml:space="preserve">both </w:t>
      </w:r>
      <w:r w:rsidR="003507F3">
        <w:t>these categories versus</w:t>
      </w:r>
      <w:r w:rsidR="003507F3" w:rsidRPr="003507F3">
        <w:t xml:space="preserve"> those </w:t>
      </w:r>
      <w:r w:rsidR="003507F3">
        <w:t xml:space="preserve">in </w:t>
      </w:r>
      <w:r w:rsidR="00B66CCE">
        <w:t>neither category</w:t>
      </w:r>
      <w:r w:rsidR="003507F3">
        <w:t xml:space="preserve"> grows</w:t>
      </w:r>
      <w:r w:rsidR="003507F3" w:rsidRPr="003507F3">
        <w:t xml:space="preserve"> by about 6 months between </w:t>
      </w:r>
      <w:r w:rsidR="0066337C">
        <w:t xml:space="preserve">the ages of </w:t>
      </w:r>
      <w:r w:rsidR="003507F3" w:rsidRPr="003507F3">
        <w:t xml:space="preserve">5 and 7. </w:t>
      </w:r>
    </w:p>
    <w:p w:rsidR="0029702F" w:rsidRDefault="00195BCE" w:rsidP="00195BCE">
      <w:pPr>
        <w:pStyle w:val="Heading2"/>
      </w:pPr>
      <w:r>
        <w:t>Conclusions</w:t>
      </w:r>
    </w:p>
    <w:p w:rsidR="00195BCE" w:rsidRPr="00195BCE" w:rsidRDefault="00195BCE" w:rsidP="00195BCE"/>
    <w:p w:rsidR="0029702F" w:rsidRDefault="00143F23" w:rsidP="009637E9">
      <w:pPr>
        <w:rPr>
          <w:rFonts w:cs="Arial"/>
          <w:szCs w:val="22"/>
        </w:rPr>
      </w:pPr>
      <w:r>
        <w:rPr>
          <w:rFonts w:cs="Arial"/>
          <w:szCs w:val="22"/>
        </w:rPr>
        <w:t>Social class categories can be seen as reflecting a wide range of resources that promote educational advantage. We have tried to unpack some of these resources in order to contribute to the understanding of social class differences in children in the early years of primary school.</w:t>
      </w:r>
    </w:p>
    <w:p w:rsidR="00143F23" w:rsidRDefault="00143F23" w:rsidP="009637E9">
      <w:pPr>
        <w:rPr>
          <w:rFonts w:cs="Arial"/>
          <w:szCs w:val="22"/>
        </w:rPr>
      </w:pPr>
    </w:p>
    <w:p w:rsidR="004B7A10" w:rsidRDefault="004B7A10" w:rsidP="009637E9">
      <w:pPr>
        <w:rPr>
          <w:rFonts w:cs="Arial"/>
          <w:szCs w:val="22"/>
        </w:rPr>
      </w:pPr>
      <w:r>
        <w:rPr>
          <w:rFonts w:cs="Arial"/>
          <w:szCs w:val="22"/>
        </w:rPr>
        <w:t xml:space="preserve">Social class, education and income are the </w:t>
      </w:r>
      <w:r w:rsidR="00DD1A12">
        <w:rPr>
          <w:rFonts w:cs="Arial"/>
          <w:szCs w:val="22"/>
        </w:rPr>
        <w:t>‘</w:t>
      </w:r>
      <w:r>
        <w:rPr>
          <w:rFonts w:cs="Arial"/>
          <w:szCs w:val="22"/>
        </w:rPr>
        <w:t>holy trinity</w:t>
      </w:r>
      <w:r w:rsidR="00DD1A12">
        <w:rPr>
          <w:rFonts w:cs="Arial"/>
          <w:szCs w:val="22"/>
        </w:rPr>
        <w:t>’</w:t>
      </w:r>
      <w:r>
        <w:rPr>
          <w:rFonts w:cs="Arial"/>
          <w:szCs w:val="22"/>
        </w:rPr>
        <w:t xml:space="preserve"> of indicators of </w:t>
      </w:r>
      <w:r w:rsidR="00284548">
        <w:rPr>
          <w:rFonts w:cs="Arial"/>
          <w:szCs w:val="22"/>
        </w:rPr>
        <w:t xml:space="preserve">parental </w:t>
      </w:r>
      <w:r>
        <w:rPr>
          <w:rFonts w:cs="Arial"/>
          <w:szCs w:val="22"/>
        </w:rPr>
        <w:t>socio-economic status.</w:t>
      </w:r>
      <w:r w:rsidR="00137FCD">
        <w:rPr>
          <w:rFonts w:cs="Arial"/>
          <w:szCs w:val="22"/>
        </w:rPr>
        <w:t xml:space="preserve"> There are difficult conceptual issues</w:t>
      </w:r>
      <w:r w:rsidR="00284548">
        <w:rPr>
          <w:rFonts w:cs="Arial"/>
          <w:szCs w:val="22"/>
        </w:rPr>
        <w:t xml:space="preserve"> </w:t>
      </w:r>
      <w:r w:rsidR="00137FCD">
        <w:rPr>
          <w:rFonts w:cs="Arial"/>
          <w:szCs w:val="22"/>
        </w:rPr>
        <w:t>entailed in the measurement of all three indicators</w:t>
      </w:r>
      <w:r w:rsidR="00706DB7">
        <w:rPr>
          <w:rFonts w:cs="Arial"/>
          <w:szCs w:val="22"/>
        </w:rPr>
        <w:t>. T</w:t>
      </w:r>
      <w:r w:rsidR="00137FCD">
        <w:rPr>
          <w:rFonts w:cs="Arial"/>
          <w:szCs w:val="22"/>
        </w:rPr>
        <w:t xml:space="preserve">he way in which they are </w:t>
      </w:r>
      <w:proofErr w:type="spellStart"/>
      <w:r w:rsidR="00137FCD">
        <w:rPr>
          <w:rFonts w:cs="Arial"/>
          <w:szCs w:val="22"/>
        </w:rPr>
        <w:t>operationalised</w:t>
      </w:r>
      <w:proofErr w:type="spellEnd"/>
      <w:r w:rsidR="00137FCD">
        <w:rPr>
          <w:rFonts w:cs="Arial"/>
          <w:szCs w:val="22"/>
        </w:rPr>
        <w:t xml:space="preserve"> can have </w:t>
      </w:r>
      <w:r>
        <w:rPr>
          <w:rFonts w:cs="Arial"/>
          <w:szCs w:val="22"/>
        </w:rPr>
        <w:t xml:space="preserve">important implications for </w:t>
      </w:r>
      <w:r w:rsidR="002E580F">
        <w:rPr>
          <w:rFonts w:cs="Arial"/>
          <w:szCs w:val="22"/>
        </w:rPr>
        <w:t>research results</w:t>
      </w:r>
      <w:r>
        <w:rPr>
          <w:rFonts w:cs="Arial"/>
          <w:szCs w:val="22"/>
        </w:rPr>
        <w:t xml:space="preserve">. </w:t>
      </w:r>
      <w:r w:rsidR="00137FCD">
        <w:rPr>
          <w:rFonts w:cs="Arial"/>
          <w:szCs w:val="22"/>
        </w:rPr>
        <w:t>In the case of education, w</w:t>
      </w:r>
      <w:r>
        <w:rPr>
          <w:rFonts w:cs="Arial"/>
          <w:szCs w:val="22"/>
        </w:rPr>
        <w:t xml:space="preserve">e discovered that, when using the standard derived variable which is based on NVQ </w:t>
      </w:r>
      <w:r w:rsidR="00E04786">
        <w:rPr>
          <w:rFonts w:cs="Arial"/>
          <w:szCs w:val="22"/>
        </w:rPr>
        <w:t>‘</w:t>
      </w:r>
      <w:r>
        <w:rPr>
          <w:rFonts w:cs="Arial"/>
          <w:szCs w:val="22"/>
        </w:rPr>
        <w:t>equivalents</w:t>
      </w:r>
      <w:r w:rsidR="00E04786">
        <w:rPr>
          <w:rFonts w:cs="Arial"/>
          <w:szCs w:val="22"/>
        </w:rPr>
        <w:t>’</w:t>
      </w:r>
      <w:r>
        <w:rPr>
          <w:rFonts w:cs="Arial"/>
          <w:szCs w:val="22"/>
        </w:rPr>
        <w:t xml:space="preserve">, social class appeared more predictive of cognitive outcomes than education, whereas when we </w:t>
      </w:r>
      <w:r w:rsidR="00706DB7">
        <w:rPr>
          <w:rFonts w:cs="Arial"/>
          <w:szCs w:val="22"/>
        </w:rPr>
        <w:t>constructed</w:t>
      </w:r>
      <w:r>
        <w:rPr>
          <w:rFonts w:cs="Arial"/>
          <w:szCs w:val="22"/>
        </w:rPr>
        <w:t xml:space="preserve"> </w:t>
      </w:r>
      <w:r w:rsidR="00C6299D">
        <w:rPr>
          <w:rFonts w:cs="Arial"/>
          <w:szCs w:val="22"/>
        </w:rPr>
        <w:t>an</w:t>
      </w:r>
      <w:r>
        <w:rPr>
          <w:rFonts w:cs="Arial"/>
          <w:szCs w:val="22"/>
        </w:rPr>
        <w:t xml:space="preserve"> education variable giving precedence to academic rather than vocational qualifications, this was reversed. </w:t>
      </w:r>
      <w:r w:rsidR="00DD1A12">
        <w:rPr>
          <w:rFonts w:cs="Arial"/>
          <w:szCs w:val="22"/>
        </w:rPr>
        <w:t xml:space="preserve">There are two </w:t>
      </w:r>
      <w:r w:rsidR="00AF1F9F">
        <w:rPr>
          <w:rFonts w:cs="Arial"/>
          <w:szCs w:val="22"/>
        </w:rPr>
        <w:t>likely reasons</w:t>
      </w:r>
      <w:r w:rsidR="00DD1A12">
        <w:rPr>
          <w:rFonts w:cs="Arial"/>
          <w:szCs w:val="22"/>
        </w:rPr>
        <w:t xml:space="preserve"> for this. Firstly, British vocational qualifications are confusing, respondents may be unclear of the NVQ level they have achieved, and this leads to measurement error. Secondly, academic qualifications may be a better proxy for abilities in core academic attainments such as maths and reading. </w:t>
      </w:r>
      <w:r>
        <w:rPr>
          <w:rFonts w:cs="Arial"/>
          <w:szCs w:val="22"/>
        </w:rPr>
        <w:t xml:space="preserve">Such messiness in the construction of research findings often goes unreported, but we report on it here as the standard NVQ variable is so widely used, and we believe that issues of </w:t>
      </w:r>
      <w:proofErr w:type="spellStart"/>
      <w:r>
        <w:rPr>
          <w:rFonts w:cs="Arial"/>
          <w:szCs w:val="22"/>
        </w:rPr>
        <w:t>operationalisation</w:t>
      </w:r>
      <w:proofErr w:type="spellEnd"/>
      <w:r>
        <w:rPr>
          <w:rFonts w:cs="Arial"/>
          <w:szCs w:val="22"/>
        </w:rPr>
        <w:t xml:space="preserve"> are fundamentally important.</w:t>
      </w:r>
    </w:p>
    <w:p w:rsidR="004B7A10" w:rsidRDefault="004B7A10" w:rsidP="009637E9">
      <w:pPr>
        <w:rPr>
          <w:rFonts w:cs="Arial"/>
          <w:szCs w:val="22"/>
        </w:rPr>
      </w:pPr>
    </w:p>
    <w:p w:rsidR="00143F23" w:rsidRDefault="00143F23" w:rsidP="009637E9">
      <w:pPr>
        <w:rPr>
          <w:rFonts w:cs="Arial"/>
          <w:szCs w:val="22"/>
        </w:rPr>
      </w:pPr>
      <w:r>
        <w:rPr>
          <w:rFonts w:cs="Arial"/>
          <w:szCs w:val="22"/>
        </w:rPr>
        <w:t xml:space="preserve">We suggested earlier that, if social class is essentially a proxy for income, then income should largely account for the link between social class and children’s test scores. This hypothesis was not supported, as income tended to have a weaker </w:t>
      </w:r>
      <w:r w:rsidR="00E0513B">
        <w:rPr>
          <w:rFonts w:cs="Arial"/>
          <w:szCs w:val="22"/>
        </w:rPr>
        <w:t>link with</w:t>
      </w:r>
      <w:r>
        <w:rPr>
          <w:rFonts w:cs="Arial"/>
          <w:szCs w:val="22"/>
        </w:rPr>
        <w:t xml:space="preserve"> children’</w:t>
      </w:r>
      <w:r w:rsidR="004D2F9D">
        <w:rPr>
          <w:rFonts w:cs="Arial"/>
          <w:szCs w:val="22"/>
        </w:rPr>
        <w:t xml:space="preserve">s test scores than social class, </w:t>
      </w:r>
      <w:r w:rsidR="004D2F9D">
        <w:t xml:space="preserve">at least with income measured in the five broad groups used here.  The MCS is not a reliable source for details of income in the highest ranges. </w:t>
      </w:r>
      <w:r w:rsidR="00992B0A">
        <w:rPr>
          <w:rFonts w:cs="Arial"/>
          <w:szCs w:val="22"/>
        </w:rPr>
        <w:t xml:space="preserve"> This suggests </w:t>
      </w:r>
      <w:r w:rsidR="00992B0A">
        <w:rPr>
          <w:rFonts w:cs="Arial"/>
          <w:szCs w:val="22"/>
        </w:rPr>
        <w:lastRenderedPageBreak/>
        <w:t xml:space="preserve">that models which rely exclusively on measures of income to control for social background </w:t>
      </w:r>
      <w:r w:rsidR="0013734A">
        <w:rPr>
          <w:rFonts w:cs="Arial"/>
          <w:szCs w:val="22"/>
        </w:rPr>
        <w:t>will under-estimate the effects of social background</w:t>
      </w:r>
      <w:r w:rsidR="00992B0A">
        <w:rPr>
          <w:rFonts w:cs="Arial"/>
          <w:szCs w:val="22"/>
        </w:rPr>
        <w:t xml:space="preserve">, which </w:t>
      </w:r>
      <w:r w:rsidR="0013734A">
        <w:rPr>
          <w:rFonts w:cs="Arial"/>
          <w:szCs w:val="22"/>
        </w:rPr>
        <w:t>is likely to</w:t>
      </w:r>
      <w:r w:rsidR="00992B0A">
        <w:rPr>
          <w:rFonts w:cs="Arial"/>
          <w:szCs w:val="22"/>
        </w:rPr>
        <w:t xml:space="preserve"> result in other effects being over-estimated.</w:t>
      </w:r>
      <w:r w:rsidR="001E62A8">
        <w:rPr>
          <w:rFonts w:cs="Arial"/>
          <w:szCs w:val="22"/>
        </w:rPr>
        <w:t xml:space="preserve"> </w:t>
      </w:r>
      <w:r w:rsidR="004D2F9D">
        <w:rPr>
          <w:rFonts w:cs="Arial"/>
          <w:szCs w:val="22"/>
        </w:rPr>
        <w:t>If parental income is a weaker predictor of life chances than social class and education, t</w:t>
      </w:r>
      <w:r w:rsidR="001E62A8">
        <w:rPr>
          <w:rFonts w:cs="Arial"/>
          <w:szCs w:val="22"/>
        </w:rPr>
        <w:t xml:space="preserve">his </w:t>
      </w:r>
      <w:r w:rsidR="004D2F9D">
        <w:rPr>
          <w:rFonts w:cs="Arial"/>
          <w:szCs w:val="22"/>
        </w:rPr>
        <w:t>also has</w:t>
      </w:r>
      <w:r w:rsidR="001E62A8">
        <w:rPr>
          <w:rFonts w:cs="Arial"/>
          <w:szCs w:val="22"/>
        </w:rPr>
        <w:t xml:space="preserve"> implications for the debate on social mobility</w:t>
      </w:r>
      <w:r w:rsidR="004D2F9D">
        <w:rPr>
          <w:rFonts w:cs="Arial"/>
          <w:szCs w:val="22"/>
        </w:rPr>
        <w:t xml:space="preserve">, tending to support the view that parental income </w:t>
      </w:r>
      <w:r w:rsidR="00AF1F9F">
        <w:rPr>
          <w:rFonts w:cs="Arial"/>
          <w:szCs w:val="22"/>
        </w:rPr>
        <w:t xml:space="preserve">alone </w:t>
      </w:r>
      <w:r w:rsidR="004D2F9D">
        <w:rPr>
          <w:rFonts w:cs="Arial"/>
          <w:szCs w:val="22"/>
        </w:rPr>
        <w:t>is not the best indicator of the resources that parents marshal to promote their children’s chances.</w:t>
      </w:r>
    </w:p>
    <w:p w:rsidR="00143F23" w:rsidRDefault="00143F23" w:rsidP="009637E9">
      <w:pPr>
        <w:rPr>
          <w:rFonts w:cs="Arial"/>
          <w:szCs w:val="22"/>
        </w:rPr>
      </w:pPr>
    </w:p>
    <w:p w:rsidR="00A44377" w:rsidRDefault="00143F23" w:rsidP="00A44377">
      <w:r>
        <w:rPr>
          <w:rFonts w:cs="Arial"/>
          <w:szCs w:val="22"/>
        </w:rPr>
        <w:t>We also suggested that</w:t>
      </w:r>
      <w:r w:rsidR="00A44377">
        <w:rPr>
          <w:rFonts w:cs="Arial"/>
          <w:szCs w:val="22"/>
        </w:rPr>
        <w:t xml:space="preserve">, if </w:t>
      </w:r>
      <w:r w:rsidR="00A44377">
        <w:t xml:space="preserve">cultural </w:t>
      </w:r>
      <w:r w:rsidR="0013734A">
        <w:t xml:space="preserve">and cognitive </w:t>
      </w:r>
      <w:r w:rsidR="00A44377">
        <w:t xml:space="preserve">rather than </w:t>
      </w:r>
      <w:r w:rsidR="00C6299D">
        <w:t xml:space="preserve">material </w:t>
      </w:r>
      <w:r w:rsidR="00A44377">
        <w:t>resources drive the link between social class and test scores, this should be reflected in a stronger ‘effect’ of parents’ education than of income. This view was supported by our analyses, which found that parents’ educational qualifications were consistently the strongest predictor of children’s test scores.</w:t>
      </w:r>
      <w:r w:rsidR="002E580F">
        <w:t xml:space="preserve"> However, especially given the importance of the precise </w:t>
      </w:r>
      <w:proofErr w:type="spellStart"/>
      <w:r w:rsidR="002E580F">
        <w:t>operationalisation</w:t>
      </w:r>
      <w:proofErr w:type="spellEnd"/>
      <w:r w:rsidR="002E580F">
        <w:t xml:space="preserve"> of parents’ education to this result, we would </w:t>
      </w:r>
      <w:r w:rsidR="0013734A">
        <w:t xml:space="preserve">ideally </w:t>
      </w:r>
      <w:r w:rsidR="002E580F">
        <w:t xml:space="preserve">have preferred to use direct measures of parents’ cultural </w:t>
      </w:r>
      <w:r w:rsidR="0013734A">
        <w:t xml:space="preserve">and cognitive </w:t>
      </w:r>
      <w:r w:rsidR="002E580F">
        <w:t>resources.</w:t>
      </w:r>
    </w:p>
    <w:p w:rsidR="00143F23" w:rsidRDefault="00143F23" w:rsidP="009637E9">
      <w:pPr>
        <w:rPr>
          <w:rFonts w:cs="Arial"/>
          <w:szCs w:val="22"/>
        </w:rPr>
      </w:pPr>
    </w:p>
    <w:p w:rsidR="00A44377" w:rsidRDefault="00A44377" w:rsidP="00A44377">
      <w:r>
        <w:t xml:space="preserve">We also found a direct </w:t>
      </w:r>
      <w:r w:rsidR="00E0513B">
        <w:t>‘</w:t>
      </w:r>
      <w:r>
        <w:t>effect</w:t>
      </w:r>
      <w:r w:rsidR="00E0513B">
        <w:t>’</w:t>
      </w:r>
      <w:r>
        <w:t xml:space="preserve"> of </w:t>
      </w:r>
      <w:r w:rsidR="00B66CCE">
        <w:t xml:space="preserve">occupational </w:t>
      </w:r>
      <w:r>
        <w:t xml:space="preserve">social class which is </w:t>
      </w:r>
      <w:r w:rsidR="0017652C">
        <w:t>not entirely mediated</w:t>
      </w:r>
      <w:r>
        <w:t xml:space="preserve"> by education or income, suggesting the </w:t>
      </w:r>
      <w:r w:rsidR="00992B0A">
        <w:t xml:space="preserve">potential </w:t>
      </w:r>
      <w:r>
        <w:t xml:space="preserve">importance of class-based resources other than income </w:t>
      </w:r>
      <w:r w:rsidR="0017652C">
        <w:t>and education, although we cannot discount the possibility that more precise and accurate measurements of both income and education may account for some of this effect.</w:t>
      </w:r>
      <w:r w:rsidR="00F33143">
        <w:t xml:space="preserve"> </w:t>
      </w:r>
    </w:p>
    <w:p w:rsidR="00417E64" w:rsidRDefault="00417E64" w:rsidP="00A44377"/>
    <w:p w:rsidR="00F33143" w:rsidRPr="00CA0D47" w:rsidRDefault="00000A71" w:rsidP="00A44377">
      <w:r>
        <w:rPr>
          <w:rFonts w:eastAsia="Batang"/>
        </w:rPr>
        <w:t xml:space="preserve">The </w:t>
      </w:r>
      <w:r w:rsidR="00937862">
        <w:rPr>
          <w:rFonts w:eastAsia="Batang"/>
        </w:rPr>
        <w:t>importance of</w:t>
      </w:r>
      <w:r>
        <w:rPr>
          <w:rFonts w:eastAsia="Batang"/>
        </w:rPr>
        <w:t xml:space="preserve"> maternal depression highlights the link between children’s progress and their parents’ wellbeing. </w:t>
      </w:r>
      <w:r w:rsidR="000E5BE0">
        <w:t>F</w:t>
      </w:r>
      <w:r w:rsidR="00F33143">
        <w:t xml:space="preserve">amily structure and labour market status </w:t>
      </w:r>
      <w:r w:rsidR="0049553C">
        <w:t xml:space="preserve">were not substantial predictors </w:t>
      </w:r>
      <w:r w:rsidR="00F33143">
        <w:t xml:space="preserve">of </w:t>
      </w:r>
      <w:r w:rsidR="0049553C">
        <w:t xml:space="preserve">children’s test scores in our models, </w:t>
      </w:r>
      <w:r w:rsidR="00C6299D">
        <w:t>over and above</w:t>
      </w:r>
      <w:r w:rsidR="0049553C">
        <w:t xml:space="preserve"> income, social class and education</w:t>
      </w:r>
      <w:r w:rsidR="00C6299D">
        <w:t>, with which they are of course associated</w:t>
      </w:r>
      <w:r w:rsidR="0049553C">
        <w:t xml:space="preserve">. The lack of a significant </w:t>
      </w:r>
      <w:r w:rsidR="00937862">
        <w:t>‘</w:t>
      </w:r>
      <w:r w:rsidR="0049553C">
        <w:t>effect</w:t>
      </w:r>
      <w:r w:rsidR="00937862">
        <w:t>’</w:t>
      </w:r>
      <w:r w:rsidR="0049553C">
        <w:t xml:space="preserve"> of the type of ward families </w:t>
      </w:r>
      <w:r w:rsidR="0017652C">
        <w:t xml:space="preserve">inhabited </w:t>
      </w:r>
      <w:r w:rsidR="0049553C">
        <w:t xml:space="preserve">in the first wave of the study is also interesting, suggesting that </w:t>
      </w:r>
      <w:r>
        <w:t xml:space="preserve">our measure of </w:t>
      </w:r>
      <w:r w:rsidR="0049553C">
        <w:t>neighbourhood type is not relevant once individual factors are accounted for</w:t>
      </w:r>
      <w:r w:rsidR="00C4606F">
        <w:rPr>
          <w:rFonts w:eastAsia="Batang"/>
        </w:rPr>
        <w:t>.</w:t>
      </w:r>
      <w:r w:rsidR="00AF2916">
        <w:rPr>
          <w:rFonts w:eastAsia="Batang"/>
        </w:rPr>
        <w:t xml:space="preserve"> </w:t>
      </w:r>
      <w:r>
        <w:rPr>
          <w:rFonts w:eastAsia="Batang"/>
        </w:rPr>
        <w:t>This is in line with previous q</w:t>
      </w:r>
      <w:r>
        <w:t xml:space="preserve">uantitative studies which have failed to show strong ‘neighbourhood effects’ on educational and other outcomes </w:t>
      </w:r>
      <w:r w:rsidR="00C16BF1">
        <w:fldChar w:fldCharType="begin">
          <w:fldData xml:space="preserve">PEVuZE5vdGU+PENpdGU+PEF1dGhvcj5SYXNiYXNoPC9BdXRob3I+PFllYXI+MjAxMDwvWWVhcj48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</w:fldData>
        </w:fldChar>
      </w:r>
      <w:r w:rsidR="0005386F">
        <w:instrText xml:space="preserve"> ADDIN EN.CITE </w:instrText>
      </w:r>
      <w:r w:rsidR="00C16BF1">
        <w:fldChar w:fldCharType="begin">
          <w:fldData xml:space="preserve">PEVuZE5vdGU+PENpdGU+PEF1dGhvcj5SYXNiYXNoPC9BdXRob3I+PFllYXI+MjAxMDwvWWVhcj48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</w:fldData>
        </w:fldChar>
      </w:r>
      <w:r w:rsidR="0005386F">
        <w:instrText xml:space="preserve"> ADDIN EN.CITE.DATA </w:instrText>
      </w:r>
      <w:r w:rsidR="00C16BF1">
        <w:fldChar w:fldCharType="end"/>
      </w:r>
      <w:r w:rsidR="00C16BF1">
        <w:fldChar w:fldCharType="separate"/>
      </w:r>
      <w:r w:rsidR="00A11D01">
        <w:t>(Cullis 2008; Flouri, et al. 2010; Ford, et al. 2004; Leckie 2009; Midouhas 2012; Rasbash, et al. 2010)</w:t>
      </w:r>
      <w:r w:rsidR="00C16BF1">
        <w:fldChar w:fldCharType="end"/>
      </w:r>
      <w:r>
        <w:t xml:space="preserve">. Lupton </w:t>
      </w:r>
      <w:r w:rsidR="00C16BF1">
        <w:fldChar w:fldCharType="begin"/>
      </w:r>
      <w:r w:rsidR="0005386F">
        <w:instrText xml:space="preserve"> ADDIN EN.CITE &lt;EndNote&gt;&lt;Cite ExcludeAuth="1"&gt;&lt;Author&gt;Lupton&lt;/Author&gt;&lt;Year&gt;2003&lt;/Year&gt;&lt;RecNum&gt;1270&lt;/RecNum&gt;&lt;record&gt;&lt;rec-number&gt;1270&lt;/rec-number&gt;&lt;foreign-keys&gt;&lt;key app="EN" db-id="aeretdtfgatxzketrem5pp9n9d2vvexz5rvr"&gt;1270&lt;/key&gt;&lt;/foreign-keys&gt;&lt;ref-type name="Book"&gt;6&lt;/ref-type&gt;&lt;contributors&gt;&lt;authors&gt;&lt;author&gt;Lupton, R.&lt;/author&gt;&lt;/authors&gt;&lt;secondary-authors&gt;&lt;author&gt;Centre for Analysis of Social Exclusion&lt;/author&gt;&lt;/secondary-authors&gt;&lt;/contributors&gt;&lt;titles&gt;&lt;title&gt;&amp;apos;Neighbourhood Effects&amp;apos;: Can we measure them and does it matter?&lt;/title&gt;&lt;/titles&gt;&lt;volume&gt;CASE 73&lt;/volume&gt;&lt;dates&gt;&lt;year&gt;2003&lt;/year&gt;&lt;/dates&gt;&lt;pub-location&gt;LSE&lt;/pub-location&gt;&lt;urls&gt;&lt;/urls&gt;&lt;/record&gt;&lt;/Cite&gt;&lt;/EndNote&gt;</w:instrText>
      </w:r>
      <w:r w:rsidR="00C16BF1">
        <w:fldChar w:fldCharType="separate"/>
      </w:r>
      <w:r>
        <w:t>(2003)</w:t>
      </w:r>
      <w:r w:rsidR="00C16BF1">
        <w:fldChar w:fldCharType="end"/>
      </w:r>
      <w:r>
        <w:t xml:space="preserve"> points out that the failure of quantitative analyses to uncover neighbourhood effects does not imply that place does not matter. Rather, the problem may lie with flawed data, conceptualisation and measurement. By using arbitrary boundaries such as electoral wards, we may fail to adequately capture neighbourhoods. Also, by relying on straightforward measures of area-level poverty, we may fail to measure the things that really matter about neighbourhoods.</w:t>
      </w:r>
    </w:p>
    <w:p w:rsidR="00AB12DA" w:rsidRDefault="00AB12DA" w:rsidP="00A44377"/>
    <w:p w:rsidR="00B4720F" w:rsidRDefault="00AB12DA" w:rsidP="00A44377">
      <w:r>
        <w:t xml:space="preserve">Turning to parenting behaviours, we found support for the value of authoritative parenting, i.e. consistently applied rules and </w:t>
      </w:r>
      <w:r w:rsidR="007A500A">
        <w:t>routines</w:t>
      </w:r>
      <w:r w:rsidR="00AF2916">
        <w:t xml:space="preserve">, </w:t>
      </w:r>
      <w:r w:rsidR="006F742B">
        <w:t xml:space="preserve">and </w:t>
      </w:r>
      <w:r w:rsidR="00AF2916">
        <w:t>for</w:t>
      </w:r>
      <w:r w:rsidR="00754D22">
        <w:t xml:space="preserve"> the variables designed to measure the ‘home learning environment’</w:t>
      </w:r>
      <w:r w:rsidR="00AF2916">
        <w:t>. T</w:t>
      </w:r>
      <w:r w:rsidR="00B4720F">
        <w:t xml:space="preserve">hese variables could be seen as reflecting </w:t>
      </w:r>
      <w:proofErr w:type="spellStart"/>
      <w:r w:rsidR="00B4720F">
        <w:t>Lareau’s</w:t>
      </w:r>
      <w:proofErr w:type="spellEnd"/>
      <w:r w:rsidR="000A0BD3">
        <w:t xml:space="preserve"> (2003)</w:t>
      </w:r>
      <w:r w:rsidR="00B4720F">
        <w:t xml:space="preserve"> ‘concerted cultivation’. Library visits, in particular, may reflect cultural capital, </w:t>
      </w:r>
      <w:r w:rsidR="00CA0D47">
        <w:t>of which we had few other direct measures.</w:t>
      </w:r>
    </w:p>
    <w:p w:rsidR="00B4720F" w:rsidRDefault="00B4720F" w:rsidP="00A44377"/>
    <w:p w:rsidR="00AB12DA" w:rsidRDefault="00754D22" w:rsidP="00A44377">
      <w:r>
        <w:t xml:space="preserve">We also found an unexpected </w:t>
      </w:r>
      <w:r w:rsidR="00937862">
        <w:t>positive sign for</w:t>
      </w:r>
      <w:r>
        <w:t xml:space="preserve"> TV viewing. </w:t>
      </w:r>
      <w:r w:rsidR="00CA0D47">
        <w:t>Allowing a child to watch</w:t>
      </w:r>
      <w:r>
        <w:t xml:space="preserve"> TV for several hours daily could be seen as an indication of slightly detached parenting, so </w:t>
      </w:r>
      <w:r w:rsidR="00937862">
        <w:t xml:space="preserve">this result </w:t>
      </w:r>
      <w:r w:rsidR="00CA0D47">
        <w:t>is counter-intuitive</w:t>
      </w:r>
      <w:r>
        <w:t>.</w:t>
      </w:r>
      <w:r w:rsidR="00CA0D47">
        <w:t xml:space="preserve"> However, other work on children’s school readiness scores at age 3 has </w:t>
      </w:r>
      <w:r w:rsidR="00CA0D47">
        <w:lastRenderedPageBreak/>
        <w:t xml:space="preserve">found a similar positive association with TV viewing, albeit only for less educated mothers </w:t>
      </w:r>
      <w:r w:rsidR="00C16BF1">
        <w:fldChar w:fldCharType="begin"/>
      </w:r>
      <w:r w:rsidR="0005386F">
        <w:instrText xml:space="preserve"> ADDIN EN.CITE &lt;EndNote&gt;&lt;Cite&gt;&lt;Author&gt;Joshi&lt;/Author&gt;&lt;Year&gt;Jan 18th 2012&lt;/Year&gt;&lt;RecNum&gt;1257&lt;/RecNum&gt;&lt;record&gt;&lt;rec-number&gt;1257&lt;/rec-number&gt;&lt;foreign-keys&gt;&lt;key app="EN" db-id="aeretdtfgatxzketrem5pp9n9d2vvexz5rvr"&gt;1257&lt;/key&gt;&lt;/foreign-keys&gt;&lt;ref-type name="Unpublished Work"&gt;34&lt;/ref-type&gt;&lt;contributors&gt;&lt;authors&gt;&lt;author&gt;Joshi, H.&lt;/author&gt;&lt;author&gt;de la Rochebrochard, E.&lt;/author&gt;&lt;/authors&gt;&lt;/contributors&gt;&lt;titles&gt;&lt;title&gt;School readiness at age 3: the role of birth intendedness, social inequality and parenting practices in the Millennium Cohort&lt;/title&gt;&lt;/titles&gt;&lt;dates&gt;&lt;year&gt;Jan 18th 2012&lt;/year&gt;&lt;/dates&gt;&lt;publisher&gt;Sociology Group Seminar, Nuffield College Oxford&lt;/publisher&gt;&lt;urls&gt;&lt;/urls&gt;&lt;/record&gt;&lt;/Cite&gt;&lt;/EndNote&gt;</w:instrText>
      </w:r>
      <w:r w:rsidR="00C16BF1">
        <w:fldChar w:fldCharType="separate"/>
      </w:r>
      <w:r w:rsidR="00C4606F">
        <w:t>(Joshi and de la Rochebrochard Jan 18th 2012)</w:t>
      </w:r>
      <w:r w:rsidR="00C16BF1">
        <w:fldChar w:fldCharType="end"/>
      </w:r>
      <w:r w:rsidR="00C4606F">
        <w:t xml:space="preserve">. </w:t>
      </w:r>
      <w:r w:rsidR="00CA0D47">
        <w:t xml:space="preserve">It may be that the educational potential of TV </w:t>
      </w:r>
      <w:r w:rsidR="00302A4F">
        <w:t>viewing has been underestimated. We are unfortunately unable to examine the type of TV watched, which may also be relevant</w:t>
      </w:r>
      <w:r w:rsidR="00C4606F">
        <w:t xml:space="preserve"> </w:t>
      </w:r>
      <w:r w:rsidR="00C16BF1">
        <w:fldChar w:fldCharType="begin"/>
      </w:r>
      <w:r w:rsidR="0005386F">
        <w:instrText xml:space="preserve"> ADDIN EN.CITE &lt;EndNote&gt;&lt;Cite&gt;&lt;Author&gt;Sullivan&lt;/Author&gt;&lt;Year&gt;2001&lt;/Year&gt;&lt;RecNum&gt;91&lt;/RecNum&gt;&lt;record&gt;&lt;rec-number&gt;91&lt;/rec-number&gt;&lt;foreign-keys&gt;&lt;key app="EN" db-id="aeretdtfgatxzketrem5pp9n9d2vvexz5rvr"&gt;91&lt;/key&gt;&lt;/foreign-keys&gt;&lt;ref-type name="Journal Article"&gt;17&lt;/ref-type&gt;&lt;contributors&gt;&lt;authors&gt;&lt;author&gt;Sullivan, A.&lt;/author&gt;&lt;/authors&gt;&lt;/contributors&gt;&lt;titles&gt;&lt;title&gt;Cultural Capital and Educational Attainment&lt;/title&gt;&lt;secondary-title&gt;Sociology&lt;/secondary-title&gt;&lt;/titles&gt;&lt;periodical&gt;&lt;full-title&gt;Sociology&lt;/full-title&gt;&lt;/periodical&gt;&lt;pages&gt;893-912&lt;/pages&gt;&lt;volume&gt;35&lt;/volume&gt;&lt;number&gt;4&lt;/number&gt;&lt;dates&gt;&lt;year&gt;2001&lt;/year&gt;&lt;/dates&gt;&lt;urls&gt;&lt;/urls&gt;&lt;/record&gt;&lt;/Cite&gt;&lt;/EndNote&gt;</w:instrText>
      </w:r>
      <w:r w:rsidR="00C16BF1">
        <w:fldChar w:fldCharType="separate"/>
      </w:r>
      <w:r w:rsidR="00C4606F">
        <w:t>(Sullivan 2001)</w:t>
      </w:r>
      <w:r w:rsidR="00C16BF1">
        <w:fldChar w:fldCharType="end"/>
      </w:r>
      <w:r w:rsidR="00E75BE5">
        <w:t>.</w:t>
      </w:r>
      <w:r w:rsidR="002F108A">
        <w:t xml:space="preserve"> </w:t>
      </w:r>
      <w:r w:rsidR="00302A4F">
        <w:t xml:space="preserve">TV programme quality could </w:t>
      </w:r>
      <w:r w:rsidR="00E75BE5">
        <w:t xml:space="preserve">even </w:t>
      </w:r>
      <w:r w:rsidR="00302A4F">
        <w:t>be an overlooked policy lever.</w:t>
      </w:r>
    </w:p>
    <w:p w:rsidR="00B4720F" w:rsidRDefault="00B4720F" w:rsidP="00A44377"/>
    <w:p w:rsidR="0029702F" w:rsidRDefault="00AF7290" w:rsidP="009637E9">
      <w:pPr>
        <w:rPr>
          <w:rFonts w:cs="Arial"/>
          <w:szCs w:val="22"/>
        </w:rPr>
      </w:pPr>
      <w:r>
        <w:t>In conclusion</w:t>
      </w:r>
      <w:r w:rsidR="00B4720F">
        <w:t xml:space="preserve">, social class and parents’ education </w:t>
      </w:r>
      <w:r w:rsidR="00937862">
        <w:t>were directly linked to</w:t>
      </w:r>
      <w:r w:rsidR="00B4720F">
        <w:t xml:space="preserve"> </w:t>
      </w:r>
      <w:r w:rsidR="007A500A">
        <w:t xml:space="preserve">widening inequalities between the ages of 5 and 7 as well as </w:t>
      </w:r>
      <w:r w:rsidR="00937862">
        <w:t xml:space="preserve">to </w:t>
      </w:r>
      <w:r w:rsidR="00B4720F">
        <w:t xml:space="preserve">absolute inequalities in test scores at age 7, </w:t>
      </w:r>
      <w:r w:rsidR="00937862">
        <w:t>and this</w:t>
      </w:r>
      <w:r w:rsidR="00B4720F">
        <w:t xml:space="preserve"> could not be </w:t>
      </w:r>
      <w:r w:rsidR="00706DB7">
        <w:t xml:space="preserve">fully </w:t>
      </w:r>
      <w:r w:rsidR="00B4720F">
        <w:t xml:space="preserve">explained by the wide range of measures of both family social resources and parental behaviours included in our models. </w:t>
      </w:r>
      <w:r w:rsidR="001A269F">
        <w:t>In fact, the links between social class and education on the one hand and children’s test scores on the other were only very modestly mediated by the inclusion of family social resources and parenting in our models. P</w:t>
      </w:r>
      <w:r w:rsidR="00D81315">
        <w:t xml:space="preserve">sychologists are right to stress the importance of what parents do, and economists to stress the importance of </w:t>
      </w:r>
      <w:r>
        <w:t>income</w:t>
      </w:r>
      <w:r w:rsidR="00D81315">
        <w:t xml:space="preserve">, but we have sought to combine their </w:t>
      </w:r>
      <w:r>
        <w:t>perspectives</w:t>
      </w:r>
      <w:r w:rsidR="00D81315">
        <w:t xml:space="preserve"> with sociological insights regarding the class basis of social inequalities. Parents’ social class and education reflect not just what </w:t>
      </w:r>
      <w:proofErr w:type="gramStart"/>
      <w:r w:rsidR="00D81315">
        <w:t>parents</w:t>
      </w:r>
      <w:proofErr w:type="gramEnd"/>
      <w:r w:rsidR="00D81315">
        <w:t xml:space="preserve"> do, but also what they have – and what they have is not just money. </w:t>
      </w:r>
      <w:r w:rsidR="00C55FE0">
        <w:t>Other classed resources including</w:t>
      </w:r>
      <w:r w:rsidR="00D81315">
        <w:t xml:space="preserve"> cultural and cognitive resources matter too, and we would argue for the future inclusion of variables capturing these family resources in our most important longitudinal datasets. </w:t>
      </w:r>
      <w:r>
        <w:t>Finally, we reject the view that p</w:t>
      </w:r>
      <w:r w:rsidR="005F179D">
        <w:t>arenting is the ‘E=MC</w:t>
      </w:r>
      <w:r w:rsidR="005F179D" w:rsidRPr="005F179D">
        <w:rPr>
          <w:vertAlign w:val="superscript"/>
        </w:rPr>
        <w:t>2</w:t>
      </w:r>
      <w:r>
        <w:t>’ of social mobility</w:t>
      </w:r>
      <w:r w:rsidR="00C72814">
        <w:t xml:space="preserve">, and that the inequalities </w:t>
      </w:r>
      <w:r w:rsidR="00433F79">
        <w:t>ingrained in our society</w:t>
      </w:r>
      <w:r w:rsidR="00C72814">
        <w:t xml:space="preserve"> can be </w:t>
      </w:r>
      <w:r w:rsidR="00C55FE0">
        <w:t>laid at the door of poor parents</w:t>
      </w:r>
      <w:r w:rsidR="00C72814">
        <w:t>.</w:t>
      </w:r>
    </w:p>
    <w:p w:rsidR="001A269F" w:rsidRDefault="001A269F">
      <w:pPr>
        <w:rPr>
          <w:b/>
        </w:rPr>
      </w:pPr>
      <w:r>
        <w:rPr>
          <w:b/>
        </w:rPr>
        <w:br w:type="page"/>
      </w:r>
    </w:p>
    <w:p w:rsidR="003C66BC" w:rsidRPr="003069DC" w:rsidRDefault="003069DC" w:rsidP="00D81315">
      <w:pPr>
        <w:rPr>
          <w:b/>
        </w:rPr>
      </w:pPr>
      <w:r w:rsidRPr="003069DC">
        <w:rPr>
          <w:b/>
        </w:rPr>
        <w:lastRenderedPageBreak/>
        <w:t>Bibliography</w:t>
      </w:r>
    </w:p>
    <w:p w:rsidR="003C66BC" w:rsidRDefault="003C66BC" w:rsidP="00AE4436">
      <w:pPr>
        <w:autoSpaceDE w:val="0"/>
        <w:autoSpaceDN w:val="0"/>
        <w:adjustRightInd w:val="0"/>
        <w:spacing w:line="240" w:lineRule="auto"/>
      </w:pPr>
    </w:p>
    <w:p w:rsidR="0005386F" w:rsidRDefault="00C16BF1" w:rsidP="0005386F">
      <w:pPr>
        <w:spacing w:line="240" w:lineRule="auto"/>
      </w:pPr>
      <w:r>
        <w:fldChar w:fldCharType="begin"/>
      </w:r>
      <w:r w:rsidR="003C66BC">
        <w:instrText xml:space="preserve"> ADDIN EN.REFLIST </w:instrText>
      </w:r>
      <w:r>
        <w:fldChar w:fldCharType="separate"/>
      </w:r>
      <w:r w:rsidR="0005386F">
        <w:t>Allen, G. (2011) Early Intervention: The Next Steps, London: HM Government.</w:t>
      </w:r>
    </w:p>
    <w:p w:rsidR="0005386F" w:rsidRDefault="0005386F" w:rsidP="0005386F">
      <w:pPr>
        <w:spacing w:line="240" w:lineRule="auto"/>
      </w:pPr>
      <w:r>
        <w:t xml:space="preserve">Beck, U. (1992) </w:t>
      </w:r>
      <w:r w:rsidRPr="0005386F">
        <w:rPr>
          <w:i/>
        </w:rPr>
        <w:t>Risk Society</w:t>
      </w:r>
      <w:r>
        <w:t>, London: Sage.</w:t>
      </w:r>
    </w:p>
    <w:p w:rsidR="0005386F" w:rsidRDefault="0005386F" w:rsidP="0005386F">
      <w:pPr>
        <w:spacing w:line="240" w:lineRule="auto"/>
      </w:pPr>
      <w:r>
        <w:t xml:space="preserve">Blackburn, R. M. (1998) A New System of Classes: But what are they and do we need them? , </w:t>
      </w:r>
      <w:r w:rsidRPr="0005386F">
        <w:rPr>
          <w:i/>
        </w:rPr>
        <w:t>Work Employment and Society</w:t>
      </w:r>
      <w:r>
        <w:t xml:space="preserve"> </w:t>
      </w:r>
      <w:r w:rsidRPr="0005386F">
        <w:rPr>
          <w:i/>
        </w:rPr>
        <w:t>12</w:t>
      </w:r>
      <w:r>
        <w:t>(4): 735-741.</w:t>
      </w:r>
    </w:p>
    <w:p w:rsidR="0005386F" w:rsidRDefault="0005386F" w:rsidP="0005386F">
      <w:pPr>
        <w:spacing w:line="240" w:lineRule="auto"/>
      </w:pPr>
      <w:r>
        <w:t xml:space="preserve">Blanden, J. (2006) 'Bucking the Trend': What enables those who are disadvantaged in childhood to succeed later in life? </w:t>
      </w:r>
      <w:r w:rsidRPr="0005386F">
        <w:rPr>
          <w:i/>
        </w:rPr>
        <w:t>DWP Working Paper</w:t>
      </w:r>
      <w:r>
        <w:t>, Vol. 31.</w:t>
      </w:r>
    </w:p>
    <w:p w:rsidR="0005386F" w:rsidRDefault="0005386F" w:rsidP="0005386F">
      <w:pPr>
        <w:spacing w:line="240" w:lineRule="auto"/>
      </w:pPr>
      <w:r>
        <w:t xml:space="preserve">Blanden, J., Goodman, A., Gregg, P. and Machin, S. (2004) Changes in Intergenerational Mobility in Britain, in M. Corak (ed) </w:t>
      </w:r>
      <w:r w:rsidRPr="0005386F">
        <w:rPr>
          <w:i/>
        </w:rPr>
        <w:t>Generational Income Mobility in North America and Europe</w:t>
      </w:r>
      <w:r>
        <w:t>, Cambridge: Cambridge University Press.</w:t>
      </w:r>
    </w:p>
    <w:p w:rsidR="0005386F" w:rsidRDefault="0005386F" w:rsidP="0005386F">
      <w:pPr>
        <w:spacing w:line="240" w:lineRule="auto"/>
      </w:pPr>
      <w:r>
        <w:t xml:space="preserve">Boliver, V. and Swift, A. (2011) Do comprehensive schools reduce social mobility, </w:t>
      </w:r>
      <w:r w:rsidRPr="0005386F">
        <w:rPr>
          <w:i/>
        </w:rPr>
        <w:t>British Journal of Sociology</w:t>
      </w:r>
      <w:r>
        <w:t xml:space="preserve"> </w:t>
      </w:r>
      <w:r w:rsidRPr="0005386F">
        <w:rPr>
          <w:i/>
        </w:rPr>
        <w:t>62</w:t>
      </w:r>
      <w:r>
        <w:t>(1): 89-110.</w:t>
      </w:r>
    </w:p>
    <w:p w:rsidR="0005386F" w:rsidRDefault="0005386F" w:rsidP="0005386F">
      <w:pPr>
        <w:spacing w:line="240" w:lineRule="auto"/>
      </w:pPr>
      <w:r>
        <w:t xml:space="preserve">Boudon, R. (1974) </w:t>
      </w:r>
      <w:r w:rsidRPr="0005386F">
        <w:rPr>
          <w:i/>
        </w:rPr>
        <w:t>Education, Opportunity and Social Inequality</w:t>
      </w:r>
      <w:r>
        <w:t>, New York: Wiley.</w:t>
      </w:r>
    </w:p>
    <w:p w:rsidR="0005386F" w:rsidRDefault="0005386F" w:rsidP="0005386F">
      <w:pPr>
        <w:spacing w:line="240" w:lineRule="auto"/>
      </w:pPr>
      <w:r>
        <w:t xml:space="preserve">Bourdieu, P. and Passeron, J. C. ([1977] 1990) </w:t>
      </w:r>
      <w:r w:rsidRPr="0005386F">
        <w:rPr>
          <w:i/>
        </w:rPr>
        <w:t>Reproduction in education, society and culture</w:t>
      </w:r>
      <w:r>
        <w:t>, 2nd Edition, London ; Beverly Hills: Sage Publications.</w:t>
      </w:r>
    </w:p>
    <w:p w:rsidR="0005386F" w:rsidRDefault="0005386F" w:rsidP="0005386F">
      <w:pPr>
        <w:spacing w:line="240" w:lineRule="auto"/>
      </w:pPr>
      <w:r>
        <w:t xml:space="preserve">Bukodi, E. and Goldthorpe, J. (2012) </w:t>
      </w:r>
      <w:r w:rsidRPr="0005386F">
        <w:rPr>
          <w:i/>
        </w:rPr>
        <w:t>Decomposing 'Social Origins': The effects of parents' class, status and education on the educational attainment of their children</w:t>
      </w:r>
      <w:r>
        <w:t>, Nuffield College, University of Oxford: Manuscript.</w:t>
      </w:r>
    </w:p>
    <w:p w:rsidR="0005386F" w:rsidRDefault="0005386F" w:rsidP="0005386F">
      <w:pPr>
        <w:spacing w:line="240" w:lineRule="auto"/>
      </w:pPr>
      <w:r>
        <w:t>Cameron, D. (2010) Speech 'Supporting Parents'</w:t>
      </w:r>
      <w:proofErr w:type="gramStart"/>
      <w:r>
        <w:t xml:space="preserve">: </w:t>
      </w:r>
      <w:proofErr w:type="gramEnd"/>
      <w:r w:rsidR="00C16BF1">
        <w:fldChar w:fldCharType="begin"/>
      </w:r>
      <w:r>
        <w:instrText xml:space="preserve"> HYPERLINK "http://www.conservatives.com/News/Speeches/2010/01/David_Cameron_Supporting_parents.aspx" </w:instrText>
      </w:r>
      <w:r w:rsidR="00C16BF1">
        <w:fldChar w:fldCharType="separate"/>
      </w:r>
      <w:r w:rsidRPr="0005386F">
        <w:rPr>
          <w:rStyle w:val="Hyperlink"/>
        </w:rPr>
        <w:t>http://www.conservatives.com/News/Speeches/2010/01/David_Cameron_Supporting_parents.aspx</w:t>
      </w:r>
      <w:r w:rsidR="00C16BF1">
        <w:fldChar w:fldCharType="end"/>
      </w:r>
      <w:r>
        <w:t>.</w:t>
      </w:r>
    </w:p>
    <w:p w:rsidR="0005386F" w:rsidRDefault="0005386F" w:rsidP="0005386F">
      <w:pPr>
        <w:spacing w:line="240" w:lineRule="auto"/>
      </w:pPr>
      <w:r>
        <w:t xml:space="preserve">Cohen, J. (1988) </w:t>
      </w:r>
      <w:r w:rsidRPr="0005386F">
        <w:rPr>
          <w:i/>
        </w:rPr>
        <w:t>Statistical Power Analysis for the Behavioural Sciences</w:t>
      </w:r>
      <w:r>
        <w:t>, 2nd Edition, Hillsdale NJ: Lawrence Erlbaum.</w:t>
      </w:r>
    </w:p>
    <w:p w:rsidR="0005386F" w:rsidRDefault="0005386F" w:rsidP="0005386F">
      <w:pPr>
        <w:spacing w:line="240" w:lineRule="auto"/>
      </w:pPr>
      <w:r>
        <w:t xml:space="preserve">Coleman, J. S. (1994) </w:t>
      </w:r>
      <w:r w:rsidRPr="0005386F">
        <w:rPr>
          <w:i/>
        </w:rPr>
        <w:t>Foundations of Social Theory</w:t>
      </w:r>
      <w:r>
        <w:t>, Cambridge, Mass: Belknap Press.</w:t>
      </w:r>
    </w:p>
    <w:p w:rsidR="0005386F" w:rsidRDefault="0005386F" w:rsidP="0005386F">
      <w:pPr>
        <w:spacing w:line="240" w:lineRule="auto"/>
      </w:pPr>
      <w:r>
        <w:t xml:space="preserve">Crompton, R. (2008) </w:t>
      </w:r>
      <w:r w:rsidRPr="0005386F">
        <w:rPr>
          <w:i/>
        </w:rPr>
        <w:t>Class and Stratification</w:t>
      </w:r>
      <w:r>
        <w:t>, Cambridge: Polity.</w:t>
      </w:r>
    </w:p>
    <w:p w:rsidR="0005386F" w:rsidRDefault="0005386F" w:rsidP="0005386F">
      <w:pPr>
        <w:spacing w:line="240" w:lineRule="auto"/>
      </w:pPr>
      <w:r>
        <w:t xml:space="preserve">Cullis, A. (2008) </w:t>
      </w:r>
      <w:r w:rsidRPr="0005386F">
        <w:rPr>
          <w:i/>
        </w:rPr>
        <w:t>Neighbourhood and well being in the earlier years</w:t>
      </w:r>
      <w:r>
        <w:t>, PhD thesis, IOE, University of London.</w:t>
      </w:r>
    </w:p>
    <w:p w:rsidR="0005386F" w:rsidRDefault="0005386F" w:rsidP="0005386F">
      <w:pPr>
        <w:spacing w:line="240" w:lineRule="auto"/>
      </w:pPr>
      <w:r>
        <w:t xml:space="preserve">Der, G., Batty, G. D. and Deary, I. J. (2006) Effect of breast feeding on intelligence in children: prospective study, sibling pairs analysis and meta-analysis, </w:t>
      </w:r>
      <w:r w:rsidRPr="0005386F">
        <w:rPr>
          <w:i/>
        </w:rPr>
        <w:t>British Medical Journal</w:t>
      </w:r>
      <w:r>
        <w:t xml:space="preserve"> </w:t>
      </w:r>
      <w:r w:rsidRPr="0005386F">
        <w:rPr>
          <w:i/>
        </w:rPr>
        <w:t>333</w:t>
      </w:r>
      <w:r>
        <w:t>.</w:t>
      </w:r>
    </w:p>
    <w:p w:rsidR="0005386F" w:rsidRDefault="0005386F" w:rsidP="0005386F">
      <w:pPr>
        <w:spacing w:line="240" w:lineRule="auto"/>
      </w:pPr>
      <w:r>
        <w:t xml:space="preserve">Duncan, G. J. and Brooks-Gunn, J. (eds) (1997) </w:t>
      </w:r>
      <w:r w:rsidRPr="0005386F">
        <w:rPr>
          <w:i/>
        </w:rPr>
        <w:t>Consequences of Growing Up Poor</w:t>
      </w:r>
      <w:r>
        <w:t>, New York: Russell Sage.</w:t>
      </w:r>
    </w:p>
    <w:p w:rsidR="0005386F" w:rsidRDefault="0005386F" w:rsidP="0005386F">
      <w:pPr>
        <w:spacing w:line="240" w:lineRule="auto"/>
      </w:pPr>
      <w:r>
        <w:t xml:space="preserve">Elliott (1996) </w:t>
      </w:r>
      <w:r w:rsidRPr="0005386F">
        <w:rPr>
          <w:i/>
        </w:rPr>
        <w:t>The British Ability Scales II</w:t>
      </w:r>
      <w:r>
        <w:t>, Windsor, Berkshire: NFER.</w:t>
      </w:r>
    </w:p>
    <w:p w:rsidR="0005386F" w:rsidRDefault="0005386F" w:rsidP="0005386F">
      <w:pPr>
        <w:spacing w:line="240" w:lineRule="auto"/>
      </w:pPr>
      <w:r>
        <w:t xml:space="preserve">Ellis, P. D. (2010) </w:t>
      </w:r>
      <w:r w:rsidRPr="0005386F">
        <w:rPr>
          <w:i/>
        </w:rPr>
        <w:t>The essential guide to effect sizes</w:t>
      </w:r>
      <w:r>
        <w:t>, Cambridge University Press: Cambridge.</w:t>
      </w:r>
    </w:p>
    <w:p w:rsidR="0005386F" w:rsidRDefault="0005386F" w:rsidP="0005386F">
      <w:pPr>
        <w:spacing w:line="240" w:lineRule="auto"/>
      </w:pPr>
      <w:r>
        <w:t xml:space="preserve">Ermisch, J. (2008) Origins of Social Immobility and Inequality: Parenting and early child development, </w:t>
      </w:r>
      <w:r w:rsidRPr="0005386F">
        <w:rPr>
          <w:i/>
        </w:rPr>
        <w:t>National Institute Economic Review</w:t>
      </w:r>
      <w:r>
        <w:t xml:space="preserve"> </w:t>
      </w:r>
      <w:r w:rsidRPr="0005386F">
        <w:rPr>
          <w:i/>
        </w:rPr>
        <w:t>205</w:t>
      </w:r>
      <w:r>
        <w:t>(62): 62-71.</w:t>
      </w:r>
    </w:p>
    <w:p w:rsidR="0005386F" w:rsidRDefault="0005386F" w:rsidP="0005386F">
      <w:pPr>
        <w:spacing w:line="240" w:lineRule="auto"/>
      </w:pPr>
      <w:r>
        <w:t xml:space="preserve">Feinstein, L. (2003) Inequality in the Early Cognitive Development of British Children in the 1970 Cohort, </w:t>
      </w:r>
      <w:r w:rsidRPr="0005386F">
        <w:rPr>
          <w:i/>
        </w:rPr>
        <w:t>Economica</w:t>
      </w:r>
      <w:r>
        <w:t xml:space="preserve"> </w:t>
      </w:r>
      <w:r w:rsidRPr="0005386F">
        <w:rPr>
          <w:i/>
        </w:rPr>
        <w:t>70</w:t>
      </w:r>
      <w:r>
        <w:t>(1): 73-97.</w:t>
      </w:r>
    </w:p>
    <w:p w:rsidR="0005386F" w:rsidRDefault="0005386F" w:rsidP="0005386F">
      <w:pPr>
        <w:spacing w:line="240" w:lineRule="auto"/>
      </w:pPr>
      <w:r>
        <w:t xml:space="preserve">Feinstein, L. and Symons, J. (1999) Attainment in secondary school, </w:t>
      </w:r>
      <w:r w:rsidRPr="0005386F">
        <w:rPr>
          <w:i/>
        </w:rPr>
        <w:t>Oxford Economic Papers</w:t>
      </w:r>
      <w:r>
        <w:t xml:space="preserve"> </w:t>
      </w:r>
      <w:r w:rsidRPr="0005386F">
        <w:rPr>
          <w:i/>
        </w:rPr>
        <w:t>51</w:t>
      </w:r>
      <w:r>
        <w:t>: 300-321.</w:t>
      </w:r>
    </w:p>
    <w:p w:rsidR="0005386F" w:rsidRDefault="0005386F" w:rsidP="0005386F">
      <w:pPr>
        <w:spacing w:line="240" w:lineRule="auto"/>
      </w:pPr>
      <w:r>
        <w:t xml:space="preserve">Field, F. (2010) The foundation years: preventing poor children becoming poor adults </w:t>
      </w:r>
      <w:r w:rsidRPr="0005386F">
        <w:rPr>
          <w:i/>
        </w:rPr>
        <w:t>The report of the Independent Review on Poverty and Life Chances</w:t>
      </w:r>
      <w:r>
        <w:t>, London: HM Government.</w:t>
      </w:r>
    </w:p>
    <w:p w:rsidR="0005386F" w:rsidRDefault="0005386F" w:rsidP="0005386F">
      <w:pPr>
        <w:spacing w:line="240" w:lineRule="auto"/>
      </w:pPr>
      <w:r>
        <w:t xml:space="preserve">Floud, J., Halsey, A. H. and Martin, F. (1956) </w:t>
      </w:r>
      <w:r w:rsidRPr="0005386F">
        <w:rPr>
          <w:i/>
        </w:rPr>
        <w:t>Social class and educational opportunity</w:t>
      </w:r>
      <w:r>
        <w:t>: Heinemann.</w:t>
      </w:r>
    </w:p>
    <w:p w:rsidR="0005386F" w:rsidRDefault="0005386F" w:rsidP="0005386F">
      <w:pPr>
        <w:spacing w:line="240" w:lineRule="auto"/>
      </w:pPr>
      <w:r>
        <w:t xml:space="preserve">Flouri, E., Tzavidis, N. and Kallis, C. (2010) Area and family effects on the psychopathology of the Millennium Cohort Study children and their older siblings, </w:t>
      </w:r>
      <w:r w:rsidRPr="0005386F">
        <w:rPr>
          <w:i/>
        </w:rPr>
        <w:t>The journal of child psychology and psychiatry</w:t>
      </w:r>
      <w:r>
        <w:t xml:space="preserve"> </w:t>
      </w:r>
      <w:r w:rsidRPr="0005386F">
        <w:rPr>
          <w:i/>
        </w:rPr>
        <w:t>51</w:t>
      </w:r>
      <w:r>
        <w:t>(2): 152-61.</w:t>
      </w:r>
    </w:p>
    <w:p w:rsidR="0005386F" w:rsidRDefault="0005386F" w:rsidP="0005386F">
      <w:pPr>
        <w:spacing w:line="240" w:lineRule="auto"/>
      </w:pPr>
      <w:r>
        <w:lastRenderedPageBreak/>
        <w:t xml:space="preserve">Ford, T., Goodman, R. and Meltzer, H. (2004) The relative importance of child, family, school and neighbourhood correlates of childhood psychiatric disorder, </w:t>
      </w:r>
      <w:r w:rsidRPr="0005386F">
        <w:rPr>
          <w:i/>
        </w:rPr>
        <w:t>Social Psychiatry and Psychiatric Epidemiology</w:t>
      </w:r>
      <w:r>
        <w:t xml:space="preserve"> </w:t>
      </w:r>
      <w:r w:rsidRPr="0005386F">
        <w:rPr>
          <w:i/>
        </w:rPr>
        <w:t>39</w:t>
      </w:r>
      <w:r>
        <w:t>(6): 487-496.</w:t>
      </w:r>
    </w:p>
    <w:p w:rsidR="0005386F" w:rsidRDefault="0005386F" w:rsidP="0005386F">
      <w:pPr>
        <w:spacing w:line="240" w:lineRule="auto"/>
      </w:pPr>
      <w:r>
        <w:t xml:space="preserve">Ghate, D. and Hazel, N. (2004) </w:t>
      </w:r>
      <w:r w:rsidRPr="0005386F">
        <w:rPr>
          <w:i/>
        </w:rPr>
        <w:t>Parenting in poor environments: stress, support and coping</w:t>
      </w:r>
      <w:r>
        <w:t>, London: Policy Research Bureau.</w:t>
      </w:r>
    </w:p>
    <w:p w:rsidR="0005386F" w:rsidRDefault="0005386F" w:rsidP="0005386F">
      <w:pPr>
        <w:spacing w:line="240" w:lineRule="auto"/>
      </w:pPr>
      <w:r>
        <w:t xml:space="preserve">Giddens, A. (1991) </w:t>
      </w:r>
      <w:r w:rsidRPr="0005386F">
        <w:rPr>
          <w:i/>
        </w:rPr>
        <w:t>Modernity and self identity</w:t>
      </w:r>
      <w:r>
        <w:t>, Cambridge: Polity.</w:t>
      </w:r>
    </w:p>
    <w:p w:rsidR="0005386F" w:rsidRDefault="0005386F" w:rsidP="0005386F">
      <w:pPr>
        <w:spacing w:line="240" w:lineRule="auto"/>
      </w:pPr>
      <w:r>
        <w:t xml:space="preserve">Glass, D. V., McGaw, B. and Smith, M. L. (1981) </w:t>
      </w:r>
      <w:r w:rsidRPr="0005386F">
        <w:rPr>
          <w:i/>
        </w:rPr>
        <w:t>Meta-analysis in social research</w:t>
      </w:r>
      <w:r>
        <w:t>, Beverly Hills, CA: Sage.</w:t>
      </w:r>
    </w:p>
    <w:p w:rsidR="0005386F" w:rsidRDefault="0005386F" w:rsidP="0005386F">
      <w:pPr>
        <w:spacing w:line="240" w:lineRule="auto"/>
      </w:pPr>
      <w:r>
        <w:t xml:space="preserve">Goldthorpe, J. and Jackson, M. (2007) Intergenerational class mobility in contemporary Britain: political concerns and empirical findngs, </w:t>
      </w:r>
      <w:r w:rsidRPr="0005386F">
        <w:rPr>
          <w:i/>
        </w:rPr>
        <w:t>British Journal of Sociology</w:t>
      </w:r>
      <w:r>
        <w:t xml:space="preserve"> </w:t>
      </w:r>
      <w:r w:rsidRPr="0005386F">
        <w:rPr>
          <w:i/>
        </w:rPr>
        <w:t>58</w:t>
      </w:r>
      <w:r>
        <w:t>(4): 525-546.</w:t>
      </w:r>
    </w:p>
    <w:p w:rsidR="0005386F" w:rsidRDefault="0005386F" w:rsidP="0005386F">
      <w:pPr>
        <w:spacing w:line="240" w:lineRule="auto"/>
      </w:pPr>
      <w:r>
        <w:t xml:space="preserve">Goldthorpe, J. and McKnight, A. (2006) The economic basis of social class, in S. Morgan, D. B. Grusky and G. S. Fields (eds) </w:t>
      </w:r>
      <w:r w:rsidRPr="0005386F">
        <w:rPr>
          <w:i/>
        </w:rPr>
        <w:t>Mobility and Inequality: Frontiers of research from sociology and economics</w:t>
      </w:r>
      <w:r>
        <w:t>, Stanford: Stanford University Press.</w:t>
      </w:r>
    </w:p>
    <w:p w:rsidR="0005386F" w:rsidRDefault="0005386F" w:rsidP="0005386F">
      <w:pPr>
        <w:spacing w:line="240" w:lineRule="auto"/>
      </w:pPr>
      <w:r>
        <w:t xml:space="preserve">Goldthorpe, J. H. (1997) The 'Goldthorpe' class schema: some observations on conceptual and operational, in D. Rose and K. O'Reilly (eds) </w:t>
      </w:r>
      <w:r w:rsidRPr="0005386F">
        <w:rPr>
          <w:i/>
        </w:rPr>
        <w:t>Constructing Classes: Towards a new social classification for the UK</w:t>
      </w:r>
      <w:r>
        <w:t>, Swindon: ESRC/ONS.</w:t>
      </w:r>
    </w:p>
    <w:p w:rsidR="0005386F" w:rsidRDefault="0005386F" w:rsidP="0005386F">
      <w:pPr>
        <w:spacing w:line="240" w:lineRule="auto"/>
      </w:pPr>
      <w:r>
        <w:t xml:space="preserve">Halsey, A. H., Heath, A. and Ridge, J. (1980) </w:t>
      </w:r>
      <w:r w:rsidRPr="0005386F">
        <w:rPr>
          <w:i/>
        </w:rPr>
        <w:t>Origins and Destinations: family, class, and education in modern Britain</w:t>
      </w:r>
      <w:r>
        <w:t>, Oxford: OUP.</w:t>
      </w:r>
    </w:p>
    <w:p w:rsidR="0005386F" w:rsidRDefault="0005386F" w:rsidP="0005386F">
      <w:pPr>
        <w:spacing w:line="240" w:lineRule="auto"/>
      </w:pPr>
      <w:r>
        <w:t xml:space="preserve">Hansen, K. and Jones, E. (2010) Education, schooling and childcare, in K. Hansen, E. Jones, H. Joshi and D. Budge (eds) </w:t>
      </w:r>
      <w:r w:rsidRPr="0005386F">
        <w:rPr>
          <w:i/>
        </w:rPr>
        <w:t>Millennium Cohort Study Fourth Survey: A user's guide to initial findings</w:t>
      </w:r>
      <w:r>
        <w:t>, London: Centre for Longitudinal Studies.</w:t>
      </w:r>
    </w:p>
    <w:p w:rsidR="0005386F" w:rsidRDefault="0005386F" w:rsidP="0005386F">
      <w:pPr>
        <w:spacing w:line="240" w:lineRule="auto"/>
      </w:pPr>
      <w:r>
        <w:t xml:space="preserve">Hawkes, D. and Joshi, H. (2011) Unequal entry to motherhood and unequal outcomes for children, </w:t>
      </w:r>
      <w:r w:rsidRPr="0005386F">
        <w:rPr>
          <w:i/>
        </w:rPr>
        <w:t>CLS Working Paper</w:t>
      </w:r>
      <w:r>
        <w:t xml:space="preserve"> </w:t>
      </w:r>
      <w:r w:rsidRPr="0005386F">
        <w:rPr>
          <w:i/>
        </w:rPr>
        <w:t>2011/3</w:t>
      </w:r>
      <w:r>
        <w:t>.</w:t>
      </w:r>
    </w:p>
    <w:p w:rsidR="0005386F" w:rsidRDefault="0005386F" w:rsidP="0005386F">
      <w:pPr>
        <w:spacing w:line="240" w:lineRule="auto"/>
      </w:pPr>
      <w:r>
        <w:t xml:space="preserve">Jaeger, M. M. (2007) Educational mobility across three generations: the changing impact of parental social class, economic, cultural and social capital, </w:t>
      </w:r>
      <w:r w:rsidRPr="0005386F">
        <w:rPr>
          <w:i/>
        </w:rPr>
        <w:t>European Societies</w:t>
      </w:r>
      <w:r>
        <w:t xml:space="preserve"> </w:t>
      </w:r>
      <w:r w:rsidRPr="0005386F">
        <w:rPr>
          <w:i/>
        </w:rPr>
        <w:t>9</w:t>
      </w:r>
      <w:r>
        <w:t>(4): 527-550.</w:t>
      </w:r>
    </w:p>
    <w:p w:rsidR="0005386F" w:rsidRDefault="0005386F" w:rsidP="0005386F">
      <w:pPr>
        <w:spacing w:line="240" w:lineRule="auto"/>
      </w:pPr>
      <w:r>
        <w:t xml:space="preserve">Jerrim, J. and Vignoles, V. (2011) Social mobility, regression to the mean and the cognitive development of high ability children from disadvantaged homes </w:t>
      </w:r>
      <w:r w:rsidRPr="0005386F">
        <w:rPr>
          <w:i/>
        </w:rPr>
        <w:t>QSS Seminar</w:t>
      </w:r>
      <w:r>
        <w:t>, Institute of Education, London.</w:t>
      </w:r>
    </w:p>
    <w:p w:rsidR="0005386F" w:rsidRDefault="0005386F" w:rsidP="0005386F">
      <w:pPr>
        <w:spacing w:line="240" w:lineRule="auto"/>
      </w:pPr>
      <w:r>
        <w:t xml:space="preserve">Jones, E. M. and Schoon, I. (2010) Cognitive Development, in K. Hansen, E. Jones, H. Joshi and D. Budge (eds) </w:t>
      </w:r>
      <w:r w:rsidRPr="0005386F">
        <w:rPr>
          <w:i/>
        </w:rPr>
        <w:t>The Millennium Cohort Study Fourth Survey: A user's guide to initial findings</w:t>
      </w:r>
      <w:r>
        <w:t>, London: Centre for Longitudinal Studies.</w:t>
      </w:r>
    </w:p>
    <w:p w:rsidR="0005386F" w:rsidRDefault="0005386F" w:rsidP="0005386F">
      <w:pPr>
        <w:spacing w:line="240" w:lineRule="auto"/>
      </w:pPr>
      <w:r>
        <w:t>Joshi, H. and de la Rochebrochard, E. (Jan 18th 2012) School readiness at age 3: the role of birth intendedness, social inequality and parenting practices in the Millennium Cohort: Sociology Group Seminar, Nuffield College Oxford.</w:t>
      </w:r>
    </w:p>
    <w:p w:rsidR="0005386F" w:rsidRDefault="0005386F" w:rsidP="0005386F">
      <w:pPr>
        <w:spacing w:line="240" w:lineRule="auto"/>
      </w:pPr>
      <w:r>
        <w:t xml:space="preserve">Kessler, R. C., Andrews, G., Colpe, L. J., Hiripi, E., Mroczek, D. K., Normand, S. L. T., Walters, E. E. and Zaslavsky, A. M. (2002) Short screening scales to monitor population prevalences and trends in non-specific psychological distress, </w:t>
      </w:r>
      <w:r w:rsidRPr="0005386F">
        <w:rPr>
          <w:i/>
        </w:rPr>
        <w:t>Psychological Medicine</w:t>
      </w:r>
      <w:r>
        <w:t xml:space="preserve"> </w:t>
      </w:r>
      <w:r w:rsidRPr="0005386F">
        <w:rPr>
          <w:i/>
        </w:rPr>
        <w:t>32</w:t>
      </w:r>
      <w:r>
        <w:t>: 959-976.</w:t>
      </w:r>
    </w:p>
    <w:p w:rsidR="0005386F" w:rsidRDefault="0005386F" w:rsidP="0005386F">
      <w:pPr>
        <w:spacing w:line="240" w:lineRule="auto"/>
      </w:pPr>
      <w:r>
        <w:t xml:space="preserve">Ketende, S. (2010) </w:t>
      </w:r>
      <w:r w:rsidRPr="0005386F">
        <w:rPr>
          <w:i/>
        </w:rPr>
        <w:t>MCS Technical Report on Response 3rd Edition</w:t>
      </w:r>
      <w:r>
        <w:t>, London: Centre for Longitudinal Studies.</w:t>
      </w:r>
    </w:p>
    <w:p w:rsidR="0005386F" w:rsidRDefault="0005386F" w:rsidP="0005386F">
      <w:pPr>
        <w:spacing w:line="240" w:lineRule="auto"/>
      </w:pPr>
      <w:r>
        <w:t>Kiernan, K. (14th January 2010) Letter to 'The Guardian'.</w:t>
      </w:r>
    </w:p>
    <w:p w:rsidR="0005386F" w:rsidRDefault="0005386F" w:rsidP="0005386F">
      <w:pPr>
        <w:spacing w:line="240" w:lineRule="auto"/>
      </w:pPr>
      <w:r>
        <w:t xml:space="preserve">Kiernan, K. and Mensah, F. K. (2011) Poverty, Family Resources and Children's Educational Attainment: The Mediating Role of Parenting, </w:t>
      </w:r>
      <w:r w:rsidRPr="0005386F">
        <w:rPr>
          <w:i/>
        </w:rPr>
        <w:t>British Educational Research Journal</w:t>
      </w:r>
      <w:r>
        <w:t xml:space="preserve"> </w:t>
      </w:r>
      <w:r w:rsidRPr="0005386F">
        <w:rPr>
          <w:i/>
        </w:rPr>
        <w:t>37</w:t>
      </w:r>
      <w:r>
        <w:t>(2): 317-336.</w:t>
      </w:r>
    </w:p>
    <w:p w:rsidR="0005386F" w:rsidRDefault="0005386F" w:rsidP="0005386F">
      <w:pPr>
        <w:spacing w:line="240" w:lineRule="auto"/>
      </w:pPr>
      <w:r>
        <w:t xml:space="preserve">Lareau, A. (2003) </w:t>
      </w:r>
      <w:r w:rsidRPr="0005386F">
        <w:rPr>
          <w:i/>
        </w:rPr>
        <w:t>Unequal Childhoods</w:t>
      </w:r>
      <w:r>
        <w:t>, Berkeley: University of California Press.</w:t>
      </w:r>
    </w:p>
    <w:p w:rsidR="0005386F" w:rsidRDefault="0005386F" w:rsidP="0005386F">
      <w:pPr>
        <w:spacing w:line="240" w:lineRule="auto"/>
      </w:pPr>
      <w:r>
        <w:t xml:space="preserve">Leckie, G. (2009) The complexity of school and neighbourhood effects and movements of pupils on school differences in models of educational achievement, </w:t>
      </w:r>
      <w:r w:rsidRPr="0005386F">
        <w:rPr>
          <w:i/>
        </w:rPr>
        <w:t>Journal of the Royal Statistical Society: Series A</w:t>
      </w:r>
      <w:r>
        <w:t xml:space="preserve"> </w:t>
      </w:r>
      <w:r w:rsidRPr="0005386F">
        <w:rPr>
          <w:i/>
        </w:rPr>
        <w:t>172</w:t>
      </w:r>
      <w:r>
        <w:t>(3): 537-554.</w:t>
      </w:r>
    </w:p>
    <w:p w:rsidR="0005386F" w:rsidRDefault="0005386F" w:rsidP="0005386F">
      <w:pPr>
        <w:spacing w:line="240" w:lineRule="auto"/>
      </w:pPr>
      <w:r>
        <w:lastRenderedPageBreak/>
        <w:t xml:space="preserve">Lexmond, J. and Reeves, R. (2009) </w:t>
      </w:r>
      <w:r w:rsidRPr="0005386F">
        <w:rPr>
          <w:i/>
        </w:rPr>
        <w:t>"Parents are the principal architects of a fairer society...": Building Character</w:t>
      </w:r>
      <w:r>
        <w:t>, London: Demos.</w:t>
      </w:r>
    </w:p>
    <w:p w:rsidR="0005386F" w:rsidRDefault="0005386F" w:rsidP="0005386F">
      <w:pPr>
        <w:spacing w:line="240" w:lineRule="auto"/>
      </w:pPr>
      <w:r>
        <w:t xml:space="preserve">Lupton, R. (2003) </w:t>
      </w:r>
      <w:r w:rsidRPr="0005386F">
        <w:rPr>
          <w:i/>
        </w:rPr>
        <w:t>'Neighbourhood Effects': Can we measure them and does it matter?</w:t>
      </w:r>
      <w:r>
        <w:t>, Vol. CASE 73, LSE.</w:t>
      </w:r>
    </w:p>
    <w:p w:rsidR="0005386F" w:rsidRDefault="0005386F" w:rsidP="0005386F">
      <w:pPr>
        <w:spacing w:line="240" w:lineRule="auto"/>
      </w:pPr>
      <w:r>
        <w:t xml:space="preserve">Lupton, R. and Kintrea, K. (2011) Can community-based interventions on aspirations raise young people's attainment, </w:t>
      </w:r>
      <w:r w:rsidRPr="0005386F">
        <w:rPr>
          <w:i/>
        </w:rPr>
        <w:t>Social Policy and Society</w:t>
      </w:r>
      <w:r>
        <w:t xml:space="preserve"> </w:t>
      </w:r>
      <w:r w:rsidRPr="0005386F">
        <w:rPr>
          <w:i/>
        </w:rPr>
        <w:t>10</w:t>
      </w:r>
      <w:r>
        <w:t>(3): 321-335.</w:t>
      </w:r>
    </w:p>
    <w:p w:rsidR="0005386F" w:rsidRDefault="0005386F" w:rsidP="0005386F">
      <w:pPr>
        <w:spacing w:line="240" w:lineRule="auto"/>
      </w:pPr>
      <w:r>
        <w:t xml:space="preserve">Midouhas, E. (2012) </w:t>
      </w:r>
      <w:r w:rsidRPr="0005386F">
        <w:rPr>
          <w:i/>
        </w:rPr>
        <w:t>Children’s well-being in rural compared with urban areas: Neighbourhood effects and their pathways of influence</w:t>
      </w:r>
      <w:r>
        <w:t>, PhD Thesis, Institute of Education, University of London.</w:t>
      </w:r>
    </w:p>
    <w:p w:rsidR="0005386F" w:rsidRDefault="0005386F" w:rsidP="0005386F">
      <w:pPr>
        <w:spacing w:line="240" w:lineRule="auto"/>
      </w:pPr>
      <w:r>
        <w:t xml:space="preserve">Mortimore, P. and Whitty, G. (2000) </w:t>
      </w:r>
      <w:r w:rsidRPr="0005386F">
        <w:rPr>
          <w:i/>
        </w:rPr>
        <w:t>Can school improvement overcome the effects of disadvantage? Revised edition</w:t>
      </w:r>
      <w:r>
        <w:t>, London: Institute of Education.</w:t>
      </w:r>
    </w:p>
    <w:p w:rsidR="0005386F" w:rsidRDefault="0005386F" w:rsidP="0005386F">
      <w:pPr>
        <w:spacing w:line="240" w:lineRule="auto"/>
      </w:pPr>
      <w:r>
        <w:t xml:space="preserve">Nisbet, J. (1953) Family Environment and Intelligence, </w:t>
      </w:r>
      <w:r w:rsidRPr="0005386F">
        <w:rPr>
          <w:i/>
        </w:rPr>
        <w:t>Eugenics Review</w:t>
      </w:r>
      <w:r>
        <w:t xml:space="preserve"> </w:t>
      </w:r>
      <w:r w:rsidRPr="0005386F">
        <w:rPr>
          <w:i/>
        </w:rPr>
        <w:t>XLV</w:t>
      </w:r>
      <w:r>
        <w:t>: 31-42.</w:t>
      </w:r>
    </w:p>
    <w:p w:rsidR="0005386F" w:rsidRDefault="0005386F" w:rsidP="0005386F">
      <w:pPr>
        <w:spacing w:line="240" w:lineRule="auto"/>
      </w:pPr>
      <w:r>
        <w:t xml:space="preserve">Prandy, K. (1998) Deconstructing Classes: Critical Comments on the Revised Social Classification, </w:t>
      </w:r>
      <w:r w:rsidRPr="0005386F">
        <w:rPr>
          <w:i/>
        </w:rPr>
        <w:t>Work Employment and Society</w:t>
      </w:r>
      <w:r>
        <w:t xml:space="preserve"> </w:t>
      </w:r>
      <w:r w:rsidRPr="0005386F">
        <w:rPr>
          <w:i/>
        </w:rPr>
        <w:t>12</w:t>
      </w:r>
      <w:r>
        <w:t>(4): 743-754.</w:t>
      </w:r>
    </w:p>
    <w:p w:rsidR="0005386F" w:rsidRDefault="0005386F" w:rsidP="0005386F">
      <w:pPr>
        <w:spacing w:line="240" w:lineRule="auto"/>
      </w:pPr>
      <w:r>
        <w:t xml:space="preserve">Quigley, M. A., Hockley, C., Carson, C., Kelly, Y., Renfrew, M. and Sacker, A. (2009) Breastfeeding is associated with improved child cognitive development: evidence from the UK Millennium Cohort Study, </w:t>
      </w:r>
      <w:r w:rsidRPr="0005386F">
        <w:rPr>
          <w:i/>
        </w:rPr>
        <w:t>Journal of Epidemiology and Community Health</w:t>
      </w:r>
      <w:r>
        <w:t xml:space="preserve"> </w:t>
      </w:r>
      <w:r w:rsidRPr="0005386F">
        <w:rPr>
          <w:i/>
        </w:rPr>
        <w:t>63 (Sup 2)</w:t>
      </w:r>
      <w:r>
        <w:t>(8): A3-A4.</w:t>
      </w:r>
    </w:p>
    <w:p w:rsidR="0005386F" w:rsidRDefault="0005386F" w:rsidP="0005386F">
      <w:pPr>
        <w:spacing w:line="240" w:lineRule="auto"/>
      </w:pPr>
      <w:r>
        <w:t xml:space="preserve">Rasbash, J., Leckie, G., Pillinger, R. and Jenkins, J. (2010) Children's educational progress: partitioning family, school and area effects, </w:t>
      </w:r>
      <w:r w:rsidRPr="0005386F">
        <w:rPr>
          <w:i/>
        </w:rPr>
        <w:t>Journal of the Royal Statistical Society: Series A</w:t>
      </w:r>
      <w:r>
        <w:t xml:space="preserve"> </w:t>
      </w:r>
      <w:r w:rsidRPr="0005386F">
        <w:rPr>
          <w:i/>
        </w:rPr>
        <w:t>173</w:t>
      </w:r>
      <w:r>
        <w:t>(4): 1-26.</w:t>
      </w:r>
    </w:p>
    <w:p w:rsidR="0005386F" w:rsidRDefault="0005386F" w:rsidP="0005386F">
      <w:pPr>
        <w:spacing w:line="240" w:lineRule="auto"/>
      </w:pPr>
      <w:r>
        <w:t xml:space="preserve">Savage, M. and Egerton, M. (1997) Social Mobility, Individual Ability and the Inheritance of Class Inequality, </w:t>
      </w:r>
      <w:r w:rsidRPr="0005386F">
        <w:rPr>
          <w:i/>
        </w:rPr>
        <w:t>Sociology</w:t>
      </w:r>
      <w:r>
        <w:t xml:space="preserve"> </w:t>
      </w:r>
      <w:r w:rsidRPr="0005386F">
        <w:rPr>
          <w:i/>
        </w:rPr>
        <w:t>31</w:t>
      </w:r>
      <w:r>
        <w:t>(4): 645-72.</w:t>
      </w:r>
    </w:p>
    <w:p w:rsidR="0005386F" w:rsidRDefault="0005386F" w:rsidP="0005386F">
      <w:pPr>
        <w:spacing w:line="240" w:lineRule="auto"/>
      </w:pPr>
      <w:r>
        <w:t xml:space="preserve">Siraj-Blatchford, I. (2009) Learning in the home and at school: how working class children 'succeed against the odds', </w:t>
      </w:r>
      <w:r w:rsidRPr="0005386F">
        <w:rPr>
          <w:i/>
        </w:rPr>
        <w:t>British Educational Research Journal</w:t>
      </w:r>
      <w:r>
        <w:t xml:space="preserve"> </w:t>
      </w:r>
      <w:r w:rsidRPr="0005386F">
        <w:rPr>
          <w:i/>
        </w:rPr>
        <w:t>36</w:t>
      </w:r>
      <w:r>
        <w:t>(3): 463-482.</w:t>
      </w:r>
    </w:p>
    <w:p w:rsidR="0005386F" w:rsidRDefault="0005386F" w:rsidP="0005386F">
      <w:pPr>
        <w:spacing w:line="240" w:lineRule="auto"/>
      </w:pPr>
      <w:r>
        <w:t xml:space="preserve">Sullivan, A. (2001) Cultural Capital and Educational Attainment, </w:t>
      </w:r>
      <w:r w:rsidRPr="0005386F">
        <w:rPr>
          <w:i/>
        </w:rPr>
        <w:t>Sociology</w:t>
      </w:r>
      <w:r>
        <w:t xml:space="preserve"> </w:t>
      </w:r>
      <w:r w:rsidRPr="0005386F">
        <w:rPr>
          <w:i/>
        </w:rPr>
        <w:t>35</w:t>
      </w:r>
      <w:r>
        <w:t>(4): 893-912.</w:t>
      </w:r>
    </w:p>
    <w:p w:rsidR="0005386F" w:rsidRDefault="0005386F" w:rsidP="0005386F">
      <w:pPr>
        <w:spacing w:line="240" w:lineRule="auto"/>
      </w:pPr>
      <w:r>
        <w:t xml:space="preserve">Sullivan, A., Cara, O., Joshi, H., Ketende, S. and Obolenskaya, P. (2010a) </w:t>
      </w:r>
      <w:r w:rsidRPr="0005386F">
        <w:rPr>
          <w:i/>
        </w:rPr>
        <w:t>The consequences of childhood disadvantage in Northern Ireland at age 5</w:t>
      </w:r>
      <w:r>
        <w:t>, Belfast: Office of the First Minister and the Deputy First Minister.</w:t>
      </w:r>
    </w:p>
    <w:p w:rsidR="0005386F" w:rsidRDefault="0005386F" w:rsidP="0005386F">
      <w:pPr>
        <w:spacing w:line="240" w:lineRule="auto"/>
      </w:pPr>
      <w:r>
        <w:t xml:space="preserve">Sullivan, A., Joshi, H., Ketende, S. and Obolenskaya, P. (2010b) </w:t>
      </w:r>
      <w:r w:rsidRPr="0005386F">
        <w:rPr>
          <w:i/>
        </w:rPr>
        <w:t>The Consequences at Age 7 of Early Childhood Disadvantage in Northern Ireland and Great Britain</w:t>
      </w:r>
      <w:r>
        <w:t>, Belfast: Office of the First Minister and the Deputy First Minister.</w:t>
      </w:r>
    </w:p>
    <w:p w:rsidR="0005386F" w:rsidRDefault="0005386F" w:rsidP="0005386F">
      <w:pPr>
        <w:spacing w:line="240" w:lineRule="auto"/>
      </w:pPr>
      <w:r>
        <w:t xml:space="preserve">Sylva, K., Melhuish, E., Sammons, P., Siraj-Blatchford, I. and Taggart, B. (2004) </w:t>
      </w:r>
      <w:r w:rsidRPr="0005386F">
        <w:rPr>
          <w:i/>
        </w:rPr>
        <w:t>The effective provision of pre-school education (EPPE) Project: Findings from the pre-school to the end of Key Stage 1</w:t>
      </w:r>
      <w:r>
        <w:t>, London: DfES.</w:t>
      </w:r>
    </w:p>
    <w:p w:rsidR="0005386F" w:rsidRDefault="0005386F" w:rsidP="0005386F">
      <w:pPr>
        <w:spacing w:line="240" w:lineRule="auto"/>
      </w:pPr>
      <w:r>
        <w:t xml:space="preserve">Telegraph (2010) Good parenting not poverty shape a child's destiny </w:t>
      </w:r>
      <w:r w:rsidRPr="0005386F">
        <w:rPr>
          <w:i/>
        </w:rPr>
        <w:t>Telegraph</w:t>
      </w:r>
      <w:r>
        <w:t>, London.</w:t>
      </w:r>
    </w:p>
    <w:p w:rsidR="0005386F" w:rsidRDefault="0005386F" w:rsidP="0005386F">
      <w:pPr>
        <w:spacing w:line="240" w:lineRule="auto"/>
      </w:pPr>
      <w:r>
        <w:t xml:space="preserve">Vincent, C. (2012) </w:t>
      </w:r>
      <w:r w:rsidRPr="0005386F">
        <w:rPr>
          <w:i/>
        </w:rPr>
        <w:t>Parenting: Responsibilities, risks and respect (Inaugural Professorial Lecture)</w:t>
      </w:r>
      <w:r>
        <w:t>, London: Institute of Education.</w:t>
      </w:r>
    </w:p>
    <w:p w:rsidR="0005386F" w:rsidRDefault="0005386F" w:rsidP="0005386F">
      <w:pPr>
        <w:spacing w:line="240" w:lineRule="auto"/>
      </w:pPr>
      <w:r>
        <w:t xml:space="preserve">Vincent, C. and Ball, S. J. (2007) 'Making Up' the Middle-Class Child: Families, activities and class dispositions, </w:t>
      </w:r>
      <w:r w:rsidRPr="0005386F">
        <w:rPr>
          <w:i/>
        </w:rPr>
        <w:t>Sociology</w:t>
      </w:r>
      <w:r>
        <w:t xml:space="preserve"> </w:t>
      </w:r>
      <w:r w:rsidRPr="0005386F">
        <w:rPr>
          <w:i/>
        </w:rPr>
        <w:t>41</w:t>
      </w:r>
      <w:r>
        <w:t>(6): 1061-1077.</w:t>
      </w:r>
    </w:p>
    <w:p w:rsidR="0005386F" w:rsidRDefault="0005386F" w:rsidP="0005386F">
      <w:pPr>
        <w:spacing w:line="240" w:lineRule="auto"/>
      </w:pPr>
      <w:r>
        <w:t xml:space="preserve">Vincent, C., Ball, S. J. and Braun, A. (2010) Between the estate and the state: struggling to be a 'good' mother, </w:t>
      </w:r>
      <w:r w:rsidRPr="0005386F">
        <w:rPr>
          <w:i/>
        </w:rPr>
        <w:t>British Journal of Sociology of Education</w:t>
      </w:r>
      <w:r>
        <w:t xml:space="preserve"> </w:t>
      </w:r>
      <w:r w:rsidRPr="0005386F">
        <w:rPr>
          <w:i/>
        </w:rPr>
        <w:t>31</w:t>
      </w:r>
      <w:r>
        <w:t>(2): 123-138.</w:t>
      </w:r>
    </w:p>
    <w:p w:rsidR="0005386F" w:rsidRDefault="0005386F" w:rsidP="0005386F">
      <w:pPr>
        <w:spacing w:line="240" w:lineRule="auto"/>
      </w:pPr>
      <w:r>
        <w:t xml:space="preserve">Washbrook, E. (2011) Early environments and child outcomes: An analysis commission for the independent review on life chances </w:t>
      </w:r>
      <w:r w:rsidRPr="0005386F">
        <w:rPr>
          <w:i/>
        </w:rPr>
        <w:t>Supporting Evidence Paper</w:t>
      </w:r>
      <w:r>
        <w:t>, Bristol: Centre for Market and Public Organization, University of Bristol.</w:t>
      </w:r>
    </w:p>
    <w:p w:rsidR="0005386F" w:rsidRDefault="0005386F" w:rsidP="0005386F">
      <w:pPr>
        <w:spacing w:line="240" w:lineRule="auto"/>
      </w:pPr>
      <w:r>
        <w:t xml:space="preserve">Whitty, G. (2002) </w:t>
      </w:r>
      <w:r w:rsidRPr="0005386F">
        <w:rPr>
          <w:i/>
        </w:rPr>
        <w:t>Making sense of education policy</w:t>
      </w:r>
      <w:r>
        <w:t>, London: Paul Chapman.</w:t>
      </w:r>
    </w:p>
    <w:p w:rsidR="0005386F" w:rsidRDefault="0005386F" w:rsidP="0005386F">
      <w:pPr>
        <w:spacing w:line="240" w:lineRule="auto"/>
      </w:pPr>
    </w:p>
    <w:p w:rsidR="00EE2EC3" w:rsidRDefault="00C16BF1" w:rsidP="0005386F">
      <w:pPr>
        <w:spacing w:line="240" w:lineRule="auto"/>
        <w:ind w:left="720" w:hanging="720"/>
      </w:pPr>
      <w:r>
        <w:fldChar w:fldCharType="end"/>
      </w:r>
    </w:p>
    <w:p w:rsidR="00EE2EC3" w:rsidRDefault="00EE2EC3">
      <w:r>
        <w:br w:type="page"/>
      </w:r>
    </w:p>
    <w:p w:rsidR="00C558CE" w:rsidRPr="004017B9" w:rsidRDefault="00C558CE" w:rsidP="00C558CE">
      <w:pPr>
        <w:rPr>
          <w:b/>
        </w:rPr>
      </w:pPr>
      <w:r w:rsidRPr="004017B9">
        <w:rPr>
          <w:b/>
        </w:rPr>
        <w:lastRenderedPageBreak/>
        <w:t>Figures</w:t>
      </w:r>
    </w:p>
    <w:p w:rsidR="00C558CE" w:rsidRDefault="00C558CE" w:rsidP="00C558CE"/>
    <w:p w:rsidR="00C558CE" w:rsidRDefault="00C558CE" w:rsidP="00C558CE"/>
    <w:p w:rsidR="00C558CE" w:rsidRDefault="00C51E1D" w:rsidP="00C558CE">
      <w:r>
        <w:t>Figure 1</w:t>
      </w:r>
      <w:r w:rsidR="00C558CE">
        <w:t>: Social class income and education, coefficients expressed in months, models 1-5*</w:t>
      </w:r>
    </w:p>
    <w:p w:rsidR="00C558CE" w:rsidRDefault="00C558CE" w:rsidP="00C558CE">
      <w:pPr>
        <w:rPr>
          <w:noProof/>
          <w:lang w:eastAsia="en-GB"/>
        </w:rPr>
      </w:pPr>
      <w:r>
        <w:rPr>
          <w:noProof/>
          <w:lang w:eastAsia="en-GB"/>
        </w:rPr>
        <w:drawing>
          <wp:inline distT="0" distB="0" distL="0" distR="0">
            <wp:extent cx="5734177" cy="4452112"/>
            <wp:effectExtent l="12192" t="6096" r="4826" b="1397"/>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58CE" w:rsidRDefault="00C558CE" w:rsidP="00C558CE">
      <w:pPr>
        <w:rPr>
          <w:rFonts w:cs="Arial"/>
          <w:szCs w:val="22"/>
        </w:rPr>
      </w:pPr>
      <w:r>
        <w:rPr>
          <w:noProof/>
          <w:lang w:eastAsia="en-GB"/>
        </w:rPr>
        <w:t>*Model 1 = Social class</w:t>
      </w:r>
      <w:r w:rsidRPr="004E11BA">
        <w:rPr>
          <w:rFonts w:cs="Arial"/>
          <w:szCs w:val="22"/>
        </w:rPr>
        <w:t xml:space="preserve"> </w:t>
      </w:r>
      <w:r>
        <w:rPr>
          <w:rFonts w:cs="Arial"/>
          <w:szCs w:val="22"/>
        </w:rPr>
        <w:t>and ascribed characteristics</w:t>
      </w:r>
    </w:p>
    <w:p w:rsidR="00C558CE" w:rsidRDefault="00C558CE" w:rsidP="00C558CE">
      <w:pPr>
        <w:rPr>
          <w:rFonts w:cs="Arial"/>
          <w:szCs w:val="22"/>
        </w:rPr>
      </w:pPr>
      <w:r>
        <w:rPr>
          <w:rFonts w:cs="Arial"/>
          <w:szCs w:val="22"/>
        </w:rPr>
        <w:t>Model 2 = Model 1 + Income and Education</w:t>
      </w:r>
    </w:p>
    <w:p w:rsidR="00C558CE" w:rsidRPr="0073727D" w:rsidRDefault="00C558CE" w:rsidP="00C558CE">
      <w:pPr>
        <w:rPr>
          <w:rFonts w:cs="Arial"/>
          <w:szCs w:val="22"/>
        </w:rPr>
      </w:pPr>
      <w:r>
        <w:rPr>
          <w:rFonts w:cs="Arial"/>
          <w:szCs w:val="22"/>
        </w:rPr>
        <w:t>Model 3 = Model 2 + social resources</w:t>
      </w:r>
    </w:p>
    <w:p w:rsidR="00C558CE" w:rsidRDefault="00C558CE" w:rsidP="00C558CE">
      <w:pPr>
        <w:rPr>
          <w:rFonts w:cs="Arial"/>
          <w:szCs w:val="22"/>
        </w:rPr>
      </w:pPr>
      <w:r>
        <w:rPr>
          <w:noProof/>
          <w:lang w:eastAsia="en-GB"/>
        </w:rPr>
        <w:t xml:space="preserve">Model 4 = </w:t>
      </w:r>
      <w:r>
        <w:rPr>
          <w:rFonts w:cs="Arial"/>
          <w:szCs w:val="22"/>
        </w:rPr>
        <w:t>Model 3 + Parents’ behaviours</w:t>
      </w:r>
    </w:p>
    <w:p w:rsidR="00C558CE" w:rsidRDefault="00C558CE" w:rsidP="00C558CE">
      <w:pPr>
        <w:rPr>
          <w:rFonts w:cs="Arial"/>
          <w:szCs w:val="22"/>
        </w:rPr>
      </w:pPr>
      <w:r>
        <w:rPr>
          <w:rFonts w:cs="Arial"/>
          <w:szCs w:val="22"/>
        </w:rPr>
        <w:t>Model 5 = Model 4 + Child’s test scores at age 5</w:t>
      </w:r>
    </w:p>
    <w:p w:rsidR="00C558CE" w:rsidRDefault="00C558CE" w:rsidP="00C558CE">
      <w:pPr>
        <w:rPr>
          <w:noProof/>
          <w:lang w:eastAsia="en-GB"/>
        </w:rPr>
      </w:pPr>
    </w:p>
    <w:p w:rsidR="00C558CE" w:rsidRDefault="00C558CE" w:rsidP="00C558CE">
      <w:pPr>
        <w:rPr>
          <w:noProof/>
          <w:lang w:eastAsia="en-GB"/>
        </w:rPr>
      </w:pPr>
    </w:p>
    <w:p w:rsidR="00C558CE" w:rsidRDefault="00C558CE" w:rsidP="00C558CE">
      <w:pPr>
        <w:rPr>
          <w:noProof/>
          <w:lang w:eastAsia="en-GB"/>
        </w:rPr>
      </w:pPr>
    </w:p>
    <w:p w:rsidR="00C558CE" w:rsidRDefault="00C558CE" w:rsidP="00C558CE">
      <w:pPr>
        <w:rPr>
          <w:noProof/>
          <w:lang w:eastAsia="en-GB"/>
        </w:rPr>
      </w:pPr>
    </w:p>
    <w:p w:rsidR="00C558CE" w:rsidRDefault="00C558CE" w:rsidP="00C558CE">
      <w:pPr>
        <w:rPr>
          <w:noProof/>
          <w:lang w:eastAsia="en-GB"/>
        </w:rPr>
      </w:pPr>
    </w:p>
    <w:p w:rsidR="00C558CE" w:rsidRDefault="00C558CE" w:rsidP="00C558CE">
      <w:pPr>
        <w:rPr>
          <w:noProof/>
          <w:lang w:eastAsia="en-GB"/>
        </w:rPr>
      </w:pPr>
    </w:p>
    <w:p w:rsidR="00C558CE" w:rsidRDefault="00C558CE" w:rsidP="00C558CE"/>
    <w:p w:rsidR="00C558CE" w:rsidRDefault="00C558CE">
      <w:pPr>
        <w:rPr>
          <w:rFonts w:ascii="Garamond" w:hAnsi="Garamond"/>
        </w:rPr>
      </w:pPr>
      <w:r>
        <w:rPr>
          <w:rFonts w:ascii="Garamond" w:hAnsi="Garamond"/>
        </w:rPr>
        <w:br w:type="page"/>
      </w:r>
    </w:p>
    <w:p w:rsidR="00137B89" w:rsidRPr="00DB0EB3" w:rsidRDefault="00137B89" w:rsidP="00137B89">
      <w:pPr>
        <w:rPr>
          <w:rFonts w:ascii="Garamond" w:hAnsi="Garamond"/>
        </w:rPr>
      </w:pPr>
      <w:r>
        <w:rPr>
          <w:rFonts w:ascii="Garamond" w:hAnsi="Garamond"/>
        </w:rPr>
        <w:lastRenderedPageBreak/>
        <w:t>Table 1: Descriptive statistics for test scores at ages 5 and 7</w:t>
      </w:r>
    </w:p>
    <w:tbl>
      <w:tblPr>
        <w:tblStyle w:val="TableGrid"/>
        <w:tblW w:w="0" w:type="auto"/>
        <w:tblLook w:val="04A0"/>
      </w:tblPr>
      <w:tblGrid>
        <w:gridCol w:w="1731"/>
        <w:gridCol w:w="779"/>
        <w:gridCol w:w="831"/>
        <w:gridCol w:w="1084"/>
        <w:gridCol w:w="719"/>
        <w:gridCol w:w="831"/>
      </w:tblGrid>
      <w:tr w:rsidR="00137B89" w:rsidRPr="00FA10C7" w:rsidTr="00137B89">
        <w:trPr>
          <w:trHeight w:val="300"/>
        </w:trPr>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Test</w:t>
            </w:r>
          </w:p>
        </w:tc>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N</w:t>
            </w:r>
          </w:p>
        </w:tc>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Mean</w:t>
            </w:r>
          </w:p>
        </w:tc>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Std. Dev.</w:t>
            </w:r>
          </w:p>
        </w:tc>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Min</w:t>
            </w:r>
          </w:p>
        </w:tc>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Max</w:t>
            </w:r>
          </w:p>
        </w:tc>
      </w:tr>
      <w:tr w:rsidR="00137B89" w:rsidRPr="00FA10C7" w:rsidTr="00137B89">
        <w:trPr>
          <w:trHeight w:val="300"/>
        </w:trPr>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Total BAS age 7</w:t>
            </w:r>
          </w:p>
        </w:tc>
        <w:tc>
          <w:tcPr>
            <w:tcW w:w="0" w:type="auto"/>
            <w:noWrap/>
            <w:hideMark/>
          </w:tcPr>
          <w:p w:rsidR="00137B89" w:rsidRPr="00FA10C7" w:rsidRDefault="00137B89" w:rsidP="00DF1606">
            <w:pPr>
              <w:contextualSpacing/>
              <w:jc w:val="right"/>
              <w:rPr>
                <w:rFonts w:ascii="Garamond" w:hAnsi="Garamond"/>
                <w:color w:val="000000"/>
              </w:rPr>
            </w:pPr>
            <w:r w:rsidRPr="00FA10C7">
              <w:rPr>
                <w:rFonts w:ascii="Garamond" w:hAnsi="Garamond"/>
                <w:color w:val="000000"/>
              </w:rPr>
              <w:t>11153</w:t>
            </w:r>
          </w:p>
        </w:tc>
        <w:tc>
          <w:tcPr>
            <w:tcW w:w="0" w:type="auto"/>
            <w:noWrap/>
            <w:hideMark/>
          </w:tcPr>
          <w:p w:rsidR="00137B89" w:rsidRPr="00FA10C7" w:rsidRDefault="00137B89" w:rsidP="00DF1606">
            <w:pPr>
              <w:contextualSpacing/>
              <w:jc w:val="right"/>
              <w:rPr>
                <w:rFonts w:ascii="Garamond" w:hAnsi="Garamond"/>
                <w:color w:val="000000"/>
              </w:rPr>
            </w:pPr>
            <w:r w:rsidRPr="00FA10C7">
              <w:rPr>
                <w:rFonts w:ascii="Garamond" w:hAnsi="Garamond"/>
                <w:color w:val="000000"/>
              </w:rPr>
              <w:t>100.90</w:t>
            </w:r>
          </w:p>
        </w:tc>
        <w:tc>
          <w:tcPr>
            <w:tcW w:w="0" w:type="auto"/>
            <w:noWrap/>
            <w:hideMark/>
          </w:tcPr>
          <w:p w:rsidR="00137B89" w:rsidRPr="00FA10C7" w:rsidRDefault="00137B89" w:rsidP="00DF1606">
            <w:pPr>
              <w:contextualSpacing/>
              <w:jc w:val="right"/>
              <w:rPr>
                <w:rFonts w:ascii="Garamond" w:hAnsi="Garamond"/>
                <w:color w:val="000000"/>
              </w:rPr>
            </w:pPr>
            <w:r w:rsidRPr="00FA10C7">
              <w:rPr>
                <w:rFonts w:ascii="Garamond" w:hAnsi="Garamond"/>
                <w:color w:val="000000"/>
              </w:rPr>
              <w:t>14.48</w:t>
            </w:r>
          </w:p>
        </w:tc>
        <w:tc>
          <w:tcPr>
            <w:tcW w:w="0" w:type="auto"/>
            <w:noWrap/>
            <w:hideMark/>
          </w:tcPr>
          <w:p w:rsidR="00137B89" w:rsidRPr="00FA10C7" w:rsidRDefault="00137B89" w:rsidP="00DF1606">
            <w:pPr>
              <w:contextualSpacing/>
              <w:jc w:val="right"/>
              <w:rPr>
                <w:rFonts w:ascii="Garamond" w:hAnsi="Garamond"/>
                <w:color w:val="000000"/>
              </w:rPr>
            </w:pPr>
            <w:r w:rsidRPr="00FA10C7">
              <w:rPr>
                <w:rFonts w:ascii="Garamond" w:hAnsi="Garamond"/>
                <w:color w:val="000000"/>
              </w:rPr>
              <w:t>21.69</w:t>
            </w:r>
          </w:p>
        </w:tc>
        <w:tc>
          <w:tcPr>
            <w:tcW w:w="0" w:type="auto"/>
            <w:noWrap/>
            <w:hideMark/>
          </w:tcPr>
          <w:p w:rsidR="00137B89" w:rsidRPr="00FA10C7" w:rsidRDefault="00137B89" w:rsidP="00DF1606">
            <w:pPr>
              <w:contextualSpacing/>
              <w:jc w:val="right"/>
              <w:rPr>
                <w:rFonts w:ascii="Garamond" w:hAnsi="Garamond"/>
                <w:color w:val="000000"/>
              </w:rPr>
            </w:pPr>
            <w:r w:rsidRPr="00FA10C7">
              <w:rPr>
                <w:rFonts w:ascii="Garamond" w:hAnsi="Garamond"/>
                <w:color w:val="000000"/>
              </w:rPr>
              <w:t>142.42</w:t>
            </w:r>
          </w:p>
        </w:tc>
      </w:tr>
      <w:tr w:rsidR="00137B89" w:rsidRPr="00FA10C7" w:rsidTr="00137B89">
        <w:trPr>
          <w:trHeight w:val="300"/>
        </w:trPr>
        <w:tc>
          <w:tcPr>
            <w:tcW w:w="0" w:type="auto"/>
            <w:noWrap/>
            <w:hideMark/>
          </w:tcPr>
          <w:p w:rsidR="00137B89" w:rsidRPr="00FA10C7" w:rsidRDefault="00137B89" w:rsidP="00DF1606">
            <w:pPr>
              <w:contextualSpacing/>
              <w:rPr>
                <w:rFonts w:ascii="Garamond" w:hAnsi="Garamond"/>
                <w:color w:val="000000"/>
              </w:rPr>
            </w:pPr>
            <w:r w:rsidRPr="00FA10C7">
              <w:rPr>
                <w:rFonts w:ascii="Garamond" w:hAnsi="Garamond"/>
                <w:color w:val="000000"/>
              </w:rPr>
              <w:t>Total BAS age 5</w:t>
            </w:r>
          </w:p>
        </w:tc>
        <w:tc>
          <w:tcPr>
            <w:tcW w:w="0" w:type="auto"/>
            <w:noWrap/>
            <w:hideMark/>
          </w:tcPr>
          <w:p w:rsidR="00137B89" w:rsidRPr="00FA10C7" w:rsidRDefault="00137B89" w:rsidP="00DF1606">
            <w:pPr>
              <w:contextualSpacing/>
              <w:jc w:val="right"/>
              <w:rPr>
                <w:rFonts w:ascii="Garamond" w:hAnsi="Garamond"/>
                <w:color w:val="000000"/>
              </w:rPr>
            </w:pPr>
            <w:r w:rsidRPr="00FA10C7">
              <w:rPr>
                <w:rFonts w:ascii="Garamond" w:hAnsi="Garamond"/>
                <w:color w:val="000000"/>
              </w:rPr>
              <w:t>11153</w:t>
            </w:r>
          </w:p>
        </w:tc>
        <w:tc>
          <w:tcPr>
            <w:tcW w:w="0" w:type="auto"/>
            <w:noWrap/>
            <w:hideMark/>
          </w:tcPr>
          <w:p w:rsidR="00137B89" w:rsidRPr="00FA10C7" w:rsidRDefault="00137B89" w:rsidP="00DF1606">
            <w:pPr>
              <w:contextualSpacing/>
              <w:jc w:val="right"/>
              <w:rPr>
                <w:rFonts w:ascii="Garamond" w:hAnsi="Garamond"/>
                <w:color w:val="000000"/>
              </w:rPr>
            </w:pPr>
            <w:r>
              <w:rPr>
                <w:rFonts w:ascii="Garamond" w:hAnsi="Garamond"/>
                <w:color w:val="000000"/>
              </w:rPr>
              <w:t>107.64</w:t>
            </w:r>
          </w:p>
        </w:tc>
        <w:tc>
          <w:tcPr>
            <w:tcW w:w="0" w:type="auto"/>
            <w:noWrap/>
            <w:hideMark/>
          </w:tcPr>
          <w:p w:rsidR="00137B89" w:rsidRPr="00FA10C7" w:rsidRDefault="00137B89" w:rsidP="00DF1606">
            <w:pPr>
              <w:contextualSpacing/>
              <w:jc w:val="right"/>
              <w:rPr>
                <w:rFonts w:ascii="Garamond" w:hAnsi="Garamond"/>
                <w:color w:val="000000"/>
              </w:rPr>
            </w:pPr>
            <w:r>
              <w:rPr>
                <w:rFonts w:ascii="Garamond" w:hAnsi="Garamond"/>
                <w:color w:val="000000"/>
              </w:rPr>
              <w:t>15.44</w:t>
            </w:r>
          </w:p>
        </w:tc>
        <w:tc>
          <w:tcPr>
            <w:tcW w:w="0" w:type="auto"/>
            <w:noWrap/>
            <w:hideMark/>
          </w:tcPr>
          <w:p w:rsidR="00137B89" w:rsidRPr="00FA10C7" w:rsidRDefault="00137B89" w:rsidP="00DF1606">
            <w:pPr>
              <w:contextualSpacing/>
              <w:jc w:val="right"/>
              <w:rPr>
                <w:rFonts w:ascii="Garamond" w:hAnsi="Garamond"/>
                <w:color w:val="000000"/>
              </w:rPr>
            </w:pPr>
            <w:r>
              <w:rPr>
                <w:rFonts w:ascii="Garamond" w:hAnsi="Garamond"/>
                <w:color w:val="000000"/>
              </w:rPr>
              <w:t>40.00</w:t>
            </w:r>
          </w:p>
        </w:tc>
        <w:tc>
          <w:tcPr>
            <w:tcW w:w="0" w:type="auto"/>
            <w:noWrap/>
            <w:hideMark/>
          </w:tcPr>
          <w:p w:rsidR="00137B89" w:rsidRPr="00FA10C7" w:rsidRDefault="00137B89" w:rsidP="00DF1606">
            <w:pPr>
              <w:contextualSpacing/>
              <w:jc w:val="right"/>
              <w:rPr>
                <w:rFonts w:ascii="Garamond" w:hAnsi="Garamond"/>
                <w:color w:val="000000"/>
              </w:rPr>
            </w:pPr>
            <w:r>
              <w:rPr>
                <w:rFonts w:ascii="Garamond" w:hAnsi="Garamond"/>
                <w:color w:val="000000"/>
              </w:rPr>
              <w:t>160.00</w:t>
            </w:r>
          </w:p>
        </w:tc>
      </w:tr>
    </w:tbl>
    <w:p w:rsidR="00137B89" w:rsidRDefault="00137B89" w:rsidP="00137B89"/>
    <w:p w:rsidR="00C558CE" w:rsidRDefault="00C558CE" w:rsidP="00C558CE">
      <w:r>
        <w:br w:type="page"/>
      </w:r>
    </w:p>
    <w:tbl>
      <w:tblPr>
        <w:tblW w:w="10207" w:type="dxa"/>
        <w:tblInd w:w="-318" w:type="dxa"/>
        <w:tblLayout w:type="fixed"/>
        <w:tblLook w:val="0600"/>
      </w:tblPr>
      <w:tblGrid>
        <w:gridCol w:w="2269"/>
        <w:gridCol w:w="1276"/>
        <w:gridCol w:w="1701"/>
        <w:gridCol w:w="992"/>
        <w:gridCol w:w="992"/>
        <w:gridCol w:w="993"/>
        <w:gridCol w:w="992"/>
        <w:gridCol w:w="992"/>
      </w:tblGrid>
      <w:tr w:rsidR="00C558CE" w:rsidRPr="00565321" w:rsidTr="00C558CE">
        <w:tc>
          <w:tcPr>
            <w:tcW w:w="10207" w:type="dxa"/>
            <w:gridSpan w:val="8"/>
            <w:tcBorders>
              <w:bottom w:val="single" w:sz="4" w:space="0" w:color="auto"/>
            </w:tcBorders>
          </w:tcPr>
          <w:p w:rsidR="00C558CE" w:rsidRPr="00565321" w:rsidRDefault="00C558CE" w:rsidP="00C558CE">
            <w:pPr>
              <w:rPr>
                <w:rFonts w:ascii="Garamond" w:hAnsi="Garamond"/>
                <w:lang w:val="en-US"/>
              </w:rPr>
            </w:pPr>
            <w:r w:rsidRPr="00565321">
              <w:lastRenderedPageBreak/>
              <w:br w:type="page"/>
            </w:r>
            <w:r w:rsidRPr="00565321">
              <w:rPr>
                <w:rFonts w:ascii="Garamond" w:hAnsi="Garamond"/>
                <w:lang w:val="en-US"/>
              </w:rPr>
              <w:t xml:space="preserve"> Table </w:t>
            </w:r>
            <w:r>
              <w:rPr>
                <w:rFonts w:ascii="Garamond" w:hAnsi="Garamond"/>
                <w:lang w:val="en-US"/>
              </w:rPr>
              <w:t>2</w:t>
            </w:r>
            <w:r w:rsidRPr="00565321">
              <w:rPr>
                <w:rFonts w:ascii="Garamond" w:hAnsi="Garamond"/>
                <w:lang w:val="en-US"/>
              </w:rPr>
              <w:t xml:space="preserve">  Regression analyses of Combined British Ability scores at age 7 </w:t>
            </w:r>
          </w:p>
        </w:tc>
      </w:tr>
      <w:tr w:rsidR="00C558CE" w:rsidRPr="00565321" w:rsidTr="00C558CE">
        <w:tc>
          <w:tcPr>
            <w:tcW w:w="5246" w:type="dxa"/>
            <w:gridSpan w:val="3"/>
            <w:tcBorders>
              <w:top w:val="single" w:sz="4" w:space="0" w:color="auto"/>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Combined British Ability Scales at 7 </w:t>
            </w:r>
          </w:p>
        </w:tc>
        <w:tc>
          <w:tcPr>
            <w:tcW w:w="992" w:type="dxa"/>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Model 1</w:t>
            </w:r>
          </w:p>
        </w:tc>
        <w:tc>
          <w:tcPr>
            <w:tcW w:w="992" w:type="dxa"/>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Model 2</w:t>
            </w:r>
          </w:p>
        </w:tc>
        <w:tc>
          <w:tcPr>
            <w:tcW w:w="993" w:type="dxa"/>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Model 3</w:t>
            </w:r>
          </w:p>
        </w:tc>
        <w:tc>
          <w:tcPr>
            <w:tcW w:w="992" w:type="dxa"/>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Model 4</w:t>
            </w:r>
          </w:p>
        </w:tc>
        <w:tc>
          <w:tcPr>
            <w:tcW w:w="992" w:type="dxa"/>
            <w:tcBorders>
              <w:top w:val="single" w:sz="4" w:space="0" w:color="auto"/>
              <w:bottom w:val="single" w:sz="4" w:space="0" w:color="auto"/>
              <w:right w:val="single" w:sz="4" w:space="0" w:color="auto"/>
            </w:tcBorders>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Model 5</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Sex of child</w:t>
            </w:r>
          </w:p>
        </w:tc>
        <w:tc>
          <w:tcPr>
            <w:tcW w:w="2977" w:type="dxa"/>
            <w:gridSpan w:val="2"/>
            <w:tcBorders>
              <w:top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Male</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Female </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1.15</w:t>
            </w:r>
            <w:r w:rsidRPr="00565321">
              <w:rPr>
                <w:rFonts w:ascii="Garamond" w:hAnsi="Garamond"/>
                <w:vertAlign w:val="superscript"/>
                <w:lang w:val="en-US"/>
              </w:rPr>
              <w:t>***</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1.20</w:t>
            </w:r>
            <w:r w:rsidRPr="00565321">
              <w:rPr>
                <w:rFonts w:ascii="Garamond" w:hAnsi="Garamond"/>
                <w:vertAlign w:val="superscript"/>
                <w:lang w:val="en-US"/>
              </w:rPr>
              <w:t>***</w:t>
            </w: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1.25</w:t>
            </w:r>
            <w:r w:rsidRPr="00565321">
              <w:rPr>
                <w:rFonts w:ascii="Garamond" w:hAnsi="Garamond"/>
                <w:vertAlign w:val="superscript"/>
                <w:lang w:val="en-US"/>
              </w:rPr>
              <w:t>***</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1.14</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0.04</w:t>
            </w:r>
          </w:p>
        </w:tc>
      </w:tr>
      <w:tr w:rsidR="00C558CE" w:rsidRPr="00565321" w:rsidTr="00C558CE">
        <w:tc>
          <w:tcPr>
            <w:tcW w:w="2269" w:type="dxa"/>
            <w:tcBorders>
              <w:top w:val="single" w:sz="4" w:space="0" w:color="auto"/>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Age at MCS4</w:t>
            </w:r>
          </w:p>
        </w:tc>
        <w:tc>
          <w:tcPr>
            <w:tcW w:w="2977" w:type="dxa"/>
            <w:gridSpan w:val="2"/>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Months</w:t>
            </w: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0.68</w:t>
            </w:r>
            <w:r w:rsidRPr="00565321">
              <w:rPr>
                <w:rFonts w:ascii="Garamond" w:hAnsi="Garamond"/>
                <w:vertAlign w:val="superscript"/>
                <w:lang w:val="en-US"/>
              </w:rPr>
              <w:t>***</w:t>
            </w: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0.70</w:t>
            </w:r>
            <w:r w:rsidRPr="00565321">
              <w:rPr>
                <w:rFonts w:ascii="Garamond" w:hAnsi="Garamond"/>
                <w:vertAlign w:val="superscript"/>
                <w:lang w:val="en-US"/>
              </w:rPr>
              <w:t>***</w:t>
            </w:r>
          </w:p>
        </w:tc>
        <w:tc>
          <w:tcPr>
            <w:tcW w:w="993"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0.70</w:t>
            </w:r>
            <w:r w:rsidRPr="00565321">
              <w:rPr>
                <w:rFonts w:ascii="Garamond" w:hAnsi="Garamond"/>
                <w:vertAlign w:val="superscript"/>
                <w:lang w:val="en-US"/>
              </w:rPr>
              <w:t>***</w:t>
            </w: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0.68</w:t>
            </w:r>
            <w:r w:rsidRPr="00565321">
              <w:rPr>
                <w:rFonts w:ascii="Garamond" w:hAnsi="Garamond"/>
                <w:vertAlign w:val="superscript"/>
                <w:lang w:val="en-US"/>
              </w:rPr>
              <w:t>***</w:t>
            </w:r>
          </w:p>
        </w:tc>
        <w:tc>
          <w:tcPr>
            <w:tcW w:w="992" w:type="dxa"/>
            <w:tcBorders>
              <w:top w:val="single" w:sz="4" w:space="0" w:color="auto"/>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1.00</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Social class</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 xml:space="preserve">Higher </w:t>
            </w:r>
            <w:proofErr w:type="spellStart"/>
            <w:r w:rsidRPr="00565321">
              <w:rPr>
                <w:rFonts w:ascii="Garamond" w:hAnsi="Garamond"/>
              </w:rPr>
              <w:t>Salariat</w:t>
            </w:r>
            <w:proofErr w:type="spellEnd"/>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12.57</w:t>
            </w:r>
            <w:r w:rsidRPr="00565321">
              <w:rPr>
                <w:rFonts w:ascii="Garamond" w:hAnsi="Garamond"/>
                <w:vertAlign w:val="superscript"/>
                <w:lang w:val="en-US"/>
              </w:rPr>
              <w:t>***</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5.15</w:t>
            </w:r>
            <w:r w:rsidRPr="00565321">
              <w:rPr>
                <w:rFonts w:ascii="Garamond" w:hAnsi="Garamond"/>
                <w:vertAlign w:val="superscript"/>
                <w:lang w:val="en-US"/>
              </w:rPr>
              <w:t>***</w:t>
            </w: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4.44</w:t>
            </w:r>
            <w:r w:rsidRPr="00565321">
              <w:rPr>
                <w:rFonts w:ascii="Garamond" w:hAnsi="Garamond"/>
                <w:vertAlign w:val="superscript"/>
                <w:lang w:val="en-US"/>
              </w:rPr>
              <w:t>***</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3.92</w:t>
            </w:r>
            <w:r w:rsidRPr="00565321">
              <w:rPr>
                <w:rFonts w:ascii="Garamond" w:hAnsi="Garamond"/>
                <w:vertAlign w:val="superscript"/>
                <w:lang w:val="en-US"/>
              </w:rPr>
              <w:t>***</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1.77</w:t>
            </w:r>
            <w:r w:rsidRPr="00565321">
              <w:rPr>
                <w:rFonts w:ascii="Garamond" w:hAnsi="Garamond"/>
                <w:vertAlign w:val="superscript"/>
                <w:lang w:val="en-US"/>
              </w:rPr>
              <w:t>***</w:t>
            </w:r>
          </w:p>
        </w:tc>
      </w:tr>
      <w:tr w:rsidR="00C558CE" w:rsidRPr="00565321" w:rsidTr="00C558CE">
        <w:tc>
          <w:tcPr>
            <w:tcW w:w="2269" w:type="dxa"/>
            <w:vMerge w:val="restart"/>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bCs/>
                <w:kern w:val="32"/>
                <w:lang w:val="en-US"/>
              </w:rPr>
              <w:t>(highest either parent MCS1/2)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 xml:space="preserve">Lower </w:t>
            </w:r>
            <w:proofErr w:type="spellStart"/>
            <w:r w:rsidRPr="00565321">
              <w:rPr>
                <w:rFonts w:ascii="Garamond" w:hAnsi="Garamond"/>
              </w:rPr>
              <w:t>Salariat</w:t>
            </w:r>
            <w:proofErr w:type="spellEnd"/>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8.97</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3.91</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3.23</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2.81</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1.56</w:t>
            </w:r>
            <w:r w:rsidRPr="00565321">
              <w:rPr>
                <w:rFonts w:ascii="Garamond" w:hAnsi="Garamond"/>
                <w:vertAlign w:val="superscript"/>
                <w:lang w:val="en-US"/>
              </w:rPr>
              <w:t>***</w:t>
            </w:r>
          </w:p>
        </w:tc>
      </w:tr>
      <w:tr w:rsidR="00C558CE" w:rsidRPr="00565321" w:rsidTr="00C558CE">
        <w:tc>
          <w:tcPr>
            <w:tcW w:w="2269" w:type="dxa"/>
            <w:vMerge/>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Intermediate</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5.58</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2.88</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2.21</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1.78</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0.89</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Petty bourgeois</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3.33</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1.22</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1.03</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0.79</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0.08</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Lower supervisory and tech.</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3.16</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1.55</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1.53</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1.29</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Semi and routine</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Never worked</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-3.21</w:t>
            </w:r>
            <w:r w:rsidRPr="00565321">
              <w:rPr>
                <w:rFonts w:ascii="Garamond" w:hAnsi="Garamond"/>
                <w:vertAlign w:val="superscript"/>
                <w:lang w:val="en-US"/>
              </w:rPr>
              <w:t>*</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-2.27</w:t>
            </w: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-1.67</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-1.45</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-0.89</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cs="Calibri"/>
                <w:color w:val="000000"/>
              </w:rPr>
            </w:pPr>
            <w:r w:rsidRPr="00565321">
              <w:rPr>
                <w:rFonts w:ascii="Garamond" w:hAnsi="Garamond" w:cs="Calibri"/>
                <w:color w:val="000000"/>
              </w:rPr>
              <w:t>Ethnic group</w:t>
            </w:r>
          </w:p>
        </w:tc>
        <w:tc>
          <w:tcPr>
            <w:tcW w:w="2977" w:type="dxa"/>
            <w:gridSpan w:val="2"/>
            <w:tcBorders>
              <w:top w:val="single" w:sz="4" w:space="0" w:color="auto"/>
            </w:tcBorders>
          </w:tcPr>
          <w:p w:rsidR="00C558CE" w:rsidRPr="00565321" w:rsidRDefault="00C558CE" w:rsidP="00C558CE">
            <w:pPr>
              <w:pStyle w:val="NoSpacing"/>
              <w:rPr>
                <w:rFonts w:ascii="Garamond" w:hAnsi="Garamond" w:cs="Calibri"/>
                <w:color w:val="000000"/>
              </w:rPr>
            </w:pPr>
            <w:r w:rsidRPr="00565321">
              <w:rPr>
                <w:rFonts w:ascii="Garamond" w:hAnsi="Garamond" w:cs="Calibri"/>
                <w:color w:val="000000"/>
              </w:rPr>
              <w:t>White</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cs="Calibri"/>
                <w:color w:val="000000"/>
              </w:rPr>
            </w:pPr>
            <w:r w:rsidRPr="00565321">
              <w:rPr>
                <w:rFonts w:ascii="Garamond" w:hAnsi="Garamond" w:cs="Calibri"/>
                <w:color w:val="000000"/>
              </w:rPr>
              <w:t>(Child)</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cs="Calibri"/>
                <w:color w:val="000000"/>
              </w:rPr>
              <w:t>Mixed</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0.38</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0.30</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0.30</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0.02</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0.03</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cs="Calibri"/>
                <w:color w:val="000000"/>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cs="Calibri"/>
                <w:color w:val="000000"/>
              </w:rPr>
              <w:t>Indian</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2.41</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1.65</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1.96</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2.14</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3.97</w:t>
            </w:r>
            <w:r w:rsidRPr="00565321">
              <w:rPr>
                <w:rFonts w:ascii="Garamond" w:hAnsi="Garamond"/>
                <w:vertAlign w:val="superscript"/>
                <w:lang w:val="en-US"/>
              </w:rPr>
              <w:t>***</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cs="Calibri"/>
                <w:color w:val="000000"/>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cs="Calibri"/>
                <w:color w:val="000000"/>
              </w:rPr>
              <w:t xml:space="preserve">Pakistani and Bangladeshi </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-3.39</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-2.45</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-1.57</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-1.00</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3.27</w:t>
            </w:r>
            <w:r w:rsidRPr="00565321">
              <w:rPr>
                <w:rFonts w:ascii="Garamond" w:hAnsi="Garamond"/>
                <w:vertAlign w:val="superscript"/>
                <w:lang w:val="en-US"/>
              </w:rPr>
              <w:t>***</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cs="Calibri"/>
                <w:color w:val="000000"/>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cs="Calibri"/>
                <w:color w:val="000000"/>
              </w:rPr>
              <w:t xml:space="preserve">Black or Black British </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-3.01</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-2.86</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-2.51</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-2.38</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-0.27</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cs="Calibri"/>
                <w:color w:val="000000"/>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cs="Calibri"/>
                <w:color w:val="000000"/>
              </w:rPr>
              <w:t xml:space="preserve">Other Ethnic group </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1.03</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1.13</w:t>
            </w: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1.74</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1.57</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3.94</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Country</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England</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MCS2)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Wales</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-1.01</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-0.98</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-0.83</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-0.63</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-0.72</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Scotland</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-1.50</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-1.95</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-1.89</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-1.60</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-1.08</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Northern Ireland </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-0.06</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-0.26</w:t>
            </w: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-0.02</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0.62</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-1.11</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Income quintiles</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 xml:space="preserve">Bottom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MCS2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Second</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0.15</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-0.03</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0.08</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-0.19</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Middle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1.63</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1.17</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1.15</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0.73</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Fourth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2.08</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1.45</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1.38</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0.97</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Top </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2.53</w:t>
            </w:r>
            <w:r w:rsidRPr="00565321">
              <w:rPr>
                <w:rFonts w:ascii="Garamond" w:hAnsi="Garamond"/>
                <w:vertAlign w:val="superscript"/>
                <w:lang w:val="en-US"/>
              </w:rPr>
              <w:t>***</w:t>
            </w: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1.89</w:t>
            </w:r>
            <w:r w:rsidRPr="00565321">
              <w:rPr>
                <w:rFonts w:ascii="Garamond" w:hAnsi="Garamond"/>
                <w:vertAlign w:val="superscript"/>
                <w:lang w:val="en-US"/>
              </w:rPr>
              <w:t>**</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1.93</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1.21</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Education</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Higher Degree</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10.33</w:t>
            </w:r>
            <w:r w:rsidRPr="00565321">
              <w:rPr>
                <w:rFonts w:ascii="Garamond" w:hAnsi="Garamond"/>
                <w:vertAlign w:val="superscript"/>
                <w:lang w:val="en-US"/>
              </w:rPr>
              <w:t>***</w:t>
            </w: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8.85</w:t>
            </w:r>
            <w:r w:rsidRPr="00565321">
              <w:rPr>
                <w:rFonts w:ascii="Garamond" w:hAnsi="Garamond"/>
                <w:vertAlign w:val="superscript"/>
                <w:lang w:val="en-US"/>
              </w:rPr>
              <w:t>***</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6.83</w:t>
            </w:r>
            <w:r w:rsidRPr="00565321">
              <w:rPr>
                <w:rFonts w:ascii="Garamond" w:hAnsi="Garamond"/>
                <w:vertAlign w:val="superscript"/>
                <w:lang w:val="en-US"/>
              </w:rPr>
              <w:t>***</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3.93</w:t>
            </w:r>
            <w:r w:rsidRPr="00565321">
              <w:rPr>
                <w:rFonts w:ascii="Garamond" w:hAnsi="Garamond"/>
                <w:vertAlign w:val="superscript"/>
                <w:lang w:val="en-US"/>
              </w:rPr>
              <w:t>***</w:t>
            </w:r>
          </w:p>
        </w:tc>
      </w:tr>
      <w:tr w:rsidR="00C558CE" w:rsidRPr="00565321" w:rsidTr="00C558CE">
        <w:tc>
          <w:tcPr>
            <w:tcW w:w="2269" w:type="dxa"/>
            <w:vMerge w:val="restart"/>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 highest either parent MCS1/2)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First Degree</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8.78</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7.24</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5.18</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2.60</w:t>
            </w:r>
            <w:r w:rsidRPr="00565321">
              <w:rPr>
                <w:rFonts w:ascii="Garamond" w:hAnsi="Garamond"/>
                <w:vertAlign w:val="superscript"/>
                <w:lang w:val="en-US"/>
              </w:rPr>
              <w:t>***</w:t>
            </w:r>
          </w:p>
        </w:tc>
      </w:tr>
      <w:tr w:rsidR="00C558CE" w:rsidRPr="00565321" w:rsidTr="00C558CE">
        <w:tc>
          <w:tcPr>
            <w:tcW w:w="2269" w:type="dxa"/>
            <w:vMerge/>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A level or HE diploma</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5.73</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4.33</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2.80</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1.22</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GCSE A-C</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3.48</w:t>
            </w:r>
            <w:r w:rsidRPr="00565321">
              <w:rPr>
                <w:rFonts w:ascii="Garamond" w:hAnsi="Garamond"/>
                <w:vertAlign w:val="superscript"/>
                <w:lang w:val="en-US"/>
              </w:rPr>
              <w:t>***</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2.37</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1.38</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0.25</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GCSE D-G</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0.51</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-0.36</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-0.83</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-0.82</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Other or Vocational</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2.09</w:t>
            </w: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1.44</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0.96</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0.24</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None</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Family/ work status</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Both in work</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 xml:space="preserve">Main in work, partner not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-0.78</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-0.65</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-0.77</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 xml:space="preserve">Partner in work, main not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-0.02</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-0.10</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-0.06</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Both not in work</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-1.34</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-1.19</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0.09</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Lone parent in work</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1.37</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1.40</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0.93</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Lone parent not in work</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-0.88</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-1.15</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-0.32</w:t>
            </w:r>
          </w:p>
        </w:tc>
      </w:tr>
      <w:tr w:rsidR="00C558CE" w:rsidRPr="00565321" w:rsidTr="00C558CE">
        <w:tc>
          <w:tcPr>
            <w:tcW w:w="2269" w:type="dxa"/>
            <w:vMerge w:val="restart"/>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Mother’s age at first birth</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13-20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vMerge/>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21-25</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0.80</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0.59</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0.43</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26-30</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1.31</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0.76</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31-35</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1.45</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0.88</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-0.06</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36+</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1.78</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1.24</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1.03</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Younger siblings</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 xml:space="preserve">0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MCS3</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1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-0.18</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-0.30</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0.27</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2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-0.56</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-0.76</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0.31</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3+</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-2.50</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-1.85</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0.69</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Older siblings</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 xml:space="preserve">0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MCS3</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1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-0.57</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-0.51</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0.38</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2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-2.04</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-1.81</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3 </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-2.40</w:t>
            </w:r>
            <w:r w:rsidRPr="00565321">
              <w:rPr>
                <w:rFonts w:ascii="Garamond" w:hAnsi="Garamond"/>
                <w:vertAlign w:val="superscript"/>
                <w:lang w:val="en-US"/>
              </w:rPr>
              <w:t>**</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-2.06</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-0.24</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4+</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-3.09</w:t>
            </w:r>
            <w:r w:rsidRPr="00565321">
              <w:rPr>
                <w:rFonts w:ascii="Garamond" w:hAnsi="Garamond"/>
                <w:vertAlign w:val="superscript"/>
                <w:lang w:val="en-US"/>
              </w:rPr>
              <w:t>**</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-2.67</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-0.27</w:t>
            </w:r>
          </w:p>
        </w:tc>
      </w:tr>
      <w:tr w:rsidR="00C558CE" w:rsidRPr="00565321" w:rsidTr="00C558CE">
        <w:tc>
          <w:tcPr>
            <w:tcW w:w="2269" w:type="dxa"/>
            <w:vMerge w:val="restart"/>
            <w:tcBorders>
              <w:top w:val="single" w:sz="4" w:space="0" w:color="auto"/>
              <w:left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Longstanding illness (mother, MCS2)</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 xml:space="preserve">No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vMerge/>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Yes</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0.17</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0.13</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0.25</w:t>
            </w:r>
          </w:p>
        </w:tc>
      </w:tr>
      <w:tr w:rsidR="00C558CE" w:rsidRPr="00565321" w:rsidTr="00C558CE">
        <w:tc>
          <w:tcPr>
            <w:tcW w:w="2269" w:type="dxa"/>
            <w:vMerge w:val="restart"/>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Depression, Kessler scale ( mother MCS2)</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rPr>
              <w:t xml:space="preserve">None or low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vMerge/>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Medium</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-0.41</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-0.28</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-0.28</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High</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-3.75</w:t>
            </w:r>
            <w:r w:rsidRPr="00565321">
              <w:rPr>
                <w:rFonts w:ascii="Garamond" w:hAnsi="Garamond"/>
                <w:vertAlign w:val="superscript"/>
                <w:lang w:val="en-US"/>
              </w:rPr>
              <w:t>***</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-3.23</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-2.26</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Ward type</w:t>
            </w:r>
          </w:p>
        </w:tc>
        <w:tc>
          <w:tcPr>
            <w:tcW w:w="2977" w:type="dxa"/>
            <w:gridSpan w:val="2"/>
            <w:tcBorders>
              <w:top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 xml:space="preserve">Advantaged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MCS1</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Disadvantaged</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-0.51</w:t>
            </w: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-0.26</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-0.15</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Ethnic</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1.43</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1.71</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1.71</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Breastfeeding</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None</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MCS1</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Up to 3 months</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0.76</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0.21</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3-6 months</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1.88</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0.71</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6 months or more</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1.81</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1.00</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Regular bedtimes</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 xml:space="preserve">Never, sometimes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-2.09</w:t>
            </w:r>
            <w:r w:rsidRPr="00565321">
              <w:rPr>
                <w:rFonts w:ascii="Garamond" w:hAnsi="Garamond"/>
                <w:vertAlign w:val="superscript"/>
                <w:lang w:val="en-US"/>
              </w:rPr>
              <w:t>***</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-1.22</w:t>
            </w:r>
            <w:r w:rsidRPr="00565321">
              <w:rPr>
                <w:rFonts w:ascii="Garamond" w:hAnsi="Garamond"/>
                <w:vertAlign w:val="superscript"/>
                <w:lang w:val="en-US"/>
              </w:rPr>
              <w:t>***</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Usually, always</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Regular meal times</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 xml:space="preserve">Sometimes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-1.55</w:t>
            </w:r>
            <w:r w:rsidRPr="00565321">
              <w:rPr>
                <w:rFonts w:ascii="Garamond" w:hAnsi="Garamond"/>
                <w:vertAlign w:val="superscript"/>
                <w:lang w:val="en-US"/>
              </w:rPr>
              <w:t>**</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-0.83</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Usually</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0.55</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0.35</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Always</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TV</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 xml:space="preserve">Up to one hour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&gt; 1 hour, &lt; 3 hours</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1.38</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0.84</w:t>
            </w:r>
            <w:r w:rsidRPr="00565321">
              <w:rPr>
                <w:rFonts w:ascii="Garamond" w:hAnsi="Garamond"/>
                <w:vertAlign w:val="superscript"/>
                <w:lang w:val="en-US"/>
              </w:rPr>
              <w:t>**</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Or, more than 3 hours</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2.10</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1.22</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Read to child</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 xml:space="preserve">Daily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At least weekly</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-1.06</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-0.28</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Less often</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-1.80</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-0.60</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Library visits</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 xml:space="preserve">Yes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No</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-1.92</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-1.08</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Teach child Alphabet</w:t>
            </w:r>
          </w:p>
        </w:tc>
        <w:tc>
          <w:tcPr>
            <w:tcW w:w="2977" w:type="dxa"/>
            <w:gridSpan w:val="2"/>
            <w:tcBorders>
              <w:top w:val="single" w:sz="4" w:space="0" w:color="auto"/>
            </w:tcBorders>
          </w:tcPr>
          <w:p w:rsidR="00C558CE" w:rsidRPr="00565321" w:rsidRDefault="00C558CE" w:rsidP="00C558CE">
            <w:pPr>
              <w:pStyle w:val="NoSpacing"/>
              <w:rPr>
                <w:rFonts w:ascii="Garamond" w:hAnsi="Garamond"/>
                <w:lang w:val="en-US"/>
              </w:rPr>
            </w:pPr>
            <w:r w:rsidRPr="00565321">
              <w:rPr>
                <w:rFonts w:ascii="Garamond" w:hAnsi="Garamond"/>
                <w:lang w:val="en-US"/>
              </w:rPr>
              <w:t xml:space="preserve">Yes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No</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-1.55</w:t>
            </w:r>
            <w:r w:rsidRPr="00565321">
              <w:rPr>
                <w:rFonts w:ascii="Garamond" w:hAnsi="Garamond"/>
                <w:vertAlign w:val="superscript"/>
                <w:lang w:val="en-US"/>
              </w:rPr>
              <w:t>***</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-0.72</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Teach child counting</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 xml:space="preserve">Yes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No</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-1.68</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-1.87</w:t>
            </w:r>
            <w:r w:rsidRPr="00565321">
              <w:rPr>
                <w:rFonts w:ascii="Garamond" w:hAnsi="Garamond"/>
                <w:vertAlign w:val="superscript"/>
                <w:lang w:val="en-US"/>
              </w:rPr>
              <w:t>*</w:t>
            </w:r>
          </w:p>
        </w:tc>
      </w:tr>
      <w:tr w:rsidR="00C558CE" w:rsidRPr="00565321" w:rsidTr="00C558CE">
        <w:tc>
          <w:tcPr>
            <w:tcW w:w="2269" w:type="dxa"/>
            <w:tcBorders>
              <w:top w:val="single" w:sz="4" w:space="0" w:color="auto"/>
              <w:left w:val="single" w:sz="4" w:space="0" w:color="auto"/>
            </w:tcBorders>
          </w:tcPr>
          <w:p w:rsidR="00C558CE" w:rsidRPr="00565321" w:rsidRDefault="00C558CE" w:rsidP="00C558CE">
            <w:pPr>
              <w:pStyle w:val="NoSpacing"/>
              <w:rPr>
                <w:rFonts w:ascii="Garamond" w:hAnsi="Garamond"/>
              </w:rPr>
            </w:pPr>
            <w:r w:rsidRPr="00565321">
              <w:rPr>
                <w:rFonts w:ascii="Garamond" w:hAnsi="Garamond"/>
              </w:rPr>
              <w:t>Rules</w:t>
            </w:r>
          </w:p>
        </w:tc>
        <w:tc>
          <w:tcPr>
            <w:tcW w:w="2977" w:type="dxa"/>
            <w:gridSpan w:val="2"/>
            <w:tcBorders>
              <w:top w:val="single" w:sz="4" w:space="0" w:color="auto"/>
            </w:tcBorders>
          </w:tcPr>
          <w:p w:rsidR="00C558CE" w:rsidRPr="00565321" w:rsidRDefault="00C558CE" w:rsidP="00C558CE">
            <w:pPr>
              <w:pStyle w:val="NoSpacing"/>
              <w:rPr>
                <w:rFonts w:ascii="Garamond" w:hAnsi="Garamond"/>
              </w:rPr>
            </w:pPr>
            <w:r w:rsidRPr="00565321">
              <w:rPr>
                <w:rFonts w:ascii="Garamond" w:hAnsi="Garamond"/>
              </w:rPr>
              <w:t xml:space="preserve">Strictly enforced </w:t>
            </w: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c>
          <w:tcPr>
            <w:tcW w:w="992" w:type="dxa"/>
            <w:tcBorders>
              <w:top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0.00</w:t>
            </w:r>
          </w:p>
        </w:tc>
      </w:tr>
      <w:tr w:rsidR="00C558CE" w:rsidRPr="00565321" w:rsidTr="00C558CE">
        <w:tc>
          <w:tcPr>
            <w:tcW w:w="2269" w:type="dxa"/>
            <w:tcBorders>
              <w:left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r w:rsidRPr="00565321">
              <w:rPr>
                <w:rFonts w:ascii="Garamond" w:hAnsi="Garamond"/>
              </w:rPr>
              <w:t>MCS2</w:t>
            </w:r>
          </w:p>
        </w:tc>
        <w:tc>
          <w:tcPr>
            <w:tcW w:w="2977" w:type="dxa"/>
            <w:gridSpan w:val="2"/>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Not very strictly enforced</w:t>
            </w:r>
          </w:p>
        </w:tc>
        <w:tc>
          <w:tcPr>
            <w:tcW w:w="992"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p>
        </w:tc>
        <w:tc>
          <w:tcPr>
            <w:tcW w:w="993" w:type="dxa"/>
          </w:tcPr>
          <w:p w:rsidR="00C558CE" w:rsidRPr="00565321" w:rsidRDefault="00C558CE" w:rsidP="00C558CE">
            <w:pPr>
              <w:pStyle w:val="NoSpacing"/>
              <w:spacing w:line="276" w:lineRule="auto"/>
              <w:rPr>
                <w:rFonts w:ascii="Garamond" w:hAnsi="Garamond"/>
                <w:lang w:val="en-US"/>
              </w:rPr>
            </w:pPr>
          </w:p>
        </w:tc>
        <w:tc>
          <w:tcPr>
            <w:tcW w:w="992" w:type="dxa"/>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-0.93</w:t>
            </w:r>
            <w:r w:rsidRPr="00565321">
              <w:rPr>
                <w:rFonts w:ascii="Garamond" w:hAnsi="Garamond"/>
                <w:vertAlign w:val="superscript"/>
                <w:lang w:val="en-US"/>
              </w:rPr>
              <w:t>*</w:t>
            </w:r>
          </w:p>
        </w:tc>
        <w:tc>
          <w:tcPr>
            <w:tcW w:w="992" w:type="dxa"/>
            <w:tcBorders>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-0.24</w:t>
            </w:r>
          </w:p>
        </w:tc>
      </w:tr>
      <w:tr w:rsidR="00C558CE" w:rsidRPr="00565321" w:rsidTr="00C558CE">
        <w:tc>
          <w:tcPr>
            <w:tcW w:w="2269" w:type="dxa"/>
            <w:tcBorders>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rPr>
            </w:pPr>
          </w:p>
        </w:tc>
        <w:tc>
          <w:tcPr>
            <w:tcW w:w="2977" w:type="dxa"/>
            <w:gridSpan w:val="2"/>
            <w:tcBorders>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rPr>
              <w:t>It varies</w:t>
            </w: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-0.04</w:t>
            </w:r>
          </w:p>
        </w:tc>
        <w:tc>
          <w:tcPr>
            <w:tcW w:w="992" w:type="dxa"/>
            <w:tcBorders>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0.21</w:t>
            </w:r>
          </w:p>
        </w:tc>
      </w:tr>
      <w:tr w:rsidR="00C558CE" w:rsidRPr="00565321" w:rsidTr="00C558CE">
        <w:tc>
          <w:tcPr>
            <w:tcW w:w="2269" w:type="dxa"/>
            <w:tcBorders>
              <w:top w:val="single" w:sz="4" w:space="0" w:color="auto"/>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BAS score MCS3</w:t>
            </w:r>
          </w:p>
        </w:tc>
        <w:tc>
          <w:tcPr>
            <w:tcW w:w="2977" w:type="dxa"/>
            <w:gridSpan w:val="2"/>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0.34</w:t>
            </w:r>
            <w:r w:rsidRPr="00565321">
              <w:rPr>
                <w:rFonts w:ascii="Garamond" w:hAnsi="Garamond"/>
                <w:vertAlign w:val="superscript"/>
                <w:lang w:val="en-US"/>
              </w:rPr>
              <w:t>***</w:t>
            </w:r>
          </w:p>
        </w:tc>
      </w:tr>
      <w:tr w:rsidR="00C558CE" w:rsidRPr="00565321" w:rsidTr="00C558CE">
        <w:tc>
          <w:tcPr>
            <w:tcW w:w="2269" w:type="dxa"/>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r w:rsidRPr="00565321">
              <w:rPr>
                <w:rFonts w:ascii="Garamond" w:hAnsi="Garamond"/>
                <w:lang w:val="en-US"/>
              </w:rPr>
              <w:t>Age in months MCS3</w:t>
            </w:r>
          </w:p>
        </w:tc>
        <w:tc>
          <w:tcPr>
            <w:tcW w:w="2977" w:type="dxa"/>
            <w:gridSpan w:val="2"/>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3"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-0.15</w:t>
            </w:r>
          </w:p>
        </w:tc>
      </w:tr>
      <w:tr w:rsidR="00C558CE" w:rsidRPr="00565321" w:rsidTr="00C558CE">
        <w:tc>
          <w:tcPr>
            <w:tcW w:w="2269" w:type="dxa"/>
            <w:tcBorders>
              <w:top w:val="single" w:sz="4" w:space="0" w:color="auto"/>
              <w:left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i/>
                <w:lang w:val="en-US"/>
              </w:rPr>
            </w:pPr>
            <w:r w:rsidRPr="00565321">
              <w:rPr>
                <w:rFonts w:ascii="Garamond" w:hAnsi="Garamond"/>
                <w:i/>
                <w:lang w:val="en-US"/>
              </w:rPr>
              <w:t>Constant</w:t>
            </w:r>
          </w:p>
        </w:tc>
        <w:tc>
          <w:tcPr>
            <w:tcW w:w="2977" w:type="dxa"/>
            <w:gridSpan w:val="2"/>
            <w:tcBorders>
              <w:top w:val="single" w:sz="4" w:space="0" w:color="auto"/>
              <w:bottom w:val="single" w:sz="4" w:space="0" w:color="auto"/>
            </w:tcBorders>
          </w:tcPr>
          <w:p w:rsidR="00C558CE" w:rsidRPr="00565321" w:rsidRDefault="00C558CE" w:rsidP="00C558CE">
            <w:pPr>
              <w:widowControl w:val="0"/>
              <w:autoSpaceDE w:val="0"/>
              <w:autoSpaceDN w:val="0"/>
              <w:adjustRightInd w:val="0"/>
              <w:spacing w:line="240" w:lineRule="auto"/>
              <w:rPr>
                <w:rFonts w:ascii="Garamond" w:hAnsi="Garamond"/>
                <w:i/>
                <w:lang w:val="en-US"/>
              </w:rPr>
            </w:pP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36.12</w:t>
            </w:r>
            <w:r w:rsidRPr="00565321">
              <w:rPr>
                <w:rFonts w:ascii="Garamond" w:hAnsi="Garamond"/>
                <w:vertAlign w:val="superscript"/>
                <w:lang w:val="en-US"/>
              </w:rPr>
              <w:t>***</w:t>
            </w: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31.18</w:t>
            </w:r>
            <w:r w:rsidRPr="00565321">
              <w:rPr>
                <w:rFonts w:ascii="Garamond" w:hAnsi="Garamond"/>
                <w:vertAlign w:val="superscript"/>
                <w:lang w:val="en-US"/>
              </w:rPr>
              <w:t>***</w:t>
            </w:r>
          </w:p>
        </w:tc>
        <w:tc>
          <w:tcPr>
            <w:tcW w:w="993"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33.51</w:t>
            </w:r>
            <w:r w:rsidRPr="00565321">
              <w:rPr>
                <w:rFonts w:ascii="Garamond" w:hAnsi="Garamond"/>
                <w:vertAlign w:val="superscript"/>
                <w:lang w:val="en-US"/>
              </w:rPr>
              <w:t>***</w:t>
            </w:r>
          </w:p>
        </w:tc>
        <w:tc>
          <w:tcPr>
            <w:tcW w:w="992" w:type="dxa"/>
            <w:tcBorders>
              <w:top w:val="single" w:sz="4" w:space="0" w:color="auto"/>
              <w:bottom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37.22</w:t>
            </w:r>
            <w:r w:rsidRPr="00565321">
              <w:rPr>
                <w:rFonts w:ascii="Garamond" w:hAnsi="Garamond"/>
                <w:vertAlign w:val="superscript"/>
                <w:lang w:val="en-US"/>
              </w:rPr>
              <w:t>***</w:t>
            </w:r>
          </w:p>
        </w:tc>
        <w:tc>
          <w:tcPr>
            <w:tcW w:w="992" w:type="dxa"/>
            <w:tcBorders>
              <w:top w:val="single" w:sz="4" w:space="0" w:color="auto"/>
              <w:bottom w:val="single" w:sz="4" w:space="0" w:color="auto"/>
              <w:right w:val="single" w:sz="4" w:space="0" w:color="auto"/>
            </w:tcBorders>
          </w:tcPr>
          <w:p w:rsidR="00C558CE" w:rsidRPr="00565321" w:rsidRDefault="00C558CE" w:rsidP="00C558CE">
            <w:pPr>
              <w:pStyle w:val="NoSpacing"/>
              <w:spacing w:line="276" w:lineRule="auto"/>
              <w:rPr>
                <w:rFonts w:ascii="Garamond" w:hAnsi="Garamond"/>
                <w:lang w:val="en-US"/>
              </w:rPr>
            </w:pPr>
            <w:r w:rsidRPr="00565321">
              <w:rPr>
                <w:rFonts w:ascii="Garamond" w:hAnsi="Garamond"/>
                <w:lang w:val="en-US"/>
              </w:rPr>
              <w:t>-33.80</w:t>
            </w:r>
            <w:r w:rsidRPr="00565321">
              <w:rPr>
                <w:rFonts w:ascii="Garamond" w:hAnsi="Garamond"/>
                <w:vertAlign w:val="superscript"/>
                <w:lang w:val="en-US"/>
              </w:rPr>
              <w:t>***</w:t>
            </w:r>
          </w:p>
        </w:tc>
      </w:tr>
      <w:tr w:rsidR="00C558CE" w:rsidRPr="00565321" w:rsidTr="00C558CE">
        <w:tc>
          <w:tcPr>
            <w:tcW w:w="3545" w:type="dxa"/>
            <w:gridSpan w:val="2"/>
          </w:tcPr>
          <w:p w:rsidR="00C558CE" w:rsidRPr="00565321" w:rsidRDefault="00C558CE" w:rsidP="00C558CE">
            <w:pPr>
              <w:widowControl w:val="0"/>
              <w:autoSpaceDE w:val="0"/>
              <w:autoSpaceDN w:val="0"/>
              <w:adjustRightInd w:val="0"/>
              <w:spacing w:line="240" w:lineRule="auto"/>
              <w:rPr>
                <w:rFonts w:ascii="Garamond" w:hAnsi="Garamond"/>
                <w:i/>
                <w:lang w:val="en-US"/>
              </w:rPr>
            </w:pPr>
            <w:proofErr w:type="spellStart"/>
            <w:r w:rsidRPr="00565321">
              <w:rPr>
                <w:rFonts w:ascii="Garamond" w:hAnsi="Garamond"/>
                <w:i/>
                <w:iCs/>
                <w:lang w:val="en-US"/>
              </w:rPr>
              <w:t>Unweighted</w:t>
            </w:r>
            <w:proofErr w:type="spellEnd"/>
            <w:r w:rsidRPr="00565321">
              <w:rPr>
                <w:rFonts w:ascii="Garamond" w:hAnsi="Garamond"/>
                <w:i/>
                <w:iCs/>
                <w:lang w:val="en-US"/>
              </w:rPr>
              <w:t xml:space="preserve"> Analysis Sample=11153</w:t>
            </w:r>
          </w:p>
        </w:tc>
        <w:tc>
          <w:tcPr>
            <w:tcW w:w="1701" w:type="dxa"/>
          </w:tcPr>
          <w:p w:rsidR="00C558CE" w:rsidRPr="00565321" w:rsidRDefault="00C558CE" w:rsidP="00C558CE">
            <w:pPr>
              <w:widowControl w:val="0"/>
              <w:autoSpaceDE w:val="0"/>
              <w:autoSpaceDN w:val="0"/>
              <w:adjustRightInd w:val="0"/>
              <w:spacing w:line="240" w:lineRule="auto"/>
              <w:jc w:val="right"/>
              <w:rPr>
                <w:rFonts w:ascii="Garamond" w:hAnsi="Garamond"/>
                <w:i/>
                <w:lang w:val="en-US"/>
              </w:rPr>
            </w:pPr>
            <w:r w:rsidRPr="00565321">
              <w:rPr>
                <w:rFonts w:ascii="Garamond" w:hAnsi="Garamond"/>
                <w:i/>
                <w:lang w:val="en-US"/>
              </w:rPr>
              <w:t>Adjusted R-squared</w:t>
            </w:r>
          </w:p>
        </w:tc>
        <w:tc>
          <w:tcPr>
            <w:tcW w:w="992" w:type="dxa"/>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0.13</w:t>
            </w:r>
          </w:p>
        </w:tc>
        <w:tc>
          <w:tcPr>
            <w:tcW w:w="992" w:type="dxa"/>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0.16</w:t>
            </w:r>
          </w:p>
        </w:tc>
        <w:tc>
          <w:tcPr>
            <w:tcW w:w="993" w:type="dxa"/>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0.17</w:t>
            </w:r>
          </w:p>
        </w:tc>
        <w:tc>
          <w:tcPr>
            <w:tcW w:w="992" w:type="dxa"/>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0.19</w:t>
            </w:r>
          </w:p>
        </w:tc>
        <w:tc>
          <w:tcPr>
            <w:tcW w:w="992" w:type="dxa"/>
          </w:tcPr>
          <w:p w:rsidR="00C558CE" w:rsidRPr="00565321" w:rsidRDefault="00C558CE" w:rsidP="00C558CE">
            <w:pPr>
              <w:widowControl w:val="0"/>
              <w:autoSpaceDE w:val="0"/>
              <w:autoSpaceDN w:val="0"/>
              <w:adjustRightInd w:val="0"/>
              <w:spacing w:line="240" w:lineRule="auto"/>
              <w:jc w:val="center"/>
              <w:rPr>
                <w:rFonts w:ascii="Garamond" w:hAnsi="Garamond"/>
                <w:lang w:val="en-US"/>
              </w:rPr>
            </w:pPr>
            <w:r w:rsidRPr="00565321">
              <w:rPr>
                <w:rFonts w:ascii="Garamond" w:hAnsi="Garamond"/>
                <w:lang w:val="en-US"/>
              </w:rPr>
              <w:t>0.41</w:t>
            </w:r>
          </w:p>
        </w:tc>
      </w:tr>
    </w:tbl>
    <w:p w:rsidR="00C558CE" w:rsidRDefault="00C558CE" w:rsidP="00C558CE">
      <w:pPr>
        <w:widowControl w:val="0"/>
        <w:autoSpaceDE w:val="0"/>
        <w:autoSpaceDN w:val="0"/>
        <w:adjustRightInd w:val="0"/>
        <w:spacing w:line="240" w:lineRule="auto"/>
        <w:rPr>
          <w:sz w:val="20"/>
          <w:szCs w:val="20"/>
          <w:lang w:val="en-US"/>
        </w:rPr>
      </w:pPr>
      <w:r>
        <w:rPr>
          <w:sz w:val="20"/>
          <w:szCs w:val="20"/>
          <w:vertAlign w:val="superscript"/>
          <w:lang w:val="en-US"/>
        </w:rPr>
        <w:t>*</w:t>
      </w:r>
      <w:r>
        <w:rPr>
          <w:sz w:val="20"/>
          <w:szCs w:val="20"/>
          <w:lang w:val="en-US"/>
        </w:rPr>
        <w:t xml:space="preserve"> </w:t>
      </w:r>
      <w:proofErr w:type="gramStart"/>
      <w:r>
        <w:rPr>
          <w:i/>
          <w:iCs/>
          <w:sz w:val="20"/>
          <w:szCs w:val="20"/>
          <w:lang w:val="en-US"/>
        </w:rPr>
        <w:t>p</w:t>
      </w:r>
      <w:proofErr w:type="gramEnd"/>
      <w:r>
        <w:rPr>
          <w:sz w:val="20"/>
          <w:szCs w:val="20"/>
          <w:lang w:val="en-US"/>
        </w:rPr>
        <w:t xml:space="preserve"> &lt; 0.05, </w:t>
      </w:r>
      <w:r>
        <w:rPr>
          <w:sz w:val="20"/>
          <w:szCs w:val="20"/>
          <w:vertAlign w:val="superscript"/>
          <w:lang w:val="en-US"/>
        </w:rPr>
        <w:t>**</w:t>
      </w:r>
      <w:r>
        <w:rPr>
          <w:sz w:val="20"/>
          <w:szCs w:val="20"/>
          <w:lang w:val="en-US"/>
        </w:rPr>
        <w:t xml:space="preserve"> </w:t>
      </w:r>
      <w:r>
        <w:rPr>
          <w:i/>
          <w:iCs/>
          <w:sz w:val="20"/>
          <w:szCs w:val="20"/>
          <w:lang w:val="en-US"/>
        </w:rPr>
        <w:t>p</w:t>
      </w:r>
      <w:r>
        <w:rPr>
          <w:sz w:val="20"/>
          <w:szCs w:val="20"/>
          <w:lang w:val="en-US"/>
        </w:rPr>
        <w:t xml:space="preserve"> &lt; 0.01, </w:t>
      </w:r>
      <w:r>
        <w:rPr>
          <w:sz w:val="20"/>
          <w:szCs w:val="20"/>
          <w:vertAlign w:val="superscript"/>
          <w:lang w:val="en-US"/>
        </w:rPr>
        <w:t>***</w:t>
      </w:r>
      <w:r>
        <w:rPr>
          <w:sz w:val="20"/>
          <w:szCs w:val="20"/>
          <w:lang w:val="en-US"/>
        </w:rPr>
        <w:t xml:space="preserve"> </w:t>
      </w:r>
      <w:r>
        <w:rPr>
          <w:i/>
          <w:iCs/>
          <w:sz w:val="20"/>
          <w:szCs w:val="20"/>
          <w:lang w:val="en-US"/>
        </w:rPr>
        <w:t>p</w:t>
      </w:r>
      <w:r>
        <w:rPr>
          <w:sz w:val="20"/>
          <w:szCs w:val="20"/>
          <w:lang w:val="en-US"/>
        </w:rPr>
        <w:t xml:space="preserve"> &lt; 0.001</w:t>
      </w:r>
    </w:p>
    <w:p w:rsidR="00C558CE" w:rsidRDefault="00C558CE" w:rsidP="00C558CE">
      <w:pPr>
        <w:widowControl w:val="0"/>
        <w:autoSpaceDE w:val="0"/>
        <w:autoSpaceDN w:val="0"/>
        <w:adjustRightInd w:val="0"/>
        <w:spacing w:line="240" w:lineRule="auto"/>
        <w:rPr>
          <w:lang w:val="en-US"/>
        </w:rPr>
      </w:pPr>
    </w:p>
    <w:p w:rsidR="00C558CE" w:rsidRDefault="00C558CE">
      <w:pPr>
        <w:rPr>
          <w:rFonts w:eastAsia="Times New Roman"/>
          <w:b/>
          <w:snapToGrid w:val="0"/>
        </w:rPr>
      </w:pPr>
      <w:r>
        <w:rPr>
          <w:b/>
        </w:rPr>
        <w:br w:type="page"/>
      </w:r>
    </w:p>
    <w:p w:rsidR="00EE2EC3" w:rsidRDefault="00EE2EC3" w:rsidP="00EE2EC3">
      <w:pPr>
        <w:pStyle w:val="PlainText"/>
        <w:rPr>
          <w:rFonts w:ascii="Times New Roman" w:hAnsi="Times New Roman"/>
          <w:sz w:val="24"/>
          <w:szCs w:val="24"/>
        </w:rPr>
      </w:pPr>
      <w:r w:rsidRPr="00AB4DA4">
        <w:rPr>
          <w:rFonts w:ascii="Times New Roman" w:hAnsi="Times New Roman"/>
          <w:b/>
          <w:sz w:val="24"/>
          <w:szCs w:val="24"/>
        </w:rPr>
        <w:lastRenderedPageBreak/>
        <w:t>Acknowledgements</w:t>
      </w:r>
      <w:r>
        <w:rPr>
          <w:rFonts w:ascii="Times New Roman" w:hAnsi="Times New Roman"/>
          <w:sz w:val="24"/>
          <w:szCs w:val="24"/>
        </w:rPr>
        <w:t>: This paper is based on work carried out for a project</w:t>
      </w:r>
      <w:r w:rsidR="007B4065">
        <w:rPr>
          <w:rFonts w:ascii="Times New Roman" w:hAnsi="Times New Roman"/>
          <w:sz w:val="24"/>
          <w:szCs w:val="24"/>
        </w:rPr>
        <w:t xml:space="preserve"> on</w:t>
      </w:r>
      <w:r>
        <w:rPr>
          <w:rFonts w:ascii="Times New Roman" w:hAnsi="Times New Roman"/>
          <w:sz w:val="24"/>
          <w:szCs w:val="24"/>
        </w:rPr>
        <w:t xml:space="preserve"> </w:t>
      </w:r>
      <w:r w:rsidR="007B4065">
        <w:rPr>
          <w:rFonts w:ascii="Times New Roman" w:hAnsi="Times New Roman"/>
          <w:sz w:val="24"/>
          <w:szCs w:val="24"/>
        </w:rPr>
        <w:t>‘</w:t>
      </w:r>
      <w:r w:rsidR="007B4065" w:rsidRPr="007B4065">
        <w:rPr>
          <w:rFonts w:ascii="Times New Roman" w:hAnsi="Times New Roman"/>
          <w:sz w:val="24"/>
          <w:szCs w:val="24"/>
        </w:rPr>
        <w:t>Causes and consequences of outcomes for young children in Northern Ireland</w:t>
      </w:r>
      <w:r w:rsidR="007B4065">
        <w:rPr>
          <w:rFonts w:ascii="Times New Roman" w:hAnsi="Times New Roman"/>
          <w:sz w:val="24"/>
          <w:szCs w:val="24"/>
        </w:rPr>
        <w:t xml:space="preserve">’ </w:t>
      </w:r>
      <w:r>
        <w:rPr>
          <w:rFonts w:ascii="Times New Roman" w:hAnsi="Times New Roman"/>
          <w:sz w:val="24"/>
          <w:szCs w:val="24"/>
        </w:rPr>
        <w:t xml:space="preserve">funded by the Northern Ireland </w:t>
      </w:r>
      <w:r w:rsidR="00E36A4E">
        <w:rPr>
          <w:rFonts w:ascii="Times New Roman" w:hAnsi="Times New Roman"/>
          <w:sz w:val="24"/>
          <w:szCs w:val="24"/>
        </w:rPr>
        <w:t>Executive</w:t>
      </w:r>
      <w:r w:rsidR="007B4065">
        <w:rPr>
          <w:rFonts w:ascii="Times New Roman" w:hAnsi="Times New Roman"/>
          <w:sz w:val="24"/>
          <w:szCs w:val="24"/>
        </w:rPr>
        <w:t xml:space="preserve">. </w:t>
      </w:r>
      <w:r w:rsidR="00FB368B">
        <w:rPr>
          <w:rFonts w:ascii="Times New Roman" w:hAnsi="Times New Roman"/>
          <w:sz w:val="24"/>
          <w:szCs w:val="24"/>
        </w:rPr>
        <w:t>We are most grateful to</w:t>
      </w:r>
      <w:r>
        <w:rPr>
          <w:rFonts w:ascii="Times New Roman" w:hAnsi="Times New Roman"/>
          <w:sz w:val="24"/>
          <w:szCs w:val="24"/>
        </w:rPr>
        <w:t xml:space="preserve"> the Millennium Cohort Study children and their parents for their participation in the study. Thanks also to Professor Dick Wiggins for very helpful guidance, </w:t>
      </w:r>
      <w:r w:rsidR="00AB4DA4">
        <w:rPr>
          <w:rFonts w:ascii="Times New Roman" w:hAnsi="Times New Roman"/>
          <w:sz w:val="24"/>
          <w:szCs w:val="24"/>
        </w:rPr>
        <w:t xml:space="preserve">and </w:t>
      </w:r>
      <w:r>
        <w:rPr>
          <w:rFonts w:ascii="Times New Roman" w:hAnsi="Times New Roman"/>
          <w:sz w:val="24"/>
          <w:szCs w:val="24"/>
        </w:rPr>
        <w:t>to two anonymous reviewers</w:t>
      </w:r>
      <w:r w:rsidR="00AB4DA4">
        <w:rPr>
          <w:rFonts w:ascii="Times New Roman" w:hAnsi="Times New Roman"/>
          <w:sz w:val="24"/>
          <w:szCs w:val="24"/>
        </w:rPr>
        <w:t xml:space="preserve"> for their comments.</w:t>
      </w:r>
    </w:p>
    <w:p w:rsidR="00AB4DA4" w:rsidRPr="00EE2EC3" w:rsidRDefault="00AB4DA4" w:rsidP="00EE2EC3">
      <w:pPr>
        <w:pStyle w:val="PlainText"/>
        <w:rPr>
          <w:rFonts w:ascii="Times New Roman" w:hAnsi="Times New Roman"/>
          <w:sz w:val="24"/>
          <w:szCs w:val="24"/>
        </w:rPr>
      </w:pPr>
    </w:p>
    <w:p w:rsidR="00AB4DA4" w:rsidRDefault="00AB4DA4" w:rsidP="00EE2EC3">
      <w:pPr>
        <w:pStyle w:val="PlainText"/>
        <w:rPr>
          <w:rFonts w:ascii="Times New Roman" w:hAnsi="Times New Roman"/>
          <w:b/>
          <w:sz w:val="24"/>
          <w:szCs w:val="24"/>
        </w:rPr>
      </w:pPr>
      <w:r w:rsidRPr="00AB4DA4">
        <w:rPr>
          <w:rFonts w:ascii="Times New Roman" w:hAnsi="Times New Roman"/>
          <w:b/>
          <w:sz w:val="24"/>
          <w:szCs w:val="24"/>
        </w:rPr>
        <w:t>Bibliographies:</w:t>
      </w:r>
    </w:p>
    <w:p w:rsidR="007B4065" w:rsidRDefault="007B4065" w:rsidP="00EE2EC3">
      <w:pPr>
        <w:pStyle w:val="PlainText"/>
        <w:rPr>
          <w:rFonts w:ascii="Times New Roman" w:hAnsi="Times New Roman"/>
          <w:b/>
          <w:sz w:val="24"/>
          <w:szCs w:val="24"/>
        </w:rPr>
      </w:pPr>
    </w:p>
    <w:p w:rsidR="00506229" w:rsidRDefault="00506229" w:rsidP="00EE2EC3">
      <w:pPr>
        <w:pStyle w:val="PlainText"/>
        <w:rPr>
          <w:rFonts w:ascii="Times New Roman" w:hAnsi="Times New Roman"/>
          <w:sz w:val="24"/>
          <w:szCs w:val="24"/>
        </w:rPr>
      </w:pPr>
      <w:r>
        <w:rPr>
          <w:rFonts w:ascii="Times New Roman" w:hAnsi="Times New Roman"/>
          <w:b/>
          <w:sz w:val="24"/>
          <w:szCs w:val="24"/>
        </w:rPr>
        <w:t xml:space="preserve">Alice Sullivan </w:t>
      </w:r>
      <w:r w:rsidR="00756029">
        <w:rPr>
          <w:rFonts w:ascii="Times New Roman" w:hAnsi="Times New Roman"/>
          <w:sz w:val="24"/>
          <w:szCs w:val="24"/>
        </w:rPr>
        <w:t>is Reader in S</w:t>
      </w:r>
      <w:r>
        <w:rPr>
          <w:rFonts w:ascii="Times New Roman" w:hAnsi="Times New Roman"/>
          <w:sz w:val="24"/>
          <w:szCs w:val="24"/>
        </w:rPr>
        <w:t xml:space="preserve">ociology and Director of the 1970 British Cohort Study at the Institute of Education, University of London. She </w:t>
      </w:r>
      <w:r w:rsidRPr="00506229">
        <w:rPr>
          <w:rFonts w:ascii="Times New Roman" w:hAnsi="Times New Roman"/>
          <w:sz w:val="24"/>
          <w:szCs w:val="24"/>
        </w:rPr>
        <w:t xml:space="preserve">leads the team responsible for developing the content, design and analysis of the </w:t>
      </w:r>
      <w:r>
        <w:rPr>
          <w:rFonts w:ascii="Times New Roman" w:hAnsi="Times New Roman"/>
          <w:sz w:val="24"/>
          <w:szCs w:val="24"/>
        </w:rPr>
        <w:t>BCS70. Her</w:t>
      </w:r>
      <w:r w:rsidRPr="00506229">
        <w:rPr>
          <w:rFonts w:ascii="Times New Roman" w:hAnsi="Times New Roman"/>
          <w:sz w:val="24"/>
          <w:szCs w:val="24"/>
        </w:rPr>
        <w:t xml:space="preserve"> research interests </w:t>
      </w:r>
      <w:r>
        <w:rPr>
          <w:rFonts w:ascii="Times New Roman" w:hAnsi="Times New Roman"/>
          <w:sz w:val="24"/>
          <w:szCs w:val="24"/>
        </w:rPr>
        <w:t>focus</w:t>
      </w:r>
      <w:r w:rsidRPr="00506229">
        <w:rPr>
          <w:rFonts w:ascii="Times New Roman" w:hAnsi="Times New Roman"/>
          <w:sz w:val="24"/>
          <w:szCs w:val="24"/>
        </w:rPr>
        <w:t xml:space="preserve"> on social and educational inequalities, including inequalities of social class, gender and ethnicity.</w:t>
      </w:r>
    </w:p>
    <w:p w:rsidR="00322BAA" w:rsidRPr="00322BAA" w:rsidRDefault="00322BAA" w:rsidP="00322BAA">
      <w:pPr>
        <w:spacing w:before="100" w:beforeAutospacing="1" w:after="100" w:afterAutospacing="1" w:line="240" w:lineRule="auto"/>
        <w:rPr>
          <w:rFonts w:eastAsia="Times New Roman"/>
          <w:lang w:eastAsia="en-GB"/>
        </w:rPr>
      </w:pPr>
      <w:r w:rsidRPr="00322BAA">
        <w:rPr>
          <w:b/>
        </w:rPr>
        <w:t>Sosthenes Ketende</w:t>
      </w:r>
      <w:r>
        <w:rPr>
          <w:b/>
        </w:rPr>
        <w:t xml:space="preserve"> </w:t>
      </w:r>
      <w:r>
        <w:t xml:space="preserve">is a statistical analyst at the John Hopkins Bloomberg School of Public Health. </w:t>
      </w:r>
      <w:r>
        <w:rPr>
          <w:rFonts w:eastAsia="Times New Roman"/>
          <w:lang w:eastAsia="en-GB"/>
        </w:rPr>
        <w:t>His</w:t>
      </w:r>
      <w:r w:rsidRPr="00322BAA">
        <w:rPr>
          <w:rFonts w:eastAsia="Times New Roman"/>
          <w:lang w:eastAsia="en-GB"/>
        </w:rPr>
        <w:t xml:space="preserve"> main research interests include survey methodology, poverty and inequality, child education and cognitive development, public health, epidemiology and project evaluation.</w:t>
      </w:r>
    </w:p>
    <w:p w:rsidR="00EE2EC3" w:rsidRPr="00EE2EC3" w:rsidRDefault="00EE2EC3" w:rsidP="00EE2EC3">
      <w:pPr>
        <w:pStyle w:val="PlainText"/>
        <w:rPr>
          <w:rFonts w:ascii="Times New Roman" w:hAnsi="Times New Roman"/>
          <w:sz w:val="24"/>
          <w:szCs w:val="24"/>
        </w:rPr>
      </w:pPr>
      <w:r w:rsidRPr="00322BAA">
        <w:rPr>
          <w:rFonts w:ascii="Times New Roman" w:hAnsi="Times New Roman"/>
          <w:b/>
          <w:sz w:val="24"/>
          <w:szCs w:val="24"/>
        </w:rPr>
        <w:t>Heather Joshi</w:t>
      </w:r>
      <w:r w:rsidRPr="00EE2EC3">
        <w:rPr>
          <w:rFonts w:ascii="Times New Roman" w:hAnsi="Times New Roman"/>
          <w:sz w:val="24"/>
          <w:szCs w:val="24"/>
        </w:rPr>
        <w:t xml:space="preserve"> is Professor </w:t>
      </w:r>
      <w:proofErr w:type="spellStart"/>
      <w:r w:rsidRPr="00EE2EC3">
        <w:rPr>
          <w:rFonts w:ascii="Times New Roman" w:hAnsi="Times New Roman"/>
          <w:sz w:val="24"/>
          <w:szCs w:val="24"/>
        </w:rPr>
        <w:t>Emerita</w:t>
      </w:r>
      <w:proofErr w:type="spellEnd"/>
      <w:r w:rsidRPr="00EE2EC3">
        <w:rPr>
          <w:rFonts w:ascii="Times New Roman" w:hAnsi="Times New Roman"/>
          <w:sz w:val="24"/>
          <w:szCs w:val="24"/>
        </w:rPr>
        <w:t xml:space="preserve"> at the Institute of Education. She was the first director of the Millennium Cohort Study and also formerly Director of the Centre for Lon</w:t>
      </w:r>
      <w:r w:rsidR="00AB4DA4">
        <w:rPr>
          <w:rFonts w:ascii="Times New Roman" w:hAnsi="Times New Roman"/>
          <w:sz w:val="24"/>
          <w:szCs w:val="24"/>
        </w:rPr>
        <w:t xml:space="preserve">gitudinal Studies. She is the </w:t>
      </w:r>
      <w:r w:rsidRPr="00EE2EC3">
        <w:rPr>
          <w:rFonts w:ascii="Times New Roman" w:hAnsi="Times New Roman"/>
          <w:sz w:val="24"/>
          <w:szCs w:val="24"/>
        </w:rPr>
        <w:t>first president of the Society for Longit</w:t>
      </w:r>
      <w:r w:rsidR="007B4065">
        <w:rPr>
          <w:rFonts w:ascii="Times New Roman" w:hAnsi="Times New Roman"/>
          <w:sz w:val="24"/>
          <w:szCs w:val="24"/>
        </w:rPr>
        <w:t>udinal and Life C</w:t>
      </w:r>
      <w:r w:rsidR="00AB4DA4">
        <w:rPr>
          <w:rFonts w:ascii="Times New Roman" w:hAnsi="Times New Roman"/>
          <w:sz w:val="24"/>
          <w:szCs w:val="24"/>
        </w:rPr>
        <w:t xml:space="preserve">ourse Studies; </w:t>
      </w:r>
      <w:r w:rsidRPr="00EE2EC3">
        <w:rPr>
          <w:rFonts w:ascii="Times New Roman" w:hAnsi="Times New Roman"/>
          <w:sz w:val="24"/>
          <w:szCs w:val="24"/>
        </w:rPr>
        <w:t>and has also been president of the European Society for Population Economics and the British Society for Population Studies. Her publications make extensive use of longitudinal data, including</w:t>
      </w:r>
      <w:r w:rsidR="00AB4DA4">
        <w:rPr>
          <w:rFonts w:ascii="Times New Roman" w:hAnsi="Times New Roman"/>
          <w:sz w:val="24"/>
          <w:szCs w:val="24"/>
        </w:rPr>
        <w:t xml:space="preserve"> work on gender inequality and </w:t>
      </w:r>
      <w:r w:rsidRPr="00EE2EC3">
        <w:rPr>
          <w:rFonts w:ascii="Times New Roman" w:hAnsi="Times New Roman"/>
          <w:sz w:val="24"/>
          <w:szCs w:val="24"/>
        </w:rPr>
        <w:t>on child development.</w:t>
      </w:r>
    </w:p>
    <w:p w:rsidR="007D5FEE" w:rsidRPr="00AE4436" w:rsidRDefault="007D5FEE" w:rsidP="00E62A2D">
      <w:pPr>
        <w:spacing w:line="240" w:lineRule="auto"/>
        <w:ind w:left="720" w:hanging="720"/>
      </w:pPr>
    </w:p>
    <w:sectPr w:rsidR="007D5FEE" w:rsidRPr="00AE4436" w:rsidSect="00E625AF">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6F" w:rsidRDefault="0005386F" w:rsidP="00E727FB">
      <w:pPr>
        <w:spacing w:line="240" w:lineRule="auto"/>
      </w:pPr>
      <w:r>
        <w:separator/>
      </w:r>
    </w:p>
  </w:endnote>
  <w:endnote w:type="continuationSeparator" w:id="0">
    <w:p w:rsidR="0005386F" w:rsidRDefault="0005386F" w:rsidP="00E727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482"/>
      <w:docPartObj>
        <w:docPartGallery w:val="Page Numbers (Bottom of Page)"/>
        <w:docPartUnique/>
      </w:docPartObj>
    </w:sdtPr>
    <w:sdtContent>
      <w:p w:rsidR="0005386F" w:rsidRDefault="00C16BF1">
        <w:pPr>
          <w:pStyle w:val="Footer"/>
          <w:jc w:val="right"/>
        </w:pPr>
        <w:fldSimple w:instr=" PAGE   \* MERGEFORMAT ">
          <w:r w:rsidR="00A759A4">
            <w:rPr>
              <w:noProof/>
            </w:rPr>
            <w:t>1</w:t>
          </w:r>
        </w:fldSimple>
      </w:p>
    </w:sdtContent>
  </w:sdt>
  <w:p w:rsidR="0005386F" w:rsidRDefault="00053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6F" w:rsidRDefault="0005386F" w:rsidP="00E727FB">
      <w:pPr>
        <w:spacing w:line="240" w:lineRule="auto"/>
      </w:pPr>
      <w:r>
        <w:separator/>
      </w:r>
    </w:p>
  </w:footnote>
  <w:footnote w:type="continuationSeparator" w:id="0">
    <w:p w:rsidR="0005386F" w:rsidRDefault="0005386F" w:rsidP="00E727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DF2"/>
    <w:multiLevelType w:val="hybridMultilevel"/>
    <w:tmpl w:val="D998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83EB8"/>
    <w:multiLevelType w:val="hybridMultilevel"/>
    <w:tmpl w:val="BB90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0C4370"/>
    <w:multiLevelType w:val="hybridMultilevel"/>
    <w:tmpl w:val="BAB0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2F1D6B"/>
    <w:multiLevelType w:val="hybridMultilevel"/>
    <w:tmpl w:val="3410C540"/>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E60232"/>
    <w:multiLevelType w:val="hybridMultilevel"/>
    <w:tmpl w:val="B3B840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37C2148"/>
    <w:multiLevelType w:val="multilevel"/>
    <w:tmpl w:val="1C2AB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D1270"/>
    <w:multiLevelType w:val="hybridMultilevel"/>
    <w:tmpl w:val="1714D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44314F"/>
    <w:multiLevelType w:val="hybridMultilevel"/>
    <w:tmpl w:val="0F242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6"/>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ER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ullivan_Zimdars Cultural Capital Copy.enl&lt;/item&gt;&lt;/Libraries&gt;&lt;/ENLibraries&gt;"/>
  </w:docVars>
  <w:rsids>
    <w:rsidRoot w:val="00F516D0"/>
    <w:rsid w:val="00000A71"/>
    <w:rsid w:val="00007DDB"/>
    <w:rsid w:val="000162EA"/>
    <w:rsid w:val="0002219F"/>
    <w:rsid w:val="00022278"/>
    <w:rsid w:val="00023B8C"/>
    <w:rsid w:val="000244DD"/>
    <w:rsid w:val="000312F2"/>
    <w:rsid w:val="00031345"/>
    <w:rsid w:val="000314F5"/>
    <w:rsid w:val="00040842"/>
    <w:rsid w:val="00044ADB"/>
    <w:rsid w:val="0004556E"/>
    <w:rsid w:val="00050D50"/>
    <w:rsid w:val="0005386F"/>
    <w:rsid w:val="0005399F"/>
    <w:rsid w:val="00060093"/>
    <w:rsid w:val="000707D3"/>
    <w:rsid w:val="00070D91"/>
    <w:rsid w:val="000749E0"/>
    <w:rsid w:val="00074A61"/>
    <w:rsid w:val="000929C7"/>
    <w:rsid w:val="00096707"/>
    <w:rsid w:val="000A0BD3"/>
    <w:rsid w:val="000A34E3"/>
    <w:rsid w:val="000C259E"/>
    <w:rsid w:val="000C300F"/>
    <w:rsid w:val="000C5BB1"/>
    <w:rsid w:val="000D15FD"/>
    <w:rsid w:val="000D286A"/>
    <w:rsid w:val="000D69DA"/>
    <w:rsid w:val="000D6D11"/>
    <w:rsid w:val="000E07AC"/>
    <w:rsid w:val="000E30B4"/>
    <w:rsid w:val="000E5BE0"/>
    <w:rsid w:val="000F52A2"/>
    <w:rsid w:val="0010124D"/>
    <w:rsid w:val="001024DF"/>
    <w:rsid w:val="001042BB"/>
    <w:rsid w:val="0010523E"/>
    <w:rsid w:val="00113462"/>
    <w:rsid w:val="001218DC"/>
    <w:rsid w:val="00127748"/>
    <w:rsid w:val="00127934"/>
    <w:rsid w:val="00133167"/>
    <w:rsid w:val="0013734A"/>
    <w:rsid w:val="00137B89"/>
    <w:rsid w:val="00137FCD"/>
    <w:rsid w:val="001426AB"/>
    <w:rsid w:val="00143F23"/>
    <w:rsid w:val="001453E7"/>
    <w:rsid w:val="001501B4"/>
    <w:rsid w:val="00152102"/>
    <w:rsid w:val="00154896"/>
    <w:rsid w:val="0016385F"/>
    <w:rsid w:val="00167266"/>
    <w:rsid w:val="0017075D"/>
    <w:rsid w:val="0017652C"/>
    <w:rsid w:val="00182046"/>
    <w:rsid w:val="00190886"/>
    <w:rsid w:val="001942F1"/>
    <w:rsid w:val="00195BCE"/>
    <w:rsid w:val="00197350"/>
    <w:rsid w:val="001A00BB"/>
    <w:rsid w:val="001A269F"/>
    <w:rsid w:val="001A4505"/>
    <w:rsid w:val="001C3013"/>
    <w:rsid w:val="001C3CAD"/>
    <w:rsid w:val="001C70D3"/>
    <w:rsid w:val="001C7E5A"/>
    <w:rsid w:val="001C7F74"/>
    <w:rsid w:val="001D1604"/>
    <w:rsid w:val="001D6DA3"/>
    <w:rsid w:val="001E117D"/>
    <w:rsid w:val="001E41E1"/>
    <w:rsid w:val="001E62A8"/>
    <w:rsid w:val="001E6430"/>
    <w:rsid w:val="001E7AF4"/>
    <w:rsid w:val="001E7C50"/>
    <w:rsid w:val="001F1030"/>
    <w:rsid w:val="0020673A"/>
    <w:rsid w:val="002109D2"/>
    <w:rsid w:val="00211B07"/>
    <w:rsid w:val="00211E95"/>
    <w:rsid w:val="00220EBB"/>
    <w:rsid w:val="00224C64"/>
    <w:rsid w:val="0023267C"/>
    <w:rsid w:val="00232CC9"/>
    <w:rsid w:val="00234E21"/>
    <w:rsid w:val="00234F9F"/>
    <w:rsid w:val="00235396"/>
    <w:rsid w:val="00236EFC"/>
    <w:rsid w:val="002454ED"/>
    <w:rsid w:val="00252EAE"/>
    <w:rsid w:val="002614F2"/>
    <w:rsid w:val="00261E64"/>
    <w:rsid w:val="00264BD6"/>
    <w:rsid w:val="00270B0E"/>
    <w:rsid w:val="00284548"/>
    <w:rsid w:val="0029702F"/>
    <w:rsid w:val="002B2351"/>
    <w:rsid w:val="002B2FC8"/>
    <w:rsid w:val="002B472A"/>
    <w:rsid w:val="002C1FB2"/>
    <w:rsid w:val="002D2021"/>
    <w:rsid w:val="002E193E"/>
    <w:rsid w:val="002E4485"/>
    <w:rsid w:val="002E580F"/>
    <w:rsid w:val="002F108A"/>
    <w:rsid w:val="002F1409"/>
    <w:rsid w:val="002F6E29"/>
    <w:rsid w:val="003020F9"/>
    <w:rsid w:val="003022A2"/>
    <w:rsid w:val="00302A4F"/>
    <w:rsid w:val="00305F66"/>
    <w:rsid w:val="003069DC"/>
    <w:rsid w:val="00314E32"/>
    <w:rsid w:val="00322BAA"/>
    <w:rsid w:val="00324A38"/>
    <w:rsid w:val="00327F23"/>
    <w:rsid w:val="003313F9"/>
    <w:rsid w:val="00331AE4"/>
    <w:rsid w:val="003341C2"/>
    <w:rsid w:val="0033457A"/>
    <w:rsid w:val="003408C1"/>
    <w:rsid w:val="0034385C"/>
    <w:rsid w:val="003450AB"/>
    <w:rsid w:val="00350688"/>
    <w:rsid w:val="003507F3"/>
    <w:rsid w:val="003538C2"/>
    <w:rsid w:val="003611C7"/>
    <w:rsid w:val="00375857"/>
    <w:rsid w:val="00383F35"/>
    <w:rsid w:val="00387187"/>
    <w:rsid w:val="003914FC"/>
    <w:rsid w:val="00391B9C"/>
    <w:rsid w:val="003A165F"/>
    <w:rsid w:val="003A202D"/>
    <w:rsid w:val="003A690F"/>
    <w:rsid w:val="003B01FE"/>
    <w:rsid w:val="003C05AA"/>
    <w:rsid w:val="003C2811"/>
    <w:rsid w:val="003C66BC"/>
    <w:rsid w:val="003D083B"/>
    <w:rsid w:val="003D2188"/>
    <w:rsid w:val="003D69F1"/>
    <w:rsid w:val="003F0942"/>
    <w:rsid w:val="003F0BA2"/>
    <w:rsid w:val="00403982"/>
    <w:rsid w:val="00412B06"/>
    <w:rsid w:val="00414D0B"/>
    <w:rsid w:val="00417E64"/>
    <w:rsid w:val="0042017F"/>
    <w:rsid w:val="00423490"/>
    <w:rsid w:val="00426578"/>
    <w:rsid w:val="00430D24"/>
    <w:rsid w:val="0043251F"/>
    <w:rsid w:val="00433F79"/>
    <w:rsid w:val="004346DD"/>
    <w:rsid w:val="00437297"/>
    <w:rsid w:val="004425BF"/>
    <w:rsid w:val="00445E31"/>
    <w:rsid w:val="0045211C"/>
    <w:rsid w:val="004568C5"/>
    <w:rsid w:val="00467F38"/>
    <w:rsid w:val="00471364"/>
    <w:rsid w:val="00474291"/>
    <w:rsid w:val="00490A06"/>
    <w:rsid w:val="00491B7C"/>
    <w:rsid w:val="00494E45"/>
    <w:rsid w:val="0049553C"/>
    <w:rsid w:val="004A38E7"/>
    <w:rsid w:val="004B259D"/>
    <w:rsid w:val="004B3C6D"/>
    <w:rsid w:val="004B7A10"/>
    <w:rsid w:val="004C57F3"/>
    <w:rsid w:val="004C70EC"/>
    <w:rsid w:val="004C7F6E"/>
    <w:rsid w:val="004D2F9D"/>
    <w:rsid w:val="004D34CB"/>
    <w:rsid w:val="004D49AC"/>
    <w:rsid w:val="004F23CD"/>
    <w:rsid w:val="004F59A1"/>
    <w:rsid w:val="004F7F58"/>
    <w:rsid w:val="005005BF"/>
    <w:rsid w:val="005037A9"/>
    <w:rsid w:val="00504D27"/>
    <w:rsid w:val="00506229"/>
    <w:rsid w:val="00507583"/>
    <w:rsid w:val="005112B6"/>
    <w:rsid w:val="00524EAF"/>
    <w:rsid w:val="00527E97"/>
    <w:rsid w:val="00532997"/>
    <w:rsid w:val="00535CFE"/>
    <w:rsid w:val="005418CD"/>
    <w:rsid w:val="00546FE3"/>
    <w:rsid w:val="005473B8"/>
    <w:rsid w:val="00550572"/>
    <w:rsid w:val="00550F20"/>
    <w:rsid w:val="00561016"/>
    <w:rsid w:val="00562A86"/>
    <w:rsid w:val="00563CA4"/>
    <w:rsid w:val="00564432"/>
    <w:rsid w:val="005654A6"/>
    <w:rsid w:val="00566E0A"/>
    <w:rsid w:val="00571378"/>
    <w:rsid w:val="00571B22"/>
    <w:rsid w:val="00572B18"/>
    <w:rsid w:val="005741DD"/>
    <w:rsid w:val="00585AD3"/>
    <w:rsid w:val="005862C6"/>
    <w:rsid w:val="00593EAD"/>
    <w:rsid w:val="005977A1"/>
    <w:rsid w:val="005A35B5"/>
    <w:rsid w:val="005A4D04"/>
    <w:rsid w:val="005A637B"/>
    <w:rsid w:val="005A7CF6"/>
    <w:rsid w:val="005B0333"/>
    <w:rsid w:val="005B45C3"/>
    <w:rsid w:val="005B6236"/>
    <w:rsid w:val="005C5706"/>
    <w:rsid w:val="005D0926"/>
    <w:rsid w:val="005D19DD"/>
    <w:rsid w:val="005D250C"/>
    <w:rsid w:val="005D2787"/>
    <w:rsid w:val="005D3D81"/>
    <w:rsid w:val="005E0306"/>
    <w:rsid w:val="005E10D7"/>
    <w:rsid w:val="005E6164"/>
    <w:rsid w:val="005E7294"/>
    <w:rsid w:val="005F179D"/>
    <w:rsid w:val="005F58FB"/>
    <w:rsid w:val="00600C44"/>
    <w:rsid w:val="00602C01"/>
    <w:rsid w:val="00604A8F"/>
    <w:rsid w:val="00604C36"/>
    <w:rsid w:val="00612C17"/>
    <w:rsid w:val="0062529D"/>
    <w:rsid w:val="0062544C"/>
    <w:rsid w:val="00627404"/>
    <w:rsid w:val="006351BF"/>
    <w:rsid w:val="00637FE7"/>
    <w:rsid w:val="0066337C"/>
    <w:rsid w:val="00666EC5"/>
    <w:rsid w:val="00680087"/>
    <w:rsid w:val="00691421"/>
    <w:rsid w:val="0069189A"/>
    <w:rsid w:val="00697482"/>
    <w:rsid w:val="006A04F6"/>
    <w:rsid w:val="006A5B43"/>
    <w:rsid w:val="006A6FD2"/>
    <w:rsid w:val="006B0AD2"/>
    <w:rsid w:val="006B12F2"/>
    <w:rsid w:val="006B351E"/>
    <w:rsid w:val="006B4DEA"/>
    <w:rsid w:val="006B50E2"/>
    <w:rsid w:val="006B68D3"/>
    <w:rsid w:val="006C6A35"/>
    <w:rsid w:val="006C7BF0"/>
    <w:rsid w:val="006D062B"/>
    <w:rsid w:val="006D60E9"/>
    <w:rsid w:val="006E0FC9"/>
    <w:rsid w:val="006E5BEB"/>
    <w:rsid w:val="006E69ED"/>
    <w:rsid w:val="006F24C3"/>
    <w:rsid w:val="006F742B"/>
    <w:rsid w:val="00706DB7"/>
    <w:rsid w:val="0071576D"/>
    <w:rsid w:val="007249D0"/>
    <w:rsid w:val="007301E3"/>
    <w:rsid w:val="007328BD"/>
    <w:rsid w:val="00733C7A"/>
    <w:rsid w:val="007357C9"/>
    <w:rsid w:val="0073727D"/>
    <w:rsid w:val="00741060"/>
    <w:rsid w:val="007515A2"/>
    <w:rsid w:val="00752447"/>
    <w:rsid w:val="00754D22"/>
    <w:rsid w:val="00756029"/>
    <w:rsid w:val="00756FF3"/>
    <w:rsid w:val="00772365"/>
    <w:rsid w:val="00774555"/>
    <w:rsid w:val="00776142"/>
    <w:rsid w:val="00780613"/>
    <w:rsid w:val="0078161A"/>
    <w:rsid w:val="00782F72"/>
    <w:rsid w:val="007854BB"/>
    <w:rsid w:val="007A20DF"/>
    <w:rsid w:val="007A3ADD"/>
    <w:rsid w:val="007A500A"/>
    <w:rsid w:val="007B4065"/>
    <w:rsid w:val="007B6059"/>
    <w:rsid w:val="007D0F4A"/>
    <w:rsid w:val="007D341A"/>
    <w:rsid w:val="007D5FEE"/>
    <w:rsid w:val="007E1B06"/>
    <w:rsid w:val="007E2955"/>
    <w:rsid w:val="007E3C06"/>
    <w:rsid w:val="007F5606"/>
    <w:rsid w:val="00804CD5"/>
    <w:rsid w:val="00810F20"/>
    <w:rsid w:val="008124F4"/>
    <w:rsid w:val="00820D6C"/>
    <w:rsid w:val="00823D68"/>
    <w:rsid w:val="008262E0"/>
    <w:rsid w:val="00833A2F"/>
    <w:rsid w:val="00834C6B"/>
    <w:rsid w:val="00837359"/>
    <w:rsid w:val="00842FBE"/>
    <w:rsid w:val="00843821"/>
    <w:rsid w:val="008441ED"/>
    <w:rsid w:val="00844FD7"/>
    <w:rsid w:val="00847DB7"/>
    <w:rsid w:val="00853ABD"/>
    <w:rsid w:val="008563FB"/>
    <w:rsid w:val="00862572"/>
    <w:rsid w:val="00862980"/>
    <w:rsid w:val="008659ED"/>
    <w:rsid w:val="00867417"/>
    <w:rsid w:val="00872B0F"/>
    <w:rsid w:val="008843EF"/>
    <w:rsid w:val="00896E8E"/>
    <w:rsid w:val="00897EE8"/>
    <w:rsid w:val="008B41E7"/>
    <w:rsid w:val="008B7981"/>
    <w:rsid w:val="008B7E34"/>
    <w:rsid w:val="008C0FE4"/>
    <w:rsid w:val="008C567A"/>
    <w:rsid w:val="008D6EF9"/>
    <w:rsid w:val="008D75FB"/>
    <w:rsid w:val="008E7F43"/>
    <w:rsid w:val="008F2C4A"/>
    <w:rsid w:val="008F50C9"/>
    <w:rsid w:val="008F5B6F"/>
    <w:rsid w:val="008F6A17"/>
    <w:rsid w:val="009009BF"/>
    <w:rsid w:val="009102F2"/>
    <w:rsid w:val="00917BAD"/>
    <w:rsid w:val="00921562"/>
    <w:rsid w:val="00937862"/>
    <w:rsid w:val="0094225C"/>
    <w:rsid w:val="00952D76"/>
    <w:rsid w:val="00954A4E"/>
    <w:rsid w:val="00957C85"/>
    <w:rsid w:val="00960852"/>
    <w:rsid w:val="0096089D"/>
    <w:rsid w:val="00962E61"/>
    <w:rsid w:val="009637E9"/>
    <w:rsid w:val="00970319"/>
    <w:rsid w:val="00971893"/>
    <w:rsid w:val="00980FDA"/>
    <w:rsid w:val="0098234F"/>
    <w:rsid w:val="0098614A"/>
    <w:rsid w:val="00992B0A"/>
    <w:rsid w:val="009A1DB9"/>
    <w:rsid w:val="009B7BCF"/>
    <w:rsid w:val="009C018B"/>
    <w:rsid w:val="009C5236"/>
    <w:rsid w:val="009D069F"/>
    <w:rsid w:val="009D0B54"/>
    <w:rsid w:val="009D11EB"/>
    <w:rsid w:val="009D2427"/>
    <w:rsid w:val="009D2E03"/>
    <w:rsid w:val="009D6BFC"/>
    <w:rsid w:val="009E77FD"/>
    <w:rsid w:val="009F1F0D"/>
    <w:rsid w:val="009F4B4F"/>
    <w:rsid w:val="009F6354"/>
    <w:rsid w:val="00A01ACF"/>
    <w:rsid w:val="00A0339F"/>
    <w:rsid w:val="00A0367D"/>
    <w:rsid w:val="00A0433A"/>
    <w:rsid w:val="00A06E88"/>
    <w:rsid w:val="00A07FA3"/>
    <w:rsid w:val="00A11D01"/>
    <w:rsid w:val="00A211FC"/>
    <w:rsid w:val="00A23F3C"/>
    <w:rsid w:val="00A255A7"/>
    <w:rsid w:val="00A31498"/>
    <w:rsid w:val="00A40EA7"/>
    <w:rsid w:val="00A442CA"/>
    <w:rsid w:val="00A44377"/>
    <w:rsid w:val="00A510B8"/>
    <w:rsid w:val="00A615EC"/>
    <w:rsid w:val="00A63BD4"/>
    <w:rsid w:val="00A65454"/>
    <w:rsid w:val="00A65D7C"/>
    <w:rsid w:val="00A67673"/>
    <w:rsid w:val="00A759A4"/>
    <w:rsid w:val="00A80E1C"/>
    <w:rsid w:val="00A864EA"/>
    <w:rsid w:val="00A9141D"/>
    <w:rsid w:val="00A92D68"/>
    <w:rsid w:val="00A93739"/>
    <w:rsid w:val="00A95030"/>
    <w:rsid w:val="00A965F8"/>
    <w:rsid w:val="00AA30CA"/>
    <w:rsid w:val="00AA320F"/>
    <w:rsid w:val="00AA5B41"/>
    <w:rsid w:val="00AB12DA"/>
    <w:rsid w:val="00AB4DA4"/>
    <w:rsid w:val="00AB7697"/>
    <w:rsid w:val="00AB7902"/>
    <w:rsid w:val="00AC5143"/>
    <w:rsid w:val="00AE4436"/>
    <w:rsid w:val="00AE5A67"/>
    <w:rsid w:val="00AE5F19"/>
    <w:rsid w:val="00AF1F9F"/>
    <w:rsid w:val="00AF2916"/>
    <w:rsid w:val="00AF7290"/>
    <w:rsid w:val="00B119FC"/>
    <w:rsid w:val="00B15AB0"/>
    <w:rsid w:val="00B16ADE"/>
    <w:rsid w:val="00B22275"/>
    <w:rsid w:val="00B2527C"/>
    <w:rsid w:val="00B4044C"/>
    <w:rsid w:val="00B44E52"/>
    <w:rsid w:val="00B4720F"/>
    <w:rsid w:val="00B4735E"/>
    <w:rsid w:val="00B611AD"/>
    <w:rsid w:val="00B64011"/>
    <w:rsid w:val="00B6578E"/>
    <w:rsid w:val="00B66CCE"/>
    <w:rsid w:val="00B73911"/>
    <w:rsid w:val="00B75A75"/>
    <w:rsid w:val="00B76399"/>
    <w:rsid w:val="00B9094F"/>
    <w:rsid w:val="00B92662"/>
    <w:rsid w:val="00B96B50"/>
    <w:rsid w:val="00BA059A"/>
    <w:rsid w:val="00BA1D43"/>
    <w:rsid w:val="00BA79A7"/>
    <w:rsid w:val="00BB034A"/>
    <w:rsid w:val="00BB587E"/>
    <w:rsid w:val="00BB5A13"/>
    <w:rsid w:val="00BB5D20"/>
    <w:rsid w:val="00BD5C4B"/>
    <w:rsid w:val="00BD5CF1"/>
    <w:rsid w:val="00BE1E79"/>
    <w:rsid w:val="00BE4A32"/>
    <w:rsid w:val="00BE762A"/>
    <w:rsid w:val="00BF6D5D"/>
    <w:rsid w:val="00C06BC6"/>
    <w:rsid w:val="00C11C78"/>
    <w:rsid w:val="00C16BF1"/>
    <w:rsid w:val="00C16E56"/>
    <w:rsid w:val="00C26F4C"/>
    <w:rsid w:val="00C357D4"/>
    <w:rsid w:val="00C358DF"/>
    <w:rsid w:val="00C35E26"/>
    <w:rsid w:val="00C40673"/>
    <w:rsid w:val="00C41278"/>
    <w:rsid w:val="00C4606F"/>
    <w:rsid w:val="00C51E1D"/>
    <w:rsid w:val="00C53641"/>
    <w:rsid w:val="00C547D4"/>
    <w:rsid w:val="00C558CE"/>
    <w:rsid w:val="00C55FE0"/>
    <w:rsid w:val="00C6299D"/>
    <w:rsid w:val="00C72814"/>
    <w:rsid w:val="00C77F42"/>
    <w:rsid w:val="00C9551B"/>
    <w:rsid w:val="00C959F7"/>
    <w:rsid w:val="00CA0D47"/>
    <w:rsid w:val="00CA2AED"/>
    <w:rsid w:val="00CA6826"/>
    <w:rsid w:val="00CB0253"/>
    <w:rsid w:val="00CB05CD"/>
    <w:rsid w:val="00CB0E3B"/>
    <w:rsid w:val="00CB1D92"/>
    <w:rsid w:val="00CC018B"/>
    <w:rsid w:val="00CC068E"/>
    <w:rsid w:val="00CD0A42"/>
    <w:rsid w:val="00CD6111"/>
    <w:rsid w:val="00CE172D"/>
    <w:rsid w:val="00CE2210"/>
    <w:rsid w:val="00CE3E40"/>
    <w:rsid w:val="00CE46DE"/>
    <w:rsid w:val="00CF1509"/>
    <w:rsid w:val="00CF4D7A"/>
    <w:rsid w:val="00D00790"/>
    <w:rsid w:val="00D01FA9"/>
    <w:rsid w:val="00D02262"/>
    <w:rsid w:val="00D02FCE"/>
    <w:rsid w:val="00D0711F"/>
    <w:rsid w:val="00D071C0"/>
    <w:rsid w:val="00D07821"/>
    <w:rsid w:val="00D13729"/>
    <w:rsid w:val="00D15F2D"/>
    <w:rsid w:val="00D210D7"/>
    <w:rsid w:val="00D251A4"/>
    <w:rsid w:val="00D30711"/>
    <w:rsid w:val="00D31F12"/>
    <w:rsid w:val="00D42A96"/>
    <w:rsid w:val="00D43FF8"/>
    <w:rsid w:val="00D70DC7"/>
    <w:rsid w:val="00D74511"/>
    <w:rsid w:val="00D81315"/>
    <w:rsid w:val="00D81527"/>
    <w:rsid w:val="00D86B89"/>
    <w:rsid w:val="00D86CA0"/>
    <w:rsid w:val="00D91CDD"/>
    <w:rsid w:val="00D92CB1"/>
    <w:rsid w:val="00DA1341"/>
    <w:rsid w:val="00DA745B"/>
    <w:rsid w:val="00DB5869"/>
    <w:rsid w:val="00DD1A12"/>
    <w:rsid w:val="00DE096A"/>
    <w:rsid w:val="00DE6B98"/>
    <w:rsid w:val="00DF1CA1"/>
    <w:rsid w:val="00DF259B"/>
    <w:rsid w:val="00DF4520"/>
    <w:rsid w:val="00DF531A"/>
    <w:rsid w:val="00DF733B"/>
    <w:rsid w:val="00E04786"/>
    <w:rsid w:val="00E0513B"/>
    <w:rsid w:val="00E136A8"/>
    <w:rsid w:val="00E16954"/>
    <w:rsid w:val="00E23713"/>
    <w:rsid w:val="00E23894"/>
    <w:rsid w:val="00E32F74"/>
    <w:rsid w:val="00E35058"/>
    <w:rsid w:val="00E355DA"/>
    <w:rsid w:val="00E35D96"/>
    <w:rsid w:val="00E36A4E"/>
    <w:rsid w:val="00E42D66"/>
    <w:rsid w:val="00E466E4"/>
    <w:rsid w:val="00E5332E"/>
    <w:rsid w:val="00E53C94"/>
    <w:rsid w:val="00E53F52"/>
    <w:rsid w:val="00E625AF"/>
    <w:rsid w:val="00E62A2D"/>
    <w:rsid w:val="00E727FB"/>
    <w:rsid w:val="00E74BAE"/>
    <w:rsid w:val="00E752CA"/>
    <w:rsid w:val="00E75358"/>
    <w:rsid w:val="00E75BE5"/>
    <w:rsid w:val="00E804D9"/>
    <w:rsid w:val="00E84B88"/>
    <w:rsid w:val="00E855F6"/>
    <w:rsid w:val="00E97F51"/>
    <w:rsid w:val="00EA2DBE"/>
    <w:rsid w:val="00EA5154"/>
    <w:rsid w:val="00EB361C"/>
    <w:rsid w:val="00EB5C95"/>
    <w:rsid w:val="00ED1B9F"/>
    <w:rsid w:val="00ED331D"/>
    <w:rsid w:val="00ED72E9"/>
    <w:rsid w:val="00EE27D8"/>
    <w:rsid w:val="00EE2EC3"/>
    <w:rsid w:val="00EE601C"/>
    <w:rsid w:val="00EE684B"/>
    <w:rsid w:val="00EF313F"/>
    <w:rsid w:val="00EF36B6"/>
    <w:rsid w:val="00EF5A50"/>
    <w:rsid w:val="00EF792D"/>
    <w:rsid w:val="00F03E16"/>
    <w:rsid w:val="00F072E4"/>
    <w:rsid w:val="00F113DD"/>
    <w:rsid w:val="00F2108B"/>
    <w:rsid w:val="00F22E1F"/>
    <w:rsid w:val="00F2710F"/>
    <w:rsid w:val="00F33143"/>
    <w:rsid w:val="00F334FE"/>
    <w:rsid w:val="00F357B0"/>
    <w:rsid w:val="00F377D1"/>
    <w:rsid w:val="00F42D99"/>
    <w:rsid w:val="00F45CF8"/>
    <w:rsid w:val="00F50372"/>
    <w:rsid w:val="00F516D0"/>
    <w:rsid w:val="00F5435C"/>
    <w:rsid w:val="00F55EF8"/>
    <w:rsid w:val="00F64A67"/>
    <w:rsid w:val="00F64BFC"/>
    <w:rsid w:val="00F76542"/>
    <w:rsid w:val="00F81232"/>
    <w:rsid w:val="00F813D5"/>
    <w:rsid w:val="00F921FA"/>
    <w:rsid w:val="00F93543"/>
    <w:rsid w:val="00FA2D8E"/>
    <w:rsid w:val="00FB18DA"/>
    <w:rsid w:val="00FB368B"/>
    <w:rsid w:val="00FB37B6"/>
    <w:rsid w:val="00FB4963"/>
    <w:rsid w:val="00FD0944"/>
    <w:rsid w:val="00FE1C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AF"/>
  </w:style>
  <w:style w:type="paragraph" w:styleId="Heading1">
    <w:name w:val="heading 1"/>
    <w:basedOn w:val="Normal"/>
    <w:next w:val="Normal"/>
    <w:link w:val="Heading1Char"/>
    <w:uiPriority w:val="9"/>
    <w:qFormat/>
    <w:rsid w:val="00853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A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66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58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A42"/>
    <w:pPr>
      <w:spacing w:before="100" w:beforeAutospacing="1" w:after="100" w:afterAutospacing="1" w:line="240" w:lineRule="auto"/>
    </w:pPr>
    <w:rPr>
      <w:rFonts w:eastAsia="Times New Roman"/>
      <w:lang w:eastAsia="en-GB"/>
    </w:rPr>
  </w:style>
  <w:style w:type="paragraph" w:styleId="Header">
    <w:name w:val="header"/>
    <w:basedOn w:val="Normal"/>
    <w:link w:val="HeaderChar"/>
    <w:uiPriority w:val="99"/>
    <w:semiHidden/>
    <w:unhideWhenUsed/>
    <w:rsid w:val="00E727F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727FB"/>
  </w:style>
  <w:style w:type="paragraph" w:styleId="Footer">
    <w:name w:val="footer"/>
    <w:basedOn w:val="Normal"/>
    <w:link w:val="FooterChar"/>
    <w:uiPriority w:val="99"/>
    <w:unhideWhenUsed/>
    <w:rsid w:val="00E727FB"/>
    <w:pPr>
      <w:tabs>
        <w:tab w:val="center" w:pos="4513"/>
        <w:tab w:val="right" w:pos="9026"/>
      </w:tabs>
      <w:spacing w:line="240" w:lineRule="auto"/>
    </w:pPr>
  </w:style>
  <w:style w:type="character" w:customStyle="1" w:styleId="FooterChar">
    <w:name w:val="Footer Char"/>
    <w:basedOn w:val="DefaultParagraphFont"/>
    <w:link w:val="Footer"/>
    <w:uiPriority w:val="99"/>
    <w:rsid w:val="00E727FB"/>
  </w:style>
  <w:style w:type="paragraph" w:customStyle="1" w:styleId="Head2">
    <w:name w:val="Head 2"/>
    <w:basedOn w:val="Normal"/>
    <w:uiPriority w:val="99"/>
    <w:rsid w:val="000D286A"/>
    <w:pPr>
      <w:widowControl w:val="0"/>
      <w:adjustRightInd w:val="0"/>
      <w:spacing w:line="264" w:lineRule="auto"/>
      <w:jc w:val="both"/>
      <w:textAlignment w:val="baseline"/>
    </w:pPr>
    <w:rPr>
      <w:rFonts w:ascii="Arial" w:eastAsia="MS PMincho" w:hAnsi="Arial" w:cs="Arial"/>
      <w:b/>
      <w:sz w:val="26"/>
      <w:szCs w:val="26"/>
    </w:rPr>
  </w:style>
  <w:style w:type="character" w:customStyle="1" w:styleId="Heading1Char">
    <w:name w:val="Heading 1 Char"/>
    <w:basedOn w:val="DefaultParagraphFont"/>
    <w:link w:val="Heading1"/>
    <w:uiPriority w:val="9"/>
    <w:rsid w:val="00853A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3AB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3408C1"/>
    <w:pPr>
      <w:ind w:left="720"/>
      <w:contextualSpacing/>
    </w:pPr>
  </w:style>
  <w:style w:type="character" w:styleId="CommentReference">
    <w:name w:val="annotation reference"/>
    <w:basedOn w:val="DefaultParagraphFont"/>
    <w:uiPriority w:val="99"/>
    <w:semiHidden/>
    <w:unhideWhenUsed/>
    <w:rsid w:val="003408C1"/>
    <w:rPr>
      <w:sz w:val="16"/>
      <w:szCs w:val="16"/>
    </w:rPr>
  </w:style>
  <w:style w:type="paragraph" w:styleId="CommentText">
    <w:name w:val="annotation text"/>
    <w:basedOn w:val="Normal"/>
    <w:link w:val="CommentTextChar"/>
    <w:uiPriority w:val="99"/>
    <w:semiHidden/>
    <w:unhideWhenUsed/>
    <w:rsid w:val="003408C1"/>
    <w:pPr>
      <w:spacing w:line="240" w:lineRule="auto"/>
    </w:pPr>
    <w:rPr>
      <w:sz w:val="20"/>
      <w:szCs w:val="20"/>
    </w:rPr>
  </w:style>
  <w:style w:type="character" w:customStyle="1" w:styleId="CommentTextChar">
    <w:name w:val="Comment Text Char"/>
    <w:basedOn w:val="DefaultParagraphFont"/>
    <w:link w:val="CommentText"/>
    <w:uiPriority w:val="99"/>
    <w:semiHidden/>
    <w:rsid w:val="003408C1"/>
    <w:rPr>
      <w:sz w:val="20"/>
      <w:szCs w:val="20"/>
    </w:rPr>
  </w:style>
  <w:style w:type="paragraph" w:styleId="CommentSubject">
    <w:name w:val="annotation subject"/>
    <w:basedOn w:val="CommentText"/>
    <w:next w:val="CommentText"/>
    <w:link w:val="CommentSubjectChar"/>
    <w:uiPriority w:val="99"/>
    <w:semiHidden/>
    <w:unhideWhenUsed/>
    <w:rsid w:val="003408C1"/>
    <w:rPr>
      <w:b/>
      <w:bCs/>
    </w:rPr>
  </w:style>
  <w:style w:type="character" w:customStyle="1" w:styleId="CommentSubjectChar">
    <w:name w:val="Comment Subject Char"/>
    <w:basedOn w:val="CommentTextChar"/>
    <w:link w:val="CommentSubject"/>
    <w:uiPriority w:val="99"/>
    <w:semiHidden/>
    <w:rsid w:val="003408C1"/>
    <w:rPr>
      <w:b/>
      <w:bCs/>
    </w:rPr>
  </w:style>
  <w:style w:type="paragraph" w:styleId="BalloonText">
    <w:name w:val="Balloon Text"/>
    <w:basedOn w:val="Normal"/>
    <w:link w:val="BalloonTextChar"/>
    <w:uiPriority w:val="99"/>
    <w:semiHidden/>
    <w:unhideWhenUsed/>
    <w:rsid w:val="003408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C1"/>
    <w:rPr>
      <w:rFonts w:ascii="Tahoma" w:hAnsi="Tahoma" w:cs="Tahoma"/>
      <w:sz w:val="16"/>
      <w:szCs w:val="16"/>
    </w:rPr>
  </w:style>
  <w:style w:type="character" w:styleId="Hyperlink">
    <w:name w:val="Hyperlink"/>
    <w:basedOn w:val="DefaultParagraphFont"/>
    <w:uiPriority w:val="99"/>
    <w:rsid w:val="00F377D1"/>
    <w:rPr>
      <w:rFonts w:cs="Times New Roman"/>
      <w:color w:val="0000FF"/>
      <w:u w:val="single"/>
    </w:rPr>
  </w:style>
  <w:style w:type="paragraph" w:styleId="EndnoteText">
    <w:name w:val="endnote text"/>
    <w:basedOn w:val="Normal"/>
    <w:link w:val="EndnoteTextChar"/>
    <w:uiPriority w:val="99"/>
    <w:semiHidden/>
    <w:unhideWhenUsed/>
    <w:rsid w:val="0010124D"/>
    <w:pPr>
      <w:spacing w:line="240" w:lineRule="auto"/>
    </w:pPr>
    <w:rPr>
      <w:sz w:val="20"/>
      <w:szCs w:val="20"/>
    </w:rPr>
  </w:style>
  <w:style w:type="character" w:customStyle="1" w:styleId="EndnoteTextChar">
    <w:name w:val="Endnote Text Char"/>
    <w:basedOn w:val="DefaultParagraphFont"/>
    <w:link w:val="EndnoteText"/>
    <w:uiPriority w:val="99"/>
    <w:semiHidden/>
    <w:rsid w:val="0010124D"/>
    <w:rPr>
      <w:sz w:val="20"/>
      <w:szCs w:val="20"/>
    </w:rPr>
  </w:style>
  <w:style w:type="character" w:styleId="EndnoteReference">
    <w:name w:val="endnote reference"/>
    <w:basedOn w:val="DefaultParagraphFont"/>
    <w:uiPriority w:val="99"/>
    <w:semiHidden/>
    <w:unhideWhenUsed/>
    <w:rsid w:val="0010124D"/>
    <w:rPr>
      <w:vertAlign w:val="superscript"/>
    </w:rPr>
  </w:style>
  <w:style w:type="paragraph" w:styleId="BodyText">
    <w:name w:val="Body Text"/>
    <w:basedOn w:val="Normal"/>
    <w:link w:val="BodyTextChar"/>
    <w:rsid w:val="00DA1341"/>
    <w:pPr>
      <w:spacing w:after="160" w:line="240" w:lineRule="auto"/>
      <w:jc w:val="both"/>
    </w:pPr>
    <w:rPr>
      <w:rFonts w:eastAsia="Times New Roman"/>
      <w:szCs w:val="20"/>
    </w:rPr>
  </w:style>
  <w:style w:type="character" w:customStyle="1" w:styleId="BodyTextChar">
    <w:name w:val="Body Text Char"/>
    <w:basedOn w:val="DefaultParagraphFont"/>
    <w:link w:val="BodyText"/>
    <w:rsid w:val="00DA1341"/>
    <w:rPr>
      <w:rFonts w:eastAsia="Times New Roman"/>
      <w:szCs w:val="20"/>
    </w:rPr>
  </w:style>
  <w:style w:type="paragraph" w:styleId="PlainText">
    <w:name w:val="Plain Text"/>
    <w:basedOn w:val="Normal"/>
    <w:link w:val="PlainTextChar"/>
    <w:uiPriority w:val="99"/>
    <w:rsid w:val="00DA1341"/>
    <w:pPr>
      <w:widowControl w:val="0"/>
      <w:tabs>
        <w:tab w:val="left" w:pos="-720"/>
      </w:tabs>
      <w:suppressAutoHyphens/>
      <w:spacing w:line="240" w:lineRule="auto"/>
    </w:pPr>
    <w:rPr>
      <w:rFonts w:ascii="Courier New" w:eastAsia="Times New Roman" w:hAnsi="Courier New"/>
      <w:snapToGrid w:val="0"/>
      <w:sz w:val="20"/>
      <w:szCs w:val="20"/>
    </w:rPr>
  </w:style>
  <w:style w:type="character" w:customStyle="1" w:styleId="PlainTextChar">
    <w:name w:val="Plain Text Char"/>
    <w:basedOn w:val="DefaultParagraphFont"/>
    <w:link w:val="PlainText"/>
    <w:uiPriority w:val="99"/>
    <w:rsid w:val="00DA1341"/>
    <w:rPr>
      <w:rFonts w:ascii="Courier New" w:eastAsia="Times New Roman" w:hAnsi="Courier New"/>
      <w:snapToGrid w:val="0"/>
      <w:sz w:val="20"/>
      <w:szCs w:val="20"/>
    </w:rPr>
  </w:style>
  <w:style w:type="character" w:customStyle="1" w:styleId="Heading3Char">
    <w:name w:val="Heading 3 Char"/>
    <w:basedOn w:val="DefaultParagraphFont"/>
    <w:link w:val="Heading3"/>
    <w:uiPriority w:val="9"/>
    <w:rsid w:val="00E466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358D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B37B6"/>
    <w:rPr>
      <w:b/>
      <w:bCs/>
    </w:rPr>
  </w:style>
  <w:style w:type="character" w:styleId="FollowedHyperlink">
    <w:name w:val="FollowedHyperlink"/>
    <w:basedOn w:val="DefaultParagraphFont"/>
    <w:uiPriority w:val="99"/>
    <w:semiHidden/>
    <w:unhideWhenUsed/>
    <w:rsid w:val="0020673A"/>
    <w:rPr>
      <w:color w:val="800080" w:themeColor="followedHyperlink"/>
      <w:u w:val="single"/>
    </w:rPr>
  </w:style>
  <w:style w:type="paragraph" w:styleId="NoSpacing">
    <w:name w:val="No Spacing"/>
    <w:uiPriority w:val="1"/>
    <w:qFormat/>
    <w:rsid w:val="00C558CE"/>
    <w:pPr>
      <w:spacing w:line="240" w:lineRule="auto"/>
    </w:pPr>
    <w:rPr>
      <w:rFonts w:ascii="Calibri" w:eastAsia="Times New Roman" w:hAnsi="Calibri"/>
      <w:sz w:val="22"/>
      <w:szCs w:val="22"/>
      <w:lang w:eastAsia="en-GB"/>
    </w:rPr>
  </w:style>
  <w:style w:type="table" w:styleId="TableGrid">
    <w:name w:val="Table Grid"/>
    <w:basedOn w:val="TableNormal"/>
    <w:uiPriority w:val="59"/>
    <w:rsid w:val="00137B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633805">
      <w:bodyDiv w:val="1"/>
      <w:marLeft w:val="0"/>
      <w:marRight w:val="0"/>
      <w:marTop w:val="0"/>
      <w:marBottom w:val="0"/>
      <w:divBdr>
        <w:top w:val="none" w:sz="0" w:space="0" w:color="auto"/>
        <w:left w:val="none" w:sz="0" w:space="0" w:color="auto"/>
        <w:bottom w:val="none" w:sz="0" w:space="0" w:color="auto"/>
        <w:right w:val="none" w:sz="0" w:space="0" w:color="auto"/>
      </w:divBdr>
      <w:divsChild>
        <w:div w:id="1198784886">
          <w:marLeft w:val="0"/>
          <w:marRight w:val="0"/>
          <w:marTop w:val="0"/>
          <w:marBottom w:val="0"/>
          <w:divBdr>
            <w:top w:val="none" w:sz="0" w:space="0" w:color="auto"/>
            <w:left w:val="none" w:sz="0" w:space="0" w:color="auto"/>
            <w:bottom w:val="none" w:sz="0" w:space="0" w:color="auto"/>
            <w:right w:val="none" w:sz="0" w:space="0" w:color="auto"/>
          </w:divBdr>
          <w:divsChild>
            <w:div w:id="1303927409">
              <w:marLeft w:val="0"/>
              <w:marRight w:val="0"/>
              <w:marTop w:val="0"/>
              <w:marBottom w:val="0"/>
              <w:divBdr>
                <w:top w:val="none" w:sz="0" w:space="0" w:color="auto"/>
                <w:left w:val="none" w:sz="0" w:space="0" w:color="auto"/>
                <w:bottom w:val="none" w:sz="0" w:space="0" w:color="auto"/>
                <w:right w:val="none" w:sz="0" w:space="0" w:color="auto"/>
              </w:divBdr>
              <w:divsChild>
                <w:div w:id="1815564746">
                  <w:marLeft w:val="0"/>
                  <w:marRight w:val="0"/>
                  <w:marTop w:val="0"/>
                  <w:marBottom w:val="0"/>
                  <w:divBdr>
                    <w:top w:val="none" w:sz="0" w:space="0" w:color="auto"/>
                    <w:left w:val="none" w:sz="0" w:space="0" w:color="auto"/>
                    <w:bottom w:val="none" w:sz="0" w:space="0" w:color="auto"/>
                    <w:right w:val="none" w:sz="0" w:space="0" w:color="auto"/>
                  </w:divBdr>
                  <w:divsChild>
                    <w:div w:id="1006784667">
                      <w:marLeft w:val="0"/>
                      <w:marRight w:val="0"/>
                      <w:marTop w:val="0"/>
                      <w:marBottom w:val="0"/>
                      <w:divBdr>
                        <w:top w:val="none" w:sz="0" w:space="0" w:color="auto"/>
                        <w:left w:val="none" w:sz="0" w:space="0" w:color="auto"/>
                        <w:bottom w:val="none" w:sz="0" w:space="0" w:color="auto"/>
                        <w:right w:val="none" w:sz="0" w:space="0" w:color="auto"/>
                      </w:divBdr>
                      <w:divsChild>
                        <w:div w:id="1229802990">
                          <w:marLeft w:val="0"/>
                          <w:marRight w:val="0"/>
                          <w:marTop w:val="0"/>
                          <w:marBottom w:val="0"/>
                          <w:divBdr>
                            <w:top w:val="none" w:sz="0" w:space="0" w:color="auto"/>
                            <w:left w:val="none" w:sz="0" w:space="0" w:color="auto"/>
                            <w:bottom w:val="none" w:sz="0" w:space="0" w:color="auto"/>
                            <w:right w:val="none" w:sz="0" w:space="0" w:color="auto"/>
                          </w:divBdr>
                          <w:divsChild>
                            <w:div w:id="101389072">
                              <w:marLeft w:val="0"/>
                              <w:marRight w:val="0"/>
                              <w:marTop w:val="0"/>
                              <w:marBottom w:val="0"/>
                              <w:divBdr>
                                <w:top w:val="none" w:sz="0" w:space="0" w:color="auto"/>
                                <w:left w:val="none" w:sz="0" w:space="0" w:color="auto"/>
                                <w:bottom w:val="none" w:sz="0" w:space="0" w:color="auto"/>
                                <w:right w:val="none" w:sz="0" w:space="0" w:color="auto"/>
                              </w:divBdr>
                              <w:divsChild>
                                <w:div w:id="972907654">
                                  <w:marLeft w:val="0"/>
                                  <w:marRight w:val="0"/>
                                  <w:marTop w:val="0"/>
                                  <w:marBottom w:val="0"/>
                                  <w:divBdr>
                                    <w:top w:val="none" w:sz="0" w:space="0" w:color="auto"/>
                                    <w:left w:val="none" w:sz="0" w:space="0" w:color="auto"/>
                                    <w:bottom w:val="none" w:sz="0" w:space="0" w:color="auto"/>
                                    <w:right w:val="none" w:sz="0" w:space="0" w:color="auto"/>
                                  </w:divBdr>
                                  <w:divsChild>
                                    <w:div w:id="2630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1756">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sChild>
        <w:div w:id="1409225783">
          <w:marLeft w:val="0"/>
          <w:marRight w:val="0"/>
          <w:marTop w:val="0"/>
          <w:marBottom w:val="0"/>
          <w:divBdr>
            <w:top w:val="none" w:sz="0" w:space="0" w:color="auto"/>
            <w:left w:val="none" w:sz="0" w:space="0" w:color="auto"/>
            <w:bottom w:val="none" w:sz="0" w:space="0" w:color="auto"/>
            <w:right w:val="none" w:sz="0" w:space="0" w:color="auto"/>
          </w:divBdr>
          <w:divsChild>
            <w:div w:id="52121471">
              <w:marLeft w:val="0"/>
              <w:marRight w:val="0"/>
              <w:marTop w:val="0"/>
              <w:marBottom w:val="0"/>
              <w:divBdr>
                <w:top w:val="none" w:sz="0" w:space="0" w:color="auto"/>
                <w:left w:val="none" w:sz="0" w:space="0" w:color="auto"/>
                <w:bottom w:val="none" w:sz="0" w:space="0" w:color="auto"/>
                <w:right w:val="none" w:sz="0" w:space="0" w:color="auto"/>
              </w:divBdr>
              <w:divsChild>
                <w:div w:id="1376199305">
                  <w:marLeft w:val="0"/>
                  <w:marRight w:val="0"/>
                  <w:marTop w:val="0"/>
                  <w:marBottom w:val="0"/>
                  <w:divBdr>
                    <w:top w:val="none" w:sz="0" w:space="0" w:color="auto"/>
                    <w:left w:val="none" w:sz="0" w:space="0" w:color="auto"/>
                    <w:bottom w:val="none" w:sz="0" w:space="0" w:color="auto"/>
                    <w:right w:val="none" w:sz="0" w:space="0" w:color="auto"/>
                  </w:divBdr>
                  <w:divsChild>
                    <w:div w:id="2045058255">
                      <w:marLeft w:val="0"/>
                      <w:marRight w:val="0"/>
                      <w:marTop w:val="0"/>
                      <w:marBottom w:val="0"/>
                      <w:divBdr>
                        <w:top w:val="none" w:sz="0" w:space="0" w:color="auto"/>
                        <w:left w:val="none" w:sz="0" w:space="0" w:color="auto"/>
                        <w:bottom w:val="none" w:sz="0" w:space="0" w:color="auto"/>
                        <w:right w:val="none" w:sz="0" w:space="0" w:color="auto"/>
                      </w:divBdr>
                      <w:divsChild>
                        <w:div w:id="1455904857">
                          <w:marLeft w:val="0"/>
                          <w:marRight w:val="0"/>
                          <w:marTop w:val="0"/>
                          <w:marBottom w:val="0"/>
                          <w:divBdr>
                            <w:top w:val="none" w:sz="0" w:space="0" w:color="auto"/>
                            <w:left w:val="none" w:sz="0" w:space="0" w:color="auto"/>
                            <w:bottom w:val="none" w:sz="0" w:space="0" w:color="auto"/>
                            <w:right w:val="none" w:sz="0" w:space="0" w:color="auto"/>
                          </w:divBdr>
                          <w:divsChild>
                            <w:div w:id="233590605">
                              <w:marLeft w:val="0"/>
                              <w:marRight w:val="0"/>
                              <w:marTop w:val="0"/>
                              <w:marBottom w:val="0"/>
                              <w:divBdr>
                                <w:top w:val="none" w:sz="0" w:space="0" w:color="auto"/>
                                <w:left w:val="none" w:sz="0" w:space="0" w:color="auto"/>
                                <w:bottom w:val="none" w:sz="0" w:space="0" w:color="auto"/>
                                <w:right w:val="none" w:sz="0" w:space="0" w:color="auto"/>
                              </w:divBdr>
                              <w:divsChild>
                                <w:div w:id="13522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930581">
      <w:bodyDiv w:val="1"/>
      <w:marLeft w:val="0"/>
      <w:marRight w:val="0"/>
      <w:marTop w:val="0"/>
      <w:marBottom w:val="0"/>
      <w:divBdr>
        <w:top w:val="none" w:sz="0" w:space="0" w:color="auto"/>
        <w:left w:val="none" w:sz="0" w:space="0" w:color="auto"/>
        <w:bottom w:val="none" w:sz="0" w:space="0" w:color="auto"/>
        <w:right w:val="none" w:sz="0" w:space="0" w:color="auto"/>
      </w:divBdr>
    </w:div>
    <w:div w:id="1210653418">
      <w:bodyDiv w:val="1"/>
      <w:marLeft w:val="0"/>
      <w:marRight w:val="0"/>
      <w:marTop w:val="0"/>
      <w:marBottom w:val="0"/>
      <w:divBdr>
        <w:top w:val="none" w:sz="0" w:space="0" w:color="auto"/>
        <w:left w:val="none" w:sz="0" w:space="0" w:color="auto"/>
        <w:bottom w:val="none" w:sz="0" w:space="0" w:color="auto"/>
        <w:right w:val="none" w:sz="0" w:space="0" w:color="auto"/>
      </w:divBdr>
    </w:div>
    <w:div w:id="1544947416">
      <w:bodyDiv w:val="1"/>
      <w:marLeft w:val="0"/>
      <w:marRight w:val="0"/>
      <w:marTop w:val="0"/>
      <w:marBottom w:val="0"/>
      <w:divBdr>
        <w:top w:val="none" w:sz="0" w:space="0" w:color="auto"/>
        <w:left w:val="none" w:sz="0" w:space="0" w:color="auto"/>
        <w:bottom w:val="none" w:sz="0" w:space="0" w:color="auto"/>
        <w:right w:val="none" w:sz="0" w:space="0" w:color="auto"/>
      </w:divBdr>
    </w:div>
    <w:div w:id="1657300511">
      <w:bodyDiv w:val="1"/>
      <w:marLeft w:val="0"/>
      <w:marRight w:val="0"/>
      <w:marTop w:val="0"/>
      <w:marBottom w:val="0"/>
      <w:divBdr>
        <w:top w:val="none" w:sz="0" w:space="0" w:color="auto"/>
        <w:left w:val="none" w:sz="0" w:space="0" w:color="auto"/>
        <w:bottom w:val="none" w:sz="0" w:space="0" w:color="auto"/>
        <w:right w:val="none" w:sz="0" w:space="0" w:color="auto"/>
      </w:divBdr>
    </w:div>
    <w:div w:id="1702975153">
      <w:bodyDiv w:val="1"/>
      <w:marLeft w:val="0"/>
      <w:marRight w:val="0"/>
      <w:marTop w:val="0"/>
      <w:marBottom w:val="0"/>
      <w:divBdr>
        <w:top w:val="none" w:sz="0" w:space="0" w:color="auto"/>
        <w:left w:val="none" w:sz="0" w:space="0" w:color="auto"/>
        <w:bottom w:val="none" w:sz="0" w:space="0" w:color="auto"/>
        <w:right w:val="none" w:sz="0" w:space="0" w:color="auto"/>
      </w:divBdr>
    </w:div>
    <w:div w:id="17729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61262">
          <w:marLeft w:val="0"/>
          <w:marRight w:val="0"/>
          <w:marTop w:val="0"/>
          <w:marBottom w:val="177"/>
          <w:divBdr>
            <w:top w:val="none" w:sz="0" w:space="0" w:color="auto"/>
            <w:left w:val="none" w:sz="0" w:space="0" w:color="auto"/>
            <w:bottom w:val="none" w:sz="0" w:space="0" w:color="auto"/>
            <w:right w:val="none" w:sz="0" w:space="0" w:color="auto"/>
          </w:divBdr>
          <w:divsChild>
            <w:div w:id="1529223380">
              <w:marLeft w:val="0"/>
              <w:marRight w:val="0"/>
              <w:marTop w:val="0"/>
              <w:marBottom w:val="0"/>
              <w:divBdr>
                <w:top w:val="single" w:sz="4" w:space="13" w:color="CCCCCC"/>
                <w:left w:val="single" w:sz="4" w:space="18" w:color="CCCCCC"/>
                <w:bottom w:val="none" w:sz="0" w:space="0" w:color="auto"/>
                <w:right w:val="single" w:sz="4" w:space="22" w:color="CCCCCC"/>
              </w:divBdr>
              <w:divsChild>
                <w:div w:id="1588727544">
                  <w:marLeft w:val="0"/>
                  <w:marRight w:val="0"/>
                  <w:marTop w:val="0"/>
                  <w:marBottom w:val="0"/>
                  <w:divBdr>
                    <w:top w:val="none" w:sz="0" w:space="0" w:color="auto"/>
                    <w:left w:val="none" w:sz="0" w:space="0" w:color="auto"/>
                    <w:bottom w:val="none" w:sz="0" w:space="0" w:color="auto"/>
                    <w:right w:val="none" w:sz="0" w:space="0" w:color="auto"/>
                  </w:divBdr>
                  <w:divsChild>
                    <w:div w:id="1899125695">
                      <w:marLeft w:val="0"/>
                      <w:marRight w:val="0"/>
                      <w:marTop w:val="0"/>
                      <w:marBottom w:val="0"/>
                      <w:divBdr>
                        <w:top w:val="none" w:sz="0" w:space="0" w:color="auto"/>
                        <w:left w:val="none" w:sz="0" w:space="0" w:color="auto"/>
                        <w:bottom w:val="none" w:sz="0" w:space="0" w:color="auto"/>
                        <w:right w:val="none" w:sz="0" w:space="0" w:color="auto"/>
                      </w:divBdr>
                      <w:divsChild>
                        <w:div w:id="867987240">
                          <w:marLeft w:val="0"/>
                          <w:marRight w:val="0"/>
                          <w:marTop w:val="0"/>
                          <w:marBottom w:val="0"/>
                          <w:divBdr>
                            <w:top w:val="none" w:sz="0" w:space="0" w:color="auto"/>
                            <w:left w:val="none" w:sz="0" w:space="0" w:color="auto"/>
                            <w:bottom w:val="none" w:sz="0" w:space="0" w:color="auto"/>
                            <w:right w:val="none" w:sz="0" w:space="0" w:color="auto"/>
                          </w:divBdr>
                          <w:divsChild>
                            <w:div w:id="1954436744">
                              <w:marLeft w:val="0"/>
                              <w:marRight w:val="0"/>
                              <w:marTop w:val="0"/>
                              <w:marBottom w:val="0"/>
                              <w:divBdr>
                                <w:top w:val="none" w:sz="0" w:space="0" w:color="auto"/>
                                <w:left w:val="none" w:sz="0" w:space="0" w:color="auto"/>
                                <w:bottom w:val="none" w:sz="0" w:space="0" w:color="auto"/>
                                <w:right w:val="none" w:sz="0" w:space="0" w:color="auto"/>
                              </w:divBdr>
                              <w:divsChild>
                                <w:div w:id="713654024">
                                  <w:marLeft w:val="0"/>
                                  <w:marRight w:val="0"/>
                                  <w:marTop w:val="0"/>
                                  <w:marBottom w:val="0"/>
                                  <w:divBdr>
                                    <w:top w:val="none" w:sz="0" w:space="0" w:color="auto"/>
                                    <w:left w:val="none" w:sz="0" w:space="0" w:color="auto"/>
                                    <w:bottom w:val="none" w:sz="0" w:space="0" w:color="auto"/>
                                    <w:right w:val="none" w:sz="0" w:space="0" w:color="auto"/>
                                  </w:divBdr>
                                  <w:divsChild>
                                    <w:div w:id="1986811672">
                                      <w:marLeft w:val="0"/>
                                      <w:marRight w:val="0"/>
                                      <w:marTop w:val="0"/>
                                      <w:marBottom w:val="0"/>
                                      <w:divBdr>
                                        <w:top w:val="none" w:sz="0" w:space="0" w:color="auto"/>
                                        <w:left w:val="none" w:sz="0" w:space="0" w:color="auto"/>
                                        <w:bottom w:val="none" w:sz="0" w:space="0" w:color="auto"/>
                                        <w:right w:val="none" w:sz="0" w:space="0" w:color="auto"/>
                                      </w:divBdr>
                                    </w:div>
                                    <w:div w:id="12826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2113">
                              <w:marLeft w:val="0"/>
                              <w:marRight w:val="0"/>
                              <w:marTop w:val="0"/>
                              <w:marBottom w:val="0"/>
                              <w:divBdr>
                                <w:top w:val="none" w:sz="0" w:space="0" w:color="auto"/>
                                <w:left w:val="none" w:sz="0" w:space="0" w:color="auto"/>
                                <w:bottom w:val="none" w:sz="0" w:space="0" w:color="auto"/>
                                <w:right w:val="none" w:sz="0" w:space="0" w:color="auto"/>
                              </w:divBdr>
                              <w:divsChild>
                                <w:div w:id="1412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abgaew\AppData\Local\Microsoft\Windows\Temporary%20Internet%20Files\Content.Outlook\LSH9G8HL\basreversedb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bar"/>
        <c:grouping val="clustered"/>
        <c:ser>
          <c:idx val="0"/>
          <c:order val="0"/>
          <c:tx>
            <c:strRef>
              <c:f>'graph reversed'!$D$6</c:f>
              <c:strCache>
                <c:ptCount val="1"/>
                <c:pt idx="0">
                  <c:v>Model 1</c:v>
                </c:pt>
              </c:strCache>
            </c:strRef>
          </c:tx>
          <c:spPr>
            <a:solidFill>
              <a:sysClr val="windowText" lastClr="000000">
                <a:lumMod val="50000"/>
                <a:lumOff val="50000"/>
              </a:sysClr>
            </a:solidFill>
          </c:spPr>
          <c:cat>
            <c:strRef>
              <c:f>'graph reversed'!$B$7:$C$27</c:f>
              <c:strCache>
                <c:ptCount val="21"/>
                <c:pt idx="0">
                  <c:v>Higher salariat</c:v>
                </c:pt>
                <c:pt idx="1">
                  <c:v>Lower salariat</c:v>
                </c:pt>
                <c:pt idx="2">
                  <c:v>Intermediate</c:v>
                </c:pt>
                <c:pt idx="3">
                  <c:v>Petty Bourgeois</c:v>
                </c:pt>
                <c:pt idx="4">
                  <c:v>Lower supervisory and technical</c:v>
                </c:pt>
                <c:pt idx="5">
                  <c:v>Semi routine and routine</c:v>
                </c:pt>
                <c:pt idx="6">
                  <c:v>Never worked</c:v>
                </c:pt>
                <c:pt idx="8">
                  <c:v>Income quintile top</c:v>
                </c:pt>
                <c:pt idx="9">
                  <c:v>4</c:v>
                </c:pt>
                <c:pt idx="10">
                  <c:v>3</c:v>
                </c:pt>
                <c:pt idx="11">
                  <c:v>2</c:v>
                </c:pt>
                <c:pt idx="12">
                  <c:v>Income quintile bottom</c:v>
                </c:pt>
                <c:pt idx="14">
                  <c:v>Higher degree</c:v>
                </c:pt>
                <c:pt idx="15">
                  <c:v>First degree</c:v>
                </c:pt>
                <c:pt idx="16">
                  <c:v>A level or HE diploma</c:v>
                </c:pt>
                <c:pt idx="17">
                  <c:v>GCSE A-C</c:v>
                </c:pt>
                <c:pt idx="18">
                  <c:v>GCSE D-G</c:v>
                </c:pt>
                <c:pt idx="19">
                  <c:v>Vocational or other only</c:v>
                </c:pt>
                <c:pt idx="20">
                  <c:v>None</c:v>
                </c:pt>
              </c:strCache>
            </c:strRef>
          </c:cat>
          <c:val>
            <c:numRef>
              <c:f>'graph reversed'!$D$7:$D$27</c:f>
              <c:numCache>
                <c:formatCode>General</c:formatCode>
                <c:ptCount val="21"/>
                <c:pt idx="0">
                  <c:v>18.563903278457929</c:v>
                </c:pt>
                <c:pt idx="1">
                  <c:v>13.251766341763787</c:v>
                </c:pt>
                <c:pt idx="2">
                  <c:v>8.2496507500895184</c:v>
                </c:pt>
                <c:pt idx="3">
                  <c:v>4.914101364024777</c:v>
                </c:pt>
                <c:pt idx="4">
                  <c:v>4.6673926455414785</c:v>
                </c:pt>
                <c:pt idx="6">
                  <c:v>-4.7383240613687043</c:v>
                </c:pt>
              </c:numCache>
            </c:numRef>
          </c:val>
        </c:ser>
        <c:ser>
          <c:idx val="1"/>
          <c:order val="1"/>
          <c:tx>
            <c:strRef>
              <c:f>'graph reversed'!$E$6</c:f>
              <c:strCache>
                <c:ptCount val="1"/>
                <c:pt idx="0">
                  <c:v>Model 2</c:v>
                </c:pt>
              </c:strCache>
            </c:strRef>
          </c:tx>
          <c:spPr>
            <a:solidFill>
              <a:schemeClr val="bg1">
                <a:lumMod val="75000"/>
              </a:schemeClr>
            </a:solidFill>
          </c:spPr>
          <c:cat>
            <c:strRef>
              <c:f>'graph reversed'!$B$7:$C$27</c:f>
              <c:strCache>
                <c:ptCount val="21"/>
                <c:pt idx="0">
                  <c:v>Higher salariat</c:v>
                </c:pt>
                <c:pt idx="1">
                  <c:v>Lower salariat</c:v>
                </c:pt>
                <c:pt idx="2">
                  <c:v>Intermediate</c:v>
                </c:pt>
                <c:pt idx="3">
                  <c:v>Petty Bourgeois</c:v>
                </c:pt>
                <c:pt idx="4">
                  <c:v>Lower supervisory and technical</c:v>
                </c:pt>
                <c:pt idx="5">
                  <c:v>Semi routine and routine</c:v>
                </c:pt>
                <c:pt idx="6">
                  <c:v>Never worked</c:v>
                </c:pt>
                <c:pt idx="8">
                  <c:v>Income quintile top</c:v>
                </c:pt>
                <c:pt idx="9">
                  <c:v>4</c:v>
                </c:pt>
                <c:pt idx="10">
                  <c:v>3</c:v>
                </c:pt>
                <c:pt idx="11">
                  <c:v>2</c:v>
                </c:pt>
                <c:pt idx="12">
                  <c:v>Income quintile bottom</c:v>
                </c:pt>
                <c:pt idx="14">
                  <c:v>Higher degree</c:v>
                </c:pt>
                <c:pt idx="15">
                  <c:v>First degree</c:v>
                </c:pt>
                <c:pt idx="16">
                  <c:v>A level or HE diploma</c:v>
                </c:pt>
                <c:pt idx="17">
                  <c:v>GCSE A-C</c:v>
                </c:pt>
                <c:pt idx="18">
                  <c:v>GCSE D-G</c:v>
                </c:pt>
                <c:pt idx="19">
                  <c:v>Vocational or other only</c:v>
                </c:pt>
                <c:pt idx="20">
                  <c:v>None</c:v>
                </c:pt>
              </c:strCache>
            </c:strRef>
          </c:cat>
          <c:val>
            <c:numRef>
              <c:f>'graph reversed'!$E$7:$E$27</c:f>
              <c:numCache>
                <c:formatCode>General</c:formatCode>
                <c:ptCount val="21"/>
                <c:pt idx="0">
                  <c:v>7.3385750484954668</c:v>
                </c:pt>
                <c:pt idx="1">
                  <c:v>5.5773886741053706</c:v>
                </c:pt>
                <c:pt idx="2">
                  <c:v>4.1063602279341103</c:v>
                </c:pt>
                <c:pt idx="4">
                  <c:v>2.2082965565536052</c:v>
                </c:pt>
                <c:pt idx="8">
                  <c:v>3.6078857964336675</c:v>
                </c:pt>
                <c:pt idx="9">
                  <c:v>2.9577806130626838</c:v>
                </c:pt>
                <c:pt idx="10">
                  <c:v>2.319364212293026</c:v>
                </c:pt>
                <c:pt idx="14">
                  <c:v>14.718605096816418</c:v>
                </c:pt>
                <c:pt idx="15">
                  <c:v>12.515122825539503</c:v>
                </c:pt>
                <c:pt idx="16">
                  <c:v>8.1626940620727968</c:v>
                </c:pt>
                <c:pt idx="17">
                  <c:v>4.9578931695991919</c:v>
                </c:pt>
              </c:numCache>
            </c:numRef>
          </c:val>
        </c:ser>
        <c:ser>
          <c:idx val="2"/>
          <c:order val="2"/>
          <c:tx>
            <c:strRef>
              <c:f>'graph reversed'!$F$6</c:f>
              <c:strCache>
                <c:ptCount val="1"/>
                <c:pt idx="0">
                  <c:v>Model 3</c:v>
                </c:pt>
              </c:strCache>
            </c:strRef>
          </c:tx>
          <c:spPr>
            <a:solidFill>
              <a:prstClr val="white"/>
            </a:solidFill>
            <a:ln>
              <a:solidFill>
                <a:prstClr val="black"/>
              </a:solidFill>
            </a:ln>
          </c:spPr>
          <c:cat>
            <c:strRef>
              <c:f>'graph reversed'!$B$7:$C$27</c:f>
              <c:strCache>
                <c:ptCount val="21"/>
                <c:pt idx="0">
                  <c:v>Higher salariat</c:v>
                </c:pt>
                <c:pt idx="1">
                  <c:v>Lower salariat</c:v>
                </c:pt>
                <c:pt idx="2">
                  <c:v>Intermediate</c:v>
                </c:pt>
                <c:pt idx="3">
                  <c:v>Petty Bourgeois</c:v>
                </c:pt>
                <c:pt idx="4">
                  <c:v>Lower supervisory and technical</c:v>
                </c:pt>
                <c:pt idx="5">
                  <c:v>Semi routine and routine</c:v>
                </c:pt>
                <c:pt idx="6">
                  <c:v>Never worked</c:v>
                </c:pt>
                <c:pt idx="8">
                  <c:v>Income quintile top</c:v>
                </c:pt>
                <c:pt idx="9">
                  <c:v>4</c:v>
                </c:pt>
                <c:pt idx="10">
                  <c:v>3</c:v>
                </c:pt>
                <c:pt idx="11">
                  <c:v>2</c:v>
                </c:pt>
                <c:pt idx="12">
                  <c:v>Income quintile bottom</c:v>
                </c:pt>
                <c:pt idx="14">
                  <c:v>Higher degree</c:v>
                </c:pt>
                <c:pt idx="15">
                  <c:v>First degree</c:v>
                </c:pt>
                <c:pt idx="16">
                  <c:v>A level or HE diploma</c:v>
                </c:pt>
                <c:pt idx="17">
                  <c:v>GCSE A-C</c:v>
                </c:pt>
                <c:pt idx="18">
                  <c:v>GCSE D-G</c:v>
                </c:pt>
                <c:pt idx="19">
                  <c:v>Vocational or other only</c:v>
                </c:pt>
                <c:pt idx="20">
                  <c:v>None</c:v>
                </c:pt>
              </c:strCache>
            </c:strRef>
          </c:cat>
          <c:val>
            <c:numRef>
              <c:f>'graph reversed'!$F$7:$F$27</c:f>
              <c:numCache>
                <c:formatCode>General</c:formatCode>
                <c:ptCount val="21"/>
                <c:pt idx="0">
                  <c:v>6.3138180895154346</c:v>
                </c:pt>
                <c:pt idx="1">
                  <c:v>4.5931604570123552</c:v>
                </c:pt>
                <c:pt idx="2">
                  <c:v>3.1426887337452927</c:v>
                </c:pt>
                <c:pt idx="4">
                  <c:v>2.1780496701243353</c:v>
                </c:pt>
                <c:pt idx="8">
                  <c:v>2.0619450968012121</c:v>
                </c:pt>
                <c:pt idx="9">
                  <c:v>2.6876387813477929</c:v>
                </c:pt>
                <c:pt idx="14">
                  <c:v>12.581195487326498</c:v>
                </c:pt>
                <c:pt idx="15">
                  <c:v>10.298822771552798</c:v>
                </c:pt>
                <c:pt idx="16">
                  <c:v>6.1573946683787737</c:v>
                </c:pt>
                <c:pt idx="17">
                  <c:v>3.3702137099440503</c:v>
                </c:pt>
              </c:numCache>
            </c:numRef>
          </c:val>
        </c:ser>
        <c:ser>
          <c:idx val="3"/>
          <c:order val="3"/>
          <c:tx>
            <c:strRef>
              <c:f>'graph reversed'!$G$6</c:f>
              <c:strCache>
                <c:ptCount val="1"/>
                <c:pt idx="0">
                  <c:v>Model 4</c:v>
                </c:pt>
              </c:strCache>
            </c:strRef>
          </c:tx>
          <c:spPr>
            <a:solidFill>
              <a:schemeClr val="bg1">
                <a:lumMod val="65000"/>
              </a:schemeClr>
            </a:solidFill>
            <a:ln>
              <a:solidFill>
                <a:schemeClr val="tx1"/>
              </a:solidFill>
            </a:ln>
          </c:spPr>
          <c:cat>
            <c:strRef>
              <c:f>'graph reversed'!$B$7:$C$27</c:f>
              <c:strCache>
                <c:ptCount val="21"/>
                <c:pt idx="0">
                  <c:v>Higher salariat</c:v>
                </c:pt>
                <c:pt idx="1">
                  <c:v>Lower salariat</c:v>
                </c:pt>
                <c:pt idx="2">
                  <c:v>Intermediate</c:v>
                </c:pt>
                <c:pt idx="3">
                  <c:v>Petty Bourgeois</c:v>
                </c:pt>
                <c:pt idx="4">
                  <c:v>Lower supervisory and technical</c:v>
                </c:pt>
                <c:pt idx="5">
                  <c:v>Semi routine and routine</c:v>
                </c:pt>
                <c:pt idx="6">
                  <c:v>Never worked</c:v>
                </c:pt>
                <c:pt idx="8">
                  <c:v>Income quintile top</c:v>
                </c:pt>
                <c:pt idx="9">
                  <c:v>4</c:v>
                </c:pt>
                <c:pt idx="10">
                  <c:v>3</c:v>
                </c:pt>
                <c:pt idx="11">
                  <c:v>2</c:v>
                </c:pt>
                <c:pt idx="12">
                  <c:v>Income quintile bottom</c:v>
                </c:pt>
                <c:pt idx="14">
                  <c:v>Higher degree</c:v>
                </c:pt>
                <c:pt idx="15">
                  <c:v>First degree</c:v>
                </c:pt>
                <c:pt idx="16">
                  <c:v>A level or HE diploma</c:v>
                </c:pt>
                <c:pt idx="17">
                  <c:v>GCSE A-C</c:v>
                </c:pt>
                <c:pt idx="18">
                  <c:v>GCSE D-G</c:v>
                </c:pt>
                <c:pt idx="19">
                  <c:v>Vocational or other only</c:v>
                </c:pt>
                <c:pt idx="20">
                  <c:v>None</c:v>
                </c:pt>
              </c:strCache>
            </c:strRef>
          </c:cat>
          <c:val>
            <c:numRef>
              <c:f>'graph reversed'!$G$7:$G$27</c:f>
              <c:numCache>
                <c:formatCode>General</c:formatCode>
                <c:ptCount val="21"/>
                <c:pt idx="0">
                  <c:v>5.7477854164021274</c:v>
                </c:pt>
                <c:pt idx="1">
                  <c:v>4.1202237296147901</c:v>
                </c:pt>
                <c:pt idx="2">
                  <c:v>2.6099637860193394</c:v>
                </c:pt>
                <c:pt idx="4">
                  <c:v>1.8942208070418585</c:v>
                </c:pt>
                <c:pt idx="8">
                  <c:v>2.0234550700599332</c:v>
                </c:pt>
                <c:pt idx="9">
                  <c:v>2.8299045545041084</c:v>
                </c:pt>
                <c:pt idx="14">
                  <c:v>10.014636325006776</c:v>
                </c:pt>
                <c:pt idx="15">
                  <c:v>7.5952878716742385</c:v>
                </c:pt>
                <c:pt idx="16">
                  <c:v>4.105561011715805</c:v>
                </c:pt>
              </c:numCache>
            </c:numRef>
          </c:val>
        </c:ser>
        <c:ser>
          <c:idx val="4"/>
          <c:order val="4"/>
          <c:tx>
            <c:strRef>
              <c:f>'graph reversed'!$H$6</c:f>
              <c:strCache>
                <c:ptCount val="1"/>
                <c:pt idx="0">
                  <c:v>Model 5</c:v>
                </c:pt>
              </c:strCache>
            </c:strRef>
          </c:tx>
          <c:spPr>
            <a:solidFill>
              <a:schemeClr val="tx1"/>
            </a:solidFill>
          </c:spPr>
          <c:cat>
            <c:strRef>
              <c:f>'graph reversed'!$B$7:$C$27</c:f>
              <c:strCache>
                <c:ptCount val="21"/>
                <c:pt idx="0">
                  <c:v>Higher salariat</c:v>
                </c:pt>
                <c:pt idx="1">
                  <c:v>Lower salariat</c:v>
                </c:pt>
                <c:pt idx="2">
                  <c:v>Intermediate</c:v>
                </c:pt>
                <c:pt idx="3">
                  <c:v>Petty Bourgeois</c:v>
                </c:pt>
                <c:pt idx="4">
                  <c:v>Lower supervisory and technical</c:v>
                </c:pt>
                <c:pt idx="5">
                  <c:v>Semi routine and routine</c:v>
                </c:pt>
                <c:pt idx="6">
                  <c:v>Never worked</c:v>
                </c:pt>
                <c:pt idx="8">
                  <c:v>Income quintile top</c:v>
                </c:pt>
                <c:pt idx="9">
                  <c:v>4</c:v>
                </c:pt>
                <c:pt idx="10">
                  <c:v>3</c:v>
                </c:pt>
                <c:pt idx="11">
                  <c:v>2</c:v>
                </c:pt>
                <c:pt idx="12">
                  <c:v>Income quintile bottom</c:v>
                </c:pt>
                <c:pt idx="14">
                  <c:v>Higher degree</c:v>
                </c:pt>
                <c:pt idx="15">
                  <c:v>First degree</c:v>
                </c:pt>
                <c:pt idx="16">
                  <c:v>A level or HE diploma</c:v>
                </c:pt>
                <c:pt idx="17">
                  <c:v>GCSE A-C</c:v>
                </c:pt>
                <c:pt idx="18">
                  <c:v>GCSE D-G</c:v>
                </c:pt>
                <c:pt idx="19">
                  <c:v>Vocational or other only</c:v>
                </c:pt>
                <c:pt idx="20">
                  <c:v>None</c:v>
                </c:pt>
              </c:strCache>
            </c:strRef>
          </c:cat>
          <c:val>
            <c:numRef>
              <c:f>'graph reversed'!$H$7:$H$27</c:f>
              <c:numCache>
                <c:formatCode>General</c:formatCode>
                <c:ptCount val="21"/>
                <c:pt idx="0">
                  <c:v>2.0001970815655596</c:v>
                </c:pt>
                <c:pt idx="1">
                  <c:v>1.7628855634137108</c:v>
                </c:pt>
                <c:pt idx="8">
                  <c:v>1.3673663664939639</c:v>
                </c:pt>
                <c:pt idx="14">
                  <c:v>4.4411155539845284</c:v>
                </c:pt>
                <c:pt idx="15">
                  <c:v>2.9381426056895039</c:v>
                </c:pt>
              </c:numCache>
            </c:numRef>
          </c:val>
        </c:ser>
        <c:axId val="75907072"/>
        <c:axId val="75908608"/>
      </c:barChart>
      <c:catAx>
        <c:axId val="75907072"/>
        <c:scaling>
          <c:orientation val="maxMin"/>
        </c:scaling>
        <c:axPos val="l"/>
        <c:tickLblPos val="nextTo"/>
        <c:spPr>
          <a:noFill/>
        </c:spPr>
        <c:crossAx val="75908608"/>
        <c:crosses val="autoZero"/>
        <c:auto val="1"/>
        <c:lblAlgn val="ctr"/>
        <c:lblOffset val="100"/>
      </c:catAx>
      <c:valAx>
        <c:axId val="75908608"/>
        <c:scaling>
          <c:orientation val="minMax"/>
        </c:scaling>
        <c:axPos val="t"/>
        <c:majorGridlines/>
        <c:numFmt formatCode="General" sourceLinked="1"/>
        <c:tickLblPos val="nextTo"/>
        <c:crossAx val="75907072"/>
        <c:crosses val="autoZero"/>
        <c:crossBetween val="between"/>
      </c:valAx>
      <c:spPr>
        <a:solidFill>
          <a:schemeClr val="bg1"/>
        </a:solidFill>
      </c:spPr>
    </c:plotArea>
    <c:legend>
      <c:legendPos val="r"/>
    </c:legend>
    <c:plotVisOnly val="1"/>
  </c:chart>
  <c:spPr>
    <a:solidFill>
      <a:schemeClr val="bg1"/>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3871B-730E-4DB6-BE92-4EF39149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22</Pages>
  <Words>14497</Words>
  <Characters>82635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96939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Sullivan</dc:creator>
  <cp:lastModifiedBy>Alice Sullivan</cp:lastModifiedBy>
  <cp:revision>10</cp:revision>
  <cp:lastPrinted>2012-09-11T14:46:00Z</cp:lastPrinted>
  <dcterms:created xsi:type="dcterms:W3CDTF">2012-08-28T15:52:00Z</dcterms:created>
  <dcterms:modified xsi:type="dcterms:W3CDTF">2012-11-01T13:16:00Z</dcterms:modified>
</cp:coreProperties>
</file>