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1D" w:rsidRPr="00825F45" w:rsidRDefault="00C14311" w:rsidP="005806B5">
      <w:pPr>
        <w:spacing w:after="0" w:line="240" w:lineRule="auto"/>
        <w:rPr>
          <w:rFonts w:asciiTheme="majorHAnsi" w:hAnsiTheme="majorHAnsi"/>
          <w:b/>
          <w:sz w:val="24"/>
          <w:szCs w:val="24"/>
        </w:rPr>
      </w:pPr>
      <w:r w:rsidRPr="00825F45">
        <w:rPr>
          <w:rFonts w:asciiTheme="majorHAnsi" w:hAnsiTheme="majorHAnsi"/>
          <w:b/>
          <w:sz w:val="24"/>
          <w:szCs w:val="24"/>
        </w:rPr>
        <w:t xml:space="preserve">Girls </w:t>
      </w:r>
      <w:proofErr w:type="gramStart"/>
      <w:r w:rsidR="0067752B" w:rsidRPr="00825F45">
        <w:rPr>
          <w:rFonts w:asciiTheme="majorHAnsi" w:hAnsiTheme="majorHAnsi"/>
          <w:b/>
          <w:sz w:val="24"/>
          <w:szCs w:val="24"/>
        </w:rPr>
        <w:t>claim</w:t>
      </w:r>
      <w:r w:rsidRPr="00825F45">
        <w:rPr>
          <w:rFonts w:asciiTheme="majorHAnsi" w:hAnsiTheme="majorHAnsi"/>
          <w:b/>
          <w:sz w:val="24"/>
          <w:szCs w:val="24"/>
        </w:rPr>
        <w:t>ing</w:t>
      </w:r>
      <w:r w:rsidR="0067752B" w:rsidRPr="00825F45">
        <w:rPr>
          <w:rFonts w:asciiTheme="majorHAnsi" w:hAnsiTheme="majorHAnsi"/>
          <w:b/>
          <w:sz w:val="24"/>
          <w:szCs w:val="24"/>
        </w:rPr>
        <w:t xml:space="preserve"> </w:t>
      </w:r>
      <w:r w:rsidRPr="00825F45">
        <w:rPr>
          <w:rFonts w:asciiTheme="majorHAnsi" w:hAnsiTheme="majorHAnsi"/>
          <w:b/>
          <w:sz w:val="24"/>
          <w:szCs w:val="24"/>
        </w:rPr>
        <w:t xml:space="preserve"> education</w:t>
      </w:r>
      <w:proofErr w:type="gramEnd"/>
      <w:r w:rsidR="00165A6F" w:rsidRPr="00825F45">
        <w:rPr>
          <w:rFonts w:asciiTheme="majorHAnsi" w:hAnsiTheme="majorHAnsi"/>
          <w:b/>
          <w:sz w:val="24"/>
          <w:szCs w:val="24"/>
        </w:rPr>
        <w:t xml:space="preserve"> rights</w:t>
      </w:r>
      <w:r w:rsidR="0067752B" w:rsidRPr="00825F45">
        <w:rPr>
          <w:rFonts w:asciiTheme="majorHAnsi" w:hAnsiTheme="majorHAnsi"/>
          <w:b/>
          <w:sz w:val="24"/>
          <w:szCs w:val="24"/>
        </w:rPr>
        <w:t>: Reflections on</w:t>
      </w:r>
      <w:r w:rsidRPr="00825F45">
        <w:rPr>
          <w:rFonts w:asciiTheme="majorHAnsi" w:hAnsiTheme="majorHAnsi"/>
          <w:b/>
          <w:sz w:val="24"/>
          <w:szCs w:val="24"/>
        </w:rPr>
        <w:t xml:space="preserve"> distribution,</w:t>
      </w:r>
      <w:r w:rsidR="00033667" w:rsidRPr="00825F45">
        <w:rPr>
          <w:rFonts w:asciiTheme="majorHAnsi" w:hAnsiTheme="majorHAnsi"/>
          <w:b/>
          <w:sz w:val="24"/>
          <w:szCs w:val="24"/>
        </w:rPr>
        <w:t xml:space="preserve"> empowerment</w:t>
      </w:r>
      <w:r w:rsidRPr="00825F45">
        <w:rPr>
          <w:rFonts w:asciiTheme="majorHAnsi" w:hAnsiTheme="majorHAnsi"/>
          <w:b/>
          <w:sz w:val="24"/>
          <w:szCs w:val="24"/>
        </w:rPr>
        <w:t xml:space="preserve"> and gender justice</w:t>
      </w:r>
      <w:r w:rsidR="00DD461D" w:rsidRPr="00825F45">
        <w:rPr>
          <w:rFonts w:asciiTheme="majorHAnsi" w:hAnsiTheme="majorHAnsi"/>
          <w:b/>
          <w:sz w:val="24"/>
          <w:szCs w:val="24"/>
        </w:rPr>
        <w:t xml:space="preserve"> in Northern Tanzania and Northern Nigeria</w:t>
      </w:r>
    </w:p>
    <w:p w:rsidR="00A043F7" w:rsidRPr="00825F45" w:rsidRDefault="00A043F7" w:rsidP="005806B5">
      <w:pPr>
        <w:spacing w:after="0" w:line="240" w:lineRule="auto"/>
        <w:rPr>
          <w:rFonts w:asciiTheme="majorHAnsi" w:hAnsiTheme="majorHAnsi"/>
          <w:b/>
          <w:sz w:val="24"/>
          <w:szCs w:val="24"/>
        </w:rPr>
      </w:pPr>
    </w:p>
    <w:p w:rsidR="00A043F7" w:rsidRDefault="00A043F7" w:rsidP="005806B5">
      <w:pPr>
        <w:spacing w:after="0" w:line="240" w:lineRule="auto"/>
        <w:rPr>
          <w:rFonts w:asciiTheme="majorHAnsi" w:hAnsiTheme="majorHAnsi"/>
          <w:b/>
          <w:sz w:val="24"/>
          <w:szCs w:val="24"/>
        </w:rPr>
      </w:pPr>
    </w:p>
    <w:p w:rsidR="004709FA" w:rsidRDefault="004709FA" w:rsidP="005806B5">
      <w:pPr>
        <w:spacing w:after="0" w:line="240" w:lineRule="auto"/>
        <w:rPr>
          <w:rFonts w:asciiTheme="majorHAnsi" w:hAnsiTheme="majorHAnsi"/>
          <w:b/>
          <w:sz w:val="24"/>
          <w:szCs w:val="24"/>
        </w:rPr>
      </w:pPr>
    </w:p>
    <w:p w:rsidR="008D434E" w:rsidRDefault="008D434E" w:rsidP="005806B5">
      <w:pPr>
        <w:spacing w:after="0" w:line="240" w:lineRule="auto"/>
        <w:rPr>
          <w:rFonts w:asciiTheme="majorHAnsi" w:hAnsiTheme="majorHAnsi"/>
          <w:b/>
          <w:i/>
          <w:sz w:val="24"/>
          <w:szCs w:val="24"/>
        </w:rPr>
      </w:pPr>
      <w:r>
        <w:rPr>
          <w:rFonts w:asciiTheme="majorHAnsi" w:hAnsiTheme="majorHAnsi"/>
          <w:b/>
          <w:i/>
          <w:sz w:val="24"/>
          <w:szCs w:val="24"/>
        </w:rPr>
        <w:t>Abstract</w:t>
      </w:r>
    </w:p>
    <w:p w:rsidR="008D434E" w:rsidRDefault="008D434E" w:rsidP="005806B5">
      <w:pPr>
        <w:spacing w:after="0" w:line="240" w:lineRule="auto"/>
        <w:rPr>
          <w:rFonts w:asciiTheme="majorHAnsi" w:hAnsiTheme="majorHAnsi"/>
          <w:b/>
          <w:i/>
          <w:sz w:val="24"/>
          <w:szCs w:val="24"/>
        </w:rPr>
      </w:pPr>
    </w:p>
    <w:p w:rsidR="00EE25D1" w:rsidRDefault="00EE25D1" w:rsidP="00EE25D1">
      <w:pPr>
        <w:spacing w:after="0" w:line="240" w:lineRule="auto"/>
        <w:rPr>
          <w:rFonts w:asciiTheme="majorHAnsi" w:hAnsiTheme="majorHAnsi"/>
          <w:sz w:val="24"/>
          <w:szCs w:val="24"/>
        </w:rPr>
      </w:pPr>
      <w:r>
        <w:rPr>
          <w:rFonts w:asciiTheme="majorHAnsi" w:hAnsiTheme="majorHAnsi"/>
          <w:sz w:val="24"/>
          <w:szCs w:val="24"/>
        </w:rPr>
        <w:t>The</w:t>
      </w:r>
      <w:r w:rsidRPr="00971B31">
        <w:rPr>
          <w:rFonts w:asciiTheme="majorHAnsi" w:hAnsiTheme="majorHAnsi"/>
          <w:sz w:val="24"/>
          <w:szCs w:val="24"/>
        </w:rPr>
        <w:t xml:space="preserve"> article</w:t>
      </w:r>
      <w:r>
        <w:rPr>
          <w:rFonts w:asciiTheme="majorHAnsi" w:hAnsiTheme="majorHAnsi"/>
          <w:sz w:val="24"/>
          <w:szCs w:val="24"/>
        </w:rPr>
        <w:t xml:space="preserve"> considers the </w:t>
      </w:r>
      <w:r w:rsidRPr="00971B31">
        <w:rPr>
          <w:rFonts w:asciiTheme="majorHAnsi" w:hAnsiTheme="majorHAnsi"/>
          <w:sz w:val="24"/>
          <w:szCs w:val="24"/>
        </w:rPr>
        <w:t>a</w:t>
      </w:r>
      <w:r>
        <w:rPr>
          <w:rFonts w:asciiTheme="majorHAnsi" w:hAnsiTheme="majorHAnsi"/>
          <w:sz w:val="24"/>
          <w:szCs w:val="24"/>
        </w:rPr>
        <w:t xml:space="preserve">nalytical connection between </w:t>
      </w:r>
      <w:r w:rsidRPr="00971B31">
        <w:rPr>
          <w:rFonts w:asciiTheme="majorHAnsi" w:hAnsiTheme="majorHAnsi"/>
          <w:sz w:val="24"/>
          <w:szCs w:val="24"/>
        </w:rPr>
        <w:t>two approaches</w:t>
      </w:r>
      <w:r>
        <w:rPr>
          <w:rFonts w:asciiTheme="majorHAnsi" w:hAnsiTheme="majorHAnsi"/>
          <w:sz w:val="24"/>
          <w:szCs w:val="24"/>
        </w:rPr>
        <w:t xml:space="preserve"> to </w:t>
      </w:r>
      <w:r w:rsidR="000A1A01">
        <w:rPr>
          <w:rFonts w:asciiTheme="majorHAnsi" w:hAnsiTheme="majorHAnsi"/>
          <w:sz w:val="24"/>
          <w:szCs w:val="24"/>
        </w:rPr>
        <w:t>discussing girls’</w:t>
      </w:r>
      <w:r>
        <w:rPr>
          <w:rFonts w:asciiTheme="majorHAnsi" w:hAnsiTheme="majorHAnsi"/>
          <w:sz w:val="24"/>
          <w:szCs w:val="24"/>
        </w:rPr>
        <w:t xml:space="preserve"> schooling and gender justice. One trend </w:t>
      </w:r>
      <w:r w:rsidRPr="00971B31">
        <w:rPr>
          <w:rFonts w:asciiTheme="majorHAnsi" w:hAnsiTheme="majorHAnsi"/>
          <w:sz w:val="24"/>
          <w:szCs w:val="24"/>
        </w:rPr>
        <w:t>consider</w:t>
      </w:r>
      <w:r>
        <w:rPr>
          <w:rFonts w:asciiTheme="majorHAnsi" w:hAnsiTheme="majorHAnsi"/>
          <w:sz w:val="24"/>
          <w:szCs w:val="24"/>
        </w:rPr>
        <w:t>s</w:t>
      </w:r>
      <w:r w:rsidRPr="00971B31">
        <w:rPr>
          <w:rFonts w:asciiTheme="majorHAnsi" w:hAnsiTheme="majorHAnsi"/>
          <w:sz w:val="24"/>
          <w:szCs w:val="24"/>
        </w:rPr>
        <w:t xml:space="preserve"> injustice</w:t>
      </w:r>
      <w:r>
        <w:rPr>
          <w:rFonts w:asciiTheme="majorHAnsi" w:hAnsiTheme="majorHAnsi"/>
          <w:sz w:val="24"/>
          <w:szCs w:val="24"/>
        </w:rPr>
        <w:t xml:space="preserve"> </w:t>
      </w:r>
      <w:r w:rsidRPr="00971B31">
        <w:rPr>
          <w:rFonts w:asciiTheme="majorHAnsi" w:hAnsiTheme="majorHAnsi"/>
          <w:sz w:val="24"/>
          <w:szCs w:val="24"/>
        </w:rPr>
        <w:t>primarily a</w:t>
      </w:r>
      <w:r>
        <w:rPr>
          <w:rFonts w:asciiTheme="majorHAnsi" w:hAnsiTheme="majorHAnsi"/>
          <w:sz w:val="24"/>
          <w:szCs w:val="24"/>
        </w:rPr>
        <w:t>s a</w:t>
      </w:r>
      <w:r w:rsidRPr="00971B31">
        <w:rPr>
          <w:rFonts w:asciiTheme="majorHAnsi" w:hAnsiTheme="majorHAnsi"/>
          <w:sz w:val="24"/>
          <w:szCs w:val="24"/>
        </w:rPr>
        <w:t xml:space="preserve"> question of inequalities in distribution</w:t>
      </w:r>
      <w:r>
        <w:rPr>
          <w:rFonts w:asciiTheme="majorHAnsi" w:hAnsiTheme="majorHAnsi"/>
          <w:sz w:val="24"/>
          <w:szCs w:val="24"/>
        </w:rPr>
        <w:t xml:space="preserve"> and</w:t>
      </w:r>
      <w:r w:rsidRPr="00971B31">
        <w:rPr>
          <w:rFonts w:asciiTheme="majorHAnsi" w:hAnsiTheme="majorHAnsi"/>
          <w:sz w:val="24"/>
          <w:szCs w:val="24"/>
        </w:rPr>
        <w:t xml:space="preserve"> raises few </w:t>
      </w:r>
      <w:r>
        <w:rPr>
          <w:rFonts w:asciiTheme="majorHAnsi" w:hAnsiTheme="majorHAnsi"/>
          <w:sz w:val="24"/>
          <w:szCs w:val="24"/>
        </w:rPr>
        <w:t>questions</w:t>
      </w:r>
      <w:r w:rsidRPr="00971B31">
        <w:rPr>
          <w:rFonts w:asciiTheme="majorHAnsi" w:hAnsiTheme="majorHAnsi"/>
          <w:sz w:val="24"/>
          <w:szCs w:val="24"/>
        </w:rPr>
        <w:t xml:space="preserve"> about the nature of the gender norms associated with inequitable</w:t>
      </w:r>
      <w:r>
        <w:rPr>
          <w:rFonts w:asciiTheme="majorHAnsi" w:hAnsiTheme="majorHAnsi"/>
          <w:sz w:val="24"/>
          <w:szCs w:val="24"/>
        </w:rPr>
        <w:t xml:space="preserve"> distribution. A second approach looks at </w:t>
      </w:r>
      <w:r w:rsidRPr="00971B31">
        <w:rPr>
          <w:rFonts w:asciiTheme="majorHAnsi" w:hAnsiTheme="majorHAnsi"/>
          <w:sz w:val="24"/>
          <w:szCs w:val="24"/>
        </w:rPr>
        <w:t>issue</w:t>
      </w:r>
      <w:r>
        <w:rPr>
          <w:rFonts w:asciiTheme="majorHAnsi" w:hAnsiTheme="majorHAnsi"/>
          <w:sz w:val="24"/>
          <w:szCs w:val="24"/>
        </w:rPr>
        <w:t>s</w:t>
      </w:r>
      <w:r w:rsidRPr="00971B31">
        <w:rPr>
          <w:rFonts w:asciiTheme="majorHAnsi" w:hAnsiTheme="majorHAnsi"/>
          <w:sz w:val="24"/>
          <w:szCs w:val="24"/>
        </w:rPr>
        <w:t xml:space="preserve"> of empowerment</w:t>
      </w:r>
      <w:r>
        <w:rPr>
          <w:rFonts w:asciiTheme="majorHAnsi" w:hAnsiTheme="majorHAnsi"/>
          <w:sz w:val="24"/>
          <w:szCs w:val="24"/>
        </w:rPr>
        <w:t xml:space="preserve">, </w:t>
      </w:r>
      <w:r w:rsidRPr="00971B31">
        <w:rPr>
          <w:rFonts w:asciiTheme="majorHAnsi" w:hAnsiTheme="majorHAnsi"/>
          <w:sz w:val="24"/>
          <w:szCs w:val="24"/>
        </w:rPr>
        <w:t>the ways in which structura</w:t>
      </w:r>
      <w:r>
        <w:rPr>
          <w:rFonts w:asciiTheme="majorHAnsi" w:hAnsiTheme="majorHAnsi"/>
          <w:sz w:val="24"/>
          <w:szCs w:val="24"/>
        </w:rPr>
        <w:t xml:space="preserve">l gendered inequalities in the </w:t>
      </w:r>
      <w:r w:rsidRPr="00971B31">
        <w:rPr>
          <w:rFonts w:asciiTheme="majorHAnsi" w:hAnsiTheme="majorHAnsi"/>
          <w:sz w:val="24"/>
          <w:szCs w:val="24"/>
        </w:rPr>
        <w:t>political economy and socio-c</w:t>
      </w:r>
      <w:r>
        <w:rPr>
          <w:rFonts w:asciiTheme="majorHAnsi" w:hAnsiTheme="majorHAnsi"/>
          <w:sz w:val="24"/>
          <w:szCs w:val="24"/>
        </w:rPr>
        <w:t>ultural formations constrain</w:t>
      </w:r>
      <w:r w:rsidRPr="00971B31">
        <w:rPr>
          <w:rFonts w:asciiTheme="majorHAnsi" w:hAnsiTheme="majorHAnsi"/>
          <w:sz w:val="24"/>
          <w:szCs w:val="24"/>
        </w:rPr>
        <w:t xml:space="preserve"> the capacity of girls inside and outside school to claim the </w:t>
      </w:r>
      <w:proofErr w:type="gramStart"/>
      <w:r w:rsidRPr="00971B31">
        <w:rPr>
          <w:rFonts w:asciiTheme="majorHAnsi" w:hAnsiTheme="majorHAnsi"/>
          <w:sz w:val="24"/>
          <w:szCs w:val="24"/>
        </w:rPr>
        <w:t>rights promised by education</w:t>
      </w:r>
      <w:r>
        <w:rPr>
          <w:rFonts w:asciiTheme="majorHAnsi" w:hAnsiTheme="majorHAnsi"/>
          <w:sz w:val="24"/>
          <w:szCs w:val="24"/>
        </w:rPr>
        <w:t>, but tends</w:t>
      </w:r>
      <w:proofErr w:type="gramEnd"/>
      <w:r>
        <w:rPr>
          <w:rFonts w:asciiTheme="majorHAnsi" w:hAnsiTheme="majorHAnsi"/>
          <w:sz w:val="24"/>
          <w:szCs w:val="24"/>
        </w:rPr>
        <w:t xml:space="preserve"> to underplay issues of distribution</w:t>
      </w:r>
      <w:r w:rsidRPr="00971B31">
        <w:rPr>
          <w:rFonts w:asciiTheme="majorHAnsi" w:hAnsiTheme="majorHAnsi"/>
          <w:sz w:val="24"/>
          <w:szCs w:val="24"/>
        </w:rPr>
        <w:t>.</w:t>
      </w:r>
      <w:r w:rsidR="000C0D3E">
        <w:rPr>
          <w:rFonts w:asciiTheme="majorHAnsi" w:hAnsiTheme="majorHAnsi"/>
          <w:sz w:val="24"/>
          <w:szCs w:val="24"/>
        </w:rPr>
        <w:t xml:space="preserve">  The article considers what the relationship between these two approaches to gender justice might be though a detailed discussion of baseline data collected in </w:t>
      </w:r>
      <w:r w:rsidR="000A1A01">
        <w:rPr>
          <w:rFonts w:asciiTheme="majorHAnsi" w:hAnsiTheme="majorHAnsi"/>
          <w:sz w:val="24"/>
          <w:szCs w:val="24"/>
        </w:rPr>
        <w:t>2008 for</w:t>
      </w:r>
      <w:r w:rsidR="000C0D3E">
        <w:rPr>
          <w:rFonts w:asciiTheme="majorHAnsi" w:hAnsiTheme="majorHAnsi"/>
          <w:sz w:val="24"/>
          <w:szCs w:val="24"/>
        </w:rPr>
        <w:t xml:space="preserve"> the</w:t>
      </w:r>
      <w:r>
        <w:rPr>
          <w:rFonts w:asciiTheme="majorHAnsi" w:hAnsiTheme="majorHAnsi"/>
          <w:sz w:val="24"/>
          <w:szCs w:val="24"/>
        </w:rPr>
        <w:t xml:space="preserve"> NGO led TEGINT (Transforming education for</w:t>
      </w:r>
      <w:r w:rsidR="000C0D3E">
        <w:rPr>
          <w:rFonts w:asciiTheme="majorHAnsi" w:hAnsiTheme="majorHAnsi"/>
          <w:sz w:val="24"/>
          <w:szCs w:val="24"/>
        </w:rPr>
        <w:t xml:space="preserve"> girls in Nigeria and Tanzania)</w:t>
      </w:r>
      <w:r w:rsidR="000A1A01">
        <w:rPr>
          <w:rFonts w:asciiTheme="majorHAnsi" w:hAnsiTheme="majorHAnsi"/>
          <w:sz w:val="24"/>
          <w:szCs w:val="24"/>
        </w:rPr>
        <w:t xml:space="preserve"> project</w:t>
      </w:r>
      <w:r w:rsidR="000C0D3E">
        <w:rPr>
          <w:rFonts w:asciiTheme="majorHAnsi" w:hAnsiTheme="majorHAnsi"/>
          <w:sz w:val="24"/>
          <w:szCs w:val="24"/>
        </w:rPr>
        <w:t>. Girls’ identification of the obstacles to claiming education rights and possible solutions are used as proxies for empowerment, while different features of distribution are examined with regard to gender parity in access and progression, governance and management, and teacher qualification</w:t>
      </w:r>
      <w:r w:rsidR="000A1A01">
        <w:rPr>
          <w:rFonts w:asciiTheme="majorHAnsi" w:hAnsiTheme="majorHAnsi"/>
          <w:sz w:val="24"/>
          <w:szCs w:val="24"/>
        </w:rPr>
        <w:t>s</w:t>
      </w:r>
      <w:r w:rsidR="000C0D3E">
        <w:rPr>
          <w:rFonts w:asciiTheme="majorHAnsi" w:hAnsiTheme="majorHAnsi"/>
          <w:sz w:val="24"/>
          <w:szCs w:val="24"/>
        </w:rPr>
        <w:t>.   Quantitative data based on responses to a survey allows for</w:t>
      </w:r>
      <w:r>
        <w:rPr>
          <w:rFonts w:asciiTheme="majorHAnsi" w:hAnsiTheme="majorHAnsi"/>
          <w:sz w:val="24"/>
          <w:szCs w:val="24"/>
        </w:rPr>
        <w:t xml:space="preserve"> correlation between aspects of distribut</w:t>
      </w:r>
      <w:r w:rsidR="000C0D3E">
        <w:rPr>
          <w:rFonts w:asciiTheme="majorHAnsi" w:hAnsiTheme="majorHAnsi"/>
          <w:sz w:val="24"/>
          <w:szCs w:val="24"/>
        </w:rPr>
        <w:t>ion and empowerment to be co</w:t>
      </w:r>
      <w:r w:rsidR="00E72A45">
        <w:rPr>
          <w:rFonts w:asciiTheme="majorHAnsi" w:hAnsiTheme="majorHAnsi"/>
          <w:sz w:val="24"/>
          <w:szCs w:val="24"/>
        </w:rPr>
        <w:t>n</w:t>
      </w:r>
      <w:r w:rsidR="000C0D3E">
        <w:rPr>
          <w:rFonts w:asciiTheme="majorHAnsi" w:hAnsiTheme="majorHAnsi"/>
          <w:sz w:val="24"/>
          <w:szCs w:val="24"/>
        </w:rPr>
        <w:t>sidered</w:t>
      </w:r>
      <w:r w:rsidR="000A1A01">
        <w:rPr>
          <w:rFonts w:asciiTheme="majorHAnsi" w:hAnsiTheme="majorHAnsi"/>
          <w:sz w:val="24"/>
          <w:szCs w:val="24"/>
        </w:rPr>
        <w:t xml:space="preserve"> across different contexts</w:t>
      </w:r>
      <w:r>
        <w:rPr>
          <w:rFonts w:asciiTheme="majorHAnsi" w:hAnsiTheme="majorHAnsi"/>
          <w:sz w:val="24"/>
          <w:szCs w:val="24"/>
        </w:rPr>
        <w:t xml:space="preserve">. </w:t>
      </w:r>
      <w:r w:rsidR="000C0D3E" w:rsidRPr="00E72A45">
        <w:rPr>
          <w:rFonts w:asciiTheme="majorHAnsi" w:hAnsiTheme="majorHAnsi"/>
          <w:sz w:val="24"/>
          <w:szCs w:val="24"/>
        </w:rPr>
        <w:t>T</w:t>
      </w:r>
      <w:r w:rsidRPr="00E72A45">
        <w:rPr>
          <w:rFonts w:asciiTheme="majorHAnsi" w:hAnsiTheme="majorHAnsi"/>
          <w:sz w:val="24"/>
          <w:szCs w:val="24"/>
        </w:rPr>
        <w:t>he strongest association</w:t>
      </w:r>
      <w:r w:rsidR="000C0D3E" w:rsidRPr="00E72A45">
        <w:rPr>
          <w:rFonts w:asciiTheme="majorHAnsi" w:hAnsiTheme="majorHAnsi"/>
          <w:sz w:val="24"/>
          <w:szCs w:val="24"/>
        </w:rPr>
        <w:t xml:space="preserve"> between empowerment and distribution</w:t>
      </w:r>
      <w:r w:rsidRPr="00E72A45">
        <w:rPr>
          <w:rFonts w:asciiTheme="majorHAnsi" w:hAnsiTheme="majorHAnsi"/>
          <w:sz w:val="24"/>
          <w:szCs w:val="24"/>
        </w:rPr>
        <w:t xml:space="preserve"> is</w:t>
      </w:r>
      <w:r w:rsidR="000C0D3E" w:rsidRPr="00E72A45">
        <w:rPr>
          <w:rFonts w:asciiTheme="majorHAnsi" w:hAnsiTheme="majorHAnsi"/>
          <w:sz w:val="24"/>
          <w:szCs w:val="24"/>
        </w:rPr>
        <w:t xml:space="preserve"> found</w:t>
      </w:r>
      <w:r w:rsidRPr="00E72A45">
        <w:rPr>
          <w:rFonts w:asciiTheme="majorHAnsi" w:hAnsiTheme="majorHAnsi"/>
          <w:sz w:val="24"/>
          <w:szCs w:val="24"/>
        </w:rPr>
        <w:t xml:space="preserve"> with</w:t>
      </w:r>
      <w:r w:rsidR="000C0D3E" w:rsidRPr="00E72A45">
        <w:rPr>
          <w:rFonts w:asciiTheme="majorHAnsi" w:hAnsiTheme="majorHAnsi"/>
          <w:sz w:val="24"/>
          <w:szCs w:val="24"/>
        </w:rPr>
        <w:t xml:space="preserve"> regard</w:t>
      </w:r>
      <w:r w:rsidR="000A1A01">
        <w:rPr>
          <w:rFonts w:asciiTheme="majorHAnsi" w:hAnsiTheme="majorHAnsi"/>
          <w:sz w:val="24"/>
          <w:szCs w:val="24"/>
        </w:rPr>
        <w:t xml:space="preserve"> </w:t>
      </w:r>
      <w:r w:rsidR="000C0D3E" w:rsidRPr="00E72A45">
        <w:rPr>
          <w:rFonts w:asciiTheme="majorHAnsi" w:hAnsiTheme="majorHAnsi"/>
          <w:sz w:val="24"/>
          <w:szCs w:val="24"/>
        </w:rPr>
        <w:t>to</w:t>
      </w:r>
      <w:r w:rsidRPr="00E72A45">
        <w:rPr>
          <w:rFonts w:asciiTheme="majorHAnsi" w:hAnsiTheme="majorHAnsi"/>
          <w:sz w:val="24"/>
          <w:szCs w:val="24"/>
        </w:rPr>
        <w:t xml:space="preserve"> the levels of teachers’ qualification</w:t>
      </w:r>
      <w:r w:rsidR="000A1A01">
        <w:rPr>
          <w:rFonts w:asciiTheme="majorHAnsi" w:hAnsiTheme="majorHAnsi"/>
          <w:sz w:val="24"/>
          <w:szCs w:val="24"/>
        </w:rPr>
        <w:t>s</w:t>
      </w:r>
      <w:r w:rsidRPr="00E72A45">
        <w:rPr>
          <w:rFonts w:asciiTheme="majorHAnsi" w:hAnsiTheme="majorHAnsi"/>
          <w:sz w:val="24"/>
          <w:szCs w:val="24"/>
        </w:rPr>
        <w:t>, although there is not sufficient data to explain the reasons for this.</w:t>
      </w:r>
      <w:r>
        <w:rPr>
          <w:rFonts w:asciiTheme="majorHAnsi" w:hAnsiTheme="majorHAnsi"/>
          <w:sz w:val="24"/>
          <w:szCs w:val="24"/>
        </w:rPr>
        <w:t xml:space="preserve">   The conclusion highlights</w:t>
      </w:r>
      <w:r w:rsidR="000C0D3E">
        <w:rPr>
          <w:rFonts w:asciiTheme="majorHAnsi" w:hAnsiTheme="majorHAnsi"/>
          <w:sz w:val="24"/>
          <w:szCs w:val="24"/>
        </w:rPr>
        <w:t xml:space="preserve"> the importance of contextual factors in understanding the relationships between distribution and empowerment evident from the data and</w:t>
      </w:r>
      <w:r>
        <w:rPr>
          <w:rFonts w:asciiTheme="majorHAnsi" w:hAnsiTheme="majorHAnsi"/>
          <w:sz w:val="24"/>
          <w:szCs w:val="24"/>
        </w:rPr>
        <w:t xml:space="preserve"> the importance </w:t>
      </w:r>
      <w:r w:rsidR="000A1A01">
        <w:rPr>
          <w:rFonts w:asciiTheme="majorHAnsi" w:hAnsiTheme="majorHAnsi"/>
          <w:sz w:val="24"/>
          <w:szCs w:val="24"/>
        </w:rPr>
        <w:t>of designing</w:t>
      </w:r>
      <w:r w:rsidR="000C0D3E">
        <w:rPr>
          <w:rFonts w:asciiTheme="majorHAnsi" w:hAnsiTheme="majorHAnsi"/>
          <w:sz w:val="24"/>
          <w:szCs w:val="24"/>
        </w:rPr>
        <w:t xml:space="preserve"> future studies to look</w:t>
      </w:r>
      <w:r>
        <w:rPr>
          <w:rFonts w:asciiTheme="majorHAnsi" w:hAnsiTheme="majorHAnsi"/>
          <w:sz w:val="24"/>
          <w:szCs w:val="24"/>
        </w:rPr>
        <w:t xml:space="preserve"> more closely at the dynamic two way relationship of distributional and empowerment aspects of gender justice in education</w:t>
      </w:r>
      <w:r w:rsidRPr="00971B31">
        <w:rPr>
          <w:rFonts w:asciiTheme="majorHAnsi" w:hAnsiTheme="majorHAnsi"/>
          <w:sz w:val="24"/>
          <w:szCs w:val="24"/>
        </w:rPr>
        <w:t xml:space="preserve">. </w:t>
      </w:r>
    </w:p>
    <w:p w:rsidR="00EE25D1" w:rsidRPr="00B3794B" w:rsidRDefault="00EE25D1" w:rsidP="00EE25D1">
      <w:pPr>
        <w:spacing w:after="0" w:line="240" w:lineRule="auto"/>
        <w:rPr>
          <w:rFonts w:asciiTheme="majorHAnsi" w:hAnsiTheme="majorHAnsi"/>
          <w:sz w:val="24"/>
          <w:szCs w:val="24"/>
        </w:rPr>
      </w:pPr>
    </w:p>
    <w:p w:rsidR="00EE25D1" w:rsidRPr="008611E5" w:rsidRDefault="00EE25D1" w:rsidP="00EE25D1">
      <w:pPr>
        <w:spacing w:after="0" w:line="240" w:lineRule="auto"/>
        <w:rPr>
          <w:rFonts w:asciiTheme="majorHAnsi" w:hAnsiTheme="majorHAnsi"/>
          <w:sz w:val="24"/>
          <w:szCs w:val="24"/>
        </w:rPr>
      </w:pPr>
      <w:r>
        <w:rPr>
          <w:rFonts w:asciiTheme="majorHAnsi" w:hAnsiTheme="majorHAnsi"/>
          <w:i/>
          <w:sz w:val="24"/>
          <w:szCs w:val="24"/>
        </w:rPr>
        <w:t xml:space="preserve">Keywords: </w:t>
      </w:r>
      <w:r>
        <w:rPr>
          <w:rFonts w:asciiTheme="majorHAnsi" w:hAnsiTheme="majorHAnsi"/>
          <w:sz w:val="24"/>
          <w:szCs w:val="24"/>
        </w:rPr>
        <w:t>gender, schooling, capabilities,</w:t>
      </w:r>
      <w:r w:rsidR="00EF095F">
        <w:rPr>
          <w:rFonts w:asciiTheme="majorHAnsi" w:hAnsiTheme="majorHAnsi"/>
          <w:sz w:val="24"/>
          <w:szCs w:val="24"/>
        </w:rPr>
        <w:t xml:space="preserve"> rights</w:t>
      </w:r>
      <w:proofErr w:type="gramStart"/>
      <w:r w:rsidR="00EF095F">
        <w:rPr>
          <w:rFonts w:asciiTheme="majorHAnsi" w:hAnsiTheme="majorHAnsi"/>
          <w:sz w:val="24"/>
          <w:szCs w:val="24"/>
        </w:rPr>
        <w:t xml:space="preserve">, </w:t>
      </w:r>
      <w:r>
        <w:rPr>
          <w:rFonts w:asciiTheme="majorHAnsi" w:hAnsiTheme="majorHAnsi"/>
          <w:sz w:val="24"/>
          <w:szCs w:val="24"/>
        </w:rPr>
        <w:t xml:space="preserve"> indicators</w:t>
      </w:r>
      <w:proofErr w:type="gramEnd"/>
      <w:r>
        <w:rPr>
          <w:rFonts w:asciiTheme="majorHAnsi" w:hAnsiTheme="majorHAnsi"/>
          <w:sz w:val="24"/>
          <w:szCs w:val="24"/>
        </w:rPr>
        <w:t>, Tanzania, Nigeria</w:t>
      </w:r>
    </w:p>
    <w:p w:rsidR="00EE25D1" w:rsidRPr="00A2242A" w:rsidRDefault="00EE25D1" w:rsidP="00EE25D1">
      <w:pPr>
        <w:spacing w:after="0" w:line="240" w:lineRule="auto"/>
        <w:rPr>
          <w:rFonts w:asciiTheme="majorHAnsi" w:hAnsiTheme="majorHAnsi"/>
          <w:sz w:val="24"/>
          <w:szCs w:val="24"/>
        </w:rPr>
      </w:pPr>
    </w:p>
    <w:p w:rsidR="00EE25D1" w:rsidRDefault="00EE25D1" w:rsidP="00EE25D1">
      <w:pPr>
        <w:spacing w:after="0" w:line="240" w:lineRule="auto"/>
        <w:rPr>
          <w:rFonts w:asciiTheme="majorHAnsi" w:hAnsiTheme="majorHAnsi"/>
          <w:b/>
          <w:i/>
          <w:sz w:val="24"/>
          <w:szCs w:val="24"/>
        </w:rPr>
      </w:pPr>
    </w:p>
    <w:p w:rsidR="008D434E" w:rsidRPr="00EE25D1" w:rsidRDefault="008D434E" w:rsidP="005806B5">
      <w:pPr>
        <w:spacing w:after="0" w:line="240" w:lineRule="auto"/>
        <w:rPr>
          <w:rFonts w:asciiTheme="majorHAnsi" w:hAnsiTheme="majorHAnsi"/>
          <w:sz w:val="24"/>
          <w:szCs w:val="24"/>
        </w:rPr>
      </w:pPr>
    </w:p>
    <w:p w:rsidR="008D434E" w:rsidRDefault="008D434E" w:rsidP="005806B5">
      <w:pPr>
        <w:spacing w:after="0" w:line="240" w:lineRule="auto"/>
        <w:rPr>
          <w:rFonts w:asciiTheme="majorHAnsi" w:hAnsiTheme="majorHAnsi"/>
          <w:b/>
          <w:i/>
          <w:sz w:val="24"/>
          <w:szCs w:val="24"/>
        </w:rPr>
      </w:pPr>
    </w:p>
    <w:p w:rsidR="008D434E" w:rsidRDefault="008D434E" w:rsidP="005806B5">
      <w:pPr>
        <w:spacing w:after="0" w:line="240" w:lineRule="auto"/>
        <w:rPr>
          <w:rFonts w:asciiTheme="majorHAnsi" w:hAnsiTheme="majorHAnsi"/>
          <w:b/>
          <w:i/>
          <w:sz w:val="24"/>
          <w:szCs w:val="24"/>
        </w:rPr>
      </w:pPr>
    </w:p>
    <w:p w:rsidR="004709FA" w:rsidRPr="004709FA" w:rsidRDefault="00C46926" w:rsidP="005806B5">
      <w:pPr>
        <w:spacing w:after="0" w:line="240" w:lineRule="auto"/>
        <w:rPr>
          <w:rFonts w:asciiTheme="majorHAnsi" w:hAnsiTheme="majorHAnsi"/>
          <w:b/>
          <w:i/>
          <w:sz w:val="24"/>
          <w:szCs w:val="24"/>
        </w:rPr>
      </w:pPr>
      <w:r w:rsidRPr="00C46926">
        <w:rPr>
          <w:rFonts w:asciiTheme="majorHAnsi" w:hAnsiTheme="majorHAnsi"/>
          <w:b/>
          <w:i/>
          <w:sz w:val="24"/>
          <w:szCs w:val="24"/>
        </w:rPr>
        <w:t>Introduction</w:t>
      </w:r>
    </w:p>
    <w:p w:rsidR="00971B31" w:rsidRPr="00825F45" w:rsidRDefault="00971B31" w:rsidP="005806B5">
      <w:pPr>
        <w:spacing w:after="0" w:line="240" w:lineRule="auto"/>
        <w:rPr>
          <w:rFonts w:asciiTheme="majorHAnsi" w:hAnsiTheme="majorHAnsi"/>
          <w:b/>
          <w:sz w:val="24"/>
          <w:szCs w:val="24"/>
        </w:rPr>
      </w:pPr>
    </w:p>
    <w:p w:rsidR="007A7373" w:rsidRPr="00825F45" w:rsidRDefault="006500FA" w:rsidP="005806B5">
      <w:pPr>
        <w:spacing w:after="0" w:line="240" w:lineRule="auto"/>
        <w:rPr>
          <w:rFonts w:asciiTheme="majorHAnsi" w:hAnsiTheme="majorHAnsi"/>
          <w:sz w:val="24"/>
          <w:szCs w:val="24"/>
        </w:rPr>
      </w:pPr>
      <w:r w:rsidRPr="00825F45">
        <w:rPr>
          <w:rFonts w:asciiTheme="majorHAnsi" w:hAnsiTheme="majorHAnsi"/>
          <w:sz w:val="24"/>
          <w:szCs w:val="24"/>
        </w:rPr>
        <w:t>The default position in</w:t>
      </w:r>
      <w:r w:rsidR="00D8062A" w:rsidRPr="00825F45">
        <w:rPr>
          <w:rFonts w:asciiTheme="majorHAnsi" w:hAnsiTheme="majorHAnsi"/>
          <w:sz w:val="24"/>
          <w:szCs w:val="24"/>
        </w:rPr>
        <w:t xml:space="preserve"> discussing gender in</w:t>
      </w:r>
      <w:r w:rsidRPr="00825F45">
        <w:rPr>
          <w:rFonts w:asciiTheme="majorHAnsi" w:hAnsiTheme="majorHAnsi"/>
          <w:sz w:val="24"/>
          <w:szCs w:val="24"/>
        </w:rPr>
        <w:t xml:space="preserve"> national and international education policy for many dec</w:t>
      </w:r>
      <w:r w:rsidR="00D8062A" w:rsidRPr="00825F45">
        <w:rPr>
          <w:rFonts w:asciiTheme="majorHAnsi" w:hAnsiTheme="majorHAnsi"/>
          <w:sz w:val="24"/>
          <w:szCs w:val="24"/>
        </w:rPr>
        <w:t>ades has been to consider</w:t>
      </w:r>
      <w:r w:rsidRPr="00825F45">
        <w:rPr>
          <w:rFonts w:asciiTheme="majorHAnsi" w:hAnsiTheme="majorHAnsi"/>
          <w:sz w:val="24"/>
          <w:szCs w:val="24"/>
        </w:rPr>
        <w:t xml:space="preserve"> injustice</w:t>
      </w:r>
      <w:r w:rsidR="000929B6" w:rsidRPr="00825F45">
        <w:rPr>
          <w:rFonts w:asciiTheme="majorHAnsi" w:hAnsiTheme="majorHAnsi"/>
          <w:sz w:val="24"/>
          <w:szCs w:val="24"/>
        </w:rPr>
        <w:t xml:space="preserve"> </w:t>
      </w:r>
      <w:r w:rsidR="003E4122" w:rsidRPr="00825F45">
        <w:rPr>
          <w:rFonts w:asciiTheme="majorHAnsi" w:hAnsiTheme="majorHAnsi"/>
          <w:sz w:val="24"/>
          <w:szCs w:val="24"/>
        </w:rPr>
        <w:t>primarily a</w:t>
      </w:r>
      <w:r w:rsidR="000929B6" w:rsidRPr="00825F45">
        <w:rPr>
          <w:rFonts w:asciiTheme="majorHAnsi" w:hAnsiTheme="majorHAnsi"/>
          <w:sz w:val="24"/>
          <w:szCs w:val="24"/>
        </w:rPr>
        <w:t>s a</w:t>
      </w:r>
      <w:r w:rsidR="003E4122" w:rsidRPr="00825F45">
        <w:rPr>
          <w:rFonts w:asciiTheme="majorHAnsi" w:hAnsiTheme="majorHAnsi"/>
          <w:sz w:val="24"/>
          <w:szCs w:val="24"/>
        </w:rPr>
        <w:t xml:space="preserve"> question of </w:t>
      </w:r>
      <w:r w:rsidR="00F665FA" w:rsidRPr="00825F45">
        <w:rPr>
          <w:rFonts w:asciiTheme="majorHAnsi" w:hAnsiTheme="majorHAnsi"/>
          <w:sz w:val="24"/>
          <w:szCs w:val="24"/>
        </w:rPr>
        <w:t>inequalities in</w:t>
      </w:r>
      <w:r w:rsidR="00D8062A" w:rsidRPr="00825F45">
        <w:rPr>
          <w:rFonts w:asciiTheme="majorHAnsi" w:hAnsiTheme="majorHAnsi"/>
          <w:sz w:val="24"/>
          <w:szCs w:val="24"/>
        </w:rPr>
        <w:t xml:space="preserve"> </w:t>
      </w:r>
      <w:r w:rsidR="003E4122" w:rsidRPr="00825F45">
        <w:rPr>
          <w:rFonts w:asciiTheme="majorHAnsi" w:hAnsiTheme="majorHAnsi"/>
          <w:sz w:val="24"/>
          <w:szCs w:val="24"/>
        </w:rPr>
        <w:t>distribution</w:t>
      </w:r>
      <w:r w:rsidR="00C86EA2" w:rsidRPr="00825F45">
        <w:rPr>
          <w:rFonts w:asciiTheme="majorHAnsi" w:hAnsiTheme="majorHAnsi"/>
          <w:sz w:val="24"/>
          <w:szCs w:val="24"/>
        </w:rPr>
        <w:t>.</w:t>
      </w:r>
      <w:r w:rsidR="00296722" w:rsidRPr="00825F45">
        <w:rPr>
          <w:rFonts w:asciiTheme="majorHAnsi" w:hAnsiTheme="majorHAnsi"/>
          <w:sz w:val="24"/>
          <w:szCs w:val="24"/>
        </w:rPr>
        <w:t xml:space="preserve"> </w:t>
      </w:r>
      <w:r w:rsidR="00F665FA" w:rsidRPr="00825F45">
        <w:rPr>
          <w:rFonts w:asciiTheme="majorHAnsi" w:hAnsiTheme="majorHAnsi"/>
          <w:sz w:val="24"/>
          <w:szCs w:val="24"/>
        </w:rPr>
        <w:t xml:space="preserve"> This approach implicitly raises</w:t>
      </w:r>
      <w:r w:rsidR="00D8062A" w:rsidRPr="00825F45">
        <w:rPr>
          <w:rFonts w:asciiTheme="majorHAnsi" w:hAnsiTheme="majorHAnsi"/>
          <w:sz w:val="24"/>
          <w:szCs w:val="24"/>
        </w:rPr>
        <w:t xml:space="preserve"> few </w:t>
      </w:r>
      <w:r w:rsidR="006C40F7" w:rsidRPr="00825F45">
        <w:rPr>
          <w:rFonts w:asciiTheme="majorHAnsi" w:hAnsiTheme="majorHAnsi"/>
          <w:sz w:val="24"/>
          <w:szCs w:val="24"/>
        </w:rPr>
        <w:t xml:space="preserve">questions </w:t>
      </w:r>
      <w:r w:rsidR="00D8062A" w:rsidRPr="00825F45">
        <w:rPr>
          <w:rFonts w:asciiTheme="majorHAnsi" w:hAnsiTheme="majorHAnsi"/>
          <w:sz w:val="24"/>
          <w:szCs w:val="24"/>
        </w:rPr>
        <w:t>about the nature of the gender norms associated with in</w:t>
      </w:r>
      <w:r w:rsidR="00F665FA" w:rsidRPr="00825F45">
        <w:rPr>
          <w:rFonts w:asciiTheme="majorHAnsi" w:hAnsiTheme="majorHAnsi"/>
          <w:sz w:val="24"/>
          <w:szCs w:val="24"/>
        </w:rPr>
        <w:t>equitable distribution, and gives</w:t>
      </w:r>
      <w:r w:rsidR="00D8062A" w:rsidRPr="00825F45">
        <w:rPr>
          <w:rFonts w:asciiTheme="majorHAnsi" w:hAnsiTheme="majorHAnsi"/>
          <w:sz w:val="24"/>
          <w:szCs w:val="24"/>
        </w:rPr>
        <w:t xml:space="preserve"> little attention to the issue of empowerment.</w:t>
      </w:r>
      <w:r w:rsidR="000929B6" w:rsidRPr="00825F45">
        <w:rPr>
          <w:rFonts w:asciiTheme="majorHAnsi" w:hAnsiTheme="majorHAnsi"/>
          <w:sz w:val="24"/>
          <w:szCs w:val="24"/>
        </w:rPr>
        <w:t xml:space="preserve"> Partly </w:t>
      </w:r>
      <w:r w:rsidR="00EC6606" w:rsidRPr="00825F45">
        <w:rPr>
          <w:rFonts w:asciiTheme="majorHAnsi" w:hAnsiTheme="majorHAnsi"/>
          <w:sz w:val="24"/>
          <w:szCs w:val="24"/>
        </w:rPr>
        <w:t>as a critique o</w:t>
      </w:r>
      <w:r w:rsidR="000929B6" w:rsidRPr="00825F45">
        <w:rPr>
          <w:rFonts w:asciiTheme="majorHAnsi" w:hAnsiTheme="majorHAnsi"/>
          <w:sz w:val="24"/>
          <w:szCs w:val="24"/>
        </w:rPr>
        <w:t xml:space="preserve">f this, a literature developed </w:t>
      </w:r>
      <w:r w:rsidR="00EC6606" w:rsidRPr="00825F45">
        <w:rPr>
          <w:rFonts w:asciiTheme="majorHAnsi" w:hAnsiTheme="majorHAnsi"/>
          <w:sz w:val="24"/>
          <w:szCs w:val="24"/>
        </w:rPr>
        <w:t xml:space="preserve">that stressed the significance of examining the ways in which structural gendered inequalities in the </w:t>
      </w:r>
      <w:r w:rsidR="00D8062A" w:rsidRPr="00825F45">
        <w:rPr>
          <w:rFonts w:asciiTheme="majorHAnsi" w:hAnsiTheme="majorHAnsi"/>
          <w:sz w:val="24"/>
          <w:szCs w:val="24"/>
        </w:rPr>
        <w:t xml:space="preserve"> </w:t>
      </w:r>
      <w:r w:rsidR="00EC6606" w:rsidRPr="00825F45">
        <w:rPr>
          <w:rFonts w:asciiTheme="majorHAnsi" w:hAnsiTheme="majorHAnsi"/>
          <w:sz w:val="24"/>
          <w:szCs w:val="24"/>
        </w:rPr>
        <w:t>political economy and socio-cultural formations constrained the capacity of girls</w:t>
      </w:r>
      <w:r w:rsidR="005D7C88" w:rsidRPr="00825F45">
        <w:rPr>
          <w:rFonts w:asciiTheme="majorHAnsi" w:hAnsiTheme="majorHAnsi"/>
          <w:sz w:val="24"/>
          <w:szCs w:val="24"/>
        </w:rPr>
        <w:t xml:space="preserve"> inside and outside school</w:t>
      </w:r>
      <w:r w:rsidR="00EC6606" w:rsidRPr="00825F45">
        <w:rPr>
          <w:rFonts w:asciiTheme="majorHAnsi" w:hAnsiTheme="majorHAnsi"/>
          <w:sz w:val="24"/>
          <w:szCs w:val="24"/>
        </w:rPr>
        <w:t xml:space="preserve"> to claim the rights promised by education. This approach, in highligh</w:t>
      </w:r>
      <w:r w:rsidR="006B00D6" w:rsidRPr="00825F45">
        <w:rPr>
          <w:rFonts w:asciiTheme="majorHAnsi" w:hAnsiTheme="majorHAnsi"/>
          <w:sz w:val="24"/>
          <w:szCs w:val="24"/>
        </w:rPr>
        <w:t xml:space="preserve">ting inequitable gender norms, </w:t>
      </w:r>
      <w:r w:rsidR="00EC6606" w:rsidRPr="00825F45">
        <w:rPr>
          <w:rFonts w:asciiTheme="majorHAnsi" w:hAnsiTheme="majorHAnsi"/>
          <w:sz w:val="24"/>
          <w:szCs w:val="24"/>
        </w:rPr>
        <w:t>often gave insufficient attention to issues of distribution</w:t>
      </w:r>
      <w:r w:rsidR="000B39C6" w:rsidRPr="00825F45">
        <w:rPr>
          <w:rFonts w:asciiTheme="majorHAnsi" w:hAnsiTheme="majorHAnsi"/>
          <w:sz w:val="24"/>
          <w:szCs w:val="24"/>
        </w:rPr>
        <w:t>, particularly what girls gained from schooling, despite the persistence of gender inequalities</w:t>
      </w:r>
      <w:r w:rsidR="00EC6606" w:rsidRPr="00825F45">
        <w:rPr>
          <w:rFonts w:asciiTheme="majorHAnsi" w:hAnsiTheme="majorHAnsi"/>
          <w:sz w:val="24"/>
          <w:szCs w:val="24"/>
        </w:rPr>
        <w:t xml:space="preserve">.  </w:t>
      </w:r>
      <w:r w:rsidR="00B173B1" w:rsidRPr="00825F45">
        <w:rPr>
          <w:rFonts w:asciiTheme="majorHAnsi" w:hAnsiTheme="majorHAnsi"/>
          <w:sz w:val="24"/>
          <w:szCs w:val="24"/>
        </w:rPr>
        <w:t>This article</w:t>
      </w:r>
      <w:r w:rsidR="00EC6606" w:rsidRPr="00825F45">
        <w:rPr>
          <w:rFonts w:asciiTheme="majorHAnsi" w:hAnsiTheme="majorHAnsi"/>
          <w:sz w:val="24"/>
          <w:szCs w:val="24"/>
        </w:rPr>
        <w:t xml:space="preserve"> explores the importance of attempting to build an </w:t>
      </w:r>
      <w:r w:rsidR="00EC6606" w:rsidRPr="00825F45">
        <w:rPr>
          <w:rFonts w:asciiTheme="majorHAnsi" w:hAnsiTheme="majorHAnsi"/>
          <w:sz w:val="24"/>
          <w:szCs w:val="24"/>
        </w:rPr>
        <w:lastRenderedPageBreak/>
        <w:t>analytical connection between the two approaches, so that the ways in which</w:t>
      </w:r>
      <w:r w:rsidR="00B81EE3" w:rsidRPr="00825F45">
        <w:rPr>
          <w:rFonts w:asciiTheme="majorHAnsi" w:hAnsiTheme="majorHAnsi"/>
          <w:sz w:val="24"/>
          <w:szCs w:val="24"/>
        </w:rPr>
        <w:t xml:space="preserve"> </w:t>
      </w:r>
      <w:r w:rsidR="000B39C6" w:rsidRPr="00825F45">
        <w:rPr>
          <w:rFonts w:asciiTheme="majorHAnsi" w:hAnsiTheme="majorHAnsi"/>
          <w:sz w:val="24"/>
          <w:szCs w:val="24"/>
        </w:rPr>
        <w:t>education</w:t>
      </w:r>
      <w:r w:rsidR="00165A6F" w:rsidRPr="00825F45">
        <w:rPr>
          <w:rFonts w:asciiTheme="majorHAnsi" w:hAnsiTheme="majorHAnsi"/>
          <w:sz w:val="24"/>
          <w:szCs w:val="24"/>
        </w:rPr>
        <w:t xml:space="preserve"> rights </w:t>
      </w:r>
      <w:r w:rsidR="00B81EE3" w:rsidRPr="00825F45">
        <w:rPr>
          <w:rFonts w:asciiTheme="majorHAnsi" w:hAnsiTheme="majorHAnsi"/>
          <w:sz w:val="24"/>
          <w:szCs w:val="24"/>
        </w:rPr>
        <w:t>are claimed and realized</w:t>
      </w:r>
      <w:r w:rsidR="000B39C6" w:rsidRPr="00825F45">
        <w:rPr>
          <w:rFonts w:asciiTheme="majorHAnsi" w:hAnsiTheme="majorHAnsi"/>
          <w:sz w:val="24"/>
          <w:szCs w:val="24"/>
        </w:rPr>
        <w:t>, in contexts of uneven achievement of gender equality,</w:t>
      </w:r>
      <w:r w:rsidR="008A5C5E" w:rsidRPr="00825F45">
        <w:rPr>
          <w:rFonts w:asciiTheme="majorHAnsi" w:hAnsiTheme="majorHAnsi"/>
          <w:sz w:val="24"/>
          <w:szCs w:val="24"/>
        </w:rPr>
        <w:t xml:space="preserve"> </w:t>
      </w:r>
      <w:r w:rsidR="00B81EE3" w:rsidRPr="00825F45">
        <w:rPr>
          <w:rFonts w:asciiTheme="majorHAnsi" w:hAnsiTheme="majorHAnsi"/>
          <w:sz w:val="24"/>
          <w:szCs w:val="24"/>
        </w:rPr>
        <w:t xml:space="preserve">is better understood. </w:t>
      </w:r>
    </w:p>
    <w:p w:rsidR="00971B31" w:rsidRPr="00825F45" w:rsidRDefault="00971B31" w:rsidP="005806B5">
      <w:pPr>
        <w:spacing w:after="0" w:line="240" w:lineRule="auto"/>
        <w:rPr>
          <w:rFonts w:asciiTheme="majorHAnsi" w:hAnsiTheme="majorHAnsi"/>
          <w:sz w:val="24"/>
          <w:szCs w:val="24"/>
        </w:rPr>
      </w:pPr>
    </w:p>
    <w:p w:rsidR="00D8062A" w:rsidRPr="00825F45" w:rsidRDefault="004D7CB0" w:rsidP="005806B5">
      <w:pPr>
        <w:spacing w:after="0" w:line="240" w:lineRule="auto"/>
        <w:rPr>
          <w:rFonts w:asciiTheme="majorHAnsi" w:hAnsiTheme="majorHAnsi"/>
          <w:sz w:val="24"/>
          <w:szCs w:val="24"/>
        </w:rPr>
      </w:pPr>
      <w:r w:rsidRPr="00825F45">
        <w:rPr>
          <w:rFonts w:asciiTheme="majorHAnsi" w:hAnsiTheme="majorHAnsi"/>
          <w:sz w:val="24"/>
          <w:szCs w:val="24"/>
        </w:rPr>
        <w:t xml:space="preserve">The first part  surveys some discussion in  the literature on </w:t>
      </w:r>
      <w:r w:rsidR="00881F83" w:rsidRPr="00825F45">
        <w:rPr>
          <w:rFonts w:asciiTheme="majorHAnsi" w:hAnsiTheme="majorHAnsi"/>
          <w:sz w:val="24"/>
          <w:szCs w:val="24"/>
        </w:rPr>
        <w:t xml:space="preserve"> gender, distribution, inequality and empowerment</w:t>
      </w:r>
      <w:r w:rsidR="007A7373" w:rsidRPr="00825F45">
        <w:rPr>
          <w:rFonts w:asciiTheme="majorHAnsi" w:hAnsiTheme="majorHAnsi"/>
          <w:sz w:val="24"/>
          <w:szCs w:val="24"/>
        </w:rPr>
        <w:t xml:space="preserve"> drawing out some of the tensions between approaches that stress the importance of </w:t>
      </w:r>
      <w:r w:rsidR="00C16DD6" w:rsidRPr="00825F45">
        <w:rPr>
          <w:rFonts w:asciiTheme="majorHAnsi" w:hAnsiTheme="majorHAnsi"/>
          <w:sz w:val="24"/>
          <w:szCs w:val="24"/>
        </w:rPr>
        <w:t xml:space="preserve"> access and </w:t>
      </w:r>
      <w:r w:rsidR="007A7373" w:rsidRPr="00825F45">
        <w:rPr>
          <w:rFonts w:asciiTheme="majorHAnsi" w:hAnsiTheme="majorHAnsi"/>
          <w:sz w:val="24"/>
          <w:szCs w:val="24"/>
        </w:rPr>
        <w:t>distribution and those</w:t>
      </w:r>
      <w:r w:rsidR="00981986" w:rsidRPr="00825F45">
        <w:rPr>
          <w:rFonts w:asciiTheme="majorHAnsi" w:hAnsiTheme="majorHAnsi"/>
          <w:sz w:val="24"/>
          <w:szCs w:val="24"/>
        </w:rPr>
        <w:t xml:space="preserve">, often concerned with features of </w:t>
      </w:r>
      <w:r w:rsidR="007A7373" w:rsidRPr="00825F45">
        <w:rPr>
          <w:rFonts w:asciiTheme="majorHAnsi" w:hAnsiTheme="majorHAnsi"/>
          <w:sz w:val="24"/>
          <w:szCs w:val="24"/>
        </w:rPr>
        <w:t xml:space="preserve"> </w:t>
      </w:r>
      <w:r w:rsidR="00981986" w:rsidRPr="00825F45">
        <w:rPr>
          <w:rFonts w:asciiTheme="majorHAnsi" w:hAnsiTheme="majorHAnsi"/>
          <w:sz w:val="24"/>
          <w:szCs w:val="24"/>
        </w:rPr>
        <w:t>empowerment</w:t>
      </w:r>
      <w:r w:rsidR="00D561D2" w:rsidRPr="00825F45">
        <w:rPr>
          <w:rFonts w:asciiTheme="majorHAnsi" w:hAnsiTheme="majorHAnsi"/>
          <w:sz w:val="24"/>
          <w:szCs w:val="24"/>
        </w:rPr>
        <w:t xml:space="preserve">, </w:t>
      </w:r>
      <w:r w:rsidR="007A7373" w:rsidRPr="00825F45">
        <w:rPr>
          <w:rFonts w:asciiTheme="majorHAnsi" w:hAnsiTheme="majorHAnsi"/>
          <w:sz w:val="24"/>
          <w:szCs w:val="24"/>
        </w:rPr>
        <w:t>that downplay this</w:t>
      </w:r>
      <w:r w:rsidR="00B81EE3" w:rsidRPr="00825F45">
        <w:rPr>
          <w:rFonts w:asciiTheme="majorHAnsi" w:hAnsiTheme="majorHAnsi"/>
          <w:sz w:val="24"/>
          <w:szCs w:val="24"/>
        </w:rPr>
        <w:t xml:space="preserve">. The second part </w:t>
      </w:r>
      <w:r w:rsidR="00EC6606" w:rsidRPr="00825F45">
        <w:rPr>
          <w:rFonts w:asciiTheme="majorHAnsi" w:hAnsiTheme="majorHAnsi"/>
          <w:sz w:val="24"/>
          <w:szCs w:val="24"/>
        </w:rPr>
        <w:t xml:space="preserve"> </w:t>
      </w:r>
      <w:r w:rsidR="00B173B1" w:rsidRPr="00825F45">
        <w:rPr>
          <w:rFonts w:asciiTheme="majorHAnsi" w:hAnsiTheme="majorHAnsi"/>
          <w:sz w:val="24"/>
          <w:szCs w:val="24"/>
        </w:rPr>
        <w:t xml:space="preserve"> reports on research conducted for the baseline study for the Transforming Education for Girls in Nigeria and Tanzania (TEGINT)</w:t>
      </w:r>
      <w:r w:rsidR="00B81EE3" w:rsidRPr="00825F45">
        <w:rPr>
          <w:rFonts w:asciiTheme="majorHAnsi" w:hAnsiTheme="majorHAnsi"/>
          <w:sz w:val="24"/>
          <w:szCs w:val="24"/>
        </w:rPr>
        <w:t xml:space="preserve"> project</w:t>
      </w:r>
      <w:r w:rsidR="000929B6" w:rsidRPr="00825F45">
        <w:rPr>
          <w:rFonts w:asciiTheme="majorHAnsi" w:hAnsiTheme="majorHAnsi"/>
          <w:sz w:val="24"/>
          <w:szCs w:val="24"/>
        </w:rPr>
        <w:t xml:space="preserve"> and how this linked with practice. The project</w:t>
      </w:r>
      <w:r w:rsidR="00B173B1" w:rsidRPr="00825F45">
        <w:rPr>
          <w:rFonts w:asciiTheme="majorHAnsi" w:hAnsiTheme="majorHAnsi"/>
          <w:sz w:val="24"/>
          <w:szCs w:val="24"/>
        </w:rPr>
        <w:t xml:space="preserve"> </w:t>
      </w:r>
      <w:r w:rsidR="000929B6" w:rsidRPr="00825F45">
        <w:rPr>
          <w:rFonts w:asciiTheme="majorHAnsi" w:hAnsiTheme="majorHAnsi"/>
          <w:sz w:val="24"/>
          <w:szCs w:val="24"/>
        </w:rPr>
        <w:t>attempted to link</w:t>
      </w:r>
      <w:r w:rsidR="00B173B1" w:rsidRPr="00825F45">
        <w:rPr>
          <w:rFonts w:asciiTheme="majorHAnsi" w:hAnsiTheme="majorHAnsi"/>
          <w:sz w:val="24"/>
          <w:szCs w:val="24"/>
        </w:rPr>
        <w:t xml:space="preserve"> discussion of distribution with considerations of </w:t>
      </w:r>
      <w:r w:rsidR="00B81EE3" w:rsidRPr="00825F45">
        <w:rPr>
          <w:rFonts w:asciiTheme="majorHAnsi" w:hAnsiTheme="majorHAnsi"/>
          <w:sz w:val="24"/>
          <w:szCs w:val="24"/>
        </w:rPr>
        <w:t>g</w:t>
      </w:r>
      <w:r w:rsidR="00F81D31" w:rsidRPr="00825F45">
        <w:rPr>
          <w:rFonts w:asciiTheme="majorHAnsi" w:hAnsiTheme="majorHAnsi"/>
          <w:sz w:val="24"/>
          <w:szCs w:val="24"/>
        </w:rPr>
        <w:t>ender relations and empowerment, but keeping the two in a dynamic relationship was not always an easy matter</w:t>
      </w:r>
      <w:r w:rsidR="006E3F4F" w:rsidRPr="00825F45">
        <w:rPr>
          <w:rFonts w:asciiTheme="majorHAnsi" w:hAnsiTheme="majorHAnsi"/>
          <w:sz w:val="24"/>
          <w:szCs w:val="24"/>
        </w:rPr>
        <w:t xml:space="preserve">. </w:t>
      </w:r>
      <w:r w:rsidR="00A043F7" w:rsidRPr="00825F45">
        <w:rPr>
          <w:rFonts w:asciiTheme="majorHAnsi" w:hAnsiTheme="majorHAnsi"/>
          <w:sz w:val="24"/>
          <w:szCs w:val="24"/>
        </w:rPr>
        <w:t xml:space="preserve"> The data indicate that simple correlations cannot be made, and point to the need</w:t>
      </w:r>
      <w:r w:rsidR="00FD1E46" w:rsidRPr="00825F45">
        <w:rPr>
          <w:rFonts w:asciiTheme="majorHAnsi" w:hAnsiTheme="majorHAnsi"/>
          <w:sz w:val="24"/>
          <w:szCs w:val="24"/>
        </w:rPr>
        <w:t xml:space="preserve"> for further work that looks at the form of the relationship between distribution and empowerment</w:t>
      </w:r>
      <w:r w:rsidR="00B173B1" w:rsidRPr="00825F45">
        <w:rPr>
          <w:rFonts w:asciiTheme="majorHAnsi" w:hAnsiTheme="majorHAnsi"/>
          <w:sz w:val="24"/>
          <w:szCs w:val="24"/>
        </w:rPr>
        <w:t>.</w:t>
      </w:r>
    </w:p>
    <w:p w:rsidR="00971B31" w:rsidRPr="00825F45" w:rsidRDefault="00971B31" w:rsidP="005806B5">
      <w:pPr>
        <w:spacing w:after="0" w:line="240" w:lineRule="auto"/>
        <w:rPr>
          <w:rFonts w:asciiTheme="majorHAnsi" w:hAnsiTheme="majorHAnsi"/>
          <w:sz w:val="24"/>
          <w:szCs w:val="24"/>
        </w:rPr>
      </w:pPr>
    </w:p>
    <w:p w:rsidR="004D01FD" w:rsidRPr="004709FA" w:rsidRDefault="00C46926" w:rsidP="005806B5">
      <w:pPr>
        <w:spacing w:after="0" w:line="240" w:lineRule="auto"/>
        <w:rPr>
          <w:rFonts w:asciiTheme="majorHAnsi" w:hAnsiTheme="majorHAnsi"/>
          <w:b/>
          <w:i/>
          <w:sz w:val="24"/>
          <w:szCs w:val="24"/>
        </w:rPr>
      </w:pPr>
      <w:proofErr w:type="gramStart"/>
      <w:r w:rsidRPr="00C46926">
        <w:rPr>
          <w:rFonts w:asciiTheme="majorHAnsi" w:hAnsiTheme="majorHAnsi"/>
          <w:b/>
          <w:i/>
          <w:sz w:val="24"/>
          <w:szCs w:val="24"/>
        </w:rPr>
        <w:t>An over narrow conception of distribution?</w:t>
      </w:r>
      <w:proofErr w:type="gramEnd"/>
    </w:p>
    <w:p w:rsidR="00971B31" w:rsidRPr="00825F45" w:rsidRDefault="00971B31" w:rsidP="005806B5">
      <w:pPr>
        <w:spacing w:after="0" w:line="240" w:lineRule="auto"/>
        <w:rPr>
          <w:rFonts w:asciiTheme="majorHAnsi" w:hAnsiTheme="majorHAnsi"/>
          <w:i/>
          <w:sz w:val="24"/>
          <w:szCs w:val="24"/>
        </w:rPr>
      </w:pPr>
    </w:p>
    <w:p w:rsidR="007F009E" w:rsidRPr="00825F45" w:rsidRDefault="005F3DA2" w:rsidP="005806B5">
      <w:pPr>
        <w:spacing w:after="0" w:line="240" w:lineRule="auto"/>
        <w:rPr>
          <w:rFonts w:asciiTheme="majorHAnsi" w:hAnsiTheme="majorHAnsi"/>
          <w:sz w:val="24"/>
          <w:szCs w:val="24"/>
        </w:rPr>
      </w:pPr>
      <w:r w:rsidRPr="00825F45">
        <w:rPr>
          <w:rFonts w:asciiTheme="majorHAnsi" w:hAnsiTheme="majorHAnsi"/>
          <w:sz w:val="24"/>
          <w:szCs w:val="24"/>
        </w:rPr>
        <w:t xml:space="preserve">A feature of </w:t>
      </w:r>
      <w:r w:rsidR="00A8230F" w:rsidRPr="00825F45">
        <w:rPr>
          <w:rFonts w:asciiTheme="majorHAnsi" w:hAnsiTheme="majorHAnsi"/>
          <w:sz w:val="24"/>
          <w:szCs w:val="24"/>
        </w:rPr>
        <w:t>education policy discussion at international and national level</w:t>
      </w:r>
      <w:r w:rsidR="005C79B0" w:rsidRPr="00825F45">
        <w:rPr>
          <w:rFonts w:asciiTheme="majorHAnsi" w:hAnsiTheme="majorHAnsi"/>
          <w:sz w:val="24"/>
          <w:szCs w:val="24"/>
        </w:rPr>
        <w:t xml:space="preserve"> over more t</w:t>
      </w:r>
      <w:r w:rsidR="00595296" w:rsidRPr="00825F45">
        <w:rPr>
          <w:rFonts w:asciiTheme="majorHAnsi" w:hAnsiTheme="majorHAnsi"/>
          <w:sz w:val="24"/>
          <w:szCs w:val="24"/>
        </w:rPr>
        <w:t>han a decade has been the prominence given to</w:t>
      </w:r>
      <w:r w:rsidR="005C79B0" w:rsidRPr="00825F45">
        <w:rPr>
          <w:rFonts w:asciiTheme="majorHAnsi" w:hAnsiTheme="majorHAnsi"/>
          <w:sz w:val="24"/>
          <w:szCs w:val="24"/>
        </w:rPr>
        <w:t xml:space="preserve"> gender</w:t>
      </w:r>
      <w:r w:rsidR="00595296" w:rsidRPr="00825F45">
        <w:rPr>
          <w:rFonts w:asciiTheme="majorHAnsi" w:hAnsiTheme="majorHAnsi"/>
          <w:sz w:val="24"/>
          <w:szCs w:val="24"/>
        </w:rPr>
        <w:t xml:space="preserve"> in discussions of distribution (Unterhalter, 2007</w:t>
      </w:r>
      <w:proofErr w:type="gramStart"/>
      <w:r w:rsidR="00523518" w:rsidRPr="00825F45">
        <w:rPr>
          <w:rFonts w:asciiTheme="majorHAnsi" w:hAnsiTheme="majorHAnsi"/>
          <w:sz w:val="24"/>
          <w:szCs w:val="24"/>
        </w:rPr>
        <w:t>;Dejaeghere</w:t>
      </w:r>
      <w:proofErr w:type="gramEnd"/>
      <w:r w:rsidR="00523518" w:rsidRPr="00825F45">
        <w:rPr>
          <w:rFonts w:asciiTheme="majorHAnsi" w:hAnsiTheme="majorHAnsi"/>
          <w:sz w:val="24"/>
          <w:szCs w:val="24"/>
        </w:rPr>
        <w:t>, 2012</w:t>
      </w:r>
      <w:r w:rsidR="00595296" w:rsidRPr="00825F45">
        <w:rPr>
          <w:rFonts w:asciiTheme="majorHAnsi" w:hAnsiTheme="majorHAnsi"/>
          <w:sz w:val="24"/>
          <w:szCs w:val="24"/>
        </w:rPr>
        <w:t>). Ge</w:t>
      </w:r>
      <w:r w:rsidR="00E53171" w:rsidRPr="00825F45">
        <w:rPr>
          <w:rFonts w:asciiTheme="majorHAnsi" w:hAnsiTheme="majorHAnsi"/>
          <w:sz w:val="24"/>
          <w:szCs w:val="24"/>
        </w:rPr>
        <w:t>nder has been consistently remarked on</w:t>
      </w:r>
      <w:r w:rsidR="00595296" w:rsidRPr="00825F45">
        <w:rPr>
          <w:rFonts w:asciiTheme="majorHAnsi" w:hAnsiTheme="majorHAnsi"/>
          <w:sz w:val="24"/>
          <w:szCs w:val="24"/>
        </w:rPr>
        <w:t xml:space="preserve">, while other aspects of social division, such as income, race, ethnicity or location have only </w:t>
      </w:r>
      <w:r w:rsidR="002F3DA6" w:rsidRPr="00825F45">
        <w:rPr>
          <w:rFonts w:asciiTheme="majorHAnsi" w:hAnsiTheme="majorHAnsi"/>
          <w:sz w:val="24"/>
          <w:szCs w:val="24"/>
        </w:rPr>
        <w:t xml:space="preserve">relatively recently </w:t>
      </w:r>
      <w:r w:rsidR="00E53171" w:rsidRPr="00825F45">
        <w:rPr>
          <w:rFonts w:asciiTheme="majorHAnsi" w:hAnsiTheme="majorHAnsi"/>
          <w:sz w:val="24"/>
          <w:szCs w:val="24"/>
        </w:rPr>
        <w:t xml:space="preserve">been </w:t>
      </w:r>
      <w:r w:rsidR="00595296" w:rsidRPr="00825F45">
        <w:rPr>
          <w:rFonts w:asciiTheme="majorHAnsi" w:hAnsiTheme="majorHAnsi"/>
          <w:sz w:val="24"/>
          <w:szCs w:val="24"/>
        </w:rPr>
        <w:t>note</w:t>
      </w:r>
      <w:r w:rsidR="00E53171" w:rsidRPr="00825F45">
        <w:rPr>
          <w:rFonts w:asciiTheme="majorHAnsi" w:hAnsiTheme="majorHAnsi"/>
          <w:sz w:val="24"/>
          <w:szCs w:val="24"/>
        </w:rPr>
        <w:t>d</w:t>
      </w:r>
      <w:r w:rsidR="00595296" w:rsidRPr="00825F45">
        <w:rPr>
          <w:rFonts w:asciiTheme="majorHAnsi" w:hAnsiTheme="majorHAnsi"/>
          <w:sz w:val="24"/>
          <w:szCs w:val="24"/>
        </w:rPr>
        <w:t xml:space="preserve"> (</w:t>
      </w:r>
      <w:r w:rsidR="00176E9C" w:rsidRPr="00825F45">
        <w:rPr>
          <w:rFonts w:asciiTheme="majorHAnsi" w:hAnsiTheme="majorHAnsi"/>
          <w:sz w:val="24"/>
          <w:szCs w:val="24"/>
        </w:rPr>
        <w:t>Lockheed,</w:t>
      </w:r>
      <w:r w:rsidR="00E53171" w:rsidRPr="00825F45">
        <w:rPr>
          <w:rFonts w:asciiTheme="majorHAnsi" w:hAnsiTheme="majorHAnsi"/>
          <w:sz w:val="24"/>
          <w:szCs w:val="24"/>
        </w:rPr>
        <w:t xml:space="preserve"> </w:t>
      </w:r>
      <w:r w:rsidR="00176E9C" w:rsidRPr="00825F45">
        <w:rPr>
          <w:rFonts w:asciiTheme="majorHAnsi" w:hAnsiTheme="majorHAnsi"/>
          <w:sz w:val="24"/>
          <w:szCs w:val="24"/>
        </w:rPr>
        <w:t>2008; UNESCO, 2010</w:t>
      </w:r>
      <w:r w:rsidR="00595296" w:rsidRPr="00825F45">
        <w:rPr>
          <w:rFonts w:asciiTheme="majorHAnsi" w:hAnsiTheme="majorHAnsi"/>
          <w:sz w:val="24"/>
          <w:szCs w:val="24"/>
        </w:rPr>
        <w:t>)</w:t>
      </w:r>
      <w:r w:rsidR="005C79B0" w:rsidRPr="00825F45">
        <w:rPr>
          <w:rFonts w:asciiTheme="majorHAnsi" w:hAnsiTheme="majorHAnsi"/>
          <w:sz w:val="24"/>
          <w:szCs w:val="24"/>
        </w:rPr>
        <w:t xml:space="preserve">. </w:t>
      </w:r>
      <w:r w:rsidR="007F009E" w:rsidRPr="00825F45">
        <w:rPr>
          <w:rFonts w:asciiTheme="majorHAnsi" w:hAnsiTheme="majorHAnsi"/>
          <w:sz w:val="24"/>
          <w:szCs w:val="24"/>
        </w:rPr>
        <w:t>However, although there is a long history of concern with gender inequalities in schooling, there are many different positions on what is the appropriate space</w:t>
      </w:r>
      <w:r w:rsidR="00D821FB" w:rsidRPr="00825F45">
        <w:rPr>
          <w:rFonts w:asciiTheme="majorHAnsi" w:hAnsiTheme="majorHAnsi"/>
          <w:sz w:val="24"/>
          <w:szCs w:val="24"/>
        </w:rPr>
        <w:t xml:space="preserve"> in which </w:t>
      </w:r>
      <w:r w:rsidR="007F009E" w:rsidRPr="00825F45">
        <w:rPr>
          <w:rFonts w:asciiTheme="majorHAnsi" w:hAnsiTheme="majorHAnsi"/>
          <w:sz w:val="24"/>
          <w:szCs w:val="24"/>
        </w:rPr>
        <w:t>t</w:t>
      </w:r>
      <w:r w:rsidR="00D821FB" w:rsidRPr="00825F45">
        <w:rPr>
          <w:rFonts w:asciiTheme="majorHAnsi" w:hAnsiTheme="majorHAnsi"/>
          <w:sz w:val="24"/>
          <w:szCs w:val="24"/>
        </w:rPr>
        <w:t xml:space="preserve">o identify those </w:t>
      </w:r>
      <w:r w:rsidR="00F53B26" w:rsidRPr="00825F45">
        <w:rPr>
          <w:rFonts w:asciiTheme="majorHAnsi" w:hAnsiTheme="majorHAnsi"/>
          <w:sz w:val="24"/>
          <w:szCs w:val="24"/>
        </w:rPr>
        <w:t xml:space="preserve">inequalities </w:t>
      </w:r>
      <w:r w:rsidR="00D821FB" w:rsidRPr="00825F45">
        <w:rPr>
          <w:rFonts w:asciiTheme="majorHAnsi" w:hAnsiTheme="majorHAnsi"/>
          <w:sz w:val="24"/>
          <w:szCs w:val="24"/>
        </w:rPr>
        <w:t>and how they</w:t>
      </w:r>
      <w:r w:rsidR="007F009E" w:rsidRPr="00825F45">
        <w:rPr>
          <w:rFonts w:asciiTheme="majorHAnsi" w:hAnsiTheme="majorHAnsi"/>
          <w:sz w:val="24"/>
          <w:szCs w:val="24"/>
        </w:rPr>
        <w:t xml:space="preserve"> may be measured.</w:t>
      </w:r>
      <w:r w:rsidR="00F53B26" w:rsidRPr="00825F45">
        <w:rPr>
          <w:rFonts w:asciiTheme="majorHAnsi" w:hAnsiTheme="majorHAnsi"/>
          <w:sz w:val="24"/>
          <w:szCs w:val="24"/>
        </w:rPr>
        <w:t xml:space="preserve"> For example, </w:t>
      </w:r>
      <w:r w:rsidR="00D821FB" w:rsidRPr="00825F45">
        <w:rPr>
          <w:rFonts w:asciiTheme="majorHAnsi" w:hAnsiTheme="majorHAnsi"/>
          <w:sz w:val="24"/>
          <w:szCs w:val="24"/>
        </w:rPr>
        <w:t>do we see the primary spa</w:t>
      </w:r>
      <w:r w:rsidR="00C16DD6" w:rsidRPr="00825F45">
        <w:rPr>
          <w:rFonts w:asciiTheme="majorHAnsi" w:hAnsiTheme="majorHAnsi"/>
          <w:sz w:val="24"/>
          <w:szCs w:val="24"/>
        </w:rPr>
        <w:t xml:space="preserve">ce of inequality as the school, </w:t>
      </w:r>
      <w:r w:rsidR="00D821FB" w:rsidRPr="00825F45">
        <w:rPr>
          <w:rFonts w:asciiTheme="majorHAnsi" w:hAnsiTheme="majorHAnsi"/>
          <w:sz w:val="24"/>
          <w:szCs w:val="24"/>
        </w:rPr>
        <w:t xml:space="preserve">and is </w:t>
      </w:r>
      <w:r w:rsidR="00C71973" w:rsidRPr="00825F45">
        <w:rPr>
          <w:rFonts w:asciiTheme="majorHAnsi" w:hAnsiTheme="majorHAnsi"/>
          <w:sz w:val="24"/>
          <w:szCs w:val="24"/>
        </w:rPr>
        <w:t>the main</w:t>
      </w:r>
      <w:r w:rsidR="00F53B26" w:rsidRPr="00825F45">
        <w:rPr>
          <w:rFonts w:asciiTheme="majorHAnsi" w:hAnsiTheme="majorHAnsi"/>
          <w:sz w:val="24"/>
          <w:szCs w:val="24"/>
        </w:rPr>
        <w:t xml:space="preserve"> question concerned </w:t>
      </w:r>
      <w:r w:rsidR="00C71973" w:rsidRPr="00825F45">
        <w:rPr>
          <w:rFonts w:asciiTheme="majorHAnsi" w:hAnsiTheme="majorHAnsi"/>
          <w:sz w:val="24"/>
          <w:szCs w:val="24"/>
        </w:rPr>
        <w:t>with distribution</w:t>
      </w:r>
      <w:r w:rsidR="00D821FB" w:rsidRPr="00825F45">
        <w:rPr>
          <w:rFonts w:asciiTheme="majorHAnsi" w:hAnsiTheme="majorHAnsi"/>
          <w:sz w:val="24"/>
          <w:szCs w:val="24"/>
        </w:rPr>
        <w:t xml:space="preserve"> of opportunities for</w:t>
      </w:r>
      <w:r w:rsidR="002F3DA6" w:rsidRPr="00825F45">
        <w:rPr>
          <w:rFonts w:asciiTheme="majorHAnsi" w:hAnsiTheme="majorHAnsi"/>
          <w:sz w:val="24"/>
          <w:szCs w:val="24"/>
        </w:rPr>
        <w:t xml:space="preserve"> enrolment, progression and attainment for gi</w:t>
      </w:r>
      <w:r w:rsidR="00F53B26" w:rsidRPr="00825F45">
        <w:rPr>
          <w:rFonts w:asciiTheme="majorHAnsi" w:hAnsiTheme="majorHAnsi"/>
          <w:sz w:val="24"/>
          <w:szCs w:val="24"/>
        </w:rPr>
        <w:t>rls, relative to boys in</w:t>
      </w:r>
      <w:r w:rsidR="002F3DA6" w:rsidRPr="00825F45">
        <w:rPr>
          <w:rFonts w:asciiTheme="majorHAnsi" w:hAnsiTheme="majorHAnsi"/>
          <w:sz w:val="24"/>
          <w:szCs w:val="24"/>
        </w:rPr>
        <w:t xml:space="preserve"> particular population groups? </w:t>
      </w:r>
      <w:r w:rsidR="00D821FB" w:rsidRPr="00825F45">
        <w:rPr>
          <w:rFonts w:asciiTheme="majorHAnsi" w:hAnsiTheme="majorHAnsi"/>
          <w:sz w:val="24"/>
          <w:szCs w:val="24"/>
        </w:rPr>
        <w:t xml:space="preserve"> This was the position of one of the first syntheses of analysis in this area in the early 1990s conducted by the World Bank (King &amp; Hill, 1993) </w:t>
      </w:r>
      <w:r w:rsidR="002F3DA6" w:rsidRPr="00825F45">
        <w:rPr>
          <w:rFonts w:asciiTheme="majorHAnsi" w:hAnsiTheme="majorHAnsi"/>
          <w:sz w:val="24"/>
          <w:szCs w:val="24"/>
        </w:rPr>
        <w:t>Or is the distributional problem not simply one of access, but of what girls and boys have access to, how they engage with schooling, and how they are treated in school and after they complete particular phases of education?</w:t>
      </w:r>
      <w:r w:rsidR="00C244B3" w:rsidRPr="00825F45">
        <w:rPr>
          <w:rFonts w:asciiTheme="majorHAnsi" w:hAnsiTheme="majorHAnsi"/>
          <w:sz w:val="24"/>
          <w:szCs w:val="24"/>
        </w:rPr>
        <w:t xml:space="preserve"> </w:t>
      </w:r>
      <w:r w:rsidR="00D821FB" w:rsidRPr="00825F45">
        <w:rPr>
          <w:rFonts w:asciiTheme="majorHAnsi" w:hAnsiTheme="majorHAnsi"/>
          <w:sz w:val="24"/>
          <w:szCs w:val="24"/>
        </w:rPr>
        <w:t xml:space="preserve"> This was the position put forward by a range of analysts associated with considering inequality as located ‘beyond access’ (</w:t>
      </w:r>
      <w:proofErr w:type="spellStart"/>
      <w:r w:rsidR="00D821FB" w:rsidRPr="00825F45">
        <w:rPr>
          <w:rFonts w:asciiTheme="majorHAnsi" w:hAnsiTheme="majorHAnsi"/>
          <w:sz w:val="24"/>
          <w:szCs w:val="24"/>
        </w:rPr>
        <w:t>eg</w:t>
      </w:r>
      <w:proofErr w:type="spellEnd"/>
      <w:r w:rsidR="00D821FB" w:rsidRPr="00825F45">
        <w:rPr>
          <w:rFonts w:asciiTheme="majorHAnsi" w:hAnsiTheme="majorHAnsi"/>
          <w:sz w:val="24"/>
          <w:szCs w:val="24"/>
        </w:rPr>
        <w:t xml:space="preserve">. </w:t>
      </w:r>
      <w:proofErr w:type="gramStart"/>
      <w:r w:rsidR="00D821FB" w:rsidRPr="00825F45">
        <w:rPr>
          <w:rFonts w:asciiTheme="majorHAnsi" w:hAnsiTheme="majorHAnsi"/>
          <w:sz w:val="24"/>
          <w:szCs w:val="24"/>
        </w:rPr>
        <w:t xml:space="preserve">Aikman &amp; Unterhalter, 2005; </w:t>
      </w:r>
      <w:proofErr w:type="spellStart"/>
      <w:r w:rsidR="00D821FB" w:rsidRPr="00825F45">
        <w:rPr>
          <w:rFonts w:asciiTheme="majorHAnsi" w:hAnsiTheme="majorHAnsi"/>
          <w:sz w:val="24"/>
          <w:szCs w:val="24"/>
        </w:rPr>
        <w:t>Maslak</w:t>
      </w:r>
      <w:proofErr w:type="spellEnd"/>
      <w:r w:rsidR="00D821FB" w:rsidRPr="00825F45">
        <w:rPr>
          <w:rFonts w:asciiTheme="majorHAnsi" w:hAnsiTheme="majorHAnsi"/>
          <w:sz w:val="24"/>
          <w:szCs w:val="24"/>
        </w:rPr>
        <w:t xml:space="preserve">, 2008; </w:t>
      </w:r>
      <w:r w:rsidR="001D7B43" w:rsidRPr="00825F45">
        <w:rPr>
          <w:rFonts w:asciiTheme="majorHAnsi" w:hAnsiTheme="majorHAnsi"/>
          <w:sz w:val="24"/>
          <w:szCs w:val="24"/>
        </w:rPr>
        <w:t>Fennell &amp; Arnot</w:t>
      </w:r>
      <w:r w:rsidR="00BF5953" w:rsidRPr="00825F45">
        <w:rPr>
          <w:rFonts w:asciiTheme="majorHAnsi" w:hAnsiTheme="majorHAnsi"/>
          <w:sz w:val="24"/>
          <w:szCs w:val="24"/>
        </w:rPr>
        <w:t>,</w:t>
      </w:r>
      <w:r w:rsidR="00051820" w:rsidRPr="00825F45">
        <w:rPr>
          <w:rFonts w:asciiTheme="majorHAnsi" w:hAnsiTheme="majorHAnsi"/>
          <w:sz w:val="24"/>
          <w:szCs w:val="24"/>
        </w:rPr>
        <w:t xml:space="preserve"> </w:t>
      </w:r>
      <w:r w:rsidR="00BF5953" w:rsidRPr="00825F45">
        <w:rPr>
          <w:rFonts w:asciiTheme="majorHAnsi" w:hAnsiTheme="majorHAnsi"/>
          <w:sz w:val="24"/>
          <w:szCs w:val="24"/>
        </w:rPr>
        <w:t>2008</w:t>
      </w:r>
      <w:r w:rsidR="001D7B43" w:rsidRPr="00825F45">
        <w:rPr>
          <w:rFonts w:asciiTheme="majorHAnsi" w:hAnsiTheme="majorHAnsi"/>
          <w:sz w:val="24"/>
          <w:szCs w:val="24"/>
        </w:rPr>
        <w:t>)</w:t>
      </w:r>
      <w:r w:rsidR="00AF52B3">
        <w:rPr>
          <w:rFonts w:asciiTheme="majorHAnsi" w:hAnsiTheme="majorHAnsi"/>
          <w:sz w:val="24"/>
          <w:szCs w:val="24"/>
        </w:rPr>
        <w:t>.</w:t>
      </w:r>
      <w:proofErr w:type="gramEnd"/>
      <w:r w:rsidR="001D7B43" w:rsidRPr="00825F45">
        <w:rPr>
          <w:rFonts w:asciiTheme="majorHAnsi" w:hAnsiTheme="majorHAnsi"/>
          <w:sz w:val="24"/>
          <w:szCs w:val="24"/>
        </w:rPr>
        <w:t xml:space="preserve"> </w:t>
      </w:r>
      <w:r w:rsidR="00C244B3" w:rsidRPr="00825F45">
        <w:rPr>
          <w:rFonts w:asciiTheme="majorHAnsi" w:hAnsiTheme="majorHAnsi"/>
          <w:sz w:val="24"/>
          <w:szCs w:val="24"/>
        </w:rPr>
        <w:t xml:space="preserve">Thus inequalities are not merely associated with resources, but with attitudes, </w:t>
      </w:r>
      <w:r w:rsidR="00AF52B3">
        <w:rPr>
          <w:rFonts w:asciiTheme="majorHAnsi" w:hAnsiTheme="majorHAnsi"/>
          <w:sz w:val="24"/>
          <w:szCs w:val="24"/>
        </w:rPr>
        <w:t xml:space="preserve">structures, socio-cultural processes, uneven forms of empowerment, </w:t>
      </w:r>
      <w:r w:rsidR="00C244B3" w:rsidRPr="00825F45">
        <w:rPr>
          <w:rFonts w:asciiTheme="majorHAnsi" w:hAnsiTheme="majorHAnsi"/>
          <w:sz w:val="24"/>
          <w:szCs w:val="24"/>
        </w:rPr>
        <w:t>capabilities, and outcomes.</w:t>
      </w:r>
    </w:p>
    <w:p w:rsidR="007F009E" w:rsidRPr="00825F45" w:rsidRDefault="007F009E" w:rsidP="005806B5">
      <w:pPr>
        <w:spacing w:after="0" w:line="240" w:lineRule="auto"/>
        <w:rPr>
          <w:rFonts w:asciiTheme="majorHAnsi" w:hAnsiTheme="majorHAnsi"/>
          <w:sz w:val="24"/>
          <w:szCs w:val="24"/>
        </w:rPr>
      </w:pPr>
    </w:p>
    <w:p w:rsidR="005C79B0" w:rsidRPr="00825F45" w:rsidRDefault="00587B46" w:rsidP="005806B5">
      <w:pPr>
        <w:spacing w:after="0" w:line="240" w:lineRule="auto"/>
        <w:rPr>
          <w:rFonts w:asciiTheme="majorHAnsi" w:hAnsiTheme="majorHAnsi"/>
          <w:sz w:val="24"/>
          <w:szCs w:val="24"/>
        </w:rPr>
      </w:pPr>
      <w:r w:rsidRPr="00825F45">
        <w:rPr>
          <w:rFonts w:asciiTheme="majorHAnsi" w:hAnsiTheme="majorHAnsi"/>
          <w:sz w:val="24"/>
          <w:szCs w:val="24"/>
        </w:rPr>
        <w:t xml:space="preserve">These different positions </w:t>
      </w:r>
      <w:r w:rsidR="00086EF9" w:rsidRPr="00825F45">
        <w:rPr>
          <w:rFonts w:asciiTheme="majorHAnsi" w:hAnsiTheme="majorHAnsi"/>
          <w:sz w:val="24"/>
          <w:szCs w:val="24"/>
        </w:rPr>
        <w:t xml:space="preserve">have consequences for the approach to measuring gender inequality and distribution. </w:t>
      </w:r>
      <w:r w:rsidR="0055494A" w:rsidRPr="00825F45">
        <w:rPr>
          <w:rFonts w:asciiTheme="majorHAnsi" w:hAnsiTheme="majorHAnsi"/>
          <w:sz w:val="24"/>
          <w:szCs w:val="24"/>
        </w:rPr>
        <w:t>G</w:t>
      </w:r>
      <w:r w:rsidR="00C16DD6" w:rsidRPr="00825F45">
        <w:rPr>
          <w:rFonts w:asciiTheme="majorHAnsi" w:hAnsiTheme="majorHAnsi"/>
          <w:sz w:val="24"/>
          <w:szCs w:val="24"/>
        </w:rPr>
        <w:t xml:space="preserve">ender </w:t>
      </w:r>
      <w:r w:rsidR="004D01FD" w:rsidRPr="00825F45">
        <w:rPr>
          <w:rFonts w:asciiTheme="majorHAnsi" w:hAnsiTheme="majorHAnsi"/>
          <w:sz w:val="24"/>
          <w:szCs w:val="24"/>
        </w:rPr>
        <w:t>parity</w:t>
      </w:r>
      <w:r w:rsidR="005C79B0" w:rsidRPr="00825F45">
        <w:rPr>
          <w:rFonts w:asciiTheme="majorHAnsi" w:hAnsiTheme="majorHAnsi"/>
          <w:sz w:val="24"/>
          <w:szCs w:val="24"/>
        </w:rPr>
        <w:t>, that is</w:t>
      </w:r>
      <w:r w:rsidR="008315B6">
        <w:rPr>
          <w:rFonts w:asciiTheme="majorHAnsi" w:hAnsiTheme="majorHAnsi"/>
          <w:sz w:val="24"/>
          <w:szCs w:val="24"/>
        </w:rPr>
        <w:t>,</w:t>
      </w:r>
      <w:r w:rsidR="005C79B0" w:rsidRPr="00825F45">
        <w:rPr>
          <w:rFonts w:asciiTheme="majorHAnsi" w:hAnsiTheme="majorHAnsi"/>
          <w:sz w:val="24"/>
          <w:szCs w:val="24"/>
        </w:rPr>
        <w:t xml:space="preserve"> the measure of the</w:t>
      </w:r>
      <w:r w:rsidR="00A8230F" w:rsidRPr="00825F45">
        <w:rPr>
          <w:rFonts w:asciiTheme="majorHAnsi" w:hAnsiTheme="majorHAnsi"/>
          <w:sz w:val="24"/>
          <w:szCs w:val="24"/>
        </w:rPr>
        <w:t xml:space="preserve"> numbers of girls and boys in school</w:t>
      </w:r>
      <w:r w:rsidR="003B2A83" w:rsidRPr="00825F45">
        <w:rPr>
          <w:rFonts w:asciiTheme="majorHAnsi" w:hAnsiTheme="majorHAnsi"/>
          <w:sz w:val="24"/>
          <w:szCs w:val="24"/>
        </w:rPr>
        <w:t>, has</w:t>
      </w:r>
      <w:r w:rsidR="0055494A" w:rsidRPr="00825F45">
        <w:rPr>
          <w:rFonts w:asciiTheme="majorHAnsi" w:hAnsiTheme="majorHAnsi"/>
          <w:sz w:val="24"/>
          <w:szCs w:val="24"/>
        </w:rPr>
        <w:t xml:space="preserve"> long been used as</w:t>
      </w:r>
      <w:r w:rsidR="001D7B43" w:rsidRPr="00825F45">
        <w:rPr>
          <w:rFonts w:asciiTheme="majorHAnsi" w:hAnsiTheme="majorHAnsi"/>
          <w:sz w:val="24"/>
          <w:szCs w:val="24"/>
        </w:rPr>
        <w:t xml:space="preserve"> a </w:t>
      </w:r>
      <w:r w:rsidR="005C79B0" w:rsidRPr="00825F45">
        <w:rPr>
          <w:rFonts w:asciiTheme="majorHAnsi" w:hAnsiTheme="majorHAnsi"/>
          <w:sz w:val="24"/>
          <w:szCs w:val="24"/>
        </w:rPr>
        <w:t xml:space="preserve">proxy to </w:t>
      </w:r>
      <w:r w:rsidR="00A90441" w:rsidRPr="00825F45">
        <w:rPr>
          <w:rFonts w:asciiTheme="majorHAnsi" w:hAnsiTheme="majorHAnsi"/>
          <w:sz w:val="24"/>
          <w:szCs w:val="24"/>
        </w:rPr>
        <w:t>understand gender equality</w:t>
      </w:r>
      <w:r w:rsidR="0055494A" w:rsidRPr="00825F45">
        <w:rPr>
          <w:rFonts w:asciiTheme="majorHAnsi" w:hAnsiTheme="majorHAnsi"/>
          <w:sz w:val="24"/>
          <w:szCs w:val="24"/>
        </w:rPr>
        <w:t xml:space="preserve"> (UNESCO, 2004)</w:t>
      </w:r>
      <w:r w:rsidR="003D65D2" w:rsidRPr="00825F45">
        <w:rPr>
          <w:rFonts w:asciiTheme="majorHAnsi" w:hAnsiTheme="majorHAnsi"/>
          <w:sz w:val="24"/>
          <w:szCs w:val="24"/>
        </w:rPr>
        <w:t xml:space="preserve">. Its usefulness is partly pragmatic, in that these data are routinely collected, but its limits are acknowledged. </w:t>
      </w:r>
      <w:r w:rsidR="00A90441" w:rsidRPr="00825F45">
        <w:rPr>
          <w:rFonts w:asciiTheme="majorHAnsi" w:hAnsiTheme="majorHAnsi"/>
          <w:sz w:val="24"/>
          <w:szCs w:val="24"/>
        </w:rPr>
        <w:t xml:space="preserve">In recent years, </w:t>
      </w:r>
      <w:r w:rsidR="006C40F7" w:rsidRPr="00825F45">
        <w:rPr>
          <w:rFonts w:asciiTheme="majorHAnsi" w:hAnsiTheme="majorHAnsi"/>
          <w:sz w:val="24"/>
          <w:szCs w:val="24"/>
        </w:rPr>
        <w:t xml:space="preserve">the </w:t>
      </w:r>
      <w:r w:rsidR="00A90441" w:rsidRPr="00825F45">
        <w:rPr>
          <w:rFonts w:asciiTheme="majorHAnsi" w:hAnsiTheme="majorHAnsi"/>
          <w:sz w:val="24"/>
          <w:szCs w:val="24"/>
        </w:rPr>
        <w:t xml:space="preserve">attention has shifted from access </w:t>
      </w:r>
      <w:r w:rsidR="00A90441" w:rsidRPr="00825F45">
        <w:rPr>
          <w:rFonts w:asciiTheme="majorHAnsi" w:hAnsiTheme="majorHAnsi"/>
          <w:i/>
          <w:sz w:val="24"/>
          <w:szCs w:val="24"/>
        </w:rPr>
        <w:t>to</w:t>
      </w:r>
      <w:r w:rsidR="00A90441" w:rsidRPr="00825F45">
        <w:rPr>
          <w:rFonts w:asciiTheme="majorHAnsi" w:hAnsiTheme="majorHAnsi"/>
          <w:sz w:val="24"/>
          <w:szCs w:val="24"/>
        </w:rPr>
        <w:t xml:space="preserve"> school to quality </w:t>
      </w:r>
      <w:r w:rsidR="00A90441" w:rsidRPr="00825F45">
        <w:rPr>
          <w:rFonts w:asciiTheme="majorHAnsi" w:hAnsiTheme="majorHAnsi"/>
          <w:i/>
          <w:sz w:val="24"/>
          <w:szCs w:val="24"/>
        </w:rPr>
        <w:t xml:space="preserve">in </w:t>
      </w:r>
      <w:r w:rsidR="00A90441" w:rsidRPr="00825F45">
        <w:rPr>
          <w:rFonts w:asciiTheme="majorHAnsi" w:hAnsiTheme="majorHAnsi"/>
          <w:sz w:val="24"/>
          <w:szCs w:val="24"/>
        </w:rPr>
        <w:t xml:space="preserve">school (World Bank, 2011; Perlman Robinson, 2011). The distributional question has changed its shape from being one about largely publicly situated questions of education provision – that is how many children states can enroll or progress through different phases of schooling - to one about </w:t>
      </w:r>
      <w:r w:rsidR="008315B6" w:rsidRPr="00825F45">
        <w:rPr>
          <w:rFonts w:asciiTheme="majorHAnsi" w:hAnsiTheme="majorHAnsi"/>
          <w:sz w:val="24"/>
          <w:szCs w:val="24"/>
        </w:rPr>
        <w:t>largely individually</w:t>
      </w:r>
      <w:r w:rsidR="00A90441" w:rsidRPr="00825F45">
        <w:rPr>
          <w:rFonts w:asciiTheme="majorHAnsi" w:hAnsiTheme="majorHAnsi"/>
          <w:sz w:val="24"/>
          <w:szCs w:val="24"/>
        </w:rPr>
        <w:t xml:space="preserve"> located issues </w:t>
      </w:r>
      <w:r w:rsidR="008315B6" w:rsidRPr="00825F45">
        <w:rPr>
          <w:rFonts w:asciiTheme="majorHAnsi" w:hAnsiTheme="majorHAnsi"/>
          <w:sz w:val="24"/>
          <w:szCs w:val="24"/>
        </w:rPr>
        <w:t>of attainment</w:t>
      </w:r>
      <w:r w:rsidR="00A90441" w:rsidRPr="00825F45">
        <w:rPr>
          <w:rFonts w:asciiTheme="majorHAnsi" w:hAnsiTheme="majorHAnsi"/>
          <w:sz w:val="24"/>
          <w:szCs w:val="24"/>
        </w:rPr>
        <w:t xml:space="preserve"> – that is what level of competence in literacy or mathematics or what exam scores particular children achieve</w:t>
      </w:r>
      <w:r w:rsidR="00C16DD6" w:rsidRPr="00825F45">
        <w:rPr>
          <w:rFonts w:asciiTheme="majorHAnsi" w:hAnsiTheme="majorHAnsi"/>
          <w:sz w:val="24"/>
          <w:szCs w:val="24"/>
        </w:rPr>
        <w:t xml:space="preserve"> and who is to be held </w:t>
      </w:r>
      <w:r w:rsidR="00C16DD6" w:rsidRPr="00825F45">
        <w:rPr>
          <w:rFonts w:asciiTheme="majorHAnsi" w:hAnsiTheme="majorHAnsi"/>
          <w:sz w:val="24"/>
          <w:szCs w:val="24"/>
        </w:rPr>
        <w:lastRenderedPageBreak/>
        <w:t>accountable for this</w:t>
      </w:r>
      <w:r w:rsidR="00301620" w:rsidRPr="00825F45">
        <w:rPr>
          <w:rFonts w:asciiTheme="majorHAnsi" w:hAnsiTheme="majorHAnsi"/>
          <w:sz w:val="24"/>
          <w:szCs w:val="24"/>
        </w:rPr>
        <w:t>.  G</w:t>
      </w:r>
      <w:r w:rsidR="003D65D2" w:rsidRPr="00825F45">
        <w:rPr>
          <w:rFonts w:asciiTheme="majorHAnsi" w:hAnsiTheme="majorHAnsi"/>
          <w:sz w:val="24"/>
          <w:szCs w:val="24"/>
        </w:rPr>
        <w:t xml:space="preserve">enerally the research base for </w:t>
      </w:r>
      <w:r w:rsidR="00301620" w:rsidRPr="00825F45">
        <w:rPr>
          <w:rFonts w:asciiTheme="majorHAnsi" w:hAnsiTheme="majorHAnsi"/>
          <w:sz w:val="24"/>
          <w:szCs w:val="24"/>
        </w:rPr>
        <w:t xml:space="preserve">the focus on gender parity and questions of distribution are the monitoring and evaluation systems of governments, based on the administrative records complied by the education officers of government departments (UNESCO, 2011, </w:t>
      </w:r>
      <w:r w:rsidR="001D5BDD" w:rsidRPr="00825F45">
        <w:rPr>
          <w:rFonts w:asciiTheme="majorHAnsi" w:hAnsiTheme="majorHAnsi"/>
          <w:sz w:val="24"/>
          <w:szCs w:val="24"/>
        </w:rPr>
        <w:t>pp 262;</w:t>
      </w:r>
      <w:r w:rsidR="003B2A83" w:rsidRPr="00825F45">
        <w:rPr>
          <w:rFonts w:asciiTheme="majorHAnsi" w:hAnsiTheme="majorHAnsi"/>
          <w:sz w:val="24"/>
          <w:szCs w:val="24"/>
        </w:rPr>
        <w:t xml:space="preserve"> </w:t>
      </w:r>
      <w:r w:rsidR="00301620" w:rsidRPr="00825F45">
        <w:rPr>
          <w:rFonts w:asciiTheme="majorHAnsi" w:hAnsiTheme="majorHAnsi"/>
          <w:sz w:val="24"/>
          <w:szCs w:val="24"/>
        </w:rPr>
        <w:t>UNICEF, 201</w:t>
      </w:r>
      <w:r w:rsidR="00D561D2" w:rsidRPr="00825F45">
        <w:rPr>
          <w:rFonts w:asciiTheme="majorHAnsi" w:hAnsiTheme="majorHAnsi"/>
          <w:sz w:val="24"/>
          <w:szCs w:val="24"/>
        </w:rPr>
        <w:t>2</w:t>
      </w:r>
      <w:r w:rsidR="001D5BDD" w:rsidRPr="00825F45">
        <w:rPr>
          <w:rFonts w:asciiTheme="majorHAnsi" w:hAnsiTheme="majorHAnsi"/>
          <w:sz w:val="24"/>
          <w:szCs w:val="24"/>
        </w:rPr>
        <w:t>, pp</w:t>
      </w:r>
      <w:r w:rsidR="0071571B" w:rsidRPr="00825F45">
        <w:rPr>
          <w:rFonts w:asciiTheme="majorHAnsi" w:hAnsiTheme="majorHAnsi"/>
          <w:sz w:val="24"/>
          <w:szCs w:val="24"/>
        </w:rPr>
        <w:t xml:space="preserve"> 107</w:t>
      </w:r>
      <w:r w:rsidR="00301620" w:rsidRPr="00825F45">
        <w:rPr>
          <w:rFonts w:asciiTheme="majorHAnsi" w:hAnsiTheme="majorHAnsi"/>
          <w:sz w:val="24"/>
          <w:szCs w:val="24"/>
        </w:rPr>
        <w:t>)</w:t>
      </w:r>
      <w:r w:rsidR="00716D43" w:rsidRPr="00825F45">
        <w:rPr>
          <w:rFonts w:asciiTheme="majorHAnsi" w:hAnsiTheme="majorHAnsi"/>
          <w:sz w:val="24"/>
          <w:szCs w:val="24"/>
        </w:rPr>
        <w:t xml:space="preserve">. </w:t>
      </w:r>
      <w:r w:rsidR="006C2E00" w:rsidRPr="00825F45">
        <w:rPr>
          <w:rFonts w:asciiTheme="majorHAnsi" w:hAnsiTheme="majorHAnsi"/>
          <w:sz w:val="24"/>
          <w:szCs w:val="24"/>
        </w:rPr>
        <w:t>It is noticeable that the focus on parity and distribution assumes either that the school is an equitable institution in which the gender norms of the household or the society can be undone</w:t>
      </w:r>
      <w:r w:rsidR="00AA2A8A" w:rsidRPr="00825F45">
        <w:rPr>
          <w:rFonts w:asciiTheme="majorHAnsi" w:hAnsiTheme="majorHAnsi"/>
          <w:sz w:val="24"/>
          <w:szCs w:val="24"/>
        </w:rPr>
        <w:t>,</w:t>
      </w:r>
      <w:r w:rsidR="006C2E00" w:rsidRPr="00825F45">
        <w:rPr>
          <w:rFonts w:asciiTheme="majorHAnsi" w:hAnsiTheme="majorHAnsi"/>
          <w:sz w:val="24"/>
          <w:szCs w:val="24"/>
        </w:rPr>
        <w:t xml:space="preserve"> or that these norms are relatively trivial and can be confronted by</w:t>
      </w:r>
      <w:r w:rsidR="00AA2A8A" w:rsidRPr="00825F45">
        <w:rPr>
          <w:rFonts w:asciiTheme="majorHAnsi" w:hAnsiTheme="majorHAnsi"/>
          <w:sz w:val="24"/>
          <w:szCs w:val="24"/>
        </w:rPr>
        <w:t>,</w:t>
      </w:r>
      <w:r w:rsidR="006C2E00" w:rsidRPr="00825F45">
        <w:rPr>
          <w:rFonts w:asciiTheme="majorHAnsi" w:hAnsiTheme="majorHAnsi"/>
          <w:sz w:val="24"/>
          <w:szCs w:val="24"/>
        </w:rPr>
        <w:t xml:space="preserve"> for example</w:t>
      </w:r>
      <w:r w:rsidR="00AA2A8A" w:rsidRPr="00825F45">
        <w:rPr>
          <w:rFonts w:asciiTheme="majorHAnsi" w:hAnsiTheme="majorHAnsi"/>
          <w:sz w:val="24"/>
          <w:szCs w:val="24"/>
        </w:rPr>
        <w:t>,</w:t>
      </w:r>
      <w:r w:rsidR="006C2E00" w:rsidRPr="00825F45">
        <w:rPr>
          <w:rFonts w:asciiTheme="majorHAnsi" w:hAnsiTheme="majorHAnsi"/>
          <w:sz w:val="24"/>
          <w:szCs w:val="24"/>
        </w:rPr>
        <w:t xml:space="preserve"> delaying the age of marriage or ensuring girls</w:t>
      </w:r>
      <w:r w:rsidR="0055494A" w:rsidRPr="00825F45">
        <w:rPr>
          <w:rFonts w:asciiTheme="majorHAnsi" w:hAnsiTheme="majorHAnsi"/>
          <w:sz w:val="24"/>
          <w:szCs w:val="24"/>
        </w:rPr>
        <w:t>, who complete school,</w:t>
      </w:r>
      <w:r w:rsidR="006C2E00" w:rsidRPr="00825F45">
        <w:rPr>
          <w:rFonts w:asciiTheme="majorHAnsi" w:hAnsiTheme="majorHAnsi"/>
          <w:sz w:val="24"/>
          <w:szCs w:val="24"/>
        </w:rPr>
        <w:t xml:space="preserve"> have access to the </w:t>
      </w:r>
      <w:proofErr w:type="spellStart"/>
      <w:r w:rsidR="006C2E00" w:rsidRPr="00825F45">
        <w:rPr>
          <w:rFonts w:asciiTheme="majorHAnsi" w:hAnsiTheme="majorHAnsi"/>
          <w:sz w:val="24"/>
          <w:szCs w:val="24"/>
        </w:rPr>
        <w:t>labour</w:t>
      </w:r>
      <w:proofErr w:type="spellEnd"/>
      <w:r w:rsidR="006C2E00" w:rsidRPr="00825F45">
        <w:rPr>
          <w:rFonts w:asciiTheme="majorHAnsi" w:hAnsiTheme="majorHAnsi"/>
          <w:sz w:val="24"/>
          <w:szCs w:val="24"/>
        </w:rPr>
        <w:t xml:space="preserve"> market</w:t>
      </w:r>
      <w:r w:rsidR="0055494A" w:rsidRPr="00825F45">
        <w:rPr>
          <w:rFonts w:asciiTheme="majorHAnsi" w:hAnsiTheme="majorHAnsi"/>
          <w:sz w:val="24"/>
          <w:szCs w:val="24"/>
        </w:rPr>
        <w:t xml:space="preserve">. The ways in which marriage relations and </w:t>
      </w:r>
      <w:proofErr w:type="spellStart"/>
      <w:r w:rsidR="0055494A" w:rsidRPr="00825F45">
        <w:rPr>
          <w:rFonts w:asciiTheme="majorHAnsi" w:hAnsiTheme="majorHAnsi"/>
          <w:sz w:val="24"/>
          <w:szCs w:val="24"/>
        </w:rPr>
        <w:t>labour</w:t>
      </w:r>
      <w:proofErr w:type="spellEnd"/>
      <w:r w:rsidR="0055494A" w:rsidRPr="00825F45">
        <w:rPr>
          <w:rFonts w:asciiTheme="majorHAnsi" w:hAnsiTheme="majorHAnsi"/>
          <w:sz w:val="24"/>
          <w:szCs w:val="24"/>
        </w:rPr>
        <w:t xml:space="preserve"> market access are themselves marked by gender inequalities tends to be largely</w:t>
      </w:r>
      <w:r w:rsidR="00AA2A8A" w:rsidRPr="00825F45">
        <w:rPr>
          <w:rFonts w:asciiTheme="majorHAnsi" w:hAnsiTheme="majorHAnsi"/>
          <w:sz w:val="24"/>
          <w:szCs w:val="24"/>
        </w:rPr>
        <w:t xml:space="preserve"> underplayed</w:t>
      </w:r>
      <w:r w:rsidR="0055494A" w:rsidRPr="00825F45">
        <w:rPr>
          <w:rFonts w:asciiTheme="majorHAnsi" w:hAnsiTheme="majorHAnsi"/>
          <w:sz w:val="24"/>
          <w:szCs w:val="24"/>
        </w:rPr>
        <w:t>.</w:t>
      </w:r>
      <w:r w:rsidR="006C2E00" w:rsidRPr="00825F45">
        <w:rPr>
          <w:rFonts w:asciiTheme="majorHAnsi" w:hAnsiTheme="majorHAnsi"/>
          <w:sz w:val="24"/>
          <w:szCs w:val="24"/>
        </w:rPr>
        <w:t xml:space="preserve"> </w:t>
      </w:r>
    </w:p>
    <w:p w:rsidR="005C79B0" w:rsidRPr="00825F45" w:rsidRDefault="005C79B0" w:rsidP="005806B5">
      <w:pPr>
        <w:spacing w:after="0" w:line="240" w:lineRule="auto"/>
        <w:rPr>
          <w:rFonts w:asciiTheme="majorHAnsi" w:hAnsiTheme="majorHAnsi"/>
          <w:sz w:val="24"/>
          <w:szCs w:val="24"/>
        </w:rPr>
      </w:pPr>
    </w:p>
    <w:p w:rsidR="00AB060F" w:rsidRPr="00825F45" w:rsidRDefault="006C2E00" w:rsidP="005806B5">
      <w:pPr>
        <w:spacing w:after="0" w:line="240" w:lineRule="auto"/>
        <w:rPr>
          <w:rFonts w:asciiTheme="majorHAnsi" w:hAnsiTheme="majorHAnsi"/>
          <w:sz w:val="24"/>
          <w:szCs w:val="24"/>
        </w:rPr>
      </w:pPr>
      <w:r w:rsidRPr="00825F45">
        <w:rPr>
          <w:rFonts w:asciiTheme="majorHAnsi" w:hAnsiTheme="majorHAnsi"/>
          <w:sz w:val="24"/>
          <w:szCs w:val="24"/>
        </w:rPr>
        <w:t xml:space="preserve"> Critiques of th</w:t>
      </w:r>
      <w:r w:rsidR="009503F9" w:rsidRPr="00825F45">
        <w:rPr>
          <w:rFonts w:asciiTheme="majorHAnsi" w:hAnsiTheme="majorHAnsi"/>
          <w:sz w:val="24"/>
          <w:szCs w:val="24"/>
        </w:rPr>
        <w:t>e parity</w:t>
      </w:r>
      <w:r w:rsidRPr="00825F45">
        <w:rPr>
          <w:rFonts w:asciiTheme="majorHAnsi" w:hAnsiTheme="majorHAnsi"/>
          <w:sz w:val="24"/>
          <w:szCs w:val="24"/>
        </w:rPr>
        <w:t xml:space="preserve"> approach</w:t>
      </w:r>
      <w:r w:rsidR="00421F3C" w:rsidRPr="00825F45">
        <w:rPr>
          <w:rFonts w:asciiTheme="majorHAnsi" w:hAnsiTheme="majorHAnsi"/>
          <w:sz w:val="24"/>
          <w:szCs w:val="24"/>
        </w:rPr>
        <w:t xml:space="preserve"> come from a number of directions associated with GAD (gender and development), analysis of capabilities and </w:t>
      </w:r>
      <w:proofErr w:type="gramStart"/>
      <w:r w:rsidR="00421F3C" w:rsidRPr="00825F45">
        <w:rPr>
          <w:rFonts w:asciiTheme="majorHAnsi" w:hAnsiTheme="majorHAnsi"/>
          <w:sz w:val="24"/>
          <w:szCs w:val="24"/>
        </w:rPr>
        <w:t>empowerment,</w:t>
      </w:r>
      <w:proofErr w:type="gramEnd"/>
      <w:r w:rsidR="00421F3C" w:rsidRPr="00825F45">
        <w:rPr>
          <w:rFonts w:asciiTheme="majorHAnsi" w:hAnsiTheme="majorHAnsi"/>
          <w:sz w:val="24"/>
          <w:szCs w:val="24"/>
        </w:rPr>
        <w:t xml:space="preserve"> and postcolonial theorizing</w:t>
      </w:r>
      <w:r w:rsidR="00DD3100" w:rsidRPr="00825F45">
        <w:rPr>
          <w:rFonts w:asciiTheme="majorHAnsi" w:hAnsiTheme="majorHAnsi"/>
          <w:sz w:val="24"/>
          <w:szCs w:val="24"/>
        </w:rPr>
        <w:t xml:space="preserve"> about processes of representation and discourse</w:t>
      </w:r>
      <w:r w:rsidR="00421F3C" w:rsidRPr="00825F45">
        <w:rPr>
          <w:rFonts w:asciiTheme="majorHAnsi" w:hAnsiTheme="majorHAnsi"/>
          <w:sz w:val="24"/>
          <w:szCs w:val="24"/>
        </w:rPr>
        <w:t xml:space="preserve"> (Unterhalter, 2005</w:t>
      </w:r>
      <w:r w:rsidR="00DD3100" w:rsidRPr="00825F45">
        <w:rPr>
          <w:rFonts w:asciiTheme="majorHAnsi" w:hAnsiTheme="majorHAnsi"/>
          <w:sz w:val="24"/>
          <w:szCs w:val="24"/>
        </w:rPr>
        <w:t>a</w:t>
      </w:r>
      <w:r w:rsidR="00421F3C" w:rsidRPr="00825F45">
        <w:rPr>
          <w:rFonts w:asciiTheme="majorHAnsi" w:hAnsiTheme="majorHAnsi"/>
          <w:sz w:val="24"/>
          <w:szCs w:val="24"/>
        </w:rPr>
        <w:t>). While there are diff</w:t>
      </w:r>
      <w:r w:rsidR="00DD3100" w:rsidRPr="00825F45">
        <w:rPr>
          <w:rFonts w:asciiTheme="majorHAnsi" w:hAnsiTheme="majorHAnsi"/>
          <w:sz w:val="24"/>
          <w:szCs w:val="24"/>
        </w:rPr>
        <w:t>erent emphases in these approaches</w:t>
      </w:r>
      <w:r w:rsidR="00421F3C" w:rsidRPr="00825F45">
        <w:rPr>
          <w:rFonts w:asciiTheme="majorHAnsi" w:hAnsiTheme="majorHAnsi"/>
          <w:sz w:val="24"/>
          <w:szCs w:val="24"/>
        </w:rPr>
        <w:t xml:space="preserve"> all agree that</w:t>
      </w:r>
      <w:r w:rsidR="00F87ACF" w:rsidRPr="00825F45">
        <w:rPr>
          <w:rFonts w:asciiTheme="majorHAnsi" w:hAnsiTheme="majorHAnsi"/>
          <w:sz w:val="24"/>
          <w:szCs w:val="24"/>
        </w:rPr>
        <w:t xml:space="preserve"> simple</w:t>
      </w:r>
      <w:r w:rsidR="00421F3C" w:rsidRPr="00825F45">
        <w:rPr>
          <w:rFonts w:asciiTheme="majorHAnsi" w:hAnsiTheme="majorHAnsi"/>
          <w:sz w:val="24"/>
          <w:szCs w:val="24"/>
        </w:rPr>
        <w:t xml:space="preserve"> distribution of resources is not adequate as a framework for justice.  With regard to rights and capabilities some</w:t>
      </w:r>
      <w:r w:rsidR="00DD3100" w:rsidRPr="00825F45">
        <w:rPr>
          <w:rFonts w:asciiTheme="majorHAnsi" w:hAnsiTheme="majorHAnsi"/>
          <w:sz w:val="24"/>
          <w:szCs w:val="24"/>
        </w:rPr>
        <w:t xml:space="preserve"> have pointed out how </w:t>
      </w:r>
      <w:r w:rsidRPr="00825F45">
        <w:rPr>
          <w:rFonts w:asciiTheme="majorHAnsi" w:hAnsiTheme="majorHAnsi"/>
          <w:sz w:val="24"/>
          <w:szCs w:val="24"/>
        </w:rPr>
        <w:t xml:space="preserve">the idea </w:t>
      </w:r>
      <w:r w:rsidR="00A8230F" w:rsidRPr="00825F45">
        <w:rPr>
          <w:rFonts w:asciiTheme="majorHAnsi" w:hAnsiTheme="majorHAnsi"/>
          <w:sz w:val="24"/>
          <w:szCs w:val="24"/>
        </w:rPr>
        <w:t>of</w:t>
      </w:r>
      <w:r w:rsidR="004D01FD" w:rsidRPr="00825F45">
        <w:rPr>
          <w:rFonts w:asciiTheme="majorHAnsi" w:hAnsiTheme="majorHAnsi"/>
          <w:sz w:val="24"/>
          <w:szCs w:val="24"/>
        </w:rPr>
        <w:t xml:space="preserve"> gender equality</w:t>
      </w:r>
      <w:r w:rsidR="00A8230F" w:rsidRPr="00825F45">
        <w:rPr>
          <w:rFonts w:asciiTheme="majorHAnsi" w:hAnsiTheme="majorHAnsi"/>
          <w:sz w:val="24"/>
          <w:szCs w:val="24"/>
        </w:rPr>
        <w:t xml:space="preserve"> is</w:t>
      </w:r>
      <w:r w:rsidR="004D01FD" w:rsidRPr="00825F45">
        <w:rPr>
          <w:rFonts w:asciiTheme="majorHAnsi" w:hAnsiTheme="majorHAnsi"/>
          <w:sz w:val="24"/>
          <w:szCs w:val="24"/>
        </w:rPr>
        <w:t xml:space="preserve"> a normative idea</w:t>
      </w:r>
      <w:r w:rsidR="00A8230F" w:rsidRPr="00825F45">
        <w:rPr>
          <w:rFonts w:asciiTheme="majorHAnsi" w:hAnsiTheme="majorHAnsi"/>
          <w:sz w:val="24"/>
          <w:szCs w:val="24"/>
        </w:rPr>
        <w:t xml:space="preserve"> about opportunity, dignity, agency and justice</w:t>
      </w:r>
      <w:r w:rsidRPr="00825F45">
        <w:rPr>
          <w:rFonts w:asciiTheme="majorHAnsi" w:hAnsiTheme="majorHAnsi"/>
          <w:sz w:val="24"/>
          <w:szCs w:val="24"/>
        </w:rPr>
        <w:t xml:space="preserve"> and that realizing this in education is not simply about enrolling equal numbers of girls and boys in school</w:t>
      </w:r>
      <w:r w:rsidR="00EB5BF3" w:rsidRPr="00825F45">
        <w:rPr>
          <w:rFonts w:asciiTheme="majorHAnsi" w:hAnsiTheme="majorHAnsi"/>
          <w:sz w:val="24"/>
          <w:szCs w:val="24"/>
        </w:rPr>
        <w:t xml:space="preserve"> (</w:t>
      </w:r>
      <w:r w:rsidR="00A8230F" w:rsidRPr="00825F45">
        <w:rPr>
          <w:rFonts w:asciiTheme="majorHAnsi" w:hAnsiTheme="majorHAnsi"/>
          <w:sz w:val="24"/>
          <w:szCs w:val="24"/>
        </w:rPr>
        <w:t>Unterhalter</w:t>
      </w:r>
      <w:r w:rsidR="005C79B0" w:rsidRPr="00825F45">
        <w:rPr>
          <w:rFonts w:asciiTheme="majorHAnsi" w:hAnsiTheme="majorHAnsi"/>
          <w:sz w:val="24"/>
          <w:szCs w:val="24"/>
        </w:rPr>
        <w:t>, 2005</w:t>
      </w:r>
      <w:r w:rsidR="00DD3100" w:rsidRPr="00825F45">
        <w:rPr>
          <w:rFonts w:asciiTheme="majorHAnsi" w:hAnsiTheme="majorHAnsi"/>
          <w:sz w:val="24"/>
          <w:szCs w:val="24"/>
        </w:rPr>
        <w:t>b</w:t>
      </w:r>
      <w:r w:rsidR="00A8230F" w:rsidRPr="00825F45">
        <w:rPr>
          <w:rFonts w:asciiTheme="majorHAnsi" w:hAnsiTheme="majorHAnsi"/>
          <w:sz w:val="24"/>
          <w:szCs w:val="24"/>
        </w:rPr>
        <w:t xml:space="preserve">; </w:t>
      </w:r>
      <w:proofErr w:type="spellStart"/>
      <w:r w:rsidR="00A8230F" w:rsidRPr="00825F45">
        <w:rPr>
          <w:rFonts w:asciiTheme="majorHAnsi" w:hAnsiTheme="majorHAnsi"/>
          <w:sz w:val="24"/>
          <w:szCs w:val="24"/>
        </w:rPr>
        <w:t>Subrahmanian</w:t>
      </w:r>
      <w:proofErr w:type="spellEnd"/>
      <w:r w:rsidR="005F3DA2" w:rsidRPr="00825F45">
        <w:rPr>
          <w:rFonts w:asciiTheme="majorHAnsi" w:hAnsiTheme="majorHAnsi"/>
          <w:sz w:val="24"/>
          <w:szCs w:val="24"/>
        </w:rPr>
        <w:t>, 2005</w:t>
      </w:r>
      <w:r w:rsidR="00A8230F" w:rsidRPr="00825F45">
        <w:rPr>
          <w:rFonts w:asciiTheme="majorHAnsi" w:hAnsiTheme="majorHAnsi"/>
          <w:sz w:val="24"/>
          <w:szCs w:val="24"/>
        </w:rPr>
        <w:t xml:space="preserve">; Unterhalter, 2007).  </w:t>
      </w:r>
      <w:r w:rsidR="00DC05A3" w:rsidRPr="00825F45">
        <w:rPr>
          <w:rFonts w:asciiTheme="majorHAnsi" w:hAnsiTheme="majorHAnsi"/>
          <w:sz w:val="24"/>
          <w:szCs w:val="24"/>
        </w:rPr>
        <w:t xml:space="preserve">GAD analysts have built up a </w:t>
      </w:r>
      <w:r w:rsidR="00301620" w:rsidRPr="00825F45">
        <w:rPr>
          <w:rFonts w:asciiTheme="majorHAnsi" w:hAnsiTheme="majorHAnsi"/>
          <w:sz w:val="24"/>
          <w:szCs w:val="24"/>
        </w:rPr>
        <w:t>considerable literature using largely qualitative research methods</w:t>
      </w:r>
      <w:r w:rsidR="003F6274" w:rsidRPr="00825F45">
        <w:rPr>
          <w:rFonts w:asciiTheme="majorHAnsi" w:hAnsiTheme="majorHAnsi"/>
          <w:sz w:val="24"/>
          <w:szCs w:val="24"/>
        </w:rPr>
        <w:t xml:space="preserve"> to show</w:t>
      </w:r>
      <w:r w:rsidR="00EB5BF3" w:rsidRPr="00825F45">
        <w:rPr>
          <w:rFonts w:asciiTheme="majorHAnsi" w:hAnsiTheme="majorHAnsi"/>
          <w:sz w:val="24"/>
          <w:szCs w:val="24"/>
        </w:rPr>
        <w:t xml:space="preserve"> how gendered </w:t>
      </w:r>
      <w:r w:rsidR="00DD3100" w:rsidRPr="00825F45">
        <w:rPr>
          <w:rFonts w:asciiTheme="majorHAnsi" w:hAnsiTheme="majorHAnsi"/>
          <w:sz w:val="24"/>
          <w:szCs w:val="24"/>
        </w:rPr>
        <w:t>relations in school have resonance with</w:t>
      </w:r>
      <w:r w:rsidR="00EB5BF3" w:rsidRPr="00825F45">
        <w:rPr>
          <w:rFonts w:asciiTheme="majorHAnsi" w:hAnsiTheme="majorHAnsi"/>
          <w:sz w:val="24"/>
          <w:szCs w:val="24"/>
        </w:rPr>
        <w:t xml:space="preserve"> those in the </w:t>
      </w:r>
      <w:proofErr w:type="spellStart"/>
      <w:r w:rsidR="00EB5BF3" w:rsidRPr="00825F45">
        <w:rPr>
          <w:rFonts w:asciiTheme="majorHAnsi" w:hAnsiTheme="majorHAnsi"/>
          <w:sz w:val="24"/>
          <w:szCs w:val="24"/>
        </w:rPr>
        <w:t>labour</w:t>
      </w:r>
      <w:proofErr w:type="spellEnd"/>
      <w:r w:rsidR="00EB5BF3" w:rsidRPr="00825F45">
        <w:rPr>
          <w:rFonts w:asciiTheme="majorHAnsi" w:hAnsiTheme="majorHAnsi"/>
          <w:sz w:val="24"/>
          <w:szCs w:val="24"/>
        </w:rPr>
        <w:t xml:space="preserve"> market</w:t>
      </w:r>
      <w:r w:rsidR="00AB060F" w:rsidRPr="00825F45">
        <w:rPr>
          <w:rFonts w:asciiTheme="majorHAnsi" w:hAnsiTheme="majorHAnsi"/>
          <w:sz w:val="24"/>
          <w:szCs w:val="24"/>
        </w:rPr>
        <w:t xml:space="preserve">, </w:t>
      </w:r>
      <w:r w:rsidR="00EB5BF3" w:rsidRPr="00825F45">
        <w:rPr>
          <w:rFonts w:asciiTheme="majorHAnsi" w:hAnsiTheme="majorHAnsi"/>
          <w:sz w:val="24"/>
          <w:szCs w:val="24"/>
        </w:rPr>
        <w:t>with patter</w:t>
      </w:r>
      <w:r w:rsidR="00DD3100" w:rsidRPr="00825F45">
        <w:rPr>
          <w:rFonts w:asciiTheme="majorHAnsi" w:hAnsiTheme="majorHAnsi"/>
          <w:sz w:val="24"/>
          <w:szCs w:val="24"/>
        </w:rPr>
        <w:t xml:space="preserve">ns of ownership of assets,  </w:t>
      </w:r>
      <w:r w:rsidR="00EB5BF3" w:rsidRPr="00825F45">
        <w:rPr>
          <w:rFonts w:asciiTheme="majorHAnsi" w:hAnsiTheme="majorHAnsi"/>
          <w:sz w:val="24"/>
          <w:szCs w:val="24"/>
        </w:rPr>
        <w:t xml:space="preserve"> the distribution of power in the political, cultural, and social sphere,</w:t>
      </w:r>
      <w:r w:rsidR="005F3DA2" w:rsidRPr="00825F45">
        <w:rPr>
          <w:rFonts w:asciiTheme="majorHAnsi" w:hAnsiTheme="majorHAnsi"/>
          <w:sz w:val="24"/>
          <w:szCs w:val="24"/>
        </w:rPr>
        <w:t xml:space="preserve"> </w:t>
      </w:r>
      <w:r w:rsidR="00154B1E" w:rsidRPr="00825F45">
        <w:rPr>
          <w:rFonts w:asciiTheme="majorHAnsi" w:hAnsiTheme="majorHAnsi"/>
          <w:sz w:val="24"/>
          <w:szCs w:val="24"/>
        </w:rPr>
        <w:t xml:space="preserve">constructions of masculinity, femininity and ideas about bodily integrity, </w:t>
      </w:r>
      <w:r w:rsidR="005F3DA2" w:rsidRPr="00825F45">
        <w:rPr>
          <w:rFonts w:asciiTheme="majorHAnsi" w:hAnsiTheme="majorHAnsi"/>
          <w:sz w:val="24"/>
          <w:szCs w:val="24"/>
        </w:rPr>
        <w:t xml:space="preserve">relationships of care and what is depicted as </w:t>
      </w:r>
      <w:r w:rsidR="00DD3100" w:rsidRPr="00825F45">
        <w:rPr>
          <w:rFonts w:asciiTheme="majorHAnsi" w:hAnsiTheme="majorHAnsi"/>
          <w:sz w:val="24"/>
          <w:szCs w:val="24"/>
        </w:rPr>
        <w:t>the private space of the family</w:t>
      </w:r>
      <w:r w:rsidR="00AB060F" w:rsidRPr="00825F45">
        <w:rPr>
          <w:rFonts w:asciiTheme="majorHAnsi" w:hAnsiTheme="majorHAnsi"/>
          <w:sz w:val="24"/>
          <w:szCs w:val="24"/>
        </w:rPr>
        <w:t xml:space="preserve"> </w:t>
      </w:r>
      <w:r w:rsidR="00154B1E" w:rsidRPr="00825F45">
        <w:rPr>
          <w:rFonts w:asciiTheme="majorHAnsi" w:hAnsiTheme="majorHAnsi"/>
          <w:sz w:val="24"/>
          <w:szCs w:val="24"/>
        </w:rPr>
        <w:t>(</w:t>
      </w:r>
      <w:proofErr w:type="spellStart"/>
      <w:r w:rsidR="00135AFA" w:rsidRPr="00825F45">
        <w:rPr>
          <w:rFonts w:asciiTheme="majorHAnsi" w:hAnsiTheme="majorHAnsi"/>
          <w:sz w:val="24"/>
          <w:szCs w:val="24"/>
        </w:rPr>
        <w:t>eg</w:t>
      </w:r>
      <w:proofErr w:type="spellEnd"/>
      <w:r w:rsidR="00135AFA" w:rsidRPr="00825F45">
        <w:rPr>
          <w:rFonts w:asciiTheme="majorHAnsi" w:hAnsiTheme="majorHAnsi"/>
          <w:sz w:val="24"/>
          <w:szCs w:val="24"/>
        </w:rPr>
        <w:t>. Aikman, 1999</w:t>
      </w:r>
      <w:r w:rsidR="0005537C" w:rsidRPr="00825F45">
        <w:rPr>
          <w:rFonts w:asciiTheme="majorHAnsi" w:hAnsiTheme="majorHAnsi"/>
          <w:sz w:val="24"/>
          <w:szCs w:val="24"/>
        </w:rPr>
        <w:t xml:space="preserve">; </w:t>
      </w:r>
      <w:r w:rsidR="00E05354" w:rsidRPr="00825F45">
        <w:rPr>
          <w:rFonts w:asciiTheme="majorHAnsi" w:hAnsiTheme="majorHAnsi"/>
          <w:sz w:val="24"/>
          <w:szCs w:val="24"/>
        </w:rPr>
        <w:t xml:space="preserve"> </w:t>
      </w:r>
    </w:p>
    <w:p w:rsidR="005340CD" w:rsidRPr="00825F45" w:rsidRDefault="000B5D88" w:rsidP="005806B5">
      <w:pPr>
        <w:spacing w:after="0" w:line="240" w:lineRule="auto"/>
        <w:rPr>
          <w:rFonts w:asciiTheme="majorHAnsi" w:hAnsiTheme="majorHAnsi"/>
          <w:sz w:val="24"/>
          <w:szCs w:val="24"/>
        </w:rPr>
      </w:pPr>
      <w:proofErr w:type="spellStart"/>
      <w:proofErr w:type="gramStart"/>
      <w:r w:rsidRPr="00825F45">
        <w:rPr>
          <w:rFonts w:asciiTheme="majorHAnsi" w:hAnsiTheme="majorHAnsi"/>
          <w:sz w:val="24"/>
          <w:szCs w:val="24"/>
        </w:rPr>
        <w:t>R</w:t>
      </w:r>
      <w:r w:rsidR="00E05354" w:rsidRPr="00825F45">
        <w:rPr>
          <w:rFonts w:asciiTheme="majorHAnsi" w:hAnsiTheme="majorHAnsi"/>
          <w:sz w:val="24"/>
          <w:szCs w:val="24"/>
        </w:rPr>
        <w:t>aynor</w:t>
      </w:r>
      <w:proofErr w:type="spellEnd"/>
      <w:r w:rsidR="00E05354" w:rsidRPr="00825F45">
        <w:rPr>
          <w:rFonts w:asciiTheme="majorHAnsi" w:hAnsiTheme="majorHAnsi"/>
          <w:sz w:val="24"/>
          <w:szCs w:val="24"/>
        </w:rPr>
        <w:t>, 2008</w:t>
      </w:r>
      <w:r w:rsidR="0005537C" w:rsidRPr="00825F45">
        <w:rPr>
          <w:rFonts w:asciiTheme="majorHAnsi" w:hAnsiTheme="majorHAnsi"/>
          <w:sz w:val="24"/>
          <w:szCs w:val="24"/>
        </w:rPr>
        <w:t xml:space="preserve">; </w:t>
      </w:r>
      <w:proofErr w:type="spellStart"/>
      <w:r w:rsidR="0005537C" w:rsidRPr="00825F45">
        <w:rPr>
          <w:rFonts w:asciiTheme="majorHAnsi" w:hAnsiTheme="majorHAnsi"/>
          <w:sz w:val="24"/>
          <w:szCs w:val="24"/>
        </w:rPr>
        <w:t>Chege</w:t>
      </w:r>
      <w:proofErr w:type="spellEnd"/>
      <w:r w:rsidR="0005537C" w:rsidRPr="00825F45">
        <w:rPr>
          <w:rFonts w:asciiTheme="majorHAnsi" w:hAnsiTheme="majorHAnsi"/>
          <w:sz w:val="24"/>
          <w:szCs w:val="24"/>
        </w:rPr>
        <w:t xml:space="preserve"> and Arnot, 2012</w:t>
      </w:r>
      <w:r w:rsidR="00AB060F" w:rsidRPr="00825F45">
        <w:rPr>
          <w:rFonts w:asciiTheme="majorHAnsi" w:hAnsiTheme="majorHAnsi"/>
          <w:sz w:val="24"/>
          <w:szCs w:val="24"/>
        </w:rPr>
        <w:t>).</w:t>
      </w:r>
      <w:proofErr w:type="gramEnd"/>
      <w:r w:rsidR="00AB060F" w:rsidRPr="00825F45">
        <w:rPr>
          <w:rFonts w:asciiTheme="majorHAnsi" w:hAnsiTheme="majorHAnsi"/>
          <w:sz w:val="24"/>
          <w:szCs w:val="24"/>
        </w:rPr>
        <w:t xml:space="preserve"> </w:t>
      </w:r>
      <w:r w:rsidR="00DD3100" w:rsidRPr="00825F45">
        <w:rPr>
          <w:rFonts w:asciiTheme="majorHAnsi" w:hAnsiTheme="majorHAnsi"/>
          <w:sz w:val="24"/>
          <w:szCs w:val="24"/>
        </w:rPr>
        <w:t>Thus</w:t>
      </w:r>
      <w:r w:rsidR="00EB5BF3" w:rsidRPr="00825F45">
        <w:rPr>
          <w:rFonts w:asciiTheme="majorHAnsi" w:hAnsiTheme="majorHAnsi"/>
          <w:sz w:val="24"/>
          <w:szCs w:val="24"/>
        </w:rPr>
        <w:t xml:space="preserve"> the actions of educated girls always need to be understood in terms of gendered norms that constrain the possibilities for change </w:t>
      </w:r>
      <w:proofErr w:type="gramStart"/>
      <w:r w:rsidR="00EB5BF3" w:rsidRPr="00825F45">
        <w:rPr>
          <w:rFonts w:asciiTheme="majorHAnsi" w:hAnsiTheme="majorHAnsi"/>
          <w:sz w:val="24"/>
          <w:szCs w:val="24"/>
        </w:rPr>
        <w:t>(</w:t>
      </w:r>
      <w:r w:rsidR="00DD3100" w:rsidRPr="00825F45">
        <w:rPr>
          <w:rFonts w:asciiTheme="majorHAnsi" w:hAnsiTheme="majorHAnsi"/>
          <w:sz w:val="24"/>
          <w:szCs w:val="24"/>
        </w:rPr>
        <w:t xml:space="preserve"> </w:t>
      </w:r>
      <w:r w:rsidR="00387457" w:rsidRPr="00825F45">
        <w:rPr>
          <w:rFonts w:asciiTheme="majorHAnsi" w:hAnsiTheme="majorHAnsi"/>
          <w:sz w:val="24"/>
          <w:szCs w:val="24"/>
        </w:rPr>
        <w:t>National</w:t>
      </w:r>
      <w:proofErr w:type="gramEnd"/>
      <w:r w:rsidR="00387457" w:rsidRPr="00825F45">
        <w:rPr>
          <w:rFonts w:asciiTheme="majorHAnsi" w:hAnsiTheme="majorHAnsi"/>
          <w:sz w:val="24"/>
          <w:szCs w:val="24"/>
        </w:rPr>
        <w:t xml:space="preserve"> Research Council, 2005; </w:t>
      </w:r>
      <w:r w:rsidR="00CE637F" w:rsidRPr="00825F45">
        <w:rPr>
          <w:rFonts w:asciiTheme="majorHAnsi" w:hAnsiTheme="majorHAnsi"/>
          <w:sz w:val="24"/>
          <w:szCs w:val="24"/>
        </w:rPr>
        <w:t xml:space="preserve">Mascarenhas, 2007; </w:t>
      </w:r>
      <w:proofErr w:type="spellStart"/>
      <w:r w:rsidR="00BE4363" w:rsidRPr="00825F45">
        <w:rPr>
          <w:rFonts w:asciiTheme="majorHAnsi" w:hAnsiTheme="majorHAnsi"/>
          <w:sz w:val="24"/>
          <w:szCs w:val="24"/>
        </w:rPr>
        <w:t>Maslak</w:t>
      </w:r>
      <w:proofErr w:type="spellEnd"/>
      <w:r w:rsidR="00BE4363" w:rsidRPr="00825F45">
        <w:rPr>
          <w:rFonts w:asciiTheme="majorHAnsi" w:hAnsiTheme="majorHAnsi"/>
          <w:sz w:val="24"/>
          <w:szCs w:val="24"/>
        </w:rPr>
        <w:t>, 200</w:t>
      </w:r>
      <w:r w:rsidR="00DC0376" w:rsidRPr="00825F45">
        <w:rPr>
          <w:rFonts w:asciiTheme="majorHAnsi" w:hAnsiTheme="majorHAnsi"/>
          <w:sz w:val="24"/>
          <w:szCs w:val="24"/>
        </w:rPr>
        <w:t>8</w:t>
      </w:r>
      <w:r w:rsidR="004D236A" w:rsidRPr="00825F45">
        <w:rPr>
          <w:rFonts w:asciiTheme="majorHAnsi" w:hAnsiTheme="majorHAnsi"/>
          <w:sz w:val="24"/>
          <w:szCs w:val="24"/>
        </w:rPr>
        <w:t>; Ross</w:t>
      </w:r>
      <w:r w:rsidR="00CE637F" w:rsidRPr="00825F45">
        <w:rPr>
          <w:rFonts w:asciiTheme="majorHAnsi" w:hAnsiTheme="majorHAnsi"/>
          <w:sz w:val="24"/>
          <w:szCs w:val="24"/>
        </w:rPr>
        <w:t>, Shah and W</w:t>
      </w:r>
      <w:r w:rsidR="00387457" w:rsidRPr="00825F45">
        <w:rPr>
          <w:rFonts w:asciiTheme="majorHAnsi" w:hAnsiTheme="majorHAnsi"/>
          <w:sz w:val="24"/>
          <w:szCs w:val="24"/>
        </w:rPr>
        <w:t>ang, 2011</w:t>
      </w:r>
      <w:r w:rsidR="00BE4363" w:rsidRPr="00825F45">
        <w:rPr>
          <w:rFonts w:asciiTheme="majorHAnsi" w:hAnsiTheme="majorHAnsi"/>
          <w:sz w:val="24"/>
          <w:szCs w:val="24"/>
        </w:rPr>
        <w:t>).</w:t>
      </w:r>
      <w:r w:rsidR="005F3DA2" w:rsidRPr="00825F45">
        <w:rPr>
          <w:rFonts w:asciiTheme="majorHAnsi" w:hAnsiTheme="majorHAnsi"/>
          <w:sz w:val="24"/>
          <w:szCs w:val="24"/>
        </w:rPr>
        <w:t xml:space="preserve"> Some authors</w:t>
      </w:r>
      <w:r w:rsidR="00DD3100" w:rsidRPr="00825F45">
        <w:rPr>
          <w:rFonts w:asciiTheme="majorHAnsi" w:hAnsiTheme="majorHAnsi"/>
          <w:sz w:val="24"/>
          <w:szCs w:val="24"/>
        </w:rPr>
        <w:t>, in</w:t>
      </w:r>
      <w:r w:rsidR="003F6274" w:rsidRPr="00825F45">
        <w:rPr>
          <w:rFonts w:asciiTheme="majorHAnsi" w:hAnsiTheme="majorHAnsi"/>
          <w:sz w:val="24"/>
          <w:szCs w:val="24"/>
        </w:rPr>
        <w:t xml:space="preserve"> bringing together elements of GAD and capabilities analysis</w:t>
      </w:r>
      <w:r w:rsidR="005F3DA2" w:rsidRPr="00825F45">
        <w:rPr>
          <w:rFonts w:asciiTheme="majorHAnsi" w:hAnsiTheme="majorHAnsi"/>
          <w:sz w:val="24"/>
          <w:szCs w:val="24"/>
        </w:rPr>
        <w:t xml:space="preserve"> highlight how a simple stress on distribution and education provision</w:t>
      </w:r>
      <w:r w:rsidR="0079799B" w:rsidRPr="00825F45">
        <w:rPr>
          <w:rFonts w:asciiTheme="majorHAnsi" w:hAnsiTheme="majorHAnsi"/>
          <w:sz w:val="24"/>
          <w:szCs w:val="24"/>
        </w:rPr>
        <w:t xml:space="preserve"> fails to take account of what is learned and how this learning can be used (</w:t>
      </w:r>
      <w:r w:rsidR="00AB060F" w:rsidRPr="00825F45">
        <w:rPr>
          <w:rFonts w:asciiTheme="majorHAnsi" w:hAnsiTheme="majorHAnsi"/>
          <w:sz w:val="24"/>
          <w:szCs w:val="24"/>
        </w:rPr>
        <w:t xml:space="preserve"> </w:t>
      </w:r>
      <w:r w:rsidR="0079799B" w:rsidRPr="00825F45">
        <w:rPr>
          <w:rFonts w:asciiTheme="majorHAnsi" w:hAnsiTheme="majorHAnsi"/>
          <w:sz w:val="24"/>
          <w:szCs w:val="24"/>
        </w:rPr>
        <w:t xml:space="preserve">Stromquist, </w:t>
      </w:r>
      <w:r w:rsidR="00BE4363" w:rsidRPr="00825F45">
        <w:rPr>
          <w:rFonts w:asciiTheme="majorHAnsi" w:hAnsiTheme="majorHAnsi"/>
          <w:sz w:val="24"/>
          <w:szCs w:val="24"/>
        </w:rPr>
        <w:t>200</w:t>
      </w:r>
      <w:r w:rsidR="00AB41D5" w:rsidRPr="00825F45">
        <w:rPr>
          <w:rFonts w:asciiTheme="majorHAnsi" w:hAnsiTheme="majorHAnsi"/>
          <w:sz w:val="24"/>
          <w:szCs w:val="24"/>
        </w:rPr>
        <w:t>2</w:t>
      </w:r>
      <w:r w:rsidR="00214EE9" w:rsidRPr="00825F45">
        <w:rPr>
          <w:rFonts w:asciiTheme="majorHAnsi" w:hAnsiTheme="majorHAnsi"/>
          <w:sz w:val="24"/>
          <w:szCs w:val="24"/>
        </w:rPr>
        <w:t>; Unterhalter, 2003;</w:t>
      </w:r>
      <w:r w:rsidR="00BE4363" w:rsidRPr="00825F45">
        <w:rPr>
          <w:rFonts w:asciiTheme="majorHAnsi" w:hAnsiTheme="majorHAnsi"/>
          <w:sz w:val="24"/>
          <w:szCs w:val="24"/>
        </w:rPr>
        <w:t xml:space="preserve"> </w:t>
      </w:r>
      <w:r w:rsidR="0079799B" w:rsidRPr="00825F45">
        <w:rPr>
          <w:rFonts w:asciiTheme="majorHAnsi" w:hAnsiTheme="majorHAnsi"/>
          <w:sz w:val="24"/>
          <w:szCs w:val="24"/>
        </w:rPr>
        <w:t xml:space="preserve">Monkman, </w:t>
      </w:r>
      <w:r w:rsidR="00AB060F" w:rsidRPr="00825F45">
        <w:rPr>
          <w:rFonts w:asciiTheme="majorHAnsi" w:hAnsiTheme="majorHAnsi"/>
          <w:sz w:val="24"/>
          <w:szCs w:val="24"/>
        </w:rPr>
        <w:t>2011;</w:t>
      </w:r>
      <w:r w:rsidR="00BE4363" w:rsidRPr="00825F45">
        <w:rPr>
          <w:rFonts w:asciiTheme="majorHAnsi" w:hAnsiTheme="majorHAnsi"/>
          <w:sz w:val="24"/>
          <w:szCs w:val="24"/>
        </w:rPr>
        <w:t xml:space="preserve"> </w:t>
      </w:r>
      <w:r w:rsidR="0079799B" w:rsidRPr="00825F45">
        <w:rPr>
          <w:rFonts w:asciiTheme="majorHAnsi" w:hAnsiTheme="majorHAnsi"/>
          <w:sz w:val="24"/>
          <w:szCs w:val="24"/>
        </w:rPr>
        <w:t>Murphy Graham</w:t>
      </w:r>
      <w:r w:rsidR="00E053D6" w:rsidRPr="00825F45">
        <w:rPr>
          <w:rFonts w:asciiTheme="majorHAnsi" w:hAnsiTheme="majorHAnsi"/>
          <w:sz w:val="24"/>
          <w:szCs w:val="24"/>
        </w:rPr>
        <w:t xml:space="preserve"> 2012</w:t>
      </w:r>
      <w:r w:rsidR="0079799B" w:rsidRPr="00825F45">
        <w:rPr>
          <w:rFonts w:asciiTheme="majorHAnsi" w:hAnsiTheme="majorHAnsi"/>
          <w:sz w:val="24"/>
          <w:szCs w:val="24"/>
        </w:rPr>
        <w:t xml:space="preserve">). </w:t>
      </w:r>
    </w:p>
    <w:p w:rsidR="005340CD" w:rsidRPr="00825F45" w:rsidRDefault="005340CD" w:rsidP="005806B5">
      <w:pPr>
        <w:spacing w:after="0" w:line="240" w:lineRule="auto"/>
        <w:rPr>
          <w:rFonts w:asciiTheme="majorHAnsi" w:hAnsiTheme="majorHAnsi"/>
          <w:sz w:val="24"/>
          <w:szCs w:val="24"/>
        </w:rPr>
      </w:pPr>
    </w:p>
    <w:p w:rsidR="006C2E00" w:rsidRPr="00825F45" w:rsidRDefault="005F3DA2" w:rsidP="005806B5">
      <w:pPr>
        <w:spacing w:after="0" w:line="240" w:lineRule="auto"/>
        <w:rPr>
          <w:rFonts w:asciiTheme="majorHAnsi" w:hAnsiTheme="majorHAnsi"/>
          <w:sz w:val="24"/>
          <w:szCs w:val="24"/>
        </w:rPr>
      </w:pPr>
      <w:r w:rsidRPr="00825F45">
        <w:rPr>
          <w:rFonts w:asciiTheme="majorHAnsi" w:hAnsiTheme="majorHAnsi"/>
          <w:sz w:val="24"/>
          <w:szCs w:val="24"/>
        </w:rPr>
        <w:t>A notable</w:t>
      </w:r>
      <w:r w:rsidR="0079799B" w:rsidRPr="00825F45">
        <w:rPr>
          <w:rFonts w:asciiTheme="majorHAnsi" w:hAnsiTheme="majorHAnsi"/>
          <w:sz w:val="24"/>
          <w:szCs w:val="24"/>
        </w:rPr>
        <w:t xml:space="preserve"> critique is that in monitoring school systems and the provision of opportunities to learn primarily in units of </w:t>
      </w:r>
      <w:r w:rsidR="004D236A" w:rsidRPr="00825F45">
        <w:rPr>
          <w:rFonts w:asciiTheme="majorHAnsi" w:hAnsiTheme="majorHAnsi"/>
          <w:sz w:val="24"/>
          <w:szCs w:val="24"/>
        </w:rPr>
        <w:t>resource,</w:t>
      </w:r>
      <w:r w:rsidR="0079799B" w:rsidRPr="00825F45">
        <w:rPr>
          <w:rFonts w:asciiTheme="majorHAnsi" w:hAnsiTheme="majorHAnsi"/>
          <w:sz w:val="24"/>
          <w:szCs w:val="24"/>
        </w:rPr>
        <w:t xml:space="preserve"> that is how many years of enrolment or what level of attainment, </w:t>
      </w:r>
      <w:r w:rsidR="004D236A" w:rsidRPr="00825F45">
        <w:rPr>
          <w:rFonts w:asciiTheme="majorHAnsi" w:hAnsiTheme="majorHAnsi"/>
          <w:sz w:val="24"/>
          <w:szCs w:val="24"/>
        </w:rPr>
        <w:t>analysts miss</w:t>
      </w:r>
      <w:r w:rsidR="0079799B" w:rsidRPr="00825F45">
        <w:rPr>
          <w:rFonts w:asciiTheme="majorHAnsi" w:hAnsiTheme="majorHAnsi"/>
          <w:sz w:val="24"/>
          <w:szCs w:val="24"/>
        </w:rPr>
        <w:t xml:space="preserve"> aspects of </w:t>
      </w:r>
      <w:proofErr w:type="spellStart"/>
      <w:r w:rsidR="0079799B" w:rsidRPr="00825F45">
        <w:rPr>
          <w:rFonts w:asciiTheme="majorHAnsi" w:hAnsiTheme="majorHAnsi"/>
          <w:sz w:val="24"/>
          <w:szCs w:val="24"/>
        </w:rPr>
        <w:t>situatedness</w:t>
      </w:r>
      <w:proofErr w:type="spellEnd"/>
      <w:r w:rsidR="0079799B" w:rsidRPr="00825F45">
        <w:rPr>
          <w:rFonts w:asciiTheme="majorHAnsi" w:hAnsiTheme="majorHAnsi"/>
          <w:sz w:val="24"/>
          <w:szCs w:val="24"/>
        </w:rPr>
        <w:t xml:space="preserve">, collectivity, emotion, and the sense of vulnerability which has been a key component </w:t>
      </w:r>
      <w:r w:rsidR="008315B6" w:rsidRPr="00825F45">
        <w:rPr>
          <w:rFonts w:asciiTheme="majorHAnsi" w:hAnsiTheme="majorHAnsi"/>
          <w:sz w:val="24"/>
          <w:szCs w:val="24"/>
        </w:rPr>
        <w:t>of postcolonial</w:t>
      </w:r>
      <w:r w:rsidR="00A670D0" w:rsidRPr="00825F45">
        <w:rPr>
          <w:rFonts w:asciiTheme="majorHAnsi" w:hAnsiTheme="majorHAnsi"/>
          <w:sz w:val="24"/>
          <w:szCs w:val="24"/>
        </w:rPr>
        <w:t xml:space="preserve"> </w:t>
      </w:r>
      <w:r w:rsidR="0079799B" w:rsidRPr="00825F45">
        <w:rPr>
          <w:rFonts w:asciiTheme="majorHAnsi" w:hAnsiTheme="majorHAnsi"/>
          <w:sz w:val="24"/>
          <w:szCs w:val="24"/>
        </w:rPr>
        <w:t xml:space="preserve">feminist assessments of inequality and experience of education </w:t>
      </w:r>
      <w:r w:rsidR="0079799B" w:rsidRPr="00825F45">
        <w:rPr>
          <w:rFonts w:asciiTheme="majorHAnsi" w:hAnsiTheme="majorHAnsi"/>
          <w:i/>
          <w:sz w:val="24"/>
          <w:szCs w:val="24"/>
        </w:rPr>
        <w:t>whether or not there have been achievements</w:t>
      </w:r>
      <w:r w:rsidR="00E938BC" w:rsidRPr="00825F45">
        <w:rPr>
          <w:rFonts w:asciiTheme="majorHAnsi" w:hAnsiTheme="majorHAnsi"/>
          <w:sz w:val="24"/>
          <w:szCs w:val="24"/>
        </w:rPr>
        <w:t>.</w:t>
      </w:r>
      <w:r w:rsidR="00AB060F" w:rsidRPr="00825F45">
        <w:rPr>
          <w:rFonts w:asciiTheme="majorHAnsi" w:hAnsiTheme="majorHAnsi"/>
          <w:sz w:val="24"/>
          <w:szCs w:val="24"/>
        </w:rPr>
        <w:t xml:space="preserve"> </w:t>
      </w:r>
      <w:r w:rsidR="00053130" w:rsidRPr="00825F45">
        <w:rPr>
          <w:rFonts w:asciiTheme="majorHAnsi" w:hAnsiTheme="majorHAnsi"/>
          <w:sz w:val="24"/>
          <w:szCs w:val="24"/>
        </w:rPr>
        <w:t>Thus, a number of African feminis</w:t>
      </w:r>
      <w:r w:rsidR="00085D06">
        <w:rPr>
          <w:rFonts w:asciiTheme="majorHAnsi" w:hAnsiTheme="majorHAnsi"/>
          <w:sz w:val="24"/>
          <w:szCs w:val="24"/>
        </w:rPr>
        <w:t xml:space="preserve">t analysts </w:t>
      </w:r>
      <w:proofErr w:type="gramStart"/>
      <w:r w:rsidR="00085D06">
        <w:rPr>
          <w:rFonts w:asciiTheme="majorHAnsi" w:hAnsiTheme="majorHAnsi"/>
          <w:sz w:val="24"/>
          <w:szCs w:val="24"/>
        </w:rPr>
        <w:t>(</w:t>
      </w:r>
      <w:r w:rsidR="00AB060F" w:rsidRPr="00825F45">
        <w:rPr>
          <w:rFonts w:asciiTheme="majorHAnsi" w:hAnsiTheme="majorHAnsi"/>
          <w:sz w:val="24"/>
          <w:szCs w:val="24"/>
        </w:rPr>
        <w:t xml:space="preserve"> </w:t>
      </w:r>
      <w:proofErr w:type="spellStart"/>
      <w:r w:rsidR="00387457" w:rsidRPr="00825F45">
        <w:rPr>
          <w:rFonts w:asciiTheme="majorHAnsi" w:hAnsiTheme="majorHAnsi"/>
          <w:sz w:val="24"/>
          <w:szCs w:val="24"/>
        </w:rPr>
        <w:t>Salo</w:t>
      </w:r>
      <w:proofErr w:type="spellEnd"/>
      <w:proofErr w:type="gramEnd"/>
      <w:r w:rsidR="00387457" w:rsidRPr="00825F45">
        <w:rPr>
          <w:rFonts w:asciiTheme="majorHAnsi" w:hAnsiTheme="majorHAnsi"/>
          <w:sz w:val="24"/>
          <w:szCs w:val="24"/>
        </w:rPr>
        <w:t xml:space="preserve"> and Mama, 2001;</w:t>
      </w:r>
      <w:r w:rsidR="0079799B" w:rsidRPr="00825F45">
        <w:rPr>
          <w:rFonts w:asciiTheme="majorHAnsi" w:hAnsiTheme="majorHAnsi"/>
          <w:sz w:val="24"/>
          <w:szCs w:val="24"/>
        </w:rPr>
        <w:t xml:space="preserve"> </w:t>
      </w:r>
      <w:proofErr w:type="spellStart"/>
      <w:r w:rsidR="0079799B" w:rsidRPr="00825F45">
        <w:rPr>
          <w:rFonts w:asciiTheme="majorHAnsi" w:hAnsiTheme="majorHAnsi"/>
          <w:sz w:val="24"/>
          <w:szCs w:val="24"/>
        </w:rPr>
        <w:t>Nnaemeka</w:t>
      </w:r>
      <w:proofErr w:type="spellEnd"/>
      <w:r w:rsidR="008C6E3C" w:rsidRPr="00825F45">
        <w:rPr>
          <w:rFonts w:asciiTheme="majorHAnsi" w:hAnsiTheme="majorHAnsi"/>
          <w:sz w:val="24"/>
          <w:szCs w:val="24"/>
        </w:rPr>
        <w:t xml:space="preserve"> 2003</w:t>
      </w:r>
      <w:r w:rsidR="00E938BC" w:rsidRPr="00825F45">
        <w:rPr>
          <w:rFonts w:asciiTheme="majorHAnsi" w:hAnsiTheme="majorHAnsi"/>
          <w:sz w:val="24"/>
          <w:szCs w:val="24"/>
        </w:rPr>
        <w:t xml:space="preserve">; </w:t>
      </w:r>
      <w:r w:rsidR="00387457" w:rsidRPr="00825F45">
        <w:rPr>
          <w:rFonts w:asciiTheme="majorHAnsi" w:hAnsiTheme="majorHAnsi"/>
          <w:sz w:val="24"/>
          <w:szCs w:val="24"/>
        </w:rPr>
        <w:t>Mama, 2007</w:t>
      </w:r>
      <w:r w:rsidR="0079799B" w:rsidRPr="00825F45">
        <w:rPr>
          <w:rFonts w:asciiTheme="majorHAnsi" w:hAnsiTheme="majorHAnsi"/>
          <w:sz w:val="24"/>
          <w:szCs w:val="24"/>
        </w:rPr>
        <w:t>)</w:t>
      </w:r>
      <w:r w:rsidR="00053130" w:rsidRPr="00825F45">
        <w:rPr>
          <w:rFonts w:asciiTheme="majorHAnsi" w:hAnsiTheme="majorHAnsi"/>
          <w:sz w:val="24"/>
          <w:szCs w:val="24"/>
        </w:rPr>
        <w:t xml:space="preserve"> draw attention to the nuance of locale, and the ways in which particular kinds of</w:t>
      </w:r>
      <w:r w:rsidR="00E938BC" w:rsidRPr="00825F45">
        <w:rPr>
          <w:rFonts w:asciiTheme="majorHAnsi" w:hAnsiTheme="majorHAnsi"/>
          <w:sz w:val="24"/>
          <w:szCs w:val="24"/>
        </w:rPr>
        <w:t xml:space="preserve"> relationships form and re-form</w:t>
      </w:r>
      <w:r w:rsidR="00053130" w:rsidRPr="00825F45">
        <w:rPr>
          <w:rFonts w:asciiTheme="majorHAnsi" w:hAnsiTheme="majorHAnsi"/>
          <w:sz w:val="24"/>
          <w:szCs w:val="24"/>
        </w:rPr>
        <w:t xml:space="preserve"> in response to particular conditio</w:t>
      </w:r>
      <w:r w:rsidR="00AA2A8A" w:rsidRPr="00825F45">
        <w:rPr>
          <w:rFonts w:asciiTheme="majorHAnsi" w:hAnsiTheme="majorHAnsi"/>
          <w:sz w:val="24"/>
          <w:szCs w:val="24"/>
        </w:rPr>
        <w:t>ns</w:t>
      </w:r>
      <w:r w:rsidR="0079799B" w:rsidRPr="00825F45">
        <w:rPr>
          <w:rFonts w:asciiTheme="majorHAnsi" w:hAnsiTheme="majorHAnsi"/>
          <w:sz w:val="24"/>
          <w:szCs w:val="24"/>
        </w:rPr>
        <w:t>.</w:t>
      </w:r>
      <w:r w:rsidR="00053130" w:rsidRPr="00825F45">
        <w:rPr>
          <w:rFonts w:asciiTheme="majorHAnsi" w:hAnsiTheme="majorHAnsi"/>
          <w:sz w:val="24"/>
          <w:szCs w:val="24"/>
        </w:rPr>
        <w:t xml:space="preserve"> Thus </w:t>
      </w:r>
      <w:r w:rsidR="00AB060F" w:rsidRPr="00825F45">
        <w:rPr>
          <w:rFonts w:asciiTheme="majorHAnsi" w:hAnsiTheme="majorHAnsi"/>
          <w:sz w:val="24"/>
          <w:szCs w:val="24"/>
        </w:rPr>
        <w:t>reducing inequalities</w:t>
      </w:r>
      <w:r w:rsidR="00053130" w:rsidRPr="00825F45">
        <w:rPr>
          <w:rFonts w:asciiTheme="majorHAnsi" w:hAnsiTheme="majorHAnsi"/>
          <w:sz w:val="24"/>
          <w:szCs w:val="24"/>
        </w:rPr>
        <w:t xml:space="preserve"> in access to schooling might happen in conditions of expanding women’s rights to assets, </w:t>
      </w:r>
      <w:proofErr w:type="spellStart"/>
      <w:r w:rsidR="00053130" w:rsidRPr="00825F45">
        <w:rPr>
          <w:rFonts w:asciiTheme="majorHAnsi" w:hAnsiTheme="majorHAnsi"/>
          <w:sz w:val="24"/>
          <w:szCs w:val="24"/>
        </w:rPr>
        <w:t>labour</w:t>
      </w:r>
      <w:proofErr w:type="spellEnd"/>
      <w:r w:rsidR="00053130" w:rsidRPr="00825F45">
        <w:rPr>
          <w:rFonts w:asciiTheme="majorHAnsi" w:hAnsiTheme="majorHAnsi"/>
          <w:sz w:val="24"/>
          <w:szCs w:val="24"/>
        </w:rPr>
        <w:t xml:space="preserve"> market participation, or political participation. However, sometimes girls have rights</w:t>
      </w:r>
      <w:r w:rsidR="00A56F59">
        <w:rPr>
          <w:rFonts w:asciiTheme="majorHAnsi" w:hAnsiTheme="majorHAnsi"/>
          <w:sz w:val="24"/>
          <w:szCs w:val="24"/>
        </w:rPr>
        <w:t xml:space="preserve"> to and within education</w:t>
      </w:r>
      <w:r w:rsidR="00053130" w:rsidRPr="00825F45">
        <w:rPr>
          <w:rFonts w:asciiTheme="majorHAnsi" w:hAnsiTheme="majorHAnsi"/>
          <w:sz w:val="24"/>
          <w:szCs w:val="24"/>
        </w:rPr>
        <w:t>, but few economic and social rights</w:t>
      </w:r>
      <w:r w:rsidR="00BA5846" w:rsidRPr="00825F45">
        <w:rPr>
          <w:rFonts w:asciiTheme="majorHAnsi" w:hAnsiTheme="majorHAnsi"/>
          <w:sz w:val="24"/>
          <w:szCs w:val="24"/>
        </w:rPr>
        <w:t xml:space="preserve"> in public and private arenas</w:t>
      </w:r>
      <w:r w:rsidR="00053130" w:rsidRPr="00825F45">
        <w:rPr>
          <w:rFonts w:asciiTheme="majorHAnsi" w:hAnsiTheme="majorHAnsi"/>
          <w:sz w:val="24"/>
          <w:szCs w:val="24"/>
        </w:rPr>
        <w:t xml:space="preserve">. In some contexts, women have considerable economic power in certain spheres, like trade, but do not participate in schooling. </w:t>
      </w:r>
      <w:r w:rsidR="005340CD" w:rsidRPr="00825F45">
        <w:rPr>
          <w:rFonts w:asciiTheme="majorHAnsi" w:hAnsiTheme="majorHAnsi"/>
          <w:sz w:val="24"/>
          <w:szCs w:val="24"/>
        </w:rPr>
        <w:t>The fine-grain of context is important at both national and local levels.</w:t>
      </w:r>
      <w:r w:rsidR="00BA5846" w:rsidRPr="00825F45">
        <w:rPr>
          <w:rFonts w:asciiTheme="majorHAnsi" w:hAnsiTheme="majorHAnsi"/>
          <w:sz w:val="24"/>
          <w:szCs w:val="24"/>
        </w:rPr>
        <w:t xml:space="preserve"> One trend of commentary draws out how engaging with equality  entails not only what is learned formally  in school, but draws on larger lessons about generosity, </w:t>
      </w:r>
      <w:r w:rsidR="00BA5846" w:rsidRPr="00825F45">
        <w:rPr>
          <w:rFonts w:asciiTheme="majorHAnsi" w:hAnsiTheme="majorHAnsi"/>
          <w:sz w:val="24"/>
          <w:szCs w:val="24"/>
        </w:rPr>
        <w:lastRenderedPageBreak/>
        <w:t>tolerance and the effects of suffering, where much wisdom may reside with women and men, who do not necessarily have formal schooling, and where a key element of learning entails engaging with emotion</w:t>
      </w:r>
      <w:r w:rsidR="00E938BC" w:rsidRPr="00825F45">
        <w:rPr>
          <w:rFonts w:asciiTheme="majorHAnsi" w:hAnsiTheme="majorHAnsi"/>
          <w:sz w:val="24"/>
          <w:szCs w:val="24"/>
        </w:rPr>
        <w:t xml:space="preserve"> and vulnerability</w:t>
      </w:r>
      <w:r w:rsidR="00BA5846" w:rsidRPr="00825F45">
        <w:rPr>
          <w:rFonts w:asciiTheme="majorHAnsi" w:hAnsiTheme="majorHAnsi"/>
          <w:sz w:val="24"/>
          <w:szCs w:val="24"/>
        </w:rPr>
        <w:t xml:space="preserve"> (</w:t>
      </w:r>
      <w:proofErr w:type="spellStart"/>
      <w:r w:rsidR="00214EE9" w:rsidRPr="00825F45">
        <w:rPr>
          <w:rFonts w:asciiTheme="majorHAnsi" w:hAnsiTheme="majorHAnsi"/>
          <w:sz w:val="24"/>
          <w:szCs w:val="24"/>
        </w:rPr>
        <w:t>Nnaemeka</w:t>
      </w:r>
      <w:proofErr w:type="spellEnd"/>
      <w:r w:rsidR="00214EE9" w:rsidRPr="00825F45">
        <w:rPr>
          <w:rFonts w:asciiTheme="majorHAnsi" w:hAnsiTheme="majorHAnsi"/>
          <w:sz w:val="24"/>
          <w:szCs w:val="24"/>
        </w:rPr>
        <w:t>, 2003; Abrahams, 2007</w:t>
      </w:r>
      <w:r w:rsidR="00BA5846" w:rsidRPr="00825F45">
        <w:rPr>
          <w:rFonts w:asciiTheme="majorHAnsi" w:hAnsiTheme="majorHAnsi"/>
          <w:sz w:val="24"/>
          <w:szCs w:val="24"/>
        </w:rPr>
        <w:t xml:space="preserve">) </w:t>
      </w:r>
      <w:r w:rsidR="00EB5BF3" w:rsidRPr="00825F45">
        <w:rPr>
          <w:rFonts w:asciiTheme="majorHAnsi" w:hAnsiTheme="majorHAnsi"/>
          <w:sz w:val="24"/>
          <w:szCs w:val="24"/>
        </w:rPr>
        <w:t>In</w:t>
      </w:r>
      <w:r w:rsidR="00BA5846" w:rsidRPr="00825F45">
        <w:rPr>
          <w:rFonts w:asciiTheme="majorHAnsi" w:hAnsiTheme="majorHAnsi"/>
          <w:sz w:val="24"/>
          <w:szCs w:val="24"/>
        </w:rPr>
        <w:t xml:space="preserve"> some of</w:t>
      </w:r>
      <w:r w:rsidR="00EB5BF3" w:rsidRPr="00825F45">
        <w:rPr>
          <w:rFonts w:asciiTheme="majorHAnsi" w:hAnsiTheme="majorHAnsi"/>
          <w:sz w:val="24"/>
          <w:szCs w:val="24"/>
        </w:rPr>
        <w:t xml:space="preserve"> this analysis, while much attention is given to the complexity of gendered power and the difficulties of confronting it, relatively little attention is given to the significance of the expansion of education provision, which is sometimes treated as </w:t>
      </w:r>
      <w:r w:rsidR="0079799B" w:rsidRPr="00825F45">
        <w:rPr>
          <w:rFonts w:asciiTheme="majorHAnsi" w:hAnsiTheme="majorHAnsi"/>
          <w:sz w:val="24"/>
          <w:szCs w:val="24"/>
        </w:rPr>
        <w:t xml:space="preserve">an area of </w:t>
      </w:r>
      <w:r w:rsidR="00AD248A" w:rsidRPr="00825F45">
        <w:rPr>
          <w:rFonts w:asciiTheme="majorHAnsi" w:hAnsiTheme="majorHAnsi"/>
          <w:sz w:val="24"/>
          <w:szCs w:val="24"/>
        </w:rPr>
        <w:t xml:space="preserve">almost </w:t>
      </w:r>
      <w:r w:rsidR="0079799B" w:rsidRPr="00825F45">
        <w:rPr>
          <w:rFonts w:asciiTheme="majorHAnsi" w:hAnsiTheme="majorHAnsi"/>
          <w:sz w:val="24"/>
          <w:szCs w:val="24"/>
        </w:rPr>
        <w:t>deceitful false promises to girls</w:t>
      </w:r>
      <w:r w:rsidR="00A670D0" w:rsidRPr="00825F45">
        <w:rPr>
          <w:rFonts w:asciiTheme="majorHAnsi" w:hAnsiTheme="majorHAnsi"/>
          <w:sz w:val="24"/>
          <w:szCs w:val="24"/>
        </w:rPr>
        <w:t xml:space="preserve"> or boys</w:t>
      </w:r>
      <w:r w:rsidR="004223CE" w:rsidRPr="00825F45">
        <w:rPr>
          <w:rFonts w:asciiTheme="majorHAnsi" w:hAnsiTheme="majorHAnsi"/>
          <w:sz w:val="24"/>
          <w:szCs w:val="24"/>
        </w:rPr>
        <w:t xml:space="preserve"> (</w:t>
      </w:r>
      <w:r w:rsidR="00033CFF" w:rsidRPr="00825F45">
        <w:rPr>
          <w:rFonts w:asciiTheme="majorHAnsi" w:hAnsiTheme="majorHAnsi"/>
          <w:sz w:val="24"/>
          <w:szCs w:val="24"/>
        </w:rPr>
        <w:t>Youdell, 2006</w:t>
      </w:r>
      <w:r w:rsidR="00AD248A" w:rsidRPr="00825F45">
        <w:rPr>
          <w:rFonts w:asciiTheme="majorHAnsi" w:hAnsiTheme="majorHAnsi"/>
          <w:sz w:val="24"/>
          <w:szCs w:val="24"/>
        </w:rPr>
        <w:t>)</w:t>
      </w:r>
      <w:r w:rsidR="00780C5F">
        <w:rPr>
          <w:rFonts w:asciiTheme="majorHAnsi" w:hAnsiTheme="majorHAnsi"/>
          <w:sz w:val="24"/>
          <w:szCs w:val="24"/>
        </w:rPr>
        <w:t>.</w:t>
      </w:r>
      <w:r w:rsidR="00BB3B9B" w:rsidRPr="00825F45">
        <w:rPr>
          <w:rFonts w:asciiTheme="majorHAnsi" w:hAnsiTheme="majorHAnsi"/>
          <w:sz w:val="24"/>
          <w:szCs w:val="24"/>
        </w:rPr>
        <w:t xml:space="preserve"> H</w:t>
      </w:r>
      <w:r w:rsidR="00085D06">
        <w:rPr>
          <w:rFonts w:asciiTheme="majorHAnsi" w:hAnsiTheme="majorHAnsi"/>
          <w:sz w:val="24"/>
          <w:szCs w:val="24"/>
        </w:rPr>
        <w:t>owever</w:t>
      </w:r>
      <w:r w:rsidR="00F214EB">
        <w:rPr>
          <w:rFonts w:asciiTheme="majorHAnsi" w:hAnsiTheme="majorHAnsi"/>
          <w:sz w:val="24"/>
          <w:szCs w:val="24"/>
        </w:rPr>
        <w:t>, some</w:t>
      </w:r>
      <w:r w:rsidR="00BB3B9B" w:rsidRPr="00825F45">
        <w:rPr>
          <w:rFonts w:asciiTheme="majorHAnsi" w:hAnsiTheme="majorHAnsi"/>
          <w:sz w:val="24"/>
          <w:szCs w:val="24"/>
        </w:rPr>
        <w:t xml:space="preserve"> </w:t>
      </w:r>
      <w:proofErr w:type="gramStart"/>
      <w:r w:rsidR="00BB3B9B" w:rsidRPr="00825F45">
        <w:rPr>
          <w:rFonts w:asciiTheme="majorHAnsi" w:hAnsiTheme="majorHAnsi"/>
          <w:sz w:val="24"/>
          <w:szCs w:val="24"/>
        </w:rPr>
        <w:t>very</w:t>
      </w:r>
      <w:proofErr w:type="gramEnd"/>
      <w:r w:rsidR="00BB3B9B" w:rsidRPr="00825F45">
        <w:rPr>
          <w:rFonts w:asciiTheme="majorHAnsi" w:hAnsiTheme="majorHAnsi"/>
          <w:sz w:val="24"/>
          <w:szCs w:val="24"/>
        </w:rPr>
        <w:t xml:space="preserve"> nuanced accounts </w:t>
      </w:r>
      <w:r w:rsidR="00BB14F8" w:rsidRPr="00825F45">
        <w:rPr>
          <w:rFonts w:asciiTheme="majorHAnsi" w:hAnsiTheme="majorHAnsi"/>
          <w:sz w:val="24"/>
          <w:szCs w:val="24"/>
        </w:rPr>
        <w:t xml:space="preserve">draw out how </w:t>
      </w:r>
      <w:r w:rsidR="00BB3B9B" w:rsidRPr="00825F45">
        <w:rPr>
          <w:rFonts w:asciiTheme="majorHAnsi" w:hAnsiTheme="majorHAnsi"/>
          <w:sz w:val="24"/>
          <w:szCs w:val="24"/>
        </w:rPr>
        <w:t xml:space="preserve">formal learning in school or higher education can only touch the surface of insight into these connections, which are key to appreciating features of gender </w:t>
      </w:r>
      <w:r w:rsidR="00EC36E0" w:rsidRPr="00825F45">
        <w:rPr>
          <w:rFonts w:asciiTheme="majorHAnsi" w:hAnsiTheme="majorHAnsi"/>
          <w:sz w:val="24"/>
          <w:szCs w:val="24"/>
        </w:rPr>
        <w:t>justice (</w:t>
      </w:r>
      <w:r w:rsidR="000B5D88" w:rsidRPr="00825F45">
        <w:rPr>
          <w:rFonts w:asciiTheme="majorHAnsi" w:hAnsiTheme="majorHAnsi"/>
          <w:sz w:val="24"/>
          <w:szCs w:val="24"/>
        </w:rPr>
        <w:t>Abrah</w:t>
      </w:r>
      <w:r w:rsidR="00B90E77" w:rsidRPr="00825F45">
        <w:rPr>
          <w:rFonts w:asciiTheme="majorHAnsi" w:hAnsiTheme="majorHAnsi"/>
          <w:sz w:val="24"/>
          <w:szCs w:val="24"/>
        </w:rPr>
        <w:t>a</w:t>
      </w:r>
      <w:r w:rsidR="00214EE9" w:rsidRPr="00825F45">
        <w:rPr>
          <w:rFonts w:asciiTheme="majorHAnsi" w:hAnsiTheme="majorHAnsi"/>
          <w:sz w:val="24"/>
          <w:szCs w:val="24"/>
        </w:rPr>
        <w:t xml:space="preserve">ms, </w:t>
      </w:r>
      <w:r w:rsidR="00BA4BC9" w:rsidRPr="00825F45">
        <w:rPr>
          <w:rFonts w:asciiTheme="majorHAnsi" w:hAnsiTheme="majorHAnsi"/>
          <w:sz w:val="24"/>
          <w:szCs w:val="24"/>
        </w:rPr>
        <w:t>2007</w:t>
      </w:r>
      <w:r w:rsidR="00455FB3">
        <w:rPr>
          <w:rFonts w:asciiTheme="majorHAnsi" w:hAnsiTheme="majorHAnsi"/>
          <w:sz w:val="24"/>
          <w:szCs w:val="24"/>
        </w:rPr>
        <w:t xml:space="preserve">; </w:t>
      </w:r>
      <w:proofErr w:type="spellStart"/>
      <w:r w:rsidR="00455FB3">
        <w:rPr>
          <w:rFonts w:asciiTheme="majorHAnsi" w:hAnsiTheme="majorHAnsi"/>
          <w:sz w:val="24"/>
          <w:szCs w:val="24"/>
        </w:rPr>
        <w:t>Andreotti</w:t>
      </w:r>
      <w:proofErr w:type="spellEnd"/>
      <w:r w:rsidR="00455FB3">
        <w:rPr>
          <w:rFonts w:asciiTheme="majorHAnsi" w:hAnsiTheme="majorHAnsi"/>
          <w:sz w:val="24"/>
          <w:szCs w:val="24"/>
        </w:rPr>
        <w:t>, 2011</w:t>
      </w:r>
      <w:r w:rsidR="00BB3B9B" w:rsidRPr="00825F45">
        <w:rPr>
          <w:rFonts w:asciiTheme="majorHAnsi" w:hAnsiTheme="majorHAnsi"/>
          <w:sz w:val="24"/>
          <w:szCs w:val="24"/>
        </w:rPr>
        <w:t>)</w:t>
      </w:r>
      <w:r w:rsidR="00085D06">
        <w:rPr>
          <w:rFonts w:asciiTheme="majorHAnsi" w:hAnsiTheme="majorHAnsi"/>
          <w:sz w:val="24"/>
          <w:szCs w:val="24"/>
        </w:rPr>
        <w:t xml:space="preserve">. These accounts, however, </w:t>
      </w:r>
      <w:r w:rsidR="00BB3B9B" w:rsidRPr="00825F45">
        <w:rPr>
          <w:rFonts w:asciiTheme="majorHAnsi" w:hAnsiTheme="majorHAnsi"/>
          <w:sz w:val="24"/>
          <w:szCs w:val="24"/>
        </w:rPr>
        <w:t xml:space="preserve">do not discount </w:t>
      </w:r>
      <w:r w:rsidR="00455FB3">
        <w:rPr>
          <w:rFonts w:asciiTheme="majorHAnsi" w:hAnsiTheme="majorHAnsi"/>
          <w:sz w:val="24"/>
          <w:szCs w:val="24"/>
        </w:rPr>
        <w:t>the significance of being in a formal education setting</w:t>
      </w:r>
      <w:r w:rsidR="00085D06">
        <w:rPr>
          <w:rFonts w:asciiTheme="majorHAnsi" w:hAnsiTheme="majorHAnsi"/>
          <w:sz w:val="24"/>
          <w:szCs w:val="24"/>
        </w:rPr>
        <w:t>. But</w:t>
      </w:r>
      <w:r w:rsidR="00BB3B9B" w:rsidRPr="00825F45">
        <w:rPr>
          <w:rFonts w:asciiTheme="majorHAnsi" w:hAnsiTheme="majorHAnsi"/>
          <w:sz w:val="24"/>
          <w:szCs w:val="24"/>
        </w:rPr>
        <w:t>, they are concerned at how difficult it is, under current conditions, which overlook many injustices</w:t>
      </w:r>
      <w:r w:rsidR="00995412">
        <w:rPr>
          <w:rFonts w:asciiTheme="majorHAnsi" w:hAnsiTheme="majorHAnsi"/>
          <w:sz w:val="24"/>
          <w:szCs w:val="24"/>
        </w:rPr>
        <w:t>,</w:t>
      </w:r>
      <w:r w:rsidR="00BB3B9B" w:rsidRPr="00825F45">
        <w:rPr>
          <w:rFonts w:asciiTheme="majorHAnsi" w:hAnsiTheme="majorHAnsi"/>
          <w:sz w:val="24"/>
          <w:szCs w:val="24"/>
        </w:rPr>
        <w:t xml:space="preserve"> for schools to engage with addressing these larger values.</w:t>
      </w:r>
    </w:p>
    <w:p w:rsidR="00971B31" w:rsidRPr="00825F45" w:rsidRDefault="00971B31" w:rsidP="005806B5">
      <w:pPr>
        <w:spacing w:after="0" w:line="240" w:lineRule="auto"/>
        <w:rPr>
          <w:rFonts w:asciiTheme="majorHAnsi" w:hAnsiTheme="majorHAnsi"/>
          <w:sz w:val="24"/>
          <w:szCs w:val="24"/>
        </w:rPr>
      </w:pPr>
    </w:p>
    <w:p w:rsidR="005F3DA2" w:rsidRPr="00825F45" w:rsidRDefault="0079799B" w:rsidP="005806B5">
      <w:pPr>
        <w:spacing w:after="0" w:line="240" w:lineRule="auto"/>
        <w:rPr>
          <w:rFonts w:asciiTheme="majorHAnsi" w:hAnsiTheme="majorHAnsi"/>
          <w:sz w:val="24"/>
          <w:szCs w:val="24"/>
        </w:rPr>
      </w:pPr>
      <w:r w:rsidRPr="00825F45">
        <w:rPr>
          <w:rFonts w:asciiTheme="majorHAnsi" w:hAnsiTheme="majorHAnsi"/>
          <w:sz w:val="24"/>
          <w:szCs w:val="24"/>
        </w:rPr>
        <w:t>A problem for the first group of analysts</w:t>
      </w:r>
      <w:r w:rsidR="005F3DA2" w:rsidRPr="00825F45">
        <w:rPr>
          <w:rFonts w:asciiTheme="majorHAnsi" w:hAnsiTheme="majorHAnsi"/>
          <w:sz w:val="24"/>
          <w:szCs w:val="24"/>
        </w:rPr>
        <w:t xml:space="preserve">, who suggest the main problem is the distribution of education opportunities, </w:t>
      </w:r>
      <w:r w:rsidRPr="00825F45">
        <w:rPr>
          <w:rFonts w:asciiTheme="majorHAnsi" w:hAnsiTheme="majorHAnsi"/>
          <w:sz w:val="24"/>
          <w:szCs w:val="24"/>
        </w:rPr>
        <w:t>is that in looking primarily at what Unterhalter (2007, p</w:t>
      </w:r>
      <w:r w:rsidR="008C6E3C" w:rsidRPr="00825F45">
        <w:rPr>
          <w:rFonts w:asciiTheme="majorHAnsi" w:hAnsiTheme="majorHAnsi"/>
          <w:sz w:val="24"/>
          <w:szCs w:val="24"/>
        </w:rPr>
        <w:t xml:space="preserve"> xii-xiii</w:t>
      </w:r>
      <w:r w:rsidRPr="00825F45">
        <w:rPr>
          <w:rFonts w:asciiTheme="majorHAnsi" w:hAnsiTheme="majorHAnsi"/>
          <w:sz w:val="24"/>
          <w:szCs w:val="24"/>
        </w:rPr>
        <w:t xml:space="preserve">) has called gender as a noun, that is numbers of girls and boys in school,   </w:t>
      </w:r>
      <w:r w:rsidR="004D01FD" w:rsidRPr="00825F45">
        <w:rPr>
          <w:rFonts w:asciiTheme="majorHAnsi" w:hAnsiTheme="majorHAnsi"/>
          <w:sz w:val="24"/>
          <w:szCs w:val="24"/>
        </w:rPr>
        <w:t xml:space="preserve"> </w:t>
      </w:r>
      <w:r w:rsidR="004D01FD" w:rsidRPr="00825F45">
        <w:rPr>
          <w:rFonts w:asciiTheme="majorHAnsi" w:hAnsiTheme="majorHAnsi"/>
          <w:i/>
          <w:sz w:val="24"/>
          <w:szCs w:val="24"/>
        </w:rPr>
        <w:t xml:space="preserve">gender </w:t>
      </w:r>
      <w:r w:rsidR="004D236A" w:rsidRPr="00825F45">
        <w:rPr>
          <w:rFonts w:asciiTheme="majorHAnsi" w:hAnsiTheme="majorHAnsi"/>
          <w:i/>
          <w:sz w:val="24"/>
          <w:szCs w:val="24"/>
        </w:rPr>
        <w:t>relations</w:t>
      </w:r>
      <w:r w:rsidR="004D236A" w:rsidRPr="00825F45">
        <w:rPr>
          <w:rFonts w:asciiTheme="majorHAnsi" w:hAnsiTheme="majorHAnsi"/>
          <w:sz w:val="24"/>
          <w:szCs w:val="24"/>
        </w:rPr>
        <w:t>,</w:t>
      </w:r>
      <w:r w:rsidRPr="00825F45">
        <w:rPr>
          <w:rFonts w:asciiTheme="majorHAnsi" w:hAnsiTheme="majorHAnsi"/>
          <w:sz w:val="24"/>
          <w:szCs w:val="24"/>
        </w:rPr>
        <w:t xml:space="preserve"> </w:t>
      </w:r>
      <w:r w:rsidR="00A8230F" w:rsidRPr="00825F45">
        <w:rPr>
          <w:rFonts w:asciiTheme="majorHAnsi" w:hAnsiTheme="majorHAnsi"/>
          <w:sz w:val="24"/>
          <w:szCs w:val="24"/>
        </w:rPr>
        <w:t>aspects of gender identity</w:t>
      </w:r>
      <w:r w:rsidR="004D236A" w:rsidRPr="00825F45">
        <w:rPr>
          <w:rFonts w:asciiTheme="majorHAnsi" w:hAnsiTheme="majorHAnsi"/>
          <w:sz w:val="24"/>
          <w:szCs w:val="24"/>
        </w:rPr>
        <w:t>, and</w:t>
      </w:r>
      <w:r w:rsidR="00A8230F" w:rsidRPr="00825F45">
        <w:rPr>
          <w:rFonts w:asciiTheme="majorHAnsi" w:hAnsiTheme="majorHAnsi"/>
          <w:sz w:val="24"/>
          <w:szCs w:val="24"/>
        </w:rPr>
        <w:t xml:space="preserve"> </w:t>
      </w:r>
      <w:r w:rsidR="004D01FD" w:rsidRPr="00825F45">
        <w:rPr>
          <w:rFonts w:asciiTheme="majorHAnsi" w:hAnsiTheme="majorHAnsi"/>
          <w:sz w:val="24"/>
          <w:szCs w:val="24"/>
        </w:rPr>
        <w:t>particular representations of this become the background conditions that result in par</w:t>
      </w:r>
      <w:r w:rsidRPr="00825F45">
        <w:rPr>
          <w:rFonts w:asciiTheme="majorHAnsi" w:hAnsiTheme="majorHAnsi"/>
          <w:sz w:val="24"/>
          <w:szCs w:val="24"/>
        </w:rPr>
        <w:t xml:space="preserve">ticular patterns </w:t>
      </w:r>
      <w:r w:rsidR="004D236A" w:rsidRPr="00825F45">
        <w:rPr>
          <w:rFonts w:asciiTheme="majorHAnsi" w:hAnsiTheme="majorHAnsi"/>
          <w:sz w:val="24"/>
          <w:szCs w:val="24"/>
        </w:rPr>
        <w:t>of enrolment</w:t>
      </w:r>
      <w:r w:rsidRPr="00825F45">
        <w:rPr>
          <w:rFonts w:asciiTheme="majorHAnsi" w:hAnsiTheme="majorHAnsi"/>
          <w:sz w:val="24"/>
          <w:szCs w:val="24"/>
        </w:rPr>
        <w:t xml:space="preserve"> or attainment</w:t>
      </w:r>
      <w:r w:rsidR="004D01FD" w:rsidRPr="00825F45">
        <w:rPr>
          <w:rFonts w:asciiTheme="majorHAnsi" w:hAnsiTheme="majorHAnsi"/>
          <w:sz w:val="24"/>
          <w:szCs w:val="24"/>
        </w:rPr>
        <w:t>. Gender relations and</w:t>
      </w:r>
      <w:r w:rsidR="00A8230F" w:rsidRPr="00825F45">
        <w:rPr>
          <w:rFonts w:asciiTheme="majorHAnsi" w:hAnsiTheme="majorHAnsi"/>
          <w:sz w:val="24"/>
          <w:szCs w:val="24"/>
        </w:rPr>
        <w:t xml:space="preserve"> identities and</w:t>
      </w:r>
      <w:r w:rsidR="004D01FD" w:rsidRPr="00825F45">
        <w:rPr>
          <w:rFonts w:asciiTheme="majorHAnsi" w:hAnsiTheme="majorHAnsi"/>
          <w:sz w:val="24"/>
          <w:szCs w:val="24"/>
        </w:rPr>
        <w:t xml:space="preserve"> the contexts that produce them are thus displaced as a focus of injustice. </w:t>
      </w:r>
      <w:r w:rsidRPr="00825F45">
        <w:rPr>
          <w:rFonts w:asciiTheme="majorHAnsi" w:hAnsiTheme="majorHAnsi"/>
          <w:sz w:val="24"/>
          <w:szCs w:val="24"/>
        </w:rPr>
        <w:t>As the remit, for example of OECD,</w:t>
      </w:r>
      <w:r w:rsidR="00BA4BC9" w:rsidRPr="00825F45">
        <w:rPr>
          <w:rFonts w:asciiTheme="majorHAnsi" w:hAnsiTheme="majorHAnsi"/>
          <w:sz w:val="24"/>
          <w:szCs w:val="24"/>
        </w:rPr>
        <w:t xml:space="preserve"> </w:t>
      </w:r>
      <w:r w:rsidRPr="00825F45">
        <w:rPr>
          <w:rFonts w:asciiTheme="majorHAnsi" w:hAnsiTheme="majorHAnsi"/>
          <w:sz w:val="24"/>
          <w:szCs w:val="24"/>
        </w:rPr>
        <w:t xml:space="preserve">UNESCO or UNICEF in assessing education has </w:t>
      </w:r>
      <w:r w:rsidR="003172CE" w:rsidRPr="00825F45">
        <w:rPr>
          <w:rFonts w:asciiTheme="majorHAnsi" w:hAnsiTheme="majorHAnsi"/>
          <w:sz w:val="24"/>
          <w:szCs w:val="24"/>
        </w:rPr>
        <w:t>generally been to</w:t>
      </w:r>
      <w:r w:rsidRPr="00825F45">
        <w:rPr>
          <w:rFonts w:asciiTheme="majorHAnsi" w:hAnsiTheme="majorHAnsi"/>
          <w:sz w:val="24"/>
          <w:szCs w:val="24"/>
        </w:rPr>
        <w:t xml:space="preserve"> compare the stock and flow of education provision, regardless of the content of what is taught or the social context of schooling, it can appear from these studies that there is not a problem of distribution of schooling except for certain groups, for example poor, rural girls, as the UNESCO Global Monitoring Reports highlight (</w:t>
      </w:r>
      <w:r w:rsidR="00D57F10" w:rsidRPr="00825F45">
        <w:rPr>
          <w:rFonts w:asciiTheme="majorHAnsi" w:hAnsiTheme="majorHAnsi"/>
          <w:sz w:val="24"/>
          <w:szCs w:val="24"/>
        </w:rPr>
        <w:t>UNESCO 2010, p.5</w:t>
      </w:r>
      <w:r w:rsidRPr="00825F45">
        <w:rPr>
          <w:rFonts w:asciiTheme="majorHAnsi" w:hAnsiTheme="majorHAnsi"/>
          <w:sz w:val="24"/>
          <w:szCs w:val="24"/>
        </w:rPr>
        <w:t>)</w:t>
      </w:r>
      <w:r w:rsidR="005F4C45" w:rsidRPr="00825F45">
        <w:rPr>
          <w:rFonts w:asciiTheme="majorHAnsi" w:hAnsiTheme="majorHAnsi"/>
          <w:sz w:val="24"/>
          <w:szCs w:val="24"/>
        </w:rPr>
        <w:t xml:space="preserve">. </w:t>
      </w:r>
    </w:p>
    <w:p w:rsidR="00971B31" w:rsidRPr="00825F45" w:rsidRDefault="00971B31" w:rsidP="005806B5">
      <w:pPr>
        <w:spacing w:after="0" w:line="240" w:lineRule="auto"/>
        <w:rPr>
          <w:rFonts w:asciiTheme="majorHAnsi" w:hAnsiTheme="majorHAnsi"/>
          <w:sz w:val="24"/>
          <w:szCs w:val="24"/>
        </w:rPr>
      </w:pPr>
    </w:p>
    <w:p w:rsidR="00262DF5" w:rsidRPr="00825F45" w:rsidRDefault="005F3DA2" w:rsidP="005806B5">
      <w:pPr>
        <w:spacing w:after="0" w:line="240" w:lineRule="auto"/>
        <w:rPr>
          <w:rFonts w:asciiTheme="majorHAnsi" w:hAnsiTheme="majorHAnsi"/>
          <w:sz w:val="24"/>
          <w:szCs w:val="24"/>
        </w:rPr>
      </w:pPr>
      <w:r w:rsidRPr="00825F45">
        <w:rPr>
          <w:rFonts w:asciiTheme="majorHAnsi" w:hAnsiTheme="majorHAnsi"/>
          <w:sz w:val="24"/>
          <w:szCs w:val="24"/>
        </w:rPr>
        <w:t>However, a</w:t>
      </w:r>
      <w:r w:rsidR="005F4C45" w:rsidRPr="00825F45">
        <w:rPr>
          <w:rFonts w:asciiTheme="majorHAnsi" w:hAnsiTheme="majorHAnsi"/>
          <w:sz w:val="24"/>
          <w:szCs w:val="24"/>
        </w:rPr>
        <w:t xml:space="preserve"> problem for the second group of analysts</w:t>
      </w:r>
      <w:r w:rsidR="00A670D0" w:rsidRPr="00825F45">
        <w:rPr>
          <w:rFonts w:asciiTheme="majorHAnsi" w:hAnsiTheme="majorHAnsi"/>
          <w:sz w:val="24"/>
          <w:szCs w:val="24"/>
        </w:rPr>
        <w:t xml:space="preserve">, whether they step off from a GAD approach, an engagement with capabilities, or post colonial theorizing, </w:t>
      </w:r>
      <w:r w:rsidR="005F4C45" w:rsidRPr="00825F45">
        <w:rPr>
          <w:rFonts w:asciiTheme="majorHAnsi" w:hAnsiTheme="majorHAnsi"/>
          <w:sz w:val="24"/>
          <w:szCs w:val="24"/>
        </w:rPr>
        <w:t xml:space="preserve"> is that in highlighting the gender inequitable structures in schools and societies</w:t>
      </w:r>
      <w:r w:rsidRPr="00825F45">
        <w:rPr>
          <w:rFonts w:asciiTheme="majorHAnsi" w:hAnsiTheme="majorHAnsi"/>
          <w:sz w:val="24"/>
          <w:szCs w:val="24"/>
        </w:rPr>
        <w:t xml:space="preserve"> and the constraints on empowerment</w:t>
      </w:r>
      <w:r w:rsidR="005F4C45" w:rsidRPr="00825F45">
        <w:rPr>
          <w:rFonts w:asciiTheme="majorHAnsi" w:hAnsiTheme="majorHAnsi"/>
          <w:sz w:val="24"/>
          <w:szCs w:val="24"/>
        </w:rPr>
        <w:t xml:space="preserve">, </w:t>
      </w:r>
      <w:r w:rsidR="00262DF5" w:rsidRPr="00825F45">
        <w:rPr>
          <w:rFonts w:asciiTheme="majorHAnsi" w:hAnsiTheme="majorHAnsi"/>
          <w:sz w:val="24"/>
          <w:szCs w:val="24"/>
        </w:rPr>
        <w:t xml:space="preserve"> even for girls and women with experience of education, </w:t>
      </w:r>
      <w:r w:rsidR="005F4C45" w:rsidRPr="00825F45">
        <w:rPr>
          <w:rFonts w:asciiTheme="majorHAnsi" w:hAnsiTheme="majorHAnsi"/>
          <w:sz w:val="24"/>
          <w:szCs w:val="24"/>
        </w:rPr>
        <w:t>the significance of</w:t>
      </w:r>
      <w:r w:rsidRPr="00825F45">
        <w:rPr>
          <w:rFonts w:asciiTheme="majorHAnsi" w:hAnsiTheme="majorHAnsi"/>
          <w:sz w:val="24"/>
          <w:szCs w:val="24"/>
        </w:rPr>
        <w:t xml:space="preserve"> increasingly </w:t>
      </w:r>
      <w:r w:rsidR="005F4C45" w:rsidRPr="00825F45">
        <w:rPr>
          <w:rFonts w:asciiTheme="majorHAnsi" w:hAnsiTheme="majorHAnsi"/>
          <w:sz w:val="24"/>
          <w:szCs w:val="24"/>
        </w:rPr>
        <w:t xml:space="preserve"> large numbers of girls com</w:t>
      </w:r>
      <w:r w:rsidRPr="00825F45">
        <w:rPr>
          <w:rFonts w:asciiTheme="majorHAnsi" w:hAnsiTheme="majorHAnsi"/>
          <w:sz w:val="24"/>
          <w:szCs w:val="24"/>
        </w:rPr>
        <w:t>pleting school, making substantial</w:t>
      </w:r>
      <w:r w:rsidR="005F4C45" w:rsidRPr="00825F45">
        <w:rPr>
          <w:rFonts w:asciiTheme="majorHAnsi" w:hAnsiTheme="majorHAnsi"/>
          <w:sz w:val="24"/>
          <w:szCs w:val="24"/>
        </w:rPr>
        <w:t xml:space="preserve"> claims on the state, the economy, and social</w:t>
      </w:r>
      <w:r w:rsidRPr="00825F45">
        <w:rPr>
          <w:rFonts w:asciiTheme="majorHAnsi" w:hAnsiTheme="majorHAnsi"/>
          <w:sz w:val="24"/>
          <w:szCs w:val="24"/>
        </w:rPr>
        <w:t xml:space="preserve"> relations may be overlooked. The ways in which these first gener</w:t>
      </w:r>
      <w:r w:rsidR="00E938BC" w:rsidRPr="00825F45">
        <w:rPr>
          <w:rFonts w:asciiTheme="majorHAnsi" w:hAnsiTheme="majorHAnsi"/>
          <w:sz w:val="24"/>
          <w:szCs w:val="24"/>
        </w:rPr>
        <w:t xml:space="preserve">ation women with education may </w:t>
      </w:r>
      <w:r w:rsidRPr="00825F45">
        <w:rPr>
          <w:rFonts w:asciiTheme="majorHAnsi" w:hAnsiTheme="majorHAnsi"/>
          <w:sz w:val="24"/>
          <w:szCs w:val="24"/>
        </w:rPr>
        <w:t>suggest to their peers and daughters very different kinds of aspirations to those who have not had education may not be adequately documented if we focus only on the reproduction of gender inequality</w:t>
      </w:r>
      <w:r w:rsidR="005F4C45" w:rsidRPr="00825F45">
        <w:rPr>
          <w:rFonts w:asciiTheme="majorHAnsi" w:hAnsiTheme="majorHAnsi"/>
          <w:sz w:val="24"/>
          <w:szCs w:val="24"/>
        </w:rPr>
        <w:t>. While the too narrow concept of distribution</w:t>
      </w:r>
      <w:r w:rsidR="00262DF5" w:rsidRPr="00825F45">
        <w:rPr>
          <w:rFonts w:asciiTheme="majorHAnsi" w:hAnsiTheme="majorHAnsi"/>
          <w:sz w:val="24"/>
          <w:szCs w:val="24"/>
        </w:rPr>
        <w:t xml:space="preserve">, strongly </w:t>
      </w:r>
      <w:r w:rsidR="00C170A9">
        <w:rPr>
          <w:rFonts w:asciiTheme="majorHAnsi" w:hAnsiTheme="majorHAnsi"/>
          <w:sz w:val="24"/>
          <w:szCs w:val="24"/>
        </w:rPr>
        <w:t>influenced by Women in D</w:t>
      </w:r>
      <w:r w:rsidR="00262DF5" w:rsidRPr="00825F45">
        <w:rPr>
          <w:rFonts w:asciiTheme="majorHAnsi" w:hAnsiTheme="majorHAnsi"/>
          <w:sz w:val="24"/>
          <w:szCs w:val="24"/>
        </w:rPr>
        <w:t xml:space="preserve">evelopment (WID) </w:t>
      </w:r>
      <w:r w:rsidR="005F4C45" w:rsidRPr="00825F45">
        <w:rPr>
          <w:rFonts w:asciiTheme="majorHAnsi" w:hAnsiTheme="majorHAnsi"/>
          <w:sz w:val="24"/>
          <w:szCs w:val="24"/>
        </w:rPr>
        <w:t xml:space="preserve">missed many aspects of the ways in which gender inequalities worked normatively and relationally, </w:t>
      </w:r>
      <w:r w:rsidR="00D00D4A" w:rsidRPr="00825F45">
        <w:rPr>
          <w:rFonts w:asciiTheme="majorHAnsi" w:hAnsiTheme="majorHAnsi"/>
          <w:sz w:val="24"/>
          <w:szCs w:val="24"/>
        </w:rPr>
        <w:t>the highly faceted appreciation of the located setting of gender inequality</w:t>
      </w:r>
      <w:r w:rsidR="00262DF5" w:rsidRPr="00825F45">
        <w:rPr>
          <w:rFonts w:asciiTheme="majorHAnsi" w:hAnsiTheme="majorHAnsi"/>
          <w:sz w:val="24"/>
          <w:szCs w:val="24"/>
        </w:rPr>
        <w:t xml:space="preserve"> associated, with GAD,</w:t>
      </w:r>
      <w:r w:rsidR="00E938BC" w:rsidRPr="00825F45">
        <w:rPr>
          <w:rFonts w:asciiTheme="majorHAnsi" w:hAnsiTheme="majorHAnsi"/>
          <w:sz w:val="24"/>
          <w:szCs w:val="24"/>
        </w:rPr>
        <w:t xml:space="preserve"> </w:t>
      </w:r>
      <w:r w:rsidR="00262DF5" w:rsidRPr="00825F45">
        <w:rPr>
          <w:rFonts w:asciiTheme="majorHAnsi" w:hAnsiTheme="majorHAnsi"/>
          <w:sz w:val="24"/>
          <w:szCs w:val="24"/>
        </w:rPr>
        <w:t xml:space="preserve">capabilities and postcolonial theorizing </w:t>
      </w:r>
      <w:r w:rsidR="00D00D4A" w:rsidRPr="00825F45">
        <w:rPr>
          <w:rFonts w:asciiTheme="majorHAnsi" w:hAnsiTheme="majorHAnsi"/>
          <w:sz w:val="24"/>
          <w:szCs w:val="24"/>
        </w:rPr>
        <w:t xml:space="preserve"> </w:t>
      </w:r>
      <w:r w:rsidR="003C33CA" w:rsidRPr="00825F45">
        <w:rPr>
          <w:rFonts w:asciiTheme="majorHAnsi" w:hAnsiTheme="majorHAnsi"/>
          <w:sz w:val="24"/>
          <w:szCs w:val="24"/>
        </w:rPr>
        <w:t xml:space="preserve"> may miss </w:t>
      </w:r>
      <w:r w:rsidR="00D00D4A" w:rsidRPr="00825F45">
        <w:rPr>
          <w:rFonts w:asciiTheme="majorHAnsi" w:hAnsiTheme="majorHAnsi"/>
          <w:sz w:val="24"/>
          <w:szCs w:val="24"/>
        </w:rPr>
        <w:t>the significance of the expansion of education provision. This suggests that the conceptual vocabulary for understanding gender work in education</w:t>
      </w:r>
      <w:r w:rsidR="00AA2A8A" w:rsidRPr="00825F45">
        <w:rPr>
          <w:rFonts w:asciiTheme="majorHAnsi" w:hAnsiTheme="majorHAnsi"/>
          <w:sz w:val="24"/>
          <w:szCs w:val="24"/>
        </w:rPr>
        <w:t xml:space="preserve">, particularly with regard to ideas of justice and empowerment, </w:t>
      </w:r>
      <w:r w:rsidR="00D00D4A" w:rsidRPr="00825F45">
        <w:rPr>
          <w:rFonts w:asciiTheme="majorHAnsi" w:hAnsiTheme="majorHAnsi"/>
          <w:sz w:val="24"/>
          <w:szCs w:val="24"/>
        </w:rPr>
        <w:t xml:space="preserve">needs expanding. </w:t>
      </w:r>
    </w:p>
    <w:p w:rsidR="007D6B0B" w:rsidRPr="00825F45" w:rsidRDefault="00AA2A8A" w:rsidP="005806B5">
      <w:pPr>
        <w:spacing w:after="0" w:line="240" w:lineRule="auto"/>
        <w:rPr>
          <w:rFonts w:asciiTheme="majorHAnsi" w:hAnsiTheme="majorHAnsi"/>
          <w:sz w:val="24"/>
          <w:szCs w:val="24"/>
        </w:rPr>
      </w:pPr>
      <w:r w:rsidRPr="00825F45">
        <w:rPr>
          <w:rFonts w:asciiTheme="majorHAnsi" w:hAnsiTheme="majorHAnsi"/>
          <w:sz w:val="24"/>
          <w:szCs w:val="24"/>
        </w:rPr>
        <w:t>W</w:t>
      </w:r>
      <w:r w:rsidR="007D6400" w:rsidRPr="00825F45">
        <w:rPr>
          <w:rFonts w:asciiTheme="majorHAnsi" w:hAnsiTheme="majorHAnsi"/>
          <w:sz w:val="24"/>
          <w:szCs w:val="24"/>
        </w:rPr>
        <w:t>e acknowledge there is considerable debate on the definition</w:t>
      </w:r>
      <w:r w:rsidRPr="00825F45">
        <w:rPr>
          <w:rFonts w:asciiTheme="majorHAnsi" w:hAnsiTheme="majorHAnsi"/>
          <w:sz w:val="24"/>
          <w:szCs w:val="24"/>
        </w:rPr>
        <w:t>s</w:t>
      </w:r>
      <w:r w:rsidR="007D6400" w:rsidRPr="00825F45">
        <w:rPr>
          <w:rFonts w:asciiTheme="majorHAnsi" w:hAnsiTheme="majorHAnsi"/>
          <w:sz w:val="24"/>
          <w:szCs w:val="24"/>
        </w:rPr>
        <w:t xml:space="preserve"> </w:t>
      </w:r>
      <w:r w:rsidR="004D236A" w:rsidRPr="00825F45">
        <w:rPr>
          <w:rFonts w:asciiTheme="majorHAnsi" w:hAnsiTheme="majorHAnsi"/>
          <w:sz w:val="24"/>
          <w:szCs w:val="24"/>
        </w:rPr>
        <w:t>of gender</w:t>
      </w:r>
      <w:r w:rsidRPr="00825F45">
        <w:rPr>
          <w:rFonts w:asciiTheme="majorHAnsi" w:hAnsiTheme="majorHAnsi"/>
          <w:sz w:val="24"/>
          <w:szCs w:val="24"/>
        </w:rPr>
        <w:t xml:space="preserve"> </w:t>
      </w:r>
      <w:r w:rsidR="008315B6" w:rsidRPr="00825F45">
        <w:rPr>
          <w:rFonts w:asciiTheme="majorHAnsi" w:hAnsiTheme="majorHAnsi"/>
          <w:sz w:val="24"/>
          <w:szCs w:val="24"/>
        </w:rPr>
        <w:t>justice and</w:t>
      </w:r>
      <w:r w:rsidRPr="00825F45">
        <w:rPr>
          <w:rFonts w:asciiTheme="majorHAnsi" w:hAnsiTheme="majorHAnsi"/>
          <w:sz w:val="24"/>
          <w:szCs w:val="24"/>
        </w:rPr>
        <w:t xml:space="preserve"> empowerment and their</w:t>
      </w:r>
      <w:r w:rsidR="007D6400" w:rsidRPr="00825F45">
        <w:rPr>
          <w:rFonts w:asciiTheme="majorHAnsi" w:hAnsiTheme="majorHAnsi"/>
          <w:sz w:val="24"/>
          <w:szCs w:val="24"/>
        </w:rPr>
        <w:t xml:space="preserve"> use in relation to education</w:t>
      </w:r>
      <w:r w:rsidR="00392CD4" w:rsidRPr="00825F45">
        <w:rPr>
          <w:rFonts w:asciiTheme="majorHAnsi" w:hAnsiTheme="majorHAnsi"/>
          <w:sz w:val="24"/>
          <w:szCs w:val="24"/>
        </w:rPr>
        <w:t xml:space="preserve"> (Cornwall and Brock, 2005</w:t>
      </w:r>
      <w:r w:rsidR="008315B6" w:rsidRPr="00825F45">
        <w:rPr>
          <w:rFonts w:asciiTheme="majorHAnsi" w:hAnsiTheme="majorHAnsi"/>
          <w:sz w:val="24"/>
          <w:szCs w:val="24"/>
        </w:rPr>
        <w:t>; Goetz</w:t>
      </w:r>
      <w:r w:rsidRPr="00825F45">
        <w:rPr>
          <w:rFonts w:asciiTheme="majorHAnsi" w:hAnsiTheme="majorHAnsi"/>
          <w:sz w:val="24"/>
          <w:szCs w:val="24"/>
        </w:rPr>
        <w:t>, 2007</w:t>
      </w:r>
      <w:r w:rsidR="008315B6" w:rsidRPr="00825F45">
        <w:rPr>
          <w:rFonts w:asciiTheme="majorHAnsi" w:hAnsiTheme="majorHAnsi"/>
          <w:sz w:val="24"/>
          <w:szCs w:val="24"/>
        </w:rPr>
        <w:t>; Robeyns</w:t>
      </w:r>
      <w:r w:rsidR="00237DE3" w:rsidRPr="00825F45">
        <w:rPr>
          <w:rFonts w:asciiTheme="majorHAnsi" w:hAnsiTheme="majorHAnsi"/>
          <w:sz w:val="24"/>
          <w:szCs w:val="24"/>
        </w:rPr>
        <w:t>, 2010;</w:t>
      </w:r>
      <w:r w:rsidR="008315B6">
        <w:rPr>
          <w:rFonts w:asciiTheme="majorHAnsi" w:hAnsiTheme="majorHAnsi"/>
          <w:sz w:val="24"/>
          <w:szCs w:val="24"/>
        </w:rPr>
        <w:t xml:space="preserve"> </w:t>
      </w:r>
      <w:r w:rsidR="007F4DB0" w:rsidRPr="00825F45">
        <w:rPr>
          <w:rFonts w:asciiTheme="majorHAnsi" w:hAnsiTheme="majorHAnsi"/>
          <w:sz w:val="24"/>
          <w:szCs w:val="24"/>
        </w:rPr>
        <w:t xml:space="preserve">Monkman, 2011; </w:t>
      </w:r>
      <w:r w:rsidR="00392CD4" w:rsidRPr="00825F45">
        <w:rPr>
          <w:rFonts w:asciiTheme="majorHAnsi" w:hAnsiTheme="majorHAnsi"/>
          <w:sz w:val="24"/>
          <w:szCs w:val="24"/>
        </w:rPr>
        <w:t>Unterhalter, 2012</w:t>
      </w:r>
      <w:r w:rsidR="00F55D1B" w:rsidRPr="00825F45">
        <w:rPr>
          <w:rFonts w:asciiTheme="majorHAnsi" w:hAnsiTheme="majorHAnsi"/>
          <w:sz w:val="24"/>
          <w:szCs w:val="24"/>
        </w:rPr>
        <w:t>a</w:t>
      </w:r>
      <w:r w:rsidR="00237DE3" w:rsidRPr="00825F45">
        <w:rPr>
          <w:rFonts w:asciiTheme="majorHAnsi" w:hAnsiTheme="majorHAnsi"/>
          <w:sz w:val="24"/>
          <w:szCs w:val="24"/>
        </w:rPr>
        <w:t>;</w:t>
      </w:r>
      <w:r w:rsidR="008315B6">
        <w:rPr>
          <w:rFonts w:asciiTheme="majorHAnsi" w:hAnsiTheme="majorHAnsi"/>
          <w:sz w:val="24"/>
          <w:szCs w:val="24"/>
        </w:rPr>
        <w:t xml:space="preserve"> </w:t>
      </w:r>
      <w:r w:rsidR="00237DE3" w:rsidRPr="00825F45">
        <w:rPr>
          <w:rFonts w:asciiTheme="majorHAnsi" w:hAnsiTheme="majorHAnsi"/>
          <w:sz w:val="24"/>
          <w:szCs w:val="24"/>
        </w:rPr>
        <w:t xml:space="preserve">Unterhalter, </w:t>
      </w:r>
      <w:r w:rsidR="008315B6" w:rsidRPr="00825F45">
        <w:rPr>
          <w:rFonts w:asciiTheme="majorHAnsi" w:hAnsiTheme="majorHAnsi"/>
          <w:sz w:val="24"/>
          <w:szCs w:val="24"/>
        </w:rPr>
        <w:t>2012</w:t>
      </w:r>
      <w:r w:rsidR="008315B6">
        <w:rPr>
          <w:rFonts w:asciiTheme="majorHAnsi" w:hAnsiTheme="majorHAnsi"/>
          <w:sz w:val="24"/>
          <w:szCs w:val="24"/>
        </w:rPr>
        <w:t>b</w:t>
      </w:r>
      <w:r w:rsidR="00237DE3" w:rsidRPr="00825F45">
        <w:rPr>
          <w:rFonts w:asciiTheme="majorHAnsi" w:hAnsiTheme="majorHAnsi"/>
          <w:sz w:val="24"/>
          <w:szCs w:val="24"/>
        </w:rPr>
        <w:t>; Aikman</w:t>
      </w:r>
      <w:r w:rsidRPr="00825F45">
        <w:rPr>
          <w:rFonts w:asciiTheme="majorHAnsi" w:hAnsiTheme="majorHAnsi"/>
          <w:sz w:val="24"/>
          <w:szCs w:val="24"/>
        </w:rPr>
        <w:t xml:space="preserve"> and Unterhalter, 2013</w:t>
      </w:r>
      <w:r w:rsidR="00392CD4" w:rsidRPr="00825F45">
        <w:rPr>
          <w:rFonts w:asciiTheme="majorHAnsi" w:hAnsiTheme="majorHAnsi"/>
          <w:sz w:val="24"/>
          <w:szCs w:val="24"/>
        </w:rPr>
        <w:t>)</w:t>
      </w:r>
      <w:r w:rsidR="008315B6" w:rsidRPr="00825F45">
        <w:rPr>
          <w:rFonts w:asciiTheme="majorHAnsi" w:hAnsiTheme="majorHAnsi"/>
          <w:sz w:val="24"/>
          <w:szCs w:val="24"/>
        </w:rPr>
        <w:t>, but</w:t>
      </w:r>
      <w:r w:rsidR="004D65FB" w:rsidRPr="00825F45">
        <w:rPr>
          <w:rFonts w:asciiTheme="majorHAnsi" w:hAnsiTheme="majorHAnsi"/>
          <w:sz w:val="24"/>
          <w:szCs w:val="24"/>
        </w:rPr>
        <w:t xml:space="preserve"> </w:t>
      </w:r>
      <w:r w:rsidR="007F4DB0" w:rsidRPr="00825F45">
        <w:rPr>
          <w:rFonts w:asciiTheme="majorHAnsi" w:hAnsiTheme="majorHAnsi"/>
          <w:sz w:val="24"/>
          <w:szCs w:val="24"/>
        </w:rPr>
        <w:t>consider</w:t>
      </w:r>
      <w:r w:rsidR="00344EBF" w:rsidRPr="00825F45">
        <w:rPr>
          <w:rFonts w:asciiTheme="majorHAnsi" w:hAnsiTheme="majorHAnsi"/>
          <w:sz w:val="24"/>
          <w:szCs w:val="24"/>
        </w:rPr>
        <w:t xml:space="preserve"> that exploration of these issues needs to proceed </w:t>
      </w:r>
      <w:r w:rsidR="00344EBF" w:rsidRPr="00825F45">
        <w:rPr>
          <w:rFonts w:asciiTheme="majorHAnsi" w:hAnsiTheme="majorHAnsi"/>
          <w:i/>
          <w:sz w:val="24"/>
          <w:szCs w:val="24"/>
        </w:rPr>
        <w:t>both</w:t>
      </w:r>
      <w:r w:rsidR="00344EBF" w:rsidRPr="00825F45">
        <w:rPr>
          <w:rFonts w:asciiTheme="majorHAnsi" w:hAnsiTheme="majorHAnsi"/>
          <w:sz w:val="24"/>
          <w:szCs w:val="24"/>
        </w:rPr>
        <w:t xml:space="preserve"> through abstract theorizing </w:t>
      </w:r>
      <w:r w:rsidR="00344EBF" w:rsidRPr="00825F45">
        <w:rPr>
          <w:rFonts w:asciiTheme="majorHAnsi" w:hAnsiTheme="majorHAnsi"/>
          <w:i/>
          <w:sz w:val="24"/>
          <w:szCs w:val="24"/>
        </w:rPr>
        <w:t>and</w:t>
      </w:r>
      <w:r w:rsidR="00344EBF" w:rsidRPr="00825F45">
        <w:rPr>
          <w:rFonts w:asciiTheme="majorHAnsi" w:hAnsiTheme="majorHAnsi"/>
          <w:sz w:val="24"/>
          <w:szCs w:val="24"/>
        </w:rPr>
        <w:t xml:space="preserve"> through consideration of particular contexts and issues. In order to engage in this in the next section we look at</w:t>
      </w:r>
      <w:r w:rsidR="007F4DB0" w:rsidRPr="00825F45">
        <w:rPr>
          <w:rFonts w:asciiTheme="majorHAnsi" w:hAnsiTheme="majorHAnsi"/>
          <w:sz w:val="24"/>
          <w:szCs w:val="24"/>
        </w:rPr>
        <w:t xml:space="preserve"> the</w:t>
      </w:r>
      <w:r w:rsidR="00160D43" w:rsidRPr="00825F45">
        <w:rPr>
          <w:rFonts w:asciiTheme="majorHAnsi" w:hAnsiTheme="majorHAnsi"/>
          <w:sz w:val="24"/>
          <w:szCs w:val="24"/>
        </w:rPr>
        <w:t xml:space="preserve"> relationship between </w:t>
      </w:r>
      <w:r w:rsidR="00160D43" w:rsidRPr="00825F45">
        <w:rPr>
          <w:rFonts w:asciiTheme="majorHAnsi" w:hAnsiTheme="majorHAnsi"/>
          <w:sz w:val="24"/>
          <w:szCs w:val="24"/>
        </w:rPr>
        <w:lastRenderedPageBreak/>
        <w:t>distributional aspects of gender justice, and</w:t>
      </w:r>
      <w:r w:rsidR="00344EBF" w:rsidRPr="00825F45">
        <w:rPr>
          <w:rFonts w:asciiTheme="majorHAnsi" w:hAnsiTheme="majorHAnsi"/>
          <w:sz w:val="24"/>
          <w:szCs w:val="24"/>
        </w:rPr>
        <w:t xml:space="preserve"> </w:t>
      </w:r>
      <w:r w:rsidR="007F4DB0" w:rsidRPr="00825F45">
        <w:rPr>
          <w:rFonts w:asciiTheme="majorHAnsi" w:hAnsiTheme="majorHAnsi"/>
          <w:sz w:val="24"/>
          <w:szCs w:val="24"/>
        </w:rPr>
        <w:t xml:space="preserve"> various</w:t>
      </w:r>
      <w:r w:rsidR="005135A5" w:rsidRPr="00825F45">
        <w:rPr>
          <w:rFonts w:asciiTheme="majorHAnsi" w:hAnsiTheme="majorHAnsi"/>
          <w:sz w:val="24"/>
          <w:szCs w:val="24"/>
        </w:rPr>
        <w:t xml:space="preserve"> facets of</w:t>
      </w:r>
      <w:r w:rsidR="00160D43" w:rsidRPr="00825F45">
        <w:rPr>
          <w:rFonts w:asciiTheme="majorHAnsi" w:hAnsiTheme="majorHAnsi"/>
          <w:sz w:val="24"/>
          <w:szCs w:val="24"/>
        </w:rPr>
        <w:t xml:space="preserve"> em</w:t>
      </w:r>
      <w:r w:rsidR="007F4DB0" w:rsidRPr="00825F45">
        <w:rPr>
          <w:rFonts w:asciiTheme="majorHAnsi" w:hAnsiTheme="majorHAnsi"/>
          <w:sz w:val="24"/>
          <w:szCs w:val="24"/>
        </w:rPr>
        <w:t xml:space="preserve">powerment </w:t>
      </w:r>
      <w:r w:rsidR="00344EBF" w:rsidRPr="00825F45">
        <w:rPr>
          <w:rFonts w:asciiTheme="majorHAnsi" w:hAnsiTheme="majorHAnsi"/>
          <w:sz w:val="24"/>
          <w:szCs w:val="24"/>
        </w:rPr>
        <w:t xml:space="preserve">through a discussion of </w:t>
      </w:r>
      <w:r w:rsidR="007F4DB0" w:rsidRPr="00825F45">
        <w:rPr>
          <w:rFonts w:asciiTheme="majorHAnsi" w:hAnsiTheme="majorHAnsi"/>
          <w:sz w:val="24"/>
          <w:szCs w:val="24"/>
        </w:rPr>
        <w:t>dat</w:t>
      </w:r>
      <w:r w:rsidR="004E4733" w:rsidRPr="00825F45">
        <w:rPr>
          <w:rFonts w:asciiTheme="majorHAnsi" w:hAnsiTheme="majorHAnsi"/>
          <w:sz w:val="24"/>
          <w:szCs w:val="24"/>
        </w:rPr>
        <w:t xml:space="preserve">a collected and </w:t>
      </w:r>
      <w:proofErr w:type="spellStart"/>
      <w:r w:rsidR="004E4733" w:rsidRPr="00825F45">
        <w:rPr>
          <w:rFonts w:asciiTheme="majorHAnsi" w:hAnsiTheme="majorHAnsi"/>
          <w:sz w:val="24"/>
          <w:szCs w:val="24"/>
        </w:rPr>
        <w:t>analysed</w:t>
      </w:r>
      <w:proofErr w:type="spellEnd"/>
      <w:r w:rsidR="004E4733" w:rsidRPr="00825F45">
        <w:rPr>
          <w:rFonts w:asciiTheme="majorHAnsi" w:hAnsiTheme="majorHAnsi"/>
          <w:sz w:val="24"/>
          <w:szCs w:val="24"/>
        </w:rPr>
        <w:t xml:space="preserve"> for a project on girls</w:t>
      </w:r>
      <w:r w:rsidR="005135A5" w:rsidRPr="00825F45">
        <w:rPr>
          <w:rFonts w:asciiTheme="majorHAnsi" w:hAnsiTheme="majorHAnsi"/>
          <w:sz w:val="24"/>
          <w:szCs w:val="24"/>
        </w:rPr>
        <w:t>’</w:t>
      </w:r>
      <w:r w:rsidR="004E4733" w:rsidRPr="00825F45">
        <w:rPr>
          <w:rFonts w:asciiTheme="majorHAnsi" w:hAnsiTheme="majorHAnsi"/>
          <w:sz w:val="24"/>
          <w:szCs w:val="24"/>
        </w:rPr>
        <w:t xml:space="preserve"> education and empowerment in Tanzania and Nigeria</w:t>
      </w:r>
      <w:r w:rsidR="00160D43" w:rsidRPr="00825F45">
        <w:rPr>
          <w:rFonts w:asciiTheme="majorHAnsi" w:hAnsiTheme="majorHAnsi"/>
          <w:sz w:val="24"/>
          <w:szCs w:val="24"/>
        </w:rPr>
        <w:t xml:space="preserve"> </w:t>
      </w:r>
      <w:r w:rsidR="007D6B0B" w:rsidRPr="00825F45">
        <w:rPr>
          <w:rFonts w:asciiTheme="majorHAnsi" w:hAnsiTheme="majorHAnsi"/>
          <w:sz w:val="24"/>
          <w:szCs w:val="24"/>
        </w:rPr>
        <w:t>.</w:t>
      </w:r>
    </w:p>
    <w:p w:rsidR="00971B31" w:rsidRPr="00825F45" w:rsidRDefault="00971B31" w:rsidP="005806B5">
      <w:pPr>
        <w:spacing w:after="0" w:line="240" w:lineRule="auto"/>
        <w:rPr>
          <w:rFonts w:asciiTheme="majorHAnsi" w:eastAsiaTheme="minorHAnsi" w:hAnsiTheme="majorHAnsi" w:cs="Garamond"/>
          <w:sz w:val="24"/>
          <w:szCs w:val="24"/>
          <w:lang w:val="en-GB"/>
        </w:rPr>
      </w:pPr>
    </w:p>
    <w:p w:rsidR="00C034F7" w:rsidRPr="004709FA" w:rsidRDefault="00C46926" w:rsidP="005806B5">
      <w:pPr>
        <w:spacing w:after="0" w:line="240" w:lineRule="auto"/>
        <w:rPr>
          <w:rFonts w:asciiTheme="majorHAnsi" w:hAnsiTheme="majorHAnsi"/>
          <w:b/>
          <w:i/>
          <w:sz w:val="24"/>
          <w:szCs w:val="24"/>
        </w:rPr>
      </w:pPr>
      <w:r w:rsidRPr="00C46926">
        <w:rPr>
          <w:rFonts w:asciiTheme="majorHAnsi" w:hAnsiTheme="majorHAnsi"/>
          <w:b/>
          <w:i/>
          <w:sz w:val="24"/>
          <w:szCs w:val="24"/>
        </w:rPr>
        <w:t>The TEGINT project</w:t>
      </w:r>
    </w:p>
    <w:p w:rsidR="00971B31" w:rsidRPr="00825F45" w:rsidRDefault="00971B31" w:rsidP="005806B5">
      <w:pPr>
        <w:spacing w:after="0" w:line="240" w:lineRule="auto"/>
        <w:rPr>
          <w:rFonts w:asciiTheme="majorHAnsi" w:hAnsiTheme="majorHAnsi"/>
          <w:i/>
          <w:sz w:val="24"/>
          <w:szCs w:val="24"/>
        </w:rPr>
      </w:pPr>
    </w:p>
    <w:p w:rsidR="00C034F7" w:rsidRDefault="00361C3E" w:rsidP="005806B5">
      <w:pPr>
        <w:spacing w:after="0" w:line="240" w:lineRule="auto"/>
        <w:rPr>
          <w:rFonts w:asciiTheme="majorHAnsi" w:hAnsiTheme="majorHAnsi" w:cstheme="minorHAnsi"/>
          <w:sz w:val="24"/>
          <w:szCs w:val="24"/>
        </w:rPr>
      </w:pPr>
      <w:r w:rsidRPr="00825F45">
        <w:rPr>
          <w:rFonts w:asciiTheme="majorHAnsi" w:hAnsiTheme="majorHAnsi"/>
          <w:sz w:val="24"/>
          <w:szCs w:val="24"/>
        </w:rPr>
        <w:t xml:space="preserve">The </w:t>
      </w:r>
      <w:r w:rsidR="003434B6" w:rsidRPr="00825F45">
        <w:rPr>
          <w:rFonts w:asciiTheme="majorHAnsi" w:hAnsiTheme="majorHAnsi" w:cstheme="minorHAnsi"/>
          <w:sz w:val="24"/>
          <w:szCs w:val="24"/>
        </w:rPr>
        <w:t>TEGINT project</w:t>
      </w:r>
      <w:r w:rsidR="00D57132" w:rsidRPr="00825F45">
        <w:rPr>
          <w:rFonts w:asciiTheme="majorHAnsi" w:hAnsiTheme="majorHAnsi" w:cstheme="minorHAnsi"/>
          <w:sz w:val="24"/>
          <w:szCs w:val="24"/>
        </w:rPr>
        <w:t>, which ran between 2007 and 2012, was</w:t>
      </w:r>
      <w:r w:rsidR="00C034F7" w:rsidRPr="00825F45">
        <w:rPr>
          <w:rFonts w:asciiTheme="majorHAnsi" w:hAnsiTheme="majorHAnsi" w:cstheme="minorHAnsi"/>
          <w:sz w:val="24"/>
          <w:szCs w:val="24"/>
        </w:rPr>
        <w:t xml:space="preserve"> a partnership between Action Aid, Community Action for Popular Participation (CAPP), an NGO based in Nigeria and </w:t>
      </w:r>
      <w:proofErr w:type="spellStart"/>
      <w:r w:rsidR="00C034F7" w:rsidRPr="00825F45">
        <w:rPr>
          <w:rFonts w:asciiTheme="majorHAnsi" w:hAnsiTheme="majorHAnsi" w:cstheme="minorHAnsi"/>
          <w:sz w:val="24"/>
          <w:szCs w:val="24"/>
        </w:rPr>
        <w:t>Maarifa</w:t>
      </w:r>
      <w:proofErr w:type="spellEnd"/>
      <w:r w:rsidR="00C034F7" w:rsidRPr="00825F45">
        <w:rPr>
          <w:rFonts w:asciiTheme="majorHAnsi" w:hAnsiTheme="majorHAnsi" w:cstheme="minorHAnsi"/>
          <w:sz w:val="24"/>
          <w:szCs w:val="24"/>
        </w:rPr>
        <w:t xml:space="preserve"> </w:t>
      </w:r>
      <w:proofErr w:type="spellStart"/>
      <w:proofErr w:type="gramStart"/>
      <w:r w:rsidR="00C034F7" w:rsidRPr="00825F45">
        <w:rPr>
          <w:rFonts w:asciiTheme="majorHAnsi" w:hAnsiTheme="majorHAnsi" w:cstheme="minorHAnsi"/>
          <w:sz w:val="24"/>
          <w:szCs w:val="24"/>
        </w:rPr>
        <w:t>ni</w:t>
      </w:r>
      <w:proofErr w:type="spellEnd"/>
      <w:proofErr w:type="gramEnd"/>
      <w:r w:rsidR="00C034F7" w:rsidRPr="00825F45">
        <w:rPr>
          <w:rFonts w:asciiTheme="majorHAnsi" w:hAnsiTheme="majorHAnsi" w:cstheme="minorHAnsi"/>
          <w:sz w:val="24"/>
          <w:szCs w:val="24"/>
        </w:rPr>
        <w:t xml:space="preserve"> </w:t>
      </w:r>
      <w:proofErr w:type="spellStart"/>
      <w:r w:rsidR="00C034F7" w:rsidRPr="00825F45">
        <w:rPr>
          <w:rFonts w:asciiTheme="majorHAnsi" w:hAnsiTheme="majorHAnsi" w:cstheme="minorHAnsi"/>
          <w:sz w:val="24"/>
          <w:szCs w:val="24"/>
        </w:rPr>
        <w:t>Ufunguo</w:t>
      </w:r>
      <w:proofErr w:type="spellEnd"/>
      <w:r w:rsidR="00C034F7" w:rsidRPr="00825F45">
        <w:rPr>
          <w:rFonts w:asciiTheme="majorHAnsi" w:hAnsiTheme="majorHAnsi" w:cstheme="minorHAnsi"/>
          <w:sz w:val="24"/>
          <w:szCs w:val="24"/>
        </w:rPr>
        <w:t>, an NGO ba</w:t>
      </w:r>
      <w:r w:rsidR="00D57132" w:rsidRPr="00825F45">
        <w:rPr>
          <w:rFonts w:asciiTheme="majorHAnsi" w:hAnsiTheme="majorHAnsi" w:cstheme="minorHAnsi"/>
          <w:sz w:val="24"/>
          <w:szCs w:val="24"/>
        </w:rPr>
        <w:t>sed in Tanzania. TEGINT was</w:t>
      </w:r>
      <w:r w:rsidR="00C034F7" w:rsidRPr="00825F45">
        <w:rPr>
          <w:rFonts w:asciiTheme="majorHAnsi" w:hAnsiTheme="majorHAnsi" w:cstheme="minorHAnsi"/>
          <w:sz w:val="24"/>
          <w:szCs w:val="24"/>
        </w:rPr>
        <w:t xml:space="preserve"> funded by Comic Relief and t</w:t>
      </w:r>
      <w:r w:rsidR="00D57132" w:rsidRPr="00825F45">
        <w:rPr>
          <w:rFonts w:asciiTheme="majorHAnsi" w:hAnsiTheme="majorHAnsi" w:cstheme="minorHAnsi"/>
          <w:sz w:val="24"/>
          <w:szCs w:val="24"/>
        </w:rPr>
        <w:t xml:space="preserve">he </w:t>
      </w:r>
      <w:proofErr w:type="spellStart"/>
      <w:r w:rsidR="00D57132" w:rsidRPr="00825F45">
        <w:rPr>
          <w:rFonts w:asciiTheme="majorHAnsi" w:hAnsiTheme="majorHAnsi" w:cstheme="minorHAnsi"/>
          <w:sz w:val="24"/>
          <w:szCs w:val="24"/>
        </w:rPr>
        <w:t>Tubney</w:t>
      </w:r>
      <w:proofErr w:type="spellEnd"/>
      <w:r w:rsidR="00D57132" w:rsidRPr="00825F45">
        <w:rPr>
          <w:rFonts w:asciiTheme="majorHAnsi" w:hAnsiTheme="majorHAnsi" w:cstheme="minorHAnsi"/>
          <w:sz w:val="24"/>
          <w:szCs w:val="24"/>
        </w:rPr>
        <w:t xml:space="preserve"> Charitable Trust</w:t>
      </w:r>
      <w:r w:rsidR="00D84E7B" w:rsidRPr="00825F45">
        <w:rPr>
          <w:rFonts w:asciiTheme="majorHAnsi" w:hAnsiTheme="majorHAnsi" w:cstheme="minorHAnsi"/>
          <w:sz w:val="24"/>
          <w:szCs w:val="24"/>
        </w:rPr>
        <w:t xml:space="preserve">.  Its overall goal </w:t>
      </w:r>
      <w:r w:rsidR="003434B6" w:rsidRPr="00825F45">
        <w:rPr>
          <w:rFonts w:asciiTheme="majorHAnsi" w:hAnsiTheme="majorHAnsi" w:cstheme="minorHAnsi"/>
          <w:sz w:val="24"/>
          <w:szCs w:val="24"/>
        </w:rPr>
        <w:t>was</w:t>
      </w:r>
      <w:r w:rsidR="00C034F7" w:rsidRPr="00825F45">
        <w:rPr>
          <w:rFonts w:asciiTheme="majorHAnsi" w:hAnsiTheme="majorHAnsi" w:cstheme="minorHAnsi"/>
          <w:sz w:val="24"/>
          <w:szCs w:val="24"/>
        </w:rPr>
        <w:t xml:space="preserve"> to achieve a transformation in the education of girls in Tanzania and Nigeria, enabling them to </w:t>
      </w:r>
      <w:proofErr w:type="spellStart"/>
      <w:r w:rsidR="00C034F7" w:rsidRPr="00825F45">
        <w:rPr>
          <w:rFonts w:asciiTheme="majorHAnsi" w:hAnsiTheme="majorHAnsi" w:cstheme="minorHAnsi"/>
          <w:sz w:val="24"/>
          <w:szCs w:val="24"/>
        </w:rPr>
        <w:t>enrol</w:t>
      </w:r>
      <w:proofErr w:type="spellEnd"/>
      <w:r w:rsidR="00C034F7" w:rsidRPr="00825F45">
        <w:rPr>
          <w:rFonts w:asciiTheme="majorHAnsi" w:hAnsiTheme="majorHAnsi" w:cstheme="minorHAnsi"/>
          <w:sz w:val="24"/>
          <w:szCs w:val="24"/>
        </w:rPr>
        <w:t xml:space="preserve"> and succeed in school by addressing key challenges and obstacles that hinder their </w:t>
      </w:r>
      <w:r w:rsidR="00C034F7" w:rsidRPr="004709FA">
        <w:rPr>
          <w:rFonts w:asciiTheme="majorHAnsi" w:hAnsiTheme="majorHAnsi" w:cstheme="minorHAnsi"/>
          <w:sz w:val="24"/>
          <w:szCs w:val="24"/>
        </w:rPr>
        <w:t>participation in education and increase their vulnerability to HIV/AIDS</w:t>
      </w:r>
      <w:r w:rsidR="00D57132" w:rsidRPr="004709FA">
        <w:rPr>
          <w:rFonts w:asciiTheme="majorHAnsi" w:hAnsiTheme="majorHAnsi" w:cstheme="minorHAnsi"/>
          <w:sz w:val="24"/>
          <w:szCs w:val="24"/>
        </w:rPr>
        <w:t xml:space="preserve"> (</w:t>
      </w:r>
      <w:r w:rsidR="00C46926" w:rsidRPr="00C46926">
        <w:rPr>
          <w:rFonts w:asciiTheme="majorHAnsi" w:hAnsiTheme="majorHAnsi" w:cstheme="minorHAnsi"/>
          <w:sz w:val="24"/>
          <w:szCs w:val="24"/>
        </w:rPr>
        <w:t>Wetheridge and Mamedu, 2012; Wetheridge and Kapaya, 2012</w:t>
      </w:r>
      <w:r w:rsidR="00D57132" w:rsidRPr="004709FA">
        <w:rPr>
          <w:rFonts w:asciiTheme="majorHAnsi" w:hAnsiTheme="majorHAnsi" w:cstheme="minorHAnsi"/>
          <w:sz w:val="24"/>
          <w:szCs w:val="24"/>
        </w:rPr>
        <w:t>)</w:t>
      </w:r>
      <w:r w:rsidR="00C034F7" w:rsidRPr="004709FA">
        <w:rPr>
          <w:rFonts w:asciiTheme="majorHAnsi" w:hAnsiTheme="majorHAnsi" w:cstheme="minorHAnsi"/>
          <w:sz w:val="24"/>
          <w:szCs w:val="24"/>
        </w:rPr>
        <w:t xml:space="preserve">. A unique feature of Comic Relief’s support for TEGINT was the requirement that there should be a substantial research component linked with project implementation. To effect this researchers in </w:t>
      </w:r>
      <w:r w:rsidR="00D84E7B" w:rsidRPr="004709FA">
        <w:rPr>
          <w:rFonts w:asciiTheme="majorHAnsi" w:hAnsiTheme="majorHAnsi" w:cstheme="minorHAnsi"/>
          <w:sz w:val="24"/>
          <w:szCs w:val="24"/>
        </w:rPr>
        <w:t>Tanzania, Nigeria and the UK,</w:t>
      </w:r>
      <w:r w:rsidR="00C034F7" w:rsidRPr="004709FA">
        <w:rPr>
          <w:rFonts w:asciiTheme="majorHAnsi" w:hAnsiTheme="majorHAnsi" w:cstheme="minorHAnsi"/>
          <w:sz w:val="24"/>
          <w:szCs w:val="24"/>
        </w:rPr>
        <w:t xml:space="preserve"> staff from </w:t>
      </w:r>
      <w:proofErr w:type="spellStart"/>
      <w:r w:rsidR="00C034F7" w:rsidRPr="004709FA">
        <w:rPr>
          <w:rFonts w:asciiTheme="majorHAnsi" w:hAnsiTheme="majorHAnsi" w:cstheme="minorHAnsi"/>
          <w:sz w:val="24"/>
          <w:szCs w:val="24"/>
        </w:rPr>
        <w:t>ActionAid</w:t>
      </w:r>
      <w:proofErr w:type="spellEnd"/>
      <w:r w:rsidR="00C034F7" w:rsidRPr="004709FA">
        <w:rPr>
          <w:rFonts w:asciiTheme="majorHAnsi" w:hAnsiTheme="majorHAnsi" w:cstheme="minorHAnsi"/>
          <w:sz w:val="24"/>
          <w:szCs w:val="24"/>
        </w:rPr>
        <w:t xml:space="preserve"> and the two implementing partners designed a number of studies (TEGINT, 2011a; TEGINT, 2011b; Unterhalter and Heslop, 2011</w:t>
      </w:r>
      <w:r w:rsidR="00747F06" w:rsidRPr="004709FA">
        <w:rPr>
          <w:rFonts w:asciiTheme="majorHAnsi" w:hAnsiTheme="majorHAnsi" w:cstheme="minorHAnsi"/>
          <w:sz w:val="24"/>
          <w:szCs w:val="24"/>
        </w:rPr>
        <w:t>;</w:t>
      </w:r>
      <w:r w:rsidR="004D236A">
        <w:rPr>
          <w:rFonts w:asciiTheme="majorHAnsi" w:hAnsiTheme="majorHAnsi" w:cstheme="minorHAnsi"/>
          <w:sz w:val="24"/>
          <w:szCs w:val="24"/>
        </w:rPr>
        <w:t xml:space="preserve"> </w:t>
      </w:r>
      <w:r w:rsidR="00C46926" w:rsidRPr="00C46926">
        <w:rPr>
          <w:rFonts w:asciiTheme="majorHAnsi" w:hAnsiTheme="majorHAnsi" w:cstheme="minorHAnsi"/>
          <w:sz w:val="24"/>
          <w:szCs w:val="24"/>
        </w:rPr>
        <w:t>Wetheridge and Mamedu, 2012; Wetheridge and Kapaya, 2012</w:t>
      </w:r>
      <w:r w:rsidR="004D236A">
        <w:rPr>
          <w:rFonts w:asciiTheme="majorHAnsi" w:hAnsiTheme="majorHAnsi" w:cstheme="minorHAnsi"/>
          <w:sz w:val="24"/>
          <w:szCs w:val="24"/>
        </w:rPr>
        <w:t>; Unterhalter and Heslop, 2012</w:t>
      </w:r>
      <w:r w:rsidR="00C034F7" w:rsidRPr="004709FA">
        <w:rPr>
          <w:rFonts w:asciiTheme="majorHAnsi" w:hAnsiTheme="majorHAnsi" w:cstheme="minorHAnsi"/>
          <w:sz w:val="24"/>
          <w:szCs w:val="24"/>
        </w:rPr>
        <w:t>)</w:t>
      </w:r>
      <w:r w:rsidR="004709FA">
        <w:rPr>
          <w:rFonts w:asciiTheme="majorHAnsi" w:hAnsiTheme="majorHAnsi" w:cstheme="minorHAnsi"/>
          <w:sz w:val="24"/>
          <w:szCs w:val="24"/>
        </w:rPr>
        <w:t>.</w:t>
      </w:r>
      <w:r w:rsidR="00C034F7" w:rsidRPr="004709FA">
        <w:rPr>
          <w:rFonts w:asciiTheme="majorHAnsi" w:hAnsiTheme="majorHAnsi" w:cstheme="minorHAnsi"/>
          <w:sz w:val="24"/>
          <w:szCs w:val="24"/>
        </w:rPr>
        <w:t xml:space="preserve"> The exploration of the relationship between</w:t>
      </w:r>
      <w:r w:rsidR="00C034F7" w:rsidRPr="00825F45">
        <w:rPr>
          <w:rFonts w:asciiTheme="majorHAnsi" w:hAnsiTheme="majorHAnsi" w:cstheme="minorHAnsi"/>
          <w:sz w:val="24"/>
          <w:szCs w:val="24"/>
        </w:rPr>
        <w:t xml:space="preserve"> distr</w:t>
      </w:r>
      <w:r w:rsidR="00D84E7B" w:rsidRPr="00825F45">
        <w:rPr>
          <w:rFonts w:asciiTheme="majorHAnsi" w:hAnsiTheme="majorHAnsi" w:cstheme="minorHAnsi"/>
          <w:sz w:val="24"/>
          <w:szCs w:val="24"/>
        </w:rPr>
        <w:t xml:space="preserve">ibutional and empowerment approaches to education </w:t>
      </w:r>
      <w:r w:rsidR="00C034F7" w:rsidRPr="00825F45">
        <w:rPr>
          <w:rFonts w:asciiTheme="majorHAnsi" w:hAnsiTheme="majorHAnsi" w:cstheme="minorHAnsi"/>
          <w:sz w:val="24"/>
          <w:szCs w:val="24"/>
        </w:rPr>
        <w:t xml:space="preserve">in this article, draws largely on the baseline studies for TEGINT </w:t>
      </w:r>
      <w:r w:rsidR="00AA76B7" w:rsidRPr="00825F45">
        <w:rPr>
          <w:rFonts w:asciiTheme="majorHAnsi" w:hAnsiTheme="majorHAnsi" w:cstheme="minorHAnsi"/>
          <w:sz w:val="24"/>
          <w:szCs w:val="24"/>
        </w:rPr>
        <w:t xml:space="preserve">conducted in 2007-9 </w:t>
      </w:r>
      <w:r w:rsidR="00C034F7" w:rsidRPr="00825F45">
        <w:rPr>
          <w:rFonts w:asciiTheme="majorHAnsi" w:hAnsiTheme="majorHAnsi" w:cstheme="minorHAnsi"/>
          <w:sz w:val="24"/>
          <w:szCs w:val="24"/>
        </w:rPr>
        <w:t>in Tanzania and Nigeria.</w:t>
      </w:r>
    </w:p>
    <w:p w:rsidR="00780C5F" w:rsidRDefault="00780C5F" w:rsidP="005806B5">
      <w:pPr>
        <w:spacing w:after="0" w:line="240" w:lineRule="auto"/>
        <w:rPr>
          <w:rFonts w:asciiTheme="majorHAnsi" w:hAnsiTheme="majorHAnsi" w:cstheme="minorHAnsi"/>
          <w:sz w:val="24"/>
          <w:szCs w:val="24"/>
        </w:rPr>
      </w:pPr>
    </w:p>
    <w:p w:rsidR="00780C5F" w:rsidRPr="00780C5F" w:rsidRDefault="00827557" w:rsidP="005806B5">
      <w:pPr>
        <w:spacing w:after="0" w:line="240" w:lineRule="auto"/>
        <w:rPr>
          <w:rFonts w:asciiTheme="majorHAnsi" w:hAnsiTheme="majorHAnsi" w:cstheme="minorHAnsi"/>
          <w:b/>
          <w:i/>
          <w:sz w:val="24"/>
          <w:szCs w:val="24"/>
        </w:rPr>
      </w:pPr>
      <w:r>
        <w:rPr>
          <w:rFonts w:asciiTheme="majorHAnsi" w:hAnsiTheme="majorHAnsi" w:cstheme="minorHAnsi"/>
          <w:b/>
          <w:i/>
          <w:sz w:val="24"/>
          <w:szCs w:val="24"/>
        </w:rPr>
        <w:t xml:space="preserve">Education </w:t>
      </w:r>
      <w:r w:rsidR="00EC36E0">
        <w:rPr>
          <w:rFonts w:asciiTheme="majorHAnsi" w:hAnsiTheme="majorHAnsi" w:cstheme="minorHAnsi"/>
          <w:b/>
          <w:i/>
          <w:sz w:val="24"/>
          <w:szCs w:val="24"/>
        </w:rPr>
        <w:t>d</w:t>
      </w:r>
      <w:r w:rsidR="00EC36E0" w:rsidRPr="00FA17E8">
        <w:rPr>
          <w:rFonts w:asciiTheme="majorHAnsi" w:hAnsiTheme="majorHAnsi" w:cstheme="minorHAnsi"/>
          <w:b/>
          <w:i/>
          <w:sz w:val="24"/>
          <w:szCs w:val="24"/>
        </w:rPr>
        <w:t xml:space="preserve">istribution </w:t>
      </w:r>
      <w:r w:rsidR="00FA17E8" w:rsidRPr="00FA17E8">
        <w:rPr>
          <w:rFonts w:asciiTheme="majorHAnsi" w:hAnsiTheme="majorHAnsi" w:cstheme="minorHAnsi"/>
          <w:b/>
          <w:i/>
          <w:sz w:val="24"/>
          <w:szCs w:val="24"/>
        </w:rPr>
        <w:t>and empowerment in Tanzania and Nigeria</w:t>
      </w:r>
    </w:p>
    <w:p w:rsidR="00971B31" w:rsidRPr="00825F45" w:rsidRDefault="00971B31" w:rsidP="005806B5">
      <w:pPr>
        <w:spacing w:after="0" w:line="240" w:lineRule="auto"/>
        <w:rPr>
          <w:rFonts w:asciiTheme="majorHAnsi" w:hAnsiTheme="majorHAnsi" w:cstheme="minorHAnsi"/>
          <w:sz w:val="24"/>
          <w:szCs w:val="24"/>
        </w:rPr>
      </w:pPr>
    </w:p>
    <w:p w:rsidR="007B27A5" w:rsidRPr="00825F45" w:rsidRDefault="00AA08C2" w:rsidP="005806B5">
      <w:pPr>
        <w:autoSpaceDE w:val="0"/>
        <w:autoSpaceDN w:val="0"/>
        <w:adjustRightInd w:val="0"/>
        <w:spacing w:after="0" w:line="240" w:lineRule="auto"/>
        <w:rPr>
          <w:rFonts w:asciiTheme="majorHAnsi" w:hAnsiTheme="majorHAnsi"/>
          <w:sz w:val="24"/>
          <w:szCs w:val="24"/>
        </w:rPr>
      </w:pPr>
      <w:r w:rsidRPr="00825F45">
        <w:rPr>
          <w:rFonts w:asciiTheme="majorHAnsi" w:hAnsiTheme="majorHAnsi"/>
          <w:sz w:val="24"/>
          <w:szCs w:val="24"/>
        </w:rPr>
        <w:t>In Tanzania and Nigeria much writing on questions of gender and schooling has been framed by the high profile given to these issues in government policy. In both countries concerted efforts have been made to develop policy and roll out provision for expanded access to primary education, and particular attention has been paid to girls. Primary education was made free in 2001 in Tanzania, and since 2000 there has been a spectacular increase in enrolment in primary education, which grew by 50% from 4.4 million in 2000 to 6.6 million in 2003, and reached 8.4 million in 2009 (</w:t>
      </w:r>
      <w:proofErr w:type="spellStart"/>
      <w:r w:rsidRPr="00825F45">
        <w:rPr>
          <w:rFonts w:asciiTheme="majorHAnsi" w:hAnsiTheme="majorHAnsi"/>
          <w:sz w:val="24"/>
          <w:szCs w:val="24"/>
        </w:rPr>
        <w:t>Pitamber</w:t>
      </w:r>
      <w:proofErr w:type="spellEnd"/>
      <w:r w:rsidRPr="00825F45">
        <w:rPr>
          <w:rFonts w:asciiTheme="majorHAnsi" w:hAnsiTheme="majorHAnsi"/>
          <w:sz w:val="24"/>
          <w:szCs w:val="24"/>
        </w:rPr>
        <w:t xml:space="preserve"> and </w:t>
      </w:r>
      <w:proofErr w:type="spellStart"/>
      <w:r w:rsidRPr="00825F45">
        <w:rPr>
          <w:rFonts w:asciiTheme="majorHAnsi" w:hAnsiTheme="majorHAnsi"/>
          <w:sz w:val="24"/>
          <w:szCs w:val="24"/>
        </w:rPr>
        <w:t>Hamza</w:t>
      </w:r>
      <w:proofErr w:type="spellEnd"/>
      <w:r w:rsidRPr="00825F45">
        <w:rPr>
          <w:rFonts w:asciiTheme="majorHAnsi" w:hAnsiTheme="majorHAnsi"/>
          <w:sz w:val="24"/>
          <w:szCs w:val="24"/>
        </w:rPr>
        <w:t xml:space="preserve">, 2005; </w:t>
      </w:r>
      <w:proofErr w:type="spellStart"/>
      <w:r w:rsidRPr="00825F45">
        <w:rPr>
          <w:rFonts w:asciiTheme="majorHAnsi" w:hAnsiTheme="majorHAnsi"/>
          <w:sz w:val="24"/>
          <w:szCs w:val="24"/>
        </w:rPr>
        <w:t>MoEVT</w:t>
      </w:r>
      <w:proofErr w:type="spellEnd"/>
      <w:r w:rsidRPr="00825F45">
        <w:rPr>
          <w:rFonts w:asciiTheme="majorHAnsi" w:hAnsiTheme="majorHAnsi"/>
          <w:sz w:val="24"/>
          <w:szCs w:val="24"/>
        </w:rPr>
        <w:t>, 2009). Throughout this period national statistics show equal numbers of girls and boys enrolling in primary school, with UNESCO reporting a gender parity index (GPI) of 0.99 for Net Enrolment Ra</w:t>
      </w:r>
      <w:r w:rsidR="00361C3E" w:rsidRPr="00825F45">
        <w:rPr>
          <w:rFonts w:asciiTheme="majorHAnsi" w:hAnsiTheme="majorHAnsi"/>
          <w:sz w:val="24"/>
          <w:szCs w:val="24"/>
        </w:rPr>
        <w:t>tio (NER) in 2007 (UNESCO, 2010:</w:t>
      </w:r>
      <w:r w:rsidRPr="00825F45">
        <w:rPr>
          <w:rFonts w:asciiTheme="majorHAnsi" w:hAnsiTheme="majorHAnsi"/>
          <w:sz w:val="24"/>
          <w:szCs w:val="24"/>
        </w:rPr>
        <w:t xml:space="preserve"> 418).  The latest figures for primary NER for the school year ending in 2007 give this at 98% (98 for boys a</w:t>
      </w:r>
      <w:r w:rsidR="00361C3E" w:rsidRPr="00825F45">
        <w:rPr>
          <w:rFonts w:asciiTheme="majorHAnsi" w:hAnsiTheme="majorHAnsi"/>
          <w:sz w:val="24"/>
          <w:szCs w:val="24"/>
        </w:rPr>
        <w:t xml:space="preserve">nd 97 for girls) (UNESCO, 2010: </w:t>
      </w:r>
      <w:r w:rsidRPr="00825F45">
        <w:rPr>
          <w:rFonts w:asciiTheme="majorHAnsi" w:hAnsiTheme="majorHAnsi"/>
          <w:sz w:val="24"/>
          <w:szCs w:val="24"/>
        </w:rPr>
        <w:t xml:space="preserve">347).  </w:t>
      </w:r>
    </w:p>
    <w:p w:rsidR="00AA4742" w:rsidRPr="00825F45" w:rsidRDefault="00AA4742" w:rsidP="005806B5">
      <w:pPr>
        <w:autoSpaceDE w:val="0"/>
        <w:autoSpaceDN w:val="0"/>
        <w:adjustRightInd w:val="0"/>
        <w:spacing w:after="0" w:line="240" w:lineRule="auto"/>
        <w:rPr>
          <w:rFonts w:asciiTheme="majorHAnsi" w:hAnsiTheme="majorHAnsi"/>
          <w:sz w:val="24"/>
          <w:szCs w:val="24"/>
        </w:rPr>
      </w:pPr>
    </w:p>
    <w:p w:rsidR="00D84E7B" w:rsidRPr="00825F45" w:rsidRDefault="00AA08C2" w:rsidP="005806B5">
      <w:pPr>
        <w:autoSpaceDE w:val="0"/>
        <w:autoSpaceDN w:val="0"/>
        <w:adjustRightInd w:val="0"/>
        <w:spacing w:after="0" w:line="240" w:lineRule="auto"/>
        <w:rPr>
          <w:rFonts w:asciiTheme="majorHAnsi" w:hAnsiTheme="majorHAnsi"/>
          <w:sz w:val="24"/>
          <w:szCs w:val="24"/>
        </w:rPr>
      </w:pPr>
      <w:r w:rsidRPr="00825F45">
        <w:rPr>
          <w:rFonts w:asciiTheme="majorHAnsi" w:hAnsiTheme="majorHAnsi"/>
          <w:sz w:val="24"/>
          <w:szCs w:val="24"/>
        </w:rPr>
        <w:t xml:space="preserve">In Nigeria, the new Constitution adopted in 1999 with the end of military rule acknowledged the importance of free, compulsory primary education. A wide range of Universal Basic Education (UBE) </w:t>
      </w:r>
      <w:proofErr w:type="spellStart"/>
      <w:r w:rsidRPr="00825F45">
        <w:rPr>
          <w:rFonts w:asciiTheme="majorHAnsi" w:hAnsiTheme="majorHAnsi"/>
          <w:sz w:val="24"/>
          <w:szCs w:val="24"/>
        </w:rPr>
        <w:t>programmes</w:t>
      </w:r>
      <w:proofErr w:type="spellEnd"/>
      <w:r w:rsidRPr="00825F45">
        <w:rPr>
          <w:rFonts w:asciiTheme="majorHAnsi" w:hAnsiTheme="majorHAnsi"/>
          <w:sz w:val="24"/>
          <w:szCs w:val="24"/>
        </w:rPr>
        <w:t xml:space="preserve"> were designed to ensure free Basic Education for nine years to all Nigerian children, many with an explicit focus on girls. However, translating this aspiration into practice has proved extremely challenging.  The latest (2007) assessments for the country indicate a NER for primary school of 64% (68 for boys, 60 for girls an</w:t>
      </w:r>
      <w:r w:rsidR="00791D57" w:rsidRPr="00825F45">
        <w:rPr>
          <w:rFonts w:asciiTheme="majorHAnsi" w:hAnsiTheme="majorHAnsi"/>
          <w:sz w:val="24"/>
          <w:szCs w:val="24"/>
        </w:rPr>
        <w:t xml:space="preserve">d a GPI of 0.88) (UNESCO, 2010: </w:t>
      </w:r>
      <w:r w:rsidRPr="00825F45">
        <w:rPr>
          <w:rFonts w:asciiTheme="majorHAnsi" w:hAnsiTheme="majorHAnsi"/>
          <w:sz w:val="24"/>
          <w:szCs w:val="24"/>
        </w:rPr>
        <w:t xml:space="preserve">347). </w:t>
      </w:r>
    </w:p>
    <w:p w:rsidR="00D84E7B" w:rsidRPr="00825F45" w:rsidRDefault="00D84E7B" w:rsidP="005806B5">
      <w:pPr>
        <w:autoSpaceDE w:val="0"/>
        <w:autoSpaceDN w:val="0"/>
        <w:adjustRightInd w:val="0"/>
        <w:spacing w:after="0" w:line="240" w:lineRule="auto"/>
        <w:rPr>
          <w:rFonts w:asciiTheme="majorHAnsi" w:hAnsiTheme="majorHAnsi"/>
          <w:sz w:val="24"/>
          <w:szCs w:val="24"/>
        </w:rPr>
      </w:pPr>
    </w:p>
    <w:p w:rsidR="003172CE" w:rsidRPr="00825F45" w:rsidRDefault="00AA08C2" w:rsidP="005806B5">
      <w:pPr>
        <w:autoSpaceDE w:val="0"/>
        <w:autoSpaceDN w:val="0"/>
        <w:adjustRightInd w:val="0"/>
        <w:spacing w:after="0" w:line="240" w:lineRule="auto"/>
        <w:rPr>
          <w:rFonts w:asciiTheme="majorHAnsi" w:hAnsiTheme="majorHAnsi"/>
          <w:sz w:val="24"/>
          <w:szCs w:val="24"/>
        </w:rPr>
      </w:pPr>
      <w:r w:rsidRPr="00825F45">
        <w:rPr>
          <w:rFonts w:asciiTheme="majorHAnsi" w:hAnsiTheme="majorHAnsi"/>
          <w:sz w:val="24"/>
          <w:szCs w:val="24"/>
        </w:rPr>
        <w:t xml:space="preserve">There are thus clear differences between Tanzania and Nigeria in relation to their capacity to expand school provision, despite policy commitments to free education. However, the aggregate figures for both countries mask regional differences and </w:t>
      </w:r>
      <w:r w:rsidRPr="00825F45">
        <w:rPr>
          <w:rFonts w:asciiTheme="majorHAnsi" w:hAnsiTheme="majorHAnsi"/>
          <w:sz w:val="24"/>
          <w:szCs w:val="24"/>
        </w:rPr>
        <w:lastRenderedPageBreak/>
        <w:t xml:space="preserve">problems with distribution. In </w:t>
      </w:r>
      <w:r w:rsidR="00A26752" w:rsidRPr="00825F45">
        <w:rPr>
          <w:rFonts w:asciiTheme="majorHAnsi" w:hAnsiTheme="majorHAnsi"/>
          <w:sz w:val="24"/>
          <w:szCs w:val="24"/>
        </w:rPr>
        <w:t xml:space="preserve">both countries </w:t>
      </w:r>
      <w:r w:rsidRPr="00825F45">
        <w:rPr>
          <w:rFonts w:asciiTheme="majorHAnsi" w:hAnsiTheme="majorHAnsi"/>
          <w:sz w:val="24"/>
          <w:szCs w:val="24"/>
        </w:rPr>
        <w:t>there are particular geographical areas where access to schooling has been more limited and forms of exclusion of girls more marked.  TEGINT wa</w:t>
      </w:r>
      <w:r w:rsidR="003434B6" w:rsidRPr="00825F45">
        <w:rPr>
          <w:rFonts w:asciiTheme="majorHAnsi" w:hAnsiTheme="majorHAnsi"/>
          <w:sz w:val="24"/>
          <w:szCs w:val="24"/>
        </w:rPr>
        <w:t>s set up partly to address this and the project was implemented in northern districts of Tanzania and northern states in Nigeria, where, patterns of gender disparities in access to school had been noted</w:t>
      </w:r>
      <w:r w:rsidR="00775E32" w:rsidRPr="00825F45">
        <w:rPr>
          <w:rFonts w:asciiTheme="majorHAnsi" w:hAnsiTheme="majorHAnsi"/>
          <w:sz w:val="24"/>
          <w:szCs w:val="24"/>
        </w:rPr>
        <w:t xml:space="preserve"> </w:t>
      </w:r>
      <w:r w:rsidR="004D236A" w:rsidRPr="00825F45">
        <w:rPr>
          <w:rFonts w:asciiTheme="majorHAnsi" w:hAnsiTheme="majorHAnsi"/>
          <w:sz w:val="24"/>
          <w:szCs w:val="24"/>
        </w:rPr>
        <w:t>(</w:t>
      </w:r>
      <w:proofErr w:type="spellStart"/>
      <w:r w:rsidR="00830476">
        <w:rPr>
          <w:rFonts w:asciiTheme="majorHAnsi" w:hAnsiTheme="majorHAnsi"/>
          <w:sz w:val="24"/>
          <w:szCs w:val="24"/>
        </w:rPr>
        <w:t>Nsanjama</w:t>
      </w:r>
      <w:proofErr w:type="spellEnd"/>
      <w:r w:rsidR="004D236A" w:rsidRPr="00825F45">
        <w:rPr>
          <w:rFonts w:asciiTheme="majorHAnsi" w:hAnsiTheme="majorHAnsi"/>
          <w:sz w:val="24"/>
          <w:szCs w:val="24"/>
        </w:rPr>
        <w:t>, 2007</w:t>
      </w:r>
      <w:r w:rsidR="00775E32" w:rsidRPr="00825F45">
        <w:rPr>
          <w:rFonts w:asciiTheme="majorHAnsi" w:hAnsiTheme="majorHAnsi"/>
          <w:sz w:val="24"/>
          <w:szCs w:val="24"/>
        </w:rPr>
        <w:t>)</w:t>
      </w:r>
      <w:r w:rsidR="003434B6" w:rsidRPr="00825F45">
        <w:rPr>
          <w:rFonts w:asciiTheme="majorHAnsi" w:hAnsiTheme="majorHAnsi"/>
          <w:sz w:val="24"/>
          <w:szCs w:val="24"/>
        </w:rPr>
        <w:t xml:space="preserve">.  </w:t>
      </w:r>
    </w:p>
    <w:p w:rsidR="00971B31" w:rsidRPr="00825F45" w:rsidRDefault="00971B31" w:rsidP="005806B5">
      <w:pPr>
        <w:autoSpaceDE w:val="0"/>
        <w:autoSpaceDN w:val="0"/>
        <w:adjustRightInd w:val="0"/>
        <w:spacing w:after="0" w:line="240" w:lineRule="auto"/>
        <w:rPr>
          <w:rFonts w:asciiTheme="majorHAnsi" w:hAnsiTheme="majorHAnsi"/>
          <w:sz w:val="24"/>
          <w:szCs w:val="24"/>
        </w:rPr>
      </w:pPr>
    </w:p>
    <w:p w:rsidR="00526035" w:rsidRPr="00825F45" w:rsidRDefault="00AA08C2" w:rsidP="005806B5">
      <w:pPr>
        <w:pStyle w:val="ListParagraph"/>
        <w:ind w:left="0"/>
        <w:contextualSpacing w:val="0"/>
        <w:rPr>
          <w:rFonts w:asciiTheme="majorHAnsi" w:hAnsiTheme="majorHAnsi"/>
        </w:rPr>
      </w:pPr>
      <w:r w:rsidRPr="00825F45">
        <w:rPr>
          <w:rFonts w:asciiTheme="majorHAnsi" w:hAnsiTheme="majorHAnsi"/>
        </w:rPr>
        <w:t>Academic analysis of gender and schooling in both countries highlights uneven access according to levels of poverty, location and local gender dynamics. In Tanzania this analysis has highlighted the impact of structural adjustment policies on the capacities of families to keep girls in school beyond a basic cycle, despite government promotion of access (</w:t>
      </w:r>
      <w:proofErr w:type="spellStart"/>
      <w:r w:rsidRPr="00825F45">
        <w:rPr>
          <w:rFonts w:asciiTheme="majorHAnsi" w:hAnsiTheme="majorHAnsi"/>
        </w:rPr>
        <w:t>Vavrus</w:t>
      </w:r>
      <w:proofErr w:type="spellEnd"/>
      <w:r w:rsidRPr="00825F45">
        <w:rPr>
          <w:rFonts w:asciiTheme="majorHAnsi" w:hAnsiTheme="majorHAnsi"/>
        </w:rPr>
        <w:t xml:space="preserve"> 2003; 2</w:t>
      </w:r>
      <w:r w:rsidR="008A2FBC" w:rsidRPr="00825F45">
        <w:rPr>
          <w:rFonts w:asciiTheme="majorHAnsi" w:hAnsiTheme="majorHAnsi"/>
        </w:rPr>
        <w:t>005</w:t>
      </w:r>
      <w:r w:rsidR="00D84E7B" w:rsidRPr="00825F45">
        <w:rPr>
          <w:rFonts w:asciiTheme="majorHAnsi" w:hAnsiTheme="majorHAnsi"/>
        </w:rPr>
        <w:t xml:space="preserve">; </w:t>
      </w:r>
      <w:proofErr w:type="spellStart"/>
      <w:r w:rsidR="00D84E7B" w:rsidRPr="00825F45">
        <w:rPr>
          <w:rFonts w:asciiTheme="majorHAnsi" w:hAnsiTheme="majorHAnsi"/>
        </w:rPr>
        <w:t>Samoff</w:t>
      </w:r>
      <w:proofErr w:type="spellEnd"/>
      <w:r w:rsidR="00D84E7B" w:rsidRPr="00825F45">
        <w:rPr>
          <w:rFonts w:asciiTheme="majorHAnsi" w:hAnsiTheme="majorHAnsi"/>
        </w:rPr>
        <w:t xml:space="preserve"> 2008),</w:t>
      </w:r>
      <w:r w:rsidR="004D236A">
        <w:rPr>
          <w:rFonts w:asciiTheme="majorHAnsi" w:hAnsiTheme="majorHAnsi"/>
        </w:rPr>
        <w:t xml:space="preserve"> </w:t>
      </w:r>
      <w:r w:rsidRPr="00825F45">
        <w:rPr>
          <w:rFonts w:asciiTheme="majorHAnsi" w:hAnsiTheme="majorHAnsi"/>
        </w:rPr>
        <w:t>changing emphases in and responses to government policy (</w:t>
      </w:r>
      <w:proofErr w:type="spellStart"/>
      <w:r w:rsidRPr="00825F45">
        <w:rPr>
          <w:rFonts w:asciiTheme="majorHAnsi" w:hAnsiTheme="majorHAnsi"/>
        </w:rPr>
        <w:t>Mbilinyi</w:t>
      </w:r>
      <w:proofErr w:type="spellEnd"/>
      <w:r w:rsidRPr="00825F45">
        <w:rPr>
          <w:rFonts w:asciiTheme="majorHAnsi" w:hAnsiTheme="majorHAnsi"/>
        </w:rPr>
        <w:t xml:space="preserve">, 1998; </w:t>
      </w:r>
      <w:proofErr w:type="spellStart"/>
      <w:r w:rsidRPr="00825F45">
        <w:rPr>
          <w:rFonts w:asciiTheme="majorHAnsi" w:hAnsiTheme="majorHAnsi"/>
        </w:rPr>
        <w:t>Bendera</w:t>
      </w:r>
      <w:proofErr w:type="spellEnd"/>
      <w:r w:rsidRPr="00825F45">
        <w:rPr>
          <w:rFonts w:asciiTheme="majorHAnsi" w:hAnsiTheme="majorHAnsi"/>
        </w:rPr>
        <w:t xml:space="preserve">, 1999; </w:t>
      </w:r>
      <w:r w:rsidR="00D84E7B" w:rsidRPr="00825F45">
        <w:rPr>
          <w:rFonts w:asciiTheme="majorHAnsi" w:hAnsiTheme="majorHAnsi"/>
        </w:rPr>
        <w:t xml:space="preserve">Wedgewood, 2007), </w:t>
      </w:r>
      <w:r w:rsidRPr="00825F45">
        <w:rPr>
          <w:rFonts w:asciiTheme="majorHAnsi" w:hAnsiTheme="majorHAnsi"/>
        </w:rPr>
        <w:t xml:space="preserve">and the different engagements of communities in Northern Tanzania with the education of daughters. For example, the </w:t>
      </w:r>
      <w:proofErr w:type="spellStart"/>
      <w:r w:rsidRPr="00825F45">
        <w:rPr>
          <w:rFonts w:asciiTheme="majorHAnsi" w:hAnsiTheme="majorHAnsi"/>
        </w:rPr>
        <w:t>Chagga</w:t>
      </w:r>
      <w:proofErr w:type="spellEnd"/>
      <w:r w:rsidRPr="00825F45">
        <w:rPr>
          <w:rFonts w:asciiTheme="majorHAnsi" w:hAnsiTheme="majorHAnsi"/>
        </w:rPr>
        <w:t>, who grow cash crops</w:t>
      </w:r>
      <w:r w:rsidR="00C30542" w:rsidRPr="00825F45">
        <w:rPr>
          <w:rFonts w:asciiTheme="majorHAnsi" w:hAnsiTheme="majorHAnsi"/>
        </w:rPr>
        <w:t>,</w:t>
      </w:r>
      <w:r w:rsidRPr="00825F45">
        <w:rPr>
          <w:rFonts w:asciiTheme="majorHAnsi" w:hAnsiTheme="majorHAnsi"/>
        </w:rPr>
        <w:t xml:space="preserve"> but have had limited high yield land for women to inherit, have actively sought high levels of education for young women over generations (</w:t>
      </w:r>
      <w:proofErr w:type="spellStart"/>
      <w:r w:rsidRPr="00825F45">
        <w:rPr>
          <w:rFonts w:asciiTheme="majorHAnsi" w:hAnsiTheme="majorHAnsi"/>
        </w:rPr>
        <w:t>Stambach</w:t>
      </w:r>
      <w:proofErr w:type="spellEnd"/>
      <w:r w:rsidRPr="00825F45">
        <w:rPr>
          <w:rFonts w:asciiTheme="majorHAnsi" w:hAnsiTheme="majorHAnsi"/>
        </w:rPr>
        <w:t>, 1998; Hattori and Larsen, 2007). Other groups</w:t>
      </w:r>
      <w:r w:rsidR="003361E8" w:rsidRPr="00825F45">
        <w:rPr>
          <w:rFonts w:asciiTheme="majorHAnsi" w:hAnsiTheme="majorHAnsi"/>
        </w:rPr>
        <w:t xml:space="preserve"> in this region</w:t>
      </w:r>
      <w:r w:rsidRPr="00825F45">
        <w:rPr>
          <w:rFonts w:asciiTheme="majorHAnsi" w:hAnsiTheme="majorHAnsi"/>
        </w:rPr>
        <w:t xml:space="preserve">, many engaged in nomadic </w:t>
      </w:r>
      <w:proofErr w:type="spellStart"/>
      <w:r w:rsidRPr="00825F45">
        <w:rPr>
          <w:rFonts w:asciiTheme="majorHAnsi" w:hAnsiTheme="majorHAnsi"/>
        </w:rPr>
        <w:t>pastoralism</w:t>
      </w:r>
      <w:proofErr w:type="spellEnd"/>
      <w:r w:rsidRPr="00825F45">
        <w:rPr>
          <w:rFonts w:asciiTheme="majorHAnsi" w:hAnsiTheme="majorHAnsi"/>
        </w:rPr>
        <w:t xml:space="preserve">, withdraw girls from school at or before puberty, sometimes because of the importance of marriage relationships in building up and maintaining herds (Burke and </w:t>
      </w:r>
      <w:proofErr w:type="spellStart"/>
      <w:r w:rsidRPr="00825F45">
        <w:rPr>
          <w:rFonts w:asciiTheme="majorHAnsi" w:hAnsiTheme="majorHAnsi"/>
        </w:rPr>
        <w:t>Beegle</w:t>
      </w:r>
      <w:proofErr w:type="spellEnd"/>
      <w:r w:rsidRPr="00825F45">
        <w:rPr>
          <w:rFonts w:asciiTheme="majorHAnsi" w:hAnsiTheme="majorHAnsi"/>
        </w:rPr>
        <w:t xml:space="preserve">, 2004; </w:t>
      </w:r>
      <w:proofErr w:type="spellStart"/>
      <w:r w:rsidRPr="00825F45">
        <w:rPr>
          <w:rFonts w:asciiTheme="majorHAnsi" w:hAnsiTheme="majorHAnsi"/>
        </w:rPr>
        <w:t>Kloumann</w:t>
      </w:r>
      <w:proofErr w:type="spellEnd"/>
      <w:r w:rsidRPr="00825F45">
        <w:rPr>
          <w:rFonts w:asciiTheme="majorHAnsi" w:hAnsiTheme="majorHAnsi"/>
        </w:rPr>
        <w:t xml:space="preserve">, </w:t>
      </w:r>
      <w:proofErr w:type="spellStart"/>
      <w:r w:rsidRPr="00825F45">
        <w:rPr>
          <w:rFonts w:asciiTheme="majorHAnsi" w:hAnsiTheme="majorHAnsi"/>
        </w:rPr>
        <w:t>Manongie</w:t>
      </w:r>
      <w:proofErr w:type="spellEnd"/>
      <w:r w:rsidRPr="00825F45">
        <w:rPr>
          <w:rFonts w:asciiTheme="majorHAnsi" w:hAnsiTheme="majorHAnsi"/>
        </w:rPr>
        <w:t xml:space="preserve"> and </w:t>
      </w:r>
      <w:proofErr w:type="spellStart"/>
      <w:r w:rsidRPr="00825F45">
        <w:rPr>
          <w:rFonts w:asciiTheme="majorHAnsi" w:hAnsiTheme="majorHAnsi"/>
        </w:rPr>
        <w:t>Klepp</w:t>
      </w:r>
      <w:proofErr w:type="spellEnd"/>
      <w:r w:rsidRPr="00825F45">
        <w:rPr>
          <w:rFonts w:asciiTheme="majorHAnsi" w:hAnsiTheme="majorHAnsi"/>
        </w:rPr>
        <w:t xml:space="preserve">, 2005). </w:t>
      </w:r>
      <w:proofErr w:type="spellStart"/>
      <w:r w:rsidRPr="00825F45">
        <w:rPr>
          <w:rFonts w:asciiTheme="majorHAnsi" w:hAnsiTheme="majorHAnsi"/>
        </w:rPr>
        <w:t>Okkolin</w:t>
      </w:r>
      <w:proofErr w:type="spellEnd"/>
      <w:r w:rsidRPr="00825F45">
        <w:rPr>
          <w:rFonts w:asciiTheme="majorHAnsi" w:hAnsiTheme="majorHAnsi"/>
        </w:rPr>
        <w:t xml:space="preserve"> et al (2010)</w:t>
      </w:r>
      <w:r w:rsidR="00526035" w:rsidRPr="00825F45">
        <w:rPr>
          <w:rFonts w:asciiTheme="majorHAnsi" w:hAnsiTheme="majorHAnsi"/>
        </w:rPr>
        <w:t xml:space="preserve"> and Thomas and </w:t>
      </w:r>
      <w:proofErr w:type="spellStart"/>
      <w:r w:rsidR="00526035" w:rsidRPr="00825F45">
        <w:rPr>
          <w:rFonts w:asciiTheme="majorHAnsi" w:hAnsiTheme="majorHAnsi"/>
        </w:rPr>
        <w:t>Rugambwa</w:t>
      </w:r>
      <w:proofErr w:type="spellEnd"/>
      <w:r w:rsidR="00526035" w:rsidRPr="00825F45">
        <w:rPr>
          <w:rFonts w:asciiTheme="majorHAnsi" w:hAnsiTheme="majorHAnsi"/>
        </w:rPr>
        <w:t xml:space="preserve"> (2011)</w:t>
      </w:r>
      <w:r w:rsidRPr="00825F45">
        <w:rPr>
          <w:rFonts w:asciiTheme="majorHAnsi" w:hAnsiTheme="majorHAnsi"/>
        </w:rPr>
        <w:t xml:space="preserve"> show how gender parity, evident in the expansion of provision for primary education, does not translate fully into secondary schooling or support for children with disabilities. They conclude on the need for policy to move from gender sensitization to gender responsiveness taking on board the multiple formations of gender inequality in </w:t>
      </w:r>
      <w:r w:rsidR="008B05B4" w:rsidRPr="00825F45">
        <w:rPr>
          <w:rFonts w:asciiTheme="majorHAnsi" w:hAnsiTheme="majorHAnsi"/>
        </w:rPr>
        <w:t xml:space="preserve">Tanzanian </w:t>
      </w:r>
      <w:r w:rsidR="002C74EA" w:rsidRPr="00825F45">
        <w:rPr>
          <w:rFonts w:asciiTheme="majorHAnsi" w:hAnsiTheme="majorHAnsi"/>
        </w:rPr>
        <w:t>societ</w:t>
      </w:r>
      <w:r w:rsidR="00D9553E" w:rsidRPr="00825F45">
        <w:rPr>
          <w:rFonts w:asciiTheme="majorHAnsi" w:hAnsiTheme="majorHAnsi"/>
        </w:rPr>
        <w:t>y.</w:t>
      </w:r>
    </w:p>
    <w:p w:rsidR="00526035" w:rsidRPr="00825F45" w:rsidRDefault="00526035" w:rsidP="005806B5">
      <w:pPr>
        <w:pStyle w:val="ListParagraph"/>
        <w:ind w:left="0"/>
        <w:contextualSpacing w:val="0"/>
        <w:rPr>
          <w:rFonts w:asciiTheme="majorHAnsi" w:hAnsiTheme="majorHAnsi"/>
        </w:rPr>
      </w:pPr>
    </w:p>
    <w:p w:rsidR="00AA08C2" w:rsidRPr="00825F45" w:rsidRDefault="00AA08C2" w:rsidP="005806B5">
      <w:pPr>
        <w:pStyle w:val="ListParagraph"/>
        <w:ind w:left="0"/>
        <w:contextualSpacing w:val="0"/>
        <w:rPr>
          <w:rFonts w:asciiTheme="majorHAnsi" w:hAnsiTheme="majorHAnsi"/>
        </w:rPr>
      </w:pPr>
      <w:r w:rsidRPr="00825F45">
        <w:rPr>
          <w:rFonts w:asciiTheme="majorHAnsi" w:hAnsiTheme="majorHAnsi"/>
        </w:rPr>
        <w:t>In 2007 the Tanzania Gender Network published a gender profile of Tanzania (Mascarenhas, 2007) which acknowledged the presence of women in political decision-making</w:t>
      </w:r>
      <w:r w:rsidR="00DF19A9">
        <w:rPr>
          <w:rFonts w:asciiTheme="majorHAnsi" w:hAnsiTheme="majorHAnsi"/>
        </w:rPr>
        <w:t xml:space="preserve"> and</w:t>
      </w:r>
      <w:r w:rsidRPr="00825F45">
        <w:rPr>
          <w:rFonts w:asciiTheme="majorHAnsi" w:hAnsiTheme="majorHAnsi"/>
        </w:rPr>
        <w:t xml:space="preserve"> gains in women’s access to economic resources, education and health. However, it highlighted women’s continued insecurities in access to land despite legal reforms. These were often associated with the persistence of customary law and practices which inhibited women’s inheritance rights. A number of socio-cultural practices and inequalities with regard to health and risk of violence meant that much work on gender equality remained to be done.  The report identified key areas for gender equality initiatives, such as early marriage, local legal practices entrenching male authority over marriage and land, and female genital mutilation (FGM). It pointed out how these combined with inadequate access to reproductive health and family planning provision, higher levels of HIV infection for women compared to men, and high levels of rape and domestic violence in some areas. A changing political economy in Tanzania and the complexity of regional histories and socio-economic practices mean that realizing policy aspirations for wider education provision and gender equity is a difficult process. </w:t>
      </w:r>
    </w:p>
    <w:p w:rsidR="00AA08C2" w:rsidRPr="00825F45" w:rsidRDefault="00AA08C2" w:rsidP="005806B5">
      <w:pPr>
        <w:pStyle w:val="ListParagraph"/>
        <w:ind w:left="0"/>
        <w:contextualSpacing w:val="0"/>
        <w:rPr>
          <w:rFonts w:asciiTheme="majorHAnsi" w:hAnsiTheme="majorHAnsi"/>
        </w:rPr>
      </w:pPr>
    </w:p>
    <w:p w:rsidR="00AA08C2" w:rsidRPr="00825F45" w:rsidRDefault="00AA08C2" w:rsidP="005806B5">
      <w:pPr>
        <w:spacing w:after="0" w:line="240" w:lineRule="auto"/>
        <w:rPr>
          <w:rFonts w:asciiTheme="majorHAnsi" w:hAnsiTheme="majorHAnsi"/>
          <w:sz w:val="24"/>
          <w:szCs w:val="24"/>
        </w:rPr>
      </w:pPr>
      <w:r w:rsidRPr="00825F45">
        <w:rPr>
          <w:rFonts w:asciiTheme="majorHAnsi" w:hAnsiTheme="majorHAnsi"/>
          <w:sz w:val="24"/>
          <w:szCs w:val="24"/>
        </w:rPr>
        <w:t>In Nigeria changing policies on education provision in the North have been documented, drawing out the impact and inequalities on boys and girls in school (</w:t>
      </w:r>
      <w:proofErr w:type="spellStart"/>
      <w:r w:rsidRPr="00825F45">
        <w:rPr>
          <w:rFonts w:asciiTheme="majorHAnsi" w:hAnsiTheme="majorHAnsi"/>
          <w:sz w:val="24"/>
          <w:szCs w:val="24"/>
        </w:rPr>
        <w:t>Moja</w:t>
      </w:r>
      <w:proofErr w:type="spellEnd"/>
      <w:r w:rsidRPr="00825F45">
        <w:rPr>
          <w:rFonts w:asciiTheme="majorHAnsi" w:hAnsiTheme="majorHAnsi"/>
          <w:sz w:val="24"/>
          <w:szCs w:val="24"/>
        </w:rPr>
        <w:t xml:space="preserve">, 2000; </w:t>
      </w:r>
      <w:proofErr w:type="spellStart"/>
      <w:r w:rsidRPr="00825F45">
        <w:rPr>
          <w:rFonts w:asciiTheme="majorHAnsi" w:hAnsiTheme="majorHAnsi"/>
          <w:sz w:val="24"/>
          <w:szCs w:val="24"/>
        </w:rPr>
        <w:t>Obasi</w:t>
      </w:r>
      <w:proofErr w:type="spellEnd"/>
      <w:r w:rsidRPr="00825F45">
        <w:rPr>
          <w:rFonts w:asciiTheme="majorHAnsi" w:hAnsiTheme="majorHAnsi"/>
          <w:sz w:val="24"/>
          <w:szCs w:val="24"/>
        </w:rPr>
        <w:t xml:space="preserve">, 2000; </w:t>
      </w:r>
      <w:proofErr w:type="spellStart"/>
      <w:r w:rsidRPr="00825F45">
        <w:rPr>
          <w:rFonts w:asciiTheme="majorHAnsi" w:hAnsiTheme="majorHAnsi"/>
          <w:sz w:val="24"/>
          <w:szCs w:val="24"/>
        </w:rPr>
        <w:t>Denga</w:t>
      </w:r>
      <w:proofErr w:type="spellEnd"/>
      <w:r w:rsidRPr="00825F45">
        <w:rPr>
          <w:rFonts w:asciiTheme="majorHAnsi" w:hAnsiTheme="majorHAnsi"/>
          <w:sz w:val="24"/>
          <w:szCs w:val="24"/>
        </w:rPr>
        <w:t xml:space="preserve"> 2000; Dyer, 2001; </w:t>
      </w:r>
      <w:proofErr w:type="spellStart"/>
      <w:r w:rsidRPr="00825F45">
        <w:rPr>
          <w:rFonts w:asciiTheme="majorHAnsi" w:hAnsiTheme="majorHAnsi"/>
          <w:sz w:val="24"/>
          <w:szCs w:val="24"/>
        </w:rPr>
        <w:t>Usman</w:t>
      </w:r>
      <w:proofErr w:type="spellEnd"/>
      <w:r w:rsidRPr="00825F45">
        <w:rPr>
          <w:rFonts w:asciiTheme="majorHAnsi" w:hAnsiTheme="majorHAnsi"/>
          <w:sz w:val="24"/>
          <w:szCs w:val="24"/>
        </w:rPr>
        <w:t xml:space="preserve"> 2006; </w:t>
      </w:r>
      <w:proofErr w:type="spellStart"/>
      <w:r w:rsidRPr="00825F45">
        <w:rPr>
          <w:rFonts w:asciiTheme="majorHAnsi" w:hAnsiTheme="majorHAnsi"/>
          <w:sz w:val="24"/>
          <w:szCs w:val="24"/>
        </w:rPr>
        <w:t>Usman</w:t>
      </w:r>
      <w:proofErr w:type="spellEnd"/>
      <w:r w:rsidRPr="00825F45">
        <w:rPr>
          <w:rFonts w:asciiTheme="majorHAnsi" w:hAnsiTheme="majorHAnsi"/>
          <w:sz w:val="24"/>
          <w:szCs w:val="24"/>
        </w:rPr>
        <w:t xml:space="preserve"> 2008; </w:t>
      </w:r>
      <w:proofErr w:type="spellStart"/>
      <w:r w:rsidRPr="00825F45">
        <w:rPr>
          <w:rFonts w:asciiTheme="majorHAnsi" w:hAnsiTheme="majorHAnsi"/>
          <w:sz w:val="24"/>
          <w:szCs w:val="24"/>
        </w:rPr>
        <w:t>Tuwor</w:t>
      </w:r>
      <w:proofErr w:type="spellEnd"/>
      <w:r w:rsidRPr="00825F45">
        <w:rPr>
          <w:rFonts w:asciiTheme="majorHAnsi" w:hAnsiTheme="majorHAnsi"/>
          <w:sz w:val="24"/>
          <w:szCs w:val="24"/>
        </w:rPr>
        <w:t xml:space="preserve"> and </w:t>
      </w:r>
      <w:proofErr w:type="spellStart"/>
      <w:r w:rsidRPr="00825F45">
        <w:rPr>
          <w:rFonts w:asciiTheme="majorHAnsi" w:hAnsiTheme="majorHAnsi"/>
          <w:sz w:val="24"/>
          <w:szCs w:val="24"/>
        </w:rPr>
        <w:t>Sossou</w:t>
      </w:r>
      <w:proofErr w:type="spellEnd"/>
      <w:r w:rsidRPr="00825F45">
        <w:rPr>
          <w:rFonts w:asciiTheme="majorHAnsi" w:hAnsiTheme="majorHAnsi"/>
          <w:sz w:val="24"/>
          <w:szCs w:val="24"/>
        </w:rPr>
        <w:t>, 2008).  Numerous government reports and academic assessments indicate that despite government policy on expanding education and supporting gender parity in enrolments, these have been difficult to achieve (</w:t>
      </w:r>
      <w:proofErr w:type="spellStart"/>
      <w:r w:rsidRPr="00825F45">
        <w:rPr>
          <w:rFonts w:asciiTheme="majorHAnsi" w:hAnsiTheme="majorHAnsi"/>
          <w:sz w:val="24"/>
          <w:szCs w:val="24"/>
        </w:rPr>
        <w:t>Egunyomi</w:t>
      </w:r>
      <w:proofErr w:type="spellEnd"/>
      <w:r w:rsidRPr="00825F45">
        <w:rPr>
          <w:rFonts w:asciiTheme="majorHAnsi" w:hAnsiTheme="majorHAnsi"/>
          <w:sz w:val="24"/>
          <w:szCs w:val="24"/>
        </w:rPr>
        <w:t xml:space="preserve">, 2006; UNICEF, 2007; </w:t>
      </w:r>
      <w:proofErr w:type="spellStart"/>
      <w:r w:rsidRPr="00825F45">
        <w:rPr>
          <w:rFonts w:asciiTheme="majorHAnsi" w:hAnsiTheme="majorHAnsi"/>
          <w:sz w:val="24"/>
          <w:szCs w:val="24"/>
        </w:rPr>
        <w:t>Akunga</w:t>
      </w:r>
      <w:proofErr w:type="spellEnd"/>
      <w:r w:rsidRPr="00825F45">
        <w:rPr>
          <w:rFonts w:asciiTheme="majorHAnsi" w:hAnsiTheme="majorHAnsi"/>
          <w:sz w:val="24"/>
          <w:szCs w:val="24"/>
        </w:rPr>
        <w:t xml:space="preserve"> and </w:t>
      </w:r>
      <w:proofErr w:type="spellStart"/>
      <w:r w:rsidRPr="00825F45">
        <w:rPr>
          <w:rFonts w:asciiTheme="majorHAnsi" w:hAnsiTheme="majorHAnsi"/>
          <w:sz w:val="24"/>
          <w:szCs w:val="24"/>
        </w:rPr>
        <w:lastRenderedPageBreak/>
        <w:t>Attfield</w:t>
      </w:r>
      <w:proofErr w:type="spellEnd"/>
      <w:r w:rsidRPr="00825F45">
        <w:rPr>
          <w:rFonts w:asciiTheme="majorHAnsi" w:hAnsiTheme="majorHAnsi"/>
          <w:sz w:val="24"/>
          <w:szCs w:val="24"/>
        </w:rPr>
        <w:t xml:space="preserve">, 2010).  </w:t>
      </w:r>
      <w:proofErr w:type="spellStart"/>
      <w:r w:rsidRPr="00825F45">
        <w:rPr>
          <w:rFonts w:asciiTheme="majorHAnsi" w:hAnsiTheme="majorHAnsi"/>
          <w:sz w:val="24"/>
          <w:szCs w:val="24"/>
        </w:rPr>
        <w:t>Dauda</w:t>
      </w:r>
      <w:proofErr w:type="spellEnd"/>
      <w:r w:rsidRPr="00825F45">
        <w:rPr>
          <w:rFonts w:asciiTheme="majorHAnsi" w:hAnsiTheme="majorHAnsi"/>
          <w:sz w:val="24"/>
          <w:szCs w:val="24"/>
        </w:rPr>
        <w:t xml:space="preserve"> (2007), reviewing the range of policy initiatives on girls’ education, concluded that while there had been some clear gains in improving access, in general government policy entailed ‘lots of talk and no action’. In addition, a number of commentators highlight how, in spite of the expansion of education, ideas that </w:t>
      </w:r>
      <w:proofErr w:type="spellStart"/>
      <w:r w:rsidRPr="00825F45">
        <w:rPr>
          <w:rFonts w:asciiTheme="majorHAnsi" w:hAnsiTheme="majorHAnsi"/>
          <w:sz w:val="24"/>
          <w:szCs w:val="24"/>
        </w:rPr>
        <w:t>emphasise</w:t>
      </w:r>
      <w:proofErr w:type="spellEnd"/>
      <w:r w:rsidRPr="00825F45">
        <w:rPr>
          <w:rFonts w:asciiTheme="majorHAnsi" w:hAnsiTheme="majorHAnsi"/>
          <w:sz w:val="24"/>
          <w:szCs w:val="24"/>
        </w:rPr>
        <w:t xml:space="preserve"> women’s subord</w:t>
      </w:r>
      <w:r w:rsidR="00526035" w:rsidRPr="00825F45">
        <w:rPr>
          <w:rFonts w:asciiTheme="majorHAnsi" w:hAnsiTheme="majorHAnsi"/>
          <w:sz w:val="24"/>
          <w:szCs w:val="24"/>
        </w:rPr>
        <w:t>ination have not been confronted</w:t>
      </w:r>
      <w:r w:rsidRPr="00825F45">
        <w:rPr>
          <w:rFonts w:asciiTheme="majorHAnsi" w:hAnsiTheme="majorHAnsi"/>
          <w:sz w:val="24"/>
          <w:szCs w:val="24"/>
        </w:rPr>
        <w:t xml:space="preserve"> (</w:t>
      </w:r>
      <w:proofErr w:type="spellStart"/>
      <w:r w:rsidRPr="00825F45">
        <w:rPr>
          <w:rFonts w:asciiTheme="majorHAnsi" w:hAnsiTheme="majorHAnsi"/>
          <w:sz w:val="24"/>
          <w:szCs w:val="24"/>
        </w:rPr>
        <w:t>Okome</w:t>
      </w:r>
      <w:proofErr w:type="spellEnd"/>
      <w:r w:rsidRPr="00825F45">
        <w:rPr>
          <w:rFonts w:asciiTheme="majorHAnsi" w:hAnsiTheme="majorHAnsi"/>
          <w:sz w:val="24"/>
          <w:szCs w:val="24"/>
        </w:rPr>
        <w:t xml:space="preserve">, 2000; Pereira </w:t>
      </w:r>
      <w:r w:rsidR="00917623" w:rsidRPr="00825F45">
        <w:rPr>
          <w:rFonts w:asciiTheme="majorHAnsi" w:hAnsiTheme="majorHAnsi"/>
          <w:sz w:val="24"/>
          <w:szCs w:val="24"/>
        </w:rPr>
        <w:t>2002</w:t>
      </w:r>
      <w:r w:rsidRPr="00825F45">
        <w:rPr>
          <w:rFonts w:asciiTheme="majorHAnsi" w:hAnsiTheme="majorHAnsi"/>
          <w:sz w:val="24"/>
          <w:szCs w:val="24"/>
        </w:rPr>
        <w:t xml:space="preserve">). Much attention has been given to improving access to schooling, but less focus has been placed on gender relations within schools, processes of learning and teaching, and what opportunities girls have beyond school. The extensive gender inequalities which exist in political, economic, social and cultural life make schooling a particularly significant site </w:t>
      </w:r>
      <w:r w:rsidR="00DF19A9">
        <w:rPr>
          <w:rFonts w:asciiTheme="majorHAnsi" w:hAnsiTheme="majorHAnsi"/>
          <w:sz w:val="24"/>
          <w:szCs w:val="24"/>
        </w:rPr>
        <w:t xml:space="preserve">with the potential for </w:t>
      </w:r>
      <w:proofErr w:type="spellStart"/>
      <w:r w:rsidRPr="00825F45">
        <w:rPr>
          <w:rFonts w:asciiTheme="majorHAnsi" w:hAnsiTheme="majorHAnsi"/>
          <w:sz w:val="24"/>
          <w:szCs w:val="24"/>
        </w:rPr>
        <w:t>for</w:t>
      </w:r>
      <w:proofErr w:type="spellEnd"/>
      <w:r w:rsidRPr="00825F45">
        <w:rPr>
          <w:rFonts w:asciiTheme="majorHAnsi" w:hAnsiTheme="majorHAnsi"/>
          <w:sz w:val="24"/>
          <w:szCs w:val="24"/>
        </w:rPr>
        <w:t xml:space="preserve"> girls to develop some of the skills, insights a</w:t>
      </w:r>
      <w:r w:rsidR="00526035" w:rsidRPr="00825F45">
        <w:rPr>
          <w:rFonts w:asciiTheme="majorHAnsi" w:hAnsiTheme="majorHAnsi"/>
          <w:sz w:val="24"/>
          <w:szCs w:val="24"/>
        </w:rPr>
        <w:t xml:space="preserve">nd social relations to </w:t>
      </w:r>
      <w:r w:rsidR="00C019DC" w:rsidRPr="00825F45">
        <w:rPr>
          <w:rFonts w:asciiTheme="majorHAnsi" w:hAnsiTheme="majorHAnsi"/>
          <w:sz w:val="24"/>
          <w:szCs w:val="24"/>
        </w:rPr>
        <w:t>question</w:t>
      </w:r>
      <w:r w:rsidRPr="00825F45">
        <w:rPr>
          <w:rFonts w:asciiTheme="majorHAnsi" w:hAnsiTheme="majorHAnsi"/>
          <w:sz w:val="24"/>
          <w:szCs w:val="24"/>
        </w:rPr>
        <w:t xml:space="preserve"> these. </w:t>
      </w:r>
    </w:p>
    <w:p w:rsidR="00971B31" w:rsidRPr="00825F45" w:rsidRDefault="00971B31" w:rsidP="005806B5">
      <w:pPr>
        <w:spacing w:after="0" w:line="240" w:lineRule="auto"/>
        <w:rPr>
          <w:rFonts w:asciiTheme="majorHAnsi" w:hAnsiTheme="majorHAnsi"/>
          <w:sz w:val="24"/>
          <w:szCs w:val="24"/>
        </w:rPr>
      </w:pPr>
    </w:p>
    <w:p w:rsidR="00971B31" w:rsidRDefault="00AA08C2" w:rsidP="005806B5">
      <w:pPr>
        <w:spacing w:after="0" w:line="240" w:lineRule="auto"/>
        <w:rPr>
          <w:rFonts w:asciiTheme="majorHAnsi" w:hAnsiTheme="majorHAnsi"/>
          <w:sz w:val="24"/>
          <w:szCs w:val="24"/>
        </w:rPr>
      </w:pPr>
      <w:r w:rsidRPr="00825F45">
        <w:rPr>
          <w:rFonts w:asciiTheme="majorHAnsi" w:hAnsiTheme="majorHAnsi"/>
          <w:sz w:val="24"/>
          <w:szCs w:val="24"/>
        </w:rPr>
        <w:t xml:space="preserve">Thus the </w:t>
      </w:r>
      <w:r w:rsidR="00526035" w:rsidRPr="00825F45">
        <w:rPr>
          <w:rFonts w:asciiTheme="majorHAnsi" w:hAnsiTheme="majorHAnsi"/>
          <w:sz w:val="24"/>
          <w:szCs w:val="24"/>
        </w:rPr>
        <w:t>contextual issues regarding</w:t>
      </w:r>
      <w:r w:rsidRPr="00825F45">
        <w:rPr>
          <w:rFonts w:asciiTheme="majorHAnsi" w:hAnsiTheme="majorHAnsi"/>
          <w:sz w:val="24"/>
          <w:szCs w:val="24"/>
        </w:rPr>
        <w:t xml:space="preserve"> gender relations in Tanzania and Nigeria are </w:t>
      </w:r>
      <w:r w:rsidR="004D236A">
        <w:rPr>
          <w:rFonts w:asciiTheme="majorHAnsi" w:hAnsiTheme="majorHAnsi"/>
          <w:sz w:val="24"/>
          <w:szCs w:val="24"/>
        </w:rPr>
        <w:t xml:space="preserve">also </w:t>
      </w:r>
      <w:r w:rsidRPr="00825F45">
        <w:rPr>
          <w:rFonts w:asciiTheme="majorHAnsi" w:hAnsiTheme="majorHAnsi"/>
          <w:sz w:val="24"/>
          <w:szCs w:val="24"/>
        </w:rPr>
        <w:t>somewhat different. In Tanzania much of the institutional</w:t>
      </w:r>
      <w:r w:rsidR="00AD4235" w:rsidRPr="00825F45">
        <w:rPr>
          <w:rFonts w:asciiTheme="majorHAnsi" w:hAnsiTheme="majorHAnsi"/>
          <w:sz w:val="24"/>
          <w:szCs w:val="24"/>
        </w:rPr>
        <w:t xml:space="preserve"> distributional</w:t>
      </w:r>
      <w:r w:rsidRPr="00825F45">
        <w:rPr>
          <w:rFonts w:asciiTheme="majorHAnsi" w:hAnsiTheme="majorHAnsi"/>
          <w:sz w:val="24"/>
          <w:szCs w:val="24"/>
        </w:rPr>
        <w:t xml:space="preserve"> framework for equality is in place</w:t>
      </w:r>
      <w:r w:rsidR="00AD4235" w:rsidRPr="00825F45">
        <w:rPr>
          <w:rFonts w:asciiTheme="majorHAnsi" w:hAnsiTheme="majorHAnsi"/>
          <w:sz w:val="24"/>
          <w:szCs w:val="24"/>
        </w:rPr>
        <w:t xml:space="preserve"> and key challenges </w:t>
      </w:r>
      <w:r w:rsidRPr="00825F45">
        <w:rPr>
          <w:rFonts w:asciiTheme="majorHAnsi" w:hAnsiTheme="majorHAnsi"/>
          <w:sz w:val="24"/>
          <w:szCs w:val="24"/>
        </w:rPr>
        <w:t xml:space="preserve"> include addressing a range of socio-cultural practices associated with</w:t>
      </w:r>
      <w:r w:rsidR="000920EE">
        <w:rPr>
          <w:rFonts w:asciiTheme="majorHAnsi" w:hAnsiTheme="majorHAnsi"/>
          <w:sz w:val="24"/>
          <w:szCs w:val="24"/>
        </w:rPr>
        <w:t xml:space="preserve"> attainment, </w:t>
      </w:r>
      <w:r w:rsidRPr="00825F45">
        <w:rPr>
          <w:rFonts w:asciiTheme="majorHAnsi" w:hAnsiTheme="majorHAnsi"/>
          <w:sz w:val="24"/>
          <w:szCs w:val="24"/>
        </w:rPr>
        <w:t xml:space="preserve"> marriage, sexual harassment, and levels of gender-based violence</w:t>
      </w:r>
      <w:r w:rsidR="00AD4235" w:rsidRPr="00825F45">
        <w:rPr>
          <w:rFonts w:asciiTheme="majorHAnsi" w:hAnsiTheme="majorHAnsi"/>
          <w:sz w:val="24"/>
          <w:szCs w:val="24"/>
        </w:rPr>
        <w:t xml:space="preserve"> which are associated both with a thicker notion of distribution and </w:t>
      </w:r>
      <w:r w:rsidR="00177D8E" w:rsidRPr="00825F45">
        <w:rPr>
          <w:rFonts w:asciiTheme="majorHAnsi" w:hAnsiTheme="majorHAnsi"/>
          <w:sz w:val="24"/>
          <w:szCs w:val="24"/>
        </w:rPr>
        <w:t>with empowerment. The obstacles</w:t>
      </w:r>
      <w:r w:rsidRPr="00825F45">
        <w:rPr>
          <w:rFonts w:asciiTheme="majorHAnsi" w:hAnsiTheme="majorHAnsi"/>
          <w:sz w:val="24"/>
          <w:szCs w:val="24"/>
        </w:rPr>
        <w:t xml:space="preserve"> girls from the poorest communities face in completing primary school and entering secondary school</w:t>
      </w:r>
      <w:r w:rsidR="00AD4235" w:rsidRPr="00825F45">
        <w:rPr>
          <w:rFonts w:asciiTheme="majorHAnsi" w:hAnsiTheme="majorHAnsi"/>
          <w:sz w:val="24"/>
          <w:szCs w:val="24"/>
        </w:rPr>
        <w:t>,  and the difficulties  t</w:t>
      </w:r>
      <w:r w:rsidR="00E658B4" w:rsidRPr="00825F45">
        <w:rPr>
          <w:rFonts w:asciiTheme="majorHAnsi" w:hAnsiTheme="majorHAnsi"/>
          <w:sz w:val="24"/>
          <w:szCs w:val="24"/>
        </w:rPr>
        <w:t>eachers encou</w:t>
      </w:r>
      <w:r w:rsidR="00AD4235" w:rsidRPr="00825F45">
        <w:rPr>
          <w:rFonts w:asciiTheme="majorHAnsi" w:hAnsiTheme="majorHAnsi"/>
          <w:sz w:val="24"/>
          <w:szCs w:val="24"/>
        </w:rPr>
        <w:t>n</w:t>
      </w:r>
      <w:r w:rsidR="00E658B4" w:rsidRPr="00825F45">
        <w:rPr>
          <w:rFonts w:asciiTheme="majorHAnsi" w:hAnsiTheme="majorHAnsi"/>
          <w:sz w:val="24"/>
          <w:szCs w:val="24"/>
        </w:rPr>
        <w:t>t</w:t>
      </w:r>
      <w:r w:rsidR="00AD4235" w:rsidRPr="00825F45">
        <w:rPr>
          <w:rFonts w:asciiTheme="majorHAnsi" w:hAnsiTheme="majorHAnsi"/>
          <w:sz w:val="24"/>
          <w:szCs w:val="24"/>
        </w:rPr>
        <w:t>er</w:t>
      </w:r>
      <w:r w:rsidR="00EB74AC" w:rsidRPr="00825F45">
        <w:rPr>
          <w:rFonts w:asciiTheme="majorHAnsi" w:hAnsiTheme="majorHAnsi"/>
          <w:sz w:val="24"/>
          <w:szCs w:val="24"/>
        </w:rPr>
        <w:t xml:space="preserve"> in teaching about equality and engaging </w:t>
      </w:r>
      <w:r w:rsidR="00177D8E" w:rsidRPr="00825F45">
        <w:rPr>
          <w:rFonts w:asciiTheme="majorHAnsi" w:hAnsiTheme="majorHAnsi"/>
          <w:sz w:val="24"/>
          <w:szCs w:val="24"/>
        </w:rPr>
        <w:t>with boys and girls to contest</w:t>
      </w:r>
      <w:r w:rsidR="00EB74AC" w:rsidRPr="00825F45">
        <w:rPr>
          <w:rFonts w:asciiTheme="majorHAnsi" w:hAnsiTheme="majorHAnsi"/>
          <w:sz w:val="24"/>
          <w:szCs w:val="24"/>
        </w:rPr>
        <w:t xml:space="preserve"> assumptions about gendered norms and practices</w:t>
      </w:r>
      <w:r w:rsidR="00AD4235" w:rsidRPr="00825F45">
        <w:rPr>
          <w:rFonts w:asciiTheme="majorHAnsi" w:hAnsiTheme="majorHAnsi"/>
          <w:sz w:val="24"/>
          <w:szCs w:val="24"/>
        </w:rPr>
        <w:t xml:space="preserve"> talk both to problems of distribution and empowerment</w:t>
      </w:r>
      <w:r w:rsidRPr="00825F45">
        <w:rPr>
          <w:rFonts w:asciiTheme="majorHAnsi" w:hAnsiTheme="majorHAnsi"/>
          <w:sz w:val="24"/>
          <w:szCs w:val="24"/>
        </w:rPr>
        <w:t>. In N</w:t>
      </w:r>
      <w:r w:rsidR="00177D8E" w:rsidRPr="00825F45">
        <w:rPr>
          <w:rFonts w:asciiTheme="majorHAnsi" w:hAnsiTheme="majorHAnsi"/>
          <w:sz w:val="24"/>
          <w:szCs w:val="24"/>
        </w:rPr>
        <w:t>igeria the contextual problems</w:t>
      </w:r>
      <w:r w:rsidRPr="00825F45">
        <w:rPr>
          <w:rFonts w:asciiTheme="majorHAnsi" w:hAnsiTheme="majorHAnsi"/>
          <w:sz w:val="24"/>
          <w:szCs w:val="24"/>
        </w:rPr>
        <w:t xml:space="preserve"> relate to</w:t>
      </w:r>
      <w:r w:rsidR="00AD4235" w:rsidRPr="00825F45">
        <w:rPr>
          <w:rFonts w:asciiTheme="majorHAnsi" w:hAnsiTheme="majorHAnsi"/>
          <w:sz w:val="24"/>
          <w:szCs w:val="24"/>
        </w:rPr>
        <w:t xml:space="preserve"> many aspects of distribution, notably</w:t>
      </w:r>
      <w:r w:rsidRPr="00825F45">
        <w:rPr>
          <w:rFonts w:asciiTheme="majorHAnsi" w:hAnsiTheme="majorHAnsi"/>
          <w:sz w:val="24"/>
          <w:szCs w:val="24"/>
        </w:rPr>
        <w:t xml:space="preserve"> putting an institutional framework for equality in place </w:t>
      </w:r>
      <w:r w:rsidRPr="00825F45">
        <w:rPr>
          <w:rFonts w:asciiTheme="majorHAnsi" w:hAnsiTheme="majorHAnsi"/>
          <w:i/>
          <w:sz w:val="24"/>
          <w:szCs w:val="24"/>
        </w:rPr>
        <w:t>and at the same time</w:t>
      </w:r>
      <w:r w:rsidRPr="00825F45">
        <w:rPr>
          <w:rFonts w:asciiTheme="majorHAnsi" w:hAnsiTheme="majorHAnsi"/>
          <w:sz w:val="24"/>
          <w:szCs w:val="24"/>
        </w:rPr>
        <w:t xml:space="preserve"> addressing deeply entrenched</w:t>
      </w:r>
      <w:r w:rsidR="002421B1" w:rsidRPr="00825F45">
        <w:rPr>
          <w:rFonts w:asciiTheme="majorHAnsi" w:hAnsiTheme="majorHAnsi"/>
          <w:sz w:val="24"/>
          <w:szCs w:val="24"/>
        </w:rPr>
        <w:t xml:space="preserve"> politico-economic </w:t>
      </w:r>
      <w:r w:rsidR="005806B5" w:rsidRPr="00825F45">
        <w:rPr>
          <w:rFonts w:asciiTheme="majorHAnsi" w:hAnsiTheme="majorHAnsi"/>
          <w:sz w:val="24"/>
          <w:szCs w:val="24"/>
        </w:rPr>
        <w:t>and socio</w:t>
      </w:r>
      <w:r w:rsidRPr="00825F45">
        <w:rPr>
          <w:rFonts w:asciiTheme="majorHAnsi" w:hAnsiTheme="majorHAnsi"/>
          <w:sz w:val="24"/>
          <w:szCs w:val="24"/>
        </w:rPr>
        <w:t>-cultural attitudes to marriage and control over girls and women. While in Tanzania transforming education for girls is about working with them</w:t>
      </w:r>
      <w:r w:rsidR="00EB74AC" w:rsidRPr="00825F45">
        <w:rPr>
          <w:rFonts w:asciiTheme="majorHAnsi" w:hAnsiTheme="majorHAnsi"/>
          <w:sz w:val="24"/>
          <w:szCs w:val="24"/>
        </w:rPr>
        <w:t>, boys at school, teachers</w:t>
      </w:r>
      <w:r w:rsidR="00177D8E" w:rsidRPr="00825F45">
        <w:rPr>
          <w:rFonts w:asciiTheme="majorHAnsi" w:hAnsiTheme="majorHAnsi"/>
          <w:sz w:val="24"/>
          <w:szCs w:val="24"/>
        </w:rPr>
        <w:t xml:space="preserve">, parents and </w:t>
      </w:r>
      <w:r w:rsidR="00EB74AC" w:rsidRPr="00825F45">
        <w:rPr>
          <w:rFonts w:asciiTheme="majorHAnsi" w:hAnsiTheme="majorHAnsi"/>
          <w:sz w:val="24"/>
          <w:szCs w:val="24"/>
        </w:rPr>
        <w:t>communities</w:t>
      </w:r>
      <w:r w:rsidRPr="00825F45">
        <w:rPr>
          <w:rFonts w:asciiTheme="majorHAnsi" w:hAnsiTheme="majorHAnsi"/>
          <w:sz w:val="24"/>
          <w:szCs w:val="24"/>
        </w:rPr>
        <w:t xml:space="preserve"> to engage with </w:t>
      </w:r>
      <w:r w:rsidR="004D236A">
        <w:rPr>
          <w:rFonts w:asciiTheme="majorHAnsi" w:hAnsiTheme="majorHAnsi"/>
          <w:sz w:val="24"/>
          <w:szCs w:val="24"/>
        </w:rPr>
        <w:t xml:space="preserve">largely </w:t>
      </w:r>
      <w:r w:rsidRPr="00825F45">
        <w:rPr>
          <w:rFonts w:asciiTheme="majorHAnsi" w:hAnsiTheme="majorHAnsi"/>
          <w:sz w:val="24"/>
          <w:szCs w:val="24"/>
        </w:rPr>
        <w:t>equitable institutions, in Nigeria it is about wor</w:t>
      </w:r>
      <w:r w:rsidR="00177D8E" w:rsidRPr="00825F45">
        <w:rPr>
          <w:rFonts w:asciiTheme="majorHAnsi" w:hAnsiTheme="majorHAnsi"/>
          <w:sz w:val="24"/>
          <w:szCs w:val="24"/>
        </w:rPr>
        <w:t>king with all these groups</w:t>
      </w:r>
      <w:r w:rsidRPr="00825F45">
        <w:rPr>
          <w:rFonts w:asciiTheme="majorHAnsi" w:hAnsiTheme="majorHAnsi"/>
          <w:sz w:val="24"/>
          <w:szCs w:val="24"/>
        </w:rPr>
        <w:t xml:space="preserve"> to try to establish those instituti</w:t>
      </w:r>
      <w:r w:rsidR="00177D8E" w:rsidRPr="00825F45">
        <w:rPr>
          <w:rFonts w:asciiTheme="majorHAnsi" w:hAnsiTheme="majorHAnsi"/>
          <w:sz w:val="24"/>
          <w:szCs w:val="24"/>
        </w:rPr>
        <w:t>ons equitably</w:t>
      </w:r>
      <w:r w:rsidRPr="00825F45">
        <w:rPr>
          <w:rFonts w:asciiTheme="majorHAnsi" w:hAnsiTheme="majorHAnsi"/>
          <w:sz w:val="24"/>
          <w:szCs w:val="24"/>
        </w:rPr>
        <w:t xml:space="preserve">. </w:t>
      </w:r>
      <w:r w:rsidR="00AD4235" w:rsidRPr="00825F45">
        <w:rPr>
          <w:rFonts w:asciiTheme="majorHAnsi" w:hAnsiTheme="majorHAnsi"/>
          <w:sz w:val="24"/>
          <w:szCs w:val="24"/>
        </w:rPr>
        <w:t xml:space="preserve">Thus whether concern with the distributional features of gender justice and empowerment run in parallel with </w:t>
      </w:r>
      <w:r w:rsidR="00C30542" w:rsidRPr="00825F45">
        <w:rPr>
          <w:rFonts w:asciiTheme="majorHAnsi" w:hAnsiTheme="majorHAnsi"/>
          <w:sz w:val="24"/>
          <w:szCs w:val="24"/>
        </w:rPr>
        <w:t>each other,</w:t>
      </w:r>
      <w:r w:rsidR="00AD4235" w:rsidRPr="00825F45">
        <w:rPr>
          <w:rFonts w:asciiTheme="majorHAnsi" w:hAnsiTheme="majorHAnsi"/>
          <w:sz w:val="24"/>
          <w:szCs w:val="24"/>
        </w:rPr>
        <w:t xml:space="preserve"> or are facets of the same proc</w:t>
      </w:r>
      <w:r w:rsidR="00C30542" w:rsidRPr="00825F45">
        <w:rPr>
          <w:rFonts w:asciiTheme="majorHAnsi" w:hAnsiTheme="majorHAnsi"/>
          <w:sz w:val="24"/>
          <w:szCs w:val="24"/>
        </w:rPr>
        <w:t>ess,</w:t>
      </w:r>
      <w:r w:rsidR="00177D8E" w:rsidRPr="00825F45">
        <w:rPr>
          <w:rFonts w:asciiTheme="majorHAnsi" w:hAnsiTheme="majorHAnsi"/>
          <w:sz w:val="24"/>
          <w:szCs w:val="24"/>
        </w:rPr>
        <w:t xml:space="preserve"> seems</w:t>
      </w:r>
      <w:r w:rsidR="00AD4235" w:rsidRPr="00825F45">
        <w:rPr>
          <w:rFonts w:asciiTheme="majorHAnsi" w:hAnsiTheme="majorHAnsi"/>
          <w:sz w:val="24"/>
          <w:szCs w:val="24"/>
        </w:rPr>
        <w:t xml:space="preserve"> partly </w:t>
      </w:r>
      <w:r w:rsidR="00177D8E" w:rsidRPr="00825F45">
        <w:rPr>
          <w:rFonts w:asciiTheme="majorHAnsi" w:hAnsiTheme="majorHAnsi"/>
          <w:sz w:val="24"/>
          <w:szCs w:val="24"/>
        </w:rPr>
        <w:t xml:space="preserve">to </w:t>
      </w:r>
      <w:r w:rsidR="00AD4235" w:rsidRPr="00825F45">
        <w:rPr>
          <w:rFonts w:asciiTheme="majorHAnsi" w:hAnsiTheme="majorHAnsi"/>
          <w:sz w:val="24"/>
          <w:szCs w:val="24"/>
        </w:rPr>
        <w:t>be a feature of particular histories.</w:t>
      </w:r>
    </w:p>
    <w:p w:rsidR="00DF19A9" w:rsidRDefault="00DF19A9" w:rsidP="005806B5">
      <w:pPr>
        <w:spacing w:after="0" w:line="240" w:lineRule="auto"/>
        <w:rPr>
          <w:rFonts w:asciiTheme="majorHAnsi" w:hAnsiTheme="majorHAnsi"/>
          <w:sz w:val="24"/>
          <w:szCs w:val="24"/>
        </w:rPr>
      </w:pPr>
    </w:p>
    <w:p w:rsidR="00DF19A9" w:rsidRPr="00DF19A9" w:rsidRDefault="00FA17E8" w:rsidP="005806B5">
      <w:pPr>
        <w:spacing w:after="0" w:line="240" w:lineRule="auto"/>
        <w:rPr>
          <w:rFonts w:asciiTheme="majorHAnsi" w:hAnsiTheme="majorHAnsi"/>
          <w:b/>
          <w:i/>
          <w:sz w:val="24"/>
          <w:szCs w:val="24"/>
        </w:rPr>
      </w:pPr>
      <w:r w:rsidRPr="00FA17E8">
        <w:rPr>
          <w:rFonts w:asciiTheme="majorHAnsi" w:hAnsiTheme="majorHAnsi"/>
          <w:b/>
          <w:i/>
          <w:sz w:val="24"/>
          <w:szCs w:val="24"/>
        </w:rPr>
        <w:t>The TEGINT conceptual framework</w:t>
      </w:r>
    </w:p>
    <w:p w:rsidR="00AD4235" w:rsidRPr="00825F45" w:rsidRDefault="00AD4235" w:rsidP="005806B5">
      <w:pPr>
        <w:spacing w:after="0" w:line="240" w:lineRule="auto"/>
        <w:rPr>
          <w:rFonts w:asciiTheme="majorHAnsi" w:hAnsiTheme="majorHAnsi"/>
          <w:sz w:val="24"/>
          <w:szCs w:val="24"/>
        </w:rPr>
      </w:pPr>
    </w:p>
    <w:p w:rsidR="0008045D" w:rsidRPr="00825F45" w:rsidRDefault="006C40F7" w:rsidP="005806B5">
      <w:pPr>
        <w:pStyle w:val="BodyText2"/>
        <w:spacing w:after="0" w:line="240" w:lineRule="auto"/>
        <w:rPr>
          <w:rFonts w:asciiTheme="majorHAnsi" w:hAnsiTheme="majorHAnsi"/>
        </w:rPr>
      </w:pPr>
      <w:r w:rsidRPr="00825F45">
        <w:rPr>
          <w:rFonts w:asciiTheme="majorHAnsi" w:hAnsiTheme="majorHAnsi"/>
        </w:rPr>
        <w:t>TEGINT has</w:t>
      </w:r>
      <w:r w:rsidR="0008045D" w:rsidRPr="00825F45">
        <w:rPr>
          <w:rFonts w:asciiTheme="majorHAnsi" w:hAnsiTheme="majorHAnsi"/>
        </w:rPr>
        <w:t xml:space="preserve"> been concerned with the inter-relationship between expanding girls’ access to school, improving their experience of learning and addressing conditions of gender inequality.  The baseline s</w:t>
      </w:r>
      <w:r w:rsidR="00C835E8" w:rsidRPr="00825F45">
        <w:rPr>
          <w:rFonts w:asciiTheme="majorHAnsi" w:hAnsiTheme="majorHAnsi"/>
        </w:rPr>
        <w:t xml:space="preserve">tudies for the project were </w:t>
      </w:r>
      <w:r w:rsidR="0008045D" w:rsidRPr="00825F45">
        <w:rPr>
          <w:rFonts w:asciiTheme="majorHAnsi" w:hAnsiTheme="majorHAnsi"/>
        </w:rPr>
        <w:t>located at the intersection of a number of</w:t>
      </w:r>
      <w:r w:rsidR="00166578" w:rsidRPr="00825F45">
        <w:rPr>
          <w:rFonts w:asciiTheme="majorHAnsi" w:hAnsiTheme="majorHAnsi"/>
        </w:rPr>
        <w:t xml:space="preserve"> the </w:t>
      </w:r>
      <w:r w:rsidR="0008045D" w:rsidRPr="00825F45">
        <w:rPr>
          <w:rFonts w:asciiTheme="majorHAnsi" w:hAnsiTheme="majorHAnsi"/>
        </w:rPr>
        <w:t>approaches to</w:t>
      </w:r>
      <w:r w:rsidR="00AD4235" w:rsidRPr="00825F45">
        <w:rPr>
          <w:rFonts w:asciiTheme="majorHAnsi" w:hAnsiTheme="majorHAnsi"/>
        </w:rPr>
        <w:t xml:space="preserve"> distribution and empowerment. I</w:t>
      </w:r>
      <w:r w:rsidR="00166578" w:rsidRPr="00825F45">
        <w:rPr>
          <w:rFonts w:asciiTheme="majorHAnsi" w:hAnsiTheme="majorHAnsi"/>
        </w:rPr>
        <w:t xml:space="preserve">t drew from </w:t>
      </w:r>
      <w:r w:rsidR="0008045D" w:rsidRPr="00825F45">
        <w:rPr>
          <w:rFonts w:asciiTheme="majorHAnsi" w:hAnsiTheme="majorHAnsi"/>
        </w:rPr>
        <w:t>Women in Development (WID), which emphasises numbers of girls and boys enrolling in school, progressing to completion and participating in the labour market and political decision-making</w:t>
      </w:r>
      <w:r w:rsidR="00166578" w:rsidRPr="00825F45">
        <w:rPr>
          <w:rFonts w:asciiTheme="majorHAnsi" w:hAnsiTheme="majorHAnsi"/>
        </w:rPr>
        <w:t xml:space="preserve"> (King and Hill, 1993),</w:t>
      </w:r>
      <w:r w:rsidR="0008045D" w:rsidRPr="00825F45">
        <w:rPr>
          <w:rFonts w:asciiTheme="majorHAnsi" w:hAnsiTheme="majorHAnsi"/>
        </w:rPr>
        <w:t xml:space="preserve"> the Gender and Development (GAD) approach that considers unequal structures of power within schools and societies (Moser, </w:t>
      </w:r>
      <w:r w:rsidR="00151DE4" w:rsidRPr="00825F45">
        <w:rPr>
          <w:rFonts w:asciiTheme="majorHAnsi" w:hAnsiTheme="majorHAnsi"/>
        </w:rPr>
        <w:t>1993</w:t>
      </w:r>
      <w:r w:rsidR="0008045D" w:rsidRPr="00825F45">
        <w:rPr>
          <w:rFonts w:asciiTheme="majorHAnsi" w:hAnsiTheme="majorHAnsi"/>
        </w:rPr>
        <w:t>; Kabeer</w:t>
      </w:r>
      <w:r w:rsidR="00881945" w:rsidRPr="00825F45">
        <w:rPr>
          <w:rFonts w:asciiTheme="majorHAnsi" w:hAnsiTheme="majorHAnsi"/>
        </w:rPr>
        <w:t xml:space="preserve"> 1999</w:t>
      </w:r>
      <w:r w:rsidR="00166578" w:rsidRPr="00825F45">
        <w:rPr>
          <w:rFonts w:asciiTheme="majorHAnsi" w:hAnsiTheme="majorHAnsi"/>
        </w:rPr>
        <w:t>)</w:t>
      </w:r>
      <w:r w:rsidR="0008045D" w:rsidRPr="00825F45">
        <w:rPr>
          <w:rFonts w:asciiTheme="majorHAnsi" w:hAnsiTheme="majorHAnsi"/>
        </w:rPr>
        <w:t>, the work of a number of African scholars documenting the complexity of communities and the politics of knowledge about gender (</w:t>
      </w:r>
      <w:proofErr w:type="spellStart"/>
      <w:r w:rsidR="0008045D" w:rsidRPr="00825F45">
        <w:rPr>
          <w:rFonts w:asciiTheme="majorHAnsi" w:hAnsiTheme="majorHAnsi"/>
        </w:rPr>
        <w:t>Nnaemeka</w:t>
      </w:r>
      <w:proofErr w:type="spellEnd"/>
      <w:r w:rsidR="0008045D" w:rsidRPr="00825F45">
        <w:rPr>
          <w:rFonts w:asciiTheme="majorHAnsi" w:hAnsiTheme="majorHAnsi"/>
        </w:rPr>
        <w:t xml:space="preserve">, 1993; </w:t>
      </w:r>
      <w:proofErr w:type="spellStart"/>
      <w:r w:rsidR="0008045D" w:rsidRPr="00825F45">
        <w:rPr>
          <w:rFonts w:asciiTheme="majorHAnsi" w:hAnsiTheme="majorHAnsi"/>
        </w:rPr>
        <w:t>Mbilinyi</w:t>
      </w:r>
      <w:proofErr w:type="spellEnd"/>
      <w:r w:rsidR="0008045D" w:rsidRPr="00825F45">
        <w:rPr>
          <w:rFonts w:asciiTheme="majorHAnsi" w:hAnsiTheme="majorHAnsi"/>
        </w:rPr>
        <w:t xml:space="preserve">, 1998; </w:t>
      </w:r>
      <w:proofErr w:type="spellStart"/>
      <w:r w:rsidR="0008045D" w:rsidRPr="00825F45">
        <w:rPr>
          <w:rFonts w:asciiTheme="majorHAnsi" w:hAnsiTheme="majorHAnsi"/>
        </w:rPr>
        <w:t>Beoku</w:t>
      </w:r>
      <w:proofErr w:type="spellEnd"/>
      <w:r w:rsidR="0008045D" w:rsidRPr="00825F45">
        <w:rPr>
          <w:rFonts w:asciiTheme="majorHAnsi" w:hAnsiTheme="majorHAnsi"/>
        </w:rPr>
        <w:t xml:space="preserve"> Betts, 2008; </w:t>
      </w:r>
      <w:proofErr w:type="spellStart"/>
      <w:r w:rsidR="0008045D" w:rsidRPr="00825F45">
        <w:rPr>
          <w:rFonts w:asciiTheme="majorHAnsi" w:hAnsiTheme="majorHAnsi"/>
        </w:rPr>
        <w:t>Arnfred</w:t>
      </w:r>
      <w:proofErr w:type="spellEnd"/>
      <w:r w:rsidR="0008045D" w:rsidRPr="00825F45">
        <w:rPr>
          <w:rFonts w:asciiTheme="majorHAnsi" w:hAnsiTheme="majorHAnsi"/>
        </w:rPr>
        <w:t xml:space="preserve"> a</w:t>
      </w:r>
      <w:r w:rsidR="00166578" w:rsidRPr="00825F45">
        <w:rPr>
          <w:rFonts w:asciiTheme="majorHAnsi" w:hAnsiTheme="majorHAnsi"/>
        </w:rPr>
        <w:t xml:space="preserve">nd </w:t>
      </w:r>
      <w:proofErr w:type="spellStart"/>
      <w:r w:rsidR="00166578" w:rsidRPr="00825F45">
        <w:rPr>
          <w:rFonts w:asciiTheme="majorHAnsi" w:hAnsiTheme="majorHAnsi"/>
        </w:rPr>
        <w:t>Adomako</w:t>
      </w:r>
      <w:proofErr w:type="spellEnd"/>
      <w:r w:rsidR="00166578" w:rsidRPr="00825F45">
        <w:rPr>
          <w:rFonts w:asciiTheme="majorHAnsi" w:hAnsiTheme="majorHAnsi"/>
        </w:rPr>
        <w:t>, 2010);</w:t>
      </w:r>
      <w:r w:rsidR="00C505A6" w:rsidRPr="00825F45">
        <w:rPr>
          <w:rFonts w:asciiTheme="majorHAnsi" w:hAnsiTheme="majorHAnsi"/>
        </w:rPr>
        <w:t xml:space="preserve"> </w:t>
      </w:r>
      <w:r w:rsidR="00166578" w:rsidRPr="00825F45">
        <w:rPr>
          <w:rFonts w:asciiTheme="majorHAnsi" w:hAnsiTheme="majorHAnsi"/>
        </w:rPr>
        <w:t>and</w:t>
      </w:r>
      <w:r w:rsidR="0008045D" w:rsidRPr="00825F45">
        <w:rPr>
          <w:rFonts w:asciiTheme="majorHAnsi" w:hAnsiTheme="majorHAnsi"/>
        </w:rPr>
        <w:t>, the gender, empowerment and capabilities approach, which looks at the ways in which opportunities can be expanded for girls and boys to secure lives they have reason to value, with a focus on what a person is able to do and to be, opportunities and freedoms to realise this, and concern to address injustice and inequality (</w:t>
      </w:r>
      <w:r w:rsidR="006B00D6" w:rsidRPr="00825F45">
        <w:rPr>
          <w:rFonts w:asciiTheme="majorHAnsi" w:hAnsiTheme="majorHAnsi"/>
        </w:rPr>
        <w:t xml:space="preserve">Nussbaum, 2000; </w:t>
      </w:r>
      <w:proofErr w:type="spellStart"/>
      <w:r w:rsidR="001D5BDD" w:rsidRPr="00825F45">
        <w:rPr>
          <w:rFonts w:asciiTheme="majorHAnsi" w:hAnsiTheme="majorHAnsi"/>
        </w:rPr>
        <w:t>Agarwal</w:t>
      </w:r>
      <w:proofErr w:type="spellEnd"/>
      <w:r w:rsidR="001D5BDD" w:rsidRPr="00825F45">
        <w:rPr>
          <w:rFonts w:asciiTheme="majorHAnsi" w:hAnsiTheme="majorHAnsi"/>
        </w:rPr>
        <w:t xml:space="preserve">, Humphries, </w:t>
      </w:r>
      <w:r w:rsidR="006B00D6" w:rsidRPr="00825F45">
        <w:rPr>
          <w:rFonts w:asciiTheme="majorHAnsi" w:hAnsiTheme="majorHAnsi"/>
        </w:rPr>
        <w:lastRenderedPageBreak/>
        <w:t>Robeyns, 2005; Unterhalter, 2007</w:t>
      </w:r>
      <w:r w:rsidR="0008045D" w:rsidRPr="00825F45">
        <w:rPr>
          <w:rFonts w:asciiTheme="majorHAnsi" w:hAnsiTheme="majorHAnsi"/>
        </w:rPr>
        <w:t xml:space="preserve">).  </w:t>
      </w:r>
    </w:p>
    <w:p w:rsidR="0008045D" w:rsidRPr="00825F45" w:rsidRDefault="0008045D" w:rsidP="005806B5">
      <w:pPr>
        <w:pStyle w:val="BodyText2"/>
        <w:spacing w:after="0" w:line="240" w:lineRule="auto"/>
        <w:rPr>
          <w:rFonts w:asciiTheme="majorHAnsi" w:hAnsiTheme="majorHAnsi"/>
        </w:rPr>
      </w:pPr>
    </w:p>
    <w:p w:rsidR="00C132E6" w:rsidRPr="00825F45" w:rsidRDefault="0008045D" w:rsidP="005806B5">
      <w:pPr>
        <w:pStyle w:val="CommentText"/>
        <w:rPr>
          <w:rFonts w:asciiTheme="majorHAnsi" w:hAnsiTheme="majorHAnsi"/>
          <w:sz w:val="24"/>
          <w:szCs w:val="24"/>
        </w:rPr>
      </w:pPr>
      <w:r w:rsidRPr="00825F45">
        <w:rPr>
          <w:rFonts w:asciiTheme="majorHAnsi" w:hAnsiTheme="majorHAnsi"/>
          <w:sz w:val="24"/>
          <w:szCs w:val="24"/>
        </w:rPr>
        <w:t>Each of these broad frameworks pointed to some aspect of the context of shifting gender relations and schooling in Northern Tanzania an</w:t>
      </w:r>
      <w:r w:rsidR="001B01B4" w:rsidRPr="00825F45">
        <w:rPr>
          <w:rFonts w:asciiTheme="majorHAnsi" w:hAnsiTheme="majorHAnsi"/>
          <w:sz w:val="24"/>
          <w:szCs w:val="24"/>
        </w:rPr>
        <w:t>d Northern Nigeria, but none appeared</w:t>
      </w:r>
      <w:r w:rsidRPr="00825F45">
        <w:rPr>
          <w:rFonts w:asciiTheme="majorHAnsi" w:hAnsiTheme="majorHAnsi"/>
          <w:sz w:val="24"/>
          <w:szCs w:val="24"/>
        </w:rPr>
        <w:t xml:space="preserve"> a ‘best fit’ with the general goal of the project for the transformation of education for gir</w:t>
      </w:r>
      <w:r w:rsidR="001B01B4" w:rsidRPr="00825F45">
        <w:rPr>
          <w:rFonts w:asciiTheme="majorHAnsi" w:hAnsiTheme="majorHAnsi"/>
          <w:sz w:val="24"/>
          <w:szCs w:val="24"/>
        </w:rPr>
        <w:t>ls and its  concern with</w:t>
      </w:r>
      <w:r w:rsidRPr="00825F45">
        <w:rPr>
          <w:rFonts w:asciiTheme="majorHAnsi" w:hAnsiTheme="majorHAnsi"/>
          <w:sz w:val="24"/>
          <w:szCs w:val="24"/>
        </w:rPr>
        <w:t xml:space="preserve"> syst</w:t>
      </w:r>
      <w:r w:rsidR="002421B1" w:rsidRPr="00825F45">
        <w:rPr>
          <w:rFonts w:asciiTheme="majorHAnsi" w:hAnsiTheme="majorHAnsi"/>
          <w:sz w:val="24"/>
          <w:szCs w:val="24"/>
        </w:rPr>
        <w:t>emi</w:t>
      </w:r>
      <w:r w:rsidR="001B01B4" w:rsidRPr="00825F45">
        <w:rPr>
          <w:rFonts w:asciiTheme="majorHAnsi" w:hAnsiTheme="majorHAnsi"/>
          <w:sz w:val="24"/>
          <w:szCs w:val="24"/>
        </w:rPr>
        <w:t>c and strategic working. The research team</w:t>
      </w:r>
      <w:r w:rsidRPr="00825F45">
        <w:rPr>
          <w:rFonts w:asciiTheme="majorHAnsi" w:hAnsiTheme="majorHAnsi"/>
          <w:sz w:val="24"/>
          <w:szCs w:val="24"/>
        </w:rPr>
        <w:t xml:space="preserve"> thus drew selectively on each ap</w:t>
      </w:r>
      <w:r w:rsidR="001B01B4" w:rsidRPr="00825F45">
        <w:rPr>
          <w:rFonts w:asciiTheme="majorHAnsi" w:hAnsiTheme="majorHAnsi"/>
          <w:sz w:val="24"/>
          <w:szCs w:val="24"/>
        </w:rPr>
        <w:t>proach. From the WID approach it</w:t>
      </w:r>
      <w:r w:rsidRPr="00825F45">
        <w:rPr>
          <w:rFonts w:asciiTheme="majorHAnsi" w:hAnsiTheme="majorHAnsi"/>
          <w:sz w:val="24"/>
          <w:szCs w:val="24"/>
        </w:rPr>
        <w:t xml:space="preserve"> identified the importance of collecting information on the numbers of girls and boys enrolling, attending, progressing through and completing school, coupled with documentation on school facilities, teacher numbers and their level of training and qua</w:t>
      </w:r>
      <w:r w:rsidR="001B01B4" w:rsidRPr="00825F45">
        <w:rPr>
          <w:rFonts w:asciiTheme="majorHAnsi" w:hAnsiTheme="majorHAnsi"/>
          <w:sz w:val="24"/>
          <w:szCs w:val="24"/>
        </w:rPr>
        <w:t>lifications. This information was considered</w:t>
      </w:r>
      <w:r w:rsidRPr="00825F45">
        <w:rPr>
          <w:rFonts w:asciiTheme="majorHAnsi" w:hAnsiTheme="majorHAnsi"/>
          <w:sz w:val="24"/>
          <w:szCs w:val="24"/>
        </w:rPr>
        <w:t xml:space="preserve"> valuable in charting trends in partic</w:t>
      </w:r>
      <w:r w:rsidR="001B01B4" w:rsidRPr="00825F45">
        <w:rPr>
          <w:rFonts w:asciiTheme="majorHAnsi" w:hAnsiTheme="majorHAnsi"/>
          <w:sz w:val="24"/>
          <w:szCs w:val="24"/>
        </w:rPr>
        <w:t xml:space="preserve">ular areas, which would alert the project team </w:t>
      </w:r>
      <w:r w:rsidRPr="00825F45">
        <w:rPr>
          <w:rFonts w:asciiTheme="majorHAnsi" w:hAnsiTheme="majorHAnsi"/>
          <w:sz w:val="24"/>
          <w:szCs w:val="24"/>
        </w:rPr>
        <w:t xml:space="preserve">to particular local variations </w:t>
      </w:r>
      <w:r w:rsidR="001B01B4" w:rsidRPr="00825F45">
        <w:rPr>
          <w:rFonts w:asciiTheme="majorHAnsi" w:hAnsiTheme="majorHAnsi"/>
          <w:sz w:val="24"/>
          <w:szCs w:val="24"/>
        </w:rPr>
        <w:t xml:space="preserve">and </w:t>
      </w:r>
      <w:r w:rsidRPr="00825F45">
        <w:rPr>
          <w:rFonts w:asciiTheme="majorHAnsi" w:hAnsiTheme="majorHAnsi"/>
          <w:sz w:val="24"/>
          <w:szCs w:val="24"/>
        </w:rPr>
        <w:t>st</w:t>
      </w:r>
      <w:r w:rsidR="001B01B4" w:rsidRPr="00825F45">
        <w:rPr>
          <w:rFonts w:asciiTheme="majorHAnsi" w:hAnsiTheme="majorHAnsi"/>
          <w:sz w:val="24"/>
          <w:szCs w:val="24"/>
        </w:rPr>
        <w:t>rategies for action. However, it was</w:t>
      </w:r>
      <w:r w:rsidRPr="00825F45">
        <w:rPr>
          <w:rFonts w:asciiTheme="majorHAnsi" w:hAnsiTheme="majorHAnsi"/>
          <w:sz w:val="24"/>
          <w:szCs w:val="24"/>
        </w:rPr>
        <w:t xml:space="preserve"> acknowledg</w:t>
      </w:r>
      <w:r w:rsidR="002421B1" w:rsidRPr="00825F45">
        <w:rPr>
          <w:rFonts w:asciiTheme="majorHAnsi" w:hAnsiTheme="majorHAnsi"/>
          <w:sz w:val="24"/>
          <w:szCs w:val="24"/>
        </w:rPr>
        <w:t xml:space="preserve">ed that </w:t>
      </w:r>
      <w:r w:rsidR="004D236A">
        <w:rPr>
          <w:rFonts w:asciiTheme="majorHAnsi" w:hAnsiTheme="majorHAnsi"/>
          <w:sz w:val="24"/>
          <w:szCs w:val="24"/>
        </w:rPr>
        <w:t>these distributional aspects</w:t>
      </w:r>
      <w:r w:rsidR="00402AE7" w:rsidRPr="00825F45">
        <w:rPr>
          <w:rFonts w:asciiTheme="majorHAnsi" w:hAnsiTheme="majorHAnsi"/>
          <w:sz w:val="24"/>
          <w:szCs w:val="24"/>
        </w:rPr>
        <w:t xml:space="preserve"> could not</w:t>
      </w:r>
      <w:r w:rsidR="001B01B4" w:rsidRPr="00825F45">
        <w:rPr>
          <w:rFonts w:asciiTheme="majorHAnsi" w:hAnsiTheme="majorHAnsi"/>
          <w:sz w:val="24"/>
          <w:szCs w:val="24"/>
        </w:rPr>
        <w:t xml:space="preserve"> explain </w:t>
      </w:r>
      <w:r w:rsidRPr="00825F45">
        <w:rPr>
          <w:rFonts w:asciiTheme="majorHAnsi" w:hAnsiTheme="majorHAnsi"/>
          <w:sz w:val="24"/>
          <w:szCs w:val="24"/>
        </w:rPr>
        <w:t>why and</w:t>
      </w:r>
      <w:r w:rsidR="001B01B4" w:rsidRPr="00825F45">
        <w:rPr>
          <w:rFonts w:asciiTheme="majorHAnsi" w:hAnsiTheme="majorHAnsi"/>
          <w:sz w:val="24"/>
          <w:szCs w:val="24"/>
        </w:rPr>
        <w:t xml:space="preserve"> how</w:t>
      </w:r>
      <w:r w:rsidR="002421B1" w:rsidRPr="00825F45">
        <w:rPr>
          <w:rFonts w:asciiTheme="majorHAnsi" w:hAnsiTheme="majorHAnsi"/>
          <w:sz w:val="24"/>
          <w:szCs w:val="24"/>
        </w:rPr>
        <w:t xml:space="preserve"> change may </w:t>
      </w:r>
      <w:proofErr w:type="gramStart"/>
      <w:r w:rsidR="002421B1" w:rsidRPr="00825F45">
        <w:rPr>
          <w:rFonts w:asciiTheme="majorHAnsi" w:hAnsiTheme="majorHAnsi"/>
          <w:sz w:val="24"/>
          <w:szCs w:val="24"/>
        </w:rPr>
        <w:t>be taking</w:t>
      </w:r>
      <w:proofErr w:type="gramEnd"/>
      <w:r w:rsidR="002421B1" w:rsidRPr="00825F45">
        <w:rPr>
          <w:rFonts w:asciiTheme="majorHAnsi" w:hAnsiTheme="majorHAnsi"/>
          <w:sz w:val="24"/>
          <w:szCs w:val="24"/>
        </w:rPr>
        <w:t xml:space="preserve"> place, nor</w:t>
      </w:r>
      <w:r w:rsidR="001B01B4" w:rsidRPr="00825F45">
        <w:rPr>
          <w:rFonts w:asciiTheme="majorHAnsi" w:hAnsiTheme="majorHAnsi"/>
          <w:sz w:val="24"/>
          <w:szCs w:val="24"/>
        </w:rPr>
        <w:t xml:space="preserve"> hi</w:t>
      </w:r>
      <w:r w:rsidR="00A26752" w:rsidRPr="00825F45">
        <w:rPr>
          <w:rFonts w:asciiTheme="majorHAnsi" w:hAnsiTheme="majorHAnsi"/>
          <w:sz w:val="24"/>
          <w:szCs w:val="24"/>
        </w:rPr>
        <w:t>g</w:t>
      </w:r>
      <w:r w:rsidR="001B01B4" w:rsidRPr="00825F45">
        <w:rPr>
          <w:rFonts w:asciiTheme="majorHAnsi" w:hAnsiTheme="majorHAnsi"/>
          <w:sz w:val="24"/>
          <w:szCs w:val="24"/>
        </w:rPr>
        <w:t>hlight features of empowerment.</w:t>
      </w:r>
      <w:r w:rsidR="00883566" w:rsidRPr="00825F45">
        <w:rPr>
          <w:rFonts w:asciiTheme="majorHAnsi" w:hAnsiTheme="majorHAnsi"/>
          <w:sz w:val="24"/>
          <w:szCs w:val="24"/>
        </w:rPr>
        <w:t xml:space="preserve"> </w:t>
      </w:r>
      <w:r w:rsidRPr="00825F45">
        <w:rPr>
          <w:rFonts w:asciiTheme="majorHAnsi" w:hAnsiTheme="majorHAnsi"/>
          <w:sz w:val="24"/>
          <w:szCs w:val="24"/>
        </w:rPr>
        <w:t>The GAD approach stresses the significance of gendered power relations inside households with regard to allocations of time, money and esteem, which have particular consequences for how girls’ schooling is negotiated and what happens when girls are pregnant or leave school.  It also points to the importance of understanding gendered forces at work in schools and the ways in which the cultures of teaching and learning and the hidden curriculum with regard to status may enforce particular identities of subordination for girls and some boys. The work of many African theorists of gender have urged attention to the complexity of relations within households, schools and communities, and interpreting the complexities of reproductive rights, vo</w:t>
      </w:r>
      <w:r w:rsidR="00402AE7" w:rsidRPr="00825F45">
        <w:rPr>
          <w:rFonts w:asciiTheme="majorHAnsi" w:hAnsiTheme="majorHAnsi"/>
          <w:sz w:val="24"/>
          <w:szCs w:val="24"/>
        </w:rPr>
        <w:t>ice and political mobilization</w:t>
      </w:r>
      <w:r w:rsidRPr="00825F45">
        <w:rPr>
          <w:rFonts w:asciiTheme="majorHAnsi" w:hAnsiTheme="majorHAnsi"/>
          <w:sz w:val="24"/>
          <w:szCs w:val="24"/>
        </w:rPr>
        <w:t>.  They point to the significance of studying the connections between communities as much as the di</w:t>
      </w:r>
      <w:r w:rsidR="00402AE7" w:rsidRPr="00825F45">
        <w:rPr>
          <w:rFonts w:asciiTheme="majorHAnsi" w:hAnsiTheme="majorHAnsi"/>
          <w:sz w:val="24"/>
          <w:szCs w:val="24"/>
        </w:rPr>
        <w:t>visions</w:t>
      </w:r>
      <w:r w:rsidRPr="00825F45">
        <w:rPr>
          <w:rFonts w:asciiTheme="majorHAnsi" w:hAnsiTheme="majorHAnsi"/>
          <w:sz w:val="24"/>
          <w:szCs w:val="24"/>
        </w:rPr>
        <w:t xml:space="preserve">.  The capabilities or empowerment approach identifies the importance of attending to what particular actors (pupils, teachers, school managers or education officials) say they have reason to value and what they view as significant constraints and possibilities for change. In </w:t>
      </w:r>
      <w:proofErr w:type="spellStart"/>
      <w:r w:rsidRPr="00825F45">
        <w:rPr>
          <w:rFonts w:asciiTheme="majorHAnsi" w:hAnsiTheme="majorHAnsi"/>
          <w:sz w:val="24"/>
          <w:szCs w:val="24"/>
        </w:rPr>
        <w:t>operationalising</w:t>
      </w:r>
      <w:proofErr w:type="spellEnd"/>
      <w:r w:rsidRPr="00825F45">
        <w:rPr>
          <w:rFonts w:asciiTheme="majorHAnsi" w:hAnsiTheme="majorHAnsi"/>
          <w:sz w:val="24"/>
          <w:szCs w:val="24"/>
        </w:rPr>
        <w:t xml:space="preserve"> the approach and developing indicators of human development a number of writers have pointed to how illuminating the cultivation of particular indicators for ranking levels of human development, gender development and gender empowerment can be (</w:t>
      </w:r>
      <w:proofErr w:type="spellStart"/>
      <w:r w:rsidRPr="00825F45">
        <w:rPr>
          <w:rFonts w:asciiTheme="majorHAnsi" w:hAnsiTheme="majorHAnsi"/>
          <w:sz w:val="24"/>
          <w:szCs w:val="24"/>
        </w:rPr>
        <w:t>Sen</w:t>
      </w:r>
      <w:proofErr w:type="spellEnd"/>
      <w:r w:rsidRPr="00825F45">
        <w:rPr>
          <w:rFonts w:asciiTheme="majorHAnsi" w:hAnsiTheme="majorHAnsi"/>
          <w:sz w:val="24"/>
          <w:szCs w:val="24"/>
        </w:rPr>
        <w:t xml:space="preserve">, 1999; </w:t>
      </w:r>
      <w:r w:rsidR="002421B1" w:rsidRPr="00825F45">
        <w:rPr>
          <w:rFonts w:asciiTheme="majorHAnsi" w:hAnsiTheme="majorHAnsi"/>
          <w:sz w:val="24"/>
          <w:szCs w:val="24"/>
        </w:rPr>
        <w:t xml:space="preserve">Kabeer, 1999; </w:t>
      </w:r>
      <w:r w:rsidRPr="00825F45">
        <w:rPr>
          <w:rFonts w:asciiTheme="majorHAnsi" w:hAnsiTheme="majorHAnsi"/>
          <w:sz w:val="24"/>
          <w:szCs w:val="24"/>
        </w:rPr>
        <w:t xml:space="preserve">Fukuda Parr and Kumar, 2003).  </w:t>
      </w:r>
      <w:r w:rsidR="00C132E6" w:rsidRPr="00825F45">
        <w:rPr>
          <w:rFonts w:asciiTheme="majorHAnsi" w:hAnsiTheme="majorHAnsi"/>
          <w:sz w:val="24"/>
          <w:szCs w:val="24"/>
        </w:rPr>
        <w:t>Thus the project built on this work on indicators and also used ideas from GAD and the capabilities approach to engage with communities of parents, teachers and school management committees to discuss a number of gender issues, including division of labour in households, work and attending to girls’ voices.</w:t>
      </w:r>
      <w:r w:rsidR="00DF19A9">
        <w:rPr>
          <w:rFonts w:asciiTheme="majorHAnsi" w:hAnsiTheme="majorHAnsi"/>
          <w:sz w:val="24"/>
          <w:szCs w:val="24"/>
        </w:rPr>
        <w:t xml:space="preserve"> It drew from post-colonial approaches by playing close attention to local context and diversity in interpreting the data gathered.</w:t>
      </w:r>
    </w:p>
    <w:p w:rsidR="0008045D" w:rsidRPr="00825F45" w:rsidRDefault="0008045D" w:rsidP="005806B5">
      <w:pPr>
        <w:spacing w:after="0" w:line="240" w:lineRule="auto"/>
        <w:rPr>
          <w:rFonts w:asciiTheme="majorHAnsi" w:hAnsiTheme="majorHAnsi"/>
          <w:sz w:val="24"/>
          <w:szCs w:val="24"/>
        </w:rPr>
      </w:pPr>
    </w:p>
    <w:p w:rsidR="0008045D" w:rsidRDefault="0008045D" w:rsidP="005806B5">
      <w:pPr>
        <w:spacing w:after="0" w:line="240" w:lineRule="auto"/>
        <w:rPr>
          <w:rFonts w:asciiTheme="majorHAnsi" w:hAnsiTheme="majorHAnsi"/>
          <w:sz w:val="24"/>
          <w:szCs w:val="24"/>
        </w:rPr>
      </w:pPr>
      <w:r w:rsidRPr="00825F45">
        <w:rPr>
          <w:rFonts w:asciiTheme="majorHAnsi" w:hAnsiTheme="majorHAnsi"/>
          <w:sz w:val="24"/>
          <w:szCs w:val="24"/>
        </w:rPr>
        <w:t xml:space="preserve">The TEGINT project team thus developed a conceptual framework at the centre of which we placed the agency, </w:t>
      </w:r>
      <w:r w:rsidR="005806B5" w:rsidRPr="00825F45">
        <w:rPr>
          <w:rFonts w:asciiTheme="majorHAnsi" w:hAnsiTheme="majorHAnsi"/>
          <w:sz w:val="24"/>
          <w:szCs w:val="24"/>
        </w:rPr>
        <w:t>judgment</w:t>
      </w:r>
      <w:r w:rsidR="002D321C" w:rsidRPr="00825F45">
        <w:rPr>
          <w:rFonts w:asciiTheme="majorHAnsi" w:hAnsiTheme="majorHAnsi"/>
          <w:sz w:val="24"/>
          <w:szCs w:val="24"/>
        </w:rPr>
        <w:t>, and actions of girls</w:t>
      </w:r>
      <w:r w:rsidRPr="00825F45">
        <w:rPr>
          <w:rFonts w:asciiTheme="majorHAnsi" w:hAnsiTheme="majorHAnsi"/>
          <w:sz w:val="24"/>
          <w:szCs w:val="24"/>
        </w:rPr>
        <w:t xml:space="preserve">. The framework reflects the project’s commitment to understanding girls’ voices, reflections and actions, and the ways in which their capabilities are constrained or can expand with the result that they may claim and develop their rights to education and strengthen their capacity to protect themselves against HIV.  </w:t>
      </w:r>
      <w:r w:rsidR="00562312" w:rsidRPr="00825F45">
        <w:rPr>
          <w:rFonts w:asciiTheme="majorHAnsi" w:hAnsiTheme="majorHAnsi"/>
          <w:sz w:val="24"/>
          <w:szCs w:val="24"/>
        </w:rPr>
        <w:t>Thus w</w:t>
      </w:r>
      <w:r w:rsidR="001B01B4" w:rsidRPr="00825F45">
        <w:rPr>
          <w:rFonts w:asciiTheme="majorHAnsi" w:hAnsiTheme="majorHAnsi"/>
          <w:sz w:val="24"/>
          <w:szCs w:val="24"/>
        </w:rPr>
        <w:t xml:space="preserve">hile giving a central place to empowerment views concerning gender in </w:t>
      </w:r>
      <w:proofErr w:type="gramStart"/>
      <w:r w:rsidR="001B01B4" w:rsidRPr="00825F45">
        <w:rPr>
          <w:rFonts w:asciiTheme="majorHAnsi" w:hAnsiTheme="majorHAnsi"/>
          <w:sz w:val="24"/>
          <w:szCs w:val="24"/>
        </w:rPr>
        <w:t>education,</w:t>
      </w:r>
      <w:proofErr w:type="gramEnd"/>
      <w:r w:rsidR="001B01B4" w:rsidRPr="00825F45">
        <w:rPr>
          <w:rFonts w:asciiTheme="majorHAnsi" w:hAnsiTheme="majorHAnsi"/>
          <w:sz w:val="24"/>
          <w:szCs w:val="24"/>
        </w:rPr>
        <w:t xml:space="preserve"> the research analysis also highlighted some</w:t>
      </w:r>
      <w:r w:rsidR="006C40F7" w:rsidRPr="00825F45">
        <w:rPr>
          <w:rFonts w:asciiTheme="majorHAnsi" w:hAnsiTheme="majorHAnsi"/>
          <w:sz w:val="24"/>
          <w:szCs w:val="24"/>
        </w:rPr>
        <w:t xml:space="preserve"> </w:t>
      </w:r>
      <w:r w:rsidR="001B01B4" w:rsidRPr="00825F45">
        <w:rPr>
          <w:rFonts w:asciiTheme="majorHAnsi" w:hAnsiTheme="majorHAnsi"/>
          <w:sz w:val="24"/>
          <w:szCs w:val="24"/>
        </w:rPr>
        <w:t>significant features of distribution.</w:t>
      </w:r>
    </w:p>
    <w:p w:rsidR="005806B5" w:rsidRPr="00825F45" w:rsidRDefault="005806B5" w:rsidP="005806B5">
      <w:pPr>
        <w:spacing w:after="0" w:line="240" w:lineRule="auto"/>
        <w:rPr>
          <w:rFonts w:asciiTheme="majorHAnsi" w:hAnsiTheme="majorHAnsi"/>
          <w:sz w:val="24"/>
          <w:szCs w:val="24"/>
        </w:rPr>
      </w:pPr>
    </w:p>
    <w:p w:rsidR="00D33007" w:rsidRPr="00825F45" w:rsidRDefault="00D33007" w:rsidP="005806B5">
      <w:pPr>
        <w:spacing w:after="0" w:line="240" w:lineRule="auto"/>
        <w:rPr>
          <w:rFonts w:asciiTheme="majorHAnsi" w:hAnsiTheme="majorHAnsi"/>
          <w:sz w:val="24"/>
          <w:szCs w:val="24"/>
        </w:rPr>
      </w:pPr>
    </w:p>
    <w:p w:rsidR="009C527B" w:rsidRPr="00825F45" w:rsidRDefault="0008045D" w:rsidP="005806B5">
      <w:pPr>
        <w:spacing w:after="0" w:line="240" w:lineRule="auto"/>
        <w:rPr>
          <w:rFonts w:asciiTheme="majorHAnsi" w:hAnsiTheme="majorHAnsi"/>
          <w:sz w:val="24"/>
          <w:szCs w:val="24"/>
        </w:rPr>
      </w:pPr>
      <w:r w:rsidRPr="00825F45">
        <w:rPr>
          <w:rFonts w:asciiTheme="majorHAnsi" w:hAnsiTheme="majorHAnsi"/>
          <w:sz w:val="24"/>
          <w:szCs w:val="24"/>
        </w:rPr>
        <w:lastRenderedPageBreak/>
        <w:t>The conceptual framework</w:t>
      </w:r>
      <w:r w:rsidR="005A6BC0" w:rsidRPr="00825F45">
        <w:rPr>
          <w:rFonts w:asciiTheme="majorHAnsi" w:hAnsiTheme="majorHAnsi"/>
          <w:sz w:val="24"/>
          <w:szCs w:val="24"/>
        </w:rPr>
        <w:t xml:space="preserve"> was developed to </w:t>
      </w:r>
      <w:r w:rsidR="00605461" w:rsidRPr="00825F45">
        <w:rPr>
          <w:rFonts w:asciiTheme="majorHAnsi" w:hAnsiTheme="majorHAnsi"/>
          <w:sz w:val="24"/>
          <w:szCs w:val="24"/>
        </w:rPr>
        <w:t>indicate</w:t>
      </w:r>
      <w:r w:rsidR="003361E8" w:rsidRPr="00825F45">
        <w:rPr>
          <w:rFonts w:asciiTheme="majorHAnsi" w:hAnsiTheme="majorHAnsi"/>
          <w:sz w:val="24"/>
          <w:szCs w:val="24"/>
        </w:rPr>
        <w:t xml:space="preserve"> that the project understood</w:t>
      </w:r>
      <w:r w:rsidRPr="00825F45">
        <w:rPr>
          <w:rFonts w:asciiTheme="majorHAnsi" w:hAnsiTheme="majorHAnsi"/>
          <w:sz w:val="24"/>
          <w:szCs w:val="24"/>
        </w:rPr>
        <w:t xml:space="preserve"> girls as active agents, who think about their lives, articulate their views and act. These girls are engaged in social relations with each other, with boys, parents, teachers, education officials, men and women in their communities, and the project’s implementing partners to bring about change</w:t>
      </w:r>
      <w:r w:rsidR="00605461" w:rsidRPr="00825F45">
        <w:rPr>
          <w:rFonts w:asciiTheme="majorHAnsi" w:hAnsiTheme="majorHAnsi"/>
          <w:sz w:val="24"/>
          <w:szCs w:val="24"/>
        </w:rPr>
        <w:t xml:space="preserve">. Each girl is important, and the project </w:t>
      </w:r>
      <w:r w:rsidRPr="00825F45">
        <w:rPr>
          <w:rFonts w:asciiTheme="majorHAnsi" w:hAnsiTheme="majorHAnsi"/>
          <w:sz w:val="24"/>
          <w:szCs w:val="24"/>
        </w:rPr>
        <w:t>acknowledge</w:t>
      </w:r>
      <w:r w:rsidR="00605461" w:rsidRPr="00825F45">
        <w:rPr>
          <w:rFonts w:asciiTheme="majorHAnsi" w:hAnsiTheme="majorHAnsi"/>
          <w:sz w:val="24"/>
          <w:szCs w:val="24"/>
        </w:rPr>
        <w:t>d</w:t>
      </w:r>
      <w:r w:rsidRPr="00825F45">
        <w:rPr>
          <w:rFonts w:asciiTheme="majorHAnsi" w:hAnsiTheme="majorHAnsi"/>
          <w:sz w:val="24"/>
          <w:szCs w:val="24"/>
        </w:rPr>
        <w:t xml:space="preserve"> the networks of social relations in which they live. A range of forces</w:t>
      </w:r>
      <w:r w:rsidR="00605461" w:rsidRPr="00825F45">
        <w:rPr>
          <w:rFonts w:asciiTheme="majorHAnsi" w:hAnsiTheme="majorHAnsi"/>
          <w:sz w:val="24"/>
          <w:szCs w:val="24"/>
        </w:rPr>
        <w:t xml:space="preserve"> were seen to</w:t>
      </w:r>
      <w:r w:rsidRPr="00825F45">
        <w:rPr>
          <w:rFonts w:asciiTheme="majorHAnsi" w:hAnsiTheme="majorHAnsi"/>
          <w:sz w:val="24"/>
          <w:szCs w:val="24"/>
        </w:rPr>
        <w:t xml:space="preserve"> constrain the opportunities for ed</w:t>
      </w:r>
      <w:r w:rsidR="00605461" w:rsidRPr="00825F45">
        <w:rPr>
          <w:rFonts w:asciiTheme="majorHAnsi" w:hAnsiTheme="majorHAnsi"/>
          <w:sz w:val="24"/>
          <w:szCs w:val="24"/>
        </w:rPr>
        <w:t xml:space="preserve">ucation and empowerment of </w:t>
      </w:r>
      <w:r w:rsidRPr="00825F45">
        <w:rPr>
          <w:rFonts w:asciiTheme="majorHAnsi" w:hAnsiTheme="majorHAnsi"/>
          <w:sz w:val="24"/>
          <w:szCs w:val="24"/>
        </w:rPr>
        <w:t xml:space="preserve">girls in both countries. They live in societies that are stratified by gender, class, ethnicity, religion and other social divisions, which have complex histories and dynamics and differ between locales. These </w:t>
      </w:r>
      <w:r w:rsidR="00605461" w:rsidRPr="00825F45">
        <w:rPr>
          <w:rFonts w:asciiTheme="majorHAnsi" w:hAnsiTheme="majorHAnsi"/>
          <w:sz w:val="24"/>
          <w:szCs w:val="24"/>
        </w:rPr>
        <w:t xml:space="preserve">intersecting </w:t>
      </w:r>
      <w:r w:rsidR="006C40F7" w:rsidRPr="00825F45">
        <w:rPr>
          <w:rFonts w:asciiTheme="majorHAnsi" w:hAnsiTheme="majorHAnsi"/>
          <w:sz w:val="24"/>
          <w:szCs w:val="24"/>
        </w:rPr>
        <w:t>divisions entail</w:t>
      </w:r>
      <w:r w:rsidRPr="00825F45">
        <w:rPr>
          <w:rFonts w:asciiTheme="majorHAnsi" w:hAnsiTheme="majorHAnsi"/>
          <w:sz w:val="24"/>
          <w:szCs w:val="24"/>
        </w:rPr>
        <w:t xml:space="preserve"> forms of </w:t>
      </w:r>
      <w:proofErr w:type="gramStart"/>
      <w:r w:rsidRPr="00825F45">
        <w:rPr>
          <w:rFonts w:asciiTheme="majorHAnsi" w:hAnsiTheme="majorHAnsi"/>
          <w:sz w:val="24"/>
          <w:szCs w:val="24"/>
        </w:rPr>
        <w:t>discrimination,</w:t>
      </w:r>
      <w:proofErr w:type="gramEnd"/>
      <w:r w:rsidRPr="00825F45">
        <w:rPr>
          <w:rFonts w:asciiTheme="majorHAnsi" w:hAnsiTheme="majorHAnsi"/>
          <w:sz w:val="24"/>
          <w:szCs w:val="24"/>
        </w:rPr>
        <w:t xml:space="preserve"> inequality and poverty although in both countries government have policies that are attempting to </w:t>
      </w:r>
      <w:r w:rsidR="00605461" w:rsidRPr="00825F45">
        <w:rPr>
          <w:rFonts w:asciiTheme="majorHAnsi" w:hAnsiTheme="majorHAnsi"/>
          <w:sz w:val="24"/>
          <w:szCs w:val="24"/>
        </w:rPr>
        <w:t xml:space="preserve">address this. Thus </w:t>
      </w:r>
      <w:r w:rsidRPr="00825F45">
        <w:rPr>
          <w:rFonts w:asciiTheme="majorHAnsi" w:hAnsiTheme="majorHAnsi"/>
          <w:sz w:val="24"/>
          <w:szCs w:val="24"/>
        </w:rPr>
        <w:t xml:space="preserve"> girls’ lives </w:t>
      </w:r>
      <w:r w:rsidR="006C40F7" w:rsidRPr="00825F45">
        <w:rPr>
          <w:rFonts w:asciiTheme="majorHAnsi" w:hAnsiTheme="majorHAnsi"/>
          <w:sz w:val="24"/>
          <w:szCs w:val="24"/>
        </w:rPr>
        <w:t xml:space="preserve">are seen </w:t>
      </w:r>
      <w:r w:rsidRPr="00825F45">
        <w:rPr>
          <w:rFonts w:asciiTheme="majorHAnsi" w:hAnsiTheme="majorHAnsi"/>
          <w:sz w:val="24"/>
          <w:szCs w:val="24"/>
        </w:rPr>
        <w:t>as being constrained by a range of forces which ‘press down’ through the exercise of various forms of power</w:t>
      </w:r>
      <w:r w:rsidR="00605461" w:rsidRPr="00825F45">
        <w:rPr>
          <w:rFonts w:asciiTheme="majorHAnsi" w:hAnsiTheme="majorHAnsi"/>
          <w:sz w:val="24"/>
          <w:szCs w:val="24"/>
        </w:rPr>
        <w:t xml:space="preserve">, </w:t>
      </w:r>
      <w:r w:rsidR="00A56F59">
        <w:rPr>
          <w:rFonts w:asciiTheme="majorHAnsi" w:hAnsiTheme="majorHAnsi"/>
          <w:sz w:val="24"/>
          <w:szCs w:val="24"/>
        </w:rPr>
        <w:t xml:space="preserve"> although these do not all act in the same way or have equivalent significance at all times. These forces  are </w:t>
      </w:r>
      <w:r w:rsidR="00605461" w:rsidRPr="00825F45">
        <w:rPr>
          <w:rFonts w:asciiTheme="majorHAnsi" w:hAnsiTheme="majorHAnsi"/>
          <w:sz w:val="24"/>
          <w:szCs w:val="24"/>
        </w:rPr>
        <w:t>g</w:t>
      </w:r>
      <w:r w:rsidRPr="00825F45">
        <w:rPr>
          <w:rFonts w:asciiTheme="majorHAnsi" w:hAnsiTheme="majorHAnsi"/>
          <w:sz w:val="24"/>
          <w:szCs w:val="24"/>
        </w:rPr>
        <w:t>endered</w:t>
      </w:r>
      <w:r w:rsidR="00605461" w:rsidRPr="00825F45">
        <w:rPr>
          <w:rFonts w:asciiTheme="majorHAnsi" w:hAnsiTheme="majorHAnsi"/>
          <w:sz w:val="24"/>
          <w:szCs w:val="24"/>
        </w:rPr>
        <w:t xml:space="preserve"> forces associated with production and the economy, livelihoods, drought, migration, access to housing, education, </w:t>
      </w:r>
      <w:r w:rsidRPr="00825F45">
        <w:rPr>
          <w:rFonts w:asciiTheme="majorHAnsi" w:hAnsiTheme="majorHAnsi"/>
          <w:sz w:val="24"/>
          <w:szCs w:val="24"/>
        </w:rPr>
        <w:t xml:space="preserve">family, community, </w:t>
      </w:r>
      <w:r w:rsidR="00A56F59">
        <w:rPr>
          <w:rFonts w:asciiTheme="majorHAnsi" w:hAnsiTheme="majorHAnsi"/>
          <w:sz w:val="24"/>
          <w:szCs w:val="24"/>
        </w:rPr>
        <w:t xml:space="preserve"> the actions of some </w:t>
      </w:r>
      <w:r w:rsidRPr="00825F45">
        <w:rPr>
          <w:rFonts w:asciiTheme="majorHAnsi" w:hAnsiTheme="majorHAnsi"/>
          <w:sz w:val="24"/>
          <w:szCs w:val="24"/>
        </w:rPr>
        <w:t xml:space="preserve">Civil Society </w:t>
      </w:r>
      <w:proofErr w:type="spellStart"/>
      <w:r w:rsidRPr="00825F45">
        <w:rPr>
          <w:rFonts w:asciiTheme="majorHAnsi" w:hAnsiTheme="majorHAnsi"/>
          <w:sz w:val="24"/>
          <w:szCs w:val="24"/>
        </w:rPr>
        <w:t>Organisations</w:t>
      </w:r>
      <w:proofErr w:type="spellEnd"/>
      <w:r w:rsidRPr="00825F45">
        <w:rPr>
          <w:rFonts w:asciiTheme="majorHAnsi" w:hAnsiTheme="majorHAnsi"/>
          <w:sz w:val="24"/>
          <w:szCs w:val="24"/>
        </w:rPr>
        <w:t xml:space="preserve"> (CSOs)</w:t>
      </w:r>
      <w:r w:rsidR="006C40F7" w:rsidRPr="00825F45">
        <w:rPr>
          <w:rFonts w:asciiTheme="majorHAnsi" w:hAnsiTheme="majorHAnsi"/>
          <w:sz w:val="24"/>
          <w:szCs w:val="24"/>
        </w:rPr>
        <w:t>;</w:t>
      </w:r>
      <w:r w:rsidR="00605461" w:rsidRPr="00825F45">
        <w:rPr>
          <w:rFonts w:asciiTheme="majorHAnsi" w:hAnsiTheme="majorHAnsi"/>
          <w:sz w:val="24"/>
          <w:szCs w:val="24"/>
        </w:rPr>
        <w:t xml:space="preserve"> cultural forces , such as </w:t>
      </w:r>
      <w:r w:rsidRPr="00825F45">
        <w:rPr>
          <w:rFonts w:asciiTheme="majorHAnsi" w:hAnsiTheme="majorHAnsi"/>
          <w:sz w:val="24"/>
          <w:szCs w:val="24"/>
        </w:rPr>
        <w:t>language, religion,</w:t>
      </w:r>
      <w:r w:rsidR="00605461" w:rsidRPr="00825F45">
        <w:rPr>
          <w:rFonts w:asciiTheme="majorHAnsi" w:hAnsiTheme="majorHAnsi"/>
          <w:sz w:val="24"/>
          <w:szCs w:val="24"/>
        </w:rPr>
        <w:t xml:space="preserve"> forms of knowledge production, </w:t>
      </w:r>
      <w:r w:rsidRPr="00825F45">
        <w:rPr>
          <w:rFonts w:asciiTheme="majorHAnsi" w:hAnsiTheme="majorHAnsi"/>
          <w:sz w:val="24"/>
          <w:szCs w:val="24"/>
        </w:rPr>
        <w:t xml:space="preserve">constraints on movement e.g. </w:t>
      </w:r>
      <w:proofErr w:type="spellStart"/>
      <w:r w:rsidRPr="00825F45">
        <w:rPr>
          <w:rFonts w:asciiTheme="majorHAnsi" w:hAnsiTheme="majorHAnsi"/>
          <w:sz w:val="24"/>
          <w:szCs w:val="24"/>
        </w:rPr>
        <w:t>purdah</w:t>
      </w:r>
      <w:proofErr w:type="spellEnd"/>
      <w:r w:rsidRPr="00825F45">
        <w:rPr>
          <w:rFonts w:asciiTheme="majorHAnsi" w:hAnsiTheme="majorHAnsi"/>
          <w:sz w:val="24"/>
          <w:szCs w:val="24"/>
        </w:rPr>
        <w:t>, household chores</w:t>
      </w:r>
      <w:r w:rsidR="006C40F7" w:rsidRPr="00825F45">
        <w:rPr>
          <w:rFonts w:asciiTheme="majorHAnsi" w:hAnsiTheme="majorHAnsi"/>
          <w:sz w:val="24"/>
          <w:szCs w:val="24"/>
        </w:rPr>
        <w:t>;</w:t>
      </w:r>
      <w:r w:rsidR="00605461" w:rsidRPr="00825F45">
        <w:rPr>
          <w:rFonts w:asciiTheme="majorHAnsi" w:hAnsiTheme="majorHAnsi"/>
          <w:sz w:val="24"/>
          <w:szCs w:val="24"/>
        </w:rPr>
        <w:t xml:space="preserve"> </w:t>
      </w:r>
      <w:r w:rsidRPr="00825F45">
        <w:rPr>
          <w:rFonts w:asciiTheme="majorHAnsi" w:hAnsiTheme="majorHAnsi"/>
          <w:sz w:val="24"/>
          <w:szCs w:val="24"/>
        </w:rPr>
        <w:t xml:space="preserve"> political forces;</w:t>
      </w:r>
      <w:r w:rsidR="00605461" w:rsidRPr="00825F45">
        <w:rPr>
          <w:rFonts w:asciiTheme="majorHAnsi" w:hAnsiTheme="majorHAnsi"/>
          <w:sz w:val="24"/>
          <w:szCs w:val="24"/>
        </w:rPr>
        <w:t xml:space="preserve">  health issues associated with </w:t>
      </w:r>
      <w:r w:rsidR="005A6BC0" w:rsidRPr="00825F45">
        <w:rPr>
          <w:rFonts w:asciiTheme="majorHAnsi" w:hAnsiTheme="majorHAnsi"/>
          <w:sz w:val="24"/>
          <w:szCs w:val="24"/>
        </w:rPr>
        <w:t>HIV, access to food, pregnancy</w:t>
      </w:r>
      <w:r w:rsidRPr="00825F45">
        <w:rPr>
          <w:rFonts w:asciiTheme="majorHAnsi" w:hAnsiTheme="majorHAnsi"/>
          <w:sz w:val="24"/>
          <w:szCs w:val="24"/>
        </w:rPr>
        <w:t>. While all these</w:t>
      </w:r>
      <w:r w:rsidR="00605461" w:rsidRPr="00825F45">
        <w:rPr>
          <w:rFonts w:asciiTheme="majorHAnsi" w:hAnsiTheme="majorHAnsi"/>
          <w:sz w:val="24"/>
          <w:szCs w:val="24"/>
        </w:rPr>
        <w:t xml:space="preserve"> and other</w:t>
      </w:r>
      <w:r w:rsidRPr="00825F45">
        <w:rPr>
          <w:rFonts w:asciiTheme="majorHAnsi" w:hAnsiTheme="majorHAnsi"/>
          <w:sz w:val="24"/>
          <w:szCs w:val="24"/>
        </w:rPr>
        <w:t xml:space="preserve"> fo</w:t>
      </w:r>
      <w:r w:rsidR="00605461" w:rsidRPr="00825F45">
        <w:rPr>
          <w:rFonts w:asciiTheme="majorHAnsi" w:hAnsiTheme="majorHAnsi"/>
          <w:sz w:val="24"/>
          <w:szCs w:val="24"/>
        </w:rPr>
        <w:t>rces press down on the girls, the project was</w:t>
      </w:r>
      <w:r w:rsidRPr="00825F45">
        <w:rPr>
          <w:rFonts w:asciiTheme="majorHAnsi" w:hAnsiTheme="majorHAnsi"/>
          <w:sz w:val="24"/>
          <w:szCs w:val="24"/>
        </w:rPr>
        <w:t xml:space="preserve"> concerned </w:t>
      </w:r>
      <w:r w:rsidR="00311C62" w:rsidRPr="00825F45">
        <w:rPr>
          <w:rFonts w:asciiTheme="majorHAnsi" w:hAnsiTheme="majorHAnsi"/>
          <w:sz w:val="24"/>
          <w:szCs w:val="24"/>
        </w:rPr>
        <w:t xml:space="preserve"> to enhance the spaces and opportunities</w:t>
      </w:r>
      <w:r w:rsidR="00605461" w:rsidRPr="00825F45">
        <w:rPr>
          <w:rFonts w:asciiTheme="majorHAnsi" w:hAnsiTheme="majorHAnsi"/>
          <w:sz w:val="24"/>
          <w:szCs w:val="24"/>
        </w:rPr>
        <w:t xml:space="preserve"> that girls </w:t>
      </w:r>
      <w:r w:rsidRPr="00825F45">
        <w:rPr>
          <w:rFonts w:asciiTheme="majorHAnsi" w:hAnsiTheme="majorHAnsi"/>
          <w:sz w:val="24"/>
          <w:szCs w:val="24"/>
        </w:rPr>
        <w:t>ha</w:t>
      </w:r>
      <w:r w:rsidR="00311C62" w:rsidRPr="00825F45">
        <w:rPr>
          <w:rFonts w:asciiTheme="majorHAnsi" w:hAnsiTheme="majorHAnsi"/>
          <w:sz w:val="24"/>
          <w:szCs w:val="24"/>
        </w:rPr>
        <w:t>ve</w:t>
      </w:r>
      <w:r w:rsidRPr="00825F45">
        <w:rPr>
          <w:rFonts w:asciiTheme="majorHAnsi" w:hAnsiTheme="majorHAnsi"/>
          <w:sz w:val="24"/>
          <w:szCs w:val="24"/>
        </w:rPr>
        <w:t xml:space="preserve"> to art</w:t>
      </w:r>
      <w:r w:rsidR="00605461" w:rsidRPr="00825F45">
        <w:rPr>
          <w:rFonts w:asciiTheme="majorHAnsi" w:hAnsiTheme="majorHAnsi"/>
          <w:sz w:val="24"/>
          <w:szCs w:val="24"/>
        </w:rPr>
        <w:t>iculate views and take action</w:t>
      </w:r>
      <w:r w:rsidR="009C527B" w:rsidRPr="00825F45">
        <w:rPr>
          <w:rFonts w:asciiTheme="majorHAnsi" w:hAnsiTheme="majorHAnsi"/>
          <w:sz w:val="24"/>
          <w:szCs w:val="24"/>
        </w:rPr>
        <w:t xml:space="preserve"> for change, that is engage in strategies and actions for empowerment</w:t>
      </w:r>
      <w:r w:rsidR="00311C62" w:rsidRPr="00825F45">
        <w:rPr>
          <w:rFonts w:asciiTheme="majorHAnsi" w:hAnsiTheme="majorHAnsi"/>
          <w:sz w:val="24"/>
          <w:szCs w:val="24"/>
        </w:rPr>
        <w:t xml:space="preserve">. In addition it attended to aspects of the distributional question, </w:t>
      </w:r>
      <w:r w:rsidR="00402AE7" w:rsidRPr="00825F45">
        <w:rPr>
          <w:rFonts w:asciiTheme="majorHAnsi" w:hAnsiTheme="majorHAnsi"/>
          <w:sz w:val="24"/>
          <w:szCs w:val="24"/>
        </w:rPr>
        <w:t>particularly teachers’</w:t>
      </w:r>
      <w:r w:rsidR="00311C62" w:rsidRPr="00825F45">
        <w:rPr>
          <w:rFonts w:asciiTheme="majorHAnsi" w:hAnsiTheme="majorHAnsi"/>
          <w:sz w:val="24"/>
          <w:szCs w:val="24"/>
        </w:rPr>
        <w:t xml:space="preserve"> engagement with girls’ learning and how the work of School Management Committees (SMCs) could support girls at school</w:t>
      </w:r>
      <w:r w:rsidR="00605461" w:rsidRPr="00825F45">
        <w:rPr>
          <w:rFonts w:asciiTheme="majorHAnsi" w:hAnsiTheme="majorHAnsi"/>
          <w:sz w:val="24"/>
          <w:szCs w:val="24"/>
        </w:rPr>
        <w:t xml:space="preserve">. </w:t>
      </w:r>
      <w:r w:rsidR="009C527B" w:rsidRPr="00825F45">
        <w:rPr>
          <w:rFonts w:asciiTheme="majorHAnsi" w:hAnsiTheme="majorHAnsi"/>
          <w:sz w:val="24"/>
          <w:szCs w:val="24"/>
        </w:rPr>
        <w:t>It can thus be seen that the focus of the project was intended to be on distribution and empowerment. However, the relation between them was not clearl</w:t>
      </w:r>
      <w:r w:rsidR="00311C62" w:rsidRPr="00825F45">
        <w:rPr>
          <w:rFonts w:asciiTheme="majorHAnsi" w:hAnsiTheme="majorHAnsi"/>
          <w:sz w:val="24"/>
          <w:szCs w:val="24"/>
        </w:rPr>
        <w:t>y specified</w:t>
      </w:r>
      <w:r w:rsidR="0096446D" w:rsidRPr="00825F45">
        <w:rPr>
          <w:rFonts w:asciiTheme="majorHAnsi" w:hAnsiTheme="majorHAnsi"/>
          <w:sz w:val="24"/>
          <w:szCs w:val="24"/>
        </w:rPr>
        <w:t xml:space="preserve"> in the project aims</w:t>
      </w:r>
      <w:r w:rsidR="009C527B" w:rsidRPr="00825F45">
        <w:rPr>
          <w:rFonts w:asciiTheme="majorHAnsi" w:hAnsiTheme="majorHAnsi"/>
          <w:sz w:val="24"/>
          <w:szCs w:val="24"/>
        </w:rPr>
        <w:t>.</w:t>
      </w:r>
    </w:p>
    <w:p w:rsidR="009C527B" w:rsidRPr="00825F45" w:rsidRDefault="009C527B" w:rsidP="005806B5">
      <w:pPr>
        <w:spacing w:after="0" w:line="240" w:lineRule="auto"/>
        <w:rPr>
          <w:rFonts w:asciiTheme="majorHAnsi" w:hAnsiTheme="majorHAnsi"/>
          <w:sz w:val="24"/>
          <w:szCs w:val="24"/>
        </w:rPr>
      </w:pPr>
    </w:p>
    <w:p w:rsidR="0008045D" w:rsidRPr="00825F45" w:rsidRDefault="00830476" w:rsidP="005806B5">
      <w:pPr>
        <w:spacing w:after="0" w:line="240" w:lineRule="auto"/>
        <w:rPr>
          <w:rFonts w:asciiTheme="majorHAnsi" w:hAnsiTheme="majorHAnsi"/>
          <w:b/>
          <w:i/>
          <w:sz w:val="24"/>
          <w:szCs w:val="24"/>
        </w:rPr>
      </w:pPr>
      <w:r>
        <w:rPr>
          <w:rFonts w:asciiTheme="majorHAnsi" w:hAnsiTheme="majorHAnsi"/>
          <w:b/>
          <w:i/>
          <w:sz w:val="24"/>
          <w:szCs w:val="24"/>
        </w:rPr>
        <w:t>L</w:t>
      </w:r>
      <w:r w:rsidR="00DF19A9">
        <w:rPr>
          <w:rFonts w:asciiTheme="majorHAnsi" w:hAnsiTheme="majorHAnsi"/>
          <w:b/>
          <w:i/>
          <w:sz w:val="24"/>
          <w:szCs w:val="24"/>
        </w:rPr>
        <w:t xml:space="preserve">ocal contexts </w:t>
      </w:r>
      <w:r>
        <w:rPr>
          <w:rFonts w:asciiTheme="majorHAnsi" w:hAnsiTheme="majorHAnsi"/>
          <w:b/>
          <w:i/>
          <w:sz w:val="24"/>
          <w:szCs w:val="24"/>
        </w:rPr>
        <w:t xml:space="preserve">where </w:t>
      </w:r>
      <w:r w:rsidR="00DF19A9">
        <w:rPr>
          <w:rFonts w:asciiTheme="majorHAnsi" w:hAnsiTheme="majorHAnsi"/>
          <w:b/>
          <w:i/>
          <w:sz w:val="24"/>
          <w:szCs w:val="24"/>
        </w:rPr>
        <w:t xml:space="preserve">the </w:t>
      </w:r>
      <w:r w:rsidR="00A06D8D">
        <w:rPr>
          <w:rFonts w:asciiTheme="majorHAnsi" w:hAnsiTheme="majorHAnsi"/>
          <w:b/>
          <w:i/>
          <w:sz w:val="24"/>
          <w:szCs w:val="24"/>
        </w:rPr>
        <w:t>project worked</w:t>
      </w:r>
    </w:p>
    <w:p w:rsidR="00971B31" w:rsidRPr="00825F45" w:rsidRDefault="00971B31" w:rsidP="005806B5">
      <w:pPr>
        <w:spacing w:after="0" w:line="240" w:lineRule="auto"/>
        <w:rPr>
          <w:rFonts w:asciiTheme="majorHAnsi" w:hAnsiTheme="majorHAnsi"/>
          <w:b/>
          <w:i/>
          <w:sz w:val="24"/>
          <w:szCs w:val="24"/>
        </w:rPr>
      </w:pPr>
    </w:p>
    <w:p w:rsidR="007D6B0B" w:rsidRPr="00825F45" w:rsidRDefault="00615873" w:rsidP="005806B5">
      <w:pPr>
        <w:pStyle w:val="ListParagraph"/>
        <w:ind w:left="0"/>
        <w:contextualSpacing w:val="0"/>
        <w:rPr>
          <w:rFonts w:asciiTheme="majorHAnsi" w:hAnsiTheme="majorHAnsi"/>
        </w:rPr>
      </w:pPr>
      <w:r w:rsidRPr="00825F45">
        <w:rPr>
          <w:rFonts w:asciiTheme="majorHAnsi" w:hAnsiTheme="majorHAnsi"/>
        </w:rPr>
        <w:t>In Northern Tanzania t</w:t>
      </w:r>
      <w:r w:rsidR="00D83AED" w:rsidRPr="00825F45">
        <w:rPr>
          <w:rFonts w:asciiTheme="majorHAnsi" w:hAnsiTheme="majorHAnsi"/>
        </w:rPr>
        <w:t xml:space="preserve">he </w:t>
      </w:r>
      <w:r w:rsidR="00CA6FBA" w:rsidRPr="00825F45">
        <w:rPr>
          <w:rFonts w:asciiTheme="majorHAnsi" w:hAnsiTheme="majorHAnsi"/>
        </w:rPr>
        <w:t xml:space="preserve">TEGINT </w:t>
      </w:r>
      <w:proofErr w:type="gramStart"/>
      <w:r w:rsidR="00CA6FBA" w:rsidRPr="00825F45">
        <w:rPr>
          <w:rFonts w:asciiTheme="majorHAnsi" w:hAnsiTheme="majorHAnsi"/>
        </w:rPr>
        <w:t xml:space="preserve">project </w:t>
      </w:r>
      <w:r w:rsidR="00D83AED" w:rsidRPr="00825F45">
        <w:rPr>
          <w:rFonts w:asciiTheme="majorHAnsi" w:hAnsiTheme="majorHAnsi"/>
        </w:rPr>
        <w:t xml:space="preserve"> operated</w:t>
      </w:r>
      <w:proofErr w:type="gramEnd"/>
      <w:r w:rsidR="00D83AED" w:rsidRPr="00825F45">
        <w:rPr>
          <w:rFonts w:asciiTheme="majorHAnsi" w:hAnsiTheme="majorHAnsi"/>
        </w:rPr>
        <w:t xml:space="preserve"> in 57 schools </w:t>
      </w:r>
      <w:r w:rsidR="00926CF9" w:rsidRPr="00825F45">
        <w:rPr>
          <w:rFonts w:asciiTheme="majorHAnsi" w:hAnsiTheme="majorHAnsi"/>
        </w:rPr>
        <w:t xml:space="preserve">(47 primary and 10 secondary) </w:t>
      </w:r>
      <w:r w:rsidR="00D83AED" w:rsidRPr="00825F45">
        <w:rPr>
          <w:rFonts w:asciiTheme="majorHAnsi" w:hAnsiTheme="majorHAnsi"/>
        </w:rPr>
        <w:t>in six districts</w:t>
      </w:r>
      <w:r w:rsidR="00926CF9" w:rsidRPr="00825F45">
        <w:rPr>
          <w:rFonts w:asciiTheme="majorHAnsi" w:hAnsiTheme="majorHAnsi"/>
        </w:rPr>
        <w:t xml:space="preserve">: </w:t>
      </w:r>
      <w:proofErr w:type="spellStart"/>
      <w:r w:rsidR="00D83AED" w:rsidRPr="00825F45">
        <w:rPr>
          <w:rFonts w:asciiTheme="majorHAnsi" w:hAnsiTheme="majorHAnsi"/>
        </w:rPr>
        <w:t>Arusha</w:t>
      </w:r>
      <w:proofErr w:type="spellEnd"/>
      <w:r w:rsidR="00D83AED" w:rsidRPr="00825F45">
        <w:rPr>
          <w:rFonts w:asciiTheme="majorHAnsi" w:hAnsiTheme="majorHAnsi"/>
        </w:rPr>
        <w:t xml:space="preserve">, </w:t>
      </w:r>
      <w:proofErr w:type="spellStart"/>
      <w:r w:rsidR="00D83AED" w:rsidRPr="00825F45">
        <w:rPr>
          <w:rFonts w:asciiTheme="majorHAnsi" w:hAnsiTheme="majorHAnsi"/>
        </w:rPr>
        <w:t>Monduli</w:t>
      </w:r>
      <w:proofErr w:type="spellEnd"/>
      <w:r w:rsidR="00D83AED" w:rsidRPr="00825F45">
        <w:rPr>
          <w:rFonts w:asciiTheme="majorHAnsi" w:hAnsiTheme="majorHAnsi"/>
        </w:rPr>
        <w:t xml:space="preserve">, </w:t>
      </w:r>
      <w:proofErr w:type="spellStart"/>
      <w:r w:rsidR="00D83AED" w:rsidRPr="00825F45">
        <w:rPr>
          <w:rFonts w:asciiTheme="majorHAnsi" w:hAnsiTheme="majorHAnsi"/>
        </w:rPr>
        <w:t>Moshi</w:t>
      </w:r>
      <w:proofErr w:type="spellEnd"/>
      <w:r w:rsidR="00D83AED" w:rsidRPr="00825F45">
        <w:rPr>
          <w:rFonts w:asciiTheme="majorHAnsi" w:hAnsiTheme="majorHAnsi"/>
        </w:rPr>
        <w:t xml:space="preserve"> Rural, </w:t>
      </w:r>
      <w:proofErr w:type="spellStart"/>
      <w:r w:rsidR="00D83AED" w:rsidRPr="00825F45">
        <w:rPr>
          <w:rFonts w:asciiTheme="majorHAnsi" w:hAnsiTheme="majorHAnsi"/>
        </w:rPr>
        <w:t>Hai</w:t>
      </w:r>
      <w:proofErr w:type="spellEnd"/>
      <w:r w:rsidR="00D83AED" w:rsidRPr="00825F45">
        <w:rPr>
          <w:rFonts w:asciiTheme="majorHAnsi" w:hAnsiTheme="majorHAnsi"/>
        </w:rPr>
        <w:t xml:space="preserve">, </w:t>
      </w:r>
      <w:proofErr w:type="spellStart"/>
      <w:r w:rsidR="00D83AED" w:rsidRPr="00825F45">
        <w:rPr>
          <w:rFonts w:asciiTheme="majorHAnsi" w:hAnsiTheme="majorHAnsi"/>
        </w:rPr>
        <w:t>Babati</w:t>
      </w:r>
      <w:proofErr w:type="spellEnd"/>
      <w:r w:rsidR="00D83AED" w:rsidRPr="00825F45">
        <w:rPr>
          <w:rFonts w:asciiTheme="majorHAnsi" w:hAnsiTheme="majorHAnsi"/>
        </w:rPr>
        <w:t xml:space="preserve"> and </w:t>
      </w:r>
      <w:proofErr w:type="spellStart"/>
      <w:r w:rsidR="00D83AED" w:rsidRPr="00825F45">
        <w:rPr>
          <w:rFonts w:asciiTheme="majorHAnsi" w:hAnsiTheme="majorHAnsi"/>
        </w:rPr>
        <w:t>Mbulu</w:t>
      </w:r>
      <w:proofErr w:type="spellEnd"/>
      <w:r w:rsidR="00926CF9" w:rsidRPr="00825F45">
        <w:rPr>
          <w:rFonts w:asciiTheme="majorHAnsi" w:hAnsiTheme="majorHAnsi"/>
        </w:rPr>
        <w:t>. In Northern Nigeria the project worked in</w:t>
      </w:r>
      <w:r w:rsidR="00D83AED" w:rsidRPr="00825F45">
        <w:rPr>
          <w:rFonts w:asciiTheme="majorHAnsi" w:hAnsiTheme="majorHAnsi"/>
        </w:rPr>
        <w:t xml:space="preserve"> 72 schools </w:t>
      </w:r>
      <w:r w:rsidR="00926CF9" w:rsidRPr="00825F45">
        <w:rPr>
          <w:rFonts w:asciiTheme="majorHAnsi" w:hAnsiTheme="majorHAnsi"/>
        </w:rPr>
        <w:t xml:space="preserve">(36 primary and 36 junior secondary) </w:t>
      </w:r>
      <w:r w:rsidR="00D83AED" w:rsidRPr="00825F45">
        <w:rPr>
          <w:rFonts w:asciiTheme="majorHAnsi" w:hAnsiTheme="majorHAnsi"/>
        </w:rPr>
        <w:t>in eight states</w:t>
      </w:r>
      <w:r w:rsidR="00926CF9" w:rsidRPr="00825F45">
        <w:rPr>
          <w:rFonts w:asciiTheme="majorHAnsi" w:hAnsiTheme="majorHAnsi"/>
        </w:rPr>
        <w:t xml:space="preserve">: </w:t>
      </w:r>
      <w:r w:rsidR="00D83AED" w:rsidRPr="00825F45">
        <w:rPr>
          <w:rFonts w:asciiTheme="majorHAnsi" w:hAnsiTheme="majorHAnsi"/>
        </w:rPr>
        <w:t xml:space="preserve">the Federal Capital Territory, Niger, Plateau, </w:t>
      </w:r>
      <w:proofErr w:type="spellStart"/>
      <w:r w:rsidR="00D83AED" w:rsidRPr="00825F45">
        <w:rPr>
          <w:rFonts w:asciiTheme="majorHAnsi" w:hAnsiTheme="majorHAnsi"/>
        </w:rPr>
        <w:t>Nassarawa</w:t>
      </w:r>
      <w:proofErr w:type="spellEnd"/>
      <w:r w:rsidR="00D83AED" w:rsidRPr="00825F45">
        <w:rPr>
          <w:rFonts w:asciiTheme="majorHAnsi" w:hAnsiTheme="majorHAnsi"/>
        </w:rPr>
        <w:t xml:space="preserve">, </w:t>
      </w:r>
      <w:proofErr w:type="spellStart"/>
      <w:r w:rsidR="00D83AED" w:rsidRPr="00825F45">
        <w:rPr>
          <w:rFonts w:asciiTheme="majorHAnsi" w:hAnsiTheme="majorHAnsi"/>
        </w:rPr>
        <w:t>Gombe</w:t>
      </w:r>
      <w:proofErr w:type="spellEnd"/>
      <w:r w:rsidR="00D83AED" w:rsidRPr="00825F45">
        <w:rPr>
          <w:rFonts w:asciiTheme="majorHAnsi" w:hAnsiTheme="majorHAnsi"/>
        </w:rPr>
        <w:t xml:space="preserve">, </w:t>
      </w:r>
      <w:proofErr w:type="spellStart"/>
      <w:r w:rsidR="00D83AED" w:rsidRPr="00825F45">
        <w:rPr>
          <w:rFonts w:asciiTheme="majorHAnsi" w:hAnsiTheme="majorHAnsi"/>
        </w:rPr>
        <w:t>Bauchi</w:t>
      </w:r>
      <w:proofErr w:type="spellEnd"/>
      <w:r w:rsidR="00D83AED" w:rsidRPr="00825F45">
        <w:rPr>
          <w:rFonts w:asciiTheme="majorHAnsi" w:hAnsiTheme="majorHAnsi"/>
        </w:rPr>
        <w:t xml:space="preserve">, </w:t>
      </w:r>
      <w:proofErr w:type="spellStart"/>
      <w:r w:rsidR="00D83AED" w:rsidRPr="00825F45">
        <w:rPr>
          <w:rFonts w:asciiTheme="majorHAnsi" w:hAnsiTheme="majorHAnsi"/>
        </w:rPr>
        <w:t>Katsina</w:t>
      </w:r>
      <w:proofErr w:type="spellEnd"/>
      <w:r w:rsidR="00D83AED" w:rsidRPr="00825F45">
        <w:rPr>
          <w:rFonts w:asciiTheme="majorHAnsi" w:hAnsiTheme="majorHAnsi"/>
        </w:rPr>
        <w:t xml:space="preserve"> and Kaduna. </w:t>
      </w:r>
    </w:p>
    <w:p w:rsidR="00CA6FBA" w:rsidRPr="00825F45" w:rsidRDefault="00CA6FBA" w:rsidP="005806B5">
      <w:pPr>
        <w:pStyle w:val="ListParagraph"/>
        <w:ind w:left="0"/>
        <w:contextualSpacing w:val="0"/>
        <w:rPr>
          <w:rFonts w:asciiTheme="majorHAnsi" w:hAnsiTheme="majorHAnsi"/>
        </w:rPr>
      </w:pPr>
    </w:p>
    <w:p w:rsidR="00CA6FBA" w:rsidRDefault="00CA6FBA" w:rsidP="005806B5">
      <w:pPr>
        <w:autoSpaceDE w:val="0"/>
        <w:autoSpaceDN w:val="0"/>
        <w:adjustRightInd w:val="0"/>
        <w:spacing w:after="0" w:line="240" w:lineRule="auto"/>
        <w:jc w:val="both"/>
        <w:rPr>
          <w:rFonts w:asciiTheme="majorHAnsi" w:hAnsiTheme="majorHAnsi" w:cs="MyriadPro-Regular"/>
          <w:sz w:val="24"/>
          <w:szCs w:val="24"/>
        </w:rPr>
      </w:pPr>
      <w:r w:rsidRPr="00825F45">
        <w:rPr>
          <w:rFonts w:asciiTheme="majorHAnsi" w:hAnsiTheme="majorHAnsi"/>
          <w:sz w:val="24"/>
          <w:szCs w:val="24"/>
        </w:rPr>
        <w:t xml:space="preserve">Schools were identified for project work by local education officials in each country, and there was considerable diversity in the conditions of school communities. Some schools were located in rural areas, some in </w:t>
      </w:r>
      <w:proofErr w:type="spellStart"/>
      <w:r w:rsidRPr="00825F45">
        <w:rPr>
          <w:rFonts w:asciiTheme="majorHAnsi" w:hAnsiTheme="majorHAnsi"/>
          <w:sz w:val="24"/>
          <w:szCs w:val="24"/>
        </w:rPr>
        <w:t>peri</w:t>
      </w:r>
      <w:proofErr w:type="spellEnd"/>
      <w:r w:rsidRPr="00825F45">
        <w:rPr>
          <w:rFonts w:asciiTheme="majorHAnsi" w:hAnsiTheme="majorHAnsi"/>
          <w:sz w:val="24"/>
          <w:szCs w:val="24"/>
        </w:rPr>
        <w:t>-urban and some in urban areas. Each district or state also had its own history of school provision, or lack of provision, and economic and political contexts varied.</w:t>
      </w:r>
      <w:r w:rsidRPr="00825F45">
        <w:rPr>
          <w:rFonts w:asciiTheme="majorHAnsi" w:hAnsiTheme="majorHAnsi" w:cs="MyriadPro-Regular"/>
          <w:sz w:val="24"/>
          <w:szCs w:val="24"/>
        </w:rPr>
        <w:t xml:space="preserve">  For example </w:t>
      </w:r>
      <w:r w:rsidR="00AC7979" w:rsidRPr="00825F45">
        <w:rPr>
          <w:rFonts w:asciiTheme="majorHAnsi" w:hAnsiTheme="majorHAnsi" w:cs="MyriadPro-Regular"/>
          <w:sz w:val="24"/>
          <w:szCs w:val="24"/>
        </w:rPr>
        <w:t>a</w:t>
      </w:r>
      <w:r w:rsidRPr="00825F45">
        <w:rPr>
          <w:rFonts w:asciiTheme="majorHAnsi" w:hAnsiTheme="majorHAnsi" w:cs="MyriadPro-Regular"/>
          <w:sz w:val="24"/>
          <w:szCs w:val="24"/>
        </w:rPr>
        <w:t>round half the population in two districts</w:t>
      </w:r>
      <w:r w:rsidR="00AC7979" w:rsidRPr="00825F45">
        <w:rPr>
          <w:rFonts w:asciiTheme="majorHAnsi" w:hAnsiTheme="majorHAnsi" w:cs="MyriadPro-Regular"/>
          <w:sz w:val="24"/>
          <w:szCs w:val="24"/>
        </w:rPr>
        <w:t xml:space="preserve"> in Tanzania</w:t>
      </w:r>
      <w:r w:rsidRPr="00825F45">
        <w:rPr>
          <w:rFonts w:asciiTheme="majorHAnsi" w:hAnsiTheme="majorHAnsi" w:cs="MyriadPro-Regular"/>
          <w:sz w:val="24"/>
          <w:szCs w:val="24"/>
        </w:rPr>
        <w:t xml:space="preserve">, </w:t>
      </w:r>
      <w:proofErr w:type="spellStart"/>
      <w:r w:rsidRPr="00825F45">
        <w:rPr>
          <w:rFonts w:asciiTheme="majorHAnsi" w:hAnsiTheme="majorHAnsi" w:cs="MyriadPro-Regular"/>
          <w:sz w:val="24"/>
          <w:szCs w:val="24"/>
        </w:rPr>
        <w:t>Babati</w:t>
      </w:r>
      <w:proofErr w:type="spellEnd"/>
      <w:r w:rsidRPr="00825F45">
        <w:rPr>
          <w:rFonts w:asciiTheme="majorHAnsi" w:hAnsiTheme="majorHAnsi" w:cs="MyriadPro-Regular"/>
          <w:sz w:val="24"/>
          <w:szCs w:val="24"/>
        </w:rPr>
        <w:t xml:space="preserve"> and </w:t>
      </w:r>
      <w:proofErr w:type="spellStart"/>
      <w:r w:rsidRPr="00825F45">
        <w:rPr>
          <w:rFonts w:asciiTheme="majorHAnsi" w:hAnsiTheme="majorHAnsi" w:cs="MyriadPro-Regular"/>
          <w:sz w:val="24"/>
          <w:szCs w:val="24"/>
        </w:rPr>
        <w:t>Mbulu</w:t>
      </w:r>
      <w:proofErr w:type="spellEnd"/>
      <w:r w:rsidRPr="00825F45">
        <w:rPr>
          <w:rFonts w:asciiTheme="majorHAnsi" w:hAnsiTheme="majorHAnsi" w:cs="MyriadPro-Regular"/>
          <w:sz w:val="24"/>
          <w:szCs w:val="24"/>
        </w:rPr>
        <w:t>, were classified on the basis of information collected for the 2002 census as</w:t>
      </w:r>
      <w:r w:rsidR="00AC7979" w:rsidRPr="00825F45">
        <w:rPr>
          <w:rFonts w:asciiTheme="majorHAnsi" w:hAnsiTheme="majorHAnsi" w:cs="MyriadPro-Regular"/>
          <w:sz w:val="24"/>
          <w:szCs w:val="24"/>
        </w:rPr>
        <w:t xml:space="preserve"> living below the poverty line (Government of Tanzania, 2005)</w:t>
      </w:r>
      <w:r w:rsidRPr="00825F45">
        <w:rPr>
          <w:rFonts w:asciiTheme="majorHAnsi" w:hAnsiTheme="majorHAnsi" w:cs="MyriadPro-Regular"/>
          <w:sz w:val="24"/>
          <w:szCs w:val="24"/>
        </w:rPr>
        <w:t xml:space="preserve">. In these two districts infant mortality was very high. In </w:t>
      </w:r>
      <w:proofErr w:type="spellStart"/>
      <w:r w:rsidRPr="00825F45">
        <w:rPr>
          <w:rFonts w:asciiTheme="majorHAnsi" w:hAnsiTheme="majorHAnsi" w:cs="MyriadPro-Regular"/>
          <w:sz w:val="24"/>
          <w:szCs w:val="24"/>
        </w:rPr>
        <w:t>Mbulu</w:t>
      </w:r>
      <w:proofErr w:type="spellEnd"/>
      <w:r w:rsidRPr="00825F45">
        <w:rPr>
          <w:rFonts w:asciiTheme="majorHAnsi" w:hAnsiTheme="majorHAnsi" w:cs="MyriadPro-Regular"/>
          <w:sz w:val="24"/>
          <w:szCs w:val="24"/>
        </w:rPr>
        <w:t xml:space="preserve"> less than a quarter of households had access to piped or protected water. </w:t>
      </w:r>
      <w:r w:rsidR="005806B5">
        <w:rPr>
          <w:rFonts w:asciiTheme="majorHAnsi" w:hAnsiTheme="majorHAnsi" w:cs="MyriadPro-Regular"/>
          <w:sz w:val="24"/>
          <w:szCs w:val="24"/>
        </w:rPr>
        <w:t>Meanwhile, i</w:t>
      </w:r>
      <w:r w:rsidR="00AC7979" w:rsidRPr="00825F45">
        <w:rPr>
          <w:rFonts w:asciiTheme="majorHAnsi" w:hAnsiTheme="majorHAnsi" w:cs="MyriadPro-Regular"/>
          <w:sz w:val="24"/>
          <w:szCs w:val="24"/>
        </w:rPr>
        <w:t>n three districts,</w:t>
      </w:r>
      <w:r w:rsidR="005540BF" w:rsidRPr="00825F45">
        <w:rPr>
          <w:rFonts w:asciiTheme="majorHAnsi" w:hAnsiTheme="majorHAnsi" w:cs="MyriadPro-Regular"/>
          <w:sz w:val="24"/>
          <w:szCs w:val="24"/>
        </w:rPr>
        <w:t xml:space="preserve"> </w:t>
      </w:r>
      <w:proofErr w:type="spellStart"/>
      <w:r w:rsidRPr="00825F45">
        <w:rPr>
          <w:rFonts w:asciiTheme="majorHAnsi" w:hAnsiTheme="majorHAnsi" w:cs="MyriadPro-Regular"/>
          <w:sz w:val="24"/>
          <w:szCs w:val="24"/>
        </w:rPr>
        <w:t>Moshi</w:t>
      </w:r>
      <w:proofErr w:type="spellEnd"/>
      <w:r w:rsidRPr="00825F45">
        <w:rPr>
          <w:rFonts w:asciiTheme="majorHAnsi" w:hAnsiTheme="majorHAnsi" w:cs="MyriadPro-Regular"/>
          <w:sz w:val="24"/>
          <w:szCs w:val="24"/>
        </w:rPr>
        <w:t xml:space="preserve"> Rural, </w:t>
      </w:r>
      <w:proofErr w:type="spellStart"/>
      <w:r w:rsidRPr="00825F45">
        <w:rPr>
          <w:rFonts w:asciiTheme="majorHAnsi" w:hAnsiTheme="majorHAnsi" w:cs="MyriadPro-Regular"/>
          <w:sz w:val="24"/>
          <w:szCs w:val="24"/>
        </w:rPr>
        <w:t>Monduli</w:t>
      </w:r>
      <w:proofErr w:type="spellEnd"/>
      <w:r w:rsidRPr="00825F45">
        <w:rPr>
          <w:rFonts w:asciiTheme="majorHAnsi" w:hAnsiTheme="majorHAnsi" w:cs="MyriadPro-Regular"/>
          <w:sz w:val="24"/>
          <w:szCs w:val="24"/>
        </w:rPr>
        <w:t xml:space="preserve"> and </w:t>
      </w:r>
      <w:proofErr w:type="spellStart"/>
      <w:r w:rsidRPr="00825F45">
        <w:rPr>
          <w:rFonts w:asciiTheme="majorHAnsi" w:hAnsiTheme="majorHAnsi" w:cs="MyriadPro-Regular"/>
          <w:sz w:val="24"/>
          <w:szCs w:val="24"/>
        </w:rPr>
        <w:t>Hai</w:t>
      </w:r>
      <w:proofErr w:type="spellEnd"/>
      <w:r w:rsidRPr="00825F45">
        <w:rPr>
          <w:rFonts w:asciiTheme="majorHAnsi" w:hAnsiTheme="majorHAnsi" w:cs="MyriadPro-Regular"/>
          <w:sz w:val="24"/>
          <w:szCs w:val="24"/>
        </w:rPr>
        <w:t xml:space="preserve">, about a quarter of the population was estimated as living below the poverty line, and the infant mortality rates were lower than in </w:t>
      </w:r>
      <w:proofErr w:type="spellStart"/>
      <w:r w:rsidRPr="00825F45">
        <w:rPr>
          <w:rFonts w:asciiTheme="majorHAnsi" w:hAnsiTheme="majorHAnsi" w:cs="MyriadPro-Regular"/>
          <w:sz w:val="24"/>
          <w:szCs w:val="24"/>
        </w:rPr>
        <w:t>Babati</w:t>
      </w:r>
      <w:proofErr w:type="spellEnd"/>
      <w:r w:rsidRPr="00825F45">
        <w:rPr>
          <w:rFonts w:asciiTheme="majorHAnsi" w:hAnsiTheme="majorHAnsi" w:cs="MyriadPro-Regular"/>
          <w:sz w:val="24"/>
          <w:szCs w:val="24"/>
        </w:rPr>
        <w:t xml:space="preserve"> and </w:t>
      </w:r>
      <w:proofErr w:type="spellStart"/>
      <w:r w:rsidRPr="00825F45">
        <w:rPr>
          <w:rFonts w:asciiTheme="majorHAnsi" w:hAnsiTheme="majorHAnsi" w:cs="MyriadPro-Regular"/>
          <w:sz w:val="24"/>
          <w:szCs w:val="24"/>
        </w:rPr>
        <w:t>Mbulu</w:t>
      </w:r>
      <w:proofErr w:type="spellEnd"/>
      <w:r w:rsidRPr="00825F45">
        <w:rPr>
          <w:rFonts w:asciiTheme="majorHAnsi" w:hAnsiTheme="majorHAnsi" w:cs="MyriadPro-Regular"/>
          <w:sz w:val="24"/>
          <w:szCs w:val="24"/>
        </w:rPr>
        <w:t xml:space="preserve">, although the proportion of children whose mother and/or father had died was similar. </w:t>
      </w:r>
      <w:proofErr w:type="spellStart"/>
      <w:r w:rsidRPr="00825F45">
        <w:rPr>
          <w:rFonts w:asciiTheme="majorHAnsi" w:hAnsiTheme="majorHAnsi" w:cs="MyriadPro-Regular"/>
          <w:sz w:val="24"/>
          <w:szCs w:val="24"/>
        </w:rPr>
        <w:t>Arusha</w:t>
      </w:r>
      <w:proofErr w:type="spellEnd"/>
      <w:r w:rsidRPr="00825F45">
        <w:rPr>
          <w:rFonts w:asciiTheme="majorHAnsi" w:hAnsiTheme="majorHAnsi" w:cs="MyriadPro-Regular"/>
          <w:sz w:val="24"/>
          <w:szCs w:val="24"/>
        </w:rPr>
        <w:t xml:space="preserve"> Municipal, closest to the urban centre at </w:t>
      </w:r>
      <w:proofErr w:type="spellStart"/>
      <w:r w:rsidRPr="00825F45">
        <w:rPr>
          <w:rFonts w:asciiTheme="majorHAnsi" w:hAnsiTheme="majorHAnsi" w:cs="MyriadPro-Regular"/>
          <w:sz w:val="24"/>
          <w:szCs w:val="24"/>
        </w:rPr>
        <w:t>Arusha</w:t>
      </w:r>
      <w:proofErr w:type="spellEnd"/>
      <w:r w:rsidRPr="00825F45">
        <w:rPr>
          <w:rFonts w:asciiTheme="majorHAnsi" w:hAnsiTheme="majorHAnsi" w:cs="MyriadPro-Regular"/>
          <w:sz w:val="24"/>
          <w:szCs w:val="24"/>
        </w:rPr>
        <w:t xml:space="preserve">, had only 12% of the population classified as below the poverty line, but infant mortality was high and the proportion of </w:t>
      </w:r>
      <w:r w:rsidRPr="00825F45">
        <w:rPr>
          <w:rFonts w:asciiTheme="majorHAnsi" w:hAnsiTheme="majorHAnsi" w:cs="MyriadPro-Regular"/>
          <w:sz w:val="24"/>
          <w:szCs w:val="24"/>
        </w:rPr>
        <w:lastRenderedPageBreak/>
        <w:t>children whose parent(s) had died was higher than in some other districts. Income poverty and relatively high levels of infant mortality are therefore an issue in all the districts</w:t>
      </w:r>
      <w:r w:rsidR="00AC7979" w:rsidRPr="00825F45">
        <w:rPr>
          <w:rFonts w:asciiTheme="majorHAnsi" w:hAnsiTheme="majorHAnsi" w:cs="MyriadPro-Regular"/>
          <w:sz w:val="24"/>
          <w:szCs w:val="24"/>
        </w:rPr>
        <w:t xml:space="preserve">. </w:t>
      </w:r>
      <w:proofErr w:type="spellStart"/>
      <w:r w:rsidR="00AC7979" w:rsidRPr="00825F45">
        <w:rPr>
          <w:rFonts w:asciiTheme="majorHAnsi" w:hAnsiTheme="majorHAnsi" w:cs="MyriadPro-Regular"/>
          <w:sz w:val="24"/>
          <w:szCs w:val="24"/>
        </w:rPr>
        <w:t>Arusha</w:t>
      </w:r>
      <w:proofErr w:type="spellEnd"/>
      <w:r w:rsidR="00AC7979" w:rsidRPr="00825F45">
        <w:rPr>
          <w:rFonts w:asciiTheme="majorHAnsi" w:hAnsiTheme="majorHAnsi" w:cs="MyriadPro-Regular"/>
          <w:sz w:val="24"/>
          <w:szCs w:val="24"/>
        </w:rPr>
        <w:t xml:space="preserve"> has the highest levels of adult literacy with good literacy levels for women. In 2005</w:t>
      </w:r>
      <w:r w:rsidR="002E436E" w:rsidRPr="00825F45">
        <w:rPr>
          <w:rFonts w:asciiTheme="majorHAnsi" w:hAnsiTheme="majorHAnsi" w:cs="MyriadPro-Regular"/>
          <w:sz w:val="24"/>
          <w:szCs w:val="24"/>
        </w:rPr>
        <w:t xml:space="preserve"> in </w:t>
      </w:r>
      <w:proofErr w:type="spellStart"/>
      <w:r w:rsidR="002E436E" w:rsidRPr="00825F45">
        <w:rPr>
          <w:rFonts w:asciiTheme="majorHAnsi" w:hAnsiTheme="majorHAnsi" w:cs="MyriadPro-Regular"/>
          <w:sz w:val="24"/>
          <w:szCs w:val="24"/>
        </w:rPr>
        <w:t>Arusha</w:t>
      </w:r>
      <w:proofErr w:type="spellEnd"/>
      <w:r w:rsidR="00AC7979" w:rsidRPr="00825F45">
        <w:rPr>
          <w:rFonts w:asciiTheme="majorHAnsi" w:hAnsiTheme="majorHAnsi" w:cs="MyriadPro-Regular"/>
          <w:sz w:val="24"/>
          <w:szCs w:val="24"/>
        </w:rPr>
        <w:t xml:space="preserve"> the pupil-teacher </w:t>
      </w:r>
      <w:r w:rsidR="005806B5" w:rsidRPr="00825F45">
        <w:rPr>
          <w:rFonts w:asciiTheme="majorHAnsi" w:hAnsiTheme="majorHAnsi" w:cs="MyriadPro-Regular"/>
          <w:sz w:val="24"/>
          <w:szCs w:val="24"/>
        </w:rPr>
        <w:t>ratio was</w:t>
      </w:r>
      <w:r w:rsidR="002E436E" w:rsidRPr="00825F45">
        <w:rPr>
          <w:rFonts w:asciiTheme="majorHAnsi" w:hAnsiTheme="majorHAnsi" w:cs="MyriadPro-Regular"/>
          <w:sz w:val="24"/>
          <w:szCs w:val="24"/>
        </w:rPr>
        <w:t xml:space="preserve"> </w:t>
      </w:r>
      <w:r w:rsidR="00AC7979" w:rsidRPr="00825F45">
        <w:rPr>
          <w:rFonts w:asciiTheme="majorHAnsi" w:hAnsiTheme="majorHAnsi" w:cs="MyriadPro-Regular"/>
          <w:sz w:val="24"/>
          <w:szCs w:val="24"/>
        </w:rPr>
        <w:t xml:space="preserve">46:1 </w:t>
      </w:r>
      <w:r w:rsidR="005806B5" w:rsidRPr="00825F45">
        <w:rPr>
          <w:rFonts w:asciiTheme="majorHAnsi" w:hAnsiTheme="majorHAnsi" w:cs="MyriadPro-Regular"/>
          <w:sz w:val="24"/>
          <w:szCs w:val="24"/>
        </w:rPr>
        <w:t>and the</w:t>
      </w:r>
      <w:r w:rsidR="002E436E" w:rsidRPr="00825F45">
        <w:rPr>
          <w:rFonts w:asciiTheme="majorHAnsi" w:hAnsiTheme="majorHAnsi" w:cs="MyriadPro-Regular"/>
          <w:sz w:val="24"/>
          <w:szCs w:val="24"/>
        </w:rPr>
        <w:t xml:space="preserve"> </w:t>
      </w:r>
      <w:r w:rsidR="00AC7979" w:rsidRPr="00825F45">
        <w:rPr>
          <w:rFonts w:asciiTheme="majorHAnsi" w:hAnsiTheme="majorHAnsi" w:cs="MyriadPro-Regular"/>
          <w:sz w:val="24"/>
          <w:szCs w:val="24"/>
        </w:rPr>
        <w:t xml:space="preserve">primary </w:t>
      </w:r>
      <w:r w:rsidR="005806B5" w:rsidRPr="00825F45">
        <w:rPr>
          <w:rFonts w:asciiTheme="majorHAnsi" w:hAnsiTheme="majorHAnsi" w:cs="MyriadPro-Regular"/>
          <w:sz w:val="24"/>
          <w:szCs w:val="24"/>
        </w:rPr>
        <w:t>NER was</w:t>
      </w:r>
      <w:r w:rsidR="002E436E" w:rsidRPr="00825F45">
        <w:rPr>
          <w:rFonts w:asciiTheme="majorHAnsi" w:hAnsiTheme="majorHAnsi" w:cs="MyriadPro-Regular"/>
          <w:sz w:val="24"/>
          <w:szCs w:val="24"/>
        </w:rPr>
        <w:t xml:space="preserve"> </w:t>
      </w:r>
      <w:r w:rsidR="00AC7979" w:rsidRPr="00825F45">
        <w:rPr>
          <w:rFonts w:asciiTheme="majorHAnsi" w:hAnsiTheme="majorHAnsi" w:cs="MyriadPro-Regular"/>
          <w:sz w:val="24"/>
          <w:szCs w:val="24"/>
        </w:rPr>
        <w:t>93%</w:t>
      </w:r>
      <w:r w:rsidR="002E436E" w:rsidRPr="00825F45">
        <w:rPr>
          <w:rFonts w:asciiTheme="majorHAnsi" w:hAnsiTheme="majorHAnsi" w:cs="MyriadPro-Regular"/>
          <w:sz w:val="24"/>
          <w:szCs w:val="24"/>
        </w:rPr>
        <w:t xml:space="preserve"> (Government of Tanzania, 2005). Indicators </w:t>
      </w:r>
      <w:r w:rsidR="005806B5" w:rsidRPr="00825F45">
        <w:rPr>
          <w:rFonts w:asciiTheme="majorHAnsi" w:hAnsiTheme="majorHAnsi" w:cs="MyriadPro-Regular"/>
          <w:sz w:val="24"/>
          <w:szCs w:val="24"/>
        </w:rPr>
        <w:t>were somewhat</w:t>
      </w:r>
      <w:r w:rsidR="00AC7979" w:rsidRPr="00825F45">
        <w:rPr>
          <w:rFonts w:asciiTheme="majorHAnsi" w:hAnsiTheme="majorHAnsi" w:cs="MyriadPro-Regular"/>
          <w:sz w:val="24"/>
          <w:szCs w:val="24"/>
        </w:rPr>
        <w:t xml:space="preserve"> similar in </w:t>
      </w:r>
      <w:proofErr w:type="spellStart"/>
      <w:r w:rsidR="00AC7979" w:rsidRPr="00825F45">
        <w:rPr>
          <w:rFonts w:asciiTheme="majorHAnsi" w:hAnsiTheme="majorHAnsi" w:cs="MyriadPro-Regular"/>
          <w:sz w:val="24"/>
          <w:szCs w:val="24"/>
        </w:rPr>
        <w:t>Moshi</w:t>
      </w:r>
      <w:proofErr w:type="spellEnd"/>
      <w:r w:rsidR="00AC7979" w:rsidRPr="00825F45">
        <w:rPr>
          <w:rFonts w:asciiTheme="majorHAnsi" w:hAnsiTheme="majorHAnsi" w:cs="MyriadPro-Regular"/>
          <w:sz w:val="24"/>
          <w:szCs w:val="24"/>
        </w:rPr>
        <w:t xml:space="preserve"> and </w:t>
      </w:r>
      <w:proofErr w:type="spellStart"/>
      <w:r w:rsidR="00AC7979" w:rsidRPr="00825F45">
        <w:rPr>
          <w:rFonts w:asciiTheme="majorHAnsi" w:hAnsiTheme="majorHAnsi" w:cs="MyriadPro-Regular"/>
          <w:sz w:val="24"/>
          <w:szCs w:val="24"/>
        </w:rPr>
        <w:t>Hai</w:t>
      </w:r>
      <w:proofErr w:type="spellEnd"/>
      <w:r w:rsidR="00AC7979" w:rsidRPr="00825F45">
        <w:rPr>
          <w:rFonts w:asciiTheme="majorHAnsi" w:hAnsiTheme="majorHAnsi" w:cs="MyriadPro-Regular"/>
          <w:sz w:val="24"/>
          <w:szCs w:val="24"/>
        </w:rPr>
        <w:t xml:space="preserve">,   where there were </w:t>
      </w:r>
      <w:r w:rsidR="005806B5" w:rsidRPr="00825F45">
        <w:rPr>
          <w:rFonts w:asciiTheme="majorHAnsi" w:hAnsiTheme="majorHAnsi" w:cs="MyriadPro-Regular"/>
          <w:sz w:val="24"/>
          <w:szCs w:val="24"/>
        </w:rPr>
        <w:t>also high</w:t>
      </w:r>
      <w:r w:rsidR="00AC7979" w:rsidRPr="00825F45">
        <w:rPr>
          <w:rFonts w:asciiTheme="majorHAnsi" w:hAnsiTheme="majorHAnsi" w:cs="MyriadPro-Regular"/>
          <w:sz w:val="24"/>
          <w:szCs w:val="24"/>
        </w:rPr>
        <w:t xml:space="preserve"> general literacy levels and very good levels of women’s literacy</w:t>
      </w:r>
      <w:r w:rsidR="002E436E" w:rsidRPr="00825F45">
        <w:rPr>
          <w:rFonts w:asciiTheme="majorHAnsi" w:hAnsiTheme="majorHAnsi" w:cs="MyriadPro-Regular"/>
          <w:sz w:val="24"/>
          <w:szCs w:val="24"/>
        </w:rPr>
        <w:t>. This</w:t>
      </w:r>
      <w:r w:rsidR="005540BF" w:rsidRPr="00825F45">
        <w:rPr>
          <w:rFonts w:asciiTheme="majorHAnsi" w:hAnsiTheme="majorHAnsi" w:cs="MyriadPro-Regular"/>
          <w:sz w:val="24"/>
          <w:szCs w:val="24"/>
        </w:rPr>
        <w:t xml:space="preserve"> </w:t>
      </w:r>
      <w:r w:rsidR="00AC7979" w:rsidRPr="00825F45">
        <w:rPr>
          <w:rFonts w:asciiTheme="majorHAnsi" w:hAnsiTheme="majorHAnsi" w:cs="MyriadPro-Regular"/>
          <w:sz w:val="24"/>
          <w:szCs w:val="24"/>
        </w:rPr>
        <w:t xml:space="preserve">contrasted with </w:t>
      </w:r>
      <w:proofErr w:type="spellStart"/>
      <w:r w:rsidR="00AC7979" w:rsidRPr="00825F45">
        <w:rPr>
          <w:rFonts w:asciiTheme="majorHAnsi" w:hAnsiTheme="majorHAnsi" w:cs="MyriadPro-Regular"/>
          <w:sz w:val="24"/>
          <w:szCs w:val="24"/>
        </w:rPr>
        <w:t>Monduli</w:t>
      </w:r>
      <w:proofErr w:type="spellEnd"/>
      <w:r w:rsidR="00AC7979" w:rsidRPr="00825F45">
        <w:rPr>
          <w:rFonts w:asciiTheme="majorHAnsi" w:hAnsiTheme="majorHAnsi" w:cs="MyriadPro-Regular"/>
          <w:sz w:val="24"/>
          <w:szCs w:val="24"/>
        </w:rPr>
        <w:t xml:space="preserve">, </w:t>
      </w:r>
      <w:proofErr w:type="spellStart"/>
      <w:r w:rsidR="00AC7979" w:rsidRPr="00825F45">
        <w:rPr>
          <w:rFonts w:asciiTheme="majorHAnsi" w:hAnsiTheme="majorHAnsi" w:cs="MyriadPro-Regular"/>
          <w:sz w:val="24"/>
          <w:szCs w:val="24"/>
        </w:rPr>
        <w:t>Babati</w:t>
      </w:r>
      <w:proofErr w:type="spellEnd"/>
      <w:r w:rsidR="00AC7979" w:rsidRPr="00825F45">
        <w:rPr>
          <w:rFonts w:asciiTheme="majorHAnsi" w:hAnsiTheme="majorHAnsi" w:cs="MyriadPro-Regular"/>
          <w:sz w:val="24"/>
          <w:szCs w:val="24"/>
        </w:rPr>
        <w:t xml:space="preserve"> and </w:t>
      </w:r>
      <w:proofErr w:type="spellStart"/>
      <w:r w:rsidR="00AC7979" w:rsidRPr="00825F45">
        <w:rPr>
          <w:rFonts w:asciiTheme="majorHAnsi" w:hAnsiTheme="majorHAnsi" w:cs="MyriadPro-Regular"/>
          <w:sz w:val="24"/>
          <w:szCs w:val="24"/>
        </w:rPr>
        <w:t>Mbulu</w:t>
      </w:r>
      <w:proofErr w:type="spellEnd"/>
      <w:r w:rsidR="00AC7979" w:rsidRPr="00825F45">
        <w:rPr>
          <w:rFonts w:asciiTheme="majorHAnsi" w:hAnsiTheme="majorHAnsi" w:cs="MyriadPro-Regular"/>
          <w:sz w:val="24"/>
          <w:szCs w:val="24"/>
        </w:rPr>
        <w:t xml:space="preserve">, where only around two thirds of adults were literate, the proportion </w:t>
      </w:r>
      <w:r w:rsidR="00EE5006" w:rsidRPr="00825F45">
        <w:rPr>
          <w:rFonts w:asciiTheme="majorHAnsi" w:hAnsiTheme="majorHAnsi" w:cs="MyriadPro-Regular"/>
          <w:sz w:val="24"/>
          <w:szCs w:val="24"/>
        </w:rPr>
        <w:t>of literate</w:t>
      </w:r>
      <w:r w:rsidR="00AC7979" w:rsidRPr="00825F45">
        <w:rPr>
          <w:rFonts w:asciiTheme="majorHAnsi" w:hAnsiTheme="majorHAnsi" w:cs="MyriadPro-Regular"/>
          <w:sz w:val="24"/>
          <w:szCs w:val="24"/>
        </w:rPr>
        <w:t xml:space="preserve"> women </w:t>
      </w:r>
      <w:r w:rsidR="00EE5006" w:rsidRPr="00825F45">
        <w:rPr>
          <w:rFonts w:asciiTheme="majorHAnsi" w:hAnsiTheme="majorHAnsi" w:cs="MyriadPro-Regular"/>
          <w:sz w:val="24"/>
          <w:szCs w:val="24"/>
        </w:rPr>
        <w:t>was less</w:t>
      </w:r>
      <w:r w:rsidR="00AC7979" w:rsidRPr="00825F45">
        <w:rPr>
          <w:rFonts w:asciiTheme="majorHAnsi" w:hAnsiTheme="majorHAnsi" w:cs="MyriadPro-Regular"/>
          <w:sz w:val="24"/>
          <w:szCs w:val="24"/>
        </w:rPr>
        <w:t xml:space="preserve"> than men, and pupil: teacher ratios were 66:1 in </w:t>
      </w:r>
      <w:proofErr w:type="spellStart"/>
      <w:proofErr w:type="gramStart"/>
      <w:r w:rsidR="00AC7979" w:rsidRPr="00825F45">
        <w:rPr>
          <w:rFonts w:asciiTheme="majorHAnsi" w:hAnsiTheme="majorHAnsi" w:cs="MyriadPro-Regular"/>
          <w:sz w:val="24"/>
          <w:szCs w:val="24"/>
        </w:rPr>
        <w:t>Babati</w:t>
      </w:r>
      <w:proofErr w:type="spellEnd"/>
      <w:r w:rsidR="00AC7979" w:rsidRPr="00825F45">
        <w:rPr>
          <w:rFonts w:asciiTheme="majorHAnsi" w:hAnsiTheme="majorHAnsi" w:cs="MyriadPro-Regular"/>
          <w:sz w:val="24"/>
          <w:szCs w:val="24"/>
        </w:rPr>
        <w:t xml:space="preserve"> </w:t>
      </w:r>
      <w:r w:rsidR="002E436E" w:rsidRPr="00825F45">
        <w:rPr>
          <w:rFonts w:asciiTheme="majorHAnsi" w:hAnsiTheme="majorHAnsi" w:cs="MyriadPro-Regular"/>
          <w:sz w:val="24"/>
          <w:szCs w:val="24"/>
        </w:rPr>
        <w:t>,</w:t>
      </w:r>
      <w:proofErr w:type="gramEnd"/>
      <w:r w:rsidR="002E436E" w:rsidRPr="00825F45">
        <w:rPr>
          <w:rFonts w:asciiTheme="majorHAnsi" w:hAnsiTheme="majorHAnsi" w:cs="MyriadPro-Regular"/>
          <w:sz w:val="24"/>
          <w:szCs w:val="24"/>
        </w:rPr>
        <w:t xml:space="preserve"> with primary</w:t>
      </w:r>
      <w:r w:rsidR="00AC7979" w:rsidRPr="00825F45">
        <w:rPr>
          <w:rFonts w:asciiTheme="majorHAnsi" w:hAnsiTheme="majorHAnsi" w:cs="MyriadPro-Regular"/>
          <w:sz w:val="24"/>
          <w:szCs w:val="24"/>
        </w:rPr>
        <w:t xml:space="preserve"> NER 71 % </w:t>
      </w:r>
      <w:r w:rsidR="002E436E" w:rsidRPr="00825F45">
        <w:rPr>
          <w:rFonts w:asciiTheme="majorHAnsi" w:hAnsiTheme="majorHAnsi" w:cs="MyriadPro-Regular"/>
          <w:sz w:val="24"/>
          <w:szCs w:val="24"/>
        </w:rPr>
        <w:t xml:space="preserve"> in </w:t>
      </w:r>
      <w:proofErr w:type="spellStart"/>
      <w:r w:rsidR="002E436E" w:rsidRPr="00825F45">
        <w:rPr>
          <w:rFonts w:asciiTheme="majorHAnsi" w:hAnsiTheme="majorHAnsi" w:cs="MyriadPro-Regular"/>
          <w:sz w:val="24"/>
          <w:szCs w:val="24"/>
        </w:rPr>
        <w:t>Mondluli</w:t>
      </w:r>
      <w:proofErr w:type="spellEnd"/>
      <w:r w:rsidR="002E436E" w:rsidRPr="00825F45">
        <w:rPr>
          <w:rFonts w:asciiTheme="majorHAnsi" w:hAnsiTheme="majorHAnsi" w:cs="MyriadPro-Regular"/>
          <w:sz w:val="24"/>
          <w:szCs w:val="24"/>
        </w:rPr>
        <w:t xml:space="preserve"> (Government of Tanzania, 2005)</w:t>
      </w:r>
      <w:r w:rsidR="005806B5">
        <w:rPr>
          <w:rFonts w:asciiTheme="majorHAnsi" w:hAnsiTheme="majorHAnsi" w:cs="MyriadPro-Regular"/>
          <w:sz w:val="24"/>
          <w:szCs w:val="24"/>
        </w:rPr>
        <w:t>.</w:t>
      </w:r>
    </w:p>
    <w:p w:rsidR="005806B5" w:rsidRPr="00825F45" w:rsidRDefault="005806B5" w:rsidP="005806B5">
      <w:pPr>
        <w:autoSpaceDE w:val="0"/>
        <w:autoSpaceDN w:val="0"/>
        <w:adjustRightInd w:val="0"/>
        <w:spacing w:after="0" w:line="240" w:lineRule="auto"/>
        <w:jc w:val="both"/>
        <w:rPr>
          <w:rFonts w:asciiTheme="majorHAnsi" w:hAnsiTheme="majorHAnsi" w:cs="MyriadPro-Regular"/>
          <w:sz w:val="24"/>
          <w:szCs w:val="24"/>
        </w:rPr>
      </w:pPr>
    </w:p>
    <w:p w:rsidR="0074796E" w:rsidRDefault="00EA25EB" w:rsidP="005806B5">
      <w:pPr>
        <w:spacing w:after="0" w:line="240" w:lineRule="auto"/>
        <w:jc w:val="both"/>
        <w:rPr>
          <w:rFonts w:asciiTheme="majorHAnsi" w:hAnsiTheme="majorHAnsi" w:cs="Cambria"/>
          <w:sz w:val="24"/>
          <w:szCs w:val="24"/>
        </w:rPr>
      </w:pPr>
      <w:r w:rsidRPr="00825F45">
        <w:rPr>
          <w:rFonts w:asciiTheme="majorHAnsi" w:hAnsiTheme="majorHAnsi" w:cs="MyriadPro-Regular"/>
          <w:sz w:val="24"/>
          <w:szCs w:val="24"/>
        </w:rPr>
        <w:t xml:space="preserve">In Nigeria there </w:t>
      </w:r>
      <w:proofErr w:type="gramStart"/>
      <w:r w:rsidRPr="00825F45">
        <w:rPr>
          <w:rFonts w:asciiTheme="majorHAnsi" w:hAnsiTheme="majorHAnsi" w:cs="MyriadPro-Regular"/>
          <w:sz w:val="24"/>
          <w:szCs w:val="24"/>
        </w:rPr>
        <w:t>were</w:t>
      </w:r>
      <w:proofErr w:type="gramEnd"/>
      <w:r w:rsidRPr="00825F45">
        <w:rPr>
          <w:rFonts w:asciiTheme="majorHAnsi" w:hAnsiTheme="majorHAnsi" w:cs="MyriadPro-Regular"/>
          <w:sz w:val="24"/>
          <w:szCs w:val="24"/>
        </w:rPr>
        <w:t xml:space="preserve"> also variation between the states in which the project worked. </w:t>
      </w:r>
      <w:r w:rsidRPr="00825F45">
        <w:rPr>
          <w:rFonts w:asciiTheme="majorHAnsi" w:hAnsiTheme="majorHAnsi" w:cs="Cambria"/>
          <w:sz w:val="24"/>
          <w:szCs w:val="24"/>
        </w:rPr>
        <w:t xml:space="preserve"> A 2008 study (UNDP, 2008) used the Human Poverty Index (HPI)</w:t>
      </w:r>
      <w:r w:rsidR="00EE5006" w:rsidRPr="00825F45">
        <w:rPr>
          <w:rFonts w:asciiTheme="majorHAnsi" w:hAnsiTheme="majorHAnsi" w:cs="Cambria"/>
          <w:sz w:val="24"/>
          <w:szCs w:val="24"/>
        </w:rPr>
        <w:t>, a</w:t>
      </w:r>
      <w:r w:rsidRPr="00825F45">
        <w:rPr>
          <w:rFonts w:asciiTheme="majorHAnsi" w:hAnsiTheme="majorHAnsi" w:cs="Cambria"/>
          <w:sz w:val="24"/>
          <w:szCs w:val="24"/>
        </w:rPr>
        <w:t xml:space="preserve"> composite index to measure the proportion of a state’s population suffering ill health, inadequate education and lack of access to safe water. This indicated </w:t>
      </w:r>
      <w:r w:rsidR="00DF19A9">
        <w:rPr>
          <w:rFonts w:asciiTheme="majorHAnsi" w:hAnsiTheme="majorHAnsi" w:cs="Cambria"/>
          <w:sz w:val="24"/>
          <w:szCs w:val="24"/>
        </w:rPr>
        <w:t xml:space="preserve">that </w:t>
      </w:r>
      <w:r w:rsidRPr="00825F45">
        <w:rPr>
          <w:rFonts w:asciiTheme="majorHAnsi" w:hAnsiTheme="majorHAnsi" w:cs="Cambria"/>
          <w:sz w:val="24"/>
          <w:szCs w:val="24"/>
        </w:rPr>
        <w:t xml:space="preserve">there are very concerning effects of poverty in </w:t>
      </w:r>
      <w:proofErr w:type="spellStart"/>
      <w:r w:rsidRPr="00825F45">
        <w:rPr>
          <w:rFonts w:asciiTheme="majorHAnsi" w:hAnsiTheme="majorHAnsi" w:cs="Cambria"/>
          <w:sz w:val="24"/>
          <w:szCs w:val="24"/>
        </w:rPr>
        <w:t>Katsina</w:t>
      </w:r>
      <w:proofErr w:type="spellEnd"/>
      <w:r w:rsidRPr="00825F45">
        <w:rPr>
          <w:rFonts w:asciiTheme="majorHAnsi" w:hAnsiTheme="majorHAnsi" w:cs="Cambria"/>
          <w:sz w:val="24"/>
          <w:szCs w:val="24"/>
        </w:rPr>
        <w:t xml:space="preserve">, </w:t>
      </w:r>
      <w:proofErr w:type="spellStart"/>
      <w:r w:rsidRPr="00825F45">
        <w:rPr>
          <w:rFonts w:asciiTheme="majorHAnsi" w:hAnsiTheme="majorHAnsi" w:cs="Cambria"/>
          <w:sz w:val="24"/>
          <w:szCs w:val="24"/>
        </w:rPr>
        <w:t>Gombe</w:t>
      </w:r>
      <w:proofErr w:type="spellEnd"/>
      <w:r w:rsidRPr="00825F45">
        <w:rPr>
          <w:rFonts w:asciiTheme="majorHAnsi" w:hAnsiTheme="majorHAnsi" w:cs="Cambria"/>
          <w:sz w:val="24"/>
          <w:szCs w:val="24"/>
        </w:rPr>
        <w:t xml:space="preserve"> and </w:t>
      </w:r>
      <w:proofErr w:type="spellStart"/>
      <w:r w:rsidRPr="00825F45">
        <w:rPr>
          <w:rFonts w:asciiTheme="majorHAnsi" w:hAnsiTheme="majorHAnsi" w:cs="Cambria"/>
          <w:sz w:val="24"/>
          <w:szCs w:val="24"/>
        </w:rPr>
        <w:t>Bauchi</w:t>
      </w:r>
      <w:proofErr w:type="spellEnd"/>
      <w:r w:rsidRPr="00825F45">
        <w:rPr>
          <w:rFonts w:asciiTheme="majorHAnsi" w:hAnsiTheme="majorHAnsi" w:cs="Cambria"/>
          <w:sz w:val="24"/>
          <w:szCs w:val="24"/>
        </w:rPr>
        <w:t xml:space="preserve">, </w:t>
      </w:r>
      <w:r w:rsidR="005806B5">
        <w:rPr>
          <w:rFonts w:asciiTheme="majorHAnsi" w:hAnsiTheme="majorHAnsi" w:cs="Cambria"/>
          <w:sz w:val="24"/>
          <w:szCs w:val="24"/>
        </w:rPr>
        <w:t xml:space="preserve">which </w:t>
      </w:r>
      <w:r w:rsidRPr="00825F45">
        <w:rPr>
          <w:rFonts w:asciiTheme="majorHAnsi" w:hAnsiTheme="majorHAnsi" w:cs="Cambria"/>
          <w:sz w:val="24"/>
          <w:szCs w:val="24"/>
        </w:rPr>
        <w:t>had the highest proportion of people living below the poverty line</w:t>
      </w:r>
      <w:r w:rsidR="00DF19A9">
        <w:rPr>
          <w:rFonts w:asciiTheme="majorHAnsi" w:hAnsiTheme="majorHAnsi" w:cs="Cambria"/>
          <w:sz w:val="24"/>
          <w:szCs w:val="24"/>
        </w:rPr>
        <w:t>, whilst</w:t>
      </w:r>
      <w:r w:rsidR="00DF19A9" w:rsidRPr="00825F45">
        <w:rPr>
          <w:rFonts w:asciiTheme="majorHAnsi" w:hAnsiTheme="majorHAnsi" w:cs="Cambria"/>
          <w:sz w:val="24"/>
          <w:szCs w:val="24"/>
        </w:rPr>
        <w:t xml:space="preserve"> Plateau</w:t>
      </w:r>
      <w:r w:rsidR="00DF19A9">
        <w:rPr>
          <w:rFonts w:asciiTheme="majorHAnsi" w:hAnsiTheme="majorHAnsi" w:cs="Cambria"/>
          <w:sz w:val="24"/>
          <w:szCs w:val="24"/>
        </w:rPr>
        <w:t xml:space="preserve">, </w:t>
      </w:r>
      <w:proofErr w:type="spellStart"/>
      <w:r w:rsidR="00DF19A9">
        <w:rPr>
          <w:rFonts w:asciiTheme="majorHAnsi" w:hAnsiTheme="majorHAnsi" w:cs="Cambria"/>
          <w:sz w:val="24"/>
          <w:szCs w:val="24"/>
        </w:rPr>
        <w:t>Nasarawa</w:t>
      </w:r>
      <w:proofErr w:type="spellEnd"/>
      <w:r w:rsidR="00DF19A9">
        <w:rPr>
          <w:rFonts w:asciiTheme="majorHAnsi" w:hAnsiTheme="majorHAnsi" w:cs="Cambria"/>
          <w:sz w:val="24"/>
          <w:szCs w:val="24"/>
        </w:rPr>
        <w:t xml:space="preserve"> and Kaduna</w:t>
      </w:r>
      <w:r w:rsidR="00DF19A9" w:rsidRPr="00825F45">
        <w:rPr>
          <w:rFonts w:asciiTheme="majorHAnsi" w:hAnsiTheme="majorHAnsi" w:cs="Cambria"/>
          <w:sz w:val="24"/>
          <w:szCs w:val="24"/>
        </w:rPr>
        <w:t xml:space="preserve"> had s</w:t>
      </w:r>
      <w:r w:rsidR="00071120">
        <w:rPr>
          <w:rFonts w:asciiTheme="majorHAnsi" w:hAnsiTheme="majorHAnsi" w:cs="Cambria"/>
          <w:sz w:val="24"/>
          <w:szCs w:val="24"/>
        </w:rPr>
        <w:t>maller proportions of their populations with this level of want</w:t>
      </w:r>
      <w:r w:rsidRPr="00825F45">
        <w:rPr>
          <w:rFonts w:asciiTheme="majorHAnsi" w:hAnsiTheme="majorHAnsi" w:cs="Cambria"/>
          <w:sz w:val="24"/>
          <w:szCs w:val="24"/>
        </w:rPr>
        <w:t>.</w:t>
      </w:r>
      <w:r w:rsidR="000675FB" w:rsidRPr="00825F45">
        <w:rPr>
          <w:rFonts w:asciiTheme="majorHAnsi" w:hAnsiTheme="majorHAnsi" w:cs="Cambria"/>
          <w:sz w:val="24"/>
          <w:szCs w:val="24"/>
        </w:rPr>
        <w:t xml:space="preserve"> There we</w:t>
      </w:r>
      <w:r w:rsidR="0074796E" w:rsidRPr="00825F45">
        <w:rPr>
          <w:rFonts w:asciiTheme="majorHAnsi" w:hAnsiTheme="majorHAnsi" w:cs="Cambria"/>
          <w:sz w:val="24"/>
          <w:szCs w:val="24"/>
        </w:rPr>
        <w:t>re large gender gaps in already low levels of adult literacy in all the states</w:t>
      </w:r>
      <w:r w:rsidR="000675FB" w:rsidRPr="00825F45">
        <w:rPr>
          <w:rFonts w:asciiTheme="majorHAnsi" w:hAnsiTheme="majorHAnsi" w:cs="Cambria"/>
          <w:sz w:val="24"/>
          <w:szCs w:val="24"/>
        </w:rPr>
        <w:t xml:space="preserve"> in which TEGINT worked (Nigeria Bureau of Statistics,</w:t>
      </w:r>
      <w:r w:rsidR="005806B5">
        <w:rPr>
          <w:rFonts w:asciiTheme="majorHAnsi" w:hAnsiTheme="majorHAnsi" w:cs="Cambria"/>
          <w:sz w:val="24"/>
          <w:szCs w:val="24"/>
        </w:rPr>
        <w:t xml:space="preserve"> </w:t>
      </w:r>
      <w:r w:rsidR="000675FB" w:rsidRPr="00825F45">
        <w:rPr>
          <w:rFonts w:asciiTheme="majorHAnsi" w:hAnsiTheme="majorHAnsi" w:cs="Cambria"/>
          <w:sz w:val="24"/>
          <w:szCs w:val="24"/>
        </w:rPr>
        <w:t>2006)</w:t>
      </w:r>
      <w:r w:rsidR="0074796E" w:rsidRPr="00825F45">
        <w:rPr>
          <w:rFonts w:asciiTheme="majorHAnsi" w:hAnsiTheme="majorHAnsi" w:cs="Cambria"/>
          <w:sz w:val="24"/>
          <w:szCs w:val="24"/>
        </w:rPr>
        <w:t xml:space="preserve">, with only FCT having a somewhat </w:t>
      </w:r>
      <w:r w:rsidR="00071120">
        <w:rPr>
          <w:rFonts w:asciiTheme="majorHAnsi" w:hAnsiTheme="majorHAnsi" w:cs="Cambria"/>
          <w:sz w:val="24"/>
          <w:szCs w:val="24"/>
        </w:rPr>
        <w:t>higher women’s literacy rates</w:t>
      </w:r>
      <w:r w:rsidR="0074796E" w:rsidRPr="00825F45">
        <w:rPr>
          <w:rFonts w:asciiTheme="majorHAnsi" w:hAnsiTheme="majorHAnsi" w:cs="Cambria"/>
          <w:sz w:val="24"/>
          <w:szCs w:val="24"/>
        </w:rPr>
        <w:t xml:space="preserve"> </w:t>
      </w:r>
      <w:proofErr w:type="gramStart"/>
      <w:r w:rsidR="005806B5" w:rsidRPr="00825F45">
        <w:rPr>
          <w:rFonts w:asciiTheme="majorHAnsi" w:hAnsiTheme="majorHAnsi" w:cs="Cambria"/>
          <w:sz w:val="24"/>
          <w:szCs w:val="24"/>
        </w:rPr>
        <w:t>Although</w:t>
      </w:r>
      <w:proofErr w:type="gramEnd"/>
      <w:r w:rsidR="005806B5" w:rsidRPr="00825F45">
        <w:rPr>
          <w:rFonts w:asciiTheme="majorHAnsi" w:hAnsiTheme="majorHAnsi" w:cs="Cambria"/>
          <w:sz w:val="24"/>
          <w:szCs w:val="24"/>
        </w:rPr>
        <w:t xml:space="preserve"> literacy</w:t>
      </w:r>
      <w:r w:rsidR="000675FB" w:rsidRPr="00825F45">
        <w:rPr>
          <w:rFonts w:asciiTheme="majorHAnsi" w:hAnsiTheme="majorHAnsi" w:cs="Cambria"/>
          <w:sz w:val="24"/>
          <w:szCs w:val="24"/>
        </w:rPr>
        <w:t xml:space="preserve"> levels we</w:t>
      </w:r>
      <w:r w:rsidR="0074796E" w:rsidRPr="00825F45">
        <w:rPr>
          <w:rFonts w:asciiTheme="majorHAnsi" w:hAnsiTheme="majorHAnsi" w:cs="Cambria"/>
          <w:sz w:val="24"/>
          <w:szCs w:val="24"/>
        </w:rPr>
        <w:t>re improving, with higher literacy</w:t>
      </w:r>
      <w:r w:rsidR="000675FB" w:rsidRPr="00825F45">
        <w:rPr>
          <w:rFonts w:asciiTheme="majorHAnsi" w:hAnsiTheme="majorHAnsi" w:cs="Cambria"/>
          <w:sz w:val="24"/>
          <w:szCs w:val="24"/>
        </w:rPr>
        <w:t xml:space="preserve"> rates amongst young people, a</w:t>
      </w:r>
      <w:r w:rsidR="0074796E" w:rsidRPr="00825F45">
        <w:rPr>
          <w:rFonts w:asciiTheme="majorHAnsi" w:hAnsiTheme="majorHAnsi" w:cs="Cambria"/>
          <w:sz w:val="24"/>
          <w:szCs w:val="24"/>
        </w:rPr>
        <w:t xml:space="preserve"> gender gap </w:t>
      </w:r>
      <w:r w:rsidR="000675FB" w:rsidRPr="00825F45">
        <w:rPr>
          <w:rFonts w:asciiTheme="majorHAnsi" w:hAnsiTheme="majorHAnsi" w:cs="Cambria"/>
          <w:sz w:val="24"/>
          <w:szCs w:val="24"/>
        </w:rPr>
        <w:t>was evident</w:t>
      </w:r>
      <w:r w:rsidR="0074796E" w:rsidRPr="00825F45">
        <w:rPr>
          <w:rFonts w:asciiTheme="majorHAnsi" w:hAnsiTheme="majorHAnsi" w:cs="Cambria"/>
          <w:sz w:val="24"/>
          <w:szCs w:val="24"/>
        </w:rPr>
        <w:t xml:space="preserve">. Young adult literacy rates </w:t>
      </w:r>
      <w:r w:rsidR="005806B5" w:rsidRPr="00825F45">
        <w:rPr>
          <w:rFonts w:asciiTheme="majorHAnsi" w:hAnsiTheme="majorHAnsi" w:cs="Cambria"/>
          <w:sz w:val="24"/>
          <w:szCs w:val="24"/>
        </w:rPr>
        <w:t>reflected</w:t>
      </w:r>
      <w:r w:rsidR="0074796E" w:rsidRPr="00825F45">
        <w:rPr>
          <w:rFonts w:asciiTheme="majorHAnsi" w:hAnsiTheme="majorHAnsi" w:cs="Cambria"/>
          <w:sz w:val="24"/>
          <w:szCs w:val="24"/>
        </w:rPr>
        <w:t xml:space="preserve"> historical</w:t>
      </w:r>
      <w:r w:rsidR="00DF19A9">
        <w:rPr>
          <w:rFonts w:asciiTheme="majorHAnsi" w:hAnsiTheme="majorHAnsi" w:cs="Cambria"/>
          <w:sz w:val="24"/>
          <w:szCs w:val="24"/>
        </w:rPr>
        <w:t>ly</w:t>
      </w:r>
      <w:r w:rsidR="0074796E" w:rsidRPr="00825F45">
        <w:rPr>
          <w:rFonts w:asciiTheme="majorHAnsi" w:hAnsiTheme="majorHAnsi" w:cs="Cambria"/>
          <w:sz w:val="24"/>
          <w:szCs w:val="24"/>
        </w:rPr>
        <w:t xml:space="preserve"> low levels of school provision and some of their gendered consequences. Whilst</w:t>
      </w:r>
      <w:r w:rsidR="000675FB" w:rsidRPr="00825F45">
        <w:rPr>
          <w:rFonts w:asciiTheme="majorHAnsi" w:hAnsiTheme="majorHAnsi" w:cs="Cambria"/>
          <w:sz w:val="24"/>
          <w:szCs w:val="24"/>
        </w:rPr>
        <w:t xml:space="preserve"> in </w:t>
      </w:r>
      <w:r w:rsidR="005806B5" w:rsidRPr="00825F45">
        <w:rPr>
          <w:rFonts w:asciiTheme="majorHAnsi" w:hAnsiTheme="majorHAnsi" w:cs="Cambria"/>
          <w:sz w:val="24"/>
          <w:szCs w:val="24"/>
        </w:rPr>
        <w:t>2006 FCT</w:t>
      </w:r>
      <w:r w:rsidR="0074796E" w:rsidRPr="00825F45">
        <w:rPr>
          <w:rFonts w:asciiTheme="majorHAnsi" w:hAnsiTheme="majorHAnsi" w:cs="Cambria"/>
          <w:sz w:val="24"/>
          <w:szCs w:val="24"/>
        </w:rPr>
        <w:t xml:space="preserve">, Kaduna, Plateau and </w:t>
      </w:r>
      <w:proofErr w:type="spellStart"/>
      <w:r w:rsidR="0074796E" w:rsidRPr="00825F45">
        <w:rPr>
          <w:rFonts w:asciiTheme="majorHAnsi" w:hAnsiTheme="majorHAnsi" w:cs="Cambria"/>
          <w:sz w:val="24"/>
          <w:szCs w:val="24"/>
        </w:rPr>
        <w:t>Nasarawa</w:t>
      </w:r>
      <w:proofErr w:type="spellEnd"/>
      <w:r w:rsidR="000675FB" w:rsidRPr="00825F45">
        <w:rPr>
          <w:rFonts w:asciiTheme="majorHAnsi" w:hAnsiTheme="majorHAnsi" w:cs="Cambria"/>
          <w:sz w:val="24"/>
          <w:szCs w:val="24"/>
        </w:rPr>
        <w:t xml:space="preserve"> had</w:t>
      </w:r>
      <w:r w:rsidR="0074796E" w:rsidRPr="00825F45">
        <w:rPr>
          <w:rFonts w:asciiTheme="majorHAnsi" w:hAnsiTheme="majorHAnsi" w:cs="Cambria"/>
          <w:sz w:val="24"/>
          <w:szCs w:val="24"/>
        </w:rPr>
        <w:t xml:space="preserve"> more than 80% </w:t>
      </w:r>
      <w:r w:rsidR="00DF19A9">
        <w:rPr>
          <w:rFonts w:asciiTheme="majorHAnsi" w:hAnsiTheme="majorHAnsi" w:cs="Cambria"/>
          <w:sz w:val="24"/>
          <w:szCs w:val="24"/>
        </w:rPr>
        <w:t xml:space="preserve">literacy in </w:t>
      </w:r>
      <w:r w:rsidR="0074796E" w:rsidRPr="00825F45">
        <w:rPr>
          <w:rFonts w:asciiTheme="majorHAnsi" w:hAnsiTheme="majorHAnsi" w:cs="Cambria"/>
          <w:sz w:val="24"/>
          <w:szCs w:val="24"/>
        </w:rPr>
        <w:t>young adult men, in no state were there such high proportions of young literate women</w:t>
      </w:r>
      <w:r w:rsidR="005806B5">
        <w:rPr>
          <w:rFonts w:asciiTheme="majorHAnsi" w:hAnsiTheme="majorHAnsi" w:cs="Cambria"/>
          <w:sz w:val="24"/>
          <w:szCs w:val="24"/>
        </w:rPr>
        <w:t xml:space="preserve"> </w:t>
      </w:r>
      <w:r w:rsidR="000675FB" w:rsidRPr="00825F45">
        <w:rPr>
          <w:rFonts w:asciiTheme="majorHAnsi" w:hAnsiTheme="majorHAnsi" w:cs="Cambria"/>
          <w:sz w:val="24"/>
          <w:szCs w:val="24"/>
        </w:rPr>
        <w:t>(Nigeria Bureau of Statistics,</w:t>
      </w:r>
      <w:r w:rsidR="005806B5">
        <w:rPr>
          <w:rFonts w:asciiTheme="majorHAnsi" w:hAnsiTheme="majorHAnsi" w:cs="Cambria"/>
          <w:sz w:val="24"/>
          <w:szCs w:val="24"/>
        </w:rPr>
        <w:t xml:space="preserve"> </w:t>
      </w:r>
      <w:r w:rsidR="000675FB" w:rsidRPr="00825F45">
        <w:rPr>
          <w:rFonts w:asciiTheme="majorHAnsi" w:hAnsiTheme="majorHAnsi" w:cs="Cambria"/>
          <w:sz w:val="24"/>
          <w:szCs w:val="24"/>
        </w:rPr>
        <w:t>2006)</w:t>
      </w:r>
      <w:r w:rsidR="005806B5">
        <w:rPr>
          <w:rFonts w:asciiTheme="majorHAnsi" w:hAnsiTheme="majorHAnsi" w:cs="Cambria"/>
          <w:sz w:val="24"/>
          <w:szCs w:val="24"/>
        </w:rPr>
        <w:t xml:space="preserve">. </w:t>
      </w:r>
      <w:proofErr w:type="spellStart"/>
      <w:r w:rsidR="0074796E" w:rsidRPr="00825F45">
        <w:rPr>
          <w:rFonts w:asciiTheme="majorHAnsi" w:hAnsiTheme="majorHAnsi" w:cs="Cambria"/>
          <w:sz w:val="24"/>
          <w:szCs w:val="24"/>
        </w:rPr>
        <w:t>Bauchi</w:t>
      </w:r>
      <w:proofErr w:type="spellEnd"/>
      <w:r w:rsidR="0074796E" w:rsidRPr="00825F45">
        <w:rPr>
          <w:rFonts w:asciiTheme="majorHAnsi" w:hAnsiTheme="majorHAnsi" w:cs="Cambria"/>
          <w:sz w:val="24"/>
          <w:szCs w:val="24"/>
        </w:rPr>
        <w:t xml:space="preserve"> and </w:t>
      </w:r>
      <w:proofErr w:type="spellStart"/>
      <w:r w:rsidR="0074796E" w:rsidRPr="00825F45">
        <w:rPr>
          <w:rFonts w:asciiTheme="majorHAnsi" w:hAnsiTheme="majorHAnsi" w:cs="Cambria"/>
          <w:sz w:val="24"/>
          <w:szCs w:val="24"/>
        </w:rPr>
        <w:t>Gombe</w:t>
      </w:r>
      <w:proofErr w:type="spellEnd"/>
      <w:r w:rsidR="000675FB" w:rsidRPr="00825F45">
        <w:rPr>
          <w:rFonts w:asciiTheme="majorHAnsi" w:hAnsiTheme="majorHAnsi" w:cs="Cambria"/>
          <w:sz w:val="24"/>
          <w:szCs w:val="24"/>
        </w:rPr>
        <w:t xml:space="preserve"> had</w:t>
      </w:r>
      <w:r w:rsidR="0074796E" w:rsidRPr="00825F45">
        <w:rPr>
          <w:rFonts w:asciiTheme="majorHAnsi" w:hAnsiTheme="majorHAnsi" w:cs="Cambria"/>
          <w:sz w:val="24"/>
          <w:szCs w:val="24"/>
        </w:rPr>
        <w:t xml:space="preserve"> the lowest primary enrolment rates for boys and girls and the largest gender gaps. Together with </w:t>
      </w:r>
      <w:proofErr w:type="spellStart"/>
      <w:r w:rsidR="0074796E" w:rsidRPr="00825F45">
        <w:rPr>
          <w:rFonts w:asciiTheme="majorHAnsi" w:hAnsiTheme="majorHAnsi" w:cs="Cambria"/>
          <w:sz w:val="24"/>
          <w:szCs w:val="24"/>
        </w:rPr>
        <w:t>Katsina</w:t>
      </w:r>
      <w:proofErr w:type="spellEnd"/>
      <w:r w:rsidR="0074796E" w:rsidRPr="00825F45">
        <w:rPr>
          <w:rFonts w:asciiTheme="majorHAnsi" w:hAnsiTheme="majorHAnsi" w:cs="Cambria"/>
          <w:sz w:val="24"/>
          <w:szCs w:val="24"/>
        </w:rPr>
        <w:t>, these states have the lowest proportion of children completing six years of primary schooling</w:t>
      </w:r>
      <w:r w:rsidR="000675FB" w:rsidRPr="00825F45">
        <w:rPr>
          <w:rFonts w:asciiTheme="majorHAnsi" w:hAnsiTheme="majorHAnsi" w:cs="Cambria"/>
          <w:sz w:val="24"/>
          <w:szCs w:val="24"/>
        </w:rPr>
        <w:t>.</w:t>
      </w:r>
    </w:p>
    <w:p w:rsidR="00B44D76" w:rsidRDefault="00B44D76" w:rsidP="005806B5">
      <w:pPr>
        <w:spacing w:after="0" w:line="240" w:lineRule="auto"/>
        <w:jc w:val="both"/>
        <w:rPr>
          <w:rFonts w:asciiTheme="majorHAnsi" w:hAnsiTheme="majorHAnsi" w:cs="Cambria"/>
          <w:sz w:val="24"/>
          <w:szCs w:val="24"/>
        </w:rPr>
      </w:pPr>
    </w:p>
    <w:p w:rsidR="00B44D76" w:rsidRPr="00B44D76" w:rsidRDefault="00FA17E8" w:rsidP="005806B5">
      <w:pPr>
        <w:spacing w:after="0" w:line="240" w:lineRule="auto"/>
        <w:jc w:val="both"/>
        <w:rPr>
          <w:rFonts w:asciiTheme="majorHAnsi" w:hAnsiTheme="majorHAnsi" w:cs="Cambria"/>
          <w:b/>
          <w:i/>
          <w:sz w:val="24"/>
          <w:szCs w:val="24"/>
        </w:rPr>
      </w:pPr>
      <w:r w:rsidRPr="00FA17E8">
        <w:rPr>
          <w:rFonts w:asciiTheme="majorHAnsi" w:hAnsiTheme="majorHAnsi" w:cs="Cambria"/>
          <w:b/>
          <w:i/>
          <w:sz w:val="24"/>
          <w:szCs w:val="24"/>
        </w:rPr>
        <w:t>The baseline studies</w:t>
      </w:r>
    </w:p>
    <w:p w:rsidR="005806B5" w:rsidRPr="00825F45" w:rsidRDefault="005806B5" w:rsidP="005806B5">
      <w:pPr>
        <w:spacing w:after="0" w:line="240" w:lineRule="auto"/>
        <w:jc w:val="both"/>
        <w:rPr>
          <w:rFonts w:asciiTheme="majorHAnsi" w:hAnsiTheme="majorHAnsi" w:cs="Cambria"/>
          <w:sz w:val="24"/>
          <w:szCs w:val="24"/>
        </w:rPr>
      </w:pPr>
    </w:p>
    <w:p w:rsidR="0008045D" w:rsidRPr="00825F45" w:rsidRDefault="00D83AED" w:rsidP="005806B5">
      <w:pPr>
        <w:pStyle w:val="ListParagraph"/>
        <w:ind w:left="0"/>
        <w:contextualSpacing w:val="0"/>
        <w:rPr>
          <w:rFonts w:asciiTheme="majorHAnsi" w:hAnsiTheme="majorHAnsi"/>
        </w:rPr>
      </w:pPr>
      <w:r w:rsidRPr="00825F45">
        <w:rPr>
          <w:rFonts w:asciiTheme="majorHAnsi" w:hAnsiTheme="majorHAnsi"/>
        </w:rPr>
        <w:t xml:space="preserve">The baseline studies </w:t>
      </w:r>
      <w:r w:rsidR="00F70868" w:rsidRPr="00825F45">
        <w:rPr>
          <w:rFonts w:asciiTheme="majorHAnsi" w:hAnsiTheme="majorHAnsi"/>
        </w:rPr>
        <w:t>(</w:t>
      </w:r>
      <w:r w:rsidR="00817928" w:rsidRPr="00825F45">
        <w:rPr>
          <w:rFonts w:asciiTheme="majorHAnsi" w:hAnsiTheme="majorHAnsi"/>
        </w:rPr>
        <w:t>TEGINT 2011a, TEGINT 2011b, Unterhalter and Heslop 2011</w:t>
      </w:r>
      <w:r w:rsidRPr="00825F45">
        <w:rPr>
          <w:rFonts w:asciiTheme="majorHAnsi" w:hAnsiTheme="majorHAnsi"/>
        </w:rPr>
        <w:t>) set out to investigate aspects of the provision of education in the schools in which the project was to work and how this aligned with what   girls said about their schooling, what obstacles they anticipate encountering and how they fel</w:t>
      </w:r>
      <w:r w:rsidR="00B44D76">
        <w:rPr>
          <w:rFonts w:asciiTheme="majorHAnsi" w:hAnsiTheme="majorHAnsi"/>
        </w:rPr>
        <w:t>t</w:t>
      </w:r>
      <w:r w:rsidRPr="00825F45">
        <w:rPr>
          <w:rFonts w:asciiTheme="majorHAnsi" w:hAnsiTheme="majorHAnsi"/>
        </w:rPr>
        <w:t xml:space="preserve"> </w:t>
      </w:r>
      <w:r w:rsidR="00B44D76">
        <w:rPr>
          <w:rFonts w:asciiTheme="majorHAnsi" w:hAnsiTheme="majorHAnsi"/>
        </w:rPr>
        <w:t xml:space="preserve">that </w:t>
      </w:r>
      <w:r w:rsidRPr="00825F45">
        <w:rPr>
          <w:rFonts w:asciiTheme="majorHAnsi" w:hAnsiTheme="majorHAnsi"/>
        </w:rPr>
        <w:t xml:space="preserve">these </w:t>
      </w:r>
      <w:r w:rsidR="00B44D76" w:rsidRPr="00825F45">
        <w:rPr>
          <w:rFonts w:asciiTheme="majorHAnsi" w:hAnsiTheme="majorHAnsi"/>
        </w:rPr>
        <w:t>c</w:t>
      </w:r>
      <w:r w:rsidR="00B44D76">
        <w:rPr>
          <w:rFonts w:asciiTheme="majorHAnsi" w:hAnsiTheme="majorHAnsi"/>
        </w:rPr>
        <w:t>ould</w:t>
      </w:r>
      <w:r w:rsidR="00B44D76" w:rsidRPr="00825F45">
        <w:rPr>
          <w:rFonts w:asciiTheme="majorHAnsi" w:hAnsiTheme="majorHAnsi"/>
        </w:rPr>
        <w:t xml:space="preserve"> </w:t>
      </w:r>
      <w:r w:rsidRPr="00825F45">
        <w:rPr>
          <w:rFonts w:asciiTheme="majorHAnsi" w:hAnsiTheme="majorHAnsi"/>
        </w:rPr>
        <w:t>be overcome</w:t>
      </w:r>
      <w:r w:rsidR="008B05B4" w:rsidRPr="00825F45">
        <w:rPr>
          <w:rFonts w:asciiTheme="majorHAnsi" w:hAnsiTheme="majorHAnsi"/>
        </w:rPr>
        <w:t xml:space="preserve">. </w:t>
      </w:r>
      <w:r w:rsidR="009C527B" w:rsidRPr="00825F45">
        <w:rPr>
          <w:rFonts w:asciiTheme="majorHAnsi" w:hAnsiTheme="majorHAnsi"/>
        </w:rPr>
        <w:t xml:space="preserve"> They were thus designed to con</w:t>
      </w:r>
      <w:r w:rsidR="003246C6" w:rsidRPr="00825F45">
        <w:rPr>
          <w:rFonts w:asciiTheme="majorHAnsi" w:hAnsiTheme="majorHAnsi"/>
        </w:rPr>
        <w:t xml:space="preserve">sider a notion of distribution </w:t>
      </w:r>
      <w:r w:rsidR="009C527B" w:rsidRPr="00825F45">
        <w:rPr>
          <w:rFonts w:asciiTheme="majorHAnsi" w:hAnsiTheme="majorHAnsi"/>
        </w:rPr>
        <w:t xml:space="preserve">and girls’ views on obstacles and solutions as a proxy for empowerment.  </w:t>
      </w:r>
      <w:r w:rsidR="003246C6" w:rsidRPr="00825F45">
        <w:rPr>
          <w:rFonts w:asciiTheme="majorHAnsi" w:hAnsiTheme="majorHAnsi"/>
        </w:rPr>
        <w:t xml:space="preserve">The studies comprised surveys </w:t>
      </w:r>
      <w:r w:rsidR="0008045D" w:rsidRPr="00825F45">
        <w:rPr>
          <w:rFonts w:asciiTheme="majorHAnsi" w:hAnsiTheme="majorHAnsi"/>
        </w:rPr>
        <w:t xml:space="preserve">undertaken in </w:t>
      </w:r>
      <w:r w:rsidR="00402AE7" w:rsidRPr="00825F45">
        <w:rPr>
          <w:rFonts w:asciiTheme="majorHAnsi" w:hAnsiTheme="majorHAnsi"/>
        </w:rPr>
        <w:t>all the</w:t>
      </w:r>
      <w:r w:rsidR="003246C6" w:rsidRPr="00825F45">
        <w:rPr>
          <w:rFonts w:asciiTheme="majorHAnsi" w:hAnsiTheme="majorHAnsi"/>
        </w:rPr>
        <w:t xml:space="preserve"> </w:t>
      </w:r>
      <w:r w:rsidR="0008045D" w:rsidRPr="00825F45">
        <w:rPr>
          <w:rFonts w:asciiTheme="majorHAnsi" w:hAnsiTheme="majorHAnsi"/>
        </w:rPr>
        <w:t xml:space="preserve">schools </w:t>
      </w:r>
      <w:r w:rsidR="00B44D76">
        <w:rPr>
          <w:rFonts w:asciiTheme="majorHAnsi" w:hAnsiTheme="majorHAnsi"/>
        </w:rPr>
        <w:t xml:space="preserve">(57 in Northern Tanzania and 72 in Northern Nigeria) </w:t>
      </w:r>
      <w:r w:rsidR="0008045D" w:rsidRPr="00825F45">
        <w:rPr>
          <w:rFonts w:asciiTheme="majorHAnsi" w:hAnsiTheme="majorHAnsi"/>
        </w:rPr>
        <w:t xml:space="preserve">in </w:t>
      </w:r>
      <w:r w:rsidR="003246C6" w:rsidRPr="00825F45">
        <w:rPr>
          <w:rFonts w:asciiTheme="majorHAnsi" w:hAnsiTheme="majorHAnsi"/>
        </w:rPr>
        <w:t xml:space="preserve">which </w:t>
      </w:r>
      <w:r w:rsidR="0008045D" w:rsidRPr="00825F45">
        <w:rPr>
          <w:rFonts w:asciiTheme="majorHAnsi" w:hAnsiTheme="majorHAnsi"/>
        </w:rPr>
        <w:t>the project</w:t>
      </w:r>
      <w:r w:rsidR="003246C6" w:rsidRPr="00825F45">
        <w:rPr>
          <w:rFonts w:asciiTheme="majorHAnsi" w:hAnsiTheme="majorHAnsi"/>
        </w:rPr>
        <w:t xml:space="preserve"> was working</w:t>
      </w:r>
      <w:r w:rsidR="0008045D" w:rsidRPr="00825F45">
        <w:rPr>
          <w:rFonts w:asciiTheme="majorHAnsi" w:hAnsiTheme="majorHAnsi"/>
        </w:rPr>
        <w:t>. Data was collected</w:t>
      </w:r>
      <w:r w:rsidR="003246C6" w:rsidRPr="00825F45">
        <w:rPr>
          <w:rFonts w:asciiTheme="majorHAnsi" w:hAnsiTheme="majorHAnsi"/>
        </w:rPr>
        <w:t xml:space="preserve"> by teams of enumerators</w:t>
      </w:r>
      <w:r w:rsidR="001B64E1" w:rsidRPr="00825F45">
        <w:rPr>
          <w:rFonts w:asciiTheme="majorHAnsi" w:hAnsiTheme="majorHAnsi"/>
        </w:rPr>
        <w:t xml:space="preserve"> trained by researchers and the implementing partners. They</w:t>
      </w:r>
      <w:r w:rsidR="003246C6" w:rsidRPr="00825F45">
        <w:rPr>
          <w:rFonts w:asciiTheme="majorHAnsi" w:hAnsiTheme="majorHAnsi"/>
        </w:rPr>
        <w:t xml:space="preserve"> work</w:t>
      </w:r>
      <w:r w:rsidR="001B64E1" w:rsidRPr="00825F45">
        <w:rPr>
          <w:rFonts w:asciiTheme="majorHAnsi" w:hAnsiTheme="majorHAnsi"/>
        </w:rPr>
        <w:t>ed</w:t>
      </w:r>
      <w:r w:rsidR="003246C6" w:rsidRPr="00825F45">
        <w:rPr>
          <w:rFonts w:asciiTheme="majorHAnsi" w:hAnsiTheme="majorHAnsi"/>
        </w:rPr>
        <w:t xml:space="preserve"> in </w:t>
      </w:r>
      <w:r w:rsidR="001B64E1" w:rsidRPr="00825F45">
        <w:rPr>
          <w:rFonts w:asciiTheme="majorHAnsi" w:hAnsiTheme="majorHAnsi"/>
        </w:rPr>
        <w:t xml:space="preserve">local languages but were generally not from the </w:t>
      </w:r>
      <w:r w:rsidR="00A56F59">
        <w:rPr>
          <w:rFonts w:asciiTheme="majorHAnsi" w:hAnsiTheme="majorHAnsi"/>
        </w:rPr>
        <w:t>immediate</w:t>
      </w:r>
      <w:r w:rsidR="001B64E1" w:rsidRPr="00825F45">
        <w:rPr>
          <w:rFonts w:asciiTheme="majorHAnsi" w:hAnsiTheme="majorHAnsi"/>
        </w:rPr>
        <w:t xml:space="preserve"> areas. I</w:t>
      </w:r>
      <w:r w:rsidR="003609FC" w:rsidRPr="00825F45">
        <w:rPr>
          <w:rFonts w:asciiTheme="majorHAnsi" w:hAnsiTheme="majorHAnsi"/>
        </w:rPr>
        <w:t>t was consi</w:t>
      </w:r>
      <w:r w:rsidR="003246C6" w:rsidRPr="00825F45">
        <w:rPr>
          <w:rFonts w:asciiTheme="majorHAnsi" w:hAnsiTheme="majorHAnsi"/>
        </w:rPr>
        <w:t xml:space="preserve">dered older girls would be </w:t>
      </w:r>
      <w:r w:rsidR="003609FC" w:rsidRPr="00825F45">
        <w:rPr>
          <w:rFonts w:asciiTheme="majorHAnsi" w:hAnsiTheme="majorHAnsi"/>
        </w:rPr>
        <w:t>able to give the most considered responses</w:t>
      </w:r>
      <w:r w:rsidR="004D3C63">
        <w:rPr>
          <w:rFonts w:asciiTheme="majorHAnsi" w:hAnsiTheme="majorHAnsi"/>
        </w:rPr>
        <w:t xml:space="preserve"> so </w:t>
      </w:r>
      <w:r w:rsidR="001B64E1" w:rsidRPr="00825F45">
        <w:rPr>
          <w:rFonts w:asciiTheme="majorHAnsi" w:hAnsiTheme="majorHAnsi"/>
        </w:rPr>
        <w:t xml:space="preserve">girls in their final year of </w:t>
      </w:r>
      <w:r w:rsidR="00562312" w:rsidRPr="00825F45">
        <w:rPr>
          <w:rFonts w:asciiTheme="majorHAnsi" w:hAnsiTheme="majorHAnsi"/>
        </w:rPr>
        <w:t xml:space="preserve">primary or junior secondary </w:t>
      </w:r>
      <w:r w:rsidR="001B64E1" w:rsidRPr="00825F45">
        <w:rPr>
          <w:rFonts w:asciiTheme="majorHAnsi" w:hAnsiTheme="majorHAnsi"/>
        </w:rPr>
        <w:t>school were surveyed</w:t>
      </w:r>
      <w:r w:rsidR="003609FC" w:rsidRPr="00825F45">
        <w:rPr>
          <w:rFonts w:asciiTheme="majorHAnsi" w:hAnsiTheme="majorHAnsi"/>
        </w:rPr>
        <w:t>. Data was also assembled from</w:t>
      </w:r>
      <w:r w:rsidR="0008045D" w:rsidRPr="00825F45">
        <w:rPr>
          <w:rFonts w:asciiTheme="majorHAnsi" w:hAnsiTheme="majorHAnsi"/>
        </w:rPr>
        <w:t xml:space="preserve"> teachers, head teachers, members of school management committees</w:t>
      </w:r>
      <w:r w:rsidRPr="00825F45">
        <w:rPr>
          <w:rFonts w:asciiTheme="majorHAnsi" w:hAnsiTheme="majorHAnsi"/>
        </w:rPr>
        <w:t>, and village officials. Table 1</w:t>
      </w:r>
      <w:r w:rsidR="0008045D" w:rsidRPr="00825F45">
        <w:rPr>
          <w:rFonts w:asciiTheme="majorHAnsi" w:hAnsiTheme="majorHAnsi"/>
        </w:rPr>
        <w:t xml:space="preserve"> gives details of the total numbers of respondents in each country. </w:t>
      </w:r>
    </w:p>
    <w:p w:rsidR="00F7409C" w:rsidRDefault="00F7409C" w:rsidP="00F7409C">
      <w:pPr>
        <w:autoSpaceDE w:val="0"/>
        <w:autoSpaceDN w:val="0"/>
        <w:adjustRightInd w:val="0"/>
        <w:spacing w:after="0" w:line="240" w:lineRule="auto"/>
        <w:rPr>
          <w:rFonts w:asciiTheme="majorHAnsi" w:hAnsiTheme="majorHAnsi" w:cstheme="minorHAnsi"/>
          <w:sz w:val="24"/>
          <w:szCs w:val="24"/>
        </w:rPr>
      </w:pPr>
    </w:p>
    <w:p w:rsidR="00146DB1" w:rsidRDefault="00146DB1" w:rsidP="005806B5">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sz w:val="24"/>
          <w:szCs w:val="24"/>
        </w:rPr>
        <w:t>Table 1 about here</w:t>
      </w:r>
    </w:p>
    <w:p w:rsidR="000923FC" w:rsidRPr="00825F45" w:rsidRDefault="000923FC" w:rsidP="005806B5">
      <w:pPr>
        <w:autoSpaceDE w:val="0"/>
        <w:autoSpaceDN w:val="0"/>
        <w:adjustRightInd w:val="0"/>
        <w:spacing w:after="0" w:line="240" w:lineRule="auto"/>
        <w:rPr>
          <w:rFonts w:asciiTheme="majorHAnsi" w:hAnsiTheme="majorHAnsi" w:cstheme="minorHAnsi"/>
          <w:sz w:val="24"/>
          <w:szCs w:val="24"/>
        </w:rPr>
      </w:pPr>
      <w:r w:rsidRPr="00825F45">
        <w:rPr>
          <w:rFonts w:asciiTheme="majorHAnsi" w:hAnsiTheme="majorHAnsi" w:cstheme="minorHAnsi"/>
          <w:vanish/>
          <w:sz w:val="24"/>
          <w:szCs w:val="24"/>
        </w:rPr>
        <w:cr/>
        <w:t>his is odd!igeria girls speak out about more obstacles in schools with less active school management.</w:t>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r w:rsidRPr="00825F45">
        <w:rPr>
          <w:rFonts w:asciiTheme="majorHAnsi" w:hAnsiTheme="majorHAnsi" w:cstheme="minorHAnsi"/>
          <w:vanish/>
          <w:sz w:val="24"/>
          <w:szCs w:val="24"/>
        </w:rPr>
        <w:pgNum/>
      </w:r>
    </w:p>
    <w:p w:rsidR="00D83AED" w:rsidRPr="00825F45" w:rsidRDefault="009C527B" w:rsidP="005806B5">
      <w:pPr>
        <w:widowControl w:val="0"/>
        <w:spacing w:after="0" w:line="240" w:lineRule="auto"/>
        <w:rPr>
          <w:rFonts w:asciiTheme="majorHAnsi" w:hAnsiTheme="majorHAnsi"/>
          <w:sz w:val="24"/>
          <w:szCs w:val="24"/>
        </w:rPr>
      </w:pPr>
      <w:r w:rsidRPr="00825F45">
        <w:rPr>
          <w:rFonts w:asciiTheme="majorHAnsi" w:hAnsiTheme="majorHAnsi" w:cs="Cambria"/>
          <w:sz w:val="24"/>
          <w:szCs w:val="24"/>
        </w:rPr>
        <w:t xml:space="preserve">Data collected for the baseline was </w:t>
      </w:r>
      <w:proofErr w:type="spellStart"/>
      <w:r w:rsidRPr="00825F45">
        <w:rPr>
          <w:rFonts w:asciiTheme="majorHAnsi" w:hAnsiTheme="majorHAnsi" w:cs="Cambria"/>
          <w:sz w:val="24"/>
          <w:szCs w:val="24"/>
        </w:rPr>
        <w:t>analy</w:t>
      </w:r>
      <w:r w:rsidR="00B44D76">
        <w:rPr>
          <w:rFonts w:asciiTheme="majorHAnsi" w:hAnsiTheme="majorHAnsi" w:cs="Cambria"/>
          <w:sz w:val="24"/>
          <w:szCs w:val="24"/>
        </w:rPr>
        <w:t>s</w:t>
      </w:r>
      <w:r w:rsidRPr="00825F45">
        <w:rPr>
          <w:rFonts w:asciiTheme="majorHAnsi" w:hAnsiTheme="majorHAnsi" w:cs="Cambria"/>
          <w:sz w:val="24"/>
          <w:szCs w:val="24"/>
        </w:rPr>
        <w:t>ed</w:t>
      </w:r>
      <w:proofErr w:type="spellEnd"/>
      <w:r w:rsidR="00D83AED" w:rsidRPr="00825F45">
        <w:rPr>
          <w:rFonts w:asciiTheme="majorHAnsi" w:hAnsiTheme="majorHAnsi" w:cs="Cambria"/>
          <w:sz w:val="24"/>
          <w:szCs w:val="24"/>
        </w:rPr>
        <w:t xml:space="preserve"> to produce a number of composite</w:t>
      </w:r>
      <w:r w:rsidR="0008045D" w:rsidRPr="00825F45">
        <w:rPr>
          <w:rFonts w:asciiTheme="majorHAnsi" w:hAnsiTheme="majorHAnsi" w:cs="Cambria"/>
          <w:sz w:val="24"/>
          <w:szCs w:val="24"/>
        </w:rPr>
        <w:t xml:space="preserve"> </w:t>
      </w:r>
      <w:r w:rsidR="0008045D" w:rsidRPr="00825F45">
        <w:rPr>
          <w:rFonts w:asciiTheme="majorHAnsi" w:hAnsiTheme="majorHAnsi" w:cs="Cambria"/>
          <w:sz w:val="24"/>
          <w:szCs w:val="24"/>
        </w:rPr>
        <w:lastRenderedPageBreak/>
        <w:t>variables relating to school conditions</w:t>
      </w:r>
      <w:r w:rsidR="002C1148" w:rsidRPr="00825F45">
        <w:rPr>
          <w:rFonts w:asciiTheme="majorHAnsi" w:hAnsiTheme="majorHAnsi" w:cs="Cambria"/>
          <w:sz w:val="24"/>
          <w:szCs w:val="24"/>
        </w:rPr>
        <w:t xml:space="preserve"> and different facets of </w:t>
      </w:r>
      <w:r w:rsidR="007501DF" w:rsidRPr="00825F45">
        <w:rPr>
          <w:rFonts w:asciiTheme="majorHAnsi" w:hAnsiTheme="majorHAnsi" w:cs="Cambria"/>
          <w:sz w:val="24"/>
          <w:szCs w:val="24"/>
        </w:rPr>
        <w:t>distribution</w:t>
      </w:r>
      <w:r w:rsidR="0008045D" w:rsidRPr="00825F45">
        <w:rPr>
          <w:rFonts w:asciiTheme="majorHAnsi" w:hAnsiTheme="majorHAnsi" w:cs="Cambria"/>
          <w:sz w:val="24"/>
          <w:szCs w:val="24"/>
        </w:rPr>
        <w:t>.</w:t>
      </w:r>
      <w:r w:rsidR="0008045D" w:rsidRPr="00825F45">
        <w:rPr>
          <w:rFonts w:asciiTheme="majorHAnsi" w:hAnsiTheme="majorHAnsi"/>
          <w:sz w:val="24"/>
          <w:szCs w:val="24"/>
        </w:rPr>
        <w:t xml:space="preserve"> These variables grouped data to give summary measures for each school: one </w:t>
      </w:r>
      <w:r w:rsidR="006C40F7" w:rsidRPr="00825F45">
        <w:rPr>
          <w:rFonts w:asciiTheme="majorHAnsi" w:hAnsiTheme="majorHAnsi"/>
          <w:sz w:val="24"/>
          <w:szCs w:val="24"/>
        </w:rPr>
        <w:t xml:space="preserve">looked </w:t>
      </w:r>
      <w:r w:rsidR="0008045D" w:rsidRPr="00825F45">
        <w:rPr>
          <w:rFonts w:asciiTheme="majorHAnsi" w:hAnsiTheme="majorHAnsi"/>
          <w:sz w:val="24"/>
          <w:szCs w:val="24"/>
        </w:rPr>
        <w:t xml:space="preserve">at gender parity in girls’ opportunities and outcomes (the ‘gender profile score’), </w:t>
      </w:r>
      <w:r w:rsidR="00F7409C" w:rsidRPr="00825F45">
        <w:rPr>
          <w:rFonts w:asciiTheme="majorHAnsi" w:hAnsiTheme="majorHAnsi"/>
          <w:sz w:val="24"/>
          <w:szCs w:val="24"/>
        </w:rPr>
        <w:t>one looked at the level of activity of school management on girls’ education (the ‘gender management profile score’)</w:t>
      </w:r>
      <w:r w:rsidR="00F7409C">
        <w:rPr>
          <w:rFonts w:asciiTheme="majorHAnsi" w:hAnsiTheme="majorHAnsi"/>
          <w:sz w:val="24"/>
          <w:szCs w:val="24"/>
        </w:rPr>
        <w:t xml:space="preserve"> and </w:t>
      </w:r>
      <w:r w:rsidR="00D83AED" w:rsidRPr="00825F45">
        <w:rPr>
          <w:rFonts w:asciiTheme="majorHAnsi" w:hAnsiTheme="majorHAnsi"/>
          <w:sz w:val="24"/>
          <w:szCs w:val="24"/>
        </w:rPr>
        <w:t>one looked</w:t>
      </w:r>
      <w:r w:rsidR="0008045D" w:rsidRPr="00825F45">
        <w:rPr>
          <w:rFonts w:asciiTheme="majorHAnsi" w:hAnsiTheme="majorHAnsi"/>
          <w:sz w:val="24"/>
          <w:szCs w:val="24"/>
        </w:rPr>
        <w:t xml:space="preserve"> at teacher qualifications (the ‘teacher</w:t>
      </w:r>
      <w:r w:rsidR="00D83AED" w:rsidRPr="00825F45">
        <w:rPr>
          <w:rFonts w:asciiTheme="majorHAnsi" w:hAnsiTheme="majorHAnsi"/>
          <w:sz w:val="24"/>
          <w:szCs w:val="24"/>
        </w:rPr>
        <w:t xml:space="preserve"> </w:t>
      </w:r>
      <w:r w:rsidR="00F7409C">
        <w:rPr>
          <w:rFonts w:asciiTheme="majorHAnsi" w:hAnsiTheme="majorHAnsi"/>
          <w:sz w:val="24"/>
          <w:szCs w:val="24"/>
        </w:rPr>
        <w:t xml:space="preserve">qualification </w:t>
      </w:r>
      <w:r w:rsidR="00D83AED" w:rsidRPr="00825F45">
        <w:rPr>
          <w:rFonts w:asciiTheme="majorHAnsi" w:hAnsiTheme="majorHAnsi"/>
          <w:sz w:val="24"/>
          <w:szCs w:val="24"/>
        </w:rPr>
        <w:t xml:space="preserve">profile </w:t>
      </w:r>
      <w:proofErr w:type="gramStart"/>
      <w:r w:rsidR="00D83AED" w:rsidRPr="00825F45">
        <w:rPr>
          <w:rFonts w:asciiTheme="majorHAnsi" w:hAnsiTheme="majorHAnsi"/>
          <w:sz w:val="24"/>
          <w:szCs w:val="24"/>
        </w:rPr>
        <w:t>score</w:t>
      </w:r>
      <w:proofErr w:type="gramEnd"/>
      <w:r w:rsidR="00D83AED" w:rsidRPr="00825F45">
        <w:rPr>
          <w:rFonts w:asciiTheme="majorHAnsi" w:hAnsiTheme="majorHAnsi"/>
          <w:sz w:val="24"/>
          <w:szCs w:val="24"/>
        </w:rPr>
        <w:t>’). Thes</w:t>
      </w:r>
      <w:r w:rsidR="00F70868" w:rsidRPr="00825F45">
        <w:rPr>
          <w:rFonts w:asciiTheme="majorHAnsi" w:hAnsiTheme="majorHAnsi"/>
          <w:sz w:val="24"/>
          <w:szCs w:val="24"/>
        </w:rPr>
        <w:t>e three composite variables allowed</w:t>
      </w:r>
      <w:r w:rsidR="00D83AED" w:rsidRPr="00825F45">
        <w:rPr>
          <w:rFonts w:asciiTheme="majorHAnsi" w:hAnsiTheme="majorHAnsi"/>
          <w:sz w:val="24"/>
          <w:szCs w:val="24"/>
        </w:rPr>
        <w:t xml:space="preserve"> analysis of distributional questions</w:t>
      </w:r>
      <w:r w:rsidR="0008045D" w:rsidRPr="00825F45">
        <w:rPr>
          <w:rFonts w:asciiTheme="majorHAnsi" w:hAnsiTheme="majorHAnsi"/>
          <w:sz w:val="24"/>
          <w:szCs w:val="24"/>
        </w:rPr>
        <w:t xml:space="preserve"> </w:t>
      </w:r>
      <w:r w:rsidR="00F70868" w:rsidRPr="00825F45">
        <w:rPr>
          <w:rFonts w:asciiTheme="majorHAnsi" w:hAnsiTheme="majorHAnsi"/>
          <w:sz w:val="24"/>
          <w:szCs w:val="24"/>
        </w:rPr>
        <w:t>to</w:t>
      </w:r>
      <w:r w:rsidR="00D83AED" w:rsidRPr="00825F45">
        <w:rPr>
          <w:rFonts w:asciiTheme="majorHAnsi" w:hAnsiTheme="majorHAnsi"/>
          <w:sz w:val="24"/>
          <w:szCs w:val="24"/>
        </w:rPr>
        <w:t xml:space="preserve"> be more nuanced than a simple</w:t>
      </w:r>
      <w:r w:rsidR="00142724" w:rsidRPr="00825F45">
        <w:rPr>
          <w:rFonts w:asciiTheme="majorHAnsi" w:hAnsiTheme="majorHAnsi"/>
          <w:sz w:val="24"/>
          <w:szCs w:val="24"/>
        </w:rPr>
        <w:t xml:space="preserve"> </w:t>
      </w:r>
      <w:r w:rsidR="00D83AED" w:rsidRPr="00825F45">
        <w:rPr>
          <w:rFonts w:asciiTheme="majorHAnsi" w:hAnsiTheme="majorHAnsi"/>
          <w:sz w:val="24"/>
          <w:szCs w:val="24"/>
        </w:rPr>
        <w:t>gender parit</w:t>
      </w:r>
      <w:r w:rsidR="00F70868" w:rsidRPr="00825F45">
        <w:rPr>
          <w:rFonts w:asciiTheme="majorHAnsi" w:hAnsiTheme="majorHAnsi"/>
          <w:sz w:val="24"/>
          <w:szCs w:val="24"/>
        </w:rPr>
        <w:t xml:space="preserve">y count. They also facilitated some </w:t>
      </w:r>
      <w:proofErr w:type="spellStart"/>
      <w:r w:rsidR="00F70868" w:rsidRPr="00825F45">
        <w:rPr>
          <w:rFonts w:asciiTheme="majorHAnsi" w:hAnsiTheme="majorHAnsi"/>
          <w:sz w:val="24"/>
          <w:szCs w:val="24"/>
        </w:rPr>
        <w:t>contextuali</w:t>
      </w:r>
      <w:r w:rsidR="00B44D76">
        <w:rPr>
          <w:rFonts w:asciiTheme="majorHAnsi" w:hAnsiTheme="majorHAnsi"/>
          <w:sz w:val="24"/>
          <w:szCs w:val="24"/>
        </w:rPr>
        <w:t>s</w:t>
      </w:r>
      <w:r w:rsidR="00F70868" w:rsidRPr="00825F45">
        <w:rPr>
          <w:rFonts w:asciiTheme="majorHAnsi" w:hAnsiTheme="majorHAnsi"/>
          <w:sz w:val="24"/>
          <w:szCs w:val="24"/>
        </w:rPr>
        <w:t>ed</w:t>
      </w:r>
      <w:proofErr w:type="spellEnd"/>
      <w:r w:rsidR="00F70868" w:rsidRPr="00825F45">
        <w:rPr>
          <w:rFonts w:asciiTheme="majorHAnsi" w:hAnsiTheme="majorHAnsi"/>
          <w:sz w:val="24"/>
          <w:szCs w:val="24"/>
        </w:rPr>
        <w:t xml:space="preserve"> </w:t>
      </w:r>
      <w:r w:rsidR="00D83AED" w:rsidRPr="00825F45">
        <w:rPr>
          <w:rFonts w:asciiTheme="majorHAnsi" w:hAnsiTheme="majorHAnsi"/>
          <w:sz w:val="24"/>
          <w:szCs w:val="24"/>
        </w:rPr>
        <w:t>examination of empowerment in relation to what girls say</w:t>
      </w:r>
      <w:r w:rsidR="007501DF" w:rsidRPr="00825F45">
        <w:rPr>
          <w:rFonts w:asciiTheme="majorHAnsi" w:hAnsiTheme="majorHAnsi"/>
          <w:sz w:val="24"/>
          <w:szCs w:val="24"/>
        </w:rPr>
        <w:t>. G</w:t>
      </w:r>
      <w:r w:rsidR="003609FC" w:rsidRPr="00825F45">
        <w:rPr>
          <w:rFonts w:asciiTheme="majorHAnsi" w:hAnsiTheme="majorHAnsi"/>
          <w:sz w:val="24"/>
          <w:szCs w:val="24"/>
        </w:rPr>
        <w:t>irls</w:t>
      </w:r>
      <w:r w:rsidR="00E658B4" w:rsidRPr="00825F45">
        <w:rPr>
          <w:rFonts w:asciiTheme="majorHAnsi" w:hAnsiTheme="majorHAnsi"/>
          <w:sz w:val="24"/>
          <w:szCs w:val="24"/>
        </w:rPr>
        <w:t>’</w:t>
      </w:r>
      <w:r w:rsidR="003609FC" w:rsidRPr="00825F45">
        <w:rPr>
          <w:rFonts w:asciiTheme="majorHAnsi" w:hAnsiTheme="majorHAnsi"/>
          <w:sz w:val="24"/>
          <w:szCs w:val="24"/>
        </w:rPr>
        <w:t xml:space="preserve"> responses to the survey regarding the obstacles and solutions to schooling they could identify coul</w:t>
      </w:r>
      <w:r w:rsidRPr="00825F45">
        <w:rPr>
          <w:rFonts w:asciiTheme="majorHAnsi" w:hAnsiTheme="majorHAnsi"/>
          <w:sz w:val="24"/>
          <w:szCs w:val="24"/>
        </w:rPr>
        <w:t>d be read</w:t>
      </w:r>
      <w:r w:rsidR="007501DF" w:rsidRPr="00825F45">
        <w:rPr>
          <w:rFonts w:asciiTheme="majorHAnsi" w:hAnsiTheme="majorHAnsi"/>
          <w:sz w:val="24"/>
          <w:szCs w:val="24"/>
        </w:rPr>
        <w:t xml:space="preserve"> as expressions of understandings of empowerment</w:t>
      </w:r>
      <w:r w:rsidRPr="00825F45">
        <w:rPr>
          <w:rFonts w:asciiTheme="majorHAnsi" w:hAnsiTheme="majorHAnsi"/>
          <w:sz w:val="24"/>
          <w:szCs w:val="24"/>
        </w:rPr>
        <w:t xml:space="preserve"> in relation to locale and aspects of distribution</w:t>
      </w:r>
      <w:r w:rsidR="00D83AED" w:rsidRPr="00825F45">
        <w:rPr>
          <w:rFonts w:asciiTheme="majorHAnsi" w:hAnsiTheme="majorHAnsi"/>
          <w:sz w:val="24"/>
          <w:szCs w:val="24"/>
        </w:rPr>
        <w:t>.</w:t>
      </w:r>
    </w:p>
    <w:p w:rsidR="00971B31" w:rsidRPr="00825F45" w:rsidRDefault="00971B31" w:rsidP="005806B5">
      <w:pPr>
        <w:widowControl w:val="0"/>
        <w:spacing w:after="0" w:line="240" w:lineRule="auto"/>
        <w:rPr>
          <w:rFonts w:asciiTheme="majorHAnsi" w:hAnsiTheme="majorHAnsi"/>
          <w:sz w:val="24"/>
          <w:szCs w:val="24"/>
        </w:rPr>
      </w:pPr>
    </w:p>
    <w:p w:rsidR="0008045D" w:rsidRPr="00825F45" w:rsidRDefault="0008045D" w:rsidP="005806B5">
      <w:pPr>
        <w:widowControl w:val="0"/>
        <w:spacing w:after="0" w:line="240" w:lineRule="auto"/>
        <w:rPr>
          <w:rFonts w:asciiTheme="majorHAnsi" w:hAnsiTheme="majorHAnsi"/>
          <w:sz w:val="24"/>
          <w:szCs w:val="24"/>
        </w:rPr>
      </w:pPr>
      <w:r w:rsidRPr="00825F45">
        <w:rPr>
          <w:rFonts w:asciiTheme="majorHAnsi" w:hAnsiTheme="majorHAnsi"/>
          <w:sz w:val="24"/>
          <w:szCs w:val="24"/>
        </w:rPr>
        <w:t xml:space="preserve"> The gender profile score was constructed to gain a summary measure of </w:t>
      </w:r>
      <w:r w:rsidR="00F7409C">
        <w:rPr>
          <w:rFonts w:asciiTheme="majorHAnsi" w:hAnsiTheme="majorHAnsi"/>
          <w:sz w:val="24"/>
          <w:szCs w:val="24"/>
        </w:rPr>
        <w:t xml:space="preserve">gender parity in girls’ opportunities and </w:t>
      </w:r>
      <w:r w:rsidRPr="00825F45">
        <w:rPr>
          <w:rFonts w:asciiTheme="majorHAnsi" w:hAnsiTheme="majorHAnsi"/>
          <w:sz w:val="24"/>
          <w:szCs w:val="24"/>
        </w:rPr>
        <w:t xml:space="preserve">outcomes </w:t>
      </w:r>
      <w:r w:rsidR="00F7409C">
        <w:rPr>
          <w:rFonts w:asciiTheme="majorHAnsi" w:hAnsiTheme="majorHAnsi"/>
          <w:sz w:val="24"/>
          <w:szCs w:val="24"/>
        </w:rPr>
        <w:t>at each school as an indicator in how it</w:t>
      </w:r>
      <w:r w:rsidRPr="00825F45">
        <w:rPr>
          <w:rFonts w:asciiTheme="majorHAnsi" w:hAnsiTheme="majorHAnsi"/>
          <w:sz w:val="24"/>
          <w:szCs w:val="24"/>
        </w:rPr>
        <w:t xml:space="preserve"> was succeeding in supporting girls’ education. A series of key variables (including enrolment, attendance, progression, repetition, completion and attainment, weighted in </w:t>
      </w:r>
      <w:proofErr w:type="spellStart"/>
      <w:r w:rsidRPr="00825F45">
        <w:rPr>
          <w:rFonts w:asciiTheme="majorHAnsi" w:hAnsiTheme="majorHAnsi"/>
          <w:sz w:val="24"/>
          <w:szCs w:val="24"/>
        </w:rPr>
        <w:t>favour</w:t>
      </w:r>
      <w:proofErr w:type="spellEnd"/>
      <w:r w:rsidRPr="00825F45">
        <w:rPr>
          <w:rFonts w:asciiTheme="majorHAnsi" w:hAnsiTheme="majorHAnsi"/>
          <w:sz w:val="24"/>
          <w:szCs w:val="24"/>
        </w:rPr>
        <w:t xml:space="preserve"> of attainment and completion) were grouped together and transformed into an overarching school ‘score’ on gender and education.  The gender profile score had to be calculated differently for the schools in Nigeria because of the extent of missing data. This is a serious problem in Nigerian schools</w:t>
      </w:r>
      <w:r w:rsidR="004E2A7B" w:rsidRPr="00825F45">
        <w:rPr>
          <w:rFonts w:asciiTheme="majorHAnsi" w:hAnsiTheme="majorHAnsi"/>
          <w:sz w:val="24"/>
          <w:szCs w:val="24"/>
        </w:rPr>
        <w:t>, where</w:t>
      </w:r>
      <w:r w:rsidR="00D83AED" w:rsidRPr="00825F45">
        <w:rPr>
          <w:rFonts w:asciiTheme="majorHAnsi" w:hAnsiTheme="majorHAnsi"/>
          <w:sz w:val="24"/>
          <w:szCs w:val="24"/>
        </w:rPr>
        <w:t xml:space="preserve"> records have not been routinely kept. </w:t>
      </w:r>
      <w:r w:rsidR="004E2A7B" w:rsidRPr="00825F45">
        <w:rPr>
          <w:rFonts w:asciiTheme="majorHAnsi" w:hAnsiTheme="majorHAnsi"/>
          <w:sz w:val="24"/>
          <w:szCs w:val="24"/>
        </w:rPr>
        <w:t>Even the UNESCO</w:t>
      </w:r>
      <w:r w:rsidR="00D83AED" w:rsidRPr="00825F45">
        <w:rPr>
          <w:rFonts w:asciiTheme="majorHAnsi" w:hAnsiTheme="majorHAnsi"/>
          <w:sz w:val="24"/>
          <w:szCs w:val="24"/>
        </w:rPr>
        <w:t xml:space="preserve"> </w:t>
      </w:r>
      <w:r w:rsidRPr="00825F45">
        <w:rPr>
          <w:rFonts w:asciiTheme="majorHAnsi" w:hAnsiTheme="majorHAnsi"/>
          <w:sz w:val="24"/>
          <w:szCs w:val="24"/>
        </w:rPr>
        <w:t xml:space="preserve">Global Monitoring Report resorts to making estimates for some measures </w:t>
      </w:r>
      <w:r w:rsidR="006C40F7" w:rsidRPr="00825F45">
        <w:rPr>
          <w:rFonts w:asciiTheme="majorHAnsi" w:hAnsiTheme="majorHAnsi"/>
          <w:sz w:val="24"/>
          <w:szCs w:val="24"/>
        </w:rPr>
        <w:t xml:space="preserve">in Nigeria </w:t>
      </w:r>
      <w:r w:rsidRPr="00825F45">
        <w:rPr>
          <w:rFonts w:asciiTheme="majorHAnsi" w:hAnsiTheme="majorHAnsi"/>
          <w:sz w:val="24"/>
          <w:szCs w:val="24"/>
        </w:rPr>
        <w:t>based on Demographic Surveys rather than using the data collected through the education system (UNESCO 2011</w:t>
      </w:r>
      <w:r w:rsidR="00402AE7" w:rsidRPr="00825F45">
        <w:rPr>
          <w:rFonts w:asciiTheme="majorHAnsi" w:hAnsiTheme="majorHAnsi"/>
          <w:sz w:val="24"/>
          <w:szCs w:val="24"/>
        </w:rPr>
        <w:t xml:space="preserve">: </w:t>
      </w:r>
      <w:r w:rsidR="00817928" w:rsidRPr="00825F45">
        <w:rPr>
          <w:rFonts w:asciiTheme="majorHAnsi" w:hAnsiTheme="majorHAnsi"/>
          <w:sz w:val="24"/>
          <w:szCs w:val="24"/>
        </w:rPr>
        <w:t>309</w:t>
      </w:r>
      <w:r w:rsidRPr="00825F45">
        <w:rPr>
          <w:rFonts w:asciiTheme="majorHAnsi" w:hAnsiTheme="majorHAnsi"/>
          <w:sz w:val="24"/>
          <w:szCs w:val="24"/>
        </w:rPr>
        <w:t>). With a limi</w:t>
      </w:r>
      <w:r w:rsidR="00A0413E" w:rsidRPr="00825F45">
        <w:rPr>
          <w:rFonts w:asciiTheme="majorHAnsi" w:hAnsiTheme="majorHAnsi"/>
          <w:sz w:val="24"/>
          <w:szCs w:val="24"/>
        </w:rPr>
        <w:t xml:space="preserve">ted school </w:t>
      </w:r>
      <w:r w:rsidR="00402AE7" w:rsidRPr="00825F45">
        <w:rPr>
          <w:rFonts w:asciiTheme="majorHAnsi" w:hAnsiTheme="majorHAnsi"/>
          <w:sz w:val="24"/>
          <w:szCs w:val="24"/>
        </w:rPr>
        <w:t>dataset to</w:t>
      </w:r>
      <w:r w:rsidRPr="00825F45">
        <w:rPr>
          <w:rFonts w:asciiTheme="majorHAnsi" w:hAnsiTheme="majorHAnsi"/>
          <w:sz w:val="24"/>
          <w:szCs w:val="24"/>
        </w:rPr>
        <w:t xml:space="preserve"> draw from, the gender profile scores could not include attainment or completion measures at primary schools and used proxies for progression</w:t>
      </w:r>
      <w:r w:rsidR="00B44D76">
        <w:rPr>
          <w:rFonts w:asciiTheme="majorHAnsi" w:hAnsiTheme="majorHAnsi"/>
          <w:sz w:val="24"/>
          <w:szCs w:val="24"/>
        </w:rPr>
        <w:t xml:space="preserve"> in Nigeria</w:t>
      </w:r>
      <w:r w:rsidRPr="00825F45">
        <w:rPr>
          <w:rFonts w:asciiTheme="majorHAnsi" w:hAnsiTheme="majorHAnsi"/>
          <w:sz w:val="24"/>
          <w:szCs w:val="24"/>
        </w:rPr>
        <w:t>. It should be borne in mind that</w:t>
      </w:r>
      <w:r w:rsidR="00943F2E" w:rsidRPr="00825F45">
        <w:rPr>
          <w:rFonts w:asciiTheme="majorHAnsi" w:hAnsiTheme="majorHAnsi"/>
          <w:sz w:val="24"/>
          <w:szCs w:val="24"/>
        </w:rPr>
        <w:t xml:space="preserve"> in constructing the gender profiles for </w:t>
      </w:r>
      <w:r w:rsidR="00A424A7" w:rsidRPr="00825F45">
        <w:rPr>
          <w:rFonts w:asciiTheme="majorHAnsi" w:hAnsiTheme="majorHAnsi"/>
          <w:sz w:val="24"/>
          <w:szCs w:val="24"/>
        </w:rPr>
        <w:t xml:space="preserve">sites in </w:t>
      </w:r>
      <w:r w:rsidR="00943F2E" w:rsidRPr="00825F45">
        <w:rPr>
          <w:rFonts w:asciiTheme="majorHAnsi" w:hAnsiTheme="majorHAnsi"/>
          <w:sz w:val="24"/>
          <w:szCs w:val="24"/>
        </w:rPr>
        <w:t xml:space="preserve">both </w:t>
      </w:r>
      <w:r w:rsidR="004E2A7B" w:rsidRPr="00825F45">
        <w:rPr>
          <w:rFonts w:asciiTheme="majorHAnsi" w:hAnsiTheme="majorHAnsi"/>
          <w:sz w:val="24"/>
          <w:szCs w:val="24"/>
        </w:rPr>
        <w:t>countries gender</w:t>
      </w:r>
      <w:r w:rsidRPr="00825F45">
        <w:rPr>
          <w:rFonts w:asciiTheme="majorHAnsi" w:hAnsiTheme="majorHAnsi"/>
          <w:i/>
          <w:sz w:val="24"/>
          <w:szCs w:val="24"/>
        </w:rPr>
        <w:t xml:space="preserve"> parity rather than promotion of girls’ education per se</w:t>
      </w:r>
      <w:r w:rsidR="00943F2E" w:rsidRPr="00825F45">
        <w:rPr>
          <w:rFonts w:asciiTheme="majorHAnsi" w:hAnsiTheme="majorHAnsi"/>
          <w:sz w:val="24"/>
          <w:szCs w:val="24"/>
        </w:rPr>
        <w:t xml:space="preserve"> </w:t>
      </w:r>
      <w:r w:rsidR="004E2A7B" w:rsidRPr="00825F45">
        <w:rPr>
          <w:rFonts w:asciiTheme="majorHAnsi" w:hAnsiTheme="majorHAnsi"/>
          <w:sz w:val="24"/>
          <w:szCs w:val="24"/>
        </w:rPr>
        <w:t>was being</w:t>
      </w:r>
      <w:r w:rsidRPr="00825F45">
        <w:rPr>
          <w:rFonts w:asciiTheme="majorHAnsi" w:hAnsiTheme="majorHAnsi"/>
          <w:sz w:val="24"/>
          <w:szCs w:val="24"/>
        </w:rPr>
        <w:t xml:space="preserve"> measured</w:t>
      </w:r>
      <w:r w:rsidR="00F7409C">
        <w:rPr>
          <w:rFonts w:asciiTheme="majorHAnsi" w:hAnsiTheme="majorHAnsi"/>
          <w:sz w:val="24"/>
          <w:szCs w:val="24"/>
        </w:rPr>
        <w:t xml:space="preserve"> because the measure is relative (girls</w:t>
      </w:r>
      <w:r w:rsidR="00B44D76">
        <w:rPr>
          <w:rFonts w:asciiTheme="majorHAnsi" w:hAnsiTheme="majorHAnsi"/>
          <w:sz w:val="24"/>
          <w:szCs w:val="24"/>
        </w:rPr>
        <w:t xml:space="preserve"> as a ratio of </w:t>
      </w:r>
      <w:r w:rsidR="00F7409C">
        <w:rPr>
          <w:rFonts w:asciiTheme="majorHAnsi" w:hAnsiTheme="majorHAnsi"/>
          <w:sz w:val="24"/>
          <w:szCs w:val="24"/>
        </w:rPr>
        <w:t>boys) rather than absolute.</w:t>
      </w:r>
      <w:r w:rsidRPr="00825F45">
        <w:rPr>
          <w:rFonts w:asciiTheme="majorHAnsi" w:hAnsiTheme="majorHAnsi"/>
          <w:sz w:val="24"/>
          <w:szCs w:val="24"/>
        </w:rPr>
        <w:t xml:space="preserve"> </w:t>
      </w:r>
      <w:r w:rsidR="00B44D76">
        <w:rPr>
          <w:rFonts w:asciiTheme="majorHAnsi" w:hAnsiTheme="majorHAnsi"/>
          <w:sz w:val="24"/>
          <w:szCs w:val="24"/>
        </w:rPr>
        <w:t>A high gender profile score may sometimes</w:t>
      </w:r>
      <w:r w:rsidRPr="00825F45">
        <w:rPr>
          <w:rFonts w:asciiTheme="majorHAnsi" w:hAnsiTheme="majorHAnsi"/>
          <w:sz w:val="24"/>
          <w:szCs w:val="24"/>
        </w:rPr>
        <w:t xml:space="preserve"> </w:t>
      </w:r>
      <w:r w:rsidR="004E2A7B" w:rsidRPr="00825F45">
        <w:rPr>
          <w:rFonts w:asciiTheme="majorHAnsi" w:hAnsiTheme="majorHAnsi"/>
          <w:sz w:val="24"/>
          <w:szCs w:val="24"/>
        </w:rPr>
        <w:t xml:space="preserve">in fact </w:t>
      </w:r>
      <w:r w:rsidRPr="00825F45">
        <w:rPr>
          <w:rFonts w:asciiTheme="majorHAnsi" w:hAnsiTheme="majorHAnsi"/>
          <w:sz w:val="24"/>
          <w:szCs w:val="24"/>
        </w:rPr>
        <w:t xml:space="preserve">indicate </w:t>
      </w:r>
      <w:r w:rsidR="004E2A7B" w:rsidRPr="00825F45">
        <w:rPr>
          <w:rFonts w:asciiTheme="majorHAnsi" w:hAnsiTheme="majorHAnsi"/>
          <w:sz w:val="24"/>
          <w:szCs w:val="24"/>
        </w:rPr>
        <w:t>problems around</w:t>
      </w:r>
      <w:r w:rsidRPr="00825F45">
        <w:rPr>
          <w:rFonts w:asciiTheme="majorHAnsi" w:hAnsiTheme="majorHAnsi"/>
          <w:sz w:val="24"/>
          <w:szCs w:val="24"/>
        </w:rPr>
        <w:t xml:space="preserve"> the enrolment, attendance or progression of boys</w:t>
      </w:r>
      <w:r w:rsidR="00B74548">
        <w:rPr>
          <w:rFonts w:asciiTheme="majorHAnsi" w:hAnsiTheme="majorHAnsi"/>
          <w:sz w:val="24"/>
          <w:szCs w:val="24"/>
        </w:rPr>
        <w:t>, making boys’ and girls’ outcomes equally low</w:t>
      </w:r>
      <w:r w:rsidR="00B44D76">
        <w:rPr>
          <w:rFonts w:asciiTheme="majorHAnsi" w:hAnsiTheme="majorHAnsi"/>
          <w:sz w:val="24"/>
          <w:szCs w:val="24"/>
        </w:rPr>
        <w:t>, rather than automatically denote ‘success’ in girls’ education</w:t>
      </w:r>
      <w:r w:rsidRPr="00825F45">
        <w:rPr>
          <w:rFonts w:asciiTheme="majorHAnsi" w:hAnsiTheme="majorHAnsi"/>
          <w:sz w:val="24"/>
          <w:szCs w:val="24"/>
        </w:rPr>
        <w:t>.</w:t>
      </w:r>
      <w:r w:rsidR="002A157C" w:rsidRPr="00825F45">
        <w:rPr>
          <w:rFonts w:asciiTheme="majorHAnsi" w:hAnsiTheme="majorHAnsi"/>
          <w:sz w:val="24"/>
          <w:szCs w:val="24"/>
        </w:rPr>
        <w:t xml:space="preserve"> Data could only be calculated for </w:t>
      </w:r>
      <w:r w:rsidR="00484FFE" w:rsidRPr="00825F45">
        <w:rPr>
          <w:rFonts w:asciiTheme="majorHAnsi" w:hAnsiTheme="majorHAnsi"/>
          <w:sz w:val="24"/>
          <w:szCs w:val="24"/>
        </w:rPr>
        <w:t xml:space="preserve">the </w:t>
      </w:r>
      <w:r w:rsidR="002A157C" w:rsidRPr="00825F45">
        <w:rPr>
          <w:rFonts w:asciiTheme="majorHAnsi" w:hAnsiTheme="majorHAnsi"/>
          <w:sz w:val="24"/>
          <w:szCs w:val="24"/>
        </w:rPr>
        <w:t>schools</w:t>
      </w:r>
      <w:r w:rsidR="00484FFE" w:rsidRPr="00825F45">
        <w:rPr>
          <w:rFonts w:asciiTheme="majorHAnsi" w:hAnsiTheme="majorHAnsi"/>
          <w:sz w:val="24"/>
          <w:szCs w:val="24"/>
        </w:rPr>
        <w:t xml:space="preserve"> in which TEGINT was working</w:t>
      </w:r>
      <w:r w:rsidR="00A0413E" w:rsidRPr="00825F45">
        <w:rPr>
          <w:rFonts w:asciiTheme="majorHAnsi" w:hAnsiTheme="majorHAnsi"/>
          <w:sz w:val="24"/>
          <w:szCs w:val="24"/>
        </w:rPr>
        <w:t xml:space="preserve"> </w:t>
      </w:r>
      <w:r w:rsidR="002A157C" w:rsidRPr="00825F45">
        <w:rPr>
          <w:rFonts w:asciiTheme="majorHAnsi" w:hAnsiTheme="majorHAnsi"/>
          <w:sz w:val="24"/>
          <w:szCs w:val="24"/>
        </w:rPr>
        <w:t>and not for all c</w:t>
      </w:r>
      <w:r w:rsidR="00A62E5C" w:rsidRPr="00825F45">
        <w:rPr>
          <w:rFonts w:asciiTheme="majorHAnsi" w:hAnsiTheme="majorHAnsi"/>
          <w:sz w:val="24"/>
          <w:szCs w:val="24"/>
        </w:rPr>
        <w:t>hildren in a district or locale</w:t>
      </w:r>
      <w:r w:rsidRPr="00825F45">
        <w:rPr>
          <w:rFonts w:asciiTheme="majorHAnsi" w:hAnsiTheme="majorHAnsi"/>
          <w:sz w:val="24"/>
          <w:szCs w:val="24"/>
        </w:rPr>
        <w:t xml:space="preserve">. </w:t>
      </w:r>
    </w:p>
    <w:p w:rsidR="00D372A4" w:rsidRPr="00825F45" w:rsidRDefault="00D372A4" w:rsidP="005806B5">
      <w:pPr>
        <w:widowControl w:val="0"/>
        <w:spacing w:after="0" w:line="240" w:lineRule="auto"/>
        <w:rPr>
          <w:rFonts w:asciiTheme="majorHAnsi" w:hAnsiTheme="majorHAnsi"/>
          <w:sz w:val="24"/>
          <w:szCs w:val="24"/>
        </w:rPr>
      </w:pPr>
    </w:p>
    <w:p w:rsidR="00D372A4" w:rsidRPr="00825F45" w:rsidRDefault="00D372A4" w:rsidP="005806B5">
      <w:pPr>
        <w:widowControl w:val="0"/>
        <w:spacing w:after="0" w:line="240" w:lineRule="auto"/>
        <w:rPr>
          <w:rFonts w:asciiTheme="majorHAnsi" w:hAnsiTheme="majorHAnsi"/>
          <w:sz w:val="24"/>
          <w:szCs w:val="24"/>
        </w:rPr>
      </w:pPr>
      <w:r w:rsidRPr="00825F45">
        <w:rPr>
          <w:rFonts w:asciiTheme="majorHAnsi" w:hAnsiTheme="majorHAnsi" w:cs="Cambria"/>
          <w:sz w:val="24"/>
          <w:szCs w:val="24"/>
        </w:rPr>
        <w:t>A secon</w:t>
      </w:r>
      <w:r w:rsidR="002C1148" w:rsidRPr="00825F45">
        <w:rPr>
          <w:rFonts w:asciiTheme="majorHAnsi" w:hAnsiTheme="majorHAnsi" w:cs="Cambria"/>
          <w:sz w:val="24"/>
          <w:szCs w:val="24"/>
        </w:rPr>
        <w:t>d summary measure was the gender</w:t>
      </w:r>
      <w:r w:rsidRPr="00825F45">
        <w:rPr>
          <w:rFonts w:asciiTheme="majorHAnsi" w:hAnsiTheme="majorHAnsi" w:cs="Cambria"/>
          <w:sz w:val="24"/>
          <w:szCs w:val="24"/>
        </w:rPr>
        <w:t xml:space="preserve"> management profile. This brought together information collected through surveys with head teachers, school </w:t>
      </w:r>
      <w:r w:rsidR="00484FFE" w:rsidRPr="00825F45">
        <w:rPr>
          <w:rFonts w:asciiTheme="majorHAnsi" w:hAnsiTheme="majorHAnsi" w:cs="Cambria"/>
          <w:sz w:val="24"/>
          <w:szCs w:val="24"/>
        </w:rPr>
        <w:t xml:space="preserve">management </w:t>
      </w:r>
      <w:r w:rsidRPr="00825F45">
        <w:rPr>
          <w:rFonts w:asciiTheme="majorHAnsi" w:hAnsiTheme="majorHAnsi" w:cs="Cambria"/>
          <w:sz w:val="24"/>
          <w:szCs w:val="24"/>
        </w:rPr>
        <w:t xml:space="preserve">committee representatives, village leaders, teachers </w:t>
      </w:r>
      <w:r w:rsidR="00B74548">
        <w:rPr>
          <w:rFonts w:asciiTheme="majorHAnsi" w:hAnsiTheme="majorHAnsi" w:cs="Cambria"/>
          <w:sz w:val="24"/>
          <w:szCs w:val="24"/>
        </w:rPr>
        <w:t xml:space="preserve">and girls </w:t>
      </w:r>
      <w:r w:rsidRPr="00825F45">
        <w:rPr>
          <w:rFonts w:asciiTheme="majorHAnsi" w:hAnsiTheme="majorHAnsi" w:cs="Cambria"/>
          <w:sz w:val="24"/>
          <w:szCs w:val="24"/>
        </w:rPr>
        <w:t>on elements</w:t>
      </w:r>
      <w:r w:rsidRPr="00825F45">
        <w:rPr>
          <w:rFonts w:asciiTheme="majorHAnsi" w:hAnsiTheme="majorHAnsi" w:cs="Cambria"/>
          <w:sz w:val="24"/>
          <w:szCs w:val="24"/>
          <w:lang w:val="en-GB"/>
        </w:rPr>
        <w:t xml:space="preserve"> of </w:t>
      </w:r>
      <w:r w:rsidRPr="00825F45">
        <w:rPr>
          <w:rFonts w:asciiTheme="majorHAnsi" w:hAnsiTheme="majorHAnsi"/>
          <w:sz w:val="24"/>
          <w:szCs w:val="24"/>
        </w:rPr>
        <w:t xml:space="preserve">school management </w:t>
      </w:r>
      <w:r w:rsidR="00B74548">
        <w:rPr>
          <w:rFonts w:asciiTheme="majorHAnsi" w:hAnsiTheme="majorHAnsi"/>
          <w:sz w:val="24"/>
          <w:szCs w:val="24"/>
        </w:rPr>
        <w:t>action</w:t>
      </w:r>
      <w:r w:rsidR="00B74548" w:rsidRPr="00825F45">
        <w:rPr>
          <w:rFonts w:asciiTheme="majorHAnsi" w:hAnsiTheme="majorHAnsi"/>
          <w:sz w:val="24"/>
          <w:szCs w:val="24"/>
        </w:rPr>
        <w:t xml:space="preserve"> </w:t>
      </w:r>
      <w:r w:rsidRPr="00825F45">
        <w:rPr>
          <w:rFonts w:asciiTheme="majorHAnsi" w:hAnsiTheme="majorHAnsi"/>
          <w:sz w:val="24"/>
          <w:szCs w:val="24"/>
        </w:rPr>
        <w:t xml:space="preserve">on girls’ education. Management performance on girls’ education is </w:t>
      </w:r>
      <w:proofErr w:type="spellStart"/>
      <w:r w:rsidRPr="00825F45">
        <w:rPr>
          <w:rFonts w:asciiTheme="majorHAnsi" w:hAnsiTheme="majorHAnsi"/>
          <w:sz w:val="24"/>
          <w:szCs w:val="24"/>
        </w:rPr>
        <w:t>conceptualised</w:t>
      </w:r>
      <w:proofErr w:type="spellEnd"/>
      <w:r w:rsidRPr="00825F45">
        <w:rPr>
          <w:rFonts w:asciiTheme="majorHAnsi" w:hAnsiTheme="majorHAnsi"/>
          <w:sz w:val="24"/>
          <w:szCs w:val="24"/>
        </w:rPr>
        <w:t xml:space="preserve"> as including: provision of training and information for school management, teachers, parents and pupils on issues such as gender, HIV/AIDS, reproductive health and educational management; involvement with pol</w:t>
      </w:r>
      <w:r w:rsidR="00667DDC" w:rsidRPr="00825F45">
        <w:rPr>
          <w:rFonts w:asciiTheme="majorHAnsi" w:hAnsiTheme="majorHAnsi"/>
          <w:sz w:val="24"/>
          <w:szCs w:val="24"/>
        </w:rPr>
        <w:t xml:space="preserve">itical campaigning </w:t>
      </w:r>
      <w:r w:rsidRPr="00825F45">
        <w:rPr>
          <w:rFonts w:asciiTheme="majorHAnsi" w:hAnsiTheme="majorHAnsi"/>
          <w:sz w:val="24"/>
          <w:szCs w:val="24"/>
        </w:rPr>
        <w:t xml:space="preserve">; outreach activities to help the most disadvantaged and socially excluded families; monitoring gendered access, enrolment and teaching and the </w:t>
      </w:r>
      <w:proofErr w:type="spellStart"/>
      <w:r w:rsidRPr="00825F45">
        <w:rPr>
          <w:rFonts w:asciiTheme="majorHAnsi" w:hAnsiTheme="majorHAnsi"/>
          <w:sz w:val="24"/>
          <w:szCs w:val="24"/>
        </w:rPr>
        <w:t>mobilisation</w:t>
      </w:r>
      <w:proofErr w:type="spellEnd"/>
      <w:r w:rsidRPr="00825F45">
        <w:rPr>
          <w:rFonts w:asciiTheme="majorHAnsi" w:hAnsiTheme="majorHAnsi"/>
          <w:sz w:val="24"/>
          <w:szCs w:val="24"/>
        </w:rPr>
        <w:t xml:space="preserve"> of pupils and staff in order to promote community development.  </w:t>
      </w:r>
    </w:p>
    <w:p w:rsidR="00A62E5C" w:rsidRPr="00825F45" w:rsidRDefault="00A62E5C" w:rsidP="005806B5">
      <w:pPr>
        <w:widowControl w:val="0"/>
        <w:spacing w:after="0" w:line="240" w:lineRule="auto"/>
        <w:rPr>
          <w:rFonts w:asciiTheme="majorHAnsi" w:hAnsiTheme="majorHAnsi"/>
          <w:sz w:val="24"/>
          <w:szCs w:val="24"/>
        </w:rPr>
      </w:pPr>
    </w:p>
    <w:p w:rsidR="00D372A4" w:rsidRPr="00825F45" w:rsidRDefault="00D372A4" w:rsidP="005806B5">
      <w:pPr>
        <w:widowControl w:val="0"/>
        <w:spacing w:after="0" w:line="240" w:lineRule="auto"/>
        <w:rPr>
          <w:rFonts w:asciiTheme="majorHAnsi" w:hAnsiTheme="majorHAnsi"/>
          <w:sz w:val="24"/>
          <w:szCs w:val="24"/>
        </w:rPr>
      </w:pPr>
      <w:r w:rsidRPr="00825F45">
        <w:rPr>
          <w:rFonts w:asciiTheme="majorHAnsi" w:hAnsiTheme="majorHAnsi" w:cs="Cambria"/>
          <w:sz w:val="24"/>
          <w:szCs w:val="24"/>
        </w:rPr>
        <w:t>The third summary measure developed was the teacher</w:t>
      </w:r>
      <w:r w:rsidR="002C1148" w:rsidRPr="00825F45">
        <w:rPr>
          <w:rFonts w:asciiTheme="majorHAnsi" w:hAnsiTheme="majorHAnsi" w:cs="Cambria"/>
          <w:sz w:val="24"/>
          <w:szCs w:val="24"/>
        </w:rPr>
        <w:t xml:space="preserve"> qualification</w:t>
      </w:r>
      <w:r w:rsidRPr="00825F45">
        <w:rPr>
          <w:rFonts w:asciiTheme="majorHAnsi" w:hAnsiTheme="majorHAnsi" w:cs="Cambria"/>
          <w:sz w:val="24"/>
          <w:szCs w:val="24"/>
        </w:rPr>
        <w:t xml:space="preserve"> profile. </w:t>
      </w:r>
      <w:r w:rsidRPr="00825F45">
        <w:rPr>
          <w:rFonts w:asciiTheme="majorHAnsi" w:hAnsiTheme="majorHAnsi"/>
          <w:sz w:val="24"/>
          <w:szCs w:val="24"/>
        </w:rPr>
        <w:t xml:space="preserve">Overall levels of qualifications within schools in which the project is working constituted an important independent variable by which to consider </w:t>
      </w:r>
      <w:r w:rsidR="002C1148" w:rsidRPr="00825F45">
        <w:rPr>
          <w:rFonts w:asciiTheme="majorHAnsi" w:hAnsiTheme="majorHAnsi"/>
          <w:sz w:val="24"/>
          <w:szCs w:val="24"/>
        </w:rPr>
        <w:t>a</w:t>
      </w:r>
      <w:r w:rsidRPr="00825F45">
        <w:rPr>
          <w:rFonts w:asciiTheme="majorHAnsi" w:hAnsiTheme="majorHAnsi"/>
          <w:sz w:val="24"/>
          <w:szCs w:val="24"/>
        </w:rPr>
        <w:t>s</w:t>
      </w:r>
      <w:r w:rsidR="002C1148" w:rsidRPr="00825F45">
        <w:rPr>
          <w:rFonts w:asciiTheme="majorHAnsi" w:hAnsiTheme="majorHAnsi"/>
          <w:sz w:val="24"/>
          <w:szCs w:val="24"/>
        </w:rPr>
        <w:t>pects of empowerment</w:t>
      </w:r>
      <w:r w:rsidR="00A80B54" w:rsidRPr="00825F45">
        <w:rPr>
          <w:rFonts w:asciiTheme="majorHAnsi" w:hAnsiTheme="majorHAnsi"/>
          <w:sz w:val="24"/>
          <w:szCs w:val="24"/>
        </w:rPr>
        <w:t xml:space="preserve">. </w:t>
      </w:r>
      <w:r w:rsidRPr="00825F45">
        <w:rPr>
          <w:rFonts w:asciiTheme="majorHAnsi" w:hAnsiTheme="majorHAnsi"/>
          <w:sz w:val="24"/>
          <w:szCs w:val="24"/>
        </w:rPr>
        <w:t xml:space="preserve"> </w:t>
      </w:r>
      <w:r w:rsidR="009C1256">
        <w:rPr>
          <w:rFonts w:asciiTheme="majorHAnsi" w:hAnsiTheme="majorHAnsi"/>
          <w:sz w:val="24"/>
          <w:szCs w:val="24"/>
        </w:rPr>
        <w:t xml:space="preserve">A score was calculated which represented the proportions of teachers in the school with </w:t>
      </w:r>
      <w:r w:rsidR="002873C9">
        <w:rPr>
          <w:rFonts w:asciiTheme="majorHAnsi" w:hAnsiTheme="majorHAnsi"/>
          <w:sz w:val="24"/>
          <w:szCs w:val="24"/>
        </w:rPr>
        <w:t>qualifications</w:t>
      </w:r>
      <w:r w:rsidR="009C1256">
        <w:rPr>
          <w:rFonts w:asciiTheme="majorHAnsi" w:hAnsiTheme="majorHAnsi"/>
          <w:sz w:val="24"/>
          <w:szCs w:val="24"/>
        </w:rPr>
        <w:t xml:space="preserve"> in </w:t>
      </w:r>
      <w:r w:rsidR="002873C9">
        <w:rPr>
          <w:rFonts w:asciiTheme="majorHAnsi" w:hAnsiTheme="majorHAnsi"/>
          <w:sz w:val="24"/>
          <w:szCs w:val="24"/>
        </w:rPr>
        <w:t xml:space="preserve">each of </w:t>
      </w:r>
      <w:r w:rsidR="009C1256">
        <w:rPr>
          <w:rFonts w:asciiTheme="majorHAnsi" w:hAnsiTheme="majorHAnsi"/>
          <w:sz w:val="24"/>
          <w:szCs w:val="24"/>
        </w:rPr>
        <w:t xml:space="preserve">four </w:t>
      </w:r>
      <w:proofErr w:type="gramStart"/>
      <w:r w:rsidR="009C1256">
        <w:rPr>
          <w:rFonts w:asciiTheme="majorHAnsi" w:hAnsiTheme="majorHAnsi"/>
          <w:sz w:val="24"/>
          <w:szCs w:val="24"/>
        </w:rPr>
        <w:t>categories</w:t>
      </w:r>
      <w:r w:rsidR="00B44D76">
        <w:rPr>
          <w:rFonts w:asciiTheme="majorHAnsi" w:hAnsiTheme="majorHAnsi"/>
          <w:sz w:val="24"/>
          <w:szCs w:val="24"/>
        </w:rPr>
        <w:t>,</w:t>
      </w:r>
      <w:proofErr w:type="gramEnd"/>
      <w:r w:rsidR="00B44D76">
        <w:rPr>
          <w:rFonts w:asciiTheme="majorHAnsi" w:hAnsiTheme="majorHAnsi"/>
          <w:sz w:val="24"/>
          <w:szCs w:val="24"/>
        </w:rPr>
        <w:t xml:space="preserve"> therefore a higher proportion of teachers with </w:t>
      </w:r>
      <w:r w:rsidR="00B44D76">
        <w:rPr>
          <w:rFonts w:asciiTheme="majorHAnsi" w:hAnsiTheme="majorHAnsi"/>
          <w:sz w:val="24"/>
          <w:szCs w:val="24"/>
        </w:rPr>
        <w:lastRenderedPageBreak/>
        <w:t xml:space="preserve">higher </w:t>
      </w:r>
      <w:r w:rsidR="00C34050">
        <w:rPr>
          <w:rFonts w:asciiTheme="majorHAnsi" w:hAnsiTheme="majorHAnsi"/>
          <w:sz w:val="24"/>
          <w:szCs w:val="24"/>
        </w:rPr>
        <w:t>qualifications</w:t>
      </w:r>
      <w:r w:rsidR="00B44D76">
        <w:rPr>
          <w:rFonts w:asciiTheme="majorHAnsi" w:hAnsiTheme="majorHAnsi"/>
          <w:sz w:val="24"/>
          <w:szCs w:val="24"/>
        </w:rPr>
        <w:t xml:space="preserve"> resulted in a higher overall teacher qualification profile score</w:t>
      </w:r>
      <w:r w:rsidRPr="00825F45">
        <w:rPr>
          <w:rFonts w:asciiTheme="majorHAnsi" w:hAnsiTheme="majorHAnsi"/>
          <w:sz w:val="24"/>
          <w:szCs w:val="24"/>
        </w:rPr>
        <w:t xml:space="preserve">. </w:t>
      </w:r>
    </w:p>
    <w:p w:rsidR="00D372A4" w:rsidRPr="00825F45" w:rsidRDefault="00D372A4" w:rsidP="005806B5">
      <w:pPr>
        <w:widowControl w:val="0"/>
        <w:spacing w:after="0" w:line="240" w:lineRule="auto"/>
        <w:rPr>
          <w:rFonts w:asciiTheme="majorHAnsi" w:hAnsiTheme="majorHAnsi"/>
          <w:sz w:val="24"/>
          <w:szCs w:val="24"/>
        </w:rPr>
      </w:pPr>
    </w:p>
    <w:p w:rsidR="00D372A4" w:rsidRPr="00825F45" w:rsidRDefault="001D5BDD" w:rsidP="005806B5">
      <w:pPr>
        <w:widowControl w:val="0"/>
        <w:spacing w:after="0" w:line="240" w:lineRule="auto"/>
        <w:rPr>
          <w:rFonts w:asciiTheme="majorHAnsi" w:hAnsiTheme="majorHAnsi"/>
          <w:sz w:val="24"/>
          <w:szCs w:val="24"/>
        </w:rPr>
      </w:pPr>
      <w:r w:rsidRPr="00825F45">
        <w:rPr>
          <w:rFonts w:asciiTheme="majorHAnsi" w:hAnsiTheme="majorHAnsi"/>
          <w:sz w:val="24"/>
          <w:szCs w:val="24"/>
        </w:rPr>
        <w:t xml:space="preserve">All three summary variables may thus be seen to look at aspects of the distributional question in a more multi-dimensional way than </w:t>
      </w:r>
      <w:r w:rsidR="00A80B54" w:rsidRPr="00825F45">
        <w:rPr>
          <w:rFonts w:asciiTheme="majorHAnsi" w:hAnsiTheme="majorHAnsi"/>
          <w:sz w:val="24"/>
          <w:szCs w:val="24"/>
        </w:rPr>
        <w:t xml:space="preserve">simple </w:t>
      </w:r>
      <w:r w:rsidRPr="00825F45">
        <w:rPr>
          <w:rFonts w:asciiTheme="majorHAnsi" w:hAnsiTheme="majorHAnsi"/>
          <w:sz w:val="24"/>
          <w:szCs w:val="24"/>
        </w:rPr>
        <w:t>gender parity.</w:t>
      </w:r>
      <w:r w:rsidR="00A0413E" w:rsidRPr="00825F45">
        <w:rPr>
          <w:rFonts w:asciiTheme="majorHAnsi" w:hAnsiTheme="majorHAnsi"/>
          <w:sz w:val="24"/>
          <w:szCs w:val="24"/>
        </w:rPr>
        <w:t xml:space="preserve"> </w:t>
      </w:r>
      <w:r w:rsidR="00512FD1" w:rsidRPr="00825F45">
        <w:rPr>
          <w:rFonts w:asciiTheme="majorHAnsi" w:hAnsiTheme="majorHAnsi"/>
          <w:sz w:val="24"/>
          <w:szCs w:val="24"/>
        </w:rPr>
        <w:t>T</w:t>
      </w:r>
      <w:r w:rsidR="00A15160" w:rsidRPr="00825F45">
        <w:rPr>
          <w:rFonts w:asciiTheme="majorHAnsi" w:hAnsiTheme="majorHAnsi"/>
          <w:sz w:val="24"/>
          <w:szCs w:val="24"/>
        </w:rPr>
        <w:t>hey allow a consideration of resources both to access</w:t>
      </w:r>
      <w:r w:rsidR="00E658B4" w:rsidRPr="00825F45">
        <w:rPr>
          <w:rFonts w:asciiTheme="majorHAnsi" w:hAnsiTheme="majorHAnsi"/>
          <w:sz w:val="24"/>
          <w:szCs w:val="24"/>
        </w:rPr>
        <w:t xml:space="preserve"> </w:t>
      </w:r>
      <w:r w:rsidR="00A15160" w:rsidRPr="00825F45">
        <w:rPr>
          <w:rFonts w:asciiTheme="majorHAnsi" w:hAnsiTheme="majorHAnsi"/>
          <w:sz w:val="24"/>
          <w:szCs w:val="24"/>
        </w:rPr>
        <w:t>and complete school (the gender profile and the teacher qualification profile) and to be treated with dignity, and have some engagements with conditions of inequality (the gender management profile).</w:t>
      </w:r>
      <w:r w:rsidR="00A80B54" w:rsidRPr="00825F45">
        <w:rPr>
          <w:rFonts w:asciiTheme="majorHAnsi" w:hAnsiTheme="majorHAnsi"/>
          <w:sz w:val="24"/>
          <w:szCs w:val="24"/>
        </w:rPr>
        <w:t xml:space="preserve"> </w:t>
      </w:r>
      <w:r w:rsidR="00A15160" w:rsidRPr="00825F45">
        <w:rPr>
          <w:rFonts w:asciiTheme="majorHAnsi" w:hAnsiTheme="majorHAnsi"/>
          <w:sz w:val="24"/>
          <w:szCs w:val="24"/>
        </w:rPr>
        <w:t xml:space="preserve"> We were thus able to look at how aspects of girl’ empowerment</w:t>
      </w:r>
      <w:r w:rsidR="00A15160" w:rsidRPr="00825F45">
        <w:rPr>
          <w:rStyle w:val="FootnoteReference"/>
          <w:rFonts w:asciiTheme="majorHAnsi" w:hAnsiTheme="majorHAnsi"/>
          <w:sz w:val="24"/>
          <w:szCs w:val="24"/>
        </w:rPr>
        <w:footnoteReference w:id="1"/>
      </w:r>
      <w:r w:rsidR="00A15160" w:rsidRPr="00825F45">
        <w:rPr>
          <w:rFonts w:asciiTheme="majorHAnsi" w:hAnsiTheme="majorHAnsi"/>
          <w:sz w:val="24"/>
          <w:szCs w:val="24"/>
        </w:rPr>
        <w:t>, that is their capacity to identify obstacles and solutions, as one feature of agency, did or did not lin</w:t>
      </w:r>
      <w:r w:rsidR="00B64887" w:rsidRPr="00825F45">
        <w:rPr>
          <w:rFonts w:asciiTheme="majorHAnsi" w:hAnsiTheme="majorHAnsi"/>
          <w:sz w:val="24"/>
          <w:szCs w:val="24"/>
        </w:rPr>
        <w:t>k with features of distribution</w:t>
      </w:r>
      <w:r w:rsidR="00A15160" w:rsidRPr="00825F45">
        <w:rPr>
          <w:rFonts w:asciiTheme="majorHAnsi" w:hAnsiTheme="majorHAnsi"/>
          <w:sz w:val="24"/>
          <w:szCs w:val="24"/>
        </w:rPr>
        <w:t>. D</w:t>
      </w:r>
      <w:r w:rsidR="00614D80" w:rsidRPr="00825F45">
        <w:rPr>
          <w:rFonts w:asciiTheme="majorHAnsi" w:hAnsiTheme="majorHAnsi"/>
          <w:sz w:val="24"/>
          <w:szCs w:val="24"/>
        </w:rPr>
        <w:t>rawing on the conceptual framework</w:t>
      </w:r>
      <w:r w:rsidR="00A15160" w:rsidRPr="00825F45">
        <w:rPr>
          <w:rFonts w:asciiTheme="majorHAnsi" w:hAnsiTheme="majorHAnsi"/>
          <w:sz w:val="24"/>
          <w:szCs w:val="24"/>
        </w:rPr>
        <w:t xml:space="preserve"> this feature of </w:t>
      </w:r>
      <w:r w:rsidR="00402AE7" w:rsidRPr="00825F45">
        <w:rPr>
          <w:rFonts w:asciiTheme="majorHAnsi" w:hAnsiTheme="majorHAnsi"/>
          <w:sz w:val="24"/>
          <w:szCs w:val="24"/>
        </w:rPr>
        <w:t xml:space="preserve">empowerment </w:t>
      </w:r>
      <w:proofErr w:type="gramStart"/>
      <w:r w:rsidR="00402AE7" w:rsidRPr="00825F45">
        <w:rPr>
          <w:rFonts w:asciiTheme="majorHAnsi" w:hAnsiTheme="majorHAnsi"/>
          <w:sz w:val="24"/>
          <w:szCs w:val="24"/>
        </w:rPr>
        <w:t>was</w:t>
      </w:r>
      <w:r w:rsidR="00A62E5C" w:rsidRPr="00825F45">
        <w:rPr>
          <w:rFonts w:asciiTheme="majorHAnsi" w:hAnsiTheme="majorHAnsi"/>
          <w:sz w:val="24"/>
          <w:szCs w:val="24"/>
        </w:rPr>
        <w:t xml:space="preserve"> </w:t>
      </w:r>
      <w:r w:rsidR="00A15160" w:rsidRPr="00825F45">
        <w:rPr>
          <w:rFonts w:asciiTheme="majorHAnsi" w:hAnsiTheme="majorHAnsi"/>
          <w:sz w:val="24"/>
          <w:szCs w:val="24"/>
        </w:rPr>
        <w:t xml:space="preserve"> used</w:t>
      </w:r>
      <w:proofErr w:type="gramEnd"/>
      <w:r w:rsidR="00A15160" w:rsidRPr="00825F45">
        <w:rPr>
          <w:rFonts w:asciiTheme="majorHAnsi" w:hAnsiTheme="majorHAnsi"/>
          <w:sz w:val="24"/>
          <w:szCs w:val="24"/>
        </w:rPr>
        <w:t xml:space="preserve"> to help understand, how or whether girls</w:t>
      </w:r>
      <w:r w:rsidR="00614D80" w:rsidRPr="00825F45">
        <w:rPr>
          <w:rFonts w:asciiTheme="majorHAnsi" w:hAnsiTheme="majorHAnsi"/>
          <w:sz w:val="24"/>
          <w:szCs w:val="24"/>
        </w:rPr>
        <w:t xml:space="preserve"> considered they might shift the gendered spaces that constrained rights and capabilities.</w:t>
      </w:r>
    </w:p>
    <w:p w:rsidR="00971B31" w:rsidRPr="00825F45" w:rsidRDefault="00971B31" w:rsidP="005806B5">
      <w:pPr>
        <w:widowControl w:val="0"/>
        <w:spacing w:after="0" w:line="240" w:lineRule="auto"/>
        <w:rPr>
          <w:rFonts w:asciiTheme="majorHAnsi" w:hAnsiTheme="majorHAnsi" w:cs="Cambria"/>
          <w:sz w:val="24"/>
          <w:szCs w:val="24"/>
        </w:rPr>
      </w:pPr>
    </w:p>
    <w:p w:rsidR="00E014EF" w:rsidRDefault="00E658B4" w:rsidP="005806B5">
      <w:pPr>
        <w:spacing w:after="0" w:line="240" w:lineRule="auto"/>
        <w:rPr>
          <w:rFonts w:asciiTheme="majorHAnsi" w:hAnsiTheme="majorHAnsi" w:cs="Cambria"/>
          <w:sz w:val="24"/>
          <w:szCs w:val="24"/>
        </w:rPr>
      </w:pPr>
      <w:r w:rsidRPr="00825F45">
        <w:rPr>
          <w:rFonts w:asciiTheme="majorHAnsi" w:hAnsiTheme="majorHAnsi" w:cs="Cambria"/>
          <w:sz w:val="24"/>
          <w:szCs w:val="24"/>
        </w:rPr>
        <w:t>In the discussion that follows we examine the relationship between</w:t>
      </w:r>
      <w:r w:rsidR="005414DE" w:rsidRPr="00825F45">
        <w:rPr>
          <w:rFonts w:asciiTheme="majorHAnsi" w:hAnsiTheme="majorHAnsi" w:cs="Cambria"/>
          <w:sz w:val="24"/>
          <w:szCs w:val="24"/>
        </w:rPr>
        <w:t xml:space="preserve"> the obstacles</w:t>
      </w:r>
      <w:r w:rsidR="00A62E5C" w:rsidRPr="00825F45">
        <w:rPr>
          <w:rFonts w:asciiTheme="majorHAnsi" w:hAnsiTheme="majorHAnsi"/>
          <w:sz w:val="24"/>
          <w:szCs w:val="24"/>
        </w:rPr>
        <w:t xml:space="preserve"> and solution</w:t>
      </w:r>
      <w:r w:rsidR="005414DE" w:rsidRPr="00825F45">
        <w:rPr>
          <w:rFonts w:asciiTheme="majorHAnsi" w:hAnsiTheme="majorHAnsi" w:cs="Cambria"/>
          <w:sz w:val="24"/>
          <w:szCs w:val="24"/>
        </w:rPr>
        <w:t xml:space="preserve"> girls hi</w:t>
      </w:r>
      <w:r w:rsidRPr="00825F45">
        <w:rPr>
          <w:rFonts w:asciiTheme="majorHAnsi" w:hAnsiTheme="majorHAnsi" w:cs="Cambria"/>
          <w:sz w:val="24"/>
          <w:szCs w:val="24"/>
        </w:rPr>
        <w:t>ghlight</w:t>
      </w:r>
      <w:r w:rsidR="00B64887" w:rsidRPr="00825F45">
        <w:rPr>
          <w:rFonts w:asciiTheme="majorHAnsi" w:hAnsiTheme="majorHAnsi" w:cs="Cambria"/>
          <w:sz w:val="24"/>
          <w:szCs w:val="24"/>
        </w:rPr>
        <w:t>ed</w:t>
      </w:r>
      <w:r w:rsidRPr="00825F45">
        <w:rPr>
          <w:rFonts w:asciiTheme="majorHAnsi" w:hAnsiTheme="majorHAnsi" w:cs="Cambria"/>
          <w:sz w:val="24"/>
          <w:szCs w:val="24"/>
        </w:rPr>
        <w:t xml:space="preserve"> and the</w:t>
      </w:r>
      <w:r w:rsidR="005414DE" w:rsidRPr="00825F45">
        <w:rPr>
          <w:rFonts w:asciiTheme="majorHAnsi" w:hAnsiTheme="majorHAnsi" w:cs="Cambria"/>
          <w:sz w:val="24"/>
          <w:szCs w:val="24"/>
        </w:rPr>
        <w:t xml:space="preserve"> three composite variables, allowing us to see aspects of empowerment in relation to </w:t>
      </w:r>
      <w:r w:rsidR="00967D99" w:rsidRPr="00825F45">
        <w:rPr>
          <w:rFonts w:asciiTheme="majorHAnsi" w:hAnsiTheme="majorHAnsi" w:cs="Cambria"/>
          <w:sz w:val="24"/>
          <w:szCs w:val="24"/>
        </w:rPr>
        <w:t xml:space="preserve">different features of </w:t>
      </w:r>
      <w:r w:rsidR="005414DE" w:rsidRPr="00825F45">
        <w:rPr>
          <w:rFonts w:asciiTheme="majorHAnsi" w:hAnsiTheme="majorHAnsi" w:cs="Cambria"/>
          <w:sz w:val="24"/>
          <w:szCs w:val="24"/>
        </w:rPr>
        <w:t xml:space="preserve">distribution.  </w:t>
      </w:r>
      <w:r w:rsidR="00E014EF" w:rsidRPr="00825F45">
        <w:rPr>
          <w:rFonts w:asciiTheme="majorHAnsi" w:hAnsiTheme="majorHAnsi" w:cs="Cambria"/>
          <w:sz w:val="24"/>
          <w:szCs w:val="24"/>
        </w:rPr>
        <w:t>W</w:t>
      </w:r>
      <w:r w:rsidR="004931B4" w:rsidRPr="00825F45">
        <w:rPr>
          <w:rFonts w:asciiTheme="majorHAnsi" w:hAnsiTheme="majorHAnsi" w:cs="Cambria"/>
          <w:sz w:val="24"/>
          <w:szCs w:val="24"/>
        </w:rPr>
        <w:t>e do not have an objective measure of the extent of these obstacles</w:t>
      </w:r>
      <w:r w:rsidR="00E014EF" w:rsidRPr="00825F45">
        <w:rPr>
          <w:rFonts w:asciiTheme="majorHAnsi" w:hAnsiTheme="majorHAnsi" w:cs="Cambria"/>
          <w:sz w:val="24"/>
          <w:szCs w:val="24"/>
        </w:rPr>
        <w:t xml:space="preserve"> do exist at </w:t>
      </w:r>
      <w:r w:rsidR="000D582A" w:rsidRPr="00825F45">
        <w:rPr>
          <w:rFonts w:asciiTheme="majorHAnsi" w:hAnsiTheme="majorHAnsi" w:cs="Cambria"/>
          <w:sz w:val="24"/>
          <w:szCs w:val="24"/>
        </w:rPr>
        <w:t xml:space="preserve"> each school, but o</w:t>
      </w:r>
      <w:r w:rsidR="00614D80" w:rsidRPr="00825F45">
        <w:rPr>
          <w:rFonts w:asciiTheme="majorHAnsi" w:hAnsiTheme="majorHAnsi" w:cs="Cambria"/>
          <w:sz w:val="24"/>
          <w:szCs w:val="24"/>
        </w:rPr>
        <w:t xml:space="preserve">ur analysis </w:t>
      </w:r>
      <w:r w:rsidR="000D582A" w:rsidRPr="00825F45">
        <w:rPr>
          <w:rFonts w:asciiTheme="majorHAnsi" w:hAnsiTheme="majorHAnsi" w:cs="Cambria"/>
          <w:sz w:val="24"/>
          <w:szCs w:val="24"/>
        </w:rPr>
        <w:t>privileges</w:t>
      </w:r>
      <w:r w:rsidR="00614D80" w:rsidRPr="00825F45">
        <w:rPr>
          <w:rFonts w:asciiTheme="majorHAnsi" w:hAnsiTheme="majorHAnsi" w:cs="Cambria"/>
          <w:sz w:val="24"/>
          <w:szCs w:val="24"/>
        </w:rPr>
        <w:t xml:space="preserve"> girls’ voic</w:t>
      </w:r>
      <w:r w:rsidR="00E014EF" w:rsidRPr="00825F45">
        <w:rPr>
          <w:rFonts w:asciiTheme="majorHAnsi" w:hAnsiTheme="majorHAnsi" w:cs="Cambria"/>
          <w:sz w:val="24"/>
          <w:szCs w:val="24"/>
        </w:rPr>
        <w:t xml:space="preserve">es about obstacles </w:t>
      </w:r>
      <w:r w:rsidR="00614D80" w:rsidRPr="00825F45">
        <w:rPr>
          <w:rFonts w:asciiTheme="majorHAnsi" w:hAnsiTheme="majorHAnsi" w:cs="Cambria"/>
          <w:sz w:val="24"/>
          <w:szCs w:val="24"/>
        </w:rPr>
        <w:t xml:space="preserve"> to claiming right</w:t>
      </w:r>
      <w:r w:rsidR="00A62E5C" w:rsidRPr="00825F45">
        <w:rPr>
          <w:rFonts w:asciiTheme="majorHAnsi" w:hAnsiTheme="majorHAnsi" w:cs="Cambria"/>
          <w:sz w:val="24"/>
          <w:szCs w:val="24"/>
        </w:rPr>
        <w:t>s and solutions to secure rights</w:t>
      </w:r>
      <w:r w:rsidR="00E014EF" w:rsidRPr="00825F45">
        <w:rPr>
          <w:rFonts w:asciiTheme="majorHAnsi" w:hAnsiTheme="majorHAnsi" w:cs="Cambria"/>
          <w:sz w:val="24"/>
          <w:szCs w:val="24"/>
        </w:rPr>
        <w:t>, as we consider girls’ perceptions and voice to be an important feature of empowerment and justice</w:t>
      </w:r>
      <w:r w:rsidR="002E6684" w:rsidRPr="00825F45">
        <w:rPr>
          <w:rFonts w:asciiTheme="majorHAnsi" w:hAnsiTheme="majorHAnsi" w:cs="Cambria"/>
          <w:sz w:val="24"/>
          <w:szCs w:val="24"/>
        </w:rPr>
        <w:t>.</w:t>
      </w:r>
      <w:r w:rsidR="00A56F59">
        <w:rPr>
          <w:rFonts w:asciiTheme="majorHAnsi" w:hAnsiTheme="majorHAnsi" w:cs="Cambria"/>
          <w:sz w:val="24"/>
          <w:szCs w:val="24"/>
        </w:rPr>
        <w:t xml:space="preserve"> One of our assumptions, borne out </w:t>
      </w:r>
      <w:r w:rsidR="00C34050">
        <w:rPr>
          <w:rFonts w:asciiTheme="majorHAnsi" w:hAnsiTheme="majorHAnsi" w:cs="Cambria"/>
          <w:sz w:val="24"/>
          <w:szCs w:val="24"/>
        </w:rPr>
        <w:t xml:space="preserve">by </w:t>
      </w:r>
      <w:r w:rsidR="00A56F59">
        <w:rPr>
          <w:rFonts w:asciiTheme="majorHAnsi" w:hAnsiTheme="majorHAnsi" w:cs="Cambria"/>
          <w:sz w:val="24"/>
          <w:szCs w:val="24"/>
        </w:rPr>
        <w:t xml:space="preserve">the data, is that the range of obstacles and solutions identified are higher in districts or states, where there are higher levels of relative, rather than absolute poverty (Unterhalter, 2012). We acknowledge that we do not however have objective data and the responses may partially reflect the real </w:t>
      </w:r>
      <w:r w:rsidR="00C34050">
        <w:rPr>
          <w:rFonts w:asciiTheme="majorHAnsi" w:hAnsiTheme="majorHAnsi" w:cs="Cambria"/>
          <w:sz w:val="24"/>
          <w:szCs w:val="24"/>
        </w:rPr>
        <w:t>constraints</w:t>
      </w:r>
      <w:r w:rsidR="00A56F59">
        <w:rPr>
          <w:rFonts w:asciiTheme="majorHAnsi" w:hAnsiTheme="majorHAnsi" w:cs="Cambria"/>
          <w:sz w:val="24"/>
          <w:szCs w:val="24"/>
        </w:rPr>
        <w:t xml:space="preserve"> of the locale as well as girls’ ability to articulate these. </w:t>
      </w:r>
    </w:p>
    <w:p w:rsidR="00363F86" w:rsidRPr="00C70528" w:rsidRDefault="00363F86" w:rsidP="005806B5">
      <w:pPr>
        <w:spacing w:after="0" w:line="240" w:lineRule="auto"/>
        <w:rPr>
          <w:rFonts w:asciiTheme="majorHAnsi" w:hAnsiTheme="majorHAnsi" w:cs="Cambria"/>
          <w:sz w:val="24"/>
          <w:szCs w:val="24"/>
        </w:rPr>
      </w:pPr>
    </w:p>
    <w:p w:rsidR="002E6684" w:rsidRPr="00C70528" w:rsidRDefault="002E6684" w:rsidP="005806B5">
      <w:pPr>
        <w:spacing w:after="0" w:line="240" w:lineRule="auto"/>
        <w:rPr>
          <w:rFonts w:asciiTheme="majorHAnsi" w:hAnsiTheme="majorHAnsi" w:cs="Cambria"/>
          <w:sz w:val="24"/>
          <w:szCs w:val="24"/>
        </w:rPr>
      </w:pPr>
    </w:p>
    <w:p w:rsidR="005A1F0A" w:rsidRPr="00C70528" w:rsidRDefault="00FA17E8" w:rsidP="005806B5">
      <w:pPr>
        <w:spacing w:after="0" w:line="240" w:lineRule="auto"/>
        <w:rPr>
          <w:rFonts w:asciiTheme="majorHAnsi" w:hAnsiTheme="majorHAnsi"/>
          <w:b/>
          <w:i/>
          <w:sz w:val="24"/>
          <w:szCs w:val="24"/>
        </w:rPr>
      </w:pPr>
      <w:r w:rsidRPr="00FA17E8">
        <w:rPr>
          <w:rFonts w:asciiTheme="majorHAnsi" w:hAnsiTheme="majorHAnsi"/>
          <w:b/>
          <w:i/>
          <w:sz w:val="24"/>
          <w:szCs w:val="24"/>
        </w:rPr>
        <w:t>Distribution and empowerment in the TEGINT project</w:t>
      </w:r>
      <w:r w:rsidR="00C70528">
        <w:rPr>
          <w:rFonts w:asciiTheme="majorHAnsi" w:hAnsiTheme="majorHAnsi"/>
          <w:b/>
          <w:i/>
          <w:sz w:val="24"/>
          <w:szCs w:val="24"/>
        </w:rPr>
        <w:t xml:space="preserve"> schools</w:t>
      </w:r>
    </w:p>
    <w:p w:rsidR="005A1F0A" w:rsidRPr="00C70528" w:rsidRDefault="005A1F0A" w:rsidP="005806B5">
      <w:pPr>
        <w:spacing w:after="0" w:line="240" w:lineRule="auto"/>
        <w:rPr>
          <w:rFonts w:asciiTheme="majorHAnsi" w:hAnsiTheme="majorHAnsi" w:cs="Cambria"/>
          <w:sz w:val="24"/>
          <w:szCs w:val="24"/>
        </w:rPr>
      </w:pPr>
    </w:p>
    <w:p w:rsidR="002E6684" w:rsidRPr="00825F45" w:rsidRDefault="002E6684" w:rsidP="005806B5">
      <w:pPr>
        <w:spacing w:after="0" w:line="240" w:lineRule="auto"/>
        <w:rPr>
          <w:rFonts w:asciiTheme="majorHAnsi" w:hAnsiTheme="majorHAnsi" w:cs="Cambria"/>
          <w:sz w:val="24"/>
          <w:szCs w:val="24"/>
        </w:rPr>
      </w:pPr>
      <w:r w:rsidRPr="00825F45">
        <w:rPr>
          <w:rFonts w:asciiTheme="majorHAnsi" w:hAnsiTheme="majorHAnsi" w:cs="Cambria"/>
          <w:sz w:val="24"/>
          <w:szCs w:val="24"/>
        </w:rPr>
        <w:t>Table 2 looks at</w:t>
      </w:r>
      <w:r w:rsidR="005540BF" w:rsidRPr="00825F45">
        <w:rPr>
          <w:rFonts w:asciiTheme="majorHAnsi" w:hAnsiTheme="majorHAnsi" w:cs="Cambria"/>
          <w:sz w:val="24"/>
          <w:szCs w:val="24"/>
        </w:rPr>
        <w:t xml:space="preserve"> </w:t>
      </w:r>
      <w:r w:rsidRPr="00825F45">
        <w:rPr>
          <w:rFonts w:asciiTheme="majorHAnsi" w:hAnsiTheme="majorHAnsi" w:cs="Cambria"/>
          <w:sz w:val="24"/>
          <w:szCs w:val="24"/>
        </w:rPr>
        <w:t>the correlation</w:t>
      </w:r>
      <w:r w:rsidR="00C34050">
        <w:rPr>
          <w:rStyle w:val="FootnoteReference"/>
          <w:rFonts w:asciiTheme="majorHAnsi" w:hAnsiTheme="majorHAnsi"/>
          <w:sz w:val="24"/>
          <w:szCs w:val="24"/>
        </w:rPr>
        <w:footnoteReference w:id="2"/>
      </w:r>
      <w:r w:rsidRPr="00825F45">
        <w:rPr>
          <w:rFonts w:asciiTheme="majorHAnsi" w:hAnsiTheme="majorHAnsi" w:cs="Cambria"/>
          <w:sz w:val="24"/>
          <w:szCs w:val="24"/>
        </w:rPr>
        <w:t xml:space="preserve"> between the proportion of  girls citing particular obstacles to their completing schooling, such as early marriage, pregnancy and poverty, and the </w:t>
      </w:r>
      <w:r w:rsidR="00B03AA4">
        <w:rPr>
          <w:rFonts w:asciiTheme="majorHAnsi" w:hAnsiTheme="majorHAnsi" w:cs="Cambria"/>
          <w:sz w:val="24"/>
          <w:szCs w:val="24"/>
        </w:rPr>
        <w:t xml:space="preserve">solutions they suggest to overcome these obstacles, that is aspects if empowerment, with the gender profile score, that is gender parity in opportunities and outcomes at school, in the two countries. </w:t>
      </w:r>
    </w:p>
    <w:p w:rsidR="00E014EF" w:rsidRPr="00825F45" w:rsidRDefault="00E014EF" w:rsidP="005806B5">
      <w:pPr>
        <w:spacing w:after="0" w:line="240" w:lineRule="auto"/>
        <w:rPr>
          <w:rFonts w:asciiTheme="majorHAnsi" w:hAnsiTheme="majorHAnsi" w:cs="Cambria"/>
          <w:sz w:val="24"/>
          <w:szCs w:val="24"/>
        </w:rPr>
      </w:pPr>
    </w:p>
    <w:p w:rsidR="00146DB1" w:rsidRDefault="00146DB1" w:rsidP="00765235">
      <w:pPr>
        <w:rPr>
          <w:rFonts w:asciiTheme="majorHAnsi" w:hAnsiTheme="majorHAnsi" w:cs="Cambria"/>
          <w:sz w:val="24"/>
          <w:szCs w:val="24"/>
        </w:rPr>
      </w:pPr>
      <w:r>
        <w:rPr>
          <w:rFonts w:asciiTheme="majorHAnsi" w:hAnsiTheme="majorHAnsi" w:cs="Cambria"/>
          <w:sz w:val="24"/>
          <w:szCs w:val="24"/>
        </w:rPr>
        <w:t>Table 2 about here</w:t>
      </w:r>
    </w:p>
    <w:p w:rsidR="00146DB1" w:rsidRDefault="00146DB1" w:rsidP="00765235">
      <w:pPr>
        <w:rPr>
          <w:rFonts w:asciiTheme="majorHAnsi" w:hAnsiTheme="majorHAnsi" w:cs="Cambria"/>
          <w:sz w:val="24"/>
          <w:szCs w:val="24"/>
        </w:rPr>
      </w:pPr>
    </w:p>
    <w:p w:rsidR="0005418E" w:rsidRDefault="001955D1" w:rsidP="00765235">
      <w:pPr>
        <w:rPr>
          <w:rFonts w:asciiTheme="majorHAnsi" w:hAnsiTheme="majorHAnsi" w:cs="Cambria"/>
          <w:sz w:val="24"/>
          <w:szCs w:val="24"/>
        </w:rPr>
      </w:pPr>
      <w:r>
        <w:rPr>
          <w:rFonts w:asciiTheme="majorHAnsi" w:hAnsiTheme="majorHAnsi" w:cs="Cambria"/>
          <w:sz w:val="24"/>
          <w:szCs w:val="24"/>
        </w:rPr>
        <w:t xml:space="preserve">Puzzlingly, we see different patterns </w:t>
      </w:r>
      <w:r w:rsidR="009477DE">
        <w:rPr>
          <w:rFonts w:asciiTheme="majorHAnsi" w:hAnsiTheme="majorHAnsi" w:cs="Cambria"/>
          <w:sz w:val="24"/>
          <w:szCs w:val="24"/>
        </w:rPr>
        <w:t xml:space="preserve">between empowerment and distribution </w:t>
      </w:r>
      <w:r>
        <w:rPr>
          <w:rFonts w:asciiTheme="majorHAnsi" w:hAnsiTheme="majorHAnsi" w:cs="Cambria"/>
          <w:sz w:val="24"/>
          <w:szCs w:val="24"/>
        </w:rPr>
        <w:t xml:space="preserve">across the schools in Tanzania and those in Nigeria. Whilst there is no uniform pattern </w:t>
      </w:r>
      <w:r w:rsidR="009477DE">
        <w:rPr>
          <w:rFonts w:asciiTheme="majorHAnsi" w:hAnsiTheme="majorHAnsi" w:cs="Cambria"/>
          <w:sz w:val="24"/>
          <w:szCs w:val="24"/>
        </w:rPr>
        <w:t>in the</w:t>
      </w:r>
      <w:r>
        <w:rPr>
          <w:rFonts w:asciiTheme="majorHAnsi" w:hAnsiTheme="majorHAnsi" w:cs="Cambria"/>
          <w:sz w:val="24"/>
          <w:szCs w:val="24"/>
        </w:rPr>
        <w:t xml:space="preserve"> strength of relationship between the various obstacles and solutions and the gender </w:t>
      </w:r>
      <w:r>
        <w:rPr>
          <w:rFonts w:asciiTheme="majorHAnsi" w:hAnsiTheme="majorHAnsi" w:cs="Cambria"/>
          <w:sz w:val="24"/>
          <w:szCs w:val="24"/>
        </w:rPr>
        <w:lastRenderedPageBreak/>
        <w:t xml:space="preserve">profile within each country, we see that </w:t>
      </w:r>
      <w:r w:rsidR="00C2234E">
        <w:rPr>
          <w:rFonts w:asciiTheme="majorHAnsi" w:hAnsiTheme="majorHAnsi" w:cs="Cambria"/>
          <w:sz w:val="24"/>
          <w:szCs w:val="24"/>
        </w:rPr>
        <w:t>t</w:t>
      </w:r>
      <w:r>
        <w:rPr>
          <w:rFonts w:asciiTheme="majorHAnsi" w:hAnsiTheme="majorHAnsi" w:cs="Cambria"/>
          <w:sz w:val="24"/>
          <w:szCs w:val="24"/>
        </w:rPr>
        <w:t xml:space="preserve">he overall direction of relationships is opposite across the two countries. In Tanzania </w:t>
      </w:r>
      <w:r w:rsidR="00F0512D">
        <w:rPr>
          <w:rFonts w:asciiTheme="majorHAnsi" w:hAnsiTheme="majorHAnsi" w:cs="Cambria"/>
          <w:sz w:val="24"/>
          <w:szCs w:val="24"/>
        </w:rPr>
        <w:t>the negative correlations show that i</w:t>
      </w:r>
      <w:r>
        <w:rPr>
          <w:rFonts w:asciiTheme="majorHAnsi" w:hAnsiTheme="majorHAnsi" w:cs="Cambria"/>
          <w:sz w:val="24"/>
          <w:szCs w:val="24"/>
        </w:rPr>
        <w:t xml:space="preserve">n general girls are more likely to cite obstacles and solutions in </w:t>
      </w:r>
      <w:r w:rsidR="00F0512D">
        <w:rPr>
          <w:rFonts w:asciiTheme="majorHAnsi" w:hAnsiTheme="majorHAnsi" w:cs="Cambria"/>
          <w:sz w:val="24"/>
          <w:szCs w:val="24"/>
        </w:rPr>
        <w:t xml:space="preserve">schools with lower gender </w:t>
      </w:r>
      <w:proofErr w:type="gramStart"/>
      <w:r w:rsidR="00F0512D">
        <w:rPr>
          <w:rFonts w:asciiTheme="majorHAnsi" w:hAnsiTheme="majorHAnsi" w:cs="Cambria"/>
          <w:sz w:val="24"/>
          <w:szCs w:val="24"/>
        </w:rPr>
        <w:t>parity, that</w:t>
      </w:r>
      <w:proofErr w:type="gramEnd"/>
      <w:r w:rsidR="00F0512D">
        <w:rPr>
          <w:rFonts w:asciiTheme="majorHAnsi" w:hAnsiTheme="majorHAnsi" w:cs="Cambria"/>
          <w:sz w:val="24"/>
          <w:szCs w:val="24"/>
        </w:rPr>
        <w:t xml:space="preserve"> is in schools where girls are doing least well in enrolment, attendance, progression and achievement compared to boys. </w:t>
      </w:r>
      <w:r w:rsidR="00C2234E">
        <w:rPr>
          <w:rFonts w:asciiTheme="majorHAnsi" w:hAnsiTheme="majorHAnsi" w:cs="Cambria"/>
          <w:sz w:val="24"/>
          <w:szCs w:val="24"/>
        </w:rPr>
        <w:t>Meanwhile</w:t>
      </w:r>
      <w:r w:rsidR="00F0512D">
        <w:rPr>
          <w:rFonts w:asciiTheme="majorHAnsi" w:hAnsiTheme="majorHAnsi" w:cs="Cambria"/>
          <w:sz w:val="24"/>
          <w:szCs w:val="24"/>
        </w:rPr>
        <w:t xml:space="preserve"> in Nigeria the relationships are less clear, but tend to go in the opposite direction, that is girls are more likely to </w:t>
      </w:r>
      <w:r w:rsidR="00C2234E">
        <w:rPr>
          <w:rFonts w:asciiTheme="majorHAnsi" w:hAnsiTheme="majorHAnsi" w:cs="Cambria"/>
          <w:sz w:val="24"/>
          <w:szCs w:val="24"/>
        </w:rPr>
        <w:t xml:space="preserve">articulate </w:t>
      </w:r>
      <w:r w:rsidR="009477DE">
        <w:rPr>
          <w:rFonts w:asciiTheme="majorHAnsi" w:hAnsiTheme="majorHAnsi" w:cs="Cambria"/>
          <w:sz w:val="24"/>
          <w:szCs w:val="24"/>
        </w:rPr>
        <w:t xml:space="preserve">many </w:t>
      </w:r>
      <w:r w:rsidR="00C2234E">
        <w:rPr>
          <w:rFonts w:asciiTheme="majorHAnsi" w:hAnsiTheme="majorHAnsi" w:cs="Cambria"/>
          <w:sz w:val="24"/>
          <w:szCs w:val="24"/>
        </w:rPr>
        <w:t xml:space="preserve">aspects of empowerment in schools with smaller gender gaps. </w:t>
      </w:r>
    </w:p>
    <w:p w:rsidR="006217F4" w:rsidRDefault="00C2234E" w:rsidP="00765235">
      <w:pPr>
        <w:rPr>
          <w:rFonts w:asciiTheme="majorHAnsi" w:hAnsiTheme="majorHAnsi" w:cs="Cambria"/>
          <w:sz w:val="24"/>
          <w:szCs w:val="24"/>
        </w:rPr>
      </w:pPr>
      <w:r>
        <w:rPr>
          <w:rFonts w:asciiTheme="majorHAnsi" w:hAnsiTheme="majorHAnsi" w:cs="Cambria"/>
          <w:sz w:val="24"/>
          <w:szCs w:val="24"/>
        </w:rPr>
        <w:t xml:space="preserve">We </w:t>
      </w:r>
      <w:r w:rsidR="0005418E">
        <w:rPr>
          <w:rFonts w:asciiTheme="majorHAnsi" w:hAnsiTheme="majorHAnsi" w:cs="Cambria"/>
          <w:sz w:val="24"/>
          <w:szCs w:val="24"/>
        </w:rPr>
        <w:t>might</w:t>
      </w:r>
      <w:r>
        <w:rPr>
          <w:rFonts w:asciiTheme="majorHAnsi" w:hAnsiTheme="majorHAnsi" w:cs="Cambria"/>
          <w:sz w:val="24"/>
          <w:szCs w:val="24"/>
        </w:rPr>
        <w:t xml:space="preserve"> expect to see this </w:t>
      </w:r>
      <w:r w:rsidR="006217F4">
        <w:rPr>
          <w:rFonts w:asciiTheme="majorHAnsi" w:hAnsiTheme="majorHAnsi" w:cs="Cambria"/>
          <w:sz w:val="24"/>
          <w:szCs w:val="24"/>
        </w:rPr>
        <w:t xml:space="preserve">positive </w:t>
      </w:r>
      <w:r>
        <w:rPr>
          <w:rFonts w:asciiTheme="majorHAnsi" w:hAnsiTheme="majorHAnsi" w:cs="Cambria"/>
          <w:sz w:val="24"/>
          <w:szCs w:val="24"/>
        </w:rPr>
        <w:t>relationship</w:t>
      </w:r>
      <w:r w:rsidR="0005418E">
        <w:rPr>
          <w:rFonts w:asciiTheme="majorHAnsi" w:hAnsiTheme="majorHAnsi" w:cs="Cambria"/>
          <w:sz w:val="24"/>
          <w:szCs w:val="24"/>
        </w:rPr>
        <w:t xml:space="preserve"> between distribution and empowerment, but we see that across the two contexts the relationships are far from uniform. </w:t>
      </w:r>
      <w:r w:rsidR="006B4527">
        <w:rPr>
          <w:rFonts w:asciiTheme="majorHAnsi" w:hAnsiTheme="majorHAnsi" w:cs="Cambria"/>
          <w:sz w:val="24"/>
          <w:szCs w:val="24"/>
        </w:rPr>
        <w:t>Thinking about the two distributional and empowerment contexts may help u</w:t>
      </w:r>
      <w:r w:rsidR="00286266">
        <w:rPr>
          <w:rFonts w:asciiTheme="majorHAnsi" w:hAnsiTheme="majorHAnsi" w:cs="Cambria"/>
          <w:sz w:val="24"/>
          <w:szCs w:val="24"/>
        </w:rPr>
        <w:t>s understand these two patterns.</w:t>
      </w:r>
      <w:r w:rsidR="006B4527">
        <w:rPr>
          <w:rFonts w:asciiTheme="majorHAnsi" w:hAnsiTheme="majorHAnsi" w:cs="Cambria"/>
          <w:sz w:val="24"/>
          <w:szCs w:val="24"/>
        </w:rPr>
        <w:t xml:space="preserve"> </w:t>
      </w:r>
      <w:r w:rsidR="009477DE">
        <w:rPr>
          <w:rFonts w:asciiTheme="majorHAnsi" w:hAnsiTheme="majorHAnsi" w:cs="Cambria"/>
          <w:sz w:val="24"/>
          <w:szCs w:val="24"/>
        </w:rPr>
        <w:t>Girls in Tanzania and Nigeria cited similar aspirations for what their desired level of schooling is, with approximately nine-tenths of girls in both contexts expressing wish to reach tertiary education. However</w:t>
      </w:r>
      <w:r w:rsidR="006217F4">
        <w:rPr>
          <w:rFonts w:asciiTheme="majorHAnsi" w:hAnsiTheme="majorHAnsi" w:cs="Cambria"/>
          <w:sz w:val="24"/>
          <w:szCs w:val="24"/>
        </w:rPr>
        <w:t xml:space="preserve">, girls were 21% more likely to cite obstacles and 79% more likely to cite solutions </w:t>
      </w:r>
      <w:r w:rsidR="009477DE">
        <w:rPr>
          <w:rFonts w:asciiTheme="majorHAnsi" w:hAnsiTheme="majorHAnsi" w:cs="Cambria"/>
          <w:sz w:val="24"/>
          <w:szCs w:val="24"/>
        </w:rPr>
        <w:t xml:space="preserve">to reaching these education levels </w:t>
      </w:r>
      <w:r w:rsidR="006217F4">
        <w:rPr>
          <w:rFonts w:asciiTheme="majorHAnsi" w:hAnsiTheme="majorHAnsi" w:cs="Cambria"/>
          <w:sz w:val="24"/>
          <w:szCs w:val="24"/>
        </w:rPr>
        <w:t xml:space="preserve">in the Nigeria project schools </w:t>
      </w:r>
      <w:r w:rsidR="00EF44B8">
        <w:rPr>
          <w:rFonts w:asciiTheme="majorHAnsi" w:hAnsiTheme="majorHAnsi" w:cs="Cambria"/>
          <w:sz w:val="24"/>
          <w:szCs w:val="24"/>
        </w:rPr>
        <w:t>t</w:t>
      </w:r>
      <w:r w:rsidR="006217F4">
        <w:rPr>
          <w:rFonts w:asciiTheme="majorHAnsi" w:hAnsiTheme="majorHAnsi" w:cs="Cambria"/>
          <w:sz w:val="24"/>
          <w:szCs w:val="24"/>
        </w:rPr>
        <w:t>han the Tanzania schools</w:t>
      </w:r>
      <w:r w:rsidR="007717BA">
        <w:rPr>
          <w:rFonts w:asciiTheme="majorHAnsi" w:hAnsiTheme="majorHAnsi" w:cs="Cambria"/>
          <w:sz w:val="24"/>
          <w:szCs w:val="24"/>
        </w:rPr>
        <w:t>. Meanwhile, the gender profile scores were more similar</w:t>
      </w:r>
      <w:r w:rsidR="006B4527">
        <w:rPr>
          <w:rFonts w:asciiTheme="majorHAnsi" w:hAnsiTheme="majorHAnsi" w:cs="Cambria"/>
          <w:sz w:val="24"/>
          <w:szCs w:val="24"/>
        </w:rPr>
        <w:t xml:space="preserve"> across the two contexts</w:t>
      </w:r>
      <w:r w:rsidR="00EF44B8">
        <w:rPr>
          <w:rFonts w:asciiTheme="majorHAnsi" w:hAnsiTheme="majorHAnsi" w:cs="Cambria"/>
          <w:sz w:val="24"/>
          <w:szCs w:val="24"/>
        </w:rPr>
        <w:t>.</w:t>
      </w:r>
      <w:r w:rsidR="007717BA">
        <w:rPr>
          <w:rFonts w:asciiTheme="majorHAnsi" w:hAnsiTheme="majorHAnsi" w:cs="Cambria"/>
          <w:sz w:val="24"/>
          <w:szCs w:val="24"/>
        </w:rPr>
        <w:t xml:space="preserve"> This may be surprising</w:t>
      </w:r>
      <w:r w:rsidR="006B4527">
        <w:rPr>
          <w:rFonts w:asciiTheme="majorHAnsi" w:hAnsiTheme="majorHAnsi" w:cs="Cambria"/>
          <w:sz w:val="24"/>
          <w:szCs w:val="24"/>
        </w:rPr>
        <w:t>,</w:t>
      </w:r>
      <w:r w:rsidR="007717BA">
        <w:rPr>
          <w:rFonts w:asciiTheme="majorHAnsi" w:hAnsiTheme="majorHAnsi" w:cs="Cambria"/>
          <w:sz w:val="24"/>
          <w:szCs w:val="24"/>
        </w:rPr>
        <w:t xml:space="preserve"> but bigger gender gaps in enrolment were counterbalanced by smaller gaps in performance in the Nigerian schools compared to the Tanzanian schools</w:t>
      </w:r>
      <w:r w:rsidR="00A06D8D">
        <w:rPr>
          <w:rFonts w:asciiTheme="majorHAnsi" w:hAnsiTheme="majorHAnsi" w:cs="Cambria"/>
          <w:sz w:val="24"/>
          <w:szCs w:val="24"/>
        </w:rPr>
        <w:t>, which raised the gender profile scores</w:t>
      </w:r>
      <w:r w:rsidR="007717BA">
        <w:rPr>
          <w:rFonts w:asciiTheme="majorHAnsi" w:hAnsiTheme="majorHAnsi" w:cs="Cambria"/>
          <w:sz w:val="24"/>
          <w:szCs w:val="24"/>
        </w:rPr>
        <w:t xml:space="preserve">. </w:t>
      </w:r>
      <w:r w:rsidR="006B4527">
        <w:rPr>
          <w:rFonts w:asciiTheme="majorHAnsi" w:hAnsiTheme="majorHAnsi" w:cs="Cambria"/>
          <w:sz w:val="24"/>
          <w:szCs w:val="24"/>
        </w:rPr>
        <w:t>It is difficult to explain why</w:t>
      </w:r>
      <w:r w:rsidR="007717BA">
        <w:rPr>
          <w:rFonts w:asciiTheme="majorHAnsi" w:hAnsiTheme="majorHAnsi" w:cs="Cambria"/>
          <w:sz w:val="24"/>
          <w:szCs w:val="24"/>
        </w:rPr>
        <w:t xml:space="preserve"> girls in the Nigerian schools seem to be more able to </w:t>
      </w:r>
      <w:proofErr w:type="spellStart"/>
      <w:r w:rsidR="00286266">
        <w:rPr>
          <w:rFonts w:asciiTheme="majorHAnsi" w:hAnsiTheme="majorHAnsi" w:cs="Cambria"/>
          <w:sz w:val="24"/>
          <w:szCs w:val="24"/>
        </w:rPr>
        <w:t>recognis</w:t>
      </w:r>
      <w:r w:rsidR="007717BA">
        <w:rPr>
          <w:rFonts w:asciiTheme="majorHAnsi" w:hAnsiTheme="majorHAnsi" w:cs="Cambria"/>
          <w:sz w:val="24"/>
          <w:szCs w:val="24"/>
        </w:rPr>
        <w:t>e</w:t>
      </w:r>
      <w:proofErr w:type="spellEnd"/>
      <w:r w:rsidR="007717BA">
        <w:rPr>
          <w:rFonts w:asciiTheme="majorHAnsi" w:hAnsiTheme="majorHAnsi" w:cs="Cambria"/>
          <w:sz w:val="24"/>
          <w:szCs w:val="24"/>
        </w:rPr>
        <w:t xml:space="preserve"> obstacles </w:t>
      </w:r>
      <w:r w:rsidR="00286266">
        <w:rPr>
          <w:rFonts w:asciiTheme="majorHAnsi" w:hAnsiTheme="majorHAnsi" w:cs="Cambria"/>
          <w:sz w:val="24"/>
          <w:szCs w:val="24"/>
        </w:rPr>
        <w:t>and</w:t>
      </w:r>
      <w:r w:rsidR="007717BA">
        <w:rPr>
          <w:rFonts w:asciiTheme="majorHAnsi" w:hAnsiTheme="majorHAnsi" w:cs="Cambria"/>
          <w:sz w:val="24"/>
          <w:szCs w:val="24"/>
        </w:rPr>
        <w:t xml:space="preserve"> particularly to articulate solutions, including political solutions</w:t>
      </w:r>
      <w:r w:rsidR="006B4527">
        <w:rPr>
          <w:rFonts w:asciiTheme="majorHAnsi" w:hAnsiTheme="majorHAnsi" w:cs="Cambria"/>
          <w:sz w:val="24"/>
          <w:szCs w:val="24"/>
        </w:rPr>
        <w:t xml:space="preserve">, but </w:t>
      </w:r>
      <w:r w:rsidR="00286266">
        <w:rPr>
          <w:rFonts w:asciiTheme="majorHAnsi" w:hAnsiTheme="majorHAnsi" w:cs="Cambria"/>
          <w:sz w:val="24"/>
          <w:szCs w:val="24"/>
        </w:rPr>
        <w:t xml:space="preserve">this </w:t>
      </w:r>
      <w:r w:rsidR="006B4527">
        <w:rPr>
          <w:rFonts w:asciiTheme="majorHAnsi" w:hAnsiTheme="majorHAnsi" w:cs="Cambria"/>
          <w:sz w:val="24"/>
          <w:szCs w:val="24"/>
        </w:rPr>
        <w:t xml:space="preserve">may relate to </w:t>
      </w:r>
      <w:proofErr w:type="spellStart"/>
      <w:r w:rsidR="006B4527">
        <w:rPr>
          <w:rFonts w:asciiTheme="majorHAnsi" w:hAnsiTheme="majorHAnsi" w:cs="Cambria"/>
          <w:sz w:val="24"/>
          <w:szCs w:val="24"/>
        </w:rPr>
        <w:t>locali</w:t>
      </w:r>
      <w:r w:rsidR="00A06D8D">
        <w:rPr>
          <w:rFonts w:asciiTheme="majorHAnsi" w:hAnsiTheme="majorHAnsi" w:cs="Cambria"/>
          <w:sz w:val="24"/>
          <w:szCs w:val="24"/>
        </w:rPr>
        <w:t>s</w:t>
      </w:r>
      <w:r w:rsidR="006B4527">
        <w:rPr>
          <w:rFonts w:asciiTheme="majorHAnsi" w:hAnsiTheme="majorHAnsi" w:cs="Cambria"/>
          <w:sz w:val="24"/>
          <w:szCs w:val="24"/>
        </w:rPr>
        <w:t>ed</w:t>
      </w:r>
      <w:proofErr w:type="spellEnd"/>
      <w:r w:rsidR="006B4527">
        <w:rPr>
          <w:rFonts w:asciiTheme="majorHAnsi" w:hAnsiTheme="majorHAnsi" w:cs="Cambria"/>
          <w:sz w:val="24"/>
          <w:szCs w:val="24"/>
        </w:rPr>
        <w:t xml:space="preserve"> political, social and economic contexts</w:t>
      </w:r>
      <w:r w:rsidR="007717BA">
        <w:rPr>
          <w:rFonts w:asciiTheme="majorHAnsi" w:hAnsiTheme="majorHAnsi" w:cs="Cambria"/>
          <w:sz w:val="24"/>
          <w:szCs w:val="24"/>
        </w:rPr>
        <w:t xml:space="preserve">. As discussed earlier, the local contexts of the schools are very diverse and we are </w:t>
      </w:r>
      <w:r w:rsidR="006B4527">
        <w:rPr>
          <w:rFonts w:asciiTheme="majorHAnsi" w:hAnsiTheme="majorHAnsi" w:cs="Cambria"/>
          <w:sz w:val="24"/>
          <w:szCs w:val="24"/>
        </w:rPr>
        <w:t xml:space="preserve">also </w:t>
      </w:r>
      <w:r w:rsidR="007717BA">
        <w:rPr>
          <w:rFonts w:asciiTheme="majorHAnsi" w:hAnsiTheme="majorHAnsi" w:cs="Cambria"/>
          <w:sz w:val="24"/>
          <w:szCs w:val="24"/>
        </w:rPr>
        <w:t xml:space="preserve">likely see different patterns emerging across different kinds of locality. Girls’ </w:t>
      </w:r>
      <w:r w:rsidR="006B4527">
        <w:rPr>
          <w:rFonts w:asciiTheme="majorHAnsi" w:hAnsiTheme="majorHAnsi" w:cs="Cambria"/>
          <w:sz w:val="24"/>
          <w:szCs w:val="24"/>
        </w:rPr>
        <w:t>tendency</w:t>
      </w:r>
      <w:r w:rsidR="007717BA">
        <w:rPr>
          <w:rFonts w:asciiTheme="majorHAnsi" w:hAnsiTheme="majorHAnsi" w:cs="Cambria"/>
          <w:sz w:val="24"/>
          <w:szCs w:val="24"/>
        </w:rPr>
        <w:t xml:space="preserve"> to cite obstacles and solutions may be partly a function of their exposure to alternatives </w:t>
      </w:r>
      <w:r w:rsidR="006B4527">
        <w:rPr>
          <w:rFonts w:asciiTheme="majorHAnsi" w:hAnsiTheme="majorHAnsi" w:cs="Cambria"/>
          <w:sz w:val="24"/>
          <w:szCs w:val="24"/>
        </w:rPr>
        <w:t>around</w:t>
      </w:r>
      <w:r w:rsidR="007717BA">
        <w:rPr>
          <w:rFonts w:asciiTheme="majorHAnsi" w:hAnsiTheme="majorHAnsi" w:cs="Cambria"/>
          <w:sz w:val="24"/>
          <w:szCs w:val="24"/>
        </w:rPr>
        <w:t xml:space="preserve"> them</w:t>
      </w:r>
      <w:r w:rsidR="006B4527">
        <w:rPr>
          <w:rFonts w:asciiTheme="majorHAnsi" w:hAnsiTheme="majorHAnsi" w:cs="Cambria"/>
          <w:sz w:val="24"/>
          <w:szCs w:val="24"/>
        </w:rPr>
        <w:t xml:space="preserve"> as well as the </w:t>
      </w:r>
      <w:proofErr w:type="spellStart"/>
      <w:r w:rsidR="006B4527">
        <w:rPr>
          <w:rFonts w:asciiTheme="majorHAnsi" w:hAnsiTheme="majorHAnsi" w:cs="Cambria"/>
          <w:sz w:val="24"/>
          <w:szCs w:val="24"/>
        </w:rPr>
        <w:t>locali</w:t>
      </w:r>
      <w:r w:rsidR="00A06D8D">
        <w:rPr>
          <w:rFonts w:asciiTheme="majorHAnsi" w:hAnsiTheme="majorHAnsi" w:cs="Cambria"/>
          <w:sz w:val="24"/>
          <w:szCs w:val="24"/>
        </w:rPr>
        <w:t>s</w:t>
      </w:r>
      <w:r w:rsidR="006B4527">
        <w:rPr>
          <w:rFonts w:asciiTheme="majorHAnsi" w:hAnsiTheme="majorHAnsi" w:cs="Cambria"/>
          <w:sz w:val="24"/>
          <w:szCs w:val="24"/>
        </w:rPr>
        <w:t>ed</w:t>
      </w:r>
      <w:proofErr w:type="spellEnd"/>
      <w:r w:rsidR="006B4527">
        <w:rPr>
          <w:rFonts w:asciiTheme="majorHAnsi" w:hAnsiTheme="majorHAnsi" w:cs="Cambria"/>
          <w:sz w:val="24"/>
          <w:szCs w:val="24"/>
        </w:rPr>
        <w:t xml:space="preserve"> nature and extent of some of the barriers discussed, such as poverty and early marriage</w:t>
      </w:r>
      <w:r w:rsidR="00BB2458">
        <w:rPr>
          <w:rFonts w:asciiTheme="majorHAnsi" w:hAnsiTheme="majorHAnsi" w:cs="Cambria"/>
          <w:sz w:val="24"/>
          <w:szCs w:val="24"/>
        </w:rPr>
        <w:t xml:space="preserve"> (</w:t>
      </w:r>
      <w:proofErr w:type="spellStart"/>
      <w:r w:rsidR="00BB2458">
        <w:rPr>
          <w:rFonts w:asciiTheme="majorHAnsi" w:hAnsiTheme="majorHAnsi" w:cs="Cambria"/>
          <w:sz w:val="24"/>
          <w:szCs w:val="24"/>
        </w:rPr>
        <w:t>Unteralter</w:t>
      </w:r>
      <w:proofErr w:type="spellEnd"/>
      <w:r w:rsidR="00BB2458">
        <w:rPr>
          <w:rFonts w:asciiTheme="majorHAnsi" w:hAnsiTheme="majorHAnsi" w:cs="Cambria"/>
          <w:sz w:val="24"/>
          <w:szCs w:val="24"/>
        </w:rPr>
        <w:t>, 2012</w:t>
      </w:r>
      <w:r w:rsidR="00C9202C">
        <w:rPr>
          <w:rFonts w:asciiTheme="majorHAnsi" w:hAnsiTheme="majorHAnsi" w:cs="Cambria"/>
          <w:sz w:val="24"/>
          <w:szCs w:val="24"/>
        </w:rPr>
        <w:t>c</w:t>
      </w:r>
      <w:r w:rsidR="00BB2458">
        <w:rPr>
          <w:rFonts w:asciiTheme="majorHAnsi" w:hAnsiTheme="majorHAnsi" w:cs="Cambria"/>
          <w:sz w:val="24"/>
          <w:szCs w:val="24"/>
        </w:rPr>
        <w:t>)</w:t>
      </w:r>
      <w:r w:rsidR="006B4527">
        <w:rPr>
          <w:rFonts w:asciiTheme="majorHAnsi" w:hAnsiTheme="majorHAnsi" w:cs="Cambria"/>
          <w:sz w:val="24"/>
          <w:szCs w:val="24"/>
        </w:rPr>
        <w:t>.</w:t>
      </w:r>
      <w:r w:rsidR="00286266">
        <w:rPr>
          <w:rFonts w:asciiTheme="majorHAnsi" w:hAnsiTheme="majorHAnsi" w:cs="Cambria"/>
          <w:sz w:val="24"/>
          <w:szCs w:val="24"/>
        </w:rPr>
        <w:t xml:space="preserve"> Hence we see that the relationship between these aspects of empowerment and gender distribution are far from linear and may be complicated by many other factors.</w:t>
      </w:r>
    </w:p>
    <w:p w:rsidR="00161EA3" w:rsidRPr="00825F45" w:rsidRDefault="00161EA3" w:rsidP="00161EA3">
      <w:pPr>
        <w:spacing w:after="0" w:line="240" w:lineRule="auto"/>
        <w:rPr>
          <w:rFonts w:asciiTheme="majorHAnsi" w:hAnsiTheme="majorHAnsi" w:cs="Cambria"/>
          <w:sz w:val="24"/>
          <w:szCs w:val="24"/>
        </w:rPr>
      </w:pPr>
      <w:r w:rsidRPr="00825F45">
        <w:rPr>
          <w:rFonts w:asciiTheme="majorHAnsi" w:hAnsiTheme="majorHAnsi" w:cs="Cambria"/>
          <w:sz w:val="24"/>
          <w:szCs w:val="24"/>
        </w:rPr>
        <w:t xml:space="preserve">Table </w:t>
      </w:r>
      <w:r>
        <w:rPr>
          <w:rFonts w:asciiTheme="majorHAnsi" w:hAnsiTheme="majorHAnsi" w:cs="Cambria"/>
          <w:sz w:val="24"/>
          <w:szCs w:val="24"/>
        </w:rPr>
        <w:t>3</w:t>
      </w:r>
      <w:r w:rsidRPr="00825F45">
        <w:rPr>
          <w:rFonts w:asciiTheme="majorHAnsi" w:hAnsiTheme="majorHAnsi" w:cs="Cambria"/>
          <w:sz w:val="24"/>
          <w:szCs w:val="24"/>
        </w:rPr>
        <w:t xml:space="preserve"> looks at the correlation between the proportion </w:t>
      </w:r>
      <w:r w:rsidR="00EA553B" w:rsidRPr="00825F45">
        <w:rPr>
          <w:rFonts w:asciiTheme="majorHAnsi" w:hAnsiTheme="majorHAnsi" w:cs="Cambria"/>
          <w:sz w:val="24"/>
          <w:szCs w:val="24"/>
        </w:rPr>
        <w:t>of girls</w:t>
      </w:r>
      <w:r w:rsidRPr="00825F45">
        <w:rPr>
          <w:rFonts w:asciiTheme="majorHAnsi" w:hAnsiTheme="majorHAnsi" w:cs="Cambria"/>
          <w:sz w:val="24"/>
          <w:szCs w:val="24"/>
        </w:rPr>
        <w:t xml:space="preserve"> citing particular obstacles </w:t>
      </w:r>
      <w:r>
        <w:rPr>
          <w:rFonts w:asciiTheme="majorHAnsi" w:hAnsiTheme="majorHAnsi" w:cs="Cambria"/>
          <w:sz w:val="24"/>
          <w:szCs w:val="24"/>
        </w:rPr>
        <w:t xml:space="preserve">and solutions </w:t>
      </w:r>
      <w:r w:rsidRPr="00825F45">
        <w:rPr>
          <w:rFonts w:asciiTheme="majorHAnsi" w:hAnsiTheme="majorHAnsi" w:cs="Cambria"/>
          <w:sz w:val="24"/>
          <w:szCs w:val="24"/>
        </w:rPr>
        <w:t xml:space="preserve">to their completing schooling, </w:t>
      </w:r>
      <w:r>
        <w:rPr>
          <w:rFonts w:asciiTheme="majorHAnsi" w:hAnsiTheme="majorHAnsi" w:cs="Cambria"/>
          <w:sz w:val="24"/>
          <w:szCs w:val="24"/>
        </w:rPr>
        <w:t xml:space="preserve">with the gender management score, that is the range of actions that schools are taking in support of girls’ education, in the two countries. </w:t>
      </w:r>
    </w:p>
    <w:p w:rsidR="006B4527" w:rsidRDefault="006B4527" w:rsidP="00765235">
      <w:pPr>
        <w:pStyle w:val="Heading3"/>
        <w:spacing w:before="0"/>
        <w:rPr>
          <w:rFonts w:asciiTheme="majorHAnsi" w:eastAsia="Calibri" w:hAnsiTheme="majorHAnsi" w:cs="Cambria"/>
          <w:b w:val="0"/>
          <w:bCs w:val="0"/>
          <w:sz w:val="24"/>
          <w:lang w:val="en-US" w:eastAsia="en-US"/>
        </w:rPr>
      </w:pPr>
    </w:p>
    <w:p w:rsidR="00765235" w:rsidRPr="005A54E6" w:rsidRDefault="00146DB1" w:rsidP="00765235">
      <w:pPr>
        <w:rPr>
          <w:rFonts w:asciiTheme="majorHAnsi" w:hAnsiTheme="majorHAnsi"/>
          <w:sz w:val="24"/>
          <w:szCs w:val="24"/>
          <w:lang w:val="en-GB" w:eastAsia="en-GB"/>
        </w:rPr>
      </w:pPr>
      <w:r>
        <w:rPr>
          <w:rFonts w:asciiTheme="majorHAnsi" w:hAnsiTheme="majorHAnsi"/>
          <w:sz w:val="24"/>
          <w:szCs w:val="24"/>
          <w:lang w:val="en-GB" w:eastAsia="en-GB"/>
        </w:rPr>
        <w:t xml:space="preserve">Table </w:t>
      </w:r>
      <w:proofErr w:type="gramStart"/>
      <w:r>
        <w:rPr>
          <w:rFonts w:asciiTheme="majorHAnsi" w:hAnsiTheme="majorHAnsi"/>
          <w:sz w:val="24"/>
          <w:szCs w:val="24"/>
          <w:lang w:val="en-GB" w:eastAsia="en-GB"/>
        </w:rPr>
        <w:t>3  about</w:t>
      </w:r>
      <w:proofErr w:type="gramEnd"/>
      <w:r>
        <w:rPr>
          <w:rFonts w:asciiTheme="majorHAnsi" w:hAnsiTheme="majorHAnsi"/>
          <w:sz w:val="24"/>
          <w:szCs w:val="24"/>
          <w:lang w:val="en-GB" w:eastAsia="en-GB"/>
        </w:rPr>
        <w:t xml:space="preserve"> here </w:t>
      </w:r>
    </w:p>
    <w:p w:rsidR="00640FF9" w:rsidRDefault="00FA17E8" w:rsidP="00765235">
      <w:pPr>
        <w:rPr>
          <w:rFonts w:asciiTheme="majorHAnsi" w:hAnsiTheme="majorHAnsi"/>
          <w:sz w:val="24"/>
          <w:szCs w:val="24"/>
        </w:rPr>
      </w:pPr>
      <w:r w:rsidRPr="00FA17E8">
        <w:rPr>
          <w:rFonts w:asciiTheme="majorHAnsi" w:hAnsiTheme="majorHAnsi"/>
          <w:sz w:val="24"/>
          <w:szCs w:val="24"/>
          <w:lang w:val="en-GB" w:eastAsia="en-GB"/>
        </w:rPr>
        <w:t xml:space="preserve">Here we </w:t>
      </w:r>
      <w:r w:rsidR="005A54E6">
        <w:rPr>
          <w:rFonts w:asciiTheme="majorHAnsi" w:hAnsiTheme="majorHAnsi"/>
          <w:sz w:val="24"/>
          <w:szCs w:val="24"/>
          <w:lang w:val="en-GB" w:eastAsia="en-GB"/>
        </w:rPr>
        <w:t xml:space="preserve">tend to see a negative relationship between girls citing obstacles and the gender </w:t>
      </w:r>
      <w:r w:rsidR="00EA553B">
        <w:rPr>
          <w:rFonts w:asciiTheme="majorHAnsi" w:hAnsiTheme="majorHAnsi"/>
          <w:sz w:val="24"/>
          <w:szCs w:val="24"/>
          <w:lang w:val="en-GB" w:eastAsia="en-GB"/>
        </w:rPr>
        <w:t>management</w:t>
      </w:r>
      <w:r w:rsidR="005E2BD9">
        <w:rPr>
          <w:rFonts w:asciiTheme="majorHAnsi" w:hAnsiTheme="majorHAnsi"/>
          <w:sz w:val="24"/>
          <w:szCs w:val="24"/>
          <w:lang w:val="en-GB" w:eastAsia="en-GB"/>
        </w:rPr>
        <w:t xml:space="preserve"> score, t</w:t>
      </w:r>
      <w:r w:rsidR="005A54E6">
        <w:rPr>
          <w:rFonts w:asciiTheme="majorHAnsi" w:hAnsiTheme="majorHAnsi"/>
          <w:sz w:val="24"/>
          <w:szCs w:val="24"/>
          <w:lang w:val="en-GB" w:eastAsia="en-GB"/>
        </w:rPr>
        <w:t xml:space="preserve">hat is, girls are more likely to articulate obstacles to their schooling in schools with less school action on gender. However, relationships are weak and statistically insignificant in Tanzania, except for two obstacles, but strong and </w:t>
      </w:r>
      <w:r w:rsidR="00EA553B">
        <w:rPr>
          <w:rFonts w:asciiTheme="majorHAnsi" w:hAnsiTheme="majorHAnsi"/>
          <w:sz w:val="24"/>
          <w:szCs w:val="24"/>
          <w:lang w:val="en-GB" w:eastAsia="en-GB"/>
        </w:rPr>
        <w:t>significant</w:t>
      </w:r>
      <w:r w:rsidR="005A54E6">
        <w:rPr>
          <w:rFonts w:asciiTheme="majorHAnsi" w:hAnsiTheme="majorHAnsi"/>
          <w:sz w:val="24"/>
          <w:szCs w:val="24"/>
          <w:lang w:val="en-GB" w:eastAsia="en-GB"/>
        </w:rPr>
        <w:t xml:space="preserve"> for nearly all obstacles in Nigeria.</w:t>
      </w:r>
      <w:r w:rsidR="00FB0163">
        <w:rPr>
          <w:rFonts w:asciiTheme="majorHAnsi" w:hAnsiTheme="majorHAnsi"/>
          <w:sz w:val="24"/>
          <w:szCs w:val="24"/>
        </w:rPr>
        <w:t xml:space="preserve"> </w:t>
      </w:r>
      <w:r w:rsidR="00E45FDA">
        <w:rPr>
          <w:rFonts w:asciiTheme="majorHAnsi" w:hAnsiTheme="majorHAnsi"/>
          <w:sz w:val="24"/>
          <w:szCs w:val="24"/>
        </w:rPr>
        <w:t>This general pattern is not followed for</w:t>
      </w:r>
      <w:r w:rsidR="005E2BD9">
        <w:rPr>
          <w:rFonts w:asciiTheme="majorHAnsi" w:hAnsiTheme="majorHAnsi"/>
          <w:sz w:val="24"/>
          <w:szCs w:val="24"/>
        </w:rPr>
        <w:t xml:space="preserve"> one obstacle – being old for class – </w:t>
      </w:r>
      <w:r w:rsidR="00E45FDA">
        <w:rPr>
          <w:rFonts w:asciiTheme="majorHAnsi" w:hAnsiTheme="majorHAnsi"/>
          <w:sz w:val="24"/>
          <w:szCs w:val="24"/>
        </w:rPr>
        <w:t xml:space="preserve">which </w:t>
      </w:r>
      <w:r w:rsidR="005E2BD9">
        <w:rPr>
          <w:rFonts w:asciiTheme="majorHAnsi" w:hAnsiTheme="majorHAnsi"/>
          <w:sz w:val="24"/>
          <w:szCs w:val="24"/>
        </w:rPr>
        <w:t>is positive</w:t>
      </w:r>
      <w:r w:rsidR="00E45FDA">
        <w:rPr>
          <w:rFonts w:asciiTheme="majorHAnsi" w:hAnsiTheme="majorHAnsi"/>
          <w:sz w:val="24"/>
          <w:szCs w:val="24"/>
        </w:rPr>
        <w:t>ly</w:t>
      </w:r>
      <w:r w:rsidR="005E2BD9">
        <w:rPr>
          <w:rFonts w:asciiTheme="majorHAnsi" w:hAnsiTheme="majorHAnsi"/>
          <w:sz w:val="24"/>
          <w:szCs w:val="24"/>
        </w:rPr>
        <w:t xml:space="preserve"> correlated wi</w:t>
      </w:r>
      <w:r w:rsidR="00E45FDA">
        <w:rPr>
          <w:rFonts w:asciiTheme="majorHAnsi" w:hAnsiTheme="majorHAnsi"/>
          <w:sz w:val="24"/>
          <w:szCs w:val="24"/>
        </w:rPr>
        <w:t>th gender management in Nigeria</w:t>
      </w:r>
      <w:r w:rsidR="005E2BD9">
        <w:rPr>
          <w:rFonts w:asciiTheme="majorHAnsi" w:hAnsiTheme="majorHAnsi"/>
          <w:sz w:val="24"/>
          <w:szCs w:val="24"/>
        </w:rPr>
        <w:t xml:space="preserve">. </w:t>
      </w:r>
      <w:r w:rsidR="00FB0163" w:rsidRPr="00825F45">
        <w:rPr>
          <w:rFonts w:asciiTheme="majorHAnsi" w:hAnsiTheme="majorHAnsi"/>
          <w:sz w:val="24"/>
          <w:szCs w:val="24"/>
        </w:rPr>
        <w:t>There is no clear pattern with regard to the proportion of girls identifying particular solutions and the size of the gender management profile</w:t>
      </w:r>
      <w:r w:rsidR="00EA553B">
        <w:rPr>
          <w:rFonts w:asciiTheme="majorHAnsi" w:hAnsiTheme="majorHAnsi"/>
          <w:sz w:val="24"/>
          <w:szCs w:val="24"/>
        </w:rPr>
        <w:t xml:space="preserve"> across the two </w:t>
      </w:r>
      <w:r w:rsidR="00EA553B">
        <w:rPr>
          <w:rFonts w:asciiTheme="majorHAnsi" w:hAnsiTheme="majorHAnsi"/>
          <w:sz w:val="24"/>
          <w:szCs w:val="24"/>
        </w:rPr>
        <w:lastRenderedPageBreak/>
        <w:t>countries</w:t>
      </w:r>
      <w:r w:rsidR="00C9202C">
        <w:rPr>
          <w:rFonts w:asciiTheme="majorHAnsi" w:hAnsiTheme="majorHAnsi"/>
          <w:sz w:val="24"/>
          <w:szCs w:val="24"/>
        </w:rPr>
        <w:t xml:space="preserve">. </w:t>
      </w:r>
      <w:r w:rsidR="00303166">
        <w:rPr>
          <w:rFonts w:asciiTheme="majorHAnsi" w:hAnsiTheme="majorHAnsi"/>
          <w:sz w:val="24"/>
          <w:szCs w:val="24"/>
        </w:rPr>
        <w:t xml:space="preserve">However, </w:t>
      </w:r>
      <w:r w:rsidR="00EA553B">
        <w:rPr>
          <w:rFonts w:asciiTheme="majorHAnsi" w:hAnsiTheme="majorHAnsi"/>
          <w:sz w:val="24"/>
          <w:szCs w:val="24"/>
        </w:rPr>
        <w:t>the relationships for at least some solutions appear to be in the opposite direction</w:t>
      </w:r>
      <w:r w:rsidR="00E45FDA">
        <w:rPr>
          <w:rFonts w:asciiTheme="majorHAnsi" w:hAnsiTheme="majorHAnsi"/>
          <w:sz w:val="24"/>
          <w:szCs w:val="24"/>
        </w:rPr>
        <w:t xml:space="preserve"> than were </w:t>
      </w:r>
      <w:r w:rsidR="00A06D8D">
        <w:rPr>
          <w:rFonts w:asciiTheme="majorHAnsi" w:hAnsiTheme="majorHAnsi"/>
          <w:sz w:val="24"/>
          <w:szCs w:val="24"/>
        </w:rPr>
        <w:t>obstacles,</w:t>
      </w:r>
      <w:r w:rsidR="00EA553B">
        <w:rPr>
          <w:rFonts w:asciiTheme="majorHAnsi" w:hAnsiTheme="majorHAnsi"/>
          <w:sz w:val="24"/>
          <w:szCs w:val="24"/>
        </w:rPr>
        <w:t xml:space="preserve"> even if they are weak</w:t>
      </w:r>
      <w:r w:rsidR="00FB0163" w:rsidRPr="00825F45">
        <w:rPr>
          <w:rFonts w:asciiTheme="majorHAnsi" w:hAnsiTheme="majorHAnsi"/>
          <w:sz w:val="24"/>
          <w:szCs w:val="24"/>
        </w:rPr>
        <w:t>.</w:t>
      </w:r>
      <w:r w:rsidR="00FB0163">
        <w:rPr>
          <w:rFonts w:asciiTheme="majorHAnsi" w:hAnsiTheme="majorHAnsi"/>
          <w:sz w:val="24"/>
          <w:szCs w:val="24"/>
        </w:rPr>
        <w:t xml:space="preserve"> </w:t>
      </w:r>
      <w:r w:rsidR="00EA553B">
        <w:rPr>
          <w:rFonts w:asciiTheme="majorHAnsi" w:hAnsiTheme="majorHAnsi"/>
          <w:sz w:val="24"/>
          <w:szCs w:val="24"/>
        </w:rPr>
        <w:t xml:space="preserve">The only statistically significant relationship is that girls tend to suggest provision of better facilities in schools with more active management. </w:t>
      </w:r>
    </w:p>
    <w:p w:rsidR="00640FF9" w:rsidRDefault="00EA553B" w:rsidP="00765235">
      <w:pPr>
        <w:rPr>
          <w:rFonts w:asciiTheme="majorHAnsi" w:hAnsiTheme="majorHAnsi"/>
          <w:sz w:val="24"/>
          <w:szCs w:val="24"/>
        </w:rPr>
      </w:pPr>
      <w:r>
        <w:rPr>
          <w:rFonts w:asciiTheme="majorHAnsi" w:hAnsiTheme="majorHAnsi"/>
          <w:sz w:val="24"/>
          <w:szCs w:val="24"/>
        </w:rPr>
        <w:t xml:space="preserve">It is difficult to draw conclusions on the relationship between aspects of girls’ empowerment and distributional aspects of school management. Again, the correlations hide significant variations between school management </w:t>
      </w:r>
      <w:proofErr w:type="gramStart"/>
      <w:r>
        <w:rPr>
          <w:rFonts w:asciiTheme="majorHAnsi" w:hAnsiTheme="majorHAnsi"/>
          <w:sz w:val="24"/>
          <w:szCs w:val="24"/>
        </w:rPr>
        <w:t>performance</w:t>
      </w:r>
      <w:proofErr w:type="gramEnd"/>
      <w:r w:rsidR="00E45FDA">
        <w:rPr>
          <w:rFonts w:asciiTheme="majorHAnsi" w:hAnsiTheme="majorHAnsi"/>
          <w:sz w:val="24"/>
          <w:szCs w:val="24"/>
        </w:rPr>
        <w:t xml:space="preserve"> in the two contexts</w:t>
      </w:r>
      <w:r>
        <w:rPr>
          <w:rFonts w:asciiTheme="majorHAnsi" w:hAnsiTheme="majorHAnsi"/>
          <w:sz w:val="24"/>
          <w:szCs w:val="24"/>
        </w:rPr>
        <w:t>, with school gender management profile scores being much higher in the</w:t>
      </w:r>
      <w:r w:rsidR="00E45FDA">
        <w:rPr>
          <w:rFonts w:asciiTheme="majorHAnsi" w:hAnsiTheme="majorHAnsi"/>
          <w:sz w:val="24"/>
          <w:szCs w:val="24"/>
        </w:rPr>
        <w:t xml:space="preserve"> </w:t>
      </w:r>
      <w:r w:rsidR="005E2BD9">
        <w:rPr>
          <w:rFonts w:asciiTheme="majorHAnsi" w:hAnsiTheme="majorHAnsi"/>
          <w:sz w:val="24"/>
          <w:szCs w:val="24"/>
        </w:rPr>
        <w:t>T</w:t>
      </w:r>
      <w:r>
        <w:rPr>
          <w:rFonts w:asciiTheme="majorHAnsi" w:hAnsiTheme="majorHAnsi"/>
          <w:sz w:val="24"/>
          <w:szCs w:val="24"/>
        </w:rPr>
        <w:t>anzania</w:t>
      </w:r>
      <w:r w:rsidR="00E45FDA">
        <w:rPr>
          <w:rFonts w:asciiTheme="majorHAnsi" w:hAnsiTheme="majorHAnsi"/>
          <w:sz w:val="24"/>
          <w:szCs w:val="24"/>
        </w:rPr>
        <w:t>n</w:t>
      </w:r>
      <w:r>
        <w:rPr>
          <w:rFonts w:asciiTheme="majorHAnsi" w:hAnsiTheme="majorHAnsi"/>
          <w:sz w:val="24"/>
          <w:szCs w:val="24"/>
        </w:rPr>
        <w:t xml:space="preserve"> than the Nigeria schools. At the time of the research school based management committees were barely functional </w:t>
      </w:r>
      <w:r w:rsidR="00E45FDA">
        <w:rPr>
          <w:rFonts w:asciiTheme="majorHAnsi" w:hAnsiTheme="majorHAnsi"/>
          <w:sz w:val="24"/>
          <w:szCs w:val="24"/>
        </w:rPr>
        <w:t xml:space="preserve">in Nigeria </w:t>
      </w:r>
      <w:r w:rsidR="005E2BD9">
        <w:rPr>
          <w:rFonts w:asciiTheme="majorHAnsi" w:hAnsiTheme="majorHAnsi"/>
          <w:sz w:val="24"/>
          <w:szCs w:val="24"/>
        </w:rPr>
        <w:t xml:space="preserve">and many outreach activities to draw and keep girls and other </w:t>
      </w:r>
      <w:proofErr w:type="spellStart"/>
      <w:r w:rsidR="005E2BD9">
        <w:rPr>
          <w:rFonts w:asciiTheme="majorHAnsi" w:hAnsiTheme="majorHAnsi"/>
          <w:sz w:val="24"/>
          <w:szCs w:val="24"/>
        </w:rPr>
        <w:t>marginali</w:t>
      </w:r>
      <w:r w:rsidR="00E45FDA">
        <w:rPr>
          <w:rFonts w:asciiTheme="majorHAnsi" w:hAnsiTheme="majorHAnsi"/>
          <w:sz w:val="24"/>
          <w:szCs w:val="24"/>
        </w:rPr>
        <w:t>s</w:t>
      </w:r>
      <w:r w:rsidR="005E2BD9">
        <w:rPr>
          <w:rFonts w:asciiTheme="majorHAnsi" w:hAnsiTheme="majorHAnsi"/>
          <w:sz w:val="24"/>
          <w:szCs w:val="24"/>
        </w:rPr>
        <w:t>ed</w:t>
      </w:r>
      <w:proofErr w:type="spellEnd"/>
      <w:r w:rsidR="005E2BD9">
        <w:rPr>
          <w:rFonts w:asciiTheme="majorHAnsi" w:hAnsiTheme="majorHAnsi"/>
          <w:sz w:val="24"/>
          <w:szCs w:val="24"/>
        </w:rPr>
        <w:t xml:space="preserve"> children in school that were taking place in Tanzania were not occurring in Nigeria schools.</w:t>
      </w:r>
      <w:r w:rsidR="00640FF9">
        <w:rPr>
          <w:rFonts w:asciiTheme="majorHAnsi" w:hAnsiTheme="majorHAnsi"/>
          <w:sz w:val="24"/>
          <w:szCs w:val="24"/>
        </w:rPr>
        <w:t xml:space="preserve"> The gender management profile scores pick up the extent of action taken but not its nature or quality, which may vary across schools and may also help explain unclear relationships.</w:t>
      </w:r>
    </w:p>
    <w:p w:rsidR="00FB0163" w:rsidRDefault="00640FF9" w:rsidP="00765235">
      <w:pPr>
        <w:rPr>
          <w:lang w:val="en-GB" w:eastAsia="en-GB"/>
        </w:rPr>
      </w:pPr>
      <w:r>
        <w:rPr>
          <w:rFonts w:asciiTheme="majorHAnsi" w:hAnsiTheme="majorHAnsi"/>
          <w:sz w:val="24"/>
          <w:szCs w:val="24"/>
        </w:rPr>
        <w:t>Table 4 now looks at the same aspects of girl’s empowerment a</w:t>
      </w:r>
      <w:r w:rsidR="00ED1595">
        <w:rPr>
          <w:rFonts w:asciiTheme="majorHAnsi" w:hAnsiTheme="majorHAnsi"/>
          <w:sz w:val="24"/>
          <w:szCs w:val="24"/>
        </w:rPr>
        <w:t>longside the</w:t>
      </w:r>
      <w:r>
        <w:rPr>
          <w:rFonts w:asciiTheme="majorHAnsi" w:hAnsiTheme="majorHAnsi"/>
          <w:sz w:val="24"/>
          <w:szCs w:val="24"/>
        </w:rPr>
        <w:t xml:space="preserve"> distribution of teacher qualifications across the two project areas in </w:t>
      </w:r>
      <w:r w:rsidR="00ED1595">
        <w:rPr>
          <w:rFonts w:asciiTheme="majorHAnsi" w:hAnsiTheme="majorHAnsi"/>
          <w:sz w:val="24"/>
          <w:szCs w:val="24"/>
        </w:rPr>
        <w:t>Tanzania</w:t>
      </w:r>
      <w:r>
        <w:rPr>
          <w:rFonts w:asciiTheme="majorHAnsi" w:hAnsiTheme="majorHAnsi"/>
          <w:sz w:val="24"/>
          <w:szCs w:val="24"/>
        </w:rPr>
        <w:t xml:space="preserve"> and Nigeria. </w:t>
      </w:r>
    </w:p>
    <w:p w:rsidR="00146DB1" w:rsidRDefault="00146DB1" w:rsidP="00765235">
      <w:pPr>
        <w:rPr>
          <w:rFonts w:asciiTheme="majorHAnsi" w:hAnsiTheme="majorHAnsi"/>
          <w:sz w:val="24"/>
          <w:szCs w:val="24"/>
          <w:lang w:val="en-GB" w:eastAsia="en-GB"/>
        </w:rPr>
      </w:pPr>
      <w:r>
        <w:rPr>
          <w:rFonts w:asciiTheme="majorHAnsi" w:hAnsiTheme="majorHAnsi"/>
          <w:sz w:val="24"/>
          <w:szCs w:val="24"/>
          <w:lang w:val="en-GB" w:eastAsia="en-GB"/>
        </w:rPr>
        <w:t>Table 4 about here</w:t>
      </w:r>
    </w:p>
    <w:p w:rsidR="00146DB1" w:rsidRDefault="00146DB1" w:rsidP="00765235">
      <w:pPr>
        <w:rPr>
          <w:rFonts w:asciiTheme="majorHAnsi" w:hAnsiTheme="majorHAnsi"/>
          <w:sz w:val="24"/>
          <w:szCs w:val="24"/>
          <w:lang w:val="en-GB" w:eastAsia="en-GB"/>
        </w:rPr>
      </w:pPr>
    </w:p>
    <w:p w:rsidR="00F11389" w:rsidRPr="00F11389" w:rsidRDefault="00FA17E8" w:rsidP="00765235">
      <w:pPr>
        <w:rPr>
          <w:rFonts w:asciiTheme="majorHAnsi" w:hAnsiTheme="majorHAnsi"/>
          <w:sz w:val="24"/>
          <w:szCs w:val="24"/>
          <w:lang w:val="en-GB" w:eastAsia="en-GB"/>
        </w:rPr>
      </w:pPr>
      <w:r w:rsidRPr="00FA17E8">
        <w:rPr>
          <w:rFonts w:asciiTheme="majorHAnsi" w:hAnsiTheme="majorHAnsi"/>
          <w:sz w:val="24"/>
          <w:szCs w:val="24"/>
          <w:lang w:val="en-GB" w:eastAsia="en-GB"/>
        </w:rPr>
        <w:t xml:space="preserve">The relationship between aspects of girls’ </w:t>
      </w:r>
      <w:r w:rsidR="00F11389" w:rsidRPr="00F11389">
        <w:rPr>
          <w:rFonts w:asciiTheme="majorHAnsi" w:hAnsiTheme="majorHAnsi"/>
          <w:sz w:val="24"/>
          <w:szCs w:val="24"/>
          <w:lang w:val="en-GB" w:eastAsia="en-GB"/>
        </w:rPr>
        <w:t>empowerment</w:t>
      </w:r>
      <w:r w:rsidRPr="00FA17E8">
        <w:rPr>
          <w:rFonts w:asciiTheme="majorHAnsi" w:hAnsiTheme="majorHAnsi"/>
          <w:sz w:val="24"/>
          <w:szCs w:val="24"/>
          <w:lang w:val="en-GB" w:eastAsia="en-GB"/>
        </w:rPr>
        <w:t xml:space="preserve"> </w:t>
      </w:r>
      <w:r w:rsidR="00A7203D" w:rsidRPr="00F11389">
        <w:rPr>
          <w:rFonts w:asciiTheme="majorHAnsi" w:hAnsiTheme="majorHAnsi"/>
          <w:sz w:val="24"/>
          <w:szCs w:val="24"/>
          <w:lang w:val="en-GB" w:eastAsia="en-GB"/>
        </w:rPr>
        <w:t xml:space="preserve">and </w:t>
      </w:r>
      <w:r w:rsidR="00FA6348">
        <w:rPr>
          <w:rFonts w:asciiTheme="majorHAnsi" w:hAnsiTheme="majorHAnsi"/>
          <w:sz w:val="24"/>
          <w:szCs w:val="24"/>
          <w:lang w:val="en-GB" w:eastAsia="en-GB"/>
        </w:rPr>
        <w:t xml:space="preserve">teacher </w:t>
      </w:r>
      <w:r w:rsidR="00FA6348" w:rsidRPr="00F11389">
        <w:rPr>
          <w:rFonts w:asciiTheme="majorHAnsi" w:hAnsiTheme="majorHAnsi"/>
          <w:sz w:val="24"/>
          <w:szCs w:val="24"/>
          <w:lang w:val="en-GB" w:eastAsia="en-GB"/>
        </w:rPr>
        <w:t xml:space="preserve">qualifications </w:t>
      </w:r>
      <w:r w:rsidRPr="00FA17E8">
        <w:rPr>
          <w:rFonts w:asciiTheme="majorHAnsi" w:hAnsiTheme="majorHAnsi"/>
          <w:sz w:val="24"/>
          <w:szCs w:val="24"/>
          <w:lang w:val="en-GB" w:eastAsia="en-GB"/>
        </w:rPr>
        <w:t>appears to be clearer and more uniform across the countries</w:t>
      </w:r>
      <w:r w:rsidR="00FA6348">
        <w:rPr>
          <w:rFonts w:asciiTheme="majorHAnsi" w:hAnsiTheme="majorHAnsi"/>
          <w:sz w:val="24"/>
          <w:szCs w:val="24"/>
          <w:lang w:val="en-GB" w:eastAsia="en-GB"/>
        </w:rPr>
        <w:t xml:space="preserve"> that with other measures of distribution</w:t>
      </w:r>
      <w:r w:rsidR="00C9202C">
        <w:rPr>
          <w:rFonts w:asciiTheme="majorHAnsi" w:hAnsiTheme="majorHAnsi"/>
          <w:sz w:val="24"/>
          <w:szCs w:val="24"/>
          <w:lang w:val="en-GB" w:eastAsia="en-GB"/>
        </w:rPr>
        <w:t xml:space="preserve"> (the gender profile and the gender management profile)</w:t>
      </w:r>
      <w:r w:rsidRPr="00FA17E8">
        <w:rPr>
          <w:rFonts w:asciiTheme="majorHAnsi" w:hAnsiTheme="majorHAnsi"/>
          <w:sz w:val="24"/>
          <w:szCs w:val="24"/>
          <w:lang w:val="en-GB" w:eastAsia="en-GB"/>
        </w:rPr>
        <w:t>.</w:t>
      </w:r>
      <w:r w:rsidR="00FA6348">
        <w:rPr>
          <w:rFonts w:asciiTheme="majorHAnsi" w:hAnsiTheme="majorHAnsi"/>
          <w:sz w:val="24"/>
          <w:szCs w:val="24"/>
          <w:lang w:val="en-GB" w:eastAsia="en-GB"/>
        </w:rPr>
        <w:t xml:space="preserve"> Although correlations are not statistically significant for all obstacles and solutions, in general girls are more likely to articulate their concerns and ideas about schooling in schools where teachers are better qualified</w:t>
      </w:r>
      <w:r w:rsidR="00854FDA">
        <w:rPr>
          <w:rFonts w:asciiTheme="majorHAnsi" w:hAnsiTheme="majorHAnsi"/>
          <w:sz w:val="24"/>
          <w:szCs w:val="24"/>
          <w:lang w:val="en-GB" w:eastAsia="en-GB"/>
        </w:rPr>
        <w:t xml:space="preserve"> </w:t>
      </w:r>
      <w:r w:rsidR="00854FDA" w:rsidRPr="00825F45">
        <w:rPr>
          <w:rFonts w:asciiTheme="majorHAnsi" w:hAnsiTheme="majorHAnsi"/>
          <w:sz w:val="24"/>
          <w:szCs w:val="24"/>
        </w:rPr>
        <w:t>(with the exception of ‘enlightenment of parents</w:t>
      </w:r>
      <w:r w:rsidR="00ED1595">
        <w:rPr>
          <w:rFonts w:asciiTheme="majorHAnsi" w:hAnsiTheme="majorHAnsi"/>
          <w:sz w:val="24"/>
          <w:szCs w:val="24"/>
        </w:rPr>
        <w:t>’</w:t>
      </w:r>
      <w:r w:rsidR="00854FDA">
        <w:rPr>
          <w:rFonts w:asciiTheme="majorHAnsi" w:hAnsiTheme="majorHAnsi"/>
          <w:sz w:val="24"/>
          <w:szCs w:val="24"/>
        </w:rPr>
        <w:t xml:space="preserve"> in Nigeria</w:t>
      </w:r>
      <w:r w:rsidR="00854FDA" w:rsidRPr="00825F45">
        <w:rPr>
          <w:rFonts w:asciiTheme="majorHAnsi" w:hAnsiTheme="majorHAnsi"/>
          <w:sz w:val="24"/>
          <w:szCs w:val="24"/>
        </w:rPr>
        <w:t>)</w:t>
      </w:r>
      <w:r w:rsidR="00FA6348">
        <w:rPr>
          <w:rFonts w:asciiTheme="majorHAnsi" w:hAnsiTheme="majorHAnsi"/>
          <w:sz w:val="24"/>
          <w:szCs w:val="24"/>
          <w:lang w:val="en-GB" w:eastAsia="en-GB"/>
        </w:rPr>
        <w:t>. Interesting</w:t>
      </w:r>
      <w:r w:rsidR="00ED1595">
        <w:rPr>
          <w:rFonts w:asciiTheme="majorHAnsi" w:hAnsiTheme="majorHAnsi"/>
          <w:sz w:val="24"/>
          <w:szCs w:val="24"/>
          <w:lang w:val="en-GB" w:eastAsia="en-GB"/>
        </w:rPr>
        <w:t>ly</w:t>
      </w:r>
      <w:r w:rsidR="00FA6348">
        <w:rPr>
          <w:rFonts w:asciiTheme="majorHAnsi" w:hAnsiTheme="majorHAnsi"/>
          <w:sz w:val="24"/>
          <w:szCs w:val="24"/>
          <w:lang w:val="en-GB" w:eastAsia="en-GB"/>
        </w:rPr>
        <w:t xml:space="preserve"> the significant relationships </w:t>
      </w:r>
      <w:r w:rsidR="00ED1595">
        <w:rPr>
          <w:rFonts w:asciiTheme="majorHAnsi" w:hAnsiTheme="majorHAnsi"/>
          <w:sz w:val="24"/>
          <w:szCs w:val="24"/>
          <w:lang w:val="en-GB" w:eastAsia="en-GB"/>
        </w:rPr>
        <w:t xml:space="preserve">of specific obstacles and solutions with qualifications </w:t>
      </w:r>
      <w:r w:rsidR="00FA6348">
        <w:rPr>
          <w:rFonts w:asciiTheme="majorHAnsi" w:hAnsiTheme="majorHAnsi"/>
          <w:sz w:val="24"/>
          <w:szCs w:val="24"/>
          <w:lang w:val="en-GB" w:eastAsia="en-GB"/>
        </w:rPr>
        <w:t>are rarely the same across the two countries. However,</w:t>
      </w:r>
      <w:r w:rsidR="00883515" w:rsidRPr="00883515">
        <w:rPr>
          <w:rFonts w:asciiTheme="majorHAnsi" w:hAnsiTheme="majorHAnsi"/>
          <w:sz w:val="24"/>
          <w:szCs w:val="24"/>
          <w:lang w:val="en-GB" w:eastAsia="en-GB"/>
        </w:rPr>
        <w:t xml:space="preserve"> </w:t>
      </w:r>
      <w:r w:rsidR="00883515">
        <w:rPr>
          <w:rFonts w:asciiTheme="majorHAnsi" w:hAnsiTheme="majorHAnsi"/>
          <w:sz w:val="24"/>
          <w:szCs w:val="24"/>
          <w:lang w:val="en-GB" w:eastAsia="en-GB"/>
        </w:rPr>
        <w:t xml:space="preserve"> in schools with better teacher qualifications across the two  project areas, </w:t>
      </w:r>
      <w:r w:rsidR="00FA6348">
        <w:rPr>
          <w:rFonts w:asciiTheme="majorHAnsi" w:hAnsiTheme="majorHAnsi"/>
          <w:sz w:val="24"/>
          <w:szCs w:val="24"/>
          <w:lang w:val="en-GB" w:eastAsia="en-GB"/>
        </w:rPr>
        <w:t xml:space="preserve"> g</w:t>
      </w:r>
      <w:r w:rsidR="00ED1595">
        <w:rPr>
          <w:rFonts w:asciiTheme="majorHAnsi" w:hAnsiTheme="majorHAnsi"/>
          <w:sz w:val="24"/>
          <w:szCs w:val="24"/>
          <w:lang w:val="en-GB" w:eastAsia="en-GB"/>
        </w:rPr>
        <w:t>irls’ are more likely to state</w:t>
      </w:r>
      <w:r w:rsidR="00FA6348">
        <w:rPr>
          <w:rFonts w:asciiTheme="majorHAnsi" w:hAnsiTheme="majorHAnsi"/>
          <w:sz w:val="24"/>
          <w:szCs w:val="24"/>
          <w:lang w:val="en-GB" w:eastAsia="en-GB"/>
        </w:rPr>
        <w:t xml:space="preserve"> </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 xml:space="preserve">distance </w:t>
      </w:r>
      <w:r w:rsidR="00ED1595">
        <w:rPr>
          <w:rFonts w:asciiTheme="majorHAnsi" w:hAnsiTheme="majorHAnsi"/>
          <w:sz w:val="24"/>
          <w:szCs w:val="24"/>
          <w:lang w:val="en-GB" w:eastAsia="en-GB"/>
        </w:rPr>
        <w:t>to</w:t>
      </w:r>
      <w:r w:rsidR="00FA6348">
        <w:rPr>
          <w:rFonts w:asciiTheme="majorHAnsi" w:hAnsiTheme="majorHAnsi"/>
          <w:sz w:val="24"/>
          <w:szCs w:val="24"/>
          <w:lang w:val="en-GB" w:eastAsia="en-GB"/>
        </w:rPr>
        <w:t xml:space="preserve"> school</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 xml:space="preserve"> and </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pregnancy</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 xml:space="preserve"> as obstacles</w:t>
      </w:r>
      <w:r w:rsidR="00883515">
        <w:rPr>
          <w:rFonts w:asciiTheme="majorHAnsi" w:hAnsiTheme="majorHAnsi"/>
          <w:sz w:val="24"/>
          <w:szCs w:val="24"/>
          <w:lang w:val="en-GB" w:eastAsia="en-GB"/>
        </w:rPr>
        <w:t>. In these schools they are also more likely</w:t>
      </w:r>
      <w:r w:rsidR="00FA6348">
        <w:rPr>
          <w:rFonts w:asciiTheme="majorHAnsi" w:hAnsiTheme="majorHAnsi"/>
          <w:sz w:val="24"/>
          <w:szCs w:val="24"/>
          <w:lang w:val="en-GB" w:eastAsia="en-GB"/>
        </w:rPr>
        <w:t xml:space="preserve"> </w:t>
      </w:r>
      <w:r w:rsidR="00883515">
        <w:rPr>
          <w:rFonts w:asciiTheme="majorHAnsi" w:hAnsiTheme="majorHAnsi"/>
          <w:sz w:val="24"/>
          <w:szCs w:val="24"/>
          <w:lang w:val="en-GB" w:eastAsia="en-GB"/>
        </w:rPr>
        <w:t>to</w:t>
      </w:r>
      <w:r w:rsidR="00FA6348">
        <w:rPr>
          <w:rFonts w:asciiTheme="majorHAnsi" w:hAnsiTheme="majorHAnsi"/>
          <w:sz w:val="24"/>
          <w:szCs w:val="24"/>
          <w:lang w:val="en-GB" w:eastAsia="en-GB"/>
        </w:rPr>
        <w:t xml:space="preserve"> recommend</w:t>
      </w:r>
      <w:r w:rsidR="00883515">
        <w:rPr>
          <w:rFonts w:asciiTheme="majorHAnsi" w:hAnsiTheme="majorHAnsi"/>
          <w:sz w:val="24"/>
          <w:szCs w:val="24"/>
          <w:lang w:val="en-GB" w:eastAsia="en-GB"/>
        </w:rPr>
        <w:t xml:space="preserve"> more ‘political’ solutions that we might associate more strongly with empowerment, such as</w:t>
      </w:r>
      <w:r w:rsidR="00FA6348">
        <w:rPr>
          <w:rFonts w:asciiTheme="majorHAnsi" w:hAnsiTheme="majorHAnsi"/>
          <w:sz w:val="24"/>
          <w:szCs w:val="24"/>
          <w:lang w:val="en-GB" w:eastAsia="en-GB"/>
        </w:rPr>
        <w:t xml:space="preserve"> </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abolishing fees and levies</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 xml:space="preserve"> and implementing </w:t>
      </w:r>
      <w:r w:rsidR="00ED1595">
        <w:rPr>
          <w:rFonts w:asciiTheme="majorHAnsi" w:hAnsiTheme="majorHAnsi"/>
          <w:sz w:val="24"/>
          <w:szCs w:val="24"/>
          <w:lang w:val="en-GB" w:eastAsia="en-GB"/>
        </w:rPr>
        <w:t>‘</w:t>
      </w:r>
      <w:r w:rsidR="00FA6348">
        <w:rPr>
          <w:rFonts w:asciiTheme="majorHAnsi" w:hAnsiTheme="majorHAnsi"/>
          <w:sz w:val="24"/>
          <w:szCs w:val="24"/>
          <w:lang w:val="en-GB" w:eastAsia="en-GB"/>
        </w:rPr>
        <w:t>family life, or sexual and reproductive health, education</w:t>
      </w:r>
      <w:r w:rsidR="00ED1595">
        <w:rPr>
          <w:rFonts w:asciiTheme="majorHAnsi" w:hAnsiTheme="majorHAnsi"/>
          <w:sz w:val="24"/>
          <w:szCs w:val="24"/>
          <w:lang w:val="en-GB" w:eastAsia="en-GB"/>
        </w:rPr>
        <w:t>’</w:t>
      </w:r>
      <w:r w:rsidR="00883515">
        <w:rPr>
          <w:rFonts w:asciiTheme="majorHAnsi" w:hAnsiTheme="majorHAnsi"/>
          <w:sz w:val="24"/>
          <w:szCs w:val="24"/>
          <w:lang w:val="en-GB" w:eastAsia="en-GB"/>
        </w:rPr>
        <w:t>.</w:t>
      </w:r>
      <w:r w:rsidR="00FA6348">
        <w:rPr>
          <w:rFonts w:asciiTheme="majorHAnsi" w:hAnsiTheme="majorHAnsi"/>
          <w:sz w:val="24"/>
          <w:szCs w:val="24"/>
          <w:lang w:val="en-GB" w:eastAsia="en-GB"/>
        </w:rPr>
        <w:t xml:space="preserve"> </w:t>
      </w:r>
      <w:r w:rsidR="009B7821">
        <w:rPr>
          <w:rFonts w:asciiTheme="majorHAnsi" w:hAnsiTheme="majorHAnsi"/>
          <w:sz w:val="24"/>
          <w:szCs w:val="24"/>
          <w:lang w:val="en-GB" w:eastAsia="en-GB"/>
        </w:rPr>
        <w:t>Also worth noting is that there was not much variation between teacher qualification levels across the two countries, with approximately equal proportions of teachers hol</w:t>
      </w:r>
      <w:r w:rsidR="00303166">
        <w:rPr>
          <w:rFonts w:asciiTheme="majorHAnsi" w:hAnsiTheme="majorHAnsi"/>
          <w:sz w:val="24"/>
          <w:szCs w:val="24"/>
          <w:lang w:val="en-GB" w:eastAsia="en-GB"/>
        </w:rPr>
        <w:t>d</w:t>
      </w:r>
      <w:r w:rsidR="009B7821">
        <w:rPr>
          <w:rFonts w:asciiTheme="majorHAnsi" w:hAnsiTheme="majorHAnsi"/>
          <w:sz w:val="24"/>
          <w:szCs w:val="24"/>
          <w:lang w:val="en-GB" w:eastAsia="en-GB"/>
        </w:rPr>
        <w:t xml:space="preserve">ing the highest, and the national minimum, qualifications. </w:t>
      </w:r>
      <w:r w:rsidR="00FA6348">
        <w:rPr>
          <w:rFonts w:asciiTheme="majorHAnsi" w:hAnsiTheme="majorHAnsi"/>
          <w:sz w:val="24"/>
          <w:szCs w:val="24"/>
          <w:lang w:val="en-GB" w:eastAsia="en-GB"/>
        </w:rPr>
        <w:t>The relationship between teacher qualifications and empowerment appears to be particularly strong in Tanzania, with most obstacles and solutions being strongly associated with qualifications.</w:t>
      </w:r>
    </w:p>
    <w:p w:rsidR="00F214EB" w:rsidRDefault="009B7821">
      <w:pPr>
        <w:widowControl w:val="0"/>
        <w:spacing w:after="0" w:line="240" w:lineRule="auto"/>
        <w:rPr>
          <w:rFonts w:asciiTheme="majorHAnsi" w:hAnsiTheme="majorHAnsi"/>
          <w:sz w:val="24"/>
          <w:szCs w:val="24"/>
        </w:rPr>
      </w:pPr>
      <w:r>
        <w:rPr>
          <w:rFonts w:asciiTheme="majorHAnsi" w:hAnsiTheme="majorHAnsi" w:cs="Cambria"/>
          <w:sz w:val="24"/>
          <w:szCs w:val="24"/>
        </w:rPr>
        <w:t>In summary, i</w:t>
      </w:r>
      <w:r w:rsidR="00666220" w:rsidRPr="00825F45">
        <w:rPr>
          <w:rFonts w:asciiTheme="majorHAnsi" w:hAnsiTheme="majorHAnsi"/>
          <w:sz w:val="24"/>
          <w:szCs w:val="24"/>
        </w:rPr>
        <w:t xml:space="preserve">f we compare </w:t>
      </w:r>
      <w:r w:rsidR="007229B8" w:rsidRPr="00825F45">
        <w:rPr>
          <w:rFonts w:asciiTheme="majorHAnsi" w:hAnsiTheme="majorHAnsi"/>
          <w:sz w:val="24"/>
          <w:szCs w:val="24"/>
        </w:rPr>
        <w:t xml:space="preserve">across the two countries the </w:t>
      </w:r>
      <w:r>
        <w:rPr>
          <w:rFonts w:asciiTheme="majorHAnsi" w:hAnsiTheme="majorHAnsi"/>
          <w:sz w:val="24"/>
          <w:szCs w:val="24"/>
        </w:rPr>
        <w:t xml:space="preserve">correlation between the </w:t>
      </w:r>
      <w:r w:rsidR="007229B8" w:rsidRPr="00825F45">
        <w:rPr>
          <w:rFonts w:asciiTheme="majorHAnsi" w:hAnsiTheme="majorHAnsi"/>
          <w:sz w:val="24"/>
          <w:szCs w:val="24"/>
        </w:rPr>
        <w:t xml:space="preserve">proportion of girls who cite </w:t>
      </w:r>
      <w:r>
        <w:rPr>
          <w:rFonts w:asciiTheme="majorHAnsi" w:hAnsiTheme="majorHAnsi"/>
          <w:sz w:val="24"/>
          <w:szCs w:val="24"/>
        </w:rPr>
        <w:t xml:space="preserve">obstacles and </w:t>
      </w:r>
      <w:r w:rsidR="007229B8" w:rsidRPr="00825F45">
        <w:rPr>
          <w:rFonts w:asciiTheme="majorHAnsi" w:hAnsiTheme="majorHAnsi"/>
          <w:sz w:val="24"/>
          <w:szCs w:val="24"/>
        </w:rPr>
        <w:t>solutions with the three composite variable</w:t>
      </w:r>
      <w:r w:rsidR="00303166">
        <w:rPr>
          <w:rFonts w:asciiTheme="majorHAnsi" w:hAnsiTheme="majorHAnsi"/>
          <w:sz w:val="24"/>
          <w:szCs w:val="24"/>
        </w:rPr>
        <w:t>s</w:t>
      </w:r>
      <w:r w:rsidR="007229B8" w:rsidRPr="00825F45">
        <w:rPr>
          <w:rFonts w:asciiTheme="majorHAnsi" w:hAnsiTheme="majorHAnsi"/>
          <w:sz w:val="24"/>
          <w:szCs w:val="24"/>
        </w:rPr>
        <w:t xml:space="preserve"> regarding distribution, it is evident that</w:t>
      </w:r>
      <w:r>
        <w:rPr>
          <w:rFonts w:asciiTheme="majorHAnsi" w:hAnsiTheme="majorHAnsi"/>
          <w:sz w:val="24"/>
          <w:szCs w:val="24"/>
        </w:rPr>
        <w:t xml:space="preserve"> </w:t>
      </w:r>
      <w:r w:rsidR="007229B8" w:rsidRPr="00825F45">
        <w:rPr>
          <w:rFonts w:asciiTheme="majorHAnsi" w:hAnsiTheme="majorHAnsi"/>
          <w:sz w:val="24"/>
          <w:szCs w:val="24"/>
        </w:rPr>
        <w:t xml:space="preserve">there is no clear relationship with the gender </w:t>
      </w:r>
      <w:r w:rsidR="007229B8" w:rsidRPr="00825F45">
        <w:rPr>
          <w:rFonts w:asciiTheme="majorHAnsi" w:hAnsiTheme="majorHAnsi"/>
          <w:sz w:val="24"/>
          <w:szCs w:val="24"/>
        </w:rPr>
        <w:lastRenderedPageBreak/>
        <w:t>profile of schools or</w:t>
      </w:r>
      <w:r w:rsidR="00883515">
        <w:rPr>
          <w:rFonts w:asciiTheme="majorHAnsi" w:hAnsiTheme="majorHAnsi"/>
          <w:sz w:val="24"/>
          <w:szCs w:val="24"/>
        </w:rPr>
        <w:t xml:space="preserve"> management</w:t>
      </w:r>
      <w:r w:rsidR="007229B8" w:rsidRPr="00825F45">
        <w:rPr>
          <w:rFonts w:asciiTheme="majorHAnsi" w:hAnsiTheme="majorHAnsi"/>
          <w:sz w:val="24"/>
          <w:szCs w:val="24"/>
        </w:rPr>
        <w:t xml:space="preserve"> </w:t>
      </w:r>
      <w:r>
        <w:rPr>
          <w:rFonts w:asciiTheme="majorHAnsi" w:hAnsiTheme="majorHAnsi"/>
          <w:sz w:val="24"/>
          <w:szCs w:val="24"/>
        </w:rPr>
        <w:t>action taken on girls’ education</w:t>
      </w:r>
      <w:r w:rsidR="007229B8" w:rsidRPr="00825F45">
        <w:rPr>
          <w:rFonts w:asciiTheme="majorHAnsi" w:hAnsiTheme="majorHAnsi"/>
          <w:sz w:val="24"/>
          <w:szCs w:val="24"/>
        </w:rPr>
        <w:t>. However there does seem to be a relationship with teacher qualification.</w:t>
      </w:r>
      <w:r w:rsidR="006071DF">
        <w:rPr>
          <w:rFonts w:asciiTheme="majorHAnsi" w:hAnsiTheme="majorHAnsi"/>
          <w:sz w:val="24"/>
          <w:szCs w:val="24"/>
        </w:rPr>
        <w:t xml:space="preserve"> </w:t>
      </w:r>
      <w:r w:rsidR="00666220" w:rsidRPr="00825F45">
        <w:rPr>
          <w:rFonts w:asciiTheme="majorHAnsi" w:hAnsiTheme="majorHAnsi"/>
          <w:sz w:val="24"/>
          <w:szCs w:val="24"/>
        </w:rPr>
        <w:t>What these patterns suggest</w:t>
      </w:r>
      <w:r w:rsidR="00AA4FDE" w:rsidRPr="00825F45">
        <w:rPr>
          <w:rFonts w:asciiTheme="majorHAnsi" w:hAnsiTheme="majorHAnsi"/>
          <w:sz w:val="24"/>
          <w:szCs w:val="24"/>
        </w:rPr>
        <w:t xml:space="preserve"> is that the relationship between empowerment and distribution is not straightforward. </w:t>
      </w:r>
      <w:r w:rsidR="00666220" w:rsidRPr="00825F45">
        <w:rPr>
          <w:rFonts w:asciiTheme="majorHAnsi" w:hAnsiTheme="majorHAnsi"/>
          <w:sz w:val="24"/>
          <w:szCs w:val="24"/>
        </w:rPr>
        <w:t xml:space="preserve">Thus, in some settings distributional issues associated with gender justice </w:t>
      </w:r>
      <w:r w:rsidR="008D14CA" w:rsidRPr="00825F45">
        <w:rPr>
          <w:rFonts w:asciiTheme="majorHAnsi" w:hAnsiTheme="majorHAnsi"/>
          <w:sz w:val="24"/>
          <w:szCs w:val="24"/>
        </w:rPr>
        <w:t>concerning access</w:t>
      </w:r>
      <w:r w:rsidR="00666220" w:rsidRPr="00825F45">
        <w:rPr>
          <w:rFonts w:asciiTheme="majorHAnsi" w:hAnsiTheme="majorHAnsi"/>
          <w:sz w:val="24"/>
          <w:szCs w:val="24"/>
        </w:rPr>
        <w:t>, progression and the effectiveness of school management appear linked with girls articulating features of empowerment and the identification of problems and solutions, while in others they do not. The clear association of teachers’ level of qualification with girls’ empowerment raises questions as to whether this might be causal, or whether other background areas, not yet investigated, are associated with this correlation.</w:t>
      </w:r>
    </w:p>
    <w:p w:rsidR="00666220" w:rsidRPr="00825F45" w:rsidRDefault="00666220" w:rsidP="005806B5">
      <w:pPr>
        <w:spacing w:after="0" w:line="240" w:lineRule="auto"/>
        <w:rPr>
          <w:rFonts w:asciiTheme="majorHAnsi" w:hAnsiTheme="majorHAnsi"/>
          <w:sz w:val="24"/>
          <w:szCs w:val="24"/>
        </w:rPr>
      </w:pPr>
    </w:p>
    <w:p w:rsidR="00666220" w:rsidRPr="00825F45" w:rsidRDefault="00666220" w:rsidP="005806B5">
      <w:pPr>
        <w:spacing w:after="0" w:line="240" w:lineRule="auto"/>
        <w:rPr>
          <w:rFonts w:asciiTheme="majorHAnsi" w:hAnsiTheme="majorHAnsi"/>
          <w:sz w:val="24"/>
          <w:szCs w:val="24"/>
        </w:rPr>
      </w:pPr>
      <w:r w:rsidRPr="00825F45">
        <w:rPr>
          <w:rFonts w:asciiTheme="majorHAnsi" w:hAnsiTheme="majorHAnsi"/>
          <w:sz w:val="24"/>
          <w:szCs w:val="24"/>
        </w:rPr>
        <w:t>In interpreting this data to develop project activities, the project teams responded partly through stressing additional distribution and partly through attending to girls claims on rights in ways that did not separate out concern with distribution and empowerment. The findings of the baseline research became available in the middle of the project (around 2009) after some preliminary activities had begun, notably the establishment of girls’ clubs, SMCs, and Community Circles for adults to reflect on community development and gender issues. The baseline research prompted ‘Research to Action’ workshops which led to particular attention being given to distributional aspects i</w:t>
      </w:r>
      <w:r w:rsidR="001067E8" w:rsidRPr="00825F45">
        <w:rPr>
          <w:rFonts w:asciiTheme="majorHAnsi" w:hAnsiTheme="majorHAnsi"/>
          <w:sz w:val="24"/>
          <w:szCs w:val="24"/>
        </w:rPr>
        <w:t>ncluding attending  to teacher training, advocacy for more women in school management, the establishment of schools closer to where children live, and SMC efforts to monitor teachers (Unterhalter and Heslo</w:t>
      </w:r>
      <w:r w:rsidR="008D14CA">
        <w:rPr>
          <w:rFonts w:asciiTheme="majorHAnsi" w:hAnsiTheme="majorHAnsi"/>
          <w:sz w:val="24"/>
          <w:szCs w:val="24"/>
        </w:rPr>
        <w:t>p</w:t>
      </w:r>
      <w:r w:rsidR="001067E8" w:rsidRPr="00825F45">
        <w:rPr>
          <w:rFonts w:asciiTheme="majorHAnsi" w:hAnsiTheme="majorHAnsi"/>
          <w:sz w:val="24"/>
          <w:szCs w:val="24"/>
        </w:rPr>
        <w:t>, 2011, 42)</w:t>
      </w:r>
      <w:r w:rsidRPr="00825F45">
        <w:rPr>
          <w:rFonts w:asciiTheme="majorHAnsi" w:hAnsiTheme="majorHAnsi"/>
          <w:sz w:val="24"/>
          <w:szCs w:val="24"/>
        </w:rPr>
        <w:t>.</w:t>
      </w:r>
      <w:r w:rsidR="001067E8" w:rsidRPr="00825F45">
        <w:rPr>
          <w:rFonts w:asciiTheme="majorHAnsi" w:hAnsiTheme="majorHAnsi"/>
          <w:sz w:val="24"/>
          <w:szCs w:val="24"/>
        </w:rPr>
        <w:t xml:space="preserve"> In addition, there was a stress on aspects of empowerment, particularly supporting initiatives to improve girls’  and their parents’ knowledge of their rights, SMC and teachers’ knowledge and work on gender and education, and the level of trust between schools and communities (Unterhalter and Heslop, 2011, 43)</w:t>
      </w:r>
      <w:r w:rsidR="009B7821">
        <w:rPr>
          <w:rFonts w:asciiTheme="majorHAnsi" w:hAnsiTheme="majorHAnsi"/>
          <w:sz w:val="24"/>
          <w:szCs w:val="24"/>
        </w:rPr>
        <w:t>.</w:t>
      </w:r>
      <w:r w:rsidRPr="00825F45">
        <w:rPr>
          <w:rFonts w:asciiTheme="majorHAnsi" w:hAnsiTheme="majorHAnsi"/>
          <w:sz w:val="24"/>
          <w:szCs w:val="24"/>
        </w:rPr>
        <w:t xml:space="preserve"> In Nigeria, the advocacy message emerging from the baseline varied from one state to another, but in urban schools it came to focus on poverty, as girls mentioned this as a key obstacle.  Thus opposition to user fees and levies was </w:t>
      </w:r>
      <w:proofErr w:type="spellStart"/>
      <w:r w:rsidRPr="00825F45">
        <w:rPr>
          <w:rFonts w:asciiTheme="majorHAnsi" w:hAnsiTheme="majorHAnsi"/>
          <w:sz w:val="24"/>
          <w:szCs w:val="24"/>
        </w:rPr>
        <w:t>prioriti</w:t>
      </w:r>
      <w:r w:rsidR="009B7821">
        <w:rPr>
          <w:rFonts w:asciiTheme="majorHAnsi" w:hAnsiTheme="majorHAnsi"/>
          <w:sz w:val="24"/>
          <w:szCs w:val="24"/>
        </w:rPr>
        <w:t>s</w:t>
      </w:r>
      <w:r w:rsidRPr="00825F45">
        <w:rPr>
          <w:rFonts w:asciiTheme="majorHAnsi" w:hAnsiTheme="majorHAnsi"/>
          <w:sz w:val="24"/>
          <w:szCs w:val="24"/>
        </w:rPr>
        <w:t>ed</w:t>
      </w:r>
      <w:proofErr w:type="spellEnd"/>
      <w:r w:rsidRPr="00825F45">
        <w:rPr>
          <w:rFonts w:asciiTheme="majorHAnsi" w:hAnsiTheme="majorHAnsi"/>
          <w:sz w:val="24"/>
          <w:szCs w:val="24"/>
        </w:rPr>
        <w:t xml:space="preserve"> in campaigning. In Tanzania, an advocacy campaign was conducted on the re-ad</w:t>
      </w:r>
      <w:r w:rsidR="00FB0163">
        <w:rPr>
          <w:rFonts w:asciiTheme="majorHAnsi" w:hAnsiTheme="majorHAnsi"/>
          <w:sz w:val="24"/>
          <w:szCs w:val="24"/>
        </w:rPr>
        <w:t>mission of pregnant schoolgirls</w:t>
      </w:r>
      <w:r w:rsidRPr="00825F45">
        <w:rPr>
          <w:rFonts w:asciiTheme="majorHAnsi" w:hAnsiTheme="majorHAnsi"/>
          <w:sz w:val="24"/>
          <w:szCs w:val="24"/>
        </w:rPr>
        <w:t xml:space="preserve">, in response to many girls’ citing this as an obstacle.  In both countries the finding that girls appeared </w:t>
      </w:r>
      <w:r w:rsidR="008D14CA" w:rsidRPr="00825F45">
        <w:rPr>
          <w:rFonts w:asciiTheme="majorHAnsi" w:hAnsiTheme="majorHAnsi"/>
          <w:sz w:val="24"/>
          <w:szCs w:val="24"/>
        </w:rPr>
        <w:t>to lack</w:t>
      </w:r>
      <w:r w:rsidRPr="00825F45">
        <w:rPr>
          <w:rFonts w:asciiTheme="majorHAnsi" w:hAnsiTheme="majorHAnsi"/>
          <w:sz w:val="24"/>
          <w:szCs w:val="24"/>
        </w:rPr>
        <w:t xml:space="preserve"> information and the capacity to voice obstacles and claim rights when teachers were under -qualified and schools were isolated, led to the </w:t>
      </w:r>
      <w:r w:rsidR="008D14CA" w:rsidRPr="00825F45">
        <w:rPr>
          <w:rFonts w:asciiTheme="majorHAnsi" w:hAnsiTheme="majorHAnsi"/>
          <w:sz w:val="24"/>
          <w:szCs w:val="24"/>
        </w:rPr>
        <w:t>project initiating</w:t>
      </w:r>
      <w:r w:rsidRPr="00825F45">
        <w:rPr>
          <w:rFonts w:asciiTheme="majorHAnsi" w:hAnsiTheme="majorHAnsi"/>
          <w:sz w:val="24"/>
          <w:szCs w:val="24"/>
        </w:rPr>
        <w:t xml:space="preserve"> a </w:t>
      </w:r>
      <w:proofErr w:type="spellStart"/>
      <w:r w:rsidRPr="00825F45">
        <w:rPr>
          <w:rFonts w:asciiTheme="majorHAnsi" w:hAnsiTheme="majorHAnsi"/>
          <w:sz w:val="24"/>
          <w:szCs w:val="24"/>
        </w:rPr>
        <w:t>programme</w:t>
      </w:r>
      <w:proofErr w:type="spellEnd"/>
      <w:r w:rsidRPr="00825F45">
        <w:rPr>
          <w:rFonts w:asciiTheme="majorHAnsi" w:hAnsiTheme="majorHAnsi"/>
          <w:sz w:val="24"/>
          <w:szCs w:val="24"/>
        </w:rPr>
        <w:t xml:space="preserve"> of school exchange visits so that girls could see cond</w:t>
      </w:r>
      <w:r w:rsidR="001067E8" w:rsidRPr="00825F45">
        <w:rPr>
          <w:rFonts w:asciiTheme="majorHAnsi" w:hAnsiTheme="majorHAnsi"/>
          <w:sz w:val="24"/>
          <w:szCs w:val="24"/>
        </w:rPr>
        <w:t>itions elsewhere in the country, and enhance the information from which they developed approaches to empowerment.</w:t>
      </w:r>
    </w:p>
    <w:p w:rsidR="00A72592" w:rsidRPr="00825F45" w:rsidRDefault="00A72592" w:rsidP="005806B5">
      <w:pPr>
        <w:spacing w:after="0" w:line="240" w:lineRule="auto"/>
        <w:rPr>
          <w:rFonts w:asciiTheme="majorHAnsi" w:hAnsiTheme="majorHAnsi"/>
          <w:sz w:val="24"/>
          <w:szCs w:val="24"/>
        </w:rPr>
      </w:pPr>
    </w:p>
    <w:p w:rsidR="00390765" w:rsidRPr="00825F45" w:rsidRDefault="00390765" w:rsidP="005806B5">
      <w:pPr>
        <w:spacing w:after="0" w:line="240" w:lineRule="auto"/>
        <w:rPr>
          <w:rFonts w:asciiTheme="majorHAnsi" w:hAnsiTheme="majorHAnsi"/>
          <w:sz w:val="24"/>
          <w:szCs w:val="24"/>
        </w:rPr>
      </w:pPr>
      <w:r w:rsidRPr="00825F45">
        <w:rPr>
          <w:rFonts w:asciiTheme="majorHAnsi" w:hAnsiTheme="majorHAnsi"/>
          <w:sz w:val="24"/>
          <w:szCs w:val="24"/>
        </w:rPr>
        <w:t>It can thus be seen that</w:t>
      </w:r>
      <w:r w:rsidR="001067E8" w:rsidRPr="00825F45">
        <w:rPr>
          <w:rFonts w:asciiTheme="majorHAnsi" w:hAnsiTheme="majorHAnsi"/>
          <w:sz w:val="24"/>
          <w:szCs w:val="24"/>
        </w:rPr>
        <w:t>, in response to the baseline findings, a</w:t>
      </w:r>
      <w:r w:rsidRPr="00825F45">
        <w:rPr>
          <w:rFonts w:asciiTheme="majorHAnsi" w:hAnsiTheme="majorHAnsi"/>
          <w:sz w:val="24"/>
          <w:szCs w:val="24"/>
        </w:rPr>
        <w:t xml:space="preserve"> relationship between distributi</w:t>
      </w:r>
      <w:r w:rsidR="001067E8" w:rsidRPr="00825F45">
        <w:rPr>
          <w:rFonts w:asciiTheme="majorHAnsi" w:hAnsiTheme="majorHAnsi"/>
          <w:sz w:val="24"/>
          <w:szCs w:val="24"/>
        </w:rPr>
        <w:t xml:space="preserve">on and empowerment </w:t>
      </w:r>
      <w:r w:rsidR="008D14CA" w:rsidRPr="00825F45">
        <w:rPr>
          <w:rFonts w:asciiTheme="majorHAnsi" w:hAnsiTheme="majorHAnsi"/>
          <w:sz w:val="24"/>
          <w:szCs w:val="24"/>
        </w:rPr>
        <w:t>was addressed</w:t>
      </w:r>
      <w:r w:rsidR="001067E8" w:rsidRPr="00825F45">
        <w:rPr>
          <w:rFonts w:asciiTheme="majorHAnsi" w:hAnsiTheme="majorHAnsi"/>
          <w:sz w:val="24"/>
          <w:szCs w:val="24"/>
        </w:rPr>
        <w:t>, but that this was very much linked to</w:t>
      </w:r>
      <w:r w:rsidR="002D4DB8" w:rsidRPr="00825F45">
        <w:rPr>
          <w:rFonts w:asciiTheme="majorHAnsi" w:hAnsiTheme="majorHAnsi"/>
          <w:sz w:val="24"/>
          <w:szCs w:val="24"/>
        </w:rPr>
        <w:t xml:space="preserve"> overall project reflections </w:t>
      </w:r>
      <w:r w:rsidR="008D14CA" w:rsidRPr="00825F45">
        <w:rPr>
          <w:rFonts w:asciiTheme="majorHAnsi" w:hAnsiTheme="majorHAnsi"/>
          <w:sz w:val="24"/>
          <w:szCs w:val="24"/>
        </w:rPr>
        <w:t>in context</w:t>
      </w:r>
      <w:r w:rsidR="001067E8" w:rsidRPr="00825F45">
        <w:rPr>
          <w:rFonts w:asciiTheme="majorHAnsi" w:hAnsiTheme="majorHAnsi"/>
          <w:sz w:val="24"/>
          <w:szCs w:val="24"/>
        </w:rPr>
        <w:t xml:space="preserve">, rather than a </w:t>
      </w:r>
      <w:r w:rsidR="002D4DB8" w:rsidRPr="00825F45">
        <w:rPr>
          <w:rFonts w:asciiTheme="majorHAnsi" w:hAnsiTheme="majorHAnsi"/>
          <w:sz w:val="24"/>
          <w:szCs w:val="24"/>
        </w:rPr>
        <w:t>particular attempt to follow a clear line regarding what might work either to improve distribution or empowerment</w:t>
      </w:r>
      <w:r w:rsidRPr="00825F45">
        <w:rPr>
          <w:rFonts w:asciiTheme="majorHAnsi" w:hAnsiTheme="majorHAnsi"/>
          <w:sz w:val="24"/>
          <w:szCs w:val="24"/>
        </w:rPr>
        <w:t>.</w:t>
      </w:r>
      <w:r w:rsidR="00FF038D" w:rsidRPr="00825F45">
        <w:rPr>
          <w:rFonts w:asciiTheme="majorHAnsi" w:hAnsiTheme="majorHAnsi"/>
          <w:sz w:val="24"/>
          <w:szCs w:val="24"/>
        </w:rPr>
        <w:t xml:space="preserve"> In the conceptual framing and project aims it was</w:t>
      </w:r>
      <w:r w:rsidR="002D4DB8" w:rsidRPr="00825F45">
        <w:rPr>
          <w:rFonts w:asciiTheme="majorHAnsi" w:hAnsiTheme="majorHAnsi"/>
          <w:sz w:val="24"/>
          <w:szCs w:val="24"/>
        </w:rPr>
        <w:t xml:space="preserve"> implicitly</w:t>
      </w:r>
      <w:r w:rsidR="00FF038D" w:rsidRPr="00825F45">
        <w:rPr>
          <w:rFonts w:asciiTheme="majorHAnsi" w:hAnsiTheme="majorHAnsi"/>
          <w:sz w:val="24"/>
          <w:szCs w:val="24"/>
        </w:rPr>
        <w:t xml:space="preserve"> assumed that the distributional issues (girls enrolling and attaining in school) was to be approached through the empowerment issues (overcoming obstacles and attending to girls’ voices). </w:t>
      </w:r>
      <w:r w:rsidR="00FB5FB4" w:rsidRPr="00825F45">
        <w:rPr>
          <w:rFonts w:asciiTheme="majorHAnsi" w:hAnsiTheme="majorHAnsi"/>
          <w:sz w:val="24"/>
          <w:szCs w:val="24"/>
        </w:rPr>
        <w:t xml:space="preserve"> But the nature of this connection was not given </w:t>
      </w:r>
      <w:r w:rsidR="008D14CA" w:rsidRPr="00825F45">
        <w:rPr>
          <w:rFonts w:asciiTheme="majorHAnsi" w:hAnsiTheme="majorHAnsi"/>
          <w:sz w:val="24"/>
          <w:szCs w:val="24"/>
        </w:rPr>
        <w:t>close attention</w:t>
      </w:r>
      <w:r w:rsidR="00FB5FB4" w:rsidRPr="00825F45">
        <w:rPr>
          <w:rFonts w:asciiTheme="majorHAnsi" w:hAnsiTheme="majorHAnsi"/>
          <w:sz w:val="24"/>
          <w:szCs w:val="24"/>
        </w:rPr>
        <w:t xml:space="preserve">. </w:t>
      </w:r>
      <w:r w:rsidR="00FF038D" w:rsidRPr="00825F45">
        <w:rPr>
          <w:rFonts w:asciiTheme="majorHAnsi" w:hAnsiTheme="majorHAnsi"/>
          <w:sz w:val="24"/>
          <w:szCs w:val="24"/>
        </w:rPr>
        <w:t xml:space="preserve"> </w:t>
      </w:r>
      <w:r w:rsidR="00FB5FB4" w:rsidRPr="00825F45">
        <w:rPr>
          <w:rFonts w:asciiTheme="majorHAnsi" w:hAnsiTheme="majorHAnsi"/>
          <w:sz w:val="24"/>
          <w:szCs w:val="24"/>
        </w:rPr>
        <w:t>T</w:t>
      </w:r>
      <w:r w:rsidR="00EB2445" w:rsidRPr="00825F45">
        <w:rPr>
          <w:rFonts w:asciiTheme="majorHAnsi" w:hAnsiTheme="majorHAnsi"/>
          <w:sz w:val="24"/>
          <w:szCs w:val="24"/>
        </w:rPr>
        <w:t>he</w:t>
      </w:r>
      <w:r w:rsidR="002D4DB8" w:rsidRPr="00825F45">
        <w:rPr>
          <w:rFonts w:asciiTheme="majorHAnsi" w:hAnsiTheme="majorHAnsi"/>
          <w:sz w:val="24"/>
          <w:szCs w:val="24"/>
        </w:rPr>
        <w:t xml:space="preserve"> baseline data showed that this simple linear connection was not always evident and </w:t>
      </w:r>
      <w:r w:rsidR="00EB2445" w:rsidRPr="00825F45">
        <w:rPr>
          <w:rFonts w:asciiTheme="majorHAnsi" w:hAnsiTheme="majorHAnsi"/>
          <w:sz w:val="24"/>
          <w:szCs w:val="24"/>
        </w:rPr>
        <w:t>that th</w:t>
      </w:r>
      <w:r w:rsidR="00FB5FB4" w:rsidRPr="00825F45">
        <w:rPr>
          <w:rFonts w:asciiTheme="majorHAnsi" w:hAnsiTheme="majorHAnsi"/>
          <w:sz w:val="24"/>
          <w:szCs w:val="24"/>
        </w:rPr>
        <w:t>is</w:t>
      </w:r>
      <w:r w:rsidR="00EB2445" w:rsidRPr="00825F45">
        <w:rPr>
          <w:rFonts w:asciiTheme="majorHAnsi" w:hAnsiTheme="majorHAnsi"/>
          <w:sz w:val="24"/>
          <w:szCs w:val="24"/>
        </w:rPr>
        <w:t xml:space="preserve"> </w:t>
      </w:r>
      <w:r w:rsidR="00FB5FB4" w:rsidRPr="00825F45">
        <w:rPr>
          <w:rFonts w:asciiTheme="majorHAnsi" w:hAnsiTheme="majorHAnsi"/>
          <w:sz w:val="24"/>
          <w:szCs w:val="24"/>
        </w:rPr>
        <w:t>relationship</w:t>
      </w:r>
      <w:r w:rsidR="002D4DB8" w:rsidRPr="00825F45">
        <w:rPr>
          <w:rFonts w:asciiTheme="majorHAnsi" w:hAnsiTheme="majorHAnsi"/>
          <w:sz w:val="24"/>
          <w:szCs w:val="24"/>
        </w:rPr>
        <w:t xml:space="preserve"> needs</w:t>
      </w:r>
      <w:r w:rsidR="00EB2445" w:rsidRPr="00825F45">
        <w:rPr>
          <w:rFonts w:asciiTheme="majorHAnsi" w:hAnsiTheme="majorHAnsi"/>
          <w:sz w:val="24"/>
          <w:szCs w:val="24"/>
        </w:rPr>
        <w:t xml:space="preserve"> much more rigorous examination. </w:t>
      </w:r>
    </w:p>
    <w:p w:rsidR="000E07A9" w:rsidRPr="00825F45" w:rsidRDefault="000E07A9" w:rsidP="005806B5">
      <w:pPr>
        <w:spacing w:after="0" w:line="240" w:lineRule="auto"/>
        <w:rPr>
          <w:rFonts w:asciiTheme="majorHAnsi" w:hAnsiTheme="majorHAnsi"/>
          <w:sz w:val="24"/>
          <w:szCs w:val="24"/>
        </w:rPr>
      </w:pPr>
    </w:p>
    <w:p w:rsidR="00C025FA" w:rsidRPr="004709FA" w:rsidRDefault="00C46926" w:rsidP="005806B5">
      <w:pPr>
        <w:spacing w:after="0" w:line="240" w:lineRule="auto"/>
        <w:rPr>
          <w:rFonts w:asciiTheme="majorHAnsi" w:hAnsiTheme="majorHAnsi"/>
          <w:b/>
          <w:i/>
          <w:sz w:val="24"/>
          <w:szCs w:val="24"/>
        </w:rPr>
      </w:pPr>
      <w:r w:rsidRPr="00C46926">
        <w:rPr>
          <w:rFonts w:asciiTheme="majorHAnsi" w:hAnsiTheme="majorHAnsi"/>
          <w:b/>
          <w:i/>
          <w:sz w:val="24"/>
          <w:szCs w:val="24"/>
        </w:rPr>
        <w:t>Conclusion</w:t>
      </w:r>
    </w:p>
    <w:p w:rsidR="008C20CA" w:rsidRPr="00825F45" w:rsidRDefault="008C20CA" w:rsidP="005806B5">
      <w:pPr>
        <w:spacing w:after="0" w:line="240" w:lineRule="auto"/>
        <w:rPr>
          <w:rFonts w:asciiTheme="majorHAnsi" w:hAnsiTheme="majorHAnsi" w:cs="Cambria"/>
          <w:sz w:val="24"/>
          <w:szCs w:val="24"/>
        </w:rPr>
      </w:pPr>
    </w:p>
    <w:p w:rsidR="005806B5" w:rsidRDefault="00D624E7" w:rsidP="005806B5">
      <w:pPr>
        <w:pStyle w:val="CommentText"/>
        <w:rPr>
          <w:rFonts w:asciiTheme="majorHAnsi" w:hAnsiTheme="majorHAnsi"/>
          <w:b/>
          <w:sz w:val="24"/>
          <w:szCs w:val="24"/>
        </w:rPr>
      </w:pPr>
      <w:r w:rsidRPr="00825F45">
        <w:rPr>
          <w:rFonts w:asciiTheme="majorHAnsi" w:hAnsiTheme="majorHAnsi"/>
          <w:sz w:val="24"/>
          <w:szCs w:val="24"/>
        </w:rPr>
        <w:lastRenderedPageBreak/>
        <w:t>The anal</w:t>
      </w:r>
      <w:r w:rsidR="00D70BF2" w:rsidRPr="00825F45">
        <w:rPr>
          <w:rFonts w:asciiTheme="majorHAnsi" w:hAnsiTheme="majorHAnsi"/>
          <w:sz w:val="24"/>
          <w:szCs w:val="24"/>
        </w:rPr>
        <w:t xml:space="preserve">ysis has highlighted how </w:t>
      </w:r>
      <w:r w:rsidRPr="00825F45">
        <w:rPr>
          <w:rFonts w:asciiTheme="majorHAnsi" w:hAnsiTheme="majorHAnsi"/>
          <w:sz w:val="24"/>
          <w:szCs w:val="24"/>
        </w:rPr>
        <w:t xml:space="preserve">we do not know enough analytically, empirically or through practice regarding the nature of the relationship between </w:t>
      </w:r>
      <w:r w:rsidR="000428D5" w:rsidRPr="00825F45">
        <w:rPr>
          <w:rFonts w:asciiTheme="majorHAnsi" w:hAnsiTheme="majorHAnsi"/>
          <w:sz w:val="24"/>
          <w:szCs w:val="24"/>
        </w:rPr>
        <w:t xml:space="preserve">education, </w:t>
      </w:r>
      <w:r w:rsidRPr="00825F45">
        <w:rPr>
          <w:rFonts w:asciiTheme="majorHAnsi" w:hAnsiTheme="majorHAnsi"/>
          <w:sz w:val="24"/>
          <w:szCs w:val="24"/>
        </w:rPr>
        <w:t>distribution and empowerment.</w:t>
      </w:r>
      <w:r w:rsidR="00B43E59" w:rsidRPr="00825F45">
        <w:rPr>
          <w:rFonts w:asciiTheme="majorHAnsi" w:hAnsiTheme="majorHAnsi"/>
          <w:sz w:val="24"/>
          <w:szCs w:val="24"/>
        </w:rPr>
        <w:t xml:space="preserve"> While for some theorists there is a causal relationship between distribution and empowerment, for </w:t>
      </w:r>
      <w:r w:rsidR="000428D5" w:rsidRPr="00825F45">
        <w:rPr>
          <w:rFonts w:asciiTheme="majorHAnsi" w:hAnsiTheme="majorHAnsi"/>
          <w:sz w:val="24"/>
          <w:szCs w:val="24"/>
        </w:rPr>
        <w:t>some</w:t>
      </w:r>
      <w:r w:rsidR="00B43E59" w:rsidRPr="00825F45">
        <w:rPr>
          <w:rFonts w:asciiTheme="majorHAnsi" w:hAnsiTheme="majorHAnsi"/>
          <w:sz w:val="24"/>
          <w:szCs w:val="24"/>
        </w:rPr>
        <w:t xml:space="preserve"> it is </w:t>
      </w:r>
      <w:proofErr w:type="spellStart"/>
      <w:r w:rsidR="00B43E59" w:rsidRPr="00825F45">
        <w:rPr>
          <w:rFonts w:asciiTheme="majorHAnsi" w:hAnsiTheme="majorHAnsi"/>
          <w:sz w:val="24"/>
          <w:szCs w:val="24"/>
        </w:rPr>
        <w:t>correlational</w:t>
      </w:r>
      <w:proofErr w:type="spellEnd"/>
      <w:r w:rsidR="00B43E59" w:rsidRPr="00825F45">
        <w:rPr>
          <w:rFonts w:asciiTheme="majorHAnsi" w:hAnsiTheme="majorHAnsi"/>
          <w:sz w:val="24"/>
          <w:szCs w:val="24"/>
        </w:rPr>
        <w:t xml:space="preserve"> </w:t>
      </w:r>
      <w:r w:rsidR="00402AE7" w:rsidRPr="00825F45">
        <w:rPr>
          <w:rFonts w:asciiTheme="majorHAnsi" w:hAnsiTheme="majorHAnsi"/>
          <w:sz w:val="24"/>
          <w:szCs w:val="24"/>
        </w:rPr>
        <w:t>or weakly</w:t>
      </w:r>
      <w:r w:rsidR="00B43E59" w:rsidRPr="00825F45">
        <w:rPr>
          <w:rFonts w:asciiTheme="majorHAnsi" w:hAnsiTheme="majorHAnsi"/>
          <w:sz w:val="24"/>
          <w:szCs w:val="24"/>
        </w:rPr>
        <w:t xml:space="preserve"> associated, and for others the two aspects of justice need to be considered separately.</w:t>
      </w:r>
      <w:r w:rsidR="00D96165" w:rsidRPr="00825F45">
        <w:rPr>
          <w:rFonts w:asciiTheme="majorHAnsi" w:hAnsiTheme="majorHAnsi"/>
          <w:sz w:val="24"/>
          <w:szCs w:val="24"/>
        </w:rPr>
        <w:t xml:space="preserve"> We clearly need thicker meanings of distribution and empowerment and better understanding of the connections between these different paths to social justice.</w:t>
      </w:r>
      <w:r w:rsidR="00B43E59" w:rsidRPr="00825F45">
        <w:rPr>
          <w:rFonts w:asciiTheme="majorHAnsi" w:hAnsiTheme="majorHAnsi"/>
          <w:sz w:val="24"/>
          <w:szCs w:val="24"/>
        </w:rPr>
        <w:t xml:space="preserve"> </w:t>
      </w:r>
      <w:r w:rsidR="000428D5" w:rsidRPr="00825F45">
        <w:rPr>
          <w:rFonts w:asciiTheme="majorHAnsi" w:hAnsiTheme="majorHAnsi"/>
          <w:sz w:val="24"/>
          <w:szCs w:val="24"/>
        </w:rPr>
        <w:t>The data from the TEGINT project show there is a need for a much closer examination of these relationships, for without this the focus of development projects may become too diffuse.</w:t>
      </w:r>
      <w:r w:rsidR="00FA451D" w:rsidRPr="00825F45">
        <w:rPr>
          <w:rFonts w:asciiTheme="majorHAnsi" w:hAnsiTheme="majorHAnsi"/>
          <w:sz w:val="24"/>
          <w:szCs w:val="24"/>
        </w:rPr>
        <w:t xml:space="preserve"> </w:t>
      </w:r>
      <w:r w:rsidR="00D70BF2" w:rsidRPr="00825F45">
        <w:rPr>
          <w:rFonts w:asciiTheme="majorHAnsi" w:hAnsiTheme="majorHAnsi"/>
          <w:sz w:val="24"/>
          <w:szCs w:val="24"/>
        </w:rPr>
        <w:t xml:space="preserve"> It also highlights the need in thinking about distribution and </w:t>
      </w:r>
      <w:r w:rsidR="00303166" w:rsidRPr="00825F45">
        <w:rPr>
          <w:rFonts w:asciiTheme="majorHAnsi" w:hAnsiTheme="majorHAnsi"/>
          <w:sz w:val="24"/>
          <w:szCs w:val="24"/>
        </w:rPr>
        <w:t>empowerment to</w:t>
      </w:r>
      <w:r w:rsidR="00D70BF2" w:rsidRPr="00825F45">
        <w:rPr>
          <w:rFonts w:asciiTheme="majorHAnsi" w:hAnsiTheme="majorHAnsi"/>
          <w:sz w:val="24"/>
          <w:szCs w:val="24"/>
        </w:rPr>
        <w:t xml:space="preserve"> pay attention to specific school locations, rather than generalisations about countries, regions or districts. </w:t>
      </w:r>
      <w:r w:rsidR="00FA451D" w:rsidRPr="00825F45">
        <w:rPr>
          <w:rFonts w:asciiTheme="majorHAnsi" w:hAnsiTheme="majorHAnsi"/>
          <w:sz w:val="24"/>
          <w:szCs w:val="24"/>
        </w:rPr>
        <w:t>We have much still to learn to understand how</w:t>
      </w:r>
      <w:r w:rsidR="00D70BF2" w:rsidRPr="00825F45">
        <w:rPr>
          <w:rFonts w:asciiTheme="majorHAnsi" w:hAnsiTheme="majorHAnsi"/>
          <w:sz w:val="24"/>
          <w:szCs w:val="24"/>
        </w:rPr>
        <w:t>, where</w:t>
      </w:r>
      <w:r w:rsidR="00FA451D" w:rsidRPr="00825F45">
        <w:rPr>
          <w:rFonts w:asciiTheme="majorHAnsi" w:hAnsiTheme="majorHAnsi"/>
          <w:sz w:val="24"/>
          <w:szCs w:val="24"/>
        </w:rPr>
        <w:t xml:space="preserve"> and why particular kinds of social mobili</w:t>
      </w:r>
      <w:r w:rsidR="00303166">
        <w:rPr>
          <w:rFonts w:asciiTheme="majorHAnsi" w:hAnsiTheme="majorHAnsi"/>
          <w:sz w:val="24"/>
          <w:szCs w:val="24"/>
        </w:rPr>
        <w:t>s</w:t>
      </w:r>
      <w:r w:rsidR="00FA451D" w:rsidRPr="00825F45">
        <w:rPr>
          <w:rFonts w:asciiTheme="majorHAnsi" w:hAnsiTheme="majorHAnsi"/>
          <w:sz w:val="24"/>
          <w:szCs w:val="24"/>
        </w:rPr>
        <w:t xml:space="preserve">ation and action will help </w:t>
      </w:r>
      <w:r w:rsidR="00402AE7" w:rsidRPr="00825F45">
        <w:rPr>
          <w:rFonts w:asciiTheme="majorHAnsi" w:hAnsiTheme="majorHAnsi"/>
          <w:sz w:val="24"/>
          <w:szCs w:val="24"/>
        </w:rPr>
        <w:t>us to</w:t>
      </w:r>
      <w:r w:rsidR="00D96165" w:rsidRPr="00825F45">
        <w:rPr>
          <w:rFonts w:asciiTheme="majorHAnsi" w:hAnsiTheme="majorHAnsi"/>
          <w:sz w:val="24"/>
          <w:szCs w:val="24"/>
        </w:rPr>
        <w:t xml:space="preserve"> listen</w:t>
      </w:r>
      <w:r w:rsidR="00FA451D" w:rsidRPr="00825F45">
        <w:rPr>
          <w:rFonts w:asciiTheme="majorHAnsi" w:hAnsiTheme="majorHAnsi"/>
          <w:sz w:val="24"/>
          <w:szCs w:val="24"/>
        </w:rPr>
        <w:t xml:space="preserve"> </w:t>
      </w:r>
      <w:r w:rsidR="00402AE7" w:rsidRPr="00825F45">
        <w:rPr>
          <w:rFonts w:asciiTheme="majorHAnsi" w:hAnsiTheme="majorHAnsi"/>
          <w:sz w:val="24"/>
          <w:szCs w:val="24"/>
        </w:rPr>
        <w:t>well to</w:t>
      </w:r>
      <w:r w:rsidR="00D96165" w:rsidRPr="00825F45">
        <w:rPr>
          <w:rFonts w:asciiTheme="majorHAnsi" w:hAnsiTheme="majorHAnsi"/>
          <w:sz w:val="24"/>
          <w:szCs w:val="24"/>
        </w:rPr>
        <w:t xml:space="preserve"> girls</w:t>
      </w:r>
      <w:r w:rsidR="00FA451D" w:rsidRPr="00825F45">
        <w:rPr>
          <w:rFonts w:asciiTheme="majorHAnsi" w:hAnsiTheme="majorHAnsi"/>
          <w:sz w:val="24"/>
          <w:szCs w:val="24"/>
        </w:rPr>
        <w:t>’</w:t>
      </w:r>
      <w:r w:rsidR="00D96165" w:rsidRPr="00825F45">
        <w:rPr>
          <w:rFonts w:asciiTheme="majorHAnsi" w:hAnsiTheme="majorHAnsi"/>
          <w:sz w:val="24"/>
          <w:szCs w:val="24"/>
        </w:rPr>
        <w:t xml:space="preserve"> claims on rights and to open multiple spaces for </w:t>
      </w:r>
      <w:r w:rsidR="00FA451D" w:rsidRPr="00825F45">
        <w:rPr>
          <w:rFonts w:asciiTheme="majorHAnsi" w:hAnsiTheme="majorHAnsi"/>
          <w:sz w:val="24"/>
          <w:szCs w:val="24"/>
        </w:rPr>
        <w:t>reali</w:t>
      </w:r>
      <w:r w:rsidR="00303166">
        <w:rPr>
          <w:rFonts w:asciiTheme="majorHAnsi" w:hAnsiTheme="majorHAnsi"/>
          <w:sz w:val="24"/>
          <w:szCs w:val="24"/>
        </w:rPr>
        <w:t>s</w:t>
      </w:r>
      <w:r w:rsidR="00FA451D" w:rsidRPr="00825F45">
        <w:rPr>
          <w:rFonts w:asciiTheme="majorHAnsi" w:hAnsiTheme="majorHAnsi"/>
          <w:sz w:val="24"/>
          <w:szCs w:val="24"/>
        </w:rPr>
        <w:t>ation.</w:t>
      </w:r>
    </w:p>
    <w:p w:rsidR="005806B5" w:rsidRDefault="005806B5" w:rsidP="005806B5">
      <w:pPr>
        <w:pStyle w:val="CommentText"/>
        <w:rPr>
          <w:rFonts w:asciiTheme="majorHAnsi" w:hAnsiTheme="majorHAnsi"/>
          <w:b/>
          <w:sz w:val="24"/>
          <w:szCs w:val="24"/>
        </w:rPr>
      </w:pPr>
    </w:p>
    <w:p w:rsidR="005806B5" w:rsidRDefault="005806B5" w:rsidP="005806B5">
      <w:pPr>
        <w:pStyle w:val="CommentText"/>
        <w:rPr>
          <w:rFonts w:asciiTheme="majorHAnsi" w:hAnsiTheme="majorHAnsi"/>
          <w:b/>
          <w:sz w:val="24"/>
          <w:szCs w:val="24"/>
        </w:rPr>
      </w:pPr>
    </w:p>
    <w:p w:rsidR="008125E5" w:rsidRPr="005806B5" w:rsidRDefault="008125E5" w:rsidP="005806B5">
      <w:pPr>
        <w:pStyle w:val="CommentText"/>
        <w:rPr>
          <w:rFonts w:asciiTheme="majorHAnsi" w:hAnsiTheme="majorHAnsi"/>
          <w:sz w:val="24"/>
          <w:szCs w:val="24"/>
        </w:rPr>
      </w:pPr>
      <w:r w:rsidRPr="00825F45">
        <w:rPr>
          <w:rFonts w:asciiTheme="majorHAnsi" w:hAnsiTheme="majorHAnsi" w:cs="Arial"/>
          <w:b/>
          <w:sz w:val="24"/>
          <w:szCs w:val="24"/>
        </w:rPr>
        <w:t>Acknowledgements</w:t>
      </w:r>
    </w:p>
    <w:p w:rsidR="008125E5" w:rsidRPr="00825F45" w:rsidRDefault="008125E5" w:rsidP="005806B5">
      <w:pPr>
        <w:spacing w:after="0" w:line="240" w:lineRule="auto"/>
        <w:jc w:val="both"/>
        <w:rPr>
          <w:rFonts w:asciiTheme="majorHAnsi" w:hAnsiTheme="majorHAnsi" w:cs="Cambria"/>
          <w:b/>
          <w:bCs/>
          <w:sz w:val="24"/>
          <w:szCs w:val="24"/>
        </w:rPr>
      </w:pPr>
      <w:r w:rsidRPr="00825F45">
        <w:rPr>
          <w:rFonts w:asciiTheme="majorHAnsi" w:hAnsiTheme="majorHAnsi"/>
          <w:sz w:val="24"/>
          <w:szCs w:val="24"/>
        </w:rPr>
        <w:t xml:space="preserve">This paper reports on research conducted for the project </w:t>
      </w:r>
      <w:r w:rsidRPr="00825F45">
        <w:rPr>
          <w:rFonts w:asciiTheme="majorHAnsi" w:hAnsiTheme="majorHAnsi"/>
          <w:i/>
          <w:sz w:val="24"/>
          <w:szCs w:val="24"/>
        </w:rPr>
        <w:t xml:space="preserve">Transforming education for girls in Nigeria and </w:t>
      </w:r>
      <w:proofErr w:type="gramStart"/>
      <w:r w:rsidRPr="00825F45">
        <w:rPr>
          <w:rFonts w:asciiTheme="majorHAnsi" w:hAnsiTheme="majorHAnsi"/>
          <w:i/>
          <w:sz w:val="24"/>
          <w:szCs w:val="24"/>
        </w:rPr>
        <w:t>Tanzania</w:t>
      </w:r>
      <w:r w:rsidRPr="00825F45">
        <w:rPr>
          <w:rFonts w:asciiTheme="majorHAnsi" w:hAnsiTheme="majorHAnsi"/>
          <w:sz w:val="24"/>
          <w:szCs w:val="24"/>
        </w:rPr>
        <w:t xml:space="preserve"> ,</w:t>
      </w:r>
      <w:proofErr w:type="gramEnd"/>
      <w:r w:rsidRPr="00825F45">
        <w:rPr>
          <w:rFonts w:asciiTheme="majorHAnsi" w:hAnsiTheme="majorHAnsi"/>
          <w:sz w:val="24"/>
          <w:szCs w:val="24"/>
        </w:rPr>
        <w:t xml:space="preserve"> a special education initiative partnership between Action Aid, Community Action for Popular Participation (CAPP) in Nigeria and </w:t>
      </w:r>
      <w:proofErr w:type="spellStart"/>
      <w:r w:rsidRPr="00825F45">
        <w:rPr>
          <w:rFonts w:asciiTheme="majorHAnsi" w:hAnsiTheme="majorHAnsi"/>
          <w:sz w:val="24"/>
          <w:szCs w:val="24"/>
        </w:rPr>
        <w:t>Maarifa</w:t>
      </w:r>
      <w:proofErr w:type="spellEnd"/>
      <w:r w:rsidRPr="00825F45">
        <w:rPr>
          <w:rFonts w:asciiTheme="majorHAnsi" w:hAnsiTheme="majorHAnsi"/>
          <w:sz w:val="24"/>
          <w:szCs w:val="24"/>
        </w:rPr>
        <w:t xml:space="preserve"> </w:t>
      </w:r>
      <w:proofErr w:type="spellStart"/>
      <w:r w:rsidRPr="00825F45">
        <w:rPr>
          <w:rFonts w:asciiTheme="majorHAnsi" w:hAnsiTheme="majorHAnsi"/>
          <w:sz w:val="24"/>
          <w:szCs w:val="24"/>
        </w:rPr>
        <w:t>ni</w:t>
      </w:r>
      <w:proofErr w:type="spellEnd"/>
      <w:r w:rsidRPr="00825F45">
        <w:rPr>
          <w:rFonts w:asciiTheme="majorHAnsi" w:hAnsiTheme="majorHAnsi"/>
          <w:sz w:val="24"/>
          <w:szCs w:val="24"/>
        </w:rPr>
        <w:t xml:space="preserve"> </w:t>
      </w:r>
      <w:proofErr w:type="spellStart"/>
      <w:r w:rsidRPr="00825F45">
        <w:rPr>
          <w:rFonts w:asciiTheme="majorHAnsi" w:hAnsiTheme="majorHAnsi"/>
          <w:sz w:val="24"/>
          <w:szCs w:val="24"/>
        </w:rPr>
        <w:t>Ufunguo</w:t>
      </w:r>
      <w:proofErr w:type="spellEnd"/>
      <w:r w:rsidRPr="00825F45">
        <w:rPr>
          <w:rFonts w:asciiTheme="majorHAnsi" w:hAnsiTheme="majorHAnsi"/>
          <w:sz w:val="24"/>
          <w:szCs w:val="24"/>
        </w:rPr>
        <w:t xml:space="preserve"> (</w:t>
      </w:r>
      <w:proofErr w:type="spellStart"/>
      <w:r w:rsidRPr="00825F45">
        <w:rPr>
          <w:rFonts w:asciiTheme="majorHAnsi" w:hAnsiTheme="majorHAnsi"/>
          <w:sz w:val="24"/>
          <w:szCs w:val="24"/>
        </w:rPr>
        <w:t>Maarifa</w:t>
      </w:r>
      <w:proofErr w:type="spellEnd"/>
      <w:r w:rsidRPr="00825F45">
        <w:rPr>
          <w:rFonts w:asciiTheme="majorHAnsi" w:hAnsiTheme="majorHAnsi"/>
          <w:sz w:val="24"/>
          <w:szCs w:val="24"/>
        </w:rPr>
        <w:t xml:space="preserve">) in Tanzania, funded by Comic Relief and the </w:t>
      </w:r>
      <w:proofErr w:type="spellStart"/>
      <w:r w:rsidRPr="00825F45">
        <w:rPr>
          <w:rFonts w:asciiTheme="majorHAnsi" w:hAnsiTheme="majorHAnsi"/>
          <w:sz w:val="24"/>
          <w:szCs w:val="24"/>
        </w:rPr>
        <w:t>Tubney</w:t>
      </w:r>
      <w:proofErr w:type="spellEnd"/>
      <w:r w:rsidRPr="00825F45">
        <w:rPr>
          <w:rFonts w:asciiTheme="majorHAnsi" w:hAnsiTheme="majorHAnsi"/>
          <w:sz w:val="24"/>
          <w:szCs w:val="24"/>
        </w:rPr>
        <w:t xml:space="preserve"> Charitable Trust.  Our thanks to the project partnership for permission to use research data gathered as part of the research component of the project, for collaboration on data collection and analysis, and  for the rich discussions  which have accompanied the process connecting research and implementation. </w:t>
      </w:r>
      <w:proofErr w:type="gramStart"/>
      <w:r w:rsidRPr="00825F45">
        <w:rPr>
          <w:rFonts w:asciiTheme="majorHAnsi" w:hAnsiTheme="majorHAnsi"/>
          <w:sz w:val="24"/>
          <w:szCs w:val="24"/>
        </w:rPr>
        <w:t>Particular acknowledgement to</w:t>
      </w:r>
      <w:r w:rsidRPr="00825F45">
        <w:rPr>
          <w:rFonts w:asciiTheme="majorHAnsi" w:hAnsiTheme="majorHAnsi"/>
          <w:bCs/>
          <w:sz w:val="24"/>
          <w:szCs w:val="24"/>
        </w:rPr>
        <w:t xml:space="preserve"> Sonia Exley and Vincenzo Mauro for help with statistical analysis.</w:t>
      </w:r>
      <w:proofErr w:type="gramEnd"/>
      <w:r w:rsidRPr="00825F45">
        <w:rPr>
          <w:rFonts w:asciiTheme="majorHAnsi" w:hAnsiTheme="majorHAnsi"/>
          <w:bCs/>
          <w:sz w:val="24"/>
          <w:szCs w:val="24"/>
        </w:rPr>
        <w:t xml:space="preserve"> Thanks to </w:t>
      </w:r>
      <w:r w:rsidR="0090598E" w:rsidRPr="00825F45">
        <w:rPr>
          <w:rFonts w:asciiTheme="majorHAnsi" w:hAnsiTheme="majorHAnsi"/>
          <w:bCs/>
          <w:sz w:val="24"/>
          <w:szCs w:val="24"/>
        </w:rPr>
        <w:t xml:space="preserve">Louise Wetheridge, Jenny Parkes and Joan DeJaeghere for written comments on the paper, and to </w:t>
      </w:r>
      <w:r w:rsidRPr="00825F45">
        <w:rPr>
          <w:rFonts w:asciiTheme="majorHAnsi" w:hAnsiTheme="majorHAnsi"/>
          <w:bCs/>
          <w:sz w:val="24"/>
          <w:szCs w:val="24"/>
        </w:rPr>
        <w:t>Claire Postles for assistance in formatting the final manuscript and completing bibliographic entries.</w:t>
      </w:r>
    </w:p>
    <w:p w:rsidR="008125E5" w:rsidRPr="00825F45" w:rsidRDefault="008125E5" w:rsidP="005806B5">
      <w:pPr>
        <w:spacing w:after="0" w:line="240" w:lineRule="auto"/>
        <w:rPr>
          <w:rFonts w:asciiTheme="majorHAnsi" w:hAnsiTheme="majorHAnsi" w:cs="Arial"/>
          <w:b/>
          <w:sz w:val="24"/>
          <w:szCs w:val="24"/>
        </w:rPr>
      </w:pPr>
    </w:p>
    <w:p w:rsidR="005806B5" w:rsidRDefault="005806B5" w:rsidP="005806B5">
      <w:pPr>
        <w:spacing w:after="0" w:line="240" w:lineRule="auto"/>
        <w:rPr>
          <w:rFonts w:asciiTheme="majorHAnsi" w:hAnsiTheme="majorHAnsi" w:cs="Arial"/>
          <w:b/>
          <w:sz w:val="24"/>
          <w:szCs w:val="24"/>
        </w:rPr>
      </w:pPr>
    </w:p>
    <w:p w:rsidR="005806B5" w:rsidRDefault="005806B5" w:rsidP="005806B5">
      <w:pPr>
        <w:spacing w:after="0" w:line="240" w:lineRule="auto"/>
        <w:rPr>
          <w:rFonts w:asciiTheme="majorHAnsi" w:hAnsiTheme="majorHAnsi" w:cs="Arial"/>
          <w:b/>
          <w:sz w:val="24"/>
          <w:szCs w:val="24"/>
        </w:rPr>
      </w:pPr>
    </w:p>
    <w:p w:rsidR="007B221F" w:rsidRDefault="00D71F89" w:rsidP="005806B5">
      <w:pPr>
        <w:spacing w:after="0" w:line="240" w:lineRule="auto"/>
        <w:rPr>
          <w:rFonts w:asciiTheme="majorHAnsi" w:hAnsiTheme="majorHAnsi" w:cs="Arial"/>
          <w:b/>
          <w:sz w:val="24"/>
          <w:szCs w:val="24"/>
        </w:rPr>
      </w:pPr>
      <w:r w:rsidRPr="00825F45">
        <w:rPr>
          <w:rFonts w:asciiTheme="majorHAnsi" w:hAnsiTheme="majorHAnsi" w:cs="Arial"/>
          <w:b/>
          <w:sz w:val="24"/>
          <w:szCs w:val="24"/>
        </w:rPr>
        <w:t>References</w:t>
      </w:r>
    </w:p>
    <w:p w:rsidR="005806B5" w:rsidRPr="00825F45" w:rsidRDefault="005806B5" w:rsidP="005806B5">
      <w:pPr>
        <w:spacing w:after="0" w:line="240" w:lineRule="auto"/>
        <w:rPr>
          <w:rFonts w:asciiTheme="majorHAnsi" w:hAnsiTheme="majorHAnsi" w:cs="Arial"/>
          <w:b/>
          <w:sz w:val="24"/>
          <w:szCs w:val="24"/>
        </w:rPr>
      </w:pPr>
    </w:p>
    <w:p w:rsidR="00B90E77" w:rsidRPr="00825F45" w:rsidRDefault="00B90E77" w:rsidP="005806B5">
      <w:pPr>
        <w:spacing w:line="240" w:lineRule="auto"/>
        <w:rPr>
          <w:rFonts w:asciiTheme="majorHAnsi" w:hAnsiTheme="majorHAnsi" w:cs="Arial"/>
          <w:sz w:val="24"/>
          <w:szCs w:val="24"/>
        </w:rPr>
      </w:pPr>
      <w:r w:rsidRPr="00825F45">
        <w:rPr>
          <w:rFonts w:asciiTheme="majorHAnsi" w:hAnsiTheme="majorHAnsi" w:cs="Arial"/>
          <w:sz w:val="24"/>
          <w:szCs w:val="24"/>
        </w:rPr>
        <w:t>Abrah</w:t>
      </w:r>
      <w:r w:rsidR="00812D20" w:rsidRPr="00825F45">
        <w:rPr>
          <w:rFonts w:asciiTheme="majorHAnsi" w:hAnsiTheme="majorHAnsi" w:cs="Arial"/>
          <w:sz w:val="24"/>
          <w:szCs w:val="24"/>
        </w:rPr>
        <w:t>ams, Y.</w:t>
      </w:r>
      <w:r w:rsidR="00037F6B">
        <w:rPr>
          <w:rFonts w:asciiTheme="majorHAnsi" w:hAnsiTheme="majorHAnsi" w:cs="Arial"/>
          <w:sz w:val="24"/>
          <w:szCs w:val="24"/>
        </w:rPr>
        <w:t xml:space="preserve">, </w:t>
      </w:r>
      <w:r w:rsidR="00CE637F" w:rsidRPr="00825F45">
        <w:rPr>
          <w:rFonts w:asciiTheme="majorHAnsi" w:hAnsiTheme="majorHAnsi" w:cs="Arial"/>
          <w:sz w:val="24"/>
          <w:szCs w:val="24"/>
        </w:rPr>
        <w:t>2007</w:t>
      </w:r>
      <w:r w:rsidR="00BA4BC9" w:rsidRPr="00825F45">
        <w:rPr>
          <w:rFonts w:asciiTheme="majorHAnsi" w:hAnsiTheme="majorHAnsi" w:cs="Arial"/>
          <w:sz w:val="24"/>
          <w:szCs w:val="24"/>
        </w:rPr>
        <w:t>. Ambiguity is my middle name: A research diary.</w:t>
      </w:r>
      <w:r w:rsidR="00CE637F" w:rsidRPr="00825F45">
        <w:rPr>
          <w:rFonts w:asciiTheme="majorHAnsi" w:hAnsiTheme="majorHAnsi" w:cs="Arial"/>
          <w:sz w:val="24"/>
          <w:szCs w:val="24"/>
        </w:rPr>
        <w:t xml:space="preserve"> </w:t>
      </w:r>
      <w:r w:rsidR="00BA4BC9" w:rsidRPr="00825F45">
        <w:rPr>
          <w:rFonts w:asciiTheme="majorHAnsi" w:hAnsiTheme="majorHAnsi" w:cs="Arial"/>
          <w:sz w:val="24"/>
          <w:szCs w:val="24"/>
        </w:rPr>
        <w:t xml:space="preserve">In </w:t>
      </w:r>
      <w:r w:rsidR="00812D20" w:rsidRPr="00825F45">
        <w:rPr>
          <w:rFonts w:asciiTheme="majorHAnsi" w:hAnsiTheme="majorHAnsi" w:cs="Arial"/>
          <w:sz w:val="24"/>
          <w:szCs w:val="24"/>
        </w:rPr>
        <w:t xml:space="preserve">Gaza, N. </w:t>
      </w:r>
      <w:r w:rsidR="00BA4BC9" w:rsidRPr="00825F45">
        <w:rPr>
          <w:rFonts w:asciiTheme="majorHAnsi" w:hAnsiTheme="majorHAnsi" w:cs="Arial"/>
          <w:sz w:val="24"/>
          <w:szCs w:val="24"/>
        </w:rPr>
        <w:t>(</w:t>
      </w:r>
      <w:proofErr w:type="spellStart"/>
      <w:proofErr w:type="gramStart"/>
      <w:r w:rsidR="00812D20" w:rsidRPr="00825F45">
        <w:rPr>
          <w:rFonts w:asciiTheme="majorHAnsi" w:hAnsiTheme="majorHAnsi" w:cs="Arial"/>
          <w:sz w:val="24"/>
          <w:szCs w:val="24"/>
        </w:rPr>
        <w:t>ed</w:t>
      </w:r>
      <w:proofErr w:type="spellEnd"/>
      <w:proofErr w:type="gramEnd"/>
      <w:r w:rsidR="00BA4BC9" w:rsidRPr="00825F45">
        <w:rPr>
          <w:rFonts w:asciiTheme="majorHAnsi" w:hAnsiTheme="majorHAnsi" w:cs="Arial"/>
          <w:sz w:val="24"/>
          <w:szCs w:val="24"/>
        </w:rPr>
        <w:t>)</w:t>
      </w:r>
      <w:r w:rsidR="00812D20" w:rsidRPr="00825F45">
        <w:rPr>
          <w:rStyle w:val="field-description-value"/>
          <w:rFonts w:asciiTheme="majorHAnsi" w:hAnsiTheme="majorHAnsi" w:cs="Arial"/>
          <w:sz w:val="24"/>
          <w:szCs w:val="24"/>
        </w:rPr>
        <w:t xml:space="preserve"> Women in South African History. </w:t>
      </w:r>
      <w:r w:rsidR="00812D20" w:rsidRPr="00825F45">
        <w:rPr>
          <w:rStyle w:val="field-description-value"/>
          <w:rFonts w:asciiTheme="majorHAnsi" w:hAnsiTheme="majorHAnsi" w:cs="Arial"/>
          <w:i/>
          <w:sz w:val="24"/>
          <w:szCs w:val="24"/>
        </w:rPr>
        <w:t xml:space="preserve"> </w:t>
      </w:r>
      <w:r w:rsidR="00812D20" w:rsidRPr="00825F45">
        <w:rPr>
          <w:rStyle w:val="field-description-value"/>
          <w:rFonts w:asciiTheme="majorHAnsi" w:hAnsiTheme="majorHAnsi" w:cs="Arial"/>
          <w:sz w:val="24"/>
          <w:szCs w:val="24"/>
        </w:rPr>
        <w:t>Human Sciences Research Council, Pretoria</w:t>
      </w:r>
    </w:p>
    <w:p w:rsidR="00D2388F" w:rsidRPr="00F87FBF" w:rsidRDefault="00D2388F"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Aikman, S.</w:t>
      </w:r>
      <w:r w:rsidR="00037F6B" w:rsidRPr="00F87FBF">
        <w:rPr>
          <w:rFonts w:asciiTheme="majorHAnsi" w:hAnsiTheme="majorHAnsi" w:cs="Arial"/>
          <w:sz w:val="24"/>
          <w:szCs w:val="24"/>
        </w:rPr>
        <w:t>,</w:t>
      </w:r>
      <w:r w:rsidRPr="00F87FBF">
        <w:rPr>
          <w:rFonts w:asciiTheme="majorHAnsi" w:hAnsiTheme="majorHAnsi" w:cs="Arial"/>
          <w:sz w:val="24"/>
          <w:szCs w:val="24"/>
        </w:rPr>
        <w:t xml:space="preserve"> 1999</w:t>
      </w:r>
      <w:r w:rsidR="00A75A50" w:rsidRPr="00F87FBF">
        <w:rPr>
          <w:rFonts w:asciiTheme="majorHAnsi" w:hAnsiTheme="majorHAnsi" w:cs="Arial"/>
          <w:sz w:val="24"/>
          <w:szCs w:val="24"/>
        </w:rPr>
        <w:t>.</w:t>
      </w:r>
      <w:proofErr w:type="gramEnd"/>
      <w:r w:rsidR="00A75A50" w:rsidRPr="00F87FBF">
        <w:rPr>
          <w:rFonts w:asciiTheme="majorHAnsi" w:hAnsiTheme="majorHAnsi" w:cs="Arial"/>
          <w:sz w:val="24"/>
          <w:szCs w:val="24"/>
        </w:rPr>
        <w:t xml:space="preserve"> Schooling and Development: Eroding Amazon Women’s Knowledge and Diversity. In </w:t>
      </w:r>
      <w:proofErr w:type="spellStart"/>
      <w:r w:rsidR="00A75A50" w:rsidRPr="00F87FBF">
        <w:rPr>
          <w:rFonts w:asciiTheme="majorHAnsi" w:hAnsiTheme="majorHAnsi" w:cs="Arial"/>
          <w:sz w:val="24"/>
          <w:szCs w:val="24"/>
        </w:rPr>
        <w:t>Heward</w:t>
      </w:r>
      <w:proofErr w:type="spellEnd"/>
      <w:r w:rsidR="00A75A50" w:rsidRPr="00F87FBF">
        <w:rPr>
          <w:rFonts w:asciiTheme="majorHAnsi" w:hAnsiTheme="majorHAnsi" w:cs="Arial"/>
          <w:sz w:val="24"/>
          <w:szCs w:val="24"/>
        </w:rPr>
        <w:t xml:space="preserve">, C., </w:t>
      </w:r>
      <w:proofErr w:type="spellStart"/>
      <w:r w:rsidR="00A75A50" w:rsidRPr="00F87FBF">
        <w:rPr>
          <w:rFonts w:asciiTheme="majorHAnsi" w:hAnsiTheme="majorHAnsi" w:cs="Arial"/>
          <w:sz w:val="24"/>
          <w:szCs w:val="24"/>
        </w:rPr>
        <w:t>Bunwaree</w:t>
      </w:r>
      <w:proofErr w:type="spellEnd"/>
      <w:r w:rsidR="00A75A50" w:rsidRPr="00F87FBF">
        <w:rPr>
          <w:rFonts w:asciiTheme="majorHAnsi" w:hAnsiTheme="majorHAnsi" w:cs="Arial"/>
          <w:sz w:val="24"/>
          <w:szCs w:val="24"/>
        </w:rPr>
        <w:t>, S (Eds.) Gender, Education and Development: beyond access to empowerment, Zed Books, London, pp. 65-82.</w:t>
      </w:r>
    </w:p>
    <w:p w:rsidR="00A477B2" w:rsidRPr="00F87FBF" w:rsidRDefault="00A477B2" w:rsidP="005806B5">
      <w:pPr>
        <w:spacing w:line="240" w:lineRule="auto"/>
        <w:rPr>
          <w:rFonts w:asciiTheme="majorHAnsi" w:hAnsiTheme="majorHAnsi" w:cs="Arial"/>
          <w:sz w:val="24"/>
          <w:szCs w:val="24"/>
        </w:rPr>
      </w:pPr>
      <w:r w:rsidRPr="00F87FBF">
        <w:rPr>
          <w:rFonts w:asciiTheme="majorHAnsi" w:hAnsiTheme="majorHAnsi" w:cs="Arial"/>
          <w:sz w:val="24"/>
          <w:szCs w:val="24"/>
        </w:rPr>
        <w:t>Aikman, S. and Unterhalter, E., 2013, Gender equality, capabilities and the terrain of quality education</w:t>
      </w:r>
      <w:r w:rsidR="00671337">
        <w:rPr>
          <w:rFonts w:asciiTheme="majorHAnsi" w:hAnsiTheme="majorHAnsi" w:cs="Arial"/>
          <w:sz w:val="24"/>
          <w:szCs w:val="24"/>
        </w:rPr>
        <w:t>,</w:t>
      </w:r>
      <w:r w:rsidRPr="00F87FBF">
        <w:rPr>
          <w:rFonts w:asciiTheme="majorHAnsi" w:hAnsiTheme="majorHAnsi" w:cs="Arial"/>
          <w:sz w:val="24"/>
          <w:szCs w:val="24"/>
        </w:rPr>
        <w:t xml:space="preserve"> in </w:t>
      </w:r>
      <w:proofErr w:type="spellStart"/>
      <w:r w:rsidRPr="00F87FBF">
        <w:rPr>
          <w:rFonts w:asciiTheme="majorHAnsi" w:hAnsiTheme="majorHAnsi" w:cs="Arial"/>
          <w:sz w:val="24"/>
          <w:szCs w:val="24"/>
        </w:rPr>
        <w:t>Tikly</w:t>
      </w:r>
      <w:proofErr w:type="spellEnd"/>
      <w:r w:rsidRPr="00F87FBF">
        <w:rPr>
          <w:rFonts w:asciiTheme="majorHAnsi" w:hAnsiTheme="majorHAnsi" w:cs="Arial"/>
          <w:sz w:val="24"/>
          <w:szCs w:val="24"/>
        </w:rPr>
        <w:t xml:space="preserve">, L. and </w:t>
      </w:r>
      <w:proofErr w:type="spellStart"/>
      <w:r w:rsidRPr="00F87FBF">
        <w:rPr>
          <w:rFonts w:asciiTheme="majorHAnsi" w:hAnsiTheme="majorHAnsi" w:cs="Arial"/>
          <w:sz w:val="24"/>
          <w:szCs w:val="24"/>
        </w:rPr>
        <w:t>Barrrett</w:t>
      </w:r>
      <w:proofErr w:type="spellEnd"/>
      <w:r w:rsidRPr="00F87FBF">
        <w:rPr>
          <w:rFonts w:asciiTheme="majorHAnsi" w:hAnsiTheme="majorHAnsi" w:cs="Arial"/>
          <w:sz w:val="24"/>
          <w:szCs w:val="24"/>
        </w:rPr>
        <w:t xml:space="preserve">, A.M. </w:t>
      </w:r>
      <w:r w:rsidR="00EB7655">
        <w:rPr>
          <w:rFonts w:asciiTheme="majorHAnsi" w:hAnsiTheme="majorHAnsi" w:cs="Arial"/>
          <w:sz w:val="24"/>
          <w:szCs w:val="24"/>
        </w:rPr>
        <w:t>(E</w:t>
      </w:r>
      <w:r w:rsidRPr="00F87FBF">
        <w:rPr>
          <w:rFonts w:asciiTheme="majorHAnsi" w:hAnsiTheme="majorHAnsi" w:cs="Arial"/>
          <w:sz w:val="24"/>
          <w:szCs w:val="24"/>
        </w:rPr>
        <w:t>ds.</w:t>
      </w:r>
      <w:r w:rsidR="00EB7655">
        <w:rPr>
          <w:rFonts w:asciiTheme="majorHAnsi" w:hAnsiTheme="majorHAnsi" w:cs="Arial"/>
          <w:sz w:val="24"/>
          <w:szCs w:val="24"/>
        </w:rPr>
        <w:t>)</w:t>
      </w:r>
      <w:r w:rsidRPr="00F87FBF">
        <w:rPr>
          <w:rFonts w:asciiTheme="majorHAnsi" w:hAnsiTheme="majorHAnsi" w:cs="Arial"/>
          <w:sz w:val="24"/>
          <w:szCs w:val="24"/>
        </w:rPr>
        <w:t xml:space="preserve"> </w:t>
      </w:r>
      <w:r w:rsidR="00C46926" w:rsidRPr="00C46926">
        <w:rPr>
          <w:rFonts w:asciiTheme="majorHAnsi" w:hAnsiTheme="majorHAnsi" w:cs="Arial"/>
          <w:sz w:val="24"/>
          <w:szCs w:val="24"/>
        </w:rPr>
        <w:t>Education quality and social justice in the global south</w:t>
      </w:r>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Routledge</w:t>
      </w:r>
      <w:proofErr w:type="spellEnd"/>
      <w:r w:rsidRPr="00F87FBF">
        <w:rPr>
          <w:rFonts w:asciiTheme="majorHAnsi" w:hAnsiTheme="majorHAnsi" w:cs="Arial"/>
          <w:sz w:val="24"/>
          <w:szCs w:val="24"/>
        </w:rPr>
        <w:t xml:space="preserve">, </w:t>
      </w:r>
      <w:r w:rsidR="00EB7655">
        <w:rPr>
          <w:rFonts w:asciiTheme="majorHAnsi" w:hAnsiTheme="majorHAnsi" w:cs="Arial"/>
          <w:sz w:val="24"/>
          <w:szCs w:val="24"/>
        </w:rPr>
        <w:t>Abingdon.</w:t>
      </w:r>
      <w:r w:rsidR="00EB7655"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25-39.</w:t>
      </w:r>
      <w:proofErr w:type="gramEnd"/>
    </w:p>
    <w:p w:rsidR="00AE530F" w:rsidRPr="00F87FBF" w:rsidRDefault="00AE530F"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Aikman, S. and Unterhalter, E. (Eds.) 2005, Beyond Access.</w:t>
      </w:r>
      <w:proofErr w:type="gramEnd"/>
      <w:r w:rsidRPr="00F87FBF">
        <w:rPr>
          <w:rFonts w:asciiTheme="majorHAnsi" w:hAnsiTheme="majorHAnsi" w:cs="Arial"/>
          <w:sz w:val="24"/>
          <w:szCs w:val="24"/>
        </w:rPr>
        <w:t xml:space="preserve"> Oxfam, Oxford</w:t>
      </w:r>
      <w:r w:rsidR="00EB7655">
        <w:rPr>
          <w:rFonts w:asciiTheme="majorHAnsi" w:hAnsiTheme="majorHAnsi" w:cs="Arial"/>
          <w:sz w:val="24"/>
          <w:szCs w:val="24"/>
        </w:rPr>
        <w:t>.</w:t>
      </w:r>
    </w:p>
    <w:p w:rsidR="00F70CA1" w:rsidRPr="00F87FBF" w:rsidRDefault="00F70CA1"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rPr>
        <w:t>Akunga</w:t>
      </w:r>
      <w:proofErr w:type="spellEnd"/>
      <w:r w:rsidRPr="00F87FBF">
        <w:rPr>
          <w:rFonts w:asciiTheme="majorHAnsi" w:hAnsiTheme="majorHAnsi" w:cs="Arial"/>
          <w:sz w:val="24"/>
          <w:szCs w:val="24"/>
        </w:rPr>
        <w:t>, A.</w:t>
      </w:r>
      <w:r w:rsidR="00452A48"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Attfield</w:t>
      </w:r>
      <w:proofErr w:type="spellEnd"/>
      <w:r w:rsidRPr="00F87FBF">
        <w:rPr>
          <w:rFonts w:asciiTheme="majorHAnsi" w:hAnsiTheme="majorHAnsi" w:cs="Arial"/>
          <w:sz w:val="24"/>
          <w:szCs w:val="24"/>
        </w:rPr>
        <w:t>, I.</w:t>
      </w:r>
      <w:r w:rsidR="00037F6B" w:rsidRPr="00F87FBF">
        <w:rPr>
          <w:rFonts w:asciiTheme="majorHAnsi" w:hAnsiTheme="majorHAnsi" w:cs="Arial"/>
          <w:sz w:val="24"/>
          <w:szCs w:val="24"/>
        </w:rPr>
        <w:t>,</w:t>
      </w:r>
      <w:r w:rsidR="00A075B9" w:rsidRPr="00F87FBF">
        <w:rPr>
          <w:rFonts w:asciiTheme="majorHAnsi" w:hAnsiTheme="majorHAnsi" w:cs="Arial"/>
          <w:sz w:val="24"/>
          <w:szCs w:val="24"/>
        </w:rPr>
        <w:t xml:space="preserve"> </w:t>
      </w:r>
      <w:r w:rsidRPr="00F87FBF">
        <w:rPr>
          <w:rFonts w:asciiTheme="majorHAnsi" w:hAnsiTheme="majorHAnsi" w:cs="Arial"/>
          <w:sz w:val="24"/>
          <w:szCs w:val="24"/>
        </w:rPr>
        <w:t>2010</w:t>
      </w:r>
      <w:r w:rsidR="00452A48" w:rsidRPr="00F87FBF">
        <w:rPr>
          <w:rFonts w:asciiTheme="majorHAnsi" w:hAnsiTheme="majorHAnsi" w:cs="Arial"/>
          <w:sz w:val="24"/>
          <w:szCs w:val="24"/>
        </w:rPr>
        <w:t>.</w:t>
      </w:r>
      <w:r w:rsidRPr="00F87FBF">
        <w:rPr>
          <w:rFonts w:asciiTheme="majorHAnsi" w:hAnsiTheme="majorHAnsi" w:cs="Arial"/>
          <w:sz w:val="24"/>
          <w:szCs w:val="24"/>
        </w:rPr>
        <w:t xml:space="preserve"> Northern Nigeria: Approaches to Enrolling Girls in School and Providing a Meaningful Education to Empower Change.  Paper 06, E4 conference, </w:t>
      </w:r>
      <w:hyperlink r:id="rId8" w:history="1">
        <w:r w:rsidRPr="00F87FBF">
          <w:rPr>
            <w:rStyle w:val="Hyperlink"/>
            <w:rFonts w:asciiTheme="majorHAnsi" w:hAnsiTheme="majorHAnsi" w:cs="Arial"/>
            <w:sz w:val="24"/>
            <w:szCs w:val="24"/>
          </w:rPr>
          <w:t>www.e4conference.org</w:t>
        </w:r>
      </w:hyperlink>
    </w:p>
    <w:p w:rsidR="00F70CA1" w:rsidRPr="00F87FBF" w:rsidRDefault="00E03CF1"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rPr>
        <w:lastRenderedPageBreak/>
        <w:t>Ag</w:t>
      </w:r>
      <w:r w:rsidR="00F70CA1" w:rsidRPr="00F87FBF">
        <w:rPr>
          <w:rFonts w:asciiTheme="majorHAnsi" w:hAnsiTheme="majorHAnsi" w:cs="Arial"/>
          <w:sz w:val="24"/>
          <w:szCs w:val="24"/>
        </w:rPr>
        <w:t>a</w:t>
      </w:r>
      <w:r w:rsidRPr="00F87FBF">
        <w:rPr>
          <w:rFonts w:asciiTheme="majorHAnsi" w:hAnsiTheme="majorHAnsi" w:cs="Arial"/>
          <w:sz w:val="24"/>
          <w:szCs w:val="24"/>
        </w:rPr>
        <w:t>r</w:t>
      </w:r>
      <w:r w:rsidR="00F70CA1" w:rsidRPr="00F87FBF">
        <w:rPr>
          <w:rFonts w:asciiTheme="majorHAnsi" w:hAnsiTheme="majorHAnsi" w:cs="Arial"/>
          <w:sz w:val="24"/>
          <w:szCs w:val="24"/>
        </w:rPr>
        <w:t>wal</w:t>
      </w:r>
      <w:proofErr w:type="gramStart"/>
      <w:r w:rsidR="00452A48" w:rsidRPr="00F87FBF">
        <w:rPr>
          <w:rFonts w:asciiTheme="majorHAnsi" w:hAnsiTheme="majorHAnsi" w:cs="Arial"/>
          <w:sz w:val="24"/>
          <w:szCs w:val="24"/>
        </w:rPr>
        <w:t>,B</w:t>
      </w:r>
      <w:proofErr w:type="spellEnd"/>
      <w:proofErr w:type="gramEnd"/>
      <w:r w:rsidR="00452A48" w:rsidRPr="00F87FBF">
        <w:rPr>
          <w:rFonts w:asciiTheme="majorHAnsi" w:hAnsiTheme="majorHAnsi" w:cs="Arial"/>
          <w:sz w:val="24"/>
          <w:szCs w:val="24"/>
        </w:rPr>
        <w:t xml:space="preserve">., </w:t>
      </w:r>
      <w:r w:rsidRPr="00F87FBF">
        <w:rPr>
          <w:rFonts w:asciiTheme="majorHAnsi" w:hAnsiTheme="majorHAnsi" w:cs="Arial"/>
          <w:sz w:val="24"/>
          <w:szCs w:val="24"/>
        </w:rPr>
        <w:t>Humphries,</w:t>
      </w:r>
      <w:r w:rsidR="00452A48" w:rsidRPr="00F87FBF">
        <w:rPr>
          <w:rFonts w:asciiTheme="majorHAnsi" w:hAnsiTheme="majorHAnsi" w:cs="Arial"/>
          <w:sz w:val="24"/>
          <w:szCs w:val="24"/>
        </w:rPr>
        <w:t xml:space="preserve"> J., </w:t>
      </w:r>
      <w:r w:rsidRPr="00F87FBF">
        <w:rPr>
          <w:rFonts w:asciiTheme="majorHAnsi" w:hAnsiTheme="majorHAnsi" w:cs="Arial"/>
          <w:sz w:val="24"/>
          <w:szCs w:val="24"/>
        </w:rPr>
        <w:t>Robeyns</w:t>
      </w:r>
      <w:r w:rsidR="00452A48" w:rsidRPr="00F87FBF">
        <w:rPr>
          <w:rFonts w:asciiTheme="majorHAnsi" w:hAnsiTheme="majorHAnsi" w:cs="Arial"/>
          <w:sz w:val="24"/>
          <w:szCs w:val="24"/>
        </w:rPr>
        <w:t xml:space="preserve">, I., 2007. Capabilities, Freedom, and Equality: </w:t>
      </w:r>
      <w:proofErr w:type="spellStart"/>
      <w:r w:rsidR="00452A48" w:rsidRPr="00F87FBF">
        <w:rPr>
          <w:rFonts w:asciiTheme="majorHAnsi" w:hAnsiTheme="majorHAnsi" w:cs="Arial"/>
          <w:sz w:val="24"/>
          <w:szCs w:val="24"/>
        </w:rPr>
        <w:t>Amartya</w:t>
      </w:r>
      <w:proofErr w:type="spellEnd"/>
      <w:r w:rsidR="00452A48" w:rsidRPr="00F87FBF">
        <w:rPr>
          <w:rFonts w:asciiTheme="majorHAnsi" w:hAnsiTheme="majorHAnsi" w:cs="Arial"/>
          <w:sz w:val="24"/>
          <w:szCs w:val="24"/>
        </w:rPr>
        <w:t xml:space="preserve"> </w:t>
      </w:r>
      <w:proofErr w:type="spellStart"/>
      <w:r w:rsidR="00452A48" w:rsidRPr="00F87FBF">
        <w:rPr>
          <w:rFonts w:asciiTheme="majorHAnsi" w:hAnsiTheme="majorHAnsi" w:cs="Arial"/>
          <w:sz w:val="24"/>
          <w:szCs w:val="24"/>
        </w:rPr>
        <w:t>Sen’s</w:t>
      </w:r>
      <w:proofErr w:type="spellEnd"/>
      <w:r w:rsidR="00452A48" w:rsidRPr="00F87FBF">
        <w:rPr>
          <w:rFonts w:asciiTheme="majorHAnsi" w:hAnsiTheme="majorHAnsi" w:cs="Arial"/>
          <w:sz w:val="24"/>
          <w:szCs w:val="24"/>
        </w:rPr>
        <w:t xml:space="preserve"> Work from a Gender Perspective. Oxford University Press</w:t>
      </w:r>
      <w:r w:rsidR="00EB7655">
        <w:rPr>
          <w:rFonts w:asciiTheme="majorHAnsi" w:hAnsiTheme="majorHAnsi" w:cs="Arial"/>
          <w:sz w:val="24"/>
          <w:szCs w:val="24"/>
        </w:rPr>
        <w:t>,</w:t>
      </w:r>
      <w:r w:rsidR="00452A48" w:rsidRPr="00F87FBF">
        <w:rPr>
          <w:rFonts w:asciiTheme="majorHAnsi" w:hAnsiTheme="majorHAnsi" w:cs="Arial"/>
          <w:sz w:val="24"/>
          <w:szCs w:val="24"/>
        </w:rPr>
        <w:t xml:space="preserve"> New Delhi</w:t>
      </w:r>
      <w:r w:rsidR="00877602" w:rsidRPr="00F87FBF">
        <w:rPr>
          <w:rFonts w:asciiTheme="majorHAnsi" w:hAnsiTheme="majorHAnsi" w:cs="Arial"/>
          <w:sz w:val="24"/>
          <w:szCs w:val="24"/>
        </w:rPr>
        <w:t>.</w:t>
      </w:r>
    </w:p>
    <w:p w:rsidR="00455FB3" w:rsidRDefault="00455FB3" w:rsidP="005806B5">
      <w:pPr>
        <w:spacing w:line="240" w:lineRule="auto"/>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Andreotti</w:t>
      </w:r>
      <w:proofErr w:type="spellEnd"/>
      <w:r>
        <w:rPr>
          <w:rFonts w:ascii="Arial" w:hAnsi="Arial" w:cs="Arial"/>
          <w:color w:val="222222"/>
          <w:sz w:val="20"/>
          <w:szCs w:val="20"/>
          <w:shd w:val="clear" w:color="auto" w:fill="FFFFFF"/>
        </w:rPr>
        <w:t>, V. (2011).</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Actionable Postcolonial Theory in Education.</w:t>
      </w:r>
      <w:proofErr w:type="gramEnd"/>
      <w:r>
        <w:rPr>
          <w:rFonts w:ascii="Arial" w:hAnsi="Arial" w:cs="Arial"/>
          <w:i/>
          <w:iCs/>
          <w:color w:val="222222"/>
          <w:sz w:val="20"/>
          <w:szCs w:val="20"/>
          <w:shd w:val="clear" w:color="auto" w:fill="FFFFFF"/>
        </w:rPr>
        <w:t xml:space="preserve"> </w:t>
      </w:r>
      <w:proofErr w:type="gramStart"/>
      <w:r>
        <w:rPr>
          <w:rFonts w:ascii="Arial" w:hAnsi="Arial" w:cs="Arial"/>
          <w:i/>
          <w:iCs/>
          <w:color w:val="222222"/>
          <w:sz w:val="20"/>
          <w:szCs w:val="20"/>
          <w:shd w:val="clear" w:color="auto" w:fill="FFFFFF"/>
        </w:rPr>
        <w:t>Postcolonial Studies in Education</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Palgrave Macmillan. New York</w:t>
      </w:r>
      <w:proofErr w:type="gramStart"/>
      <w:r>
        <w:rPr>
          <w:rFonts w:ascii="Arial" w:hAnsi="Arial" w:cs="Arial"/>
          <w:color w:val="222222"/>
          <w:sz w:val="20"/>
          <w:szCs w:val="20"/>
          <w:shd w:val="clear" w:color="auto" w:fill="FFFFFF"/>
        </w:rPr>
        <w:t>, .</w:t>
      </w:r>
      <w:proofErr w:type="gramEnd"/>
    </w:p>
    <w:p w:rsidR="00B90E77" w:rsidRPr="00F87FBF" w:rsidRDefault="00CE637F" w:rsidP="005806B5">
      <w:pPr>
        <w:spacing w:line="240" w:lineRule="auto"/>
        <w:rPr>
          <w:rFonts w:asciiTheme="majorHAnsi" w:hAnsiTheme="majorHAnsi" w:cs="Arial"/>
          <w:sz w:val="24"/>
          <w:szCs w:val="24"/>
          <w:lang w:val="es-ES_tradnl"/>
        </w:rPr>
      </w:pPr>
      <w:proofErr w:type="spellStart"/>
      <w:proofErr w:type="gramStart"/>
      <w:r w:rsidRPr="00F87FBF">
        <w:rPr>
          <w:rFonts w:asciiTheme="majorHAnsi" w:hAnsiTheme="majorHAnsi"/>
          <w:sz w:val="24"/>
          <w:szCs w:val="24"/>
        </w:rPr>
        <w:t>Arnfred</w:t>
      </w:r>
      <w:proofErr w:type="spellEnd"/>
      <w:r w:rsidR="00C505A6" w:rsidRPr="00F87FBF">
        <w:rPr>
          <w:rFonts w:asciiTheme="majorHAnsi" w:hAnsiTheme="majorHAnsi"/>
          <w:sz w:val="24"/>
          <w:szCs w:val="24"/>
        </w:rPr>
        <w:t>, S.,</w:t>
      </w:r>
      <w:r w:rsidRPr="00F87FBF">
        <w:rPr>
          <w:rFonts w:asciiTheme="majorHAnsi" w:hAnsiTheme="majorHAnsi"/>
          <w:sz w:val="24"/>
          <w:szCs w:val="24"/>
        </w:rPr>
        <w:t xml:space="preserve"> </w:t>
      </w:r>
      <w:proofErr w:type="spellStart"/>
      <w:r w:rsidRPr="00F87FBF">
        <w:rPr>
          <w:rFonts w:asciiTheme="majorHAnsi" w:hAnsiTheme="majorHAnsi"/>
          <w:sz w:val="24"/>
          <w:szCs w:val="24"/>
        </w:rPr>
        <w:t>Adomako</w:t>
      </w:r>
      <w:proofErr w:type="spellEnd"/>
      <w:r w:rsidR="00C505A6" w:rsidRPr="00F87FBF">
        <w:rPr>
          <w:rFonts w:asciiTheme="majorHAnsi" w:hAnsiTheme="majorHAnsi"/>
          <w:sz w:val="24"/>
          <w:szCs w:val="24"/>
        </w:rPr>
        <w:t>, A.A</w:t>
      </w:r>
      <w:r w:rsidR="00D56C8A" w:rsidRPr="00F87FBF">
        <w:rPr>
          <w:rFonts w:asciiTheme="majorHAnsi" w:hAnsiTheme="majorHAnsi"/>
          <w:sz w:val="24"/>
          <w:szCs w:val="24"/>
        </w:rPr>
        <w:t>.</w:t>
      </w:r>
      <w:r w:rsidR="00037F6B" w:rsidRPr="00F87FBF">
        <w:rPr>
          <w:rFonts w:asciiTheme="majorHAnsi" w:hAnsiTheme="majorHAnsi"/>
          <w:sz w:val="24"/>
          <w:szCs w:val="24"/>
        </w:rPr>
        <w:t>,</w:t>
      </w:r>
      <w:r w:rsidR="00D56C8A" w:rsidRPr="00F87FBF">
        <w:rPr>
          <w:rFonts w:asciiTheme="majorHAnsi" w:hAnsiTheme="majorHAnsi"/>
          <w:sz w:val="24"/>
          <w:szCs w:val="24"/>
        </w:rPr>
        <w:t xml:space="preserve"> </w:t>
      </w:r>
      <w:r w:rsidRPr="00F87FBF">
        <w:rPr>
          <w:rFonts w:asciiTheme="majorHAnsi" w:hAnsiTheme="majorHAnsi"/>
          <w:sz w:val="24"/>
          <w:szCs w:val="24"/>
        </w:rPr>
        <w:t>2010</w:t>
      </w:r>
      <w:r w:rsidR="00C46926" w:rsidRPr="00C46926">
        <w:rPr>
          <w:rFonts w:asciiTheme="majorHAnsi" w:hAnsiTheme="majorHAnsi"/>
          <w:sz w:val="24"/>
          <w:szCs w:val="24"/>
        </w:rPr>
        <w:t>.</w:t>
      </w:r>
      <w:proofErr w:type="gramEnd"/>
      <w:r w:rsidR="00C46926" w:rsidRPr="00C46926">
        <w:rPr>
          <w:rFonts w:asciiTheme="majorHAnsi" w:hAnsiTheme="majorHAnsi"/>
          <w:sz w:val="24"/>
          <w:szCs w:val="24"/>
        </w:rPr>
        <w:t xml:space="preserve"> </w:t>
      </w:r>
      <w:proofErr w:type="spellStart"/>
      <w:r w:rsidR="00C46926" w:rsidRPr="00C46926">
        <w:rPr>
          <w:rFonts w:asciiTheme="majorHAnsi" w:hAnsiTheme="majorHAnsi"/>
          <w:iCs/>
          <w:sz w:val="24"/>
          <w:szCs w:val="24"/>
        </w:rPr>
        <w:t>Africanist</w:t>
      </w:r>
      <w:proofErr w:type="spellEnd"/>
      <w:r w:rsidR="00C46926" w:rsidRPr="00C46926">
        <w:rPr>
          <w:rFonts w:asciiTheme="majorHAnsi" w:hAnsiTheme="majorHAnsi"/>
          <w:iCs/>
          <w:sz w:val="24"/>
          <w:szCs w:val="24"/>
        </w:rPr>
        <w:t xml:space="preserve"> Feminist Politics of Knowledge: Tensions, Challenges, and Possibilities</w:t>
      </w:r>
      <w:r w:rsidR="00C505A6" w:rsidRPr="00F87FBF">
        <w:rPr>
          <w:rFonts w:asciiTheme="majorHAnsi" w:hAnsiTheme="majorHAnsi"/>
          <w:iCs/>
          <w:sz w:val="24"/>
          <w:szCs w:val="24"/>
        </w:rPr>
        <w:t>. Africa Today 58 (1), pp.136-137</w:t>
      </w:r>
    </w:p>
    <w:p w:rsidR="00877602" w:rsidRPr="00F87FBF" w:rsidRDefault="00877602"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lang w:val="es-ES_tradnl"/>
        </w:rPr>
        <w:t>Bendera</w:t>
      </w:r>
      <w:proofErr w:type="spellEnd"/>
      <w:r w:rsidRPr="00F87FBF">
        <w:rPr>
          <w:rFonts w:asciiTheme="majorHAnsi" w:hAnsiTheme="majorHAnsi" w:cs="Arial"/>
          <w:sz w:val="24"/>
          <w:szCs w:val="24"/>
          <w:lang w:val="es-ES_tradnl"/>
        </w:rPr>
        <w:t xml:space="preserve">, S. J., </w:t>
      </w:r>
      <w:proofErr w:type="spellStart"/>
      <w:r w:rsidRPr="00F87FBF">
        <w:rPr>
          <w:rFonts w:asciiTheme="majorHAnsi" w:hAnsiTheme="majorHAnsi" w:cs="Arial"/>
          <w:sz w:val="24"/>
          <w:szCs w:val="24"/>
          <w:lang w:val="es-ES_tradnl"/>
        </w:rPr>
        <w:t>Mboya</w:t>
      </w:r>
      <w:proofErr w:type="spellEnd"/>
      <w:r w:rsidRPr="00F87FBF">
        <w:rPr>
          <w:rFonts w:asciiTheme="majorHAnsi" w:hAnsiTheme="majorHAnsi" w:cs="Arial"/>
          <w:sz w:val="24"/>
          <w:szCs w:val="24"/>
          <w:lang w:val="es-ES_tradnl"/>
        </w:rPr>
        <w:t xml:space="preserve">, M. W. (Eds.). </w:t>
      </w:r>
      <w:r w:rsidRPr="00F87FBF">
        <w:rPr>
          <w:rFonts w:asciiTheme="majorHAnsi" w:hAnsiTheme="majorHAnsi" w:cs="Arial"/>
          <w:sz w:val="24"/>
          <w:szCs w:val="24"/>
        </w:rPr>
        <w:t xml:space="preserve">1999. </w:t>
      </w:r>
      <w:r w:rsidRPr="00F87FBF">
        <w:rPr>
          <w:rFonts w:asciiTheme="majorHAnsi" w:hAnsiTheme="majorHAnsi" w:cs="Arial"/>
          <w:iCs/>
          <w:sz w:val="24"/>
          <w:szCs w:val="24"/>
        </w:rPr>
        <w:t>Gender Education in Tanzanian Schools</w:t>
      </w:r>
      <w:r w:rsidRPr="00F87FBF">
        <w:rPr>
          <w:rFonts w:asciiTheme="majorHAnsi" w:hAnsiTheme="majorHAnsi" w:cs="Arial"/>
          <w:sz w:val="24"/>
          <w:szCs w:val="24"/>
        </w:rPr>
        <w:t xml:space="preserve">. Dar </w:t>
      </w:r>
      <w:proofErr w:type="spellStart"/>
      <w:r w:rsidRPr="00F87FBF">
        <w:rPr>
          <w:rFonts w:asciiTheme="majorHAnsi" w:hAnsiTheme="majorHAnsi" w:cs="Arial"/>
          <w:sz w:val="24"/>
          <w:szCs w:val="24"/>
        </w:rPr>
        <w:t>es</w:t>
      </w:r>
      <w:proofErr w:type="spellEnd"/>
      <w:r w:rsidRPr="00F87FBF">
        <w:rPr>
          <w:rFonts w:asciiTheme="majorHAnsi" w:hAnsiTheme="majorHAnsi" w:cs="Arial"/>
          <w:sz w:val="24"/>
          <w:szCs w:val="24"/>
        </w:rPr>
        <w:t xml:space="preserve"> Salaam University Press, Dar </w:t>
      </w:r>
      <w:proofErr w:type="spellStart"/>
      <w:r w:rsidRPr="00F87FBF">
        <w:rPr>
          <w:rFonts w:asciiTheme="majorHAnsi" w:hAnsiTheme="majorHAnsi" w:cs="Arial"/>
          <w:sz w:val="24"/>
          <w:szCs w:val="24"/>
        </w:rPr>
        <w:t>es</w:t>
      </w:r>
      <w:proofErr w:type="spellEnd"/>
      <w:r w:rsidRPr="00F87FBF">
        <w:rPr>
          <w:rFonts w:asciiTheme="majorHAnsi" w:hAnsiTheme="majorHAnsi" w:cs="Arial"/>
          <w:sz w:val="24"/>
          <w:szCs w:val="24"/>
        </w:rPr>
        <w:t xml:space="preserve"> Salaam.</w:t>
      </w:r>
    </w:p>
    <w:p w:rsidR="00CE637F" w:rsidRPr="00F87FBF" w:rsidRDefault="00CE637F" w:rsidP="005806B5">
      <w:pPr>
        <w:spacing w:line="240" w:lineRule="auto"/>
        <w:rPr>
          <w:rFonts w:asciiTheme="majorHAnsi" w:hAnsiTheme="majorHAnsi" w:cs="Arial"/>
          <w:sz w:val="24"/>
          <w:szCs w:val="24"/>
        </w:rPr>
      </w:pPr>
      <w:proofErr w:type="spellStart"/>
      <w:r w:rsidRPr="00F87FBF">
        <w:rPr>
          <w:rFonts w:asciiTheme="majorHAnsi" w:hAnsiTheme="majorHAnsi"/>
          <w:sz w:val="24"/>
          <w:szCs w:val="24"/>
        </w:rPr>
        <w:t>Beoku</w:t>
      </w:r>
      <w:proofErr w:type="spellEnd"/>
      <w:r w:rsidRPr="00F87FBF">
        <w:rPr>
          <w:rFonts w:asciiTheme="majorHAnsi" w:hAnsiTheme="majorHAnsi"/>
          <w:sz w:val="24"/>
          <w:szCs w:val="24"/>
        </w:rPr>
        <w:t xml:space="preserve"> Betts, J</w:t>
      </w:r>
      <w:proofErr w:type="gramStart"/>
      <w:r w:rsidR="00037F6B" w:rsidRPr="00F87FBF">
        <w:rPr>
          <w:rFonts w:asciiTheme="majorHAnsi" w:hAnsiTheme="majorHAnsi"/>
          <w:sz w:val="24"/>
          <w:szCs w:val="24"/>
        </w:rPr>
        <w:t>,</w:t>
      </w:r>
      <w:r w:rsidRPr="00F87FBF">
        <w:rPr>
          <w:rFonts w:asciiTheme="majorHAnsi" w:hAnsiTheme="majorHAnsi"/>
          <w:sz w:val="24"/>
          <w:szCs w:val="24"/>
        </w:rPr>
        <w:t>.</w:t>
      </w:r>
      <w:proofErr w:type="gramEnd"/>
      <w:r w:rsidRPr="00F87FBF">
        <w:rPr>
          <w:rFonts w:asciiTheme="majorHAnsi" w:hAnsiTheme="majorHAnsi"/>
          <w:sz w:val="24"/>
          <w:szCs w:val="24"/>
        </w:rPr>
        <w:t xml:space="preserve"> 2008</w:t>
      </w:r>
      <w:r w:rsidR="00C505A6" w:rsidRPr="00F87FBF">
        <w:rPr>
          <w:rFonts w:asciiTheme="majorHAnsi" w:hAnsiTheme="majorHAnsi"/>
          <w:sz w:val="24"/>
          <w:szCs w:val="24"/>
        </w:rPr>
        <w:t xml:space="preserve">. </w:t>
      </w:r>
      <w:r w:rsidR="00A1330B" w:rsidRPr="00F87FBF">
        <w:rPr>
          <w:rFonts w:asciiTheme="majorHAnsi" w:hAnsiTheme="majorHAnsi" w:cs="Arial"/>
          <w:color w:val="000000"/>
          <w:sz w:val="24"/>
          <w:szCs w:val="24"/>
        </w:rPr>
        <w:t>African Women Scientists and the Politics of Location: The Case of Four Sierra Leonean Women Scientists</w:t>
      </w:r>
      <w:r w:rsidR="00C505A6" w:rsidRPr="00F87FBF">
        <w:rPr>
          <w:rFonts w:asciiTheme="majorHAnsi" w:hAnsiTheme="majorHAnsi" w:cs="Arial"/>
          <w:color w:val="000000"/>
          <w:sz w:val="24"/>
          <w:szCs w:val="24"/>
        </w:rPr>
        <w:t xml:space="preserve">. </w:t>
      </w:r>
      <w:hyperlink r:id="rId9" w:tooltip="African and Asian Studies" w:history="1">
        <w:r w:rsidR="00A1330B" w:rsidRPr="00F87FBF">
          <w:rPr>
            <w:rStyle w:val="Hyperlink"/>
            <w:rFonts w:asciiTheme="majorHAnsi" w:hAnsiTheme="majorHAnsi" w:cs="Arial"/>
            <w:color w:val="auto"/>
            <w:sz w:val="24"/>
            <w:szCs w:val="24"/>
          </w:rPr>
          <w:t>African and Asian Studies</w:t>
        </w:r>
      </w:hyperlink>
      <w:r w:rsidR="00C505A6" w:rsidRPr="00F87FBF">
        <w:rPr>
          <w:rFonts w:asciiTheme="majorHAnsi" w:hAnsiTheme="majorHAnsi" w:cs="Arial"/>
          <w:color w:val="000000"/>
          <w:sz w:val="24"/>
          <w:szCs w:val="24"/>
        </w:rPr>
        <w:t xml:space="preserve"> 7 (</w:t>
      </w:r>
      <w:r w:rsidR="00A1330B" w:rsidRPr="00F87FBF">
        <w:rPr>
          <w:rFonts w:asciiTheme="majorHAnsi" w:hAnsiTheme="majorHAnsi" w:cs="Arial"/>
          <w:color w:val="000000"/>
          <w:sz w:val="24"/>
          <w:szCs w:val="24"/>
        </w:rPr>
        <w:t>4</w:t>
      </w:r>
      <w:r w:rsidR="00C505A6" w:rsidRPr="00F87FBF">
        <w:rPr>
          <w:rFonts w:asciiTheme="majorHAnsi" w:hAnsiTheme="majorHAnsi" w:cs="Arial"/>
          <w:color w:val="000000"/>
          <w:sz w:val="24"/>
          <w:szCs w:val="24"/>
        </w:rPr>
        <w:t>)</w:t>
      </w:r>
      <w:r w:rsidR="00A1330B" w:rsidRPr="00F87FBF">
        <w:rPr>
          <w:rFonts w:asciiTheme="majorHAnsi" w:hAnsiTheme="majorHAnsi" w:cs="Arial"/>
          <w:color w:val="000000"/>
          <w:sz w:val="24"/>
          <w:szCs w:val="24"/>
        </w:rPr>
        <w:t>, pp. 343-366</w:t>
      </w:r>
      <w:r w:rsidR="00C505A6" w:rsidRPr="00F87FBF">
        <w:rPr>
          <w:rFonts w:asciiTheme="majorHAnsi" w:hAnsiTheme="majorHAnsi" w:cs="Arial"/>
          <w:color w:val="000000"/>
          <w:sz w:val="24"/>
          <w:szCs w:val="24"/>
        </w:rPr>
        <w:t>.</w:t>
      </w:r>
    </w:p>
    <w:p w:rsidR="00877602" w:rsidRPr="00F87FBF" w:rsidRDefault="00877602" w:rsidP="005806B5">
      <w:pPr>
        <w:widowControl w:val="0"/>
        <w:autoSpaceDE w:val="0"/>
        <w:autoSpaceDN w:val="0"/>
        <w:adjustRightInd w:val="0"/>
        <w:spacing w:line="240" w:lineRule="auto"/>
        <w:rPr>
          <w:rFonts w:asciiTheme="majorHAnsi" w:hAnsiTheme="majorHAnsi" w:cs="Arial"/>
          <w:sz w:val="24"/>
          <w:szCs w:val="24"/>
        </w:rPr>
      </w:pPr>
      <w:r w:rsidRPr="00F87FBF">
        <w:rPr>
          <w:rFonts w:asciiTheme="majorHAnsi" w:hAnsiTheme="majorHAnsi" w:cs="Arial"/>
          <w:sz w:val="24"/>
          <w:szCs w:val="24"/>
        </w:rPr>
        <w:t xml:space="preserve">Burke, K., </w:t>
      </w:r>
      <w:proofErr w:type="spellStart"/>
      <w:r w:rsidRPr="00F87FBF">
        <w:rPr>
          <w:rFonts w:asciiTheme="majorHAnsi" w:hAnsiTheme="majorHAnsi" w:cs="Arial"/>
          <w:sz w:val="24"/>
          <w:szCs w:val="24"/>
        </w:rPr>
        <w:t>Beegle</w:t>
      </w:r>
      <w:proofErr w:type="spellEnd"/>
      <w:r w:rsidRPr="00F87FBF">
        <w:rPr>
          <w:rFonts w:asciiTheme="majorHAnsi" w:hAnsiTheme="majorHAnsi" w:cs="Arial"/>
          <w:sz w:val="24"/>
          <w:szCs w:val="24"/>
        </w:rPr>
        <w:t>, K.</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2004. Why children aren't attending school: The case of Northwestern Tanzania. </w:t>
      </w:r>
      <w:r w:rsidRPr="00F87FBF">
        <w:rPr>
          <w:rFonts w:asciiTheme="majorHAnsi" w:hAnsiTheme="majorHAnsi" w:cs="Arial"/>
          <w:iCs/>
          <w:sz w:val="24"/>
          <w:szCs w:val="24"/>
        </w:rPr>
        <w:t>Journal of African Economies</w:t>
      </w:r>
      <w:r w:rsidR="00C46926" w:rsidRPr="00C46926">
        <w:rPr>
          <w:rFonts w:asciiTheme="majorHAnsi" w:hAnsiTheme="majorHAnsi" w:cs="Arial"/>
          <w:iCs/>
          <w:sz w:val="24"/>
          <w:szCs w:val="24"/>
        </w:rPr>
        <w:t xml:space="preserve">, </w:t>
      </w:r>
      <w:r w:rsidRPr="00F87FBF">
        <w:rPr>
          <w:rFonts w:asciiTheme="majorHAnsi" w:hAnsiTheme="majorHAnsi" w:cs="Arial"/>
          <w:iCs/>
          <w:sz w:val="24"/>
          <w:szCs w:val="24"/>
        </w:rPr>
        <w:t>13 (2</w:t>
      </w:r>
      <w:r w:rsidRPr="00F87FBF">
        <w:rPr>
          <w:rFonts w:asciiTheme="majorHAnsi" w:hAnsiTheme="majorHAnsi" w:cs="Arial"/>
          <w:sz w:val="24"/>
          <w:szCs w:val="24"/>
        </w:rPr>
        <w:t>), pp. 333-355.</w:t>
      </w:r>
    </w:p>
    <w:p w:rsidR="00723629" w:rsidRPr="00F87FBF" w:rsidRDefault="004433A9" w:rsidP="005806B5">
      <w:pPr>
        <w:autoSpaceDE w:val="0"/>
        <w:autoSpaceDN w:val="0"/>
        <w:adjustRightInd w:val="0"/>
        <w:spacing w:line="240" w:lineRule="auto"/>
        <w:rPr>
          <w:rFonts w:asciiTheme="majorHAnsi" w:eastAsiaTheme="minorHAnsi" w:hAnsiTheme="majorHAnsi" w:cs="TrebuchetMS"/>
          <w:color w:val="000000"/>
          <w:sz w:val="24"/>
          <w:szCs w:val="24"/>
        </w:rPr>
      </w:pPr>
      <w:proofErr w:type="spellStart"/>
      <w:r w:rsidRPr="00F87FBF">
        <w:rPr>
          <w:rFonts w:asciiTheme="majorHAnsi" w:hAnsiTheme="majorHAnsi" w:cs="Arial"/>
          <w:sz w:val="24"/>
          <w:szCs w:val="24"/>
        </w:rPr>
        <w:t>Chege</w:t>
      </w:r>
      <w:proofErr w:type="spellEnd"/>
      <w:r w:rsidRPr="00F87FBF">
        <w:rPr>
          <w:rFonts w:asciiTheme="majorHAnsi" w:hAnsiTheme="majorHAnsi" w:cs="Arial"/>
          <w:sz w:val="24"/>
          <w:szCs w:val="24"/>
        </w:rPr>
        <w:t>, F.</w:t>
      </w:r>
      <w:r w:rsidR="00037F6B" w:rsidRPr="00F87FBF">
        <w:rPr>
          <w:rFonts w:asciiTheme="majorHAnsi" w:hAnsiTheme="majorHAnsi" w:cs="Arial"/>
          <w:sz w:val="24"/>
          <w:szCs w:val="24"/>
        </w:rPr>
        <w:t>,</w:t>
      </w:r>
      <w:r w:rsidRPr="00F87FBF">
        <w:rPr>
          <w:rFonts w:asciiTheme="majorHAnsi" w:hAnsiTheme="majorHAnsi" w:cs="Arial"/>
          <w:sz w:val="24"/>
          <w:szCs w:val="24"/>
        </w:rPr>
        <w:t xml:space="preserve"> Arnot, M., 2012, </w:t>
      </w:r>
      <w:r w:rsidRPr="00F87FBF">
        <w:rPr>
          <w:rFonts w:asciiTheme="majorHAnsi" w:eastAsiaTheme="minorHAnsi" w:hAnsiTheme="majorHAnsi" w:cs="TrebuchetMS"/>
          <w:color w:val="000000"/>
          <w:sz w:val="24"/>
          <w:szCs w:val="24"/>
        </w:rPr>
        <w:t xml:space="preserve">The gender–education–poverty nexus: Kenyan youth's perspective on being young, gendered and poor, </w:t>
      </w:r>
      <w:r w:rsidR="00C46926" w:rsidRPr="00C46926">
        <w:rPr>
          <w:rFonts w:asciiTheme="majorHAnsi" w:eastAsiaTheme="minorHAnsi" w:hAnsiTheme="majorHAnsi" w:cs="TrebuchetMS"/>
          <w:color w:val="000000"/>
          <w:sz w:val="24"/>
          <w:szCs w:val="24"/>
        </w:rPr>
        <w:t>Comparative Education</w:t>
      </w:r>
      <w:proofErr w:type="gramStart"/>
      <w:r w:rsidRPr="00F87FBF">
        <w:rPr>
          <w:rFonts w:asciiTheme="majorHAnsi" w:eastAsiaTheme="minorHAnsi" w:hAnsiTheme="majorHAnsi" w:cs="TrebuchetMS"/>
          <w:color w:val="000000"/>
          <w:sz w:val="24"/>
          <w:szCs w:val="24"/>
        </w:rPr>
        <w:t>,48:2</w:t>
      </w:r>
      <w:proofErr w:type="gramEnd"/>
      <w:r w:rsidRPr="00F87FBF">
        <w:rPr>
          <w:rFonts w:asciiTheme="majorHAnsi" w:eastAsiaTheme="minorHAnsi" w:hAnsiTheme="majorHAnsi" w:cs="TrebuchetMS"/>
          <w:color w:val="000000"/>
          <w:sz w:val="24"/>
          <w:szCs w:val="24"/>
        </w:rPr>
        <w:t>, 195-209</w:t>
      </w:r>
    </w:p>
    <w:p w:rsidR="00754DB6" w:rsidRPr="00F87FBF" w:rsidRDefault="00392CD4" w:rsidP="005806B5">
      <w:pPr>
        <w:spacing w:line="240" w:lineRule="auto"/>
        <w:rPr>
          <w:rFonts w:asciiTheme="majorHAnsi" w:hAnsiTheme="majorHAnsi"/>
          <w:sz w:val="24"/>
          <w:szCs w:val="24"/>
        </w:rPr>
      </w:pPr>
      <w:r w:rsidRPr="00F87FBF">
        <w:rPr>
          <w:rFonts w:asciiTheme="majorHAnsi" w:hAnsiTheme="majorHAnsi"/>
          <w:sz w:val="24"/>
          <w:szCs w:val="24"/>
        </w:rPr>
        <w:t>Cornwall, A.</w:t>
      </w:r>
      <w:r w:rsidR="00037F6B" w:rsidRPr="00F87FBF">
        <w:rPr>
          <w:rFonts w:asciiTheme="majorHAnsi" w:hAnsiTheme="majorHAnsi"/>
          <w:sz w:val="24"/>
          <w:szCs w:val="24"/>
        </w:rPr>
        <w:t>,</w:t>
      </w:r>
      <w:r w:rsidRPr="00F87FBF">
        <w:rPr>
          <w:rFonts w:asciiTheme="majorHAnsi" w:hAnsiTheme="majorHAnsi"/>
          <w:sz w:val="24"/>
          <w:szCs w:val="24"/>
        </w:rPr>
        <w:t xml:space="preserve"> Brock, K.</w:t>
      </w:r>
      <w:r w:rsidR="00037F6B" w:rsidRPr="00F87FBF">
        <w:rPr>
          <w:rFonts w:asciiTheme="majorHAnsi" w:hAnsiTheme="majorHAnsi"/>
          <w:sz w:val="24"/>
          <w:szCs w:val="24"/>
        </w:rPr>
        <w:t xml:space="preserve">, </w:t>
      </w:r>
      <w:r w:rsidRPr="00F87FBF">
        <w:rPr>
          <w:rFonts w:asciiTheme="majorHAnsi" w:hAnsiTheme="majorHAnsi"/>
          <w:sz w:val="24"/>
          <w:szCs w:val="24"/>
        </w:rPr>
        <w:t xml:space="preserve">2005. What Do Buzzwords Do for Development Policy? </w:t>
      </w:r>
      <w:proofErr w:type="gramStart"/>
      <w:r w:rsidRPr="00F87FBF">
        <w:rPr>
          <w:rFonts w:asciiTheme="majorHAnsi" w:hAnsiTheme="majorHAnsi"/>
          <w:sz w:val="24"/>
          <w:szCs w:val="24"/>
        </w:rPr>
        <w:t>A Critical Look at ‘participation,’ ‘empowerment,’ and ‘poverty reduction</w:t>
      </w:r>
      <w:r w:rsidR="00671337">
        <w:rPr>
          <w:rFonts w:asciiTheme="majorHAnsi" w:hAnsiTheme="majorHAnsi"/>
          <w:sz w:val="24"/>
          <w:szCs w:val="24"/>
        </w:rPr>
        <w:t>’</w:t>
      </w:r>
      <w:r w:rsidRPr="00F87FBF">
        <w:rPr>
          <w:rFonts w:asciiTheme="majorHAnsi" w:hAnsiTheme="majorHAnsi"/>
          <w:sz w:val="24"/>
          <w:szCs w:val="24"/>
        </w:rPr>
        <w:t>.</w:t>
      </w:r>
      <w:proofErr w:type="gramEnd"/>
      <w:r w:rsidRPr="00F87FBF">
        <w:rPr>
          <w:rFonts w:asciiTheme="majorHAnsi" w:hAnsiTheme="majorHAnsi"/>
          <w:sz w:val="24"/>
          <w:szCs w:val="24"/>
        </w:rPr>
        <w:t xml:space="preserve"> </w:t>
      </w:r>
      <w:r w:rsidR="00C46926" w:rsidRPr="00C46926">
        <w:rPr>
          <w:rFonts w:asciiTheme="majorHAnsi" w:hAnsiTheme="majorHAnsi"/>
          <w:sz w:val="24"/>
          <w:szCs w:val="24"/>
        </w:rPr>
        <w:t>Third World Quarterly</w:t>
      </w:r>
      <w:r w:rsidRPr="00F87FBF">
        <w:rPr>
          <w:rFonts w:asciiTheme="majorHAnsi" w:hAnsiTheme="majorHAnsi"/>
          <w:sz w:val="24"/>
          <w:szCs w:val="24"/>
        </w:rPr>
        <w:t xml:space="preserve"> 26 (7) p. 1043-1060.</w:t>
      </w:r>
    </w:p>
    <w:p w:rsidR="00663533" w:rsidRPr="00F87FBF" w:rsidRDefault="00663533" w:rsidP="005806B5">
      <w:pPr>
        <w:spacing w:line="240" w:lineRule="auto"/>
        <w:rPr>
          <w:rFonts w:asciiTheme="majorHAnsi" w:hAnsiTheme="majorHAnsi"/>
          <w:sz w:val="24"/>
          <w:szCs w:val="24"/>
        </w:rPr>
      </w:pPr>
      <w:proofErr w:type="spellStart"/>
      <w:r w:rsidRPr="00F87FBF">
        <w:rPr>
          <w:rFonts w:asciiTheme="majorHAnsi" w:hAnsiTheme="majorHAnsi" w:cs="Arial"/>
          <w:sz w:val="24"/>
          <w:szCs w:val="24"/>
        </w:rPr>
        <w:t>Dauda</w:t>
      </w:r>
      <w:proofErr w:type="spellEnd"/>
      <w:r w:rsidRPr="00F87FBF">
        <w:rPr>
          <w:rFonts w:asciiTheme="majorHAnsi" w:hAnsiTheme="majorHAnsi" w:cs="Arial"/>
          <w:sz w:val="24"/>
          <w:szCs w:val="24"/>
        </w:rPr>
        <w:t>, R.O.S.</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2007. </w:t>
      </w:r>
      <w:r w:rsidRPr="00F87FBF">
        <w:rPr>
          <w:rFonts w:asciiTheme="majorHAnsi" w:eastAsia="Times New Roman" w:hAnsiTheme="majorHAnsi" w:cs="Arial"/>
          <w:bCs/>
          <w:kern w:val="36"/>
          <w:sz w:val="24"/>
          <w:szCs w:val="24"/>
          <w:lang w:eastAsia="en-GB"/>
        </w:rPr>
        <w:t>Female Education and Nigeria's Development Strategies: L</w:t>
      </w:r>
      <w:r w:rsidRPr="00F87FBF">
        <w:rPr>
          <w:rFonts w:asciiTheme="majorHAnsi" w:eastAsia="Times New Roman" w:hAnsiTheme="majorHAnsi" w:cs="Arial"/>
          <w:bCs/>
          <w:sz w:val="24"/>
          <w:szCs w:val="24"/>
          <w:lang w:eastAsia="en-GB"/>
        </w:rPr>
        <w:t xml:space="preserve">ots of Talk, Little Action? </w:t>
      </w:r>
      <w:r w:rsidRPr="00F87FBF">
        <w:rPr>
          <w:rFonts w:asciiTheme="majorHAnsi" w:hAnsiTheme="majorHAnsi" w:cs="Arial"/>
          <w:color w:val="333300"/>
          <w:sz w:val="24"/>
          <w:szCs w:val="24"/>
        </w:rPr>
        <w:t>Indian Journal of Gender Studies</w:t>
      </w:r>
      <w:r w:rsidRPr="00F87FBF">
        <w:rPr>
          <w:rStyle w:val="slug-pub-date3"/>
          <w:rFonts w:asciiTheme="majorHAnsi" w:hAnsiTheme="majorHAnsi" w:cs="Arial"/>
          <w:color w:val="333300"/>
          <w:sz w:val="24"/>
          <w:szCs w:val="24"/>
        </w:rPr>
        <w:t xml:space="preserve"> </w:t>
      </w:r>
      <w:r w:rsidRPr="00F87FBF">
        <w:rPr>
          <w:rStyle w:val="slug-vol"/>
          <w:rFonts w:asciiTheme="majorHAnsi" w:hAnsiTheme="majorHAnsi" w:cs="Arial"/>
          <w:color w:val="333300"/>
          <w:sz w:val="24"/>
          <w:szCs w:val="24"/>
        </w:rPr>
        <w:t xml:space="preserve">14 </w:t>
      </w:r>
      <w:r w:rsidRPr="00F87FBF">
        <w:rPr>
          <w:rStyle w:val="slug-issue"/>
          <w:rFonts w:asciiTheme="majorHAnsi" w:hAnsiTheme="majorHAnsi" w:cs="Arial"/>
          <w:color w:val="333300"/>
          <w:sz w:val="24"/>
          <w:szCs w:val="24"/>
        </w:rPr>
        <w:t xml:space="preserve">(3), pp. </w:t>
      </w:r>
      <w:r w:rsidRPr="00F87FBF">
        <w:rPr>
          <w:rStyle w:val="slug-pages3"/>
          <w:rFonts w:asciiTheme="majorHAnsi" w:hAnsiTheme="majorHAnsi" w:cs="Arial"/>
          <w:b w:val="0"/>
          <w:color w:val="333300"/>
          <w:sz w:val="24"/>
          <w:szCs w:val="24"/>
        </w:rPr>
        <w:t xml:space="preserve">461-479. </w:t>
      </w:r>
    </w:p>
    <w:p w:rsidR="00160D43" w:rsidRPr="00F87FBF" w:rsidRDefault="00160D43" w:rsidP="005806B5">
      <w:pPr>
        <w:autoSpaceDE w:val="0"/>
        <w:autoSpaceDN w:val="0"/>
        <w:adjustRightInd w:val="0"/>
        <w:spacing w:line="240" w:lineRule="auto"/>
        <w:rPr>
          <w:rFonts w:asciiTheme="majorHAnsi" w:hAnsiTheme="majorHAnsi" w:cs="Arial"/>
          <w:sz w:val="24"/>
          <w:szCs w:val="24"/>
        </w:rPr>
      </w:pPr>
      <w:r w:rsidRPr="00F87FBF">
        <w:rPr>
          <w:rFonts w:asciiTheme="majorHAnsi" w:hAnsiTheme="majorHAnsi" w:cs="Arial"/>
          <w:sz w:val="24"/>
          <w:szCs w:val="24"/>
        </w:rPr>
        <w:t>DeJaeghere, J.</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2012. Public debate and dialogue from a capabilities approach: can it foster gender justice in education</w:t>
      </w:r>
      <w:r w:rsidR="00671337">
        <w:rPr>
          <w:rFonts w:asciiTheme="majorHAnsi" w:hAnsiTheme="majorHAnsi" w:cs="Arial"/>
          <w:sz w:val="24"/>
          <w:szCs w:val="24"/>
        </w:rPr>
        <w:t>.</w:t>
      </w:r>
      <w:r w:rsidRPr="00F87FBF">
        <w:rPr>
          <w:rFonts w:asciiTheme="majorHAnsi" w:hAnsiTheme="majorHAnsi" w:cs="Arial"/>
          <w:sz w:val="24"/>
          <w:szCs w:val="24"/>
        </w:rPr>
        <w:t xml:space="preserve"> </w:t>
      </w:r>
      <w:r w:rsidR="00C46926" w:rsidRPr="00C46926">
        <w:rPr>
          <w:rFonts w:asciiTheme="majorHAnsi" w:hAnsiTheme="majorHAnsi" w:cs="Arial"/>
          <w:sz w:val="24"/>
          <w:szCs w:val="24"/>
        </w:rPr>
        <w:t>Journal of Human Development and Capabilities</w:t>
      </w:r>
      <w:r w:rsidRPr="00F87FBF">
        <w:rPr>
          <w:rFonts w:asciiTheme="majorHAnsi" w:hAnsiTheme="majorHAnsi" w:cs="Arial"/>
          <w:sz w:val="24"/>
          <w:szCs w:val="24"/>
        </w:rPr>
        <w:t xml:space="preserve"> 13</w:t>
      </w:r>
      <w:proofErr w:type="gramStart"/>
      <w:r w:rsidRPr="00F87FBF">
        <w:rPr>
          <w:rFonts w:asciiTheme="majorHAnsi" w:hAnsiTheme="majorHAnsi" w:cs="Arial"/>
          <w:sz w:val="24"/>
          <w:szCs w:val="24"/>
        </w:rPr>
        <w:t>,3,353</w:t>
      </w:r>
      <w:proofErr w:type="gramEnd"/>
      <w:r w:rsidRPr="00F87FBF">
        <w:rPr>
          <w:rFonts w:asciiTheme="majorHAnsi" w:hAnsiTheme="majorHAnsi" w:cs="Arial"/>
          <w:sz w:val="24"/>
          <w:szCs w:val="24"/>
        </w:rPr>
        <w:t>-372.</w:t>
      </w:r>
    </w:p>
    <w:p w:rsidR="00DE6030" w:rsidRPr="00F87FBF" w:rsidRDefault="00C46926" w:rsidP="00AE530F">
      <w:pPr>
        <w:autoSpaceDE w:val="0"/>
        <w:autoSpaceDN w:val="0"/>
        <w:adjustRightInd w:val="0"/>
        <w:spacing w:line="240" w:lineRule="auto"/>
        <w:rPr>
          <w:rFonts w:asciiTheme="majorHAnsi" w:hAnsiTheme="majorHAnsi" w:cs="Arial"/>
          <w:sz w:val="24"/>
          <w:szCs w:val="24"/>
        </w:rPr>
      </w:pPr>
      <w:proofErr w:type="spellStart"/>
      <w:r w:rsidRPr="00C46926">
        <w:rPr>
          <w:rFonts w:asciiTheme="majorHAnsi" w:eastAsiaTheme="minorHAnsi" w:hAnsiTheme="majorHAnsi" w:cs="ArialNarrow"/>
          <w:sz w:val="24"/>
          <w:szCs w:val="24"/>
          <w:lang w:val="en-GB"/>
        </w:rPr>
        <w:t>Denga</w:t>
      </w:r>
      <w:proofErr w:type="spellEnd"/>
      <w:r w:rsidRPr="00C46926">
        <w:rPr>
          <w:rFonts w:asciiTheme="majorHAnsi" w:eastAsiaTheme="minorHAnsi" w:hAnsiTheme="majorHAnsi" w:cs="ArialNarrow"/>
          <w:sz w:val="24"/>
          <w:szCs w:val="24"/>
          <w:lang w:val="en-GB"/>
        </w:rPr>
        <w:t>, D. I.</w:t>
      </w:r>
      <w:r w:rsidR="00037F6B" w:rsidRPr="00F87FBF">
        <w:rPr>
          <w:rFonts w:asciiTheme="majorHAnsi" w:eastAsiaTheme="minorHAnsi" w:hAnsiTheme="majorHAnsi" w:cs="ArialNarrow"/>
          <w:sz w:val="24"/>
          <w:szCs w:val="24"/>
          <w:lang w:val="en-GB"/>
        </w:rPr>
        <w:t>,</w:t>
      </w:r>
      <w:r w:rsidRPr="00C46926">
        <w:rPr>
          <w:rFonts w:asciiTheme="majorHAnsi" w:eastAsiaTheme="minorHAnsi" w:hAnsiTheme="majorHAnsi" w:cs="ArialNarrow"/>
          <w:sz w:val="24"/>
          <w:szCs w:val="24"/>
          <w:lang w:val="en-GB"/>
        </w:rPr>
        <w:t xml:space="preserve"> 2000 Evolving a New Educational Culture: The Universal Basic Education Focus. International</w:t>
      </w:r>
      <w:r w:rsidR="00AE530F" w:rsidRPr="00F87FBF">
        <w:rPr>
          <w:rFonts w:asciiTheme="majorHAnsi" w:eastAsiaTheme="minorHAnsi" w:hAnsiTheme="majorHAnsi" w:cs="ArialNarrow"/>
          <w:sz w:val="24"/>
          <w:szCs w:val="24"/>
          <w:lang w:val="en-GB"/>
        </w:rPr>
        <w:t xml:space="preserve"> </w:t>
      </w:r>
      <w:r w:rsidRPr="00C46926">
        <w:rPr>
          <w:rFonts w:asciiTheme="majorHAnsi" w:eastAsiaTheme="minorHAnsi" w:hAnsiTheme="majorHAnsi" w:cs="ArialNarrow"/>
          <w:sz w:val="24"/>
          <w:szCs w:val="24"/>
          <w:lang w:val="en-GB"/>
        </w:rPr>
        <w:t>Journal of Research in Basic Life Education, 1 (1 and 2) 1 – 6.</w:t>
      </w:r>
    </w:p>
    <w:p w:rsidR="00DE6030" w:rsidRPr="00F87FBF" w:rsidRDefault="00037F6B" w:rsidP="00DE6030">
      <w:pPr>
        <w:autoSpaceDE w:val="0"/>
        <w:autoSpaceDN w:val="0"/>
        <w:adjustRightInd w:val="0"/>
        <w:spacing w:line="240" w:lineRule="auto"/>
        <w:rPr>
          <w:rFonts w:asciiTheme="majorHAnsi" w:eastAsiaTheme="minorHAnsi" w:hAnsiTheme="majorHAnsi" w:cs="HelveticaNeue-LightItalic"/>
          <w:iCs/>
          <w:sz w:val="24"/>
          <w:szCs w:val="24"/>
          <w:lang w:val="en-GB"/>
        </w:rPr>
      </w:pPr>
      <w:r w:rsidRPr="00F87FBF">
        <w:rPr>
          <w:rFonts w:asciiTheme="majorHAnsi" w:eastAsiaTheme="minorHAnsi" w:hAnsiTheme="majorHAnsi" w:cs="HelveticaNeue-Light"/>
          <w:sz w:val="24"/>
          <w:szCs w:val="24"/>
          <w:lang w:val="en-GB"/>
        </w:rPr>
        <w:t>Dyer, C., 2001.</w:t>
      </w:r>
      <w:r w:rsidR="00C46926" w:rsidRPr="00C46926">
        <w:rPr>
          <w:rFonts w:asciiTheme="majorHAnsi" w:eastAsiaTheme="minorHAnsi" w:hAnsiTheme="majorHAnsi" w:cs="HelveticaNeue-Light"/>
          <w:sz w:val="24"/>
          <w:szCs w:val="24"/>
          <w:lang w:val="en-GB"/>
        </w:rPr>
        <w:t xml:space="preserve"> </w:t>
      </w:r>
      <w:r w:rsidR="00C46926" w:rsidRPr="00C46926">
        <w:rPr>
          <w:rFonts w:asciiTheme="majorHAnsi" w:eastAsiaTheme="minorHAnsi" w:hAnsiTheme="majorHAnsi" w:cs="HelveticaNeue-LightItalic"/>
          <w:iCs/>
          <w:sz w:val="24"/>
          <w:szCs w:val="24"/>
          <w:lang w:val="en-GB"/>
        </w:rPr>
        <w:t xml:space="preserve">Nomads and Education </w:t>
      </w:r>
      <w:proofErr w:type="gramStart"/>
      <w:r w:rsidR="00C46926" w:rsidRPr="00C46926">
        <w:rPr>
          <w:rFonts w:asciiTheme="majorHAnsi" w:eastAsiaTheme="minorHAnsi" w:hAnsiTheme="majorHAnsi" w:cs="HelveticaNeue-LightItalic"/>
          <w:iCs/>
          <w:sz w:val="24"/>
          <w:szCs w:val="24"/>
          <w:lang w:val="en-GB"/>
        </w:rPr>
        <w:t>For</w:t>
      </w:r>
      <w:proofErr w:type="gramEnd"/>
      <w:r w:rsidR="00C46926" w:rsidRPr="00C46926">
        <w:rPr>
          <w:rFonts w:asciiTheme="majorHAnsi" w:eastAsiaTheme="minorHAnsi" w:hAnsiTheme="majorHAnsi" w:cs="HelveticaNeue-LightItalic"/>
          <w:iCs/>
          <w:sz w:val="24"/>
          <w:szCs w:val="24"/>
          <w:lang w:val="en-GB"/>
        </w:rPr>
        <w:t xml:space="preserve"> All: education for development or domestication?</w:t>
      </w:r>
      <w:r w:rsidR="00C46926" w:rsidRPr="00C46926">
        <w:rPr>
          <w:rFonts w:asciiTheme="majorHAnsi" w:eastAsiaTheme="minorHAnsi" w:hAnsiTheme="majorHAnsi" w:cs="HelveticaNeue-Light"/>
          <w:sz w:val="24"/>
          <w:szCs w:val="24"/>
          <w:lang w:val="en-GB"/>
        </w:rPr>
        <w:t xml:space="preserve"> Comparative Education, 37, 315-327.</w:t>
      </w:r>
    </w:p>
    <w:p w:rsidR="00946FC8" w:rsidRPr="00F87FBF" w:rsidRDefault="00946FC8" w:rsidP="00AE530F">
      <w:pPr>
        <w:autoSpaceDE w:val="0"/>
        <w:autoSpaceDN w:val="0"/>
        <w:adjustRightInd w:val="0"/>
        <w:spacing w:line="240" w:lineRule="auto"/>
        <w:rPr>
          <w:rFonts w:asciiTheme="majorHAnsi" w:hAnsiTheme="majorHAnsi" w:cs="Arial"/>
          <w:sz w:val="24"/>
          <w:szCs w:val="24"/>
        </w:rPr>
      </w:pPr>
      <w:proofErr w:type="spellStart"/>
      <w:r w:rsidRPr="00F87FBF">
        <w:rPr>
          <w:rFonts w:asciiTheme="majorHAnsi" w:hAnsiTheme="majorHAnsi"/>
          <w:sz w:val="24"/>
          <w:szCs w:val="24"/>
        </w:rPr>
        <w:t>Egunyomi</w:t>
      </w:r>
      <w:proofErr w:type="spellEnd"/>
      <w:r w:rsidRPr="00F87FBF">
        <w:rPr>
          <w:rFonts w:asciiTheme="majorHAnsi" w:hAnsiTheme="majorHAnsi"/>
          <w:sz w:val="24"/>
          <w:szCs w:val="24"/>
        </w:rPr>
        <w:t>, D.</w:t>
      </w:r>
      <w:r w:rsidR="00037F6B" w:rsidRPr="00F87FBF">
        <w:rPr>
          <w:rFonts w:asciiTheme="majorHAnsi" w:hAnsiTheme="majorHAnsi"/>
          <w:sz w:val="24"/>
          <w:szCs w:val="24"/>
        </w:rPr>
        <w:t>,</w:t>
      </w:r>
      <w:r w:rsidRPr="00F87FBF">
        <w:rPr>
          <w:rFonts w:asciiTheme="majorHAnsi" w:hAnsiTheme="majorHAnsi"/>
          <w:sz w:val="24"/>
          <w:szCs w:val="24"/>
        </w:rPr>
        <w:t xml:space="preserve"> 2006. Access to basic education for girls: The Nigerian experience. </w:t>
      </w:r>
      <w:proofErr w:type="gramStart"/>
      <w:r w:rsidRPr="00F87FBF">
        <w:rPr>
          <w:rFonts w:asciiTheme="majorHAnsi" w:hAnsiTheme="majorHAnsi"/>
          <w:sz w:val="24"/>
          <w:szCs w:val="24"/>
        </w:rPr>
        <w:t>Widening Access to Education as Social Justice</w:t>
      </w:r>
      <w:r w:rsidR="00663533" w:rsidRPr="00F87FBF">
        <w:rPr>
          <w:rFonts w:asciiTheme="majorHAnsi" w:hAnsiTheme="majorHAnsi"/>
          <w:sz w:val="24"/>
          <w:szCs w:val="24"/>
        </w:rPr>
        <w:t xml:space="preserve"> 4, pp. 427-438.</w:t>
      </w:r>
      <w:proofErr w:type="gramEnd"/>
      <w:r w:rsidR="00663533" w:rsidRPr="00F87FBF">
        <w:rPr>
          <w:rFonts w:asciiTheme="majorHAnsi" w:hAnsiTheme="majorHAnsi"/>
          <w:sz w:val="24"/>
          <w:szCs w:val="24"/>
        </w:rPr>
        <w:t xml:space="preserve"> </w:t>
      </w:r>
    </w:p>
    <w:p w:rsidR="007B52EA" w:rsidRPr="00F87FBF" w:rsidRDefault="007B52EA" w:rsidP="005806B5">
      <w:pPr>
        <w:spacing w:line="240" w:lineRule="auto"/>
        <w:rPr>
          <w:rFonts w:asciiTheme="majorHAnsi" w:hAnsiTheme="majorHAnsi" w:cs="Arial"/>
          <w:sz w:val="24"/>
          <w:szCs w:val="24"/>
        </w:rPr>
      </w:pPr>
      <w:r w:rsidRPr="00F87FBF">
        <w:rPr>
          <w:rFonts w:asciiTheme="majorHAnsi" w:hAnsiTheme="majorHAnsi" w:cs="Arial"/>
          <w:sz w:val="24"/>
          <w:szCs w:val="24"/>
        </w:rPr>
        <w:t>Fennell, S.</w:t>
      </w:r>
      <w:r w:rsidR="00037F6B" w:rsidRPr="00F87FBF">
        <w:rPr>
          <w:rFonts w:asciiTheme="majorHAnsi" w:hAnsiTheme="majorHAnsi" w:cs="Arial"/>
          <w:sz w:val="24"/>
          <w:szCs w:val="24"/>
        </w:rPr>
        <w:t xml:space="preserve">, </w:t>
      </w:r>
      <w:r w:rsidRPr="00F87FBF">
        <w:rPr>
          <w:rFonts w:asciiTheme="majorHAnsi" w:hAnsiTheme="majorHAnsi" w:cs="Arial"/>
          <w:sz w:val="24"/>
          <w:szCs w:val="24"/>
        </w:rPr>
        <w:t>Arnot, M.</w:t>
      </w:r>
      <w:r w:rsidR="00CD6E43" w:rsidRPr="00F87FBF">
        <w:rPr>
          <w:rFonts w:asciiTheme="majorHAnsi" w:hAnsiTheme="majorHAnsi" w:cs="Arial"/>
          <w:sz w:val="24"/>
          <w:szCs w:val="24"/>
        </w:rPr>
        <w:t>, 2008</w:t>
      </w:r>
      <w:proofErr w:type="gramStart"/>
      <w:r w:rsidR="00CD6E43" w:rsidRPr="00F87FBF">
        <w:rPr>
          <w:rFonts w:asciiTheme="majorHAnsi" w:hAnsiTheme="majorHAnsi" w:cs="Arial"/>
          <w:sz w:val="24"/>
          <w:szCs w:val="24"/>
        </w:rPr>
        <w:t xml:space="preserve">, </w:t>
      </w:r>
      <w:r w:rsidR="00CD6E43" w:rsidRPr="00F87FBF">
        <w:rPr>
          <w:rFonts w:asciiTheme="majorHAnsi" w:hAnsiTheme="majorHAnsi" w:cs="Arial"/>
          <w:color w:val="222222"/>
          <w:sz w:val="24"/>
          <w:szCs w:val="24"/>
          <w:shd w:val="clear" w:color="auto" w:fill="FFFFFF"/>
        </w:rPr>
        <w:t xml:space="preserve"> Gender</w:t>
      </w:r>
      <w:proofErr w:type="gramEnd"/>
      <w:r w:rsidR="00CD6E43" w:rsidRPr="00F87FBF">
        <w:rPr>
          <w:rFonts w:asciiTheme="majorHAnsi" w:hAnsiTheme="majorHAnsi" w:cs="Arial"/>
          <w:color w:val="222222"/>
          <w:sz w:val="24"/>
          <w:szCs w:val="24"/>
          <w:shd w:val="clear" w:color="auto" w:fill="FFFFFF"/>
        </w:rPr>
        <w:t xml:space="preserve"> Education and Equality in a Global Context: conceptual frameworks and policy perspectives,  </w:t>
      </w:r>
      <w:proofErr w:type="spellStart"/>
      <w:r w:rsidR="00CD6E43" w:rsidRPr="00F87FBF">
        <w:rPr>
          <w:rFonts w:asciiTheme="majorHAnsi" w:hAnsiTheme="majorHAnsi" w:cs="Arial"/>
          <w:color w:val="222222"/>
          <w:sz w:val="24"/>
          <w:szCs w:val="24"/>
          <w:shd w:val="clear" w:color="auto" w:fill="FFFFFF"/>
        </w:rPr>
        <w:t>Routledge</w:t>
      </w:r>
      <w:proofErr w:type="spellEnd"/>
      <w:r w:rsidR="00CD6E43" w:rsidRPr="00F87FBF">
        <w:rPr>
          <w:rFonts w:asciiTheme="majorHAnsi" w:hAnsiTheme="majorHAnsi" w:cs="Arial"/>
          <w:color w:val="222222"/>
          <w:sz w:val="24"/>
          <w:szCs w:val="24"/>
          <w:shd w:val="clear" w:color="auto" w:fill="FFFFFF"/>
        </w:rPr>
        <w:t>, London.</w:t>
      </w:r>
    </w:p>
    <w:p w:rsidR="00F91EC6" w:rsidRPr="00F87FBF" w:rsidRDefault="00F91EC6"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Fukuda-Parr, S., Kumar, S</w:t>
      </w:r>
      <w:r w:rsidR="00037F6B" w:rsidRPr="00F87FBF">
        <w:rPr>
          <w:rFonts w:asciiTheme="majorHAnsi" w:hAnsiTheme="majorHAnsi" w:cs="Arial"/>
          <w:sz w:val="24"/>
          <w:szCs w:val="24"/>
        </w:rPr>
        <w:t xml:space="preserve">., </w:t>
      </w:r>
      <w:r w:rsidRPr="00F87FBF">
        <w:rPr>
          <w:rFonts w:asciiTheme="majorHAnsi" w:hAnsiTheme="majorHAnsi" w:cs="Arial"/>
          <w:sz w:val="24"/>
          <w:szCs w:val="24"/>
        </w:rPr>
        <w:t>2003.</w:t>
      </w:r>
      <w:proofErr w:type="gramEnd"/>
      <w:r w:rsidRPr="00F87FBF">
        <w:rPr>
          <w:rFonts w:asciiTheme="majorHAnsi" w:hAnsiTheme="majorHAnsi" w:cs="Arial"/>
          <w:sz w:val="24"/>
          <w:szCs w:val="24"/>
        </w:rPr>
        <w:t xml:space="preserve"> </w:t>
      </w:r>
      <w:r w:rsidR="00BF1554" w:rsidRPr="00F87FBF">
        <w:rPr>
          <w:rFonts w:asciiTheme="majorHAnsi" w:hAnsiTheme="majorHAnsi" w:cs="Arial"/>
          <w:iCs/>
          <w:sz w:val="24"/>
          <w:szCs w:val="24"/>
        </w:rPr>
        <w:t>Handbook in Human Development: Concepts, Measures, and Policies</w:t>
      </w:r>
      <w:r w:rsidRPr="00F87FBF">
        <w:rPr>
          <w:rFonts w:asciiTheme="majorHAnsi" w:hAnsiTheme="majorHAnsi" w:cs="Arial"/>
          <w:sz w:val="24"/>
          <w:szCs w:val="24"/>
        </w:rPr>
        <w:t>. Oxford University Press, New Delhi.</w:t>
      </w:r>
    </w:p>
    <w:p w:rsidR="00877602" w:rsidRPr="00F87FBF" w:rsidRDefault="00F70CA1" w:rsidP="005806B5">
      <w:pPr>
        <w:spacing w:line="240" w:lineRule="auto"/>
        <w:rPr>
          <w:rFonts w:asciiTheme="majorHAnsi" w:hAnsiTheme="majorHAnsi" w:cs="Arial"/>
          <w:sz w:val="24"/>
          <w:szCs w:val="24"/>
        </w:rPr>
      </w:pPr>
      <w:r w:rsidRPr="00F87FBF">
        <w:rPr>
          <w:rFonts w:asciiTheme="majorHAnsi" w:hAnsiTheme="majorHAnsi" w:cs="Arial"/>
          <w:sz w:val="24"/>
          <w:szCs w:val="24"/>
        </w:rPr>
        <w:t>Goetz, A.M.</w:t>
      </w:r>
      <w:r w:rsidR="00452A48" w:rsidRPr="00F87FBF">
        <w:rPr>
          <w:rFonts w:asciiTheme="majorHAnsi" w:hAnsiTheme="majorHAnsi" w:cs="Arial"/>
          <w:sz w:val="24"/>
          <w:szCs w:val="24"/>
        </w:rPr>
        <w:t xml:space="preserve">, </w:t>
      </w:r>
      <w:r w:rsidRPr="00F87FBF">
        <w:rPr>
          <w:rFonts w:asciiTheme="majorHAnsi" w:hAnsiTheme="majorHAnsi" w:cs="Arial"/>
          <w:sz w:val="24"/>
          <w:szCs w:val="24"/>
        </w:rPr>
        <w:t>2007</w:t>
      </w:r>
      <w:r w:rsidR="00452A48"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Gender justice, citizenship and entitlements.</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Core concepts, central debates and new directions for research</w:t>
      </w:r>
      <w:r w:rsidR="00452A48" w:rsidRPr="00F87FBF">
        <w:rPr>
          <w:rFonts w:asciiTheme="majorHAnsi" w:hAnsiTheme="majorHAnsi" w:cs="Arial"/>
          <w:sz w:val="24"/>
          <w:szCs w:val="24"/>
        </w:rPr>
        <w:t>.</w:t>
      </w:r>
      <w:proofErr w:type="gramEnd"/>
      <w:r w:rsidR="00452A48" w:rsidRPr="00F87FBF">
        <w:rPr>
          <w:rFonts w:asciiTheme="majorHAnsi" w:hAnsiTheme="majorHAnsi" w:cs="Arial"/>
          <w:sz w:val="24"/>
          <w:szCs w:val="24"/>
        </w:rPr>
        <w:t xml:space="preserve"> I</w:t>
      </w:r>
      <w:r w:rsidRPr="00F87FBF">
        <w:rPr>
          <w:rFonts w:asciiTheme="majorHAnsi" w:hAnsiTheme="majorHAnsi" w:cs="Arial"/>
          <w:sz w:val="24"/>
          <w:szCs w:val="24"/>
        </w:rPr>
        <w:t xml:space="preserve">n </w:t>
      </w:r>
      <w:proofErr w:type="spellStart"/>
      <w:r w:rsidRPr="00F87FBF">
        <w:rPr>
          <w:rFonts w:asciiTheme="majorHAnsi" w:hAnsiTheme="majorHAnsi" w:cs="Arial"/>
          <w:sz w:val="24"/>
          <w:szCs w:val="24"/>
        </w:rPr>
        <w:t>Mukhopadhyay</w:t>
      </w:r>
      <w:proofErr w:type="spellEnd"/>
      <w:r w:rsidR="00452A48" w:rsidRPr="00F87FBF">
        <w:rPr>
          <w:rFonts w:asciiTheme="majorHAnsi" w:hAnsiTheme="majorHAnsi" w:cs="Arial"/>
          <w:sz w:val="24"/>
          <w:szCs w:val="24"/>
        </w:rPr>
        <w:t xml:space="preserve">, M., </w:t>
      </w:r>
      <w:r w:rsidRPr="00F87FBF">
        <w:rPr>
          <w:rFonts w:asciiTheme="majorHAnsi" w:hAnsiTheme="majorHAnsi" w:cs="Arial"/>
          <w:sz w:val="24"/>
          <w:szCs w:val="24"/>
        </w:rPr>
        <w:t>Singh</w:t>
      </w:r>
      <w:r w:rsidR="00452A48" w:rsidRPr="00F87FBF">
        <w:rPr>
          <w:rFonts w:asciiTheme="majorHAnsi" w:hAnsiTheme="majorHAnsi" w:cs="Arial"/>
          <w:sz w:val="24"/>
          <w:szCs w:val="24"/>
        </w:rPr>
        <w:t>, N.</w:t>
      </w:r>
      <w:proofErr w:type="gramStart"/>
      <w:r w:rsidR="00452A48" w:rsidRPr="00F87FBF">
        <w:rPr>
          <w:rFonts w:asciiTheme="majorHAnsi" w:hAnsiTheme="majorHAnsi" w:cs="Arial"/>
          <w:sz w:val="24"/>
          <w:szCs w:val="24"/>
        </w:rPr>
        <w:t>,</w:t>
      </w:r>
      <w:r w:rsidRPr="00F87FBF">
        <w:rPr>
          <w:rFonts w:asciiTheme="majorHAnsi" w:hAnsiTheme="majorHAnsi" w:cs="Arial"/>
          <w:sz w:val="24"/>
          <w:szCs w:val="24"/>
        </w:rPr>
        <w:t>(</w:t>
      </w:r>
      <w:proofErr w:type="gramEnd"/>
      <w:r w:rsidRPr="00F87FBF">
        <w:rPr>
          <w:rFonts w:asciiTheme="majorHAnsi" w:hAnsiTheme="majorHAnsi" w:cs="Arial"/>
          <w:sz w:val="24"/>
          <w:szCs w:val="24"/>
        </w:rPr>
        <w:t>Eds</w:t>
      </w:r>
      <w:r w:rsidR="00BA4BC9" w:rsidRPr="00F87FBF">
        <w:rPr>
          <w:rFonts w:asciiTheme="majorHAnsi" w:hAnsiTheme="majorHAnsi" w:cs="Arial"/>
          <w:sz w:val="24"/>
          <w:szCs w:val="24"/>
        </w:rPr>
        <w:t xml:space="preserve">.) </w:t>
      </w:r>
      <w:r w:rsidRPr="00F87FBF">
        <w:rPr>
          <w:rFonts w:asciiTheme="majorHAnsi" w:hAnsiTheme="majorHAnsi" w:cs="Arial"/>
          <w:sz w:val="24"/>
          <w:szCs w:val="24"/>
        </w:rPr>
        <w:t>Gender justice, citizenship and development</w:t>
      </w:r>
      <w:r w:rsidR="001A37D7" w:rsidRPr="00F87FBF">
        <w:rPr>
          <w:rFonts w:asciiTheme="majorHAnsi" w:hAnsiTheme="majorHAnsi" w:cs="Arial"/>
          <w:sz w:val="24"/>
          <w:szCs w:val="24"/>
        </w:rPr>
        <w:t>.</w:t>
      </w:r>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Zubaan</w:t>
      </w:r>
      <w:proofErr w:type="spellEnd"/>
      <w:r w:rsidRPr="00F87FBF">
        <w:rPr>
          <w:rFonts w:asciiTheme="majorHAnsi" w:hAnsiTheme="majorHAnsi" w:cs="Arial"/>
          <w:sz w:val="24"/>
          <w:szCs w:val="24"/>
        </w:rPr>
        <w:t xml:space="preserve">, New </w:t>
      </w:r>
      <w:proofErr w:type="spellStart"/>
      <w:r w:rsidRPr="00F87FBF">
        <w:rPr>
          <w:rFonts w:asciiTheme="majorHAnsi" w:hAnsiTheme="majorHAnsi" w:cs="Arial"/>
          <w:sz w:val="24"/>
          <w:szCs w:val="24"/>
        </w:rPr>
        <w:t>Delhi</w:t>
      </w:r>
      <w:proofErr w:type="gramStart"/>
      <w:r w:rsidR="001A37D7" w:rsidRPr="00F87FBF">
        <w:rPr>
          <w:rFonts w:asciiTheme="majorHAnsi" w:hAnsiTheme="majorHAnsi" w:cs="Arial"/>
          <w:sz w:val="24"/>
          <w:szCs w:val="24"/>
        </w:rPr>
        <w:t>,pp</w:t>
      </w:r>
      <w:proofErr w:type="spellEnd"/>
      <w:proofErr w:type="gramEnd"/>
      <w:r w:rsidR="001A37D7" w:rsidRPr="00F87FBF">
        <w:rPr>
          <w:rFonts w:asciiTheme="majorHAnsi" w:hAnsiTheme="majorHAnsi" w:cs="Arial"/>
          <w:sz w:val="24"/>
          <w:szCs w:val="24"/>
        </w:rPr>
        <w:t>. 15-57.</w:t>
      </w:r>
    </w:p>
    <w:p w:rsidR="0065149F" w:rsidRPr="00F87FBF" w:rsidRDefault="00037F6B" w:rsidP="005806B5">
      <w:pPr>
        <w:spacing w:line="240" w:lineRule="auto"/>
        <w:rPr>
          <w:rFonts w:asciiTheme="majorHAnsi" w:hAnsiTheme="majorHAnsi" w:cs="Arial"/>
          <w:sz w:val="24"/>
          <w:szCs w:val="24"/>
        </w:rPr>
      </w:pPr>
      <w:proofErr w:type="gramStart"/>
      <w:r w:rsidRPr="00F87FBF">
        <w:rPr>
          <w:rFonts w:ascii="Cambria" w:hAnsi="Cambria" w:cs="MyriadPro-Regular"/>
        </w:rPr>
        <w:t>Government of Tanzania, 2005.</w:t>
      </w:r>
      <w:proofErr w:type="gramEnd"/>
      <w:r w:rsidR="0065149F" w:rsidRPr="00F87FBF">
        <w:rPr>
          <w:rFonts w:ascii="Cambria" w:hAnsi="Cambria" w:cs="MyriadPro-Regular"/>
        </w:rPr>
        <w:t xml:space="preserve"> </w:t>
      </w:r>
      <w:proofErr w:type="gramStart"/>
      <w:r w:rsidR="0065149F" w:rsidRPr="00F87FBF">
        <w:rPr>
          <w:rFonts w:ascii="Cambria" w:hAnsi="Cambria" w:cs="MyriadPro-Regular"/>
        </w:rPr>
        <w:t>Tanzania Poverty &amp; Human Development Report.</w:t>
      </w:r>
      <w:proofErr w:type="gramEnd"/>
      <w:r w:rsidR="0065149F" w:rsidRPr="00F87FBF">
        <w:rPr>
          <w:rFonts w:ascii="Cambria" w:hAnsi="Cambria" w:cs="MyriadPro-Regular"/>
        </w:rPr>
        <w:t xml:space="preserve"> Dar </w:t>
      </w:r>
      <w:proofErr w:type="spellStart"/>
      <w:r w:rsidR="0065149F" w:rsidRPr="00F87FBF">
        <w:rPr>
          <w:rFonts w:ascii="Cambria" w:hAnsi="Cambria" w:cs="MyriadPro-Regular"/>
        </w:rPr>
        <w:t>es</w:t>
      </w:r>
      <w:proofErr w:type="spellEnd"/>
      <w:r w:rsidR="0065149F" w:rsidRPr="00F87FBF">
        <w:rPr>
          <w:rFonts w:ascii="Cambria" w:hAnsi="Cambria" w:cs="MyriadPro-Regular"/>
        </w:rPr>
        <w:t xml:space="preserve"> Salaam: </w:t>
      </w:r>
      <w:proofErr w:type="spellStart"/>
      <w:r w:rsidR="0065149F" w:rsidRPr="00F87FBF">
        <w:rPr>
          <w:rFonts w:ascii="Cambria" w:hAnsi="Cambria" w:cs="MyriadPro-Regular"/>
        </w:rPr>
        <w:t>Mkuki</w:t>
      </w:r>
      <w:proofErr w:type="spellEnd"/>
      <w:r w:rsidR="0065149F" w:rsidRPr="00F87FBF">
        <w:rPr>
          <w:rFonts w:ascii="Cambria" w:hAnsi="Cambria" w:cs="MyriadPro-Regular"/>
        </w:rPr>
        <w:t xml:space="preserve"> </w:t>
      </w:r>
      <w:proofErr w:type="spellStart"/>
      <w:proofErr w:type="gramStart"/>
      <w:r w:rsidR="0065149F" w:rsidRPr="00F87FBF">
        <w:rPr>
          <w:rFonts w:ascii="Cambria" w:hAnsi="Cambria" w:cs="MyriadPro-Regular"/>
        </w:rPr>
        <w:t>na</w:t>
      </w:r>
      <w:proofErr w:type="spellEnd"/>
      <w:proofErr w:type="gramEnd"/>
      <w:r w:rsidR="0065149F" w:rsidRPr="00F87FBF">
        <w:rPr>
          <w:rFonts w:ascii="Cambria" w:hAnsi="Cambria" w:cs="MyriadPro-Regular"/>
        </w:rPr>
        <w:t xml:space="preserve"> </w:t>
      </w:r>
      <w:proofErr w:type="spellStart"/>
      <w:r w:rsidR="0065149F" w:rsidRPr="00F87FBF">
        <w:rPr>
          <w:rFonts w:ascii="Cambria" w:hAnsi="Cambria" w:cs="MyriadPro-Regular"/>
        </w:rPr>
        <w:t>Nyota</w:t>
      </w:r>
      <w:proofErr w:type="spellEnd"/>
      <w:r w:rsidR="0065149F" w:rsidRPr="00F87FBF">
        <w:rPr>
          <w:rFonts w:ascii="Cambria" w:hAnsi="Cambria" w:cs="MyriadPro-Regular"/>
        </w:rPr>
        <w:t xml:space="preserve"> Publishers. Accessed March 2009 </w:t>
      </w:r>
      <w:hyperlink r:id="rId10" w:history="1">
        <w:r w:rsidR="0065149F" w:rsidRPr="00F87FBF">
          <w:rPr>
            <w:rStyle w:val="Hyperlink"/>
            <w:rFonts w:ascii="Cambria" w:hAnsi="Cambria" w:cs="MyriadPro-Regular"/>
          </w:rPr>
          <w:t>http://www.repoa.or.tz/documents_storage/PHDR_2005_Prelim.pdf</w:t>
        </w:r>
      </w:hyperlink>
    </w:p>
    <w:p w:rsidR="00F70CA1" w:rsidRPr="00F87FBF" w:rsidRDefault="00877602" w:rsidP="005806B5">
      <w:pPr>
        <w:spacing w:line="240" w:lineRule="auto"/>
        <w:rPr>
          <w:rFonts w:asciiTheme="majorHAnsi" w:hAnsiTheme="majorHAnsi" w:cs="Arial"/>
          <w:sz w:val="24"/>
          <w:szCs w:val="24"/>
        </w:rPr>
      </w:pPr>
      <w:r w:rsidRPr="00F87FBF">
        <w:rPr>
          <w:rFonts w:asciiTheme="majorHAnsi" w:hAnsiTheme="majorHAnsi" w:cs="Arial"/>
          <w:sz w:val="24"/>
          <w:szCs w:val="24"/>
        </w:rPr>
        <w:lastRenderedPageBreak/>
        <w:t>Hattori, M.K, Larsen, U.</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2007. </w:t>
      </w:r>
      <w:proofErr w:type="gramStart"/>
      <w:r w:rsidRPr="00F87FBF">
        <w:rPr>
          <w:rFonts w:asciiTheme="majorHAnsi" w:hAnsiTheme="majorHAnsi" w:cs="Arial"/>
          <w:sz w:val="24"/>
          <w:szCs w:val="24"/>
        </w:rPr>
        <w:t xml:space="preserve">Motherhood Status and Union Formation in </w:t>
      </w:r>
      <w:proofErr w:type="spellStart"/>
      <w:r w:rsidRPr="00F87FBF">
        <w:rPr>
          <w:rFonts w:asciiTheme="majorHAnsi" w:hAnsiTheme="majorHAnsi" w:cs="Arial"/>
          <w:sz w:val="24"/>
          <w:szCs w:val="24"/>
        </w:rPr>
        <w:t>Moshi</w:t>
      </w:r>
      <w:proofErr w:type="spellEnd"/>
      <w:r w:rsidRPr="00F87FBF">
        <w:rPr>
          <w:rFonts w:asciiTheme="majorHAnsi" w:hAnsiTheme="majorHAnsi" w:cs="Arial"/>
          <w:sz w:val="24"/>
          <w:szCs w:val="24"/>
        </w:rPr>
        <w:t>, Tanzania 2002-2003.</w:t>
      </w:r>
      <w:proofErr w:type="gramEnd"/>
      <w:r w:rsidRPr="00F87FBF">
        <w:rPr>
          <w:rFonts w:asciiTheme="majorHAnsi" w:hAnsiTheme="majorHAnsi" w:cs="Arial"/>
          <w:sz w:val="24"/>
          <w:szCs w:val="24"/>
        </w:rPr>
        <w:t xml:space="preserve"> </w:t>
      </w:r>
      <w:r w:rsidRPr="00F87FBF">
        <w:rPr>
          <w:rFonts w:asciiTheme="majorHAnsi" w:hAnsiTheme="majorHAnsi" w:cs="Arial"/>
          <w:iCs/>
          <w:sz w:val="24"/>
          <w:szCs w:val="24"/>
        </w:rPr>
        <w:t>Population Studies 61 (2</w:t>
      </w:r>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Routledge</w:t>
      </w:r>
      <w:proofErr w:type="spellEnd"/>
      <w:r w:rsidR="009458F0">
        <w:rPr>
          <w:rFonts w:asciiTheme="majorHAnsi" w:hAnsiTheme="majorHAnsi" w:cs="Arial"/>
          <w:sz w:val="24"/>
          <w:szCs w:val="24"/>
        </w:rPr>
        <w:t>,</w:t>
      </w:r>
      <w:r w:rsidRPr="00F87FBF">
        <w:rPr>
          <w:rFonts w:asciiTheme="majorHAnsi" w:hAnsiTheme="majorHAnsi" w:cs="Arial"/>
          <w:sz w:val="24"/>
          <w:szCs w:val="24"/>
        </w:rPr>
        <w:t xml:space="preserve"> London, pp. 185-199</w:t>
      </w:r>
    </w:p>
    <w:p w:rsidR="0094688F" w:rsidRDefault="00C46926">
      <w:pPr>
        <w:autoSpaceDE w:val="0"/>
        <w:autoSpaceDN w:val="0"/>
        <w:adjustRightInd w:val="0"/>
        <w:spacing w:line="240" w:lineRule="auto"/>
        <w:rPr>
          <w:rFonts w:asciiTheme="majorHAnsi" w:eastAsiaTheme="minorHAnsi" w:hAnsiTheme="majorHAnsi" w:cs="HelveticaNeue-LightItalic"/>
          <w:iCs/>
          <w:sz w:val="24"/>
          <w:szCs w:val="24"/>
          <w:lang w:val="en-GB"/>
        </w:rPr>
      </w:pPr>
      <w:r w:rsidRPr="00C46926">
        <w:rPr>
          <w:rFonts w:asciiTheme="majorHAnsi" w:eastAsiaTheme="minorHAnsi" w:hAnsiTheme="majorHAnsi" w:cs="HelveticaNeue-Light"/>
          <w:sz w:val="24"/>
          <w:szCs w:val="24"/>
          <w:lang w:val="en-GB"/>
        </w:rPr>
        <w:t xml:space="preserve">Kabeer, N., 1999, </w:t>
      </w:r>
      <w:r w:rsidRPr="00C46926">
        <w:rPr>
          <w:rFonts w:asciiTheme="majorHAnsi" w:eastAsiaTheme="minorHAnsi" w:hAnsiTheme="majorHAnsi" w:cs="HelveticaNeue-LightItalic"/>
          <w:iCs/>
          <w:sz w:val="24"/>
          <w:szCs w:val="24"/>
          <w:lang w:val="en-GB"/>
        </w:rPr>
        <w:t xml:space="preserve">Resources, agency, achievements: reflections on the measurement of women’s empowerment, </w:t>
      </w:r>
      <w:r w:rsidRPr="00C46926">
        <w:rPr>
          <w:rFonts w:asciiTheme="majorHAnsi" w:eastAsiaTheme="minorHAnsi" w:hAnsiTheme="majorHAnsi" w:cs="HelveticaNeue-Light"/>
          <w:sz w:val="24"/>
          <w:szCs w:val="24"/>
          <w:lang w:val="en-GB"/>
        </w:rPr>
        <w:t>Development and Change 30</w:t>
      </w:r>
      <w:r w:rsidR="00402530">
        <w:rPr>
          <w:rFonts w:asciiTheme="majorHAnsi" w:eastAsiaTheme="minorHAnsi" w:hAnsiTheme="majorHAnsi" w:cs="HelveticaNeue-Light"/>
          <w:sz w:val="24"/>
          <w:szCs w:val="24"/>
          <w:lang w:val="en-GB"/>
        </w:rPr>
        <w:t xml:space="preserve"> (</w:t>
      </w:r>
      <w:r w:rsidRPr="00C46926">
        <w:rPr>
          <w:rFonts w:asciiTheme="majorHAnsi" w:eastAsiaTheme="minorHAnsi" w:hAnsiTheme="majorHAnsi" w:cs="HelveticaNeue-Light"/>
          <w:sz w:val="24"/>
          <w:szCs w:val="24"/>
          <w:lang w:val="en-GB"/>
        </w:rPr>
        <w:t>3</w:t>
      </w:r>
      <w:r w:rsidR="00402530">
        <w:rPr>
          <w:rFonts w:asciiTheme="majorHAnsi" w:eastAsiaTheme="minorHAnsi" w:hAnsiTheme="majorHAnsi" w:cs="HelveticaNeue-Light"/>
          <w:sz w:val="24"/>
          <w:szCs w:val="24"/>
          <w:lang w:val="en-GB"/>
        </w:rPr>
        <w:t>)</w:t>
      </w:r>
      <w:r w:rsidRPr="00C46926">
        <w:rPr>
          <w:rFonts w:asciiTheme="majorHAnsi" w:eastAsiaTheme="minorHAnsi" w:hAnsiTheme="majorHAnsi" w:cs="HelveticaNeue-Light"/>
          <w:sz w:val="24"/>
          <w:szCs w:val="24"/>
          <w:lang w:val="en-GB"/>
        </w:rPr>
        <w:t xml:space="preserve"> 435-64</w:t>
      </w:r>
      <w:r w:rsidR="00402530">
        <w:rPr>
          <w:rFonts w:asciiTheme="majorHAnsi" w:eastAsiaTheme="minorHAnsi" w:hAnsiTheme="majorHAnsi" w:cs="HelveticaNeue-Light"/>
          <w:sz w:val="24"/>
          <w:szCs w:val="24"/>
          <w:lang w:val="en-GB"/>
        </w:rPr>
        <w:t>.</w:t>
      </w:r>
    </w:p>
    <w:p w:rsidR="005E3F45" w:rsidRPr="00F87FBF" w:rsidRDefault="005E3F45" w:rsidP="005806B5">
      <w:pPr>
        <w:spacing w:line="240" w:lineRule="auto"/>
        <w:rPr>
          <w:rFonts w:asciiTheme="majorHAnsi" w:hAnsiTheme="majorHAnsi" w:cs="Arial"/>
          <w:sz w:val="24"/>
          <w:szCs w:val="24"/>
        </w:rPr>
      </w:pPr>
      <w:r w:rsidRPr="00F87FBF">
        <w:rPr>
          <w:rFonts w:asciiTheme="majorHAnsi" w:hAnsiTheme="majorHAnsi" w:cs="Arial"/>
          <w:sz w:val="24"/>
          <w:szCs w:val="24"/>
        </w:rPr>
        <w:t>King, E., Hill, A. (Eds.) 1993. Women's education in developing countries: Barriers, benefits and policies. Johns Hopkins University Press, Baltimore.</w:t>
      </w:r>
    </w:p>
    <w:p w:rsidR="00877602" w:rsidRPr="00F87FBF" w:rsidRDefault="00877602" w:rsidP="005806B5">
      <w:pPr>
        <w:widowControl w:val="0"/>
        <w:spacing w:line="240" w:lineRule="auto"/>
        <w:rPr>
          <w:rFonts w:asciiTheme="majorHAnsi" w:hAnsiTheme="majorHAnsi" w:cs="Arial"/>
          <w:sz w:val="24"/>
          <w:szCs w:val="24"/>
        </w:rPr>
      </w:pPr>
      <w:r w:rsidRPr="00F87FBF">
        <w:rPr>
          <w:rFonts w:asciiTheme="majorHAnsi" w:hAnsiTheme="majorHAnsi" w:cs="Arial"/>
          <w:sz w:val="24"/>
          <w:szCs w:val="24"/>
          <w:lang w:val="pl-PL"/>
        </w:rPr>
        <w:t>Klouman</w:t>
      </w:r>
      <w:r w:rsidR="00812D20" w:rsidRPr="00F87FBF">
        <w:rPr>
          <w:rFonts w:asciiTheme="majorHAnsi" w:hAnsiTheme="majorHAnsi" w:cs="Arial"/>
          <w:sz w:val="24"/>
          <w:szCs w:val="24"/>
          <w:lang w:val="pl-PL"/>
        </w:rPr>
        <w:t>n</w:t>
      </w:r>
      <w:r w:rsidRPr="00F87FBF">
        <w:rPr>
          <w:rFonts w:asciiTheme="majorHAnsi" w:hAnsiTheme="majorHAnsi" w:cs="Arial"/>
          <w:sz w:val="24"/>
          <w:szCs w:val="24"/>
          <w:lang w:val="pl-PL"/>
        </w:rPr>
        <w:t>, E., Manongi, R., Klepp, K.</w:t>
      </w:r>
      <w:r w:rsidR="00037F6B" w:rsidRPr="00F87FBF">
        <w:rPr>
          <w:rFonts w:asciiTheme="majorHAnsi" w:hAnsiTheme="majorHAnsi" w:cs="Arial"/>
          <w:sz w:val="24"/>
          <w:szCs w:val="24"/>
          <w:lang w:val="pl-PL"/>
        </w:rPr>
        <w:t>,</w:t>
      </w:r>
      <w:r w:rsidRPr="00F87FBF">
        <w:rPr>
          <w:rFonts w:asciiTheme="majorHAnsi" w:hAnsiTheme="majorHAnsi" w:cs="Arial"/>
          <w:sz w:val="24"/>
          <w:szCs w:val="24"/>
          <w:lang w:val="pl-PL"/>
        </w:rPr>
        <w:t xml:space="preserve"> 2005. </w:t>
      </w:r>
      <w:r w:rsidRPr="00F87FBF">
        <w:rPr>
          <w:rFonts w:asciiTheme="majorHAnsi" w:hAnsiTheme="majorHAnsi" w:cs="Arial"/>
          <w:sz w:val="24"/>
          <w:szCs w:val="24"/>
        </w:rPr>
        <w:t xml:space="preserve">Self-reported and observed female genital cutting in rural Tanzania: Associated demographic factors, HIV and sexually transmitted infections. </w:t>
      </w:r>
      <w:r w:rsidRPr="00F87FBF">
        <w:rPr>
          <w:rFonts w:asciiTheme="majorHAnsi" w:hAnsiTheme="majorHAnsi" w:cs="Arial"/>
          <w:iCs/>
          <w:sz w:val="24"/>
          <w:szCs w:val="24"/>
        </w:rPr>
        <w:t>Tropical Medicine and International Health 10 (1</w:t>
      </w:r>
      <w:r w:rsidRPr="00F87FBF">
        <w:rPr>
          <w:rFonts w:asciiTheme="majorHAnsi" w:hAnsiTheme="majorHAnsi" w:cs="Arial"/>
          <w:sz w:val="24"/>
          <w:szCs w:val="24"/>
        </w:rPr>
        <w:t>), pp. 105-115.</w:t>
      </w:r>
    </w:p>
    <w:p w:rsidR="00877602" w:rsidRPr="00F87FBF" w:rsidRDefault="00176E9C" w:rsidP="005806B5">
      <w:pPr>
        <w:widowControl w:val="0"/>
        <w:spacing w:line="240" w:lineRule="auto"/>
        <w:rPr>
          <w:rFonts w:asciiTheme="majorHAnsi" w:hAnsiTheme="majorHAnsi" w:cs="Arial"/>
          <w:sz w:val="24"/>
          <w:szCs w:val="24"/>
        </w:rPr>
      </w:pPr>
      <w:proofErr w:type="gramStart"/>
      <w:r w:rsidRPr="00F87FBF">
        <w:rPr>
          <w:rFonts w:asciiTheme="majorHAnsi" w:eastAsia="Times New Roman" w:hAnsiTheme="majorHAnsi" w:cs="Arial"/>
          <w:sz w:val="24"/>
          <w:szCs w:val="24"/>
        </w:rPr>
        <w:t>Lockheed, M., 2008</w:t>
      </w:r>
      <w:r w:rsidR="001A37D7" w:rsidRPr="00F87FBF">
        <w:rPr>
          <w:rFonts w:asciiTheme="majorHAnsi" w:eastAsia="Times New Roman" w:hAnsiTheme="majorHAnsi" w:cs="Arial"/>
          <w:sz w:val="24"/>
          <w:szCs w:val="24"/>
        </w:rPr>
        <w:t>.</w:t>
      </w:r>
      <w:proofErr w:type="gramEnd"/>
      <w:r w:rsidR="001A37D7" w:rsidRPr="00F87FBF">
        <w:rPr>
          <w:rFonts w:asciiTheme="majorHAnsi" w:eastAsia="Times New Roman" w:hAnsiTheme="majorHAnsi" w:cs="Arial"/>
          <w:sz w:val="24"/>
          <w:szCs w:val="24"/>
        </w:rPr>
        <w:t xml:space="preserve">  </w:t>
      </w:r>
      <w:proofErr w:type="gramStart"/>
      <w:r w:rsidR="00BF1554" w:rsidRPr="00F87FBF">
        <w:rPr>
          <w:rFonts w:asciiTheme="majorHAnsi" w:eastAsiaTheme="minorHAnsi" w:hAnsiTheme="majorHAnsi" w:cs="Arial"/>
          <w:bCs/>
          <w:sz w:val="24"/>
          <w:szCs w:val="24"/>
          <w:lang w:val="en-GB"/>
        </w:rPr>
        <w:t>The Double Disadvantage of Gender and Social Exclusion in Education</w:t>
      </w:r>
      <w:r w:rsidR="00903DF0" w:rsidRPr="00F87FBF">
        <w:rPr>
          <w:rFonts w:asciiTheme="majorHAnsi" w:eastAsia="Times New Roman" w:hAnsiTheme="majorHAnsi" w:cs="Arial"/>
          <w:sz w:val="24"/>
          <w:szCs w:val="24"/>
        </w:rPr>
        <w:t>.</w:t>
      </w:r>
      <w:proofErr w:type="gramEnd"/>
      <w:r w:rsidR="00903DF0" w:rsidRPr="00F87FBF">
        <w:rPr>
          <w:rFonts w:asciiTheme="majorHAnsi" w:eastAsia="Times New Roman" w:hAnsiTheme="majorHAnsi" w:cs="Arial"/>
          <w:sz w:val="24"/>
          <w:szCs w:val="24"/>
        </w:rPr>
        <w:t xml:space="preserve"> </w:t>
      </w:r>
      <w:proofErr w:type="gramStart"/>
      <w:r w:rsidR="00903DF0" w:rsidRPr="00F87FBF">
        <w:rPr>
          <w:rFonts w:asciiTheme="majorHAnsi" w:eastAsia="Times New Roman" w:hAnsiTheme="majorHAnsi" w:cs="Arial"/>
          <w:sz w:val="24"/>
          <w:szCs w:val="24"/>
        </w:rPr>
        <w:t xml:space="preserve">In </w:t>
      </w:r>
      <w:proofErr w:type="spellStart"/>
      <w:r w:rsidR="00903DF0" w:rsidRPr="00F87FBF">
        <w:rPr>
          <w:rFonts w:asciiTheme="majorHAnsi" w:eastAsia="Times New Roman" w:hAnsiTheme="majorHAnsi" w:cs="Arial"/>
          <w:sz w:val="24"/>
          <w:szCs w:val="24"/>
        </w:rPr>
        <w:t>Tembon</w:t>
      </w:r>
      <w:proofErr w:type="spellEnd"/>
      <w:r w:rsidR="00903DF0" w:rsidRPr="00F87FBF">
        <w:rPr>
          <w:rFonts w:asciiTheme="majorHAnsi" w:eastAsia="Times New Roman" w:hAnsiTheme="majorHAnsi" w:cs="Arial"/>
          <w:sz w:val="24"/>
          <w:szCs w:val="24"/>
        </w:rPr>
        <w:t xml:space="preserve">, M., Fort, L. (Eds.), </w:t>
      </w:r>
      <w:r w:rsidR="00BF1554" w:rsidRPr="00F87FBF">
        <w:rPr>
          <w:rFonts w:asciiTheme="majorHAnsi" w:eastAsiaTheme="minorHAnsi" w:hAnsiTheme="majorHAnsi" w:cs="Arial"/>
          <w:color w:val="231F20"/>
          <w:sz w:val="24"/>
          <w:szCs w:val="24"/>
          <w:lang w:val="en-GB"/>
        </w:rPr>
        <w:t>Girls’</w:t>
      </w:r>
      <w:r w:rsidR="00903DF0" w:rsidRPr="00F87FBF">
        <w:rPr>
          <w:rFonts w:asciiTheme="majorHAnsi" w:eastAsiaTheme="minorHAnsi" w:hAnsiTheme="majorHAnsi" w:cs="Arial"/>
          <w:color w:val="231F20"/>
          <w:sz w:val="24"/>
          <w:szCs w:val="24"/>
          <w:lang w:val="en-GB"/>
        </w:rPr>
        <w:t xml:space="preserve"> Education in the 21st Century Gender Equality, Empowerment, </w:t>
      </w:r>
      <w:r w:rsidR="00BF1554" w:rsidRPr="00F87FBF">
        <w:rPr>
          <w:rFonts w:asciiTheme="majorHAnsi" w:eastAsiaTheme="minorHAnsi" w:hAnsiTheme="majorHAnsi" w:cs="Arial"/>
          <w:color w:val="231F20"/>
          <w:sz w:val="24"/>
          <w:szCs w:val="24"/>
          <w:lang w:val="en-GB"/>
        </w:rPr>
        <w:t>and Economic Growth</w:t>
      </w:r>
      <w:r w:rsidR="00903DF0" w:rsidRPr="00F87FBF">
        <w:rPr>
          <w:rFonts w:asciiTheme="majorHAnsi" w:eastAsia="Times New Roman" w:hAnsiTheme="majorHAnsi" w:cs="Arial"/>
          <w:sz w:val="24"/>
          <w:szCs w:val="24"/>
        </w:rPr>
        <w:t>.</w:t>
      </w:r>
      <w:proofErr w:type="gramEnd"/>
      <w:r w:rsidR="00903DF0" w:rsidRPr="00F87FBF">
        <w:rPr>
          <w:rFonts w:asciiTheme="majorHAnsi" w:eastAsia="Times New Roman" w:hAnsiTheme="majorHAnsi" w:cs="Arial"/>
          <w:sz w:val="24"/>
          <w:szCs w:val="24"/>
        </w:rPr>
        <w:t xml:space="preserve"> World Bank, Washington D.C., pp. 115-126. </w:t>
      </w:r>
    </w:p>
    <w:p w:rsidR="005951A1" w:rsidRPr="00F87FBF" w:rsidRDefault="005951A1" w:rsidP="005806B5">
      <w:pPr>
        <w:spacing w:line="240" w:lineRule="auto"/>
        <w:rPr>
          <w:rFonts w:asciiTheme="majorHAnsi" w:hAnsiTheme="majorHAnsi" w:cs="Arial"/>
          <w:bCs/>
          <w:sz w:val="24"/>
          <w:szCs w:val="24"/>
        </w:rPr>
      </w:pPr>
      <w:r w:rsidRPr="00F87FBF">
        <w:rPr>
          <w:rStyle w:val="field-author-value"/>
          <w:rFonts w:asciiTheme="majorHAnsi" w:hAnsiTheme="majorHAnsi" w:cs="Arial"/>
          <w:sz w:val="24"/>
          <w:szCs w:val="24"/>
        </w:rPr>
        <w:t>Mama, C.A.</w:t>
      </w:r>
      <w:r w:rsidR="00037F6B" w:rsidRPr="00F87FBF">
        <w:rPr>
          <w:rStyle w:val="field-author-value"/>
          <w:rFonts w:asciiTheme="majorHAnsi" w:hAnsiTheme="majorHAnsi" w:cs="Arial"/>
          <w:sz w:val="24"/>
          <w:szCs w:val="24"/>
        </w:rPr>
        <w:t>,</w:t>
      </w:r>
      <w:r w:rsidRPr="00F87FBF">
        <w:rPr>
          <w:rStyle w:val="field-author-value"/>
          <w:rFonts w:asciiTheme="majorHAnsi" w:hAnsiTheme="majorHAnsi" w:cs="Arial"/>
          <w:sz w:val="24"/>
          <w:szCs w:val="24"/>
        </w:rPr>
        <w:t xml:space="preserve"> </w:t>
      </w:r>
      <w:r w:rsidRPr="00F87FBF">
        <w:rPr>
          <w:rStyle w:val="date-display-single"/>
          <w:rFonts w:asciiTheme="majorHAnsi" w:hAnsiTheme="majorHAnsi" w:cs="Arial"/>
          <w:sz w:val="24"/>
          <w:szCs w:val="24"/>
        </w:rPr>
        <w:t>2007</w:t>
      </w:r>
      <w:r w:rsidRPr="00F87FBF">
        <w:rPr>
          <w:rStyle w:val="field-year-value"/>
          <w:rFonts w:asciiTheme="majorHAnsi" w:hAnsiTheme="majorHAnsi" w:cs="Arial"/>
          <w:sz w:val="24"/>
          <w:szCs w:val="24"/>
        </w:rPr>
        <w:t xml:space="preserve">. </w:t>
      </w:r>
      <w:r w:rsidRPr="00F87FBF">
        <w:rPr>
          <w:rStyle w:val="title3"/>
          <w:rFonts w:asciiTheme="majorHAnsi" w:hAnsiTheme="majorHAnsi" w:cs="Arial"/>
          <w:sz w:val="24"/>
          <w:szCs w:val="24"/>
        </w:rPr>
        <w:t xml:space="preserve">Critical connections: Feminist studies in African contexts.  </w:t>
      </w:r>
      <w:r w:rsidRPr="00F87FBF">
        <w:rPr>
          <w:rStyle w:val="field-description-value"/>
          <w:rFonts w:asciiTheme="majorHAnsi" w:hAnsiTheme="majorHAnsi" w:cs="Arial"/>
          <w:sz w:val="24"/>
          <w:szCs w:val="24"/>
        </w:rPr>
        <w:t>In Cornwall, A.</w:t>
      </w:r>
      <w:proofErr w:type="gramStart"/>
      <w:r w:rsidRPr="00F87FBF">
        <w:rPr>
          <w:rStyle w:val="field-description-value"/>
          <w:rFonts w:asciiTheme="majorHAnsi" w:hAnsiTheme="majorHAnsi" w:cs="Arial"/>
          <w:sz w:val="24"/>
          <w:szCs w:val="24"/>
        </w:rPr>
        <w:t>,  Whitehead</w:t>
      </w:r>
      <w:proofErr w:type="gramEnd"/>
      <w:r w:rsidRPr="00F87FBF">
        <w:rPr>
          <w:rStyle w:val="field-description-value"/>
          <w:rFonts w:asciiTheme="majorHAnsi" w:hAnsiTheme="majorHAnsi" w:cs="Arial"/>
          <w:sz w:val="24"/>
          <w:szCs w:val="24"/>
        </w:rPr>
        <w:t xml:space="preserve">, A., Harrison, E. (Eds.) Feminisms in Development. </w:t>
      </w:r>
      <w:proofErr w:type="gramStart"/>
      <w:r w:rsidRPr="00F87FBF">
        <w:rPr>
          <w:rStyle w:val="field-description-value"/>
          <w:rFonts w:asciiTheme="majorHAnsi" w:hAnsiTheme="majorHAnsi" w:cs="Arial"/>
          <w:sz w:val="24"/>
          <w:szCs w:val="24"/>
        </w:rPr>
        <w:t>Contradictions, Contestations and Challenges in Development.</w:t>
      </w:r>
      <w:proofErr w:type="gramEnd"/>
      <w:r w:rsidRPr="00F87FBF">
        <w:rPr>
          <w:rStyle w:val="field-description-value"/>
          <w:rFonts w:asciiTheme="majorHAnsi" w:hAnsiTheme="majorHAnsi" w:cs="Arial"/>
          <w:sz w:val="24"/>
          <w:szCs w:val="24"/>
        </w:rPr>
        <w:t xml:space="preserve"> Zed Books, London, pp. 150-160.</w:t>
      </w:r>
    </w:p>
    <w:p w:rsidR="00877602" w:rsidRPr="00F87FBF" w:rsidRDefault="00877602" w:rsidP="005806B5">
      <w:pPr>
        <w:widowControl w:val="0"/>
        <w:spacing w:line="240" w:lineRule="auto"/>
        <w:rPr>
          <w:rFonts w:asciiTheme="majorHAnsi" w:hAnsiTheme="majorHAnsi" w:cs="Arial"/>
          <w:bCs/>
          <w:sz w:val="24"/>
          <w:szCs w:val="24"/>
        </w:rPr>
      </w:pPr>
      <w:r w:rsidRPr="00F87FBF">
        <w:rPr>
          <w:rFonts w:asciiTheme="majorHAnsi" w:hAnsiTheme="majorHAnsi" w:cs="Arial"/>
          <w:bCs/>
          <w:sz w:val="24"/>
          <w:szCs w:val="24"/>
        </w:rPr>
        <w:t>Mascarenhas, O.</w:t>
      </w:r>
      <w:r w:rsidR="00037F6B" w:rsidRPr="00F87FBF">
        <w:rPr>
          <w:rFonts w:asciiTheme="majorHAnsi" w:hAnsiTheme="majorHAnsi" w:cs="Arial"/>
          <w:bCs/>
          <w:sz w:val="24"/>
          <w:szCs w:val="24"/>
        </w:rPr>
        <w:t>,</w:t>
      </w:r>
      <w:r w:rsidRPr="00F87FBF">
        <w:rPr>
          <w:rFonts w:asciiTheme="majorHAnsi" w:hAnsiTheme="majorHAnsi" w:cs="Arial"/>
          <w:bCs/>
          <w:sz w:val="24"/>
          <w:szCs w:val="24"/>
        </w:rPr>
        <w:t xml:space="preserve"> 2007. Gender profile of Tanzania: enhancing gender equity. TGNP and SIDA, Dar </w:t>
      </w:r>
      <w:proofErr w:type="spellStart"/>
      <w:r w:rsidRPr="00F87FBF">
        <w:rPr>
          <w:rFonts w:asciiTheme="majorHAnsi" w:hAnsiTheme="majorHAnsi" w:cs="Arial"/>
          <w:bCs/>
          <w:sz w:val="24"/>
          <w:szCs w:val="24"/>
        </w:rPr>
        <w:t>es</w:t>
      </w:r>
      <w:proofErr w:type="spellEnd"/>
      <w:r w:rsidRPr="00F87FBF">
        <w:rPr>
          <w:rFonts w:asciiTheme="majorHAnsi" w:hAnsiTheme="majorHAnsi" w:cs="Arial"/>
          <w:bCs/>
          <w:sz w:val="24"/>
          <w:szCs w:val="24"/>
        </w:rPr>
        <w:t xml:space="preserve"> Salaam.</w:t>
      </w:r>
    </w:p>
    <w:p w:rsidR="00F70CA1" w:rsidRPr="00F87FBF" w:rsidRDefault="00F70CA1" w:rsidP="005806B5">
      <w:pPr>
        <w:spacing w:line="240" w:lineRule="auto"/>
        <w:rPr>
          <w:rFonts w:asciiTheme="majorHAnsi" w:eastAsia="Times New Roman" w:hAnsiTheme="majorHAnsi" w:cs="Arial"/>
          <w:sz w:val="24"/>
          <w:szCs w:val="24"/>
        </w:rPr>
      </w:pPr>
      <w:proofErr w:type="spellStart"/>
      <w:r w:rsidRPr="00F87FBF">
        <w:rPr>
          <w:rFonts w:asciiTheme="majorHAnsi" w:eastAsia="Times New Roman" w:hAnsiTheme="majorHAnsi" w:cs="Arial"/>
          <w:sz w:val="24"/>
          <w:szCs w:val="24"/>
        </w:rPr>
        <w:t>Maslak</w:t>
      </w:r>
      <w:proofErr w:type="spellEnd"/>
      <w:r w:rsidRPr="00F87FBF">
        <w:rPr>
          <w:rFonts w:asciiTheme="majorHAnsi" w:eastAsia="Times New Roman" w:hAnsiTheme="majorHAnsi" w:cs="Arial"/>
          <w:sz w:val="24"/>
          <w:szCs w:val="24"/>
        </w:rPr>
        <w:t>, M</w:t>
      </w:r>
      <w:r w:rsidR="00903DF0" w:rsidRPr="00F87FBF">
        <w:rPr>
          <w:rFonts w:asciiTheme="majorHAnsi" w:eastAsia="Times New Roman" w:hAnsiTheme="majorHAnsi" w:cs="Arial"/>
          <w:sz w:val="24"/>
          <w:szCs w:val="24"/>
        </w:rPr>
        <w:t>. (</w:t>
      </w:r>
      <w:proofErr w:type="spellStart"/>
      <w:proofErr w:type="gramStart"/>
      <w:r w:rsidRPr="00F87FBF">
        <w:rPr>
          <w:rFonts w:asciiTheme="majorHAnsi" w:eastAsia="Times New Roman" w:hAnsiTheme="majorHAnsi" w:cs="Arial"/>
          <w:sz w:val="24"/>
          <w:szCs w:val="24"/>
        </w:rPr>
        <w:t>ed</w:t>
      </w:r>
      <w:proofErr w:type="spellEnd"/>
      <w:proofErr w:type="gramEnd"/>
      <w:r w:rsidR="00903DF0" w:rsidRPr="00F87FBF">
        <w:rPr>
          <w:rFonts w:asciiTheme="majorHAnsi" w:eastAsia="Times New Roman" w:hAnsiTheme="majorHAnsi" w:cs="Arial"/>
          <w:sz w:val="24"/>
          <w:szCs w:val="24"/>
        </w:rPr>
        <w:t>)</w:t>
      </w:r>
      <w:r w:rsidR="00051820" w:rsidRPr="00F87FBF">
        <w:rPr>
          <w:rFonts w:asciiTheme="majorHAnsi" w:eastAsia="Times New Roman" w:hAnsiTheme="majorHAnsi" w:cs="Arial"/>
          <w:sz w:val="24"/>
          <w:szCs w:val="24"/>
        </w:rPr>
        <w:t xml:space="preserve"> 2008</w:t>
      </w:r>
      <w:r w:rsidRPr="00F87FBF">
        <w:rPr>
          <w:rFonts w:asciiTheme="majorHAnsi" w:eastAsia="Times New Roman" w:hAnsiTheme="majorHAnsi" w:cs="Arial"/>
          <w:sz w:val="24"/>
          <w:szCs w:val="24"/>
        </w:rPr>
        <w:t xml:space="preserve">. </w:t>
      </w:r>
      <w:proofErr w:type="gramStart"/>
      <w:r w:rsidR="00BF1554" w:rsidRPr="00F87FBF">
        <w:rPr>
          <w:rFonts w:asciiTheme="majorHAnsi" w:eastAsia="Times New Roman" w:hAnsiTheme="majorHAnsi" w:cs="Arial"/>
          <w:iCs/>
          <w:sz w:val="24"/>
          <w:szCs w:val="24"/>
        </w:rPr>
        <w:t>The Structure and Agency of Women’s Education</w:t>
      </w:r>
      <w:r w:rsidRPr="00F87FBF">
        <w:rPr>
          <w:rFonts w:asciiTheme="majorHAnsi" w:eastAsia="Times New Roman" w:hAnsiTheme="majorHAnsi" w:cs="Arial"/>
          <w:sz w:val="24"/>
          <w:szCs w:val="24"/>
        </w:rPr>
        <w:t>.</w:t>
      </w:r>
      <w:proofErr w:type="gramEnd"/>
      <w:r w:rsidRPr="00F87FBF">
        <w:rPr>
          <w:rFonts w:asciiTheme="majorHAnsi" w:eastAsia="Times New Roman" w:hAnsiTheme="majorHAnsi" w:cs="Arial"/>
          <w:sz w:val="24"/>
          <w:szCs w:val="24"/>
        </w:rPr>
        <w:t xml:space="preserve"> </w:t>
      </w:r>
      <w:proofErr w:type="gramStart"/>
      <w:r w:rsidRPr="00F87FBF">
        <w:rPr>
          <w:rFonts w:asciiTheme="majorHAnsi" w:eastAsia="Times New Roman" w:hAnsiTheme="majorHAnsi" w:cs="Arial"/>
          <w:sz w:val="24"/>
          <w:szCs w:val="24"/>
        </w:rPr>
        <w:t>State University of New York Press</w:t>
      </w:r>
      <w:r w:rsidR="00903DF0" w:rsidRPr="00F87FBF">
        <w:rPr>
          <w:rFonts w:asciiTheme="majorHAnsi" w:eastAsia="Times New Roman" w:hAnsiTheme="majorHAnsi" w:cs="Arial"/>
          <w:sz w:val="24"/>
          <w:szCs w:val="24"/>
        </w:rPr>
        <w:t>, Albany</w:t>
      </w:r>
      <w:r w:rsidRPr="00F87FBF">
        <w:rPr>
          <w:rFonts w:asciiTheme="majorHAnsi" w:eastAsia="Times New Roman" w:hAnsiTheme="majorHAnsi" w:cs="Arial"/>
          <w:sz w:val="24"/>
          <w:szCs w:val="24"/>
        </w:rPr>
        <w:t>.</w:t>
      </w:r>
      <w:proofErr w:type="gramEnd"/>
      <w:r w:rsidRPr="00F87FBF">
        <w:rPr>
          <w:rFonts w:asciiTheme="majorHAnsi" w:eastAsia="Times New Roman" w:hAnsiTheme="majorHAnsi" w:cs="Arial"/>
          <w:sz w:val="24"/>
          <w:szCs w:val="24"/>
        </w:rPr>
        <w:t xml:space="preserve"> </w:t>
      </w:r>
    </w:p>
    <w:p w:rsidR="00877602" w:rsidRPr="00F87FBF" w:rsidRDefault="00877602" w:rsidP="005806B5">
      <w:pPr>
        <w:spacing w:line="240" w:lineRule="auto"/>
        <w:rPr>
          <w:rFonts w:asciiTheme="majorHAnsi" w:hAnsiTheme="majorHAnsi" w:cs="Arial"/>
          <w:sz w:val="24"/>
          <w:szCs w:val="24"/>
        </w:rPr>
      </w:pPr>
      <w:proofErr w:type="spellStart"/>
      <w:proofErr w:type="gramStart"/>
      <w:r w:rsidRPr="00F87FBF">
        <w:rPr>
          <w:rFonts w:asciiTheme="majorHAnsi" w:hAnsiTheme="majorHAnsi" w:cs="Arial"/>
          <w:sz w:val="24"/>
          <w:szCs w:val="24"/>
        </w:rPr>
        <w:t>Mbilinyi</w:t>
      </w:r>
      <w:proofErr w:type="spellEnd"/>
      <w:r w:rsidRPr="00F87FBF">
        <w:rPr>
          <w:rFonts w:asciiTheme="majorHAnsi" w:hAnsiTheme="majorHAnsi" w:cs="Arial"/>
          <w:sz w:val="24"/>
          <w:szCs w:val="24"/>
        </w:rPr>
        <w:t>, M.</w:t>
      </w:r>
      <w:r w:rsidR="00037F6B" w:rsidRPr="00F87FBF">
        <w:rPr>
          <w:rFonts w:asciiTheme="majorHAnsi" w:hAnsiTheme="majorHAnsi" w:cs="Arial"/>
          <w:sz w:val="24"/>
          <w:szCs w:val="24"/>
        </w:rPr>
        <w:t>,</w:t>
      </w:r>
      <w:r w:rsidRPr="00F87FBF">
        <w:rPr>
          <w:rFonts w:asciiTheme="majorHAnsi" w:hAnsiTheme="majorHAnsi" w:cs="Arial"/>
          <w:sz w:val="24"/>
          <w:szCs w:val="24"/>
        </w:rPr>
        <w:t xml:space="preserve"> 1998.</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bCs/>
          <w:sz w:val="24"/>
          <w:szCs w:val="24"/>
        </w:rPr>
        <w:t>Searching for utopia: The politics of gender and education in Tanzania.</w:t>
      </w:r>
      <w:proofErr w:type="gramEnd"/>
      <w:r w:rsidRPr="00F87FBF">
        <w:rPr>
          <w:rFonts w:asciiTheme="majorHAnsi" w:hAnsiTheme="majorHAnsi" w:cs="Arial"/>
          <w:bCs/>
          <w:sz w:val="24"/>
          <w:szCs w:val="24"/>
        </w:rPr>
        <w:t xml:space="preserve">  </w:t>
      </w:r>
      <w:proofErr w:type="gramStart"/>
      <w:r w:rsidRPr="00F87FBF">
        <w:rPr>
          <w:rFonts w:asciiTheme="majorHAnsi" w:hAnsiTheme="majorHAnsi" w:cs="Arial"/>
          <w:bCs/>
          <w:sz w:val="24"/>
          <w:szCs w:val="24"/>
        </w:rPr>
        <w:t xml:space="preserve">In Bloch, M., </w:t>
      </w:r>
      <w:proofErr w:type="spellStart"/>
      <w:r w:rsidRPr="00F87FBF">
        <w:rPr>
          <w:rFonts w:asciiTheme="majorHAnsi" w:hAnsiTheme="majorHAnsi" w:cs="Arial"/>
          <w:bCs/>
          <w:sz w:val="24"/>
          <w:szCs w:val="24"/>
        </w:rPr>
        <w:t>Beoku</w:t>
      </w:r>
      <w:proofErr w:type="spellEnd"/>
      <w:r w:rsidRPr="00F87FBF">
        <w:rPr>
          <w:rFonts w:asciiTheme="majorHAnsi" w:hAnsiTheme="majorHAnsi" w:cs="Arial"/>
          <w:bCs/>
          <w:sz w:val="24"/>
          <w:szCs w:val="24"/>
        </w:rPr>
        <w:t xml:space="preserve"> Betts, J.A., </w:t>
      </w:r>
      <w:proofErr w:type="spellStart"/>
      <w:r w:rsidRPr="00F87FBF">
        <w:rPr>
          <w:rFonts w:asciiTheme="majorHAnsi" w:hAnsiTheme="majorHAnsi" w:cs="Arial"/>
          <w:bCs/>
          <w:sz w:val="24"/>
          <w:szCs w:val="24"/>
        </w:rPr>
        <w:t>Tabachnick</w:t>
      </w:r>
      <w:proofErr w:type="spellEnd"/>
      <w:r w:rsidRPr="00F87FBF">
        <w:rPr>
          <w:rFonts w:asciiTheme="majorHAnsi" w:hAnsiTheme="majorHAnsi" w:cs="Arial"/>
          <w:bCs/>
          <w:sz w:val="24"/>
          <w:szCs w:val="24"/>
        </w:rPr>
        <w:t xml:space="preserve">, B.R. (Eds.) </w:t>
      </w:r>
      <w:r w:rsidRPr="00F87FBF">
        <w:rPr>
          <w:rFonts w:asciiTheme="majorHAnsi" w:hAnsiTheme="majorHAnsi" w:cs="Arial"/>
          <w:bCs/>
          <w:iCs/>
          <w:sz w:val="24"/>
          <w:szCs w:val="24"/>
        </w:rPr>
        <w:t>Women and Education in Sub-Saharan Africa: Power, opportunities, and constraints</w:t>
      </w:r>
      <w:r w:rsidRPr="00F87FBF">
        <w:rPr>
          <w:rFonts w:asciiTheme="majorHAnsi" w:hAnsiTheme="majorHAnsi" w:cs="Arial"/>
          <w:bCs/>
          <w:sz w:val="24"/>
          <w:szCs w:val="24"/>
        </w:rPr>
        <w:t>.</w:t>
      </w:r>
      <w:proofErr w:type="gramEnd"/>
      <w:r w:rsidRPr="00F87FBF">
        <w:rPr>
          <w:rFonts w:asciiTheme="majorHAnsi" w:hAnsiTheme="majorHAnsi" w:cs="Arial"/>
          <w:bCs/>
          <w:sz w:val="24"/>
          <w:szCs w:val="24"/>
        </w:rPr>
        <w:t xml:space="preserve"> Lynne </w:t>
      </w:r>
      <w:proofErr w:type="spellStart"/>
      <w:r w:rsidRPr="00F87FBF">
        <w:rPr>
          <w:rFonts w:asciiTheme="majorHAnsi" w:hAnsiTheme="majorHAnsi" w:cs="Arial"/>
          <w:bCs/>
          <w:sz w:val="24"/>
          <w:szCs w:val="24"/>
        </w:rPr>
        <w:t>Rienner</w:t>
      </w:r>
      <w:proofErr w:type="spellEnd"/>
      <w:r w:rsidRPr="00F87FBF">
        <w:rPr>
          <w:rFonts w:asciiTheme="majorHAnsi" w:hAnsiTheme="majorHAnsi" w:cs="Arial"/>
          <w:bCs/>
          <w:sz w:val="24"/>
          <w:szCs w:val="24"/>
        </w:rPr>
        <w:t xml:space="preserve">, Boulder, CO, pp. </w:t>
      </w:r>
      <w:r w:rsidRPr="00F87FBF">
        <w:rPr>
          <w:rFonts w:asciiTheme="majorHAnsi" w:hAnsiTheme="majorHAnsi" w:cs="Arial"/>
          <w:sz w:val="24"/>
          <w:szCs w:val="24"/>
        </w:rPr>
        <w:t>277-295.</w:t>
      </w:r>
    </w:p>
    <w:p w:rsidR="00877602" w:rsidRPr="00F87FBF" w:rsidRDefault="00877602" w:rsidP="005806B5">
      <w:pPr>
        <w:spacing w:line="240" w:lineRule="auto"/>
        <w:rPr>
          <w:rFonts w:asciiTheme="majorHAnsi" w:eastAsia="Times New Roman" w:hAnsiTheme="majorHAnsi" w:cs="Arial"/>
          <w:sz w:val="24"/>
          <w:szCs w:val="24"/>
        </w:rPr>
      </w:pPr>
      <w:proofErr w:type="gramStart"/>
      <w:r w:rsidRPr="00F87FBF">
        <w:rPr>
          <w:rFonts w:asciiTheme="majorHAnsi" w:hAnsiTheme="majorHAnsi" w:cs="Arial"/>
          <w:bCs/>
          <w:sz w:val="24"/>
          <w:szCs w:val="24"/>
        </w:rPr>
        <w:t>Ministry of Education and Vocational Training</w:t>
      </w:r>
      <w:r w:rsidR="00037F6B" w:rsidRPr="00F87FBF">
        <w:rPr>
          <w:rFonts w:asciiTheme="majorHAnsi" w:hAnsiTheme="majorHAnsi" w:cs="Arial"/>
          <w:bCs/>
          <w:sz w:val="24"/>
          <w:szCs w:val="24"/>
        </w:rPr>
        <w:t xml:space="preserve">, </w:t>
      </w:r>
      <w:r w:rsidRPr="00F87FBF">
        <w:rPr>
          <w:rFonts w:asciiTheme="majorHAnsi" w:hAnsiTheme="majorHAnsi" w:cs="Arial"/>
          <w:bCs/>
          <w:sz w:val="24"/>
          <w:szCs w:val="24"/>
        </w:rPr>
        <w:t>2009.</w:t>
      </w:r>
      <w:proofErr w:type="gramEnd"/>
      <w:r w:rsidRPr="00F87FBF">
        <w:rPr>
          <w:rFonts w:asciiTheme="majorHAnsi" w:hAnsiTheme="majorHAnsi" w:cs="Arial"/>
          <w:bCs/>
          <w:sz w:val="24"/>
          <w:szCs w:val="24"/>
        </w:rPr>
        <w:t xml:space="preserve"> </w:t>
      </w:r>
      <w:proofErr w:type="gramStart"/>
      <w:r w:rsidRPr="00F87FBF">
        <w:rPr>
          <w:rFonts w:asciiTheme="majorHAnsi" w:hAnsiTheme="majorHAnsi" w:cs="Arial"/>
          <w:bCs/>
          <w:sz w:val="24"/>
          <w:szCs w:val="24"/>
        </w:rPr>
        <w:t>Basic Education Statistic in Tanzania (BEST) 2005-2009: National Data</w:t>
      </w:r>
      <w:r w:rsidR="00C46926" w:rsidRPr="00C46926">
        <w:rPr>
          <w:rFonts w:asciiTheme="majorHAnsi" w:hAnsiTheme="majorHAnsi" w:cs="Arial"/>
          <w:bCs/>
          <w:sz w:val="24"/>
          <w:szCs w:val="24"/>
        </w:rPr>
        <w:t>.</w:t>
      </w:r>
      <w:proofErr w:type="gramEnd"/>
      <w:r w:rsidRPr="00F87FBF">
        <w:rPr>
          <w:rFonts w:asciiTheme="majorHAnsi" w:hAnsiTheme="majorHAnsi" w:cs="Arial"/>
          <w:bCs/>
          <w:sz w:val="24"/>
          <w:szCs w:val="24"/>
        </w:rPr>
        <w:t xml:space="preserve"> </w:t>
      </w:r>
      <w:proofErr w:type="spellStart"/>
      <w:r w:rsidRPr="00F87FBF">
        <w:rPr>
          <w:rFonts w:asciiTheme="majorHAnsi" w:hAnsiTheme="majorHAnsi" w:cs="Arial"/>
          <w:bCs/>
          <w:sz w:val="24"/>
          <w:szCs w:val="24"/>
        </w:rPr>
        <w:t>MoEVT</w:t>
      </w:r>
      <w:proofErr w:type="spellEnd"/>
      <w:r w:rsidRPr="00F87FBF">
        <w:rPr>
          <w:rFonts w:asciiTheme="majorHAnsi" w:hAnsiTheme="majorHAnsi" w:cs="Arial"/>
          <w:bCs/>
          <w:sz w:val="24"/>
          <w:szCs w:val="24"/>
        </w:rPr>
        <w:t xml:space="preserve">, Dar </w:t>
      </w:r>
      <w:proofErr w:type="spellStart"/>
      <w:r w:rsidRPr="00F87FBF">
        <w:rPr>
          <w:rFonts w:asciiTheme="majorHAnsi" w:hAnsiTheme="majorHAnsi" w:cs="Arial"/>
          <w:bCs/>
          <w:sz w:val="24"/>
          <w:szCs w:val="24"/>
        </w:rPr>
        <w:t>es</w:t>
      </w:r>
      <w:proofErr w:type="spellEnd"/>
      <w:r w:rsidRPr="00F87FBF">
        <w:rPr>
          <w:rFonts w:asciiTheme="majorHAnsi" w:hAnsiTheme="majorHAnsi" w:cs="Arial"/>
          <w:bCs/>
          <w:sz w:val="24"/>
          <w:szCs w:val="24"/>
        </w:rPr>
        <w:t xml:space="preserve"> Salaam.</w:t>
      </w:r>
    </w:p>
    <w:p w:rsidR="0094688F" w:rsidRDefault="00643F5A">
      <w:pPr>
        <w:autoSpaceDE w:val="0"/>
        <w:autoSpaceDN w:val="0"/>
        <w:adjustRightInd w:val="0"/>
        <w:spacing w:line="240" w:lineRule="auto"/>
        <w:rPr>
          <w:rFonts w:asciiTheme="majorHAnsi" w:hAnsiTheme="majorHAnsi"/>
          <w:sz w:val="24"/>
          <w:szCs w:val="24"/>
        </w:rPr>
      </w:pPr>
      <w:proofErr w:type="spellStart"/>
      <w:proofErr w:type="gramStart"/>
      <w:r w:rsidRPr="00F87FBF">
        <w:rPr>
          <w:rFonts w:asciiTheme="majorHAnsi" w:hAnsiTheme="majorHAnsi"/>
          <w:sz w:val="24"/>
          <w:szCs w:val="24"/>
        </w:rPr>
        <w:t>Moja</w:t>
      </w:r>
      <w:proofErr w:type="spellEnd"/>
      <w:r w:rsidRPr="00F87FBF">
        <w:rPr>
          <w:rFonts w:asciiTheme="majorHAnsi" w:hAnsiTheme="majorHAnsi"/>
          <w:sz w:val="24"/>
          <w:szCs w:val="24"/>
        </w:rPr>
        <w:t>, T.</w:t>
      </w:r>
      <w:r w:rsidR="00037F6B" w:rsidRPr="00F87FBF">
        <w:rPr>
          <w:rFonts w:asciiTheme="majorHAnsi" w:hAnsiTheme="majorHAnsi"/>
          <w:sz w:val="24"/>
          <w:szCs w:val="24"/>
        </w:rPr>
        <w:t xml:space="preserve">, </w:t>
      </w:r>
      <w:r w:rsidRPr="00F87FBF">
        <w:rPr>
          <w:rFonts w:asciiTheme="majorHAnsi" w:hAnsiTheme="majorHAnsi"/>
          <w:sz w:val="24"/>
          <w:szCs w:val="24"/>
        </w:rPr>
        <w:t>2000.</w:t>
      </w:r>
      <w:proofErr w:type="gramEnd"/>
      <w:r w:rsidRPr="00F87FBF">
        <w:rPr>
          <w:rFonts w:asciiTheme="majorHAnsi" w:hAnsiTheme="majorHAnsi"/>
          <w:sz w:val="24"/>
          <w:szCs w:val="24"/>
        </w:rPr>
        <w:t xml:space="preserve"> </w:t>
      </w:r>
      <w:r w:rsidRPr="00F87FBF">
        <w:rPr>
          <w:rFonts w:asciiTheme="majorHAnsi" w:eastAsiaTheme="minorHAnsi" w:hAnsiTheme="majorHAnsi" w:cs="Garamond"/>
          <w:sz w:val="24"/>
          <w:szCs w:val="24"/>
          <w:lang w:val="en-GB"/>
        </w:rPr>
        <w:t>Nigeria Education Sector Analysis: An analytical synthesis of</w:t>
      </w:r>
      <w:r w:rsidR="00A10211" w:rsidRPr="00F87FBF">
        <w:rPr>
          <w:rFonts w:asciiTheme="majorHAnsi" w:eastAsiaTheme="minorHAnsi" w:hAnsiTheme="majorHAnsi" w:cs="Garamond"/>
          <w:sz w:val="24"/>
          <w:szCs w:val="24"/>
          <w:lang w:val="en-GB"/>
        </w:rPr>
        <w:t xml:space="preserve"> </w:t>
      </w:r>
      <w:r w:rsidRPr="00F87FBF">
        <w:rPr>
          <w:rFonts w:asciiTheme="majorHAnsi" w:eastAsiaTheme="minorHAnsi" w:hAnsiTheme="majorHAnsi" w:cs="Garamond"/>
          <w:sz w:val="24"/>
          <w:szCs w:val="24"/>
          <w:lang w:val="en-GB"/>
        </w:rPr>
        <w:t>performance and main issues. World Bank, New York.</w:t>
      </w:r>
    </w:p>
    <w:p w:rsidR="00F70CA1" w:rsidRPr="00F87FBF" w:rsidRDefault="00F70CA1" w:rsidP="005806B5">
      <w:pPr>
        <w:spacing w:line="240" w:lineRule="auto"/>
        <w:rPr>
          <w:rFonts w:asciiTheme="majorHAnsi" w:eastAsia="Times New Roman" w:hAnsiTheme="majorHAnsi" w:cs="Arial"/>
          <w:sz w:val="24"/>
          <w:szCs w:val="24"/>
        </w:rPr>
      </w:pPr>
      <w:r w:rsidRPr="00F87FBF">
        <w:rPr>
          <w:rFonts w:asciiTheme="majorHAnsi" w:eastAsia="Times New Roman" w:hAnsiTheme="majorHAnsi" w:cs="Arial"/>
          <w:sz w:val="24"/>
          <w:szCs w:val="24"/>
        </w:rPr>
        <w:t>Monkman, K.</w:t>
      </w:r>
      <w:r w:rsidR="00037F6B" w:rsidRPr="00F87FBF">
        <w:rPr>
          <w:rFonts w:asciiTheme="majorHAnsi" w:eastAsia="Times New Roman" w:hAnsiTheme="majorHAnsi" w:cs="Arial"/>
          <w:sz w:val="24"/>
          <w:szCs w:val="24"/>
        </w:rPr>
        <w:t>,</w:t>
      </w:r>
      <w:r w:rsidRPr="00F87FBF">
        <w:rPr>
          <w:rFonts w:asciiTheme="majorHAnsi" w:eastAsia="Times New Roman" w:hAnsiTheme="majorHAnsi" w:cs="Arial"/>
          <w:sz w:val="24"/>
          <w:szCs w:val="24"/>
        </w:rPr>
        <w:t xml:space="preserve"> 2011. Introduction: Framing Gender, Education and Empowerment Research. </w:t>
      </w:r>
      <w:proofErr w:type="gramStart"/>
      <w:r w:rsidR="00BF1554" w:rsidRPr="00F87FBF">
        <w:rPr>
          <w:rFonts w:asciiTheme="majorHAnsi" w:eastAsia="Times New Roman" w:hAnsiTheme="majorHAnsi" w:cs="Arial"/>
          <w:iCs/>
          <w:sz w:val="24"/>
          <w:szCs w:val="24"/>
        </w:rPr>
        <w:t>Research in Comparative &amp; International Education</w:t>
      </w:r>
      <w:r w:rsidRPr="00F87FBF">
        <w:rPr>
          <w:rFonts w:asciiTheme="majorHAnsi" w:eastAsia="Times New Roman" w:hAnsiTheme="majorHAnsi" w:cs="Arial"/>
          <w:sz w:val="24"/>
          <w:szCs w:val="24"/>
        </w:rPr>
        <w:t xml:space="preserve"> 6(1)</w:t>
      </w:r>
      <w:r w:rsidR="00903DF0" w:rsidRPr="00F87FBF">
        <w:rPr>
          <w:rFonts w:asciiTheme="majorHAnsi" w:eastAsia="Times New Roman" w:hAnsiTheme="majorHAnsi" w:cs="Arial"/>
          <w:sz w:val="24"/>
          <w:szCs w:val="24"/>
        </w:rPr>
        <w:t xml:space="preserve">, </w:t>
      </w:r>
      <w:r w:rsidR="00A075B9" w:rsidRPr="00F87FBF">
        <w:rPr>
          <w:rFonts w:asciiTheme="majorHAnsi" w:eastAsia="Times New Roman" w:hAnsiTheme="majorHAnsi" w:cs="Arial"/>
          <w:sz w:val="24"/>
          <w:szCs w:val="24"/>
        </w:rPr>
        <w:t>pp.</w:t>
      </w:r>
      <w:r w:rsidRPr="00F87FBF">
        <w:rPr>
          <w:rFonts w:asciiTheme="majorHAnsi" w:eastAsia="Times New Roman" w:hAnsiTheme="majorHAnsi" w:cs="Arial"/>
          <w:sz w:val="24"/>
          <w:szCs w:val="24"/>
        </w:rPr>
        <w:t>1–3.</w:t>
      </w:r>
      <w:proofErr w:type="gramEnd"/>
      <w:r w:rsidRPr="00F87FBF">
        <w:rPr>
          <w:rFonts w:asciiTheme="majorHAnsi" w:eastAsia="Times New Roman" w:hAnsiTheme="majorHAnsi" w:cs="Arial"/>
          <w:sz w:val="24"/>
          <w:szCs w:val="24"/>
        </w:rPr>
        <w:t xml:space="preserve"> </w:t>
      </w:r>
    </w:p>
    <w:p w:rsidR="00F70CA1" w:rsidRPr="00F87FBF" w:rsidRDefault="00F70CA1" w:rsidP="005806B5">
      <w:pPr>
        <w:spacing w:line="240" w:lineRule="auto"/>
        <w:rPr>
          <w:rFonts w:asciiTheme="majorHAnsi" w:hAnsiTheme="majorHAnsi" w:cs="Arial"/>
          <w:bCs/>
          <w:sz w:val="24"/>
          <w:szCs w:val="24"/>
        </w:rPr>
      </w:pPr>
      <w:r w:rsidRPr="00F87FBF">
        <w:rPr>
          <w:rFonts w:asciiTheme="majorHAnsi" w:hAnsiTheme="majorHAnsi" w:cs="Arial"/>
          <w:sz w:val="24"/>
          <w:szCs w:val="24"/>
        </w:rPr>
        <w:t>Moser, C.</w:t>
      </w:r>
      <w:r w:rsidR="00037F6B" w:rsidRPr="00F87FBF">
        <w:rPr>
          <w:rFonts w:asciiTheme="majorHAnsi" w:hAnsiTheme="majorHAnsi" w:cs="Arial"/>
          <w:sz w:val="24"/>
          <w:szCs w:val="24"/>
        </w:rPr>
        <w:t>,</w:t>
      </w:r>
      <w:r w:rsidRPr="00F87FBF">
        <w:rPr>
          <w:rFonts w:asciiTheme="majorHAnsi" w:hAnsiTheme="majorHAnsi" w:cs="Arial"/>
          <w:sz w:val="24"/>
          <w:szCs w:val="24"/>
        </w:rPr>
        <w:t xml:space="preserve"> 1993</w:t>
      </w:r>
      <w:r w:rsidR="00040D2E" w:rsidRPr="00F87FBF">
        <w:rPr>
          <w:rFonts w:asciiTheme="majorHAnsi" w:hAnsiTheme="majorHAnsi" w:cs="Arial"/>
          <w:sz w:val="24"/>
          <w:szCs w:val="24"/>
        </w:rPr>
        <w:t>.</w:t>
      </w:r>
      <w:r w:rsidRPr="00F87FBF">
        <w:rPr>
          <w:rFonts w:asciiTheme="majorHAnsi" w:hAnsiTheme="majorHAnsi" w:cs="Arial"/>
          <w:sz w:val="24"/>
          <w:szCs w:val="24"/>
        </w:rPr>
        <w:t xml:space="preserve"> Gender Planning and Development: Theory, Practice and Training. </w:t>
      </w:r>
      <w:proofErr w:type="spellStart"/>
      <w:r w:rsidR="00040D2E" w:rsidRPr="00F87FBF">
        <w:rPr>
          <w:rFonts w:asciiTheme="majorHAnsi" w:hAnsiTheme="majorHAnsi" w:cs="Arial"/>
          <w:sz w:val="24"/>
          <w:szCs w:val="24"/>
        </w:rPr>
        <w:t>Routledge</w:t>
      </w:r>
      <w:proofErr w:type="spellEnd"/>
      <w:r w:rsidR="00040D2E" w:rsidRPr="00F87FBF">
        <w:rPr>
          <w:rFonts w:asciiTheme="majorHAnsi" w:hAnsiTheme="majorHAnsi" w:cs="Arial"/>
          <w:sz w:val="24"/>
          <w:szCs w:val="24"/>
        </w:rPr>
        <w:t xml:space="preserve">, </w:t>
      </w:r>
      <w:r w:rsidRPr="00F87FBF">
        <w:rPr>
          <w:rFonts w:asciiTheme="majorHAnsi" w:hAnsiTheme="majorHAnsi" w:cs="Arial"/>
          <w:sz w:val="24"/>
          <w:szCs w:val="24"/>
        </w:rPr>
        <w:t>London</w:t>
      </w:r>
      <w:r w:rsidR="009458F0">
        <w:rPr>
          <w:rFonts w:asciiTheme="majorHAnsi" w:hAnsiTheme="majorHAnsi" w:cs="Arial"/>
          <w:sz w:val="24"/>
          <w:szCs w:val="24"/>
        </w:rPr>
        <w:t>.</w:t>
      </w:r>
    </w:p>
    <w:p w:rsidR="0094688F" w:rsidRDefault="00BF1554">
      <w:pPr>
        <w:autoSpaceDE w:val="0"/>
        <w:autoSpaceDN w:val="0"/>
        <w:adjustRightInd w:val="0"/>
        <w:spacing w:line="240" w:lineRule="auto"/>
        <w:rPr>
          <w:rFonts w:asciiTheme="majorHAnsi" w:hAnsiTheme="majorHAnsi" w:cs="Arial"/>
          <w:bCs/>
          <w:sz w:val="24"/>
          <w:szCs w:val="24"/>
        </w:rPr>
      </w:pPr>
      <w:proofErr w:type="gramStart"/>
      <w:r w:rsidRPr="00F87FBF">
        <w:rPr>
          <w:rFonts w:asciiTheme="majorHAnsi" w:eastAsiaTheme="minorHAnsi" w:hAnsiTheme="majorHAnsi" w:cs="Arial"/>
          <w:sz w:val="24"/>
          <w:szCs w:val="24"/>
          <w:lang w:val="en-GB"/>
        </w:rPr>
        <w:t>Murphy-Graham, E.</w:t>
      </w:r>
      <w:r w:rsidR="00037F6B" w:rsidRPr="00F87FBF">
        <w:rPr>
          <w:rFonts w:asciiTheme="majorHAnsi" w:eastAsiaTheme="minorHAnsi" w:hAnsiTheme="majorHAnsi" w:cs="Arial"/>
          <w:sz w:val="24"/>
          <w:szCs w:val="24"/>
          <w:lang w:val="en-GB"/>
        </w:rPr>
        <w:t>,</w:t>
      </w:r>
      <w:r w:rsidRPr="00F87FBF">
        <w:rPr>
          <w:rFonts w:asciiTheme="majorHAnsi" w:eastAsiaTheme="minorHAnsi" w:hAnsiTheme="majorHAnsi" w:cs="Arial"/>
          <w:sz w:val="24"/>
          <w:szCs w:val="24"/>
          <w:lang w:val="en-GB"/>
        </w:rPr>
        <w:t xml:space="preserve"> 2012.</w:t>
      </w:r>
      <w:proofErr w:type="gramEnd"/>
      <w:r w:rsidRPr="00F87FBF">
        <w:rPr>
          <w:rFonts w:asciiTheme="majorHAnsi" w:eastAsiaTheme="minorHAnsi" w:hAnsiTheme="majorHAnsi" w:cs="Arial"/>
          <w:sz w:val="24"/>
          <w:szCs w:val="24"/>
          <w:lang w:val="en-GB"/>
        </w:rPr>
        <w:t xml:space="preserve"> </w:t>
      </w:r>
      <w:r w:rsidR="00C46926" w:rsidRPr="00C46926">
        <w:rPr>
          <w:rFonts w:asciiTheme="majorHAnsi" w:eastAsiaTheme="minorHAnsi" w:hAnsiTheme="majorHAnsi" w:cs="Arial"/>
          <w:iCs/>
          <w:sz w:val="24"/>
          <w:szCs w:val="24"/>
          <w:lang w:val="en-GB"/>
        </w:rPr>
        <w:t xml:space="preserve">Opening Minds, Improving Lives: Education and Women’s Empowerment in Honduras. </w:t>
      </w:r>
      <w:r w:rsidRPr="00F87FBF">
        <w:rPr>
          <w:rFonts w:asciiTheme="majorHAnsi" w:eastAsiaTheme="minorHAnsi" w:hAnsiTheme="majorHAnsi" w:cs="Arial"/>
          <w:sz w:val="24"/>
          <w:szCs w:val="24"/>
          <w:lang w:val="en-GB"/>
        </w:rPr>
        <w:t>Vanderbilt University Press, Nashville.</w:t>
      </w:r>
      <w:r w:rsidR="00040D2E" w:rsidRPr="00F87FBF" w:rsidDel="00040D2E">
        <w:rPr>
          <w:rFonts w:asciiTheme="majorHAnsi" w:hAnsiTheme="majorHAnsi" w:cs="Arial"/>
          <w:bCs/>
          <w:sz w:val="24"/>
          <w:szCs w:val="24"/>
        </w:rPr>
        <w:t xml:space="preserve"> </w:t>
      </w:r>
    </w:p>
    <w:p w:rsidR="0094688F" w:rsidRDefault="00037F6B">
      <w:pPr>
        <w:pStyle w:val="Style1"/>
        <w:spacing w:after="240"/>
        <w:rPr>
          <w:rFonts w:cs="Cambria"/>
          <w:b w:val="0"/>
        </w:rPr>
      </w:pPr>
      <w:proofErr w:type="gramStart"/>
      <w:r w:rsidRPr="00F87FBF">
        <w:rPr>
          <w:rFonts w:cs="Cambria"/>
          <w:b w:val="0"/>
          <w:lang w:eastAsia="en-US"/>
        </w:rPr>
        <w:t>National Bureau of Statistics, 2006.</w:t>
      </w:r>
      <w:proofErr w:type="gramEnd"/>
      <w:r w:rsidR="0065149F" w:rsidRPr="00F87FBF">
        <w:rPr>
          <w:rFonts w:cs="Cambria"/>
          <w:b w:val="0"/>
          <w:lang w:eastAsia="en-US"/>
        </w:rPr>
        <w:t xml:space="preserve"> </w:t>
      </w:r>
      <w:proofErr w:type="gramStart"/>
      <w:r w:rsidR="0065149F" w:rsidRPr="00F87FBF">
        <w:rPr>
          <w:rFonts w:cs="Cambria"/>
          <w:b w:val="0"/>
          <w:lang w:eastAsia="en-US"/>
        </w:rPr>
        <w:t>Survey on Core welfare indicators questionnaires National Bureau of Statistics</w:t>
      </w:r>
      <w:r w:rsidR="00402530">
        <w:rPr>
          <w:rFonts w:cs="Cambria"/>
          <w:b w:val="0"/>
          <w:lang w:eastAsia="en-US"/>
        </w:rPr>
        <w:t>, Abuja.</w:t>
      </w:r>
      <w:proofErr w:type="gramEnd"/>
      <w:r w:rsidR="0065149F" w:rsidRPr="00F87FBF">
        <w:rPr>
          <w:rFonts w:cs="Cambria"/>
          <w:b w:val="0"/>
          <w:lang w:eastAsia="en-US"/>
        </w:rPr>
        <w:t xml:space="preserve"> On line on </w:t>
      </w:r>
      <w:r w:rsidR="0065149F" w:rsidRPr="00F87FBF">
        <w:rPr>
          <w:rFonts w:cs="Cambria"/>
          <w:b w:val="0"/>
        </w:rPr>
        <w:t>http://www.nigerianstat.gov.ng/cwiq/2006/survey0/outputInformation/cwiqreports.html (accessed 24 July 2009)</w:t>
      </w:r>
    </w:p>
    <w:p w:rsidR="0094688F" w:rsidRDefault="00033819">
      <w:pPr>
        <w:pStyle w:val="NormalWeb"/>
        <w:spacing w:before="0" w:beforeAutospacing="0" w:after="240" w:afterAutospacing="0"/>
        <w:rPr>
          <w:rFonts w:asciiTheme="majorHAnsi" w:hAnsiTheme="majorHAnsi" w:cs="Arial"/>
        </w:rPr>
      </w:pPr>
      <w:proofErr w:type="gramStart"/>
      <w:r w:rsidRPr="00F87FBF">
        <w:rPr>
          <w:rFonts w:asciiTheme="majorHAnsi" w:hAnsiTheme="majorHAnsi" w:cs="Arial"/>
        </w:rPr>
        <w:lastRenderedPageBreak/>
        <w:t>National Research Council and Institute of Medicine</w:t>
      </w:r>
      <w:r w:rsidR="00037F6B" w:rsidRPr="00F87FBF">
        <w:rPr>
          <w:rFonts w:asciiTheme="majorHAnsi" w:hAnsiTheme="majorHAnsi" w:cs="Arial"/>
        </w:rPr>
        <w:t>,</w:t>
      </w:r>
      <w:r w:rsidRPr="00F87FBF">
        <w:rPr>
          <w:rFonts w:asciiTheme="majorHAnsi" w:hAnsiTheme="majorHAnsi" w:cs="Arial"/>
        </w:rPr>
        <w:t xml:space="preserve"> 2005.</w:t>
      </w:r>
      <w:proofErr w:type="gramEnd"/>
      <w:r w:rsidRPr="00F87FBF">
        <w:rPr>
          <w:rFonts w:asciiTheme="majorHAnsi" w:hAnsiTheme="majorHAnsi" w:cs="Arial"/>
        </w:rPr>
        <w:t> </w:t>
      </w:r>
      <w:r w:rsidR="00C46926" w:rsidRPr="00C46926">
        <w:rPr>
          <w:rFonts w:asciiTheme="majorHAnsi" w:hAnsiTheme="majorHAnsi" w:cs="Arial"/>
          <w:iCs/>
        </w:rPr>
        <w:t xml:space="preserve"> </w:t>
      </w:r>
      <w:proofErr w:type="gramStart"/>
      <w:r w:rsidR="00C46926" w:rsidRPr="00C46926">
        <w:rPr>
          <w:rFonts w:asciiTheme="majorHAnsi" w:hAnsiTheme="majorHAnsi" w:cs="Arial"/>
          <w:iCs/>
        </w:rPr>
        <w:t>Growing Up Global:  The Changing Transitions to Adulthood in Developing Countries.</w:t>
      </w:r>
      <w:proofErr w:type="gramEnd"/>
      <w:r w:rsidR="00C46926" w:rsidRPr="00C46926">
        <w:rPr>
          <w:rFonts w:asciiTheme="majorHAnsi" w:hAnsiTheme="majorHAnsi" w:cs="Arial"/>
          <w:iCs/>
        </w:rPr>
        <w:t> </w:t>
      </w:r>
      <w:r w:rsidRPr="00F87FBF">
        <w:rPr>
          <w:rFonts w:asciiTheme="majorHAnsi" w:hAnsiTheme="majorHAnsi" w:cs="Arial"/>
        </w:rPr>
        <w:t xml:space="preserve"> Panel on Transitions to Adulthood in Developing Countries, C. B. Lloyd, (</w:t>
      </w:r>
      <w:proofErr w:type="gramStart"/>
      <w:r w:rsidRPr="00F87FBF">
        <w:rPr>
          <w:rFonts w:asciiTheme="majorHAnsi" w:hAnsiTheme="majorHAnsi" w:cs="Arial"/>
        </w:rPr>
        <w:t>ed</w:t>
      </w:r>
      <w:proofErr w:type="gramEnd"/>
      <w:r w:rsidRPr="00F87FBF">
        <w:rPr>
          <w:rFonts w:asciiTheme="majorHAnsi" w:hAnsiTheme="majorHAnsi" w:cs="Arial"/>
        </w:rPr>
        <w:t>.). Washington, DC:  The National Academies Press.</w:t>
      </w:r>
    </w:p>
    <w:p w:rsidR="00F70CA1" w:rsidRPr="00F87FBF" w:rsidRDefault="00F70CA1"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rPr>
        <w:t>Nnaemeka</w:t>
      </w:r>
      <w:proofErr w:type="spellEnd"/>
      <w:r w:rsidRPr="00F87FBF">
        <w:rPr>
          <w:rFonts w:asciiTheme="majorHAnsi" w:hAnsiTheme="majorHAnsi" w:cs="Arial"/>
          <w:sz w:val="24"/>
          <w:szCs w:val="24"/>
        </w:rPr>
        <w:t>, O</w:t>
      </w:r>
      <w:proofErr w:type="gramStart"/>
      <w:r w:rsidRPr="00F87FBF">
        <w:rPr>
          <w:rFonts w:asciiTheme="majorHAnsi" w:hAnsiTheme="majorHAnsi" w:cs="Arial"/>
          <w:sz w:val="24"/>
          <w:szCs w:val="24"/>
        </w:rPr>
        <w:t xml:space="preserve">. </w:t>
      </w:r>
      <w:r w:rsidR="00037F6B" w:rsidRPr="00F87FBF">
        <w:rPr>
          <w:rFonts w:asciiTheme="majorHAnsi" w:hAnsiTheme="majorHAnsi" w:cs="Arial"/>
          <w:sz w:val="24"/>
          <w:szCs w:val="24"/>
        </w:rPr>
        <w:t>,</w:t>
      </w:r>
      <w:proofErr w:type="gramEnd"/>
      <w:r w:rsidR="009458F0">
        <w:rPr>
          <w:rFonts w:asciiTheme="majorHAnsi" w:hAnsiTheme="majorHAnsi" w:cs="Arial"/>
          <w:sz w:val="24"/>
          <w:szCs w:val="24"/>
        </w:rPr>
        <w:t xml:space="preserve"> </w:t>
      </w:r>
      <w:r w:rsidRPr="00F87FBF">
        <w:rPr>
          <w:rFonts w:asciiTheme="majorHAnsi" w:hAnsiTheme="majorHAnsi" w:cs="Arial"/>
          <w:sz w:val="24"/>
          <w:szCs w:val="24"/>
        </w:rPr>
        <w:t xml:space="preserve">2003. </w:t>
      </w:r>
      <w:proofErr w:type="spellStart"/>
      <w:r w:rsidRPr="00F87FBF">
        <w:rPr>
          <w:rFonts w:asciiTheme="majorHAnsi" w:hAnsiTheme="majorHAnsi" w:cs="Arial"/>
          <w:sz w:val="24"/>
          <w:szCs w:val="24"/>
        </w:rPr>
        <w:t>Nego</w:t>
      </w:r>
      <w:proofErr w:type="spellEnd"/>
      <w:r w:rsidRPr="00F87FBF">
        <w:rPr>
          <w:rFonts w:asciiTheme="majorHAnsi" w:hAnsiTheme="majorHAnsi" w:cs="Arial"/>
          <w:sz w:val="24"/>
          <w:szCs w:val="24"/>
        </w:rPr>
        <w:t xml:space="preserve">-Feminism: Theorizing, Practicing, Pruning Africa’s Way. </w:t>
      </w:r>
      <w:r w:rsidR="00BF1554" w:rsidRPr="00F87FBF">
        <w:rPr>
          <w:rFonts w:asciiTheme="majorHAnsi" w:hAnsiTheme="majorHAnsi" w:cs="Arial"/>
          <w:sz w:val="24"/>
          <w:szCs w:val="24"/>
        </w:rPr>
        <w:t>Signs</w:t>
      </w:r>
      <w:r w:rsidRPr="00F87FBF">
        <w:rPr>
          <w:rFonts w:asciiTheme="majorHAnsi" w:hAnsiTheme="majorHAnsi" w:cs="Arial"/>
          <w:sz w:val="24"/>
          <w:szCs w:val="24"/>
        </w:rPr>
        <w:t xml:space="preserve"> 29(2)</w:t>
      </w:r>
      <w:r w:rsidR="008B2A58" w:rsidRPr="00F87FBF">
        <w:rPr>
          <w:rFonts w:asciiTheme="majorHAnsi" w:hAnsiTheme="majorHAnsi" w:cs="Arial"/>
          <w:sz w:val="24"/>
          <w:szCs w:val="24"/>
        </w:rPr>
        <w:t xml:space="preserve">, </w:t>
      </w:r>
      <w:r w:rsidRPr="00F87FBF">
        <w:rPr>
          <w:rFonts w:asciiTheme="majorHAnsi" w:hAnsiTheme="majorHAnsi" w:cs="Arial"/>
          <w:sz w:val="24"/>
          <w:szCs w:val="24"/>
        </w:rPr>
        <w:t>357-385.</w:t>
      </w:r>
    </w:p>
    <w:p w:rsidR="00830476" w:rsidRPr="00830476" w:rsidRDefault="00830476" w:rsidP="005806B5">
      <w:pPr>
        <w:spacing w:line="240" w:lineRule="auto"/>
        <w:rPr>
          <w:rFonts w:asciiTheme="majorHAnsi" w:hAnsiTheme="majorHAnsi" w:cs="Arial"/>
          <w:sz w:val="24"/>
          <w:szCs w:val="24"/>
        </w:rPr>
      </w:pPr>
      <w:proofErr w:type="spellStart"/>
      <w:r>
        <w:rPr>
          <w:rFonts w:asciiTheme="majorHAnsi" w:hAnsiTheme="majorHAnsi" w:cs="Arial"/>
          <w:sz w:val="24"/>
          <w:szCs w:val="24"/>
        </w:rPr>
        <w:t>Nsanjama</w:t>
      </w:r>
      <w:proofErr w:type="spellEnd"/>
      <w:r>
        <w:rPr>
          <w:rFonts w:asciiTheme="majorHAnsi" w:hAnsiTheme="majorHAnsi" w:cs="Arial"/>
          <w:sz w:val="24"/>
          <w:szCs w:val="24"/>
        </w:rPr>
        <w:t>, J., 2007</w:t>
      </w:r>
      <w:r w:rsidR="00EC36E0">
        <w:rPr>
          <w:rFonts w:asciiTheme="majorHAnsi" w:hAnsiTheme="majorHAnsi" w:cs="Arial"/>
          <w:sz w:val="24"/>
          <w:szCs w:val="24"/>
        </w:rPr>
        <w:t>.</w:t>
      </w:r>
      <w:r>
        <w:rPr>
          <w:rFonts w:asciiTheme="majorHAnsi" w:hAnsiTheme="majorHAnsi" w:cs="Arial"/>
          <w:sz w:val="24"/>
          <w:szCs w:val="24"/>
        </w:rPr>
        <w:t xml:space="preserve"> </w:t>
      </w:r>
      <w:proofErr w:type="gramStart"/>
      <w:r>
        <w:rPr>
          <w:rFonts w:asciiTheme="majorHAnsi" w:hAnsiTheme="majorHAnsi" w:cs="Arial"/>
          <w:sz w:val="24"/>
          <w:szCs w:val="24"/>
        </w:rPr>
        <w:t>Transforming education for girls in Tanzania and Nigeria</w:t>
      </w:r>
      <w:r w:rsidR="00EC36E0">
        <w:rPr>
          <w:rFonts w:asciiTheme="majorHAnsi" w:hAnsiTheme="majorHAnsi" w:cs="Arial"/>
          <w:sz w:val="24"/>
          <w:szCs w:val="24"/>
        </w:rPr>
        <w:t>.</w:t>
      </w:r>
      <w:proofErr w:type="gramEnd"/>
      <w:r>
        <w:rPr>
          <w:rFonts w:asciiTheme="majorHAnsi" w:hAnsiTheme="majorHAnsi" w:cs="Arial"/>
          <w:sz w:val="24"/>
          <w:szCs w:val="24"/>
        </w:rPr>
        <w:t xml:space="preserve"> </w:t>
      </w:r>
      <w:r w:rsidR="0018347B" w:rsidRPr="0018347B">
        <w:rPr>
          <w:rFonts w:asciiTheme="majorHAnsi" w:hAnsiTheme="majorHAnsi" w:cs="Arial"/>
          <w:sz w:val="24"/>
          <w:szCs w:val="24"/>
        </w:rPr>
        <w:t>Education Action</w:t>
      </w:r>
      <w:r w:rsidRPr="008868D7">
        <w:rPr>
          <w:rFonts w:asciiTheme="majorHAnsi" w:hAnsiTheme="majorHAnsi" w:cs="Arial"/>
          <w:sz w:val="24"/>
          <w:szCs w:val="24"/>
        </w:rPr>
        <w:t xml:space="preserve"> </w:t>
      </w:r>
      <w:r>
        <w:rPr>
          <w:rFonts w:asciiTheme="majorHAnsi" w:hAnsiTheme="majorHAnsi" w:cs="Arial"/>
          <w:sz w:val="24"/>
          <w:szCs w:val="24"/>
        </w:rPr>
        <w:t xml:space="preserve">22, </w:t>
      </w:r>
      <w:r w:rsidR="008868D7">
        <w:rPr>
          <w:rFonts w:asciiTheme="majorHAnsi" w:hAnsiTheme="majorHAnsi" w:cs="Arial"/>
          <w:sz w:val="24"/>
          <w:szCs w:val="24"/>
        </w:rPr>
        <w:t xml:space="preserve">pp. </w:t>
      </w:r>
      <w:r>
        <w:rPr>
          <w:rFonts w:asciiTheme="majorHAnsi" w:hAnsiTheme="majorHAnsi" w:cs="Arial"/>
          <w:sz w:val="24"/>
          <w:szCs w:val="24"/>
        </w:rPr>
        <w:t>14-15.</w:t>
      </w:r>
    </w:p>
    <w:p w:rsidR="00F70868" w:rsidRPr="00F87FBF" w:rsidRDefault="00F70868"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Nussbaum, M.</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2000.</w:t>
      </w:r>
      <w:proofErr w:type="gramEnd"/>
      <w:r w:rsidRPr="00F87FBF">
        <w:rPr>
          <w:rFonts w:asciiTheme="majorHAnsi" w:hAnsiTheme="majorHAnsi" w:cs="Arial"/>
          <w:sz w:val="24"/>
          <w:szCs w:val="24"/>
        </w:rPr>
        <w:t xml:space="preserve"> </w:t>
      </w:r>
      <w:r w:rsidR="00BF1554" w:rsidRPr="00F87FBF">
        <w:rPr>
          <w:rFonts w:asciiTheme="majorHAnsi" w:hAnsiTheme="majorHAnsi" w:cs="Arial"/>
          <w:iCs/>
          <w:sz w:val="24"/>
          <w:szCs w:val="24"/>
        </w:rPr>
        <w:t>Women and human development: The capabilities approach</w:t>
      </w:r>
      <w:r w:rsidRPr="00F87FBF">
        <w:rPr>
          <w:rFonts w:asciiTheme="majorHAnsi" w:hAnsiTheme="majorHAnsi" w:cs="Arial"/>
          <w:sz w:val="24"/>
          <w:szCs w:val="24"/>
        </w:rPr>
        <w:t>. Cambridge University Press</w:t>
      </w:r>
      <w:r w:rsidR="008B2A58" w:rsidRPr="00F87FBF">
        <w:rPr>
          <w:rFonts w:asciiTheme="majorHAnsi" w:hAnsiTheme="majorHAnsi" w:cs="Arial"/>
          <w:sz w:val="24"/>
          <w:szCs w:val="24"/>
        </w:rPr>
        <w:t>, New York</w:t>
      </w:r>
      <w:r w:rsidRPr="00F87FBF">
        <w:rPr>
          <w:rFonts w:asciiTheme="majorHAnsi" w:hAnsiTheme="majorHAnsi" w:cs="Arial"/>
          <w:sz w:val="24"/>
          <w:szCs w:val="24"/>
        </w:rPr>
        <w:t>.</w:t>
      </w:r>
    </w:p>
    <w:p w:rsidR="0094688F" w:rsidRPr="008868D7" w:rsidRDefault="0016574E">
      <w:pPr>
        <w:shd w:val="clear" w:color="auto" w:fill="FFFFFF" w:themeFill="background1"/>
        <w:spacing w:line="240" w:lineRule="auto"/>
        <w:textAlignment w:val="center"/>
        <w:rPr>
          <w:rFonts w:asciiTheme="majorHAnsi" w:eastAsia="Arial Unicode MS" w:hAnsiTheme="majorHAnsi" w:cs="Arial"/>
          <w:bCs/>
          <w:sz w:val="24"/>
          <w:szCs w:val="24"/>
        </w:rPr>
      </w:pPr>
      <w:proofErr w:type="spellStart"/>
      <w:r w:rsidRPr="00F87FBF">
        <w:rPr>
          <w:rFonts w:asciiTheme="majorHAnsi" w:hAnsiTheme="majorHAnsi"/>
          <w:sz w:val="24"/>
          <w:szCs w:val="24"/>
        </w:rPr>
        <w:t>Obasi</w:t>
      </w:r>
      <w:proofErr w:type="spellEnd"/>
      <w:r w:rsidRPr="00F87FBF">
        <w:rPr>
          <w:rFonts w:asciiTheme="majorHAnsi" w:hAnsiTheme="majorHAnsi"/>
          <w:sz w:val="24"/>
          <w:szCs w:val="24"/>
        </w:rPr>
        <w:t xml:space="preserve">, </w:t>
      </w:r>
      <w:r w:rsidR="00643F5A" w:rsidRPr="00F87FBF">
        <w:rPr>
          <w:rFonts w:asciiTheme="majorHAnsi" w:hAnsiTheme="majorHAnsi"/>
          <w:sz w:val="24"/>
          <w:szCs w:val="24"/>
        </w:rPr>
        <w:t>E.</w:t>
      </w:r>
      <w:r w:rsidR="00037F6B" w:rsidRPr="00F87FBF">
        <w:rPr>
          <w:rFonts w:asciiTheme="majorHAnsi" w:hAnsiTheme="majorHAnsi"/>
          <w:sz w:val="24"/>
          <w:szCs w:val="24"/>
        </w:rPr>
        <w:t>,</w:t>
      </w:r>
      <w:r w:rsidR="00643F5A" w:rsidRPr="00F87FBF">
        <w:rPr>
          <w:rFonts w:asciiTheme="majorHAnsi" w:hAnsiTheme="majorHAnsi"/>
          <w:sz w:val="24"/>
          <w:szCs w:val="24"/>
        </w:rPr>
        <w:t xml:space="preserve"> </w:t>
      </w:r>
      <w:r w:rsidRPr="00F87FBF">
        <w:rPr>
          <w:rFonts w:asciiTheme="majorHAnsi" w:hAnsiTheme="majorHAnsi"/>
          <w:sz w:val="24"/>
          <w:szCs w:val="24"/>
        </w:rPr>
        <w:t>2000</w:t>
      </w:r>
      <w:r w:rsidR="00643F5A" w:rsidRPr="00F87FBF">
        <w:rPr>
          <w:rFonts w:asciiTheme="majorHAnsi" w:hAnsiTheme="majorHAnsi"/>
          <w:sz w:val="24"/>
          <w:szCs w:val="24"/>
        </w:rPr>
        <w:t xml:space="preserve">. </w:t>
      </w:r>
      <w:proofErr w:type="gramStart"/>
      <w:r w:rsidR="00643F5A" w:rsidRPr="00F87FBF">
        <w:rPr>
          <w:rFonts w:asciiTheme="majorHAnsi" w:eastAsia="Arial Unicode MS" w:hAnsiTheme="majorHAnsi" w:cs="Arial"/>
          <w:bCs/>
          <w:kern w:val="36"/>
          <w:sz w:val="24"/>
          <w:szCs w:val="24"/>
        </w:rPr>
        <w:t>The impact of economic recession on UPE in Nigeria.</w:t>
      </w:r>
      <w:proofErr w:type="gramEnd"/>
      <w:r w:rsidR="00643F5A" w:rsidRPr="00F87FBF">
        <w:rPr>
          <w:rFonts w:asciiTheme="majorHAnsi" w:eastAsia="Arial Unicode MS" w:hAnsiTheme="majorHAnsi" w:cs="Arial"/>
          <w:bCs/>
          <w:kern w:val="36"/>
          <w:sz w:val="24"/>
          <w:szCs w:val="24"/>
        </w:rPr>
        <w:t xml:space="preserve"> </w:t>
      </w:r>
      <w:hyperlink r:id="rId11" w:tooltip="Go to International Journal of Educational Development on SciVerse ScienceDirect" w:history="1">
        <w:r w:rsidR="00643F5A" w:rsidRPr="008868D7">
          <w:rPr>
            <w:rFonts w:asciiTheme="majorHAnsi" w:eastAsia="Arial Unicode MS" w:hAnsiTheme="majorHAnsi" w:cs="Arial"/>
            <w:bCs/>
            <w:sz w:val="24"/>
            <w:szCs w:val="24"/>
            <w:bdr w:val="none" w:sz="0" w:space="0" w:color="auto" w:frame="1"/>
          </w:rPr>
          <w:t>International Journal of Educational Development</w:t>
        </w:r>
      </w:hyperlink>
      <w:r w:rsidR="00643F5A" w:rsidRPr="008868D7">
        <w:rPr>
          <w:rFonts w:asciiTheme="majorHAnsi" w:eastAsia="Arial Unicode MS" w:hAnsiTheme="majorHAnsi" w:cs="Arial"/>
          <w:bCs/>
          <w:sz w:val="24"/>
          <w:szCs w:val="24"/>
        </w:rPr>
        <w:t xml:space="preserve"> </w:t>
      </w:r>
      <w:hyperlink r:id="rId12" w:tooltip="Go to table of contents for this volume/issue" w:history="1">
        <w:r w:rsidR="0018347B" w:rsidRPr="0018347B">
          <w:rPr>
            <w:rStyle w:val="Hyperlink"/>
            <w:rFonts w:asciiTheme="majorHAnsi" w:eastAsia="Arial Unicode MS" w:hAnsiTheme="majorHAnsi" w:cs="Arial"/>
            <w:color w:val="auto"/>
            <w:sz w:val="24"/>
            <w:szCs w:val="24"/>
            <w:u w:val="none"/>
          </w:rPr>
          <w:t>20, (3</w:t>
        </w:r>
      </w:hyperlink>
      <w:r w:rsidR="00643F5A" w:rsidRPr="008868D7">
        <w:rPr>
          <w:rFonts w:asciiTheme="majorHAnsi" w:eastAsia="Arial Unicode MS" w:hAnsiTheme="majorHAnsi" w:cs="Arial"/>
          <w:sz w:val="24"/>
          <w:szCs w:val="24"/>
        </w:rPr>
        <w:t>) pp. 189–207</w:t>
      </w:r>
    </w:p>
    <w:p w:rsidR="00877602" w:rsidRPr="00F87FBF" w:rsidRDefault="00877602" w:rsidP="005806B5">
      <w:pPr>
        <w:widowControl w:val="0"/>
        <w:spacing w:line="240" w:lineRule="auto"/>
        <w:rPr>
          <w:rFonts w:asciiTheme="majorHAnsi" w:hAnsiTheme="majorHAnsi" w:cs="Arial"/>
          <w:sz w:val="24"/>
          <w:szCs w:val="24"/>
        </w:rPr>
      </w:pPr>
      <w:proofErr w:type="spellStart"/>
      <w:r w:rsidRPr="00F87FBF">
        <w:rPr>
          <w:rFonts w:asciiTheme="majorHAnsi" w:hAnsiTheme="majorHAnsi" w:cs="Arial"/>
          <w:sz w:val="24"/>
          <w:szCs w:val="24"/>
        </w:rPr>
        <w:t>Okkolin</w:t>
      </w:r>
      <w:proofErr w:type="spellEnd"/>
      <w:r w:rsidRPr="00F87FBF">
        <w:rPr>
          <w:rFonts w:asciiTheme="majorHAnsi" w:hAnsiTheme="majorHAnsi" w:cs="Arial"/>
          <w:sz w:val="24"/>
          <w:szCs w:val="24"/>
        </w:rPr>
        <w:t xml:space="preserve">, M., </w:t>
      </w:r>
      <w:proofErr w:type="spellStart"/>
      <w:proofErr w:type="gramStart"/>
      <w:r w:rsidRPr="00F87FBF">
        <w:rPr>
          <w:rFonts w:asciiTheme="majorHAnsi" w:hAnsiTheme="majorHAnsi" w:cs="Arial"/>
          <w:sz w:val="24"/>
          <w:szCs w:val="24"/>
        </w:rPr>
        <w:t>Lehtomäki</w:t>
      </w:r>
      <w:proofErr w:type="spellEnd"/>
      <w:r w:rsidRPr="00F87FBF">
        <w:rPr>
          <w:rFonts w:asciiTheme="majorHAnsi" w:hAnsiTheme="majorHAnsi" w:cs="Arial"/>
          <w:sz w:val="24"/>
          <w:szCs w:val="24"/>
        </w:rPr>
        <w:t xml:space="preserve"> ,</w:t>
      </w:r>
      <w:proofErr w:type="gramEnd"/>
      <w:r w:rsidRPr="00F87FBF">
        <w:rPr>
          <w:rFonts w:asciiTheme="majorHAnsi" w:hAnsiTheme="majorHAnsi" w:cs="Arial"/>
          <w:sz w:val="24"/>
          <w:szCs w:val="24"/>
        </w:rPr>
        <w:t xml:space="preserve"> A., </w:t>
      </w:r>
      <w:proofErr w:type="spellStart"/>
      <w:r w:rsidRPr="00F87FBF">
        <w:rPr>
          <w:rFonts w:asciiTheme="majorHAnsi" w:hAnsiTheme="majorHAnsi" w:cs="Arial"/>
          <w:sz w:val="24"/>
          <w:szCs w:val="24"/>
        </w:rPr>
        <w:t>Bhalalusesa</w:t>
      </w:r>
      <w:proofErr w:type="spellEnd"/>
      <w:r w:rsidRPr="00F87FBF">
        <w:rPr>
          <w:rFonts w:asciiTheme="majorHAnsi" w:hAnsiTheme="majorHAnsi" w:cs="Arial"/>
          <w:sz w:val="24"/>
          <w:szCs w:val="24"/>
        </w:rPr>
        <w:t>, E.</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2010. </w:t>
      </w:r>
      <w:proofErr w:type="gramStart"/>
      <w:r w:rsidRPr="00F87FBF">
        <w:rPr>
          <w:rFonts w:asciiTheme="majorHAnsi" w:hAnsiTheme="majorHAnsi" w:cs="Arial"/>
          <w:sz w:val="24"/>
          <w:szCs w:val="24"/>
        </w:rPr>
        <w:t>The successful education sector development in Tanzania - Comment on gender balance and inclusive education.</w:t>
      </w:r>
      <w:proofErr w:type="gramEnd"/>
      <w:r w:rsidRPr="00F87FBF">
        <w:rPr>
          <w:rFonts w:asciiTheme="majorHAnsi" w:hAnsiTheme="majorHAnsi" w:cs="Arial"/>
          <w:sz w:val="24"/>
          <w:szCs w:val="24"/>
        </w:rPr>
        <w:t> </w:t>
      </w:r>
      <w:r w:rsidRPr="00F87FBF">
        <w:rPr>
          <w:rFonts w:asciiTheme="majorHAnsi" w:hAnsiTheme="majorHAnsi" w:cs="Arial"/>
          <w:iCs/>
          <w:sz w:val="24"/>
          <w:szCs w:val="24"/>
        </w:rPr>
        <w:t>Gender and Education</w:t>
      </w:r>
      <w:r w:rsidR="00C46926" w:rsidRPr="00C46926">
        <w:rPr>
          <w:rFonts w:asciiTheme="majorHAnsi" w:hAnsiTheme="majorHAnsi" w:cs="Arial"/>
          <w:iCs/>
          <w:sz w:val="24"/>
          <w:szCs w:val="24"/>
        </w:rPr>
        <w:t xml:space="preserve">, </w:t>
      </w:r>
      <w:r w:rsidRPr="00F87FBF">
        <w:rPr>
          <w:rFonts w:asciiTheme="majorHAnsi" w:hAnsiTheme="majorHAnsi" w:cs="Arial"/>
          <w:iCs/>
          <w:sz w:val="24"/>
          <w:szCs w:val="24"/>
        </w:rPr>
        <w:t>22</w:t>
      </w:r>
      <w:r w:rsidRPr="00F87FBF">
        <w:rPr>
          <w:rFonts w:asciiTheme="majorHAnsi" w:hAnsiTheme="majorHAnsi" w:cs="Arial"/>
          <w:sz w:val="24"/>
          <w:szCs w:val="24"/>
        </w:rPr>
        <w:t>(1), pp. 63-71</w:t>
      </w:r>
    </w:p>
    <w:p w:rsidR="00A1330B" w:rsidRPr="00F87FBF" w:rsidRDefault="00663533" w:rsidP="005806B5">
      <w:pPr>
        <w:widowControl w:val="0"/>
        <w:spacing w:line="240" w:lineRule="auto"/>
        <w:jc w:val="both"/>
        <w:rPr>
          <w:rFonts w:asciiTheme="majorHAnsi" w:hAnsiTheme="majorHAnsi" w:cs="Arial"/>
          <w:sz w:val="24"/>
          <w:szCs w:val="24"/>
        </w:rPr>
      </w:pPr>
      <w:proofErr w:type="spellStart"/>
      <w:r w:rsidRPr="00F87FBF">
        <w:rPr>
          <w:rFonts w:asciiTheme="majorHAnsi" w:hAnsiTheme="majorHAnsi" w:cs="Arial"/>
          <w:sz w:val="24"/>
          <w:szCs w:val="24"/>
        </w:rPr>
        <w:t>Okome</w:t>
      </w:r>
      <w:proofErr w:type="spellEnd"/>
      <w:r w:rsidRPr="00F87FBF">
        <w:rPr>
          <w:rFonts w:asciiTheme="majorHAnsi" w:hAnsiTheme="majorHAnsi" w:cs="Arial"/>
          <w:sz w:val="24"/>
          <w:szCs w:val="24"/>
        </w:rPr>
        <w:t>, M.O.</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2000. </w:t>
      </w:r>
      <w:proofErr w:type="gramStart"/>
      <w:r w:rsidR="00A1330B" w:rsidRPr="00F87FBF">
        <w:rPr>
          <w:rFonts w:asciiTheme="majorHAnsi" w:hAnsiTheme="majorHAnsi" w:cs="Arial"/>
          <w:sz w:val="24"/>
          <w:szCs w:val="24"/>
        </w:rPr>
        <w:t>Women, the State, and the Travails of Decentralizing the Nigerian Federation</w:t>
      </w:r>
      <w:r w:rsidRPr="00F87FBF">
        <w:rPr>
          <w:rFonts w:asciiTheme="majorHAnsi" w:hAnsiTheme="majorHAnsi" w:cs="Arial"/>
          <w:sz w:val="24"/>
          <w:szCs w:val="24"/>
        </w:rPr>
        <w:t>.</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West Africa Review 2 (1).</w:t>
      </w:r>
      <w:proofErr w:type="gramEnd"/>
      <w:r w:rsidRPr="00F87FBF">
        <w:rPr>
          <w:rFonts w:asciiTheme="majorHAnsi" w:hAnsiTheme="majorHAnsi" w:cs="Arial"/>
          <w:sz w:val="24"/>
          <w:szCs w:val="24"/>
        </w:rPr>
        <w:t xml:space="preserve"> </w:t>
      </w:r>
    </w:p>
    <w:p w:rsidR="00C627EE" w:rsidRPr="00F87FBF" w:rsidRDefault="00C627EE" w:rsidP="005806B5">
      <w:pPr>
        <w:widowControl w:val="0"/>
        <w:tabs>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rPr>
          <w:rStyle w:val="st1"/>
          <w:rFonts w:asciiTheme="majorHAnsi" w:hAnsiTheme="majorHAnsi" w:cs="Arial"/>
          <w:bCs/>
          <w:color w:val="000000"/>
          <w:sz w:val="24"/>
          <w:szCs w:val="24"/>
        </w:rPr>
      </w:pPr>
      <w:r w:rsidRPr="00F87FBF">
        <w:rPr>
          <w:rFonts w:asciiTheme="majorHAnsi" w:hAnsiTheme="majorHAnsi" w:cs="Arial"/>
          <w:bCs/>
          <w:sz w:val="24"/>
          <w:szCs w:val="24"/>
        </w:rPr>
        <w:t>Pereira, C., 200</w:t>
      </w:r>
      <w:r w:rsidR="00917623" w:rsidRPr="00F87FBF">
        <w:rPr>
          <w:rFonts w:asciiTheme="majorHAnsi" w:hAnsiTheme="majorHAnsi" w:cs="Arial"/>
          <w:bCs/>
          <w:sz w:val="24"/>
          <w:szCs w:val="24"/>
        </w:rPr>
        <w:t>2</w:t>
      </w:r>
      <w:r w:rsidRPr="00F87FBF">
        <w:rPr>
          <w:rFonts w:asciiTheme="majorHAnsi" w:hAnsiTheme="majorHAnsi" w:cs="Arial"/>
          <w:bCs/>
          <w:sz w:val="24"/>
          <w:szCs w:val="24"/>
        </w:rPr>
        <w:t xml:space="preserve">, </w:t>
      </w:r>
      <w:r w:rsidR="00917623" w:rsidRPr="00F87FBF">
        <w:rPr>
          <w:rFonts w:asciiTheme="majorHAnsi" w:hAnsiTheme="majorHAnsi" w:cs="Arial"/>
          <w:bCs/>
          <w:sz w:val="24"/>
          <w:szCs w:val="24"/>
        </w:rPr>
        <w:t xml:space="preserve">Locating gender and women’s studies in Nigeria.  CODESRIA paper for symposium </w:t>
      </w:r>
      <w:r w:rsidR="00C46926" w:rsidRPr="00C46926">
        <w:rPr>
          <w:rFonts w:asciiTheme="majorHAnsi" w:hAnsiTheme="majorHAnsi" w:cs="Arial"/>
          <w:bCs/>
          <w:sz w:val="24"/>
          <w:szCs w:val="24"/>
        </w:rPr>
        <w:t xml:space="preserve">Women and the New Millennium on line at </w:t>
      </w:r>
      <w:hyperlink r:id="rId13" w:history="1">
        <w:r w:rsidR="00917623" w:rsidRPr="00F87FBF">
          <w:rPr>
            <w:rStyle w:val="Hyperlink"/>
            <w:rFonts w:asciiTheme="majorHAnsi" w:hAnsiTheme="majorHAnsi"/>
            <w:sz w:val="24"/>
            <w:szCs w:val="24"/>
          </w:rPr>
          <w:t>http://web.uct.ac.za/org/gwsafrica/knowledge/pereira.html</w:t>
        </w:r>
      </w:hyperlink>
      <w:r w:rsidR="00917623" w:rsidRPr="00F87FBF">
        <w:rPr>
          <w:rFonts w:asciiTheme="majorHAnsi" w:hAnsiTheme="majorHAnsi"/>
          <w:sz w:val="24"/>
          <w:szCs w:val="24"/>
        </w:rPr>
        <w:t xml:space="preserve"> (consulted</w:t>
      </w:r>
      <w:r w:rsidR="009458F0">
        <w:rPr>
          <w:rFonts w:asciiTheme="majorHAnsi" w:hAnsiTheme="majorHAnsi"/>
          <w:sz w:val="24"/>
          <w:szCs w:val="24"/>
        </w:rPr>
        <w:t xml:space="preserve"> </w:t>
      </w:r>
      <w:r w:rsidR="00917623" w:rsidRPr="00F87FBF">
        <w:rPr>
          <w:rFonts w:asciiTheme="majorHAnsi" w:hAnsiTheme="majorHAnsi"/>
          <w:sz w:val="24"/>
          <w:szCs w:val="24"/>
        </w:rPr>
        <w:t>June 2012)</w:t>
      </w:r>
    </w:p>
    <w:p w:rsidR="00F70CA1" w:rsidRPr="00F87FBF" w:rsidRDefault="00F70CA1" w:rsidP="005806B5">
      <w:pPr>
        <w:widowControl w:val="0"/>
        <w:tabs>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rPr>
          <w:rFonts w:asciiTheme="majorHAnsi" w:hAnsiTheme="majorHAnsi" w:cs="Arial"/>
          <w:sz w:val="24"/>
          <w:szCs w:val="24"/>
        </w:rPr>
      </w:pPr>
      <w:proofErr w:type="gramStart"/>
      <w:r w:rsidRPr="00F87FBF">
        <w:rPr>
          <w:rFonts w:asciiTheme="majorHAnsi" w:hAnsiTheme="majorHAnsi" w:cs="Arial"/>
          <w:sz w:val="24"/>
          <w:szCs w:val="24"/>
        </w:rPr>
        <w:t>Perlman</w:t>
      </w:r>
      <w:r w:rsidR="008B2A58" w:rsidRPr="00F87FBF">
        <w:rPr>
          <w:rFonts w:asciiTheme="majorHAnsi" w:hAnsiTheme="majorHAnsi" w:cs="Arial"/>
          <w:sz w:val="24"/>
          <w:szCs w:val="24"/>
        </w:rPr>
        <w:t>-</w:t>
      </w:r>
      <w:r w:rsidRPr="00F87FBF">
        <w:rPr>
          <w:rFonts w:asciiTheme="majorHAnsi" w:hAnsiTheme="majorHAnsi" w:cs="Arial"/>
          <w:sz w:val="24"/>
          <w:szCs w:val="24"/>
        </w:rPr>
        <w:t>Robinson, J.</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2011</w:t>
      </w:r>
      <w:r w:rsidR="008B2A58" w:rsidRPr="00F87FBF">
        <w:rPr>
          <w:rFonts w:asciiTheme="majorHAnsi" w:hAnsiTheme="majorHAnsi" w:cs="Arial"/>
          <w:sz w:val="24"/>
          <w:szCs w:val="24"/>
        </w:rPr>
        <w:t>.</w:t>
      </w:r>
      <w:proofErr w:type="gramEnd"/>
      <w:r w:rsidR="008B2A58" w:rsidRPr="00F87FBF">
        <w:rPr>
          <w:rFonts w:asciiTheme="majorHAnsi" w:hAnsiTheme="majorHAnsi" w:cs="Arial"/>
          <w:sz w:val="24"/>
          <w:szCs w:val="24"/>
        </w:rPr>
        <w:t xml:space="preserve"> </w:t>
      </w:r>
      <w:r w:rsidRPr="00F87FBF">
        <w:rPr>
          <w:rFonts w:asciiTheme="majorHAnsi" w:hAnsiTheme="majorHAnsi" w:cs="Arial"/>
          <w:sz w:val="24"/>
          <w:szCs w:val="24"/>
        </w:rPr>
        <w:t xml:space="preserve"> </w:t>
      </w:r>
      <w:r w:rsidR="00BF1554" w:rsidRPr="00F87FBF">
        <w:rPr>
          <w:rFonts w:asciiTheme="majorHAnsi" w:hAnsiTheme="majorHAnsi" w:cs="Arial"/>
          <w:sz w:val="24"/>
          <w:szCs w:val="24"/>
        </w:rPr>
        <w:t>A global compact on learning</w:t>
      </w:r>
      <w:r w:rsidR="008B2A58" w:rsidRPr="00F87FBF">
        <w:rPr>
          <w:rFonts w:asciiTheme="majorHAnsi" w:hAnsiTheme="majorHAnsi" w:cs="Arial"/>
          <w:sz w:val="24"/>
          <w:szCs w:val="24"/>
        </w:rPr>
        <w:t>: T</w:t>
      </w:r>
      <w:r w:rsidR="00BF1554" w:rsidRPr="00F87FBF">
        <w:rPr>
          <w:rFonts w:asciiTheme="majorHAnsi" w:hAnsiTheme="majorHAnsi" w:cs="Arial"/>
          <w:sz w:val="24"/>
          <w:szCs w:val="24"/>
        </w:rPr>
        <w:t>aking action on education in developing countries</w:t>
      </w:r>
      <w:r w:rsidR="008B2A58" w:rsidRPr="00F87FBF">
        <w:rPr>
          <w:rFonts w:asciiTheme="majorHAnsi" w:hAnsiTheme="majorHAnsi" w:cs="Arial"/>
          <w:sz w:val="24"/>
          <w:szCs w:val="24"/>
        </w:rPr>
        <w:t>.</w:t>
      </w:r>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Brooking Centre for Universal Education</w:t>
      </w:r>
      <w:r w:rsidR="008B2A58" w:rsidRPr="00F87FBF">
        <w:rPr>
          <w:rFonts w:asciiTheme="majorHAnsi" w:hAnsiTheme="majorHAnsi" w:cs="Arial"/>
          <w:sz w:val="24"/>
          <w:szCs w:val="24"/>
        </w:rPr>
        <w:t>, Washington.</w:t>
      </w:r>
      <w:proofErr w:type="gramEnd"/>
    </w:p>
    <w:p w:rsidR="00203255" w:rsidRPr="00F87FBF" w:rsidRDefault="00877602" w:rsidP="005806B5">
      <w:pPr>
        <w:widowControl w:val="0"/>
        <w:spacing w:line="240" w:lineRule="auto"/>
        <w:rPr>
          <w:rFonts w:asciiTheme="majorHAnsi" w:hAnsiTheme="majorHAnsi" w:cs="Arial"/>
          <w:sz w:val="24"/>
          <w:szCs w:val="24"/>
        </w:rPr>
      </w:pPr>
      <w:proofErr w:type="spellStart"/>
      <w:proofErr w:type="gramStart"/>
      <w:r w:rsidRPr="00F87FBF">
        <w:rPr>
          <w:rStyle w:val="apple-style-span"/>
          <w:rFonts w:asciiTheme="majorHAnsi" w:hAnsiTheme="majorHAnsi" w:cs="Arial"/>
          <w:sz w:val="24"/>
          <w:szCs w:val="24"/>
        </w:rPr>
        <w:t>Pitamber</w:t>
      </w:r>
      <w:proofErr w:type="spellEnd"/>
      <w:r w:rsidR="00A075B9" w:rsidRPr="00F87FBF">
        <w:rPr>
          <w:rStyle w:val="apple-style-span"/>
          <w:rFonts w:asciiTheme="majorHAnsi" w:hAnsiTheme="majorHAnsi" w:cs="Arial"/>
          <w:sz w:val="24"/>
          <w:szCs w:val="24"/>
        </w:rPr>
        <w:t xml:space="preserve">, S., </w:t>
      </w:r>
      <w:proofErr w:type="spellStart"/>
      <w:r w:rsidRPr="00F87FBF">
        <w:rPr>
          <w:rStyle w:val="apple-style-span"/>
          <w:rFonts w:asciiTheme="majorHAnsi" w:hAnsiTheme="majorHAnsi" w:cs="Arial"/>
          <w:sz w:val="24"/>
          <w:szCs w:val="24"/>
        </w:rPr>
        <w:t>Hamza</w:t>
      </w:r>
      <w:proofErr w:type="spellEnd"/>
      <w:r w:rsidR="00A075B9" w:rsidRPr="00F87FBF">
        <w:rPr>
          <w:rStyle w:val="apple-style-span"/>
          <w:rFonts w:asciiTheme="majorHAnsi" w:hAnsiTheme="majorHAnsi" w:cs="Arial"/>
          <w:sz w:val="24"/>
          <w:szCs w:val="24"/>
        </w:rPr>
        <w:t>, A</w:t>
      </w:r>
      <w:r w:rsidRPr="00F87FBF">
        <w:rPr>
          <w:rStyle w:val="apple-style-span"/>
          <w:rFonts w:asciiTheme="majorHAnsi" w:hAnsiTheme="majorHAnsi" w:cs="Arial"/>
          <w:sz w:val="24"/>
          <w:szCs w:val="24"/>
        </w:rPr>
        <w:t>.</w:t>
      </w:r>
      <w:r w:rsidR="00037F6B" w:rsidRPr="00F87FBF">
        <w:rPr>
          <w:rStyle w:val="apple-style-span"/>
          <w:rFonts w:asciiTheme="majorHAnsi" w:hAnsiTheme="majorHAnsi" w:cs="Arial"/>
          <w:sz w:val="24"/>
          <w:szCs w:val="24"/>
        </w:rPr>
        <w:t>,</w:t>
      </w:r>
      <w:r w:rsidRPr="00F87FBF">
        <w:rPr>
          <w:rStyle w:val="apple-style-span"/>
          <w:rFonts w:asciiTheme="majorHAnsi" w:hAnsiTheme="majorHAnsi" w:cs="Arial"/>
          <w:sz w:val="24"/>
          <w:szCs w:val="24"/>
        </w:rPr>
        <w:t xml:space="preserve"> 2005.</w:t>
      </w:r>
      <w:proofErr w:type="gramEnd"/>
      <w:r w:rsidRPr="00F87FBF">
        <w:rPr>
          <w:rStyle w:val="apple-style-span"/>
          <w:rFonts w:asciiTheme="majorHAnsi" w:hAnsiTheme="majorHAnsi" w:cs="Arial"/>
          <w:sz w:val="24"/>
          <w:szCs w:val="24"/>
        </w:rPr>
        <w:t xml:space="preserve"> Multi-Sector Country Gender Profile. African Development </w:t>
      </w:r>
      <w:proofErr w:type="gramStart"/>
      <w:r w:rsidRPr="00F87FBF">
        <w:rPr>
          <w:rStyle w:val="apple-style-span"/>
          <w:rFonts w:asciiTheme="majorHAnsi" w:hAnsiTheme="majorHAnsi" w:cs="Arial"/>
          <w:sz w:val="24"/>
          <w:szCs w:val="24"/>
        </w:rPr>
        <w:t>Bank</w:t>
      </w:r>
      <w:r w:rsidR="00203255" w:rsidRPr="00F87FBF">
        <w:rPr>
          <w:rStyle w:val="apple-style-span"/>
          <w:rFonts w:asciiTheme="majorHAnsi" w:hAnsiTheme="majorHAnsi" w:cs="Arial"/>
          <w:sz w:val="24"/>
          <w:szCs w:val="24"/>
        </w:rPr>
        <w:t>,</w:t>
      </w:r>
      <w:proofErr w:type="gramEnd"/>
      <w:r w:rsidR="00203255" w:rsidRPr="00F87FBF">
        <w:rPr>
          <w:rStyle w:val="apple-style-span"/>
          <w:rFonts w:asciiTheme="majorHAnsi" w:hAnsiTheme="majorHAnsi" w:cs="Arial"/>
          <w:sz w:val="24"/>
          <w:szCs w:val="24"/>
        </w:rPr>
        <w:t xml:space="preserve"> United Republic of Tanzania.  </w:t>
      </w:r>
    </w:p>
    <w:p w:rsidR="007918C6" w:rsidRPr="00F87FBF" w:rsidRDefault="007918C6" w:rsidP="005806B5">
      <w:pPr>
        <w:spacing w:line="240" w:lineRule="auto"/>
        <w:rPr>
          <w:rFonts w:asciiTheme="majorHAnsi" w:hAnsiTheme="majorHAnsi" w:cs="Arial"/>
          <w:sz w:val="24"/>
          <w:szCs w:val="24"/>
        </w:rPr>
      </w:pPr>
      <w:r w:rsidRPr="00F87FBF">
        <w:rPr>
          <w:rFonts w:asciiTheme="majorHAnsi" w:hAnsiTheme="majorHAnsi" w:cs="Arial"/>
          <w:sz w:val="24"/>
          <w:szCs w:val="24"/>
        </w:rPr>
        <w:t>Raynor, J.</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2008</w:t>
      </w:r>
      <w:r w:rsidR="00A75A50" w:rsidRPr="00F87FBF">
        <w:rPr>
          <w:rFonts w:asciiTheme="majorHAnsi" w:hAnsiTheme="majorHAnsi" w:cs="Arial"/>
          <w:sz w:val="24"/>
          <w:szCs w:val="24"/>
        </w:rPr>
        <w:t xml:space="preserve">. Schooling girls: an inter-generational study of women’s burdens in rural Bangladesh. </w:t>
      </w:r>
      <w:proofErr w:type="gramStart"/>
      <w:r w:rsidR="00A75A50" w:rsidRPr="00F87FBF">
        <w:rPr>
          <w:rFonts w:asciiTheme="majorHAnsi" w:hAnsiTheme="majorHAnsi" w:cs="Arial"/>
          <w:sz w:val="24"/>
          <w:szCs w:val="24"/>
        </w:rPr>
        <w:t>In Fennell, S. and Arnot, M. (Eds.) Gender Education and Equality in a Global Context: Conceptual frameworks and policy perspectives.</w:t>
      </w:r>
      <w:proofErr w:type="gramEnd"/>
      <w:r w:rsidR="00A75A50" w:rsidRPr="00F87FBF">
        <w:rPr>
          <w:rFonts w:asciiTheme="majorHAnsi" w:hAnsiTheme="majorHAnsi" w:cs="Arial"/>
          <w:sz w:val="24"/>
          <w:szCs w:val="24"/>
        </w:rPr>
        <w:t xml:space="preserve"> </w:t>
      </w:r>
      <w:proofErr w:type="spellStart"/>
      <w:r w:rsidR="00A75A50" w:rsidRPr="00F87FBF">
        <w:rPr>
          <w:rFonts w:asciiTheme="majorHAnsi" w:hAnsiTheme="majorHAnsi" w:cs="Arial"/>
          <w:sz w:val="24"/>
          <w:szCs w:val="24"/>
        </w:rPr>
        <w:t>Routledge</w:t>
      </w:r>
      <w:proofErr w:type="spellEnd"/>
      <w:r w:rsidR="00A75A50" w:rsidRPr="00F87FBF">
        <w:rPr>
          <w:rFonts w:asciiTheme="majorHAnsi" w:hAnsiTheme="majorHAnsi" w:cs="Arial"/>
          <w:sz w:val="24"/>
          <w:szCs w:val="24"/>
        </w:rPr>
        <w:t>, Oxon, pp. 117-130.</w:t>
      </w:r>
    </w:p>
    <w:p w:rsidR="00F70CA1" w:rsidRPr="00F87FBF" w:rsidRDefault="00F70CA1" w:rsidP="005806B5">
      <w:pPr>
        <w:spacing w:line="240" w:lineRule="auto"/>
        <w:rPr>
          <w:rFonts w:asciiTheme="majorHAnsi" w:hAnsiTheme="majorHAnsi" w:cs="Arial"/>
          <w:sz w:val="24"/>
          <w:szCs w:val="24"/>
        </w:rPr>
      </w:pPr>
      <w:r w:rsidRPr="00F87FBF">
        <w:rPr>
          <w:rFonts w:asciiTheme="majorHAnsi" w:hAnsiTheme="majorHAnsi" w:cs="Arial"/>
          <w:sz w:val="24"/>
          <w:szCs w:val="24"/>
        </w:rPr>
        <w:t>Robeyns, I.</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2010</w:t>
      </w:r>
      <w:r w:rsidR="008B2A58"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Gender and the metric of justice</w:t>
      </w:r>
      <w:r w:rsidR="008B2A58" w:rsidRPr="00F87FBF">
        <w:rPr>
          <w:rFonts w:asciiTheme="majorHAnsi" w:hAnsiTheme="majorHAnsi" w:cs="Arial"/>
          <w:sz w:val="24"/>
          <w:szCs w:val="24"/>
        </w:rPr>
        <w:t>.</w:t>
      </w:r>
      <w:proofErr w:type="gramEnd"/>
      <w:r w:rsidRPr="00F87FBF">
        <w:rPr>
          <w:rFonts w:asciiTheme="majorHAnsi" w:hAnsiTheme="majorHAnsi" w:cs="Arial"/>
          <w:sz w:val="24"/>
          <w:szCs w:val="24"/>
        </w:rPr>
        <w:t xml:space="preserve"> </w:t>
      </w:r>
      <w:r w:rsidR="008B2A58" w:rsidRPr="00F87FBF">
        <w:rPr>
          <w:rFonts w:asciiTheme="majorHAnsi" w:hAnsiTheme="majorHAnsi" w:cs="Arial"/>
          <w:sz w:val="24"/>
          <w:szCs w:val="24"/>
        </w:rPr>
        <w:t>I</w:t>
      </w:r>
      <w:r w:rsidRPr="00F87FBF">
        <w:rPr>
          <w:rFonts w:asciiTheme="majorHAnsi" w:hAnsiTheme="majorHAnsi" w:cs="Arial"/>
          <w:sz w:val="24"/>
          <w:szCs w:val="24"/>
        </w:rPr>
        <w:t xml:space="preserve">n </w:t>
      </w:r>
      <w:proofErr w:type="spellStart"/>
      <w:r w:rsidRPr="00F87FBF">
        <w:rPr>
          <w:rFonts w:asciiTheme="majorHAnsi" w:hAnsiTheme="majorHAnsi" w:cs="Arial"/>
          <w:sz w:val="24"/>
          <w:szCs w:val="24"/>
        </w:rPr>
        <w:t>Brighouse</w:t>
      </w:r>
      <w:proofErr w:type="spellEnd"/>
      <w:r w:rsidR="008B2A58" w:rsidRPr="00F87FBF">
        <w:rPr>
          <w:rFonts w:asciiTheme="majorHAnsi" w:hAnsiTheme="majorHAnsi" w:cs="Arial"/>
          <w:sz w:val="24"/>
          <w:szCs w:val="24"/>
        </w:rPr>
        <w:t>, H.</w:t>
      </w:r>
      <w:proofErr w:type="gramStart"/>
      <w:r w:rsidR="008B2A58" w:rsidRPr="00F87FBF">
        <w:rPr>
          <w:rFonts w:asciiTheme="majorHAnsi" w:hAnsiTheme="majorHAnsi" w:cs="Arial"/>
          <w:sz w:val="24"/>
          <w:szCs w:val="24"/>
        </w:rPr>
        <w:t xml:space="preserve">, </w:t>
      </w:r>
      <w:r w:rsidRPr="00F87FBF">
        <w:rPr>
          <w:rFonts w:asciiTheme="majorHAnsi" w:hAnsiTheme="majorHAnsi" w:cs="Arial"/>
          <w:sz w:val="24"/>
          <w:szCs w:val="24"/>
        </w:rPr>
        <w:t xml:space="preserve"> Robeyns</w:t>
      </w:r>
      <w:proofErr w:type="gramEnd"/>
      <w:r w:rsidR="008B2A58" w:rsidRPr="00F87FBF">
        <w:rPr>
          <w:rFonts w:asciiTheme="majorHAnsi" w:hAnsiTheme="majorHAnsi" w:cs="Arial"/>
          <w:sz w:val="24"/>
          <w:szCs w:val="24"/>
        </w:rPr>
        <w:t>, I.</w:t>
      </w:r>
      <w:r w:rsidRPr="00F87FBF">
        <w:rPr>
          <w:rFonts w:asciiTheme="majorHAnsi" w:hAnsiTheme="majorHAnsi" w:cs="Arial"/>
          <w:sz w:val="24"/>
          <w:szCs w:val="24"/>
        </w:rPr>
        <w:t xml:space="preserve"> (Eds</w:t>
      </w:r>
      <w:r w:rsidR="008B2A58" w:rsidRPr="00F87FBF">
        <w:rPr>
          <w:rFonts w:asciiTheme="majorHAnsi" w:hAnsiTheme="majorHAnsi" w:cs="Arial"/>
          <w:sz w:val="24"/>
          <w:szCs w:val="24"/>
        </w:rPr>
        <w:t>.</w:t>
      </w:r>
      <w:r w:rsidRPr="00F87FBF">
        <w:rPr>
          <w:rFonts w:asciiTheme="majorHAnsi" w:hAnsiTheme="majorHAnsi" w:cs="Arial"/>
          <w:sz w:val="24"/>
          <w:szCs w:val="24"/>
        </w:rPr>
        <w:t>)</w:t>
      </w:r>
      <w:r w:rsidR="008B2A58" w:rsidRPr="00F87FBF">
        <w:rPr>
          <w:rFonts w:asciiTheme="majorHAnsi" w:hAnsiTheme="majorHAnsi" w:cs="Arial"/>
          <w:sz w:val="24"/>
          <w:szCs w:val="24"/>
        </w:rPr>
        <w:t>,</w:t>
      </w:r>
      <w:r w:rsidRPr="00F87FBF">
        <w:rPr>
          <w:rFonts w:asciiTheme="majorHAnsi" w:hAnsiTheme="majorHAnsi" w:cs="Arial"/>
          <w:sz w:val="24"/>
          <w:szCs w:val="24"/>
        </w:rPr>
        <w:t xml:space="preserve"> Measuring justice. </w:t>
      </w:r>
      <w:proofErr w:type="gramStart"/>
      <w:r w:rsidRPr="00F87FBF">
        <w:rPr>
          <w:rFonts w:asciiTheme="majorHAnsi" w:hAnsiTheme="majorHAnsi" w:cs="Arial"/>
          <w:sz w:val="24"/>
          <w:szCs w:val="24"/>
        </w:rPr>
        <w:t>Primary goods and capabilities</w:t>
      </w:r>
      <w:r w:rsidR="008B2A58" w:rsidRPr="00F87FBF">
        <w:rPr>
          <w:rFonts w:asciiTheme="majorHAnsi" w:hAnsiTheme="majorHAnsi" w:cs="Arial"/>
          <w:sz w:val="24"/>
          <w:szCs w:val="24"/>
        </w:rPr>
        <w:t>.</w:t>
      </w:r>
      <w:proofErr w:type="gramEnd"/>
      <w:r w:rsidRPr="00F87FBF">
        <w:rPr>
          <w:rFonts w:asciiTheme="majorHAnsi" w:hAnsiTheme="majorHAnsi" w:cs="Arial"/>
          <w:sz w:val="24"/>
          <w:szCs w:val="24"/>
        </w:rPr>
        <w:t xml:space="preserve"> Cambridge University Press, Cambridge</w:t>
      </w:r>
      <w:r w:rsidR="008B2A58" w:rsidRPr="00F87FBF">
        <w:rPr>
          <w:rFonts w:asciiTheme="majorHAnsi" w:hAnsiTheme="majorHAnsi" w:cs="Arial"/>
          <w:sz w:val="24"/>
          <w:szCs w:val="24"/>
        </w:rPr>
        <w:t>, pp. 215-236</w:t>
      </w:r>
      <w:r w:rsidRPr="00F87FBF">
        <w:rPr>
          <w:rFonts w:asciiTheme="majorHAnsi" w:hAnsiTheme="majorHAnsi" w:cs="Arial"/>
          <w:sz w:val="24"/>
          <w:szCs w:val="24"/>
        </w:rPr>
        <w:t>.</w:t>
      </w:r>
    </w:p>
    <w:p w:rsidR="00033819" w:rsidRPr="00F87FBF" w:rsidRDefault="00033819" w:rsidP="005806B5">
      <w:pPr>
        <w:spacing w:line="240" w:lineRule="auto"/>
        <w:rPr>
          <w:rFonts w:asciiTheme="majorHAnsi" w:hAnsiTheme="majorHAnsi" w:cs="Arial"/>
          <w:sz w:val="24"/>
          <w:szCs w:val="24"/>
        </w:rPr>
      </w:pPr>
      <w:r w:rsidRPr="00F87FBF">
        <w:rPr>
          <w:rFonts w:asciiTheme="majorHAnsi" w:hAnsiTheme="majorHAnsi" w:cs="Arial"/>
          <w:sz w:val="24"/>
          <w:szCs w:val="24"/>
        </w:rPr>
        <w:t>Ross</w:t>
      </w:r>
      <w:r w:rsidR="00A75A50" w:rsidRPr="00F87FBF">
        <w:rPr>
          <w:rFonts w:asciiTheme="majorHAnsi" w:hAnsiTheme="majorHAnsi" w:cs="Arial"/>
          <w:sz w:val="24"/>
          <w:szCs w:val="24"/>
        </w:rPr>
        <w:t>, H.,</w:t>
      </w:r>
      <w:r w:rsidR="00037F6B" w:rsidRPr="00F87FBF">
        <w:rPr>
          <w:rFonts w:asciiTheme="majorHAnsi" w:hAnsiTheme="majorHAnsi" w:cs="Arial"/>
          <w:sz w:val="24"/>
          <w:szCs w:val="24"/>
        </w:rPr>
        <w:t xml:space="preserve"> </w:t>
      </w:r>
      <w:r w:rsidR="00387457" w:rsidRPr="00F87FBF">
        <w:rPr>
          <w:rFonts w:asciiTheme="majorHAnsi" w:hAnsiTheme="majorHAnsi" w:cs="Arial"/>
          <w:sz w:val="24"/>
          <w:szCs w:val="24"/>
        </w:rPr>
        <w:t>Shah</w:t>
      </w:r>
      <w:r w:rsidR="00A75A50" w:rsidRPr="00F87FBF">
        <w:rPr>
          <w:rFonts w:asciiTheme="majorHAnsi" w:hAnsiTheme="majorHAnsi" w:cs="Arial"/>
          <w:sz w:val="24"/>
          <w:szCs w:val="24"/>
        </w:rPr>
        <w:t>, P.</w:t>
      </w:r>
      <w:r w:rsidR="00DD71AD" w:rsidRPr="00F87FBF">
        <w:rPr>
          <w:rFonts w:asciiTheme="majorHAnsi" w:hAnsiTheme="majorHAnsi" w:cs="Arial"/>
          <w:sz w:val="24"/>
          <w:szCs w:val="24"/>
        </w:rPr>
        <w:t>, Wang, L.</w:t>
      </w:r>
      <w:r w:rsidR="00037F6B" w:rsidRPr="00F87FBF">
        <w:rPr>
          <w:rFonts w:asciiTheme="majorHAnsi" w:hAnsiTheme="majorHAnsi" w:cs="Arial"/>
          <w:sz w:val="24"/>
          <w:szCs w:val="24"/>
        </w:rPr>
        <w:t>,</w:t>
      </w:r>
      <w:r w:rsidR="00DD71AD" w:rsidRPr="00F87FBF">
        <w:rPr>
          <w:rFonts w:asciiTheme="majorHAnsi" w:hAnsiTheme="majorHAnsi" w:cs="Arial"/>
          <w:sz w:val="24"/>
          <w:szCs w:val="24"/>
        </w:rPr>
        <w:t xml:space="preserve"> 2011. </w:t>
      </w:r>
      <w:proofErr w:type="gramStart"/>
      <w:r w:rsidR="00C46926" w:rsidRPr="00C46926">
        <w:rPr>
          <w:rFonts w:asciiTheme="majorHAnsi" w:hAnsiTheme="majorHAnsi" w:cs="Arial"/>
          <w:sz w:val="24"/>
          <w:szCs w:val="24"/>
        </w:rPr>
        <w:t>Situating Empowerment for Millennial Schoolgirls in Gujarat, India and Shaanxi, China.</w:t>
      </w:r>
      <w:proofErr w:type="gramEnd"/>
      <w:r w:rsidR="00C46926" w:rsidRPr="00C46926">
        <w:rPr>
          <w:rFonts w:asciiTheme="majorHAnsi" w:hAnsiTheme="majorHAnsi" w:cs="Arial"/>
          <w:sz w:val="24"/>
          <w:szCs w:val="24"/>
        </w:rPr>
        <w:t xml:space="preserve"> Feminist Formations 23 (3), pp. 23-47.</w:t>
      </w:r>
      <w:r w:rsidR="00387457" w:rsidRPr="00F87FBF">
        <w:rPr>
          <w:rFonts w:asciiTheme="majorHAnsi" w:hAnsiTheme="majorHAnsi" w:cs="Arial"/>
          <w:sz w:val="24"/>
          <w:szCs w:val="24"/>
        </w:rPr>
        <w:t xml:space="preserve"> </w:t>
      </w:r>
    </w:p>
    <w:p w:rsidR="005951A1" w:rsidRPr="00F87FBF" w:rsidRDefault="005951A1" w:rsidP="005806B5">
      <w:pPr>
        <w:spacing w:line="240" w:lineRule="auto"/>
        <w:rPr>
          <w:rFonts w:asciiTheme="majorHAnsi" w:hAnsiTheme="majorHAnsi" w:cs="Arial"/>
          <w:sz w:val="24"/>
          <w:szCs w:val="24"/>
        </w:rPr>
      </w:pPr>
      <w:proofErr w:type="spellStart"/>
      <w:proofErr w:type="gramStart"/>
      <w:r w:rsidRPr="00F87FBF">
        <w:rPr>
          <w:rFonts w:asciiTheme="majorHAnsi" w:hAnsiTheme="majorHAnsi" w:cs="Arial"/>
          <w:sz w:val="24"/>
          <w:szCs w:val="24"/>
        </w:rPr>
        <w:t>Salo</w:t>
      </w:r>
      <w:proofErr w:type="spellEnd"/>
      <w:r w:rsidRPr="00F87FBF">
        <w:rPr>
          <w:rFonts w:asciiTheme="majorHAnsi" w:hAnsiTheme="majorHAnsi" w:cs="Arial"/>
          <w:sz w:val="24"/>
          <w:szCs w:val="24"/>
        </w:rPr>
        <w:t xml:space="preserve"> ,</w:t>
      </w:r>
      <w:proofErr w:type="gramEnd"/>
      <w:r w:rsidRPr="00F87FBF">
        <w:rPr>
          <w:rFonts w:asciiTheme="majorHAnsi" w:hAnsiTheme="majorHAnsi" w:cs="Arial"/>
          <w:sz w:val="24"/>
          <w:szCs w:val="24"/>
        </w:rPr>
        <w:t xml:space="preserve"> E., Mama, A.</w:t>
      </w:r>
      <w:r w:rsidR="00037F6B" w:rsidRPr="00F87FBF">
        <w:rPr>
          <w:rFonts w:asciiTheme="majorHAnsi" w:hAnsiTheme="majorHAnsi" w:cs="Arial"/>
          <w:sz w:val="24"/>
          <w:szCs w:val="24"/>
        </w:rPr>
        <w:t xml:space="preserve">, </w:t>
      </w:r>
      <w:r w:rsidRPr="00F87FBF">
        <w:rPr>
          <w:rFonts w:asciiTheme="majorHAnsi" w:hAnsiTheme="majorHAnsi" w:cs="Arial"/>
          <w:sz w:val="24"/>
          <w:szCs w:val="24"/>
        </w:rPr>
        <w:t xml:space="preserve">2001. </w:t>
      </w:r>
      <w:proofErr w:type="gramStart"/>
      <w:r w:rsidRPr="00F87FBF">
        <w:rPr>
          <w:rFonts w:asciiTheme="majorHAnsi" w:hAnsiTheme="majorHAnsi" w:cs="Arial"/>
          <w:sz w:val="24"/>
          <w:szCs w:val="24"/>
        </w:rPr>
        <w:t>Talking about feminism in Africa.</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Agenda 50.</w:t>
      </w:r>
      <w:proofErr w:type="gramEnd"/>
      <w:r w:rsidRPr="00F87FBF">
        <w:rPr>
          <w:rFonts w:asciiTheme="majorHAnsi" w:hAnsiTheme="majorHAnsi" w:cs="Arial"/>
          <w:sz w:val="24"/>
          <w:szCs w:val="24"/>
        </w:rPr>
        <w:t xml:space="preserve"> Online: </w:t>
      </w:r>
      <w:hyperlink r:id="rId14" w:history="1">
        <w:r w:rsidRPr="00F87FBF">
          <w:rPr>
            <w:rStyle w:val="Hyperlink"/>
            <w:rFonts w:asciiTheme="majorHAnsi" w:hAnsiTheme="majorHAnsi" w:cs="Arial"/>
            <w:sz w:val="24"/>
            <w:szCs w:val="24"/>
          </w:rPr>
          <w:t>http://www.wworld.org/programs/regions/africa/amina_mama.html</w:t>
        </w:r>
      </w:hyperlink>
      <w:r w:rsidRPr="00F87FBF">
        <w:rPr>
          <w:rFonts w:asciiTheme="majorHAnsi" w:hAnsiTheme="majorHAnsi" w:cs="Arial"/>
          <w:sz w:val="24"/>
          <w:szCs w:val="24"/>
        </w:rPr>
        <w:t xml:space="preserve">  (consulted August 2011)</w:t>
      </w:r>
    </w:p>
    <w:p w:rsidR="00203255" w:rsidRPr="00F87FBF" w:rsidRDefault="00203255"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rPr>
        <w:t>Samoff</w:t>
      </w:r>
      <w:proofErr w:type="spellEnd"/>
      <w:r w:rsidRPr="00F87FBF">
        <w:rPr>
          <w:rFonts w:asciiTheme="majorHAnsi" w:hAnsiTheme="majorHAnsi" w:cs="Arial"/>
          <w:sz w:val="24"/>
          <w:szCs w:val="24"/>
        </w:rPr>
        <w:t>, J.</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2008. Everyone Has the Right to Education.  </w:t>
      </w:r>
      <w:r w:rsidRPr="00F87FBF">
        <w:rPr>
          <w:rFonts w:asciiTheme="majorHAnsi" w:hAnsiTheme="majorHAnsi" w:cs="Arial"/>
          <w:iCs/>
          <w:sz w:val="24"/>
          <w:szCs w:val="24"/>
        </w:rPr>
        <w:t>African Studies Review</w:t>
      </w:r>
      <w:r w:rsidRPr="00F87FBF">
        <w:rPr>
          <w:rFonts w:asciiTheme="majorHAnsi" w:hAnsiTheme="majorHAnsi" w:cs="Arial"/>
          <w:sz w:val="24"/>
          <w:szCs w:val="24"/>
        </w:rPr>
        <w:t xml:space="preserve"> </w:t>
      </w:r>
      <w:r w:rsidRPr="00F87FBF">
        <w:rPr>
          <w:rFonts w:asciiTheme="majorHAnsi" w:hAnsiTheme="majorHAnsi" w:cs="Arial"/>
          <w:iCs/>
          <w:sz w:val="24"/>
          <w:szCs w:val="24"/>
        </w:rPr>
        <w:t xml:space="preserve">51 </w:t>
      </w:r>
      <w:r w:rsidRPr="00F87FBF">
        <w:rPr>
          <w:rFonts w:asciiTheme="majorHAnsi" w:hAnsiTheme="majorHAnsi" w:cs="Arial"/>
          <w:sz w:val="24"/>
          <w:szCs w:val="24"/>
        </w:rPr>
        <w:t>(</w:t>
      </w:r>
      <w:r w:rsidRPr="00F87FBF">
        <w:rPr>
          <w:rFonts w:asciiTheme="majorHAnsi" w:hAnsiTheme="majorHAnsi" w:cs="Arial"/>
          <w:iCs/>
          <w:sz w:val="24"/>
          <w:szCs w:val="24"/>
        </w:rPr>
        <w:t>1</w:t>
      </w:r>
      <w:r w:rsidRPr="00F87FBF">
        <w:rPr>
          <w:rFonts w:asciiTheme="majorHAnsi" w:hAnsiTheme="majorHAnsi" w:cs="Arial"/>
          <w:sz w:val="24"/>
          <w:szCs w:val="24"/>
        </w:rPr>
        <w:t>), pp. 105-118.</w:t>
      </w:r>
    </w:p>
    <w:p w:rsidR="005951A1" w:rsidRPr="00F87FBF" w:rsidRDefault="005951A1" w:rsidP="005806B5">
      <w:pPr>
        <w:widowControl w:val="0"/>
        <w:spacing w:line="240" w:lineRule="auto"/>
        <w:rPr>
          <w:rFonts w:asciiTheme="majorHAnsi" w:hAnsiTheme="majorHAnsi" w:cs="Arial"/>
          <w:bCs/>
          <w:sz w:val="24"/>
          <w:szCs w:val="24"/>
        </w:rPr>
      </w:pPr>
      <w:proofErr w:type="spellStart"/>
      <w:r w:rsidRPr="00F87FBF">
        <w:rPr>
          <w:rFonts w:asciiTheme="majorHAnsi" w:hAnsiTheme="majorHAnsi" w:cs="Arial"/>
          <w:sz w:val="24"/>
          <w:szCs w:val="24"/>
        </w:rPr>
        <w:lastRenderedPageBreak/>
        <w:t>Sen</w:t>
      </w:r>
      <w:proofErr w:type="spellEnd"/>
      <w:r w:rsidRPr="00F87FBF">
        <w:rPr>
          <w:rFonts w:asciiTheme="majorHAnsi" w:hAnsiTheme="majorHAnsi" w:cs="Arial"/>
          <w:sz w:val="24"/>
          <w:szCs w:val="24"/>
        </w:rPr>
        <w:t>, A.</w:t>
      </w:r>
      <w:r w:rsidR="00037F6B" w:rsidRPr="00F87FBF">
        <w:rPr>
          <w:rFonts w:asciiTheme="majorHAnsi" w:hAnsiTheme="majorHAnsi" w:cs="Arial"/>
          <w:sz w:val="24"/>
          <w:szCs w:val="24"/>
        </w:rPr>
        <w:t>,</w:t>
      </w:r>
      <w:r w:rsidRPr="00F87FBF">
        <w:rPr>
          <w:rFonts w:asciiTheme="majorHAnsi" w:hAnsiTheme="majorHAnsi" w:cs="Arial"/>
          <w:sz w:val="24"/>
          <w:szCs w:val="24"/>
        </w:rPr>
        <w:t xml:space="preserve"> 1999. </w:t>
      </w:r>
      <w:proofErr w:type="gramStart"/>
      <w:r w:rsidRPr="00F87FBF">
        <w:rPr>
          <w:rFonts w:asciiTheme="majorHAnsi" w:hAnsiTheme="majorHAnsi" w:cs="Arial"/>
          <w:sz w:val="24"/>
          <w:szCs w:val="24"/>
        </w:rPr>
        <w:t>Development as Freedom.</w:t>
      </w:r>
      <w:proofErr w:type="gramEnd"/>
      <w:r w:rsidRPr="00F87FBF">
        <w:rPr>
          <w:rFonts w:asciiTheme="majorHAnsi" w:hAnsiTheme="majorHAnsi" w:cs="Arial"/>
          <w:sz w:val="24"/>
          <w:szCs w:val="24"/>
        </w:rPr>
        <w:t xml:space="preserve"> Oxford University Press, Oxford.</w:t>
      </w:r>
    </w:p>
    <w:p w:rsidR="00203255" w:rsidRPr="00F87FBF" w:rsidRDefault="00203255" w:rsidP="005806B5">
      <w:pPr>
        <w:spacing w:line="240" w:lineRule="auto"/>
        <w:rPr>
          <w:rFonts w:asciiTheme="majorHAnsi" w:hAnsiTheme="majorHAnsi" w:cs="Arial"/>
          <w:sz w:val="24"/>
          <w:szCs w:val="24"/>
        </w:rPr>
      </w:pPr>
      <w:proofErr w:type="spellStart"/>
      <w:r w:rsidRPr="00F87FBF">
        <w:rPr>
          <w:rFonts w:asciiTheme="majorHAnsi" w:hAnsiTheme="majorHAnsi" w:cs="Arial"/>
          <w:bCs/>
          <w:sz w:val="24"/>
          <w:szCs w:val="24"/>
        </w:rPr>
        <w:t>Stambach</w:t>
      </w:r>
      <w:proofErr w:type="spellEnd"/>
      <w:r w:rsidRPr="00F87FBF">
        <w:rPr>
          <w:rFonts w:asciiTheme="majorHAnsi" w:hAnsiTheme="majorHAnsi" w:cs="Arial"/>
          <w:bCs/>
          <w:sz w:val="24"/>
          <w:szCs w:val="24"/>
        </w:rPr>
        <w:t>, A.</w:t>
      </w:r>
      <w:r w:rsidR="00037F6B" w:rsidRPr="00F87FBF">
        <w:rPr>
          <w:rFonts w:asciiTheme="majorHAnsi" w:hAnsiTheme="majorHAnsi" w:cs="Arial"/>
          <w:bCs/>
          <w:sz w:val="24"/>
          <w:szCs w:val="24"/>
        </w:rPr>
        <w:t>,</w:t>
      </w:r>
      <w:r w:rsidRPr="00F87FBF">
        <w:rPr>
          <w:rFonts w:asciiTheme="majorHAnsi" w:hAnsiTheme="majorHAnsi" w:cs="Arial"/>
          <w:bCs/>
          <w:sz w:val="24"/>
          <w:szCs w:val="24"/>
        </w:rPr>
        <w:t xml:space="preserve"> 1998. “Education is My Husband”: Marriage, Gender &amp; Reproduction in Northern Tanzania. </w:t>
      </w:r>
      <w:proofErr w:type="gramStart"/>
      <w:r w:rsidRPr="00F87FBF">
        <w:rPr>
          <w:rFonts w:asciiTheme="majorHAnsi" w:hAnsiTheme="majorHAnsi" w:cs="Arial"/>
          <w:bCs/>
          <w:sz w:val="24"/>
          <w:szCs w:val="24"/>
        </w:rPr>
        <w:t xml:space="preserve">In Bloch, M., </w:t>
      </w:r>
      <w:proofErr w:type="spellStart"/>
      <w:r w:rsidRPr="00F87FBF">
        <w:rPr>
          <w:rFonts w:asciiTheme="majorHAnsi" w:hAnsiTheme="majorHAnsi" w:cs="Arial"/>
          <w:bCs/>
          <w:sz w:val="24"/>
          <w:szCs w:val="24"/>
        </w:rPr>
        <w:t>Beoku</w:t>
      </w:r>
      <w:proofErr w:type="spellEnd"/>
      <w:r w:rsidRPr="00F87FBF">
        <w:rPr>
          <w:rFonts w:asciiTheme="majorHAnsi" w:hAnsiTheme="majorHAnsi" w:cs="Arial"/>
          <w:bCs/>
          <w:sz w:val="24"/>
          <w:szCs w:val="24"/>
        </w:rPr>
        <w:t xml:space="preserve"> Betts, J.A., </w:t>
      </w:r>
      <w:proofErr w:type="spellStart"/>
      <w:r w:rsidRPr="00F87FBF">
        <w:rPr>
          <w:rFonts w:asciiTheme="majorHAnsi" w:hAnsiTheme="majorHAnsi" w:cs="Arial"/>
          <w:bCs/>
          <w:sz w:val="24"/>
          <w:szCs w:val="24"/>
        </w:rPr>
        <w:t>Tabachnick</w:t>
      </w:r>
      <w:proofErr w:type="spellEnd"/>
      <w:r w:rsidRPr="00F87FBF">
        <w:rPr>
          <w:rFonts w:asciiTheme="majorHAnsi" w:hAnsiTheme="majorHAnsi" w:cs="Arial"/>
          <w:bCs/>
          <w:sz w:val="24"/>
          <w:szCs w:val="24"/>
        </w:rPr>
        <w:t xml:space="preserve">, B.R. (Eds.) </w:t>
      </w:r>
      <w:r w:rsidRPr="00F87FBF">
        <w:rPr>
          <w:rFonts w:asciiTheme="majorHAnsi" w:hAnsiTheme="majorHAnsi" w:cs="Arial"/>
          <w:bCs/>
          <w:iCs/>
          <w:sz w:val="24"/>
          <w:szCs w:val="24"/>
        </w:rPr>
        <w:t>Women and Education in Sub-Saharan Africa: Power, opportunities, and constraints</w:t>
      </w:r>
      <w:r w:rsidRPr="00F87FBF">
        <w:rPr>
          <w:rFonts w:asciiTheme="majorHAnsi" w:hAnsiTheme="majorHAnsi" w:cs="Arial"/>
          <w:bCs/>
          <w:sz w:val="24"/>
          <w:szCs w:val="24"/>
        </w:rPr>
        <w:t>.</w:t>
      </w:r>
      <w:proofErr w:type="gramEnd"/>
      <w:r w:rsidRPr="00F87FBF">
        <w:rPr>
          <w:rFonts w:asciiTheme="majorHAnsi" w:hAnsiTheme="majorHAnsi" w:cs="Arial"/>
          <w:bCs/>
          <w:sz w:val="24"/>
          <w:szCs w:val="24"/>
        </w:rPr>
        <w:t xml:space="preserve"> Lynne </w:t>
      </w:r>
      <w:proofErr w:type="spellStart"/>
      <w:r w:rsidRPr="00F87FBF">
        <w:rPr>
          <w:rFonts w:asciiTheme="majorHAnsi" w:hAnsiTheme="majorHAnsi" w:cs="Arial"/>
          <w:bCs/>
          <w:sz w:val="24"/>
          <w:szCs w:val="24"/>
        </w:rPr>
        <w:t>Rienner</w:t>
      </w:r>
      <w:proofErr w:type="spellEnd"/>
      <w:r w:rsidRPr="00F87FBF">
        <w:rPr>
          <w:rFonts w:asciiTheme="majorHAnsi" w:hAnsiTheme="majorHAnsi" w:cs="Arial"/>
          <w:bCs/>
          <w:sz w:val="24"/>
          <w:szCs w:val="24"/>
        </w:rPr>
        <w:t>, Boulder, CO, pp. 185-200.</w:t>
      </w:r>
    </w:p>
    <w:p w:rsidR="00F70CA1" w:rsidRPr="00F87FBF" w:rsidRDefault="00526199" w:rsidP="005806B5">
      <w:pPr>
        <w:spacing w:line="240" w:lineRule="auto"/>
        <w:rPr>
          <w:rFonts w:asciiTheme="majorHAnsi" w:hAnsiTheme="majorHAnsi" w:cs="Arial"/>
          <w:sz w:val="24"/>
          <w:szCs w:val="24"/>
        </w:rPr>
      </w:pPr>
      <w:r w:rsidRPr="00F87FBF">
        <w:rPr>
          <w:rFonts w:asciiTheme="majorHAnsi" w:hAnsiTheme="majorHAnsi" w:cs="Arial"/>
          <w:sz w:val="24"/>
          <w:szCs w:val="24"/>
        </w:rPr>
        <w:t>S</w:t>
      </w:r>
      <w:r w:rsidR="006C79E4" w:rsidRPr="00F87FBF">
        <w:rPr>
          <w:rFonts w:asciiTheme="majorHAnsi" w:hAnsiTheme="majorHAnsi" w:cs="Arial"/>
          <w:sz w:val="24"/>
          <w:szCs w:val="24"/>
        </w:rPr>
        <w:t>tromquist, N.P.</w:t>
      </w:r>
      <w:r w:rsidR="00037F6B" w:rsidRPr="00F87FBF">
        <w:rPr>
          <w:rFonts w:asciiTheme="majorHAnsi" w:hAnsiTheme="majorHAnsi" w:cs="Arial"/>
          <w:sz w:val="24"/>
          <w:szCs w:val="24"/>
        </w:rPr>
        <w:t>,</w:t>
      </w:r>
      <w:r w:rsidR="006C79E4" w:rsidRPr="00F87FBF">
        <w:rPr>
          <w:rFonts w:asciiTheme="majorHAnsi" w:hAnsiTheme="majorHAnsi" w:cs="Arial"/>
          <w:sz w:val="24"/>
          <w:szCs w:val="24"/>
        </w:rPr>
        <w:t xml:space="preserve"> </w:t>
      </w:r>
      <w:r w:rsidRPr="00F87FBF">
        <w:rPr>
          <w:rFonts w:asciiTheme="majorHAnsi" w:hAnsiTheme="majorHAnsi" w:cs="Arial"/>
          <w:sz w:val="24"/>
          <w:szCs w:val="24"/>
        </w:rPr>
        <w:t>2002</w:t>
      </w:r>
      <w:r w:rsidR="006C79E4" w:rsidRPr="00F87FBF">
        <w:rPr>
          <w:rFonts w:asciiTheme="majorHAnsi" w:hAnsiTheme="majorHAnsi" w:cs="Arial"/>
          <w:sz w:val="24"/>
          <w:szCs w:val="24"/>
        </w:rPr>
        <w:t xml:space="preserve">. </w:t>
      </w:r>
      <w:proofErr w:type="gramStart"/>
      <w:r w:rsidR="00F70CA1" w:rsidRPr="00F87FBF">
        <w:rPr>
          <w:rFonts w:asciiTheme="majorHAnsi" w:hAnsiTheme="majorHAnsi" w:cs="Arial"/>
          <w:sz w:val="24"/>
          <w:szCs w:val="24"/>
        </w:rPr>
        <w:t>Education as a means for empowering women</w:t>
      </w:r>
      <w:r w:rsidR="006C79E4" w:rsidRPr="00F87FBF">
        <w:rPr>
          <w:rFonts w:asciiTheme="majorHAnsi" w:hAnsiTheme="majorHAnsi" w:cs="Arial"/>
          <w:sz w:val="24"/>
          <w:szCs w:val="24"/>
        </w:rPr>
        <w:t>.</w:t>
      </w:r>
      <w:proofErr w:type="gramEnd"/>
      <w:r w:rsidR="006C79E4" w:rsidRPr="00F87FBF">
        <w:rPr>
          <w:rFonts w:asciiTheme="majorHAnsi" w:hAnsiTheme="majorHAnsi" w:cs="Arial"/>
          <w:sz w:val="24"/>
          <w:szCs w:val="24"/>
        </w:rPr>
        <w:t xml:space="preserve"> </w:t>
      </w:r>
      <w:r w:rsidR="00F70CA1"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 xml:space="preserve">In  </w:t>
      </w:r>
      <w:proofErr w:type="spellStart"/>
      <w:r w:rsidRPr="00F87FBF">
        <w:rPr>
          <w:rFonts w:asciiTheme="majorHAnsi" w:hAnsiTheme="majorHAnsi" w:cs="Arial"/>
          <w:sz w:val="24"/>
          <w:szCs w:val="24"/>
        </w:rPr>
        <w:t>Parpart</w:t>
      </w:r>
      <w:proofErr w:type="spellEnd"/>
      <w:proofErr w:type="gramEnd"/>
      <w:r w:rsidRPr="00F87FBF">
        <w:rPr>
          <w:rFonts w:asciiTheme="majorHAnsi" w:hAnsiTheme="majorHAnsi" w:cs="Arial"/>
          <w:sz w:val="24"/>
          <w:szCs w:val="24"/>
        </w:rPr>
        <w:t>,</w:t>
      </w:r>
      <w:r w:rsidR="006C79E4" w:rsidRPr="00F87FBF">
        <w:rPr>
          <w:rFonts w:asciiTheme="majorHAnsi" w:hAnsiTheme="majorHAnsi" w:cs="Arial"/>
          <w:sz w:val="24"/>
          <w:szCs w:val="24"/>
        </w:rPr>
        <w:t xml:space="preserve"> J.L., </w:t>
      </w:r>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Rai</w:t>
      </w:r>
      <w:proofErr w:type="spellEnd"/>
      <w:r w:rsidR="006C79E4" w:rsidRPr="00F87FBF">
        <w:rPr>
          <w:rFonts w:asciiTheme="majorHAnsi" w:hAnsiTheme="majorHAnsi" w:cs="Arial"/>
          <w:sz w:val="24"/>
          <w:szCs w:val="24"/>
        </w:rPr>
        <w:t>, S.M.,</w:t>
      </w:r>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Staudt</w:t>
      </w:r>
      <w:proofErr w:type="spellEnd"/>
      <w:r w:rsidR="006C79E4" w:rsidRPr="00F87FBF">
        <w:rPr>
          <w:rFonts w:asciiTheme="majorHAnsi" w:hAnsiTheme="majorHAnsi" w:cs="Arial"/>
          <w:sz w:val="24"/>
          <w:szCs w:val="24"/>
        </w:rPr>
        <w:t>, K.</w:t>
      </w:r>
      <w:r w:rsidRPr="00F87FBF">
        <w:rPr>
          <w:rFonts w:asciiTheme="majorHAnsi" w:hAnsiTheme="majorHAnsi" w:cs="Arial"/>
          <w:sz w:val="24"/>
          <w:szCs w:val="24"/>
        </w:rPr>
        <w:t xml:space="preserve"> (</w:t>
      </w:r>
      <w:r w:rsidR="006C79E4" w:rsidRPr="00F87FBF">
        <w:rPr>
          <w:rFonts w:asciiTheme="majorHAnsi" w:hAnsiTheme="majorHAnsi" w:cs="Arial"/>
          <w:sz w:val="24"/>
          <w:szCs w:val="24"/>
        </w:rPr>
        <w:t>E</w:t>
      </w:r>
      <w:r w:rsidRPr="00F87FBF">
        <w:rPr>
          <w:rFonts w:asciiTheme="majorHAnsi" w:hAnsiTheme="majorHAnsi" w:cs="Arial"/>
          <w:sz w:val="24"/>
          <w:szCs w:val="24"/>
        </w:rPr>
        <w:t>ds</w:t>
      </w:r>
      <w:r w:rsidR="006C79E4" w:rsidRPr="00F87FBF">
        <w:rPr>
          <w:rFonts w:asciiTheme="majorHAnsi" w:hAnsiTheme="majorHAnsi" w:cs="Arial"/>
          <w:sz w:val="24"/>
          <w:szCs w:val="24"/>
        </w:rPr>
        <w:t>.</w:t>
      </w:r>
      <w:r w:rsidRPr="00F87FBF">
        <w:rPr>
          <w:rFonts w:asciiTheme="majorHAnsi" w:hAnsiTheme="majorHAnsi" w:cs="Arial"/>
          <w:sz w:val="24"/>
          <w:szCs w:val="24"/>
        </w:rPr>
        <w:t>)</w:t>
      </w:r>
      <w:r w:rsidR="006C79E4" w:rsidRPr="00F87FBF">
        <w:rPr>
          <w:rFonts w:asciiTheme="majorHAnsi" w:hAnsiTheme="majorHAnsi" w:cs="Arial"/>
          <w:sz w:val="24"/>
          <w:szCs w:val="24"/>
        </w:rPr>
        <w:t xml:space="preserve">. 2002. </w:t>
      </w:r>
      <w:r w:rsidR="00BF1554" w:rsidRPr="00F87FBF">
        <w:rPr>
          <w:rFonts w:asciiTheme="majorHAnsi" w:hAnsiTheme="majorHAnsi" w:cs="Arial"/>
          <w:sz w:val="24"/>
          <w:szCs w:val="24"/>
        </w:rPr>
        <w:t>Rethinking empowerment: gender and development in a global/local world</w:t>
      </w:r>
      <w:r w:rsidR="00C46926" w:rsidRPr="00C46926">
        <w:rPr>
          <w:rFonts w:asciiTheme="majorHAnsi" w:hAnsiTheme="majorHAnsi" w:cs="Arial"/>
          <w:sz w:val="24"/>
          <w:szCs w:val="24"/>
        </w:rPr>
        <w:t>.</w:t>
      </w:r>
      <w:r w:rsidR="00F70CA1" w:rsidRPr="00F87FBF">
        <w:rPr>
          <w:rFonts w:asciiTheme="majorHAnsi" w:hAnsiTheme="majorHAnsi" w:cs="Arial"/>
          <w:sz w:val="24"/>
          <w:szCs w:val="24"/>
        </w:rPr>
        <w:t xml:space="preserve"> </w:t>
      </w:r>
      <w:proofErr w:type="spellStart"/>
      <w:r w:rsidR="00F70CA1" w:rsidRPr="00F87FBF">
        <w:rPr>
          <w:rFonts w:asciiTheme="majorHAnsi" w:hAnsiTheme="majorHAnsi" w:cs="Arial"/>
          <w:sz w:val="24"/>
          <w:szCs w:val="24"/>
        </w:rPr>
        <w:t>Routledge</w:t>
      </w:r>
      <w:proofErr w:type="spellEnd"/>
      <w:r w:rsidR="00F70CA1" w:rsidRPr="00F87FBF">
        <w:rPr>
          <w:rFonts w:asciiTheme="majorHAnsi" w:hAnsiTheme="majorHAnsi" w:cs="Arial"/>
          <w:sz w:val="24"/>
          <w:szCs w:val="24"/>
        </w:rPr>
        <w:t>,</w:t>
      </w:r>
      <w:r w:rsidR="006C79E4" w:rsidRPr="00F87FBF">
        <w:rPr>
          <w:rFonts w:asciiTheme="majorHAnsi" w:hAnsiTheme="majorHAnsi" w:cs="Arial"/>
          <w:sz w:val="24"/>
          <w:szCs w:val="24"/>
        </w:rPr>
        <w:t xml:space="preserve"> London</w:t>
      </w:r>
      <w:r w:rsidR="00F70CA1" w:rsidRPr="00F87FBF">
        <w:rPr>
          <w:rFonts w:asciiTheme="majorHAnsi" w:hAnsiTheme="majorHAnsi" w:cs="Arial"/>
          <w:sz w:val="24"/>
          <w:szCs w:val="24"/>
        </w:rPr>
        <w:t>, p. 22-38</w:t>
      </w:r>
    </w:p>
    <w:p w:rsidR="00F70CA1" w:rsidRPr="00F87FBF" w:rsidRDefault="00F70CA1" w:rsidP="005806B5">
      <w:pPr>
        <w:spacing w:line="240" w:lineRule="auto"/>
        <w:rPr>
          <w:rFonts w:asciiTheme="majorHAnsi" w:hAnsiTheme="majorHAnsi" w:cs="Arial"/>
          <w:iCs/>
          <w:sz w:val="24"/>
          <w:szCs w:val="24"/>
        </w:rPr>
      </w:pPr>
      <w:proofErr w:type="spellStart"/>
      <w:r w:rsidRPr="00F87FBF">
        <w:rPr>
          <w:rFonts w:asciiTheme="majorHAnsi" w:hAnsiTheme="majorHAnsi" w:cs="Arial"/>
          <w:sz w:val="24"/>
          <w:szCs w:val="24"/>
        </w:rPr>
        <w:t>Subrahmanian</w:t>
      </w:r>
      <w:proofErr w:type="spellEnd"/>
      <w:r w:rsidRPr="00F87FBF">
        <w:rPr>
          <w:rFonts w:asciiTheme="majorHAnsi" w:hAnsiTheme="majorHAnsi" w:cs="Arial"/>
          <w:sz w:val="24"/>
          <w:szCs w:val="24"/>
        </w:rPr>
        <w:t>, R</w:t>
      </w:r>
      <w:r w:rsidR="00813021" w:rsidRPr="00F87FBF">
        <w:rPr>
          <w:rFonts w:asciiTheme="majorHAnsi" w:hAnsiTheme="majorHAnsi" w:cs="Arial"/>
          <w:sz w:val="24"/>
          <w:szCs w:val="24"/>
        </w:rPr>
        <w:t>.</w:t>
      </w:r>
      <w:r w:rsidR="00037F6B" w:rsidRPr="00F87FBF">
        <w:rPr>
          <w:rFonts w:asciiTheme="majorHAnsi" w:hAnsiTheme="majorHAnsi" w:cs="Arial"/>
          <w:sz w:val="24"/>
          <w:szCs w:val="24"/>
        </w:rPr>
        <w:t>,</w:t>
      </w:r>
      <w:r w:rsidR="00C46926" w:rsidRPr="00C46926">
        <w:rPr>
          <w:rFonts w:asciiTheme="majorHAnsi" w:hAnsiTheme="majorHAnsi" w:cs="Arial"/>
          <w:iCs/>
          <w:sz w:val="24"/>
          <w:szCs w:val="24"/>
        </w:rPr>
        <w:t xml:space="preserve"> </w:t>
      </w:r>
      <w:r w:rsidR="00AB060F" w:rsidRPr="00F87FBF">
        <w:rPr>
          <w:rFonts w:asciiTheme="majorHAnsi" w:hAnsiTheme="majorHAnsi" w:cs="Arial"/>
          <w:iCs/>
          <w:sz w:val="24"/>
          <w:szCs w:val="24"/>
        </w:rPr>
        <w:t xml:space="preserve">2005. </w:t>
      </w:r>
      <w:r w:rsidRPr="00F87FBF">
        <w:rPr>
          <w:rFonts w:asciiTheme="majorHAnsi" w:hAnsiTheme="majorHAnsi" w:cs="Arial"/>
          <w:bCs/>
          <w:sz w:val="24"/>
          <w:szCs w:val="24"/>
        </w:rPr>
        <w:t>Gender equality in education: Definitions and measurements</w:t>
      </w:r>
      <w:r w:rsidR="00813021" w:rsidRPr="00F87FBF">
        <w:rPr>
          <w:rFonts w:asciiTheme="majorHAnsi" w:hAnsiTheme="majorHAnsi" w:cs="Arial"/>
          <w:bCs/>
          <w:sz w:val="24"/>
          <w:szCs w:val="24"/>
        </w:rPr>
        <w:t>.</w:t>
      </w:r>
      <w:r w:rsidRPr="00F87FBF">
        <w:rPr>
          <w:rFonts w:asciiTheme="majorHAnsi" w:hAnsiTheme="majorHAnsi" w:cs="Arial"/>
          <w:sz w:val="24"/>
          <w:szCs w:val="24"/>
        </w:rPr>
        <w:t xml:space="preserve"> </w:t>
      </w:r>
      <w:r w:rsidR="00BF1554" w:rsidRPr="00F87FBF">
        <w:rPr>
          <w:rFonts w:asciiTheme="majorHAnsi" w:hAnsiTheme="majorHAnsi" w:cs="Arial"/>
          <w:iCs/>
          <w:sz w:val="24"/>
          <w:szCs w:val="24"/>
        </w:rPr>
        <w:t>International Journal of Educational Development</w:t>
      </w:r>
      <w:r w:rsidR="00C46926" w:rsidRPr="00C46926">
        <w:rPr>
          <w:rFonts w:asciiTheme="majorHAnsi" w:hAnsiTheme="majorHAnsi" w:cs="Arial"/>
          <w:iCs/>
          <w:sz w:val="24"/>
          <w:szCs w:val="24"/>
        </w:rPr>
        <w:t xml:space="preserve">, </w:t>
      </w:r>
      <w:r w:rsidR="00BF1554" w:rsidRPr="00F87FBF">
        <w:rPr>
          <w:rFonts w:asciiTheme="majorHAnsi" w:hAnsiTheme="majorHAnsi" w:cs="Arial"/>
          <w:iCs/>
          <w:sz w:val="24"/>
          <w:szCs w:val="24"/>
        </w:rPr>
        <w:t>25</w:t>
      </w:r>
      <w:r w:rsidR="00813021" w:rsidRPr="00F87FBF">
        <w:rPr>
          <w:rFonts w:asciiTheme="majorHAnsi" w:hAnsiTheme="majorHAnsi" w:cs="Arial"/>
          <w:iCs/>
          <w:sz w:val="24"/>
          <w:szCs w:val="24"/>
        </w:rPr>
        <w:t xml:space="preserve"> (</w:t>
      </w:r>
      <w:r w:rsidR="00BF1554" w:rsidRPr="00F87FBF">
        <w:rPr>
          <w:rFonts w:asciiTheme="majorHAnsi" w:hAnsiTheme="majorHAnsi" w:cs="Arial"/>
          <w:iCs/>
          <w:sz w:val="24"/>
          <w:szCs w:val="24"/>
        </w:rPr>
        <w:t>4</w:t>
      </w:r>
      <w:r w:rsidR="00813021" w:rsidRPr="00F87FBF">
        <w:rPr>
          <w:rFonts w:asciiTheme="majorHAnsi" w:hAnsiTheme="majorHAnsi" w:cs="Arial"/>
          <w:iCs/>
          <w:sz w:val="24"/>
          <w:szCs w:val="24"/>
        </w:rPr>
        <w:t>)</w:t>
      </w:r>
      <w:r w:rsidR="00BF1554" w:rsidRPr="00F87FBF">
        <w:rPr>
          <w:rFonts w:asciiTheme="majorHAnsi" w:hAnsiTheme="majorHAnsi" w:cs="Arial"/>
          <w:iCs/>
          <w:sz w:val="24"/>
          <w:szCs w:val="24"/>
        </w:rPr>
        <w:t xml:space="preserve">, </w:t>
      </w:r>
      <w:r w:rsidR="00813021" w:rsidRPr="00F87FBF">
        <w:rPr>
          <w:rFonts w:asciiTheme="majorHAnsi" w:hAnsiTheme="majorHAnsi" w:cs="Arial"/>
          <w:iCs/>
          <w:sz w:val="24"/>
          <w:szCs w:val="24"/>
        </w:rPr>
        <w:t>pp.</w:t>
      </w:r>
      <w:r w:rsidR="00BF1554" w:rsidRPr="00F87FBF">
        <w:rPr>
          <w:rFonts w:asciiTheme="majorHAnsi" w:hAnsiTheme="majorHAnsi" w:cs="Arial"/>
          <w:iCs/>
          <w:sz w:val="24"/>
          <w:szCs w:val="24"/>
        </w:rPr>
        <w:t xml:space="preserve"> 395-407</w:t>
      </w:r>
      <w:r w:rsidR="00813021" w:rsidRPr="00F87FBF">
        <w:rPr>
          <w:rFonts w:asciiTheme="majorHAnsi" w:hAnsiTheme="majorHAnsi" w:cs="Arial"/>
          <w:iCs/>
          <w:sz w:val="24"/>
          <w:szCs w:val="24"/>
        </w:rPr>
        <w:t xml:space="preserve">. </w:t>
      </w:r>
    </w:p>
    <w:p w:rsidR="00F70CA1" w:rsidRPr="00F87FBF" w:rsidRDefault="00F70CA1"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TEGINT</w:t>
      </w:r>
      <w:r w:rsidR="00037F6B" w:rsidRPr="00F87FBF">
        <w:rPr>
          <w:rFonts w:asciiTheme="majorHAnsi" w:hAnsiTheme="majorHAnsi" w:cs="Arial"/>
          <w:sz w:val="24"/>
          <w:szCs w:val="24"/>
        </w:rPr>
        <w:t xml:space="preserve">, </w:t>
      </w:r>
      <w:r w:rsidRPr="00F87FBF">
        <w:rPr>
          <w:rFonts w:asciiTheme="majorHAnsi" w:hAnsiTheme="majorHAnsi" w:cs="Arial"/>
          <w:sz w:val="24"/>
          <w:szCs w:val="24"/>
        </w:rPr>
        <w:t>2011a</w:t>
      </w:r>
      <w:r w:rsidR="00813021" w:rsidRPr="00F87FBF">
        <w:rPr>
          <w:rFonts w:asciiTheme="majorHAnsi" w:hAnsiTheme="majorHAnsi" w:cs="Arial"/>
          <w:sz w:val="24"/>
          <w:szCs w:val="24"/>
        </w:rPr>
        <w:t>.</w:t>
      </w:r>
      <w:proofErr w:type="gramEnd"/>
      <w:r w:rsidR="00F752AD" w:rsidRPr="00F87FBF">
        <w:rPr>
          <w:rFonts w:asciiTheme="majorHAnsi" w:hAnsiTheme="majorHAnsi" w:cs="Arial"/>
          <w:sz w:val="24"/>
          <w:szCs w:val="24"/>
        </w:rPr>
        <w:t xml:space="preserve"> </w:t>
      </w:r>
      <w:proofErr w:type="gramStart"/>
      <w:r w:rsidR="00F752AD" w:rsidRPr="00F87FBF">
        <w:rPr>
          <w:rFonts w:asciiTheme="majorHAnsi" w:hAnsiTheme="majorHAnsi" w:cs="Arial"/>
          <w:sz w:val="24"/>
          <w:szCs w:val="24"/>
        </w:rPr>
        <w:t xml:space="preserve">Transforming Education for girls in </w:t>
      </w:r>
      <w:r w:rsidRPr="00F87FBF">
        <w:rPr>
          <w:rFonts w:asciiTheme="majorHAnsi" w:hAnsiTheme="majorHAnsi" w:cs="Arial"/>
          <w:sz w:val="24"/>
          <w:szCs w:val="24"/>
        </w:rPr>
        <w:t>Tanzania.</w:t>
      </w:r>
      <w:proofErr w:type="gramEnd"/>
      <w:r w:rsidR="00F752AD" w:rsidRPr="00F87FBF">
        <w:rPr>
          <w:rFonts w:asciiTheme="majorHAnsi" w:hAnsiTheme="majorHAnsi" w:cs="Arial"/>
          <w:sz w:val="24"/>
          <w:szCs w:val="24"/>
        </w:rPr>
        <w:t xml:space="preserve"> </w:t>
      </w:r>
      <w:proofErr w:type="gramStart"/>
      <w:r w:rsidR="00F752AD" w:rsidRPr="00F87FBF">
        <w:rPr>
          <w:rFonts w:asciiTheme="majorHAnsi" w:hAnsiTheme="majorHAnsi" w:cs="Arial"/>
          <w:sz w:val="24"/>
          <w:szCs w:val="24"/>
        </w:rPr>
        <w:t>Baseline research summary report</w:t>
      </w:r>
      <w:r w:rsidRPr="00F87FBF">
        <w:rPr>
          <w:rFonts w:asciiTheme="majorHAnsi" w:hAnsiTheme="majorHAnsi" w:cs="Arial"/>
          <w:sz w:val="24"/>
          <w:szCs w:val="24"/>
        </w:rPr>
        <w:t xml:space="preserve"> </w:t>
      </w:r>
      <w:proofErr w:type="spellStart"/>
      <w:r w:rsidR="00F752AD" w:rsidRPr="00F87FBF">
        <w:rPr>
          <w:rFonts w:asciiTheme="majorHAnsi" w:hAnsiTheme="majorHAnsi" w:cs="Arial"/>
          <w:sz w:val="24"/>
          <w:szCs w:val="24"/>
        </w:rPr>
        <w:t>ActionAid</w:t>
      </w:r>
      <w:proofErr w:type="spellEnd"/>
      <w:r w:rsidR="009458F0">
        <w:rPr>
          <w:rFonts w:asciiTheme="majorHAnsi" w:hAnsiTheme="majorHAnsi" w:cs="Arial"/>
          <w:sz w:val="24"/>
          <w:szCs w:val="24"/>
        </w:rPr>
        <w:t>,</w:t>
      </w:r>
      <w:r w:rsidR="00F752AD" w:rsidRPr="00F87FBF">
        <w:rPr>
          <w:rFonts w:asciiTheme="majorHAnsi" w:hAnsiTheme="majorHAnsi" w:cs="Arial"/>
          <w:sz w:val="24"/>
          <w:szCs w:val="24"/>
        </w:rPr>
        <w:t xml:space="preserve"> Johannesburg</w:t>
      </w:r>
      <w:r w:rsidR="00DD71AD" w:rsidRPr="00F87FBF">
        <w:rPr>
          <w:rFonts w:asciiTheme="majorHAnsi" w:hAnsiTheme="majorHAnsi" w:cs="Arial"/>
          <w:sz w:val="24"/>
          <w:szCs w:val="24"/>
        </w:rPr>
        <w:t>.</w:t>
      </w:r>
      <w:proofErr w:type="gramEnd"/>
      <w:r w:rsidR="00DD71AD" w:rsidRPr="00F87FBF">
        <w:rPr>
          <w:rFonts w:asciiTheme="majorHAnsi" w:hAnsiTheme="majorHAnsi" w:cs="Arial"/>
          <w:sz w:val="24"/>
          <w:szCs w:val="24"/>
        </w:rPr>
        <w:t xml:space="preserve"> </w:t>
      </w:r>
    </w:p>
    <w:p w:rsidR="00F70CA1" w:rsidRPr="00F87FBF" w:rsidRDefault="00F70CA1"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TEGINT</w:t>
      </w:r>
      <w:r w:rsidR="00037F6B" w:rsidRPr="00F87FBF">
        <w:rPr>
          <w:rFonts w:asciiTheme="majorHAnsi" w:hAnsiTheme="majorHAnsi" w:cs="Arial"/>
          <w:sz w:val="24"/>
          <w:szCs w:val="24"/>
        </w:rPr>
        <w:t>,</w:t>
      </w:r>
      <w:r w:rsidR="00813021" w:rsidRPr="00F87FBF">
        <w:rPr>
          <w:rFonts w:asciiTheme="majorHAnsi" w:hAnsiTheme="majorHAnsi" w:cs="Arial"/>
          <w:sz w:val="24"/>
          <w:szCs w:val="24"/>
        </w:rPr>
        <w:t xml:space="preserve"> </w:t>
      </w:r>
      <w:r w:rsidRPr="00F87FBF">
        <w:rPr>
          <w:rFonts w:asciiTheme="majorHAnsi" w:hAnsiTheme="majorHAnsi" w:cs="Arial"/>
          <w:sz w:val="24"/>
          <w:szCs w:val="24"/>
        </w:rPr>
        <w:t>2011b</w:t>
      </w:r>
      <w:r w:rsidR="00813021" w:rsidRPr="00F87FBF">
        <w:rPr>
          <w:rFonts w:asciiTheme="majorHAnsi" w:hAnsiTheme="majorHAnsi" w:cs="Arial"/>
          <w:sz w:val="24"/>
          <w:szCs w:val="24"/>
        </w:rPr>
        <w:t>.</w:t>
      </w:r>
      <w:proofErr w:type="gramEnd"/>
      <w:r w:rsidRPr="00F87FBF">
        <w:rPr>
          <w:rFonts w:asciiTheme="majorHAnsi" w:hAnsiTheme="majorHAnsi" w:cs="Arial"/>
          <w:sz w:val="24"/>
          <w:szCs w:val="24"/>
        </w:rPr>
        <w:t xml:space="preserve"> </w:t>
      </w:r>
      <w:proofErr w:type="gramStart"/>
      <w:r w:rsidR="00F752AD" w:rsidRPr="00F87FBF">
        <w:rPr>
          <w:rFonts w:asciiTheme="majorHAnsi" w:hAnsiTheme="majorHAnsi" w:cs="Arial"/>
          <w:sz w:val="24"/>
          <w:szCs w:val="24"/>
        </w:rPr>
        <w:t>Transforming Education for girls in Nigeria.</w:t>
      </w:r>
      <w:proofErr w:type="gramEnd"/>
      <w:r w:rsidR="00F752AD" w:rsidRPr="00F87FBF">
        <w:rPr>
          <w:rFonts w:asciiTheme="majorHAnsi" w:hAnsiTheme="majorHAnsi" w:cs="Arial"/>
          <w:sz w:val="24"/>
          <w:szCs w:val="24"/>
        </w:rPr>
        <w:t xml:space="preserve"> </w:t>
      </w:r>
      <w:proofErr w:type="gramStart"/>
      <w:r w:rsidR="00F752AD" w:rsidRPr="00F87FBF">
        <w:rPr>
          <w:rFonts w:asciiTheme="majorHAnsi" w:hAnsiTheme="majorHAnsi" w:cs="Arial"/>
          <w:sz w:val="24"/>
          <w:szCs w:val="24"/>
        </w:rPr>
        <w:t xml:space="preserve">Baseline research summary report </w:t>
      </w:r>
      <w:proofErr w:type="spellStart"/>
      <w:r w:rsidR="00F752AD" w:rsidRPr="00F87FBF">
        <w:rPr>
          <w:rFonts w:asciiTheme="majorHAnsi" w:hAnsiTheme="majorHAnsi" w:cs="Arial"/>
          <w:sz w:val="24"/>
          <w:szCs w:val="24"/>
        </w:rPr>
        <w:t>ActionAid</w:t>
      </w:r>
      <w:proofErr w:type="spellEnd"/>
      <w:r w:rsidR="009458F0">
        <w:rPr>
          <w:rFonts w:asciiTheme="majorHAnsi" w:hAnsiTheme="majorHAnsi" w:cs="Arial"/>
          <w:sz w:val="24"/>
          <w:szCs w:val="24"/>
        </w:rPr>
        <w:t>,</w:t>
      </w:r>
      <w:r w:rsidR="00F752AD" w:rsidRPr="00F87FBF">
        <w:rPr>
          <w:rFonts w:asciiTheme="majorHAnsi" w:hAnsiTheme="majorHAnsi" w:cs="Arial"/>
          <w:sz w:val="24"/>
          <w:szCs w:val="24"/>
        </w:rPr>
        <w:t xml:space="preserve"> Johannesburg.</w:t>
      </w:r>
      <w:proofErr w:type="gramEnd"/>
    </w:p>
    <w:p w:rsidR="00A075B9" w:rsidRPr="00F87FBF" w:rsidRDefault="00A075B9" w:rsidP="005806B5">
      <w:pPr>
        <w:spacing w:line="240" w:lineRule="auto"/>
        <w:rPr>
          <w:rFonts w:asciiTheme="majorHAnsi" w:hAnsiTheme="majorHAnsi" w:cs="Arial"/>
          <w:bCs/>
          <w:sz w:val="24"/>
          <w:szCs w:val="24"/>
        </w:rPr>
      </w:pPr>
      <w:proofErr w:type="gramStart"/>
      <w:r w:rsidRPr="00F87FBF">
        <w:rPr>
          <w:rFonts w:asciiTheme="majorHAnsi" w:hAnsiTheme="majorHAnsi" w:cs="Arial"/>
          <w:sz w:val="24"/>
          <w:szCs w:val="24"/>
        </w:rPr>
        <w:t xml:space="preserve">Thomas, M., </w:t>
      </w:r>
      <w:proofErr w:type="spellStart"/>
      <w:r w:rsidRPr="00F87FBF">
        <w:rPr>
          <w:rFonts w:asciiTheme="majorHAnsi" w:hAnsiTheme="majorHAnsi" w:cs="Arial"/>
          <w:sz w:val="24"/>
          <w:szCs w:val="24"/>
        </w:rPr>
        <w:t>Rugambwa</w:t>
      </w:r>
      <w:proofErr w:type="spellEnd"/>
      <w:r w:rsidRPr="00F87FBF">
        <w:rPr>
          <w:rFonts w:asciiTheme="majorHAnsi" w:hAnsiTheme="majorHAnsi" w:cs="Arial"/>
          <w:sz w:val="24"/>
          <w:szCs w:val="24"/>
        </w:rPr>
        <w:t>, A.</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2011.</w:t>
      </w:r>
      <w:proofErr w:type="gramEnd"/>
      <w:r w:rsidRPr="00F87FBF">
        <w:rPr>
          <w:rFonts w:asciiTheme="majorHAnsi" w:hAnsiTheme="majorHAnsi" w:cs="Arial"/>
          <w:sz w:val="24"/>
          <w:szCs w:val="24"/>
        </w:rPr>
        <w:t xml:space="preserve"> </w:t>
      </w:r>
      <w:r w:rsidRPr="00F87FBF">
        <w:rPr>
          <w:rFonts w:asciiTheme="majorHAnsi" w:hAnsiTheme="majorHAnsi" w:cs="Arial"/>
          <w:sz w:val="24"/>
          <w:szCs w:val="24"/>
          <w:shd w:val="clear" w:color="auto" w:fill="FFFFFF"/>
        </w:rPr>
        <w:t>Equity, Power, and Capabilities: Constructions of Gender in a Tanzanian Secondary School. Feminist Formations 23 (3), pp</w:t>
      </w:r>
      <w:r w:rsidRPr="00F87FBF">
        <w:rPr>
          <w:rFonts w:asciiTheme="majorHAnsi" w:hAnsiTheme="majorHAnsi" w:cs="Arial"/>
          <w:color w:val="4C3D16"/>
          <w:sz w:val="24"/>
          <w:szCs w:val="24"/>
          <w:shd w:val="clear" w:color="auto" w:fill="FFFFFF"/>
        </w:rPr>
        <w:t xml:space="preserve">. </w:t>
      </w:r>
      <w:r w:rsidRPr="00F87FBF">
        <w:rPr>
          <w:rFonts w:asciiTheme="majorHAnsi" w:hAnsiTheme="majorHAnsi" w:cs="Arial"/>
          <w:color w:val="333333"/>
          <w:sz w:val="24"/>
          <w:szCs w:val="24"/>
          <w:shd w:val="clear" w:color="auto" w:fill="FFFFFF"/>
        </w:rPr>
        <w:t>153-175.</w:t>
      </w:r>
    </w:p>
    <w:p w:rsidR="00203255" w:rsidRPr="00F87FBF" w:rsidRDefault="00203255" w:rsidP="005806B5">
      <w:pPr>
        <w:widowControl w:val="0"/>
        <w:autoSpaceDE w:val="0"/>
        <w:autoSpaceDN w:val="0"/>
        <w:adjustRightInd w:val="0"/>
        <w:spacing w:line="240" w:lineRule="auto"/>
        <w:rPr>
          <w:rFonts w:asciiTheme="majorHAnsi" w:hAnsiTheme="majorHAnsi" w:cs="Arial"/>
          <w:sz w:val="24"/>
          <w:szCs w:val="24"/>
        </w:rPr>
      </w:pPr>
      <w:proofErr w:type="spellStart"/>
      <w:proofErr w:type="gramStart"/>
      <w:r w:rsidRPr="00F87FBF">
        <w:rPr>
          <w:rFonts w:asciiTheme="majorHAnsi" w:hAnsiTheme="majorHAnsi" w:cs="Arial"/>
          <w:sz w:val="24"/>
          <w:szCs w:val="24"/>
        </w:rPr>
        <w:t>Tuwor</w:t>
      </w:r>
      <w:proofErr w:type="spellEnd"/>
      <w:r w:rsidRPr="00F87FBF">
        <w:rPr>
          <w:rFonts w:asciiTheme="majorHAnsi" w:hAnsiTheme="majorHAnsi" w:cs="Arial"/>
          <w:sz w:val="24"/>
          <w:szCs w:val="24"/>
        </w:rPr>
        <w:t xml:space="preserve">, T., </w:t>
      </w:r>
      <w:proofErr w:type="spellStart"/>
      <w:r w:rsidRPr="00F87FBF">
        <w:rPr>
          <w:rFonts w:asciiTheme="majorHAnsi" w:hAnsiTheme="majorHAnsi" w:cs="Arial"/>
          <w:sz w:val="24"/>
          <w:szCs w:val="24"/>
        </w:rPr>
        <w:t>Sossou</w:t>
      </w:r>
      <w:proofErr w:type="spellEnd"/>
      <w:r w:rsidRPr="00F87FBF">
        <w:rPr>
          <w:rFonts w:asciiTheme="majorHAnsi" w:hAnsiTheme="majorHAnsi" w:cs="Arial"/>
          <w:sz w:val="24"/>
          <w:szCs w:val="24"/>
        </w:rPr>
        <w:t>, M. A.</w:t>
      </w:r>
      <w:r w:rsidR="00037F6B" w:rsidRPr="00F87FBF">
        <w:rPr>
          <w:rFonts w:asciiTheme="majorHAnsi" w:hAnsiTheme="majorHAnsi" w:cs="Arial"/>
          <w:sz w:val="24"/>
          <w:szCs w:val="24"/>
        </w:rPr>
        <w:t>,</w:t>
      </w:r>
      <w:r w:rsidRPr="00F87FBF">
        <w:rPr>
          <w:rFonts w:asciiTheme="majorHAnsi" w:hAnsiTheme="majorHAnsi" w:cs="Arial"/>
          <w:b/>
          <w:bCs/>
          <w:sz w:val="24"/>
          <w:szCs w:val="24"/>
        </w:rPr>
        <w:t xml:space="preserve"> </w:t>
      </w:r>
      <w:r w:rsidRPr="00F87FBF">
        <w:rPr>
          <w:rFonts w:asciiTheme="majorHAnsi" w:hAnsiTheme="majorHAnsi" w:cs="Arial"/>
          <w:sz w:val="24"/>
          <w:szCs w:val="24"/>
        </w:rPr>
        <w:t>2008.</w:t>
      </w:r>
      <w:proofErr w:type="gramEnd"/>
      <w:r w:rsidRPr="00F87FBF">
        <w:rPr>
          <w:rFonts w:asciiTheme="majorHAnsi" w:hAnsiTheme="majorHAnsi" w:cs="Arial"/>
          <w:sz w:val="24"/>
          <w:szCs w:val="24"/>
        </w:rPr>
        <w:t xml:space="preserve"> </w:t>
      </w:r>
      <w:r w:rsidR="00C46926" w:rsidRPr="00C46926">
        <w:rPr>
          <w:rFonts w:asciiTheme="majorHAnsi" w:hAnsiTheme="majorHAnsi" w:cs="Arial"/>
          <w:sz w:val="24"/>
          <w:szCs w:val="24"/>
        </w:rPr>
        <w:t>Gender Discrimination and Education in West Africa: Strategies for Maintaining Girls in School. International Journal of Inclusive Education 12 (4), pp. 363-379.</w:t>
      </w:r>
    </w:p>
    <w:p w:rsidR="00204D4A" w:rsidRPr="00F87FBF" w:rsidRDefault="00C46926" w:rsidP="005806B5">
      <w:pPr>
        <w:widowControl w:val="0"/>
        <w:autoSpaceDE w:val="0"/>
        <w:autoSpaceDN w:val="0"/>
        <w:adjustRightInd w:val="0"/>
        <w:spacing w:line="240" w:lineRule="auto"/>
        <w:rPr>
          <w:rFonts w:asciiTheme="majorHAnsi" w:hAnsiTheme="majorHAnsi" w:cs="Arial"/>
          <w:sz w:val="24"/>
          <w:szCs w:val="24"/>
        </w:rPr>
      </w:pPr>
      <w:proofErr w:type="gramStart"/>
      <w:r w:rsidRPr="00C46926">
        <w:rPr>
          <w:rFonts w:asciiTheme="majorHAnsi" w:hAnsiTheme="majorHAnsi" w:cs="Arial"/>
          <w:sz w:val="24"/>
          <w:szCs w:val="24"/>
        </w:rPr>
        <w:t>UNESCO</w:t>
      </w:r>
      <w:r w:rsidR="00037F6B" w:rsidRPr="00F87FBF">
        <w:rPr>
          <w:rFonts w:asciiTheme="majorHAnsi" w:hAnsiTheme="majorHAnsi" w:cs="Arial"/>
          <w:sz w:val="24"/>
          <w:szCs w:val="24"/>
        </w:rPr>
        <w:t xml:space="preserve">, </w:t>
      </w:r>
      <w:r w:rsidRPr="00C46926">
        <w:rPr>
          <w:rFonts w:asciiTheme="majorHAnsi" w:hAnsiTheme="majorHAnsi" w:cs="Arial"/>
          <w:sz w:val="24"/>
          <w:szCs w:val="24"/>
        </w:rPr>
        <w:t>2004.</w:t>
      </w:r>
      <w:proofErr w:type="gramEnd"/>
      <w:r w:rsidRPr="00C46926">
        <w:rPr>
          <w:rFonts w:asciiTheme="majorHAnsi" w:hAnsiTheme="majorHAnsi" w:cs="Arial"/>
          <w:sz w:val="24"/>
          <w:szCs w:val="24"/>
        </w:rPr>
        <w:t xml:space="preserve"> </w:t>
      </w:r>
      <w:r w:rsidRPr="00C46926">
        <w:rPr>
          <w:rFonts w:asciiTheme="majorHAnsi" w:eastAsia="DIN-Light" w:hAnsiTheme="majorHAnsi" w:cs="Arial"/>
          <w:sz w:val="24"/>
          <w:szCs w:val="24"/>
        </w:rPr>
        <w:t>EFA Global Monitoring Summary Report:</w:t>
      </w:r>
      <w:r w:rsidRPr="00C46926">
        <w:rPr>
          <w:rFonts w:asciiTheme="majorHAnsi" w:hAnsiTheme="majorHAnsi" w:cs="Arial"/>
          <w:b/>
          <w:bCs/>
          <w:sz w:val="24"/>
          <w:szCs w:val="24"/>
        </w:rPr>
        <w:t xml:space="preserve"> </w:t>
      </w:r>
      <w:r w:rsidR="00A1330B" w:rsidRPr="00F87FBF">
        <w:rPr>
          <w:rFonts w:asciiTheme="majorHAnsi" w:hAnsiTheme="majorHAnsi" w:cs="Arial"/>
          <w:bCs/>
          <w:sz w:val="24"/>
          <w:szCs w:val="24"/>
        </w:rPr>
        <w:t>Gender and Education for All - The leap to equality</w:t>
      </w:r>
      <w:r w:rsidRPr="00C46926">
        <w:rPr>
          <w:rFonts w:asciiTheme="majorHAnsi" w:eastAsia="DIN-Light" w:hAnsiTheme="majorHAnsi" w:cs="Arial"/>
          <w:sz w:val="24"/>
          <w:szCs w:val="24"/>
        </w:rPr>
        <w:t xml:space="preserve">. </w:t>
      </w:r>
      <w:proofErr w:type="gramStart"/>
      <w:r w:rsidRPr="00C46926">
        <w:rPr>
          <w:rFonts w:asciiTheme="majorHAnsi" w:eastAsia="DIN-Light" w:hAnsiTheme="majorHAnsi" w:cs="Arial"/>
          <w:sz w:val="24"/>
          <w:szCs w:val="24"/>
        </w:rPr>
        <w:t>UNESCO.</w:t>
      </w:r>
      <w:proofErr w:type="gramEnd"/>
      <w:r w:rsidRPr="00C46926">
        <w:rPr>
          <w:rFonts w:asciiTheme="majorHAnsi" w:eastAsia="DIN-Light" w:hAnsiTheme="majorHAnsi" w:cs="Arial"/>
          <w:sz w:val="24"/>
          <w:szCs w:val="24"/>
        </w:rPr>
        <w:t xml:space="preserve"> Oxford University Press</w:t>
      </w:r>
      <w:r w:rsidR="009458F0">
        <w:rPr>
          <w:rFonts w:asciiTheme="majorHAnsi" w:eastAsia="DIN-Light" w:hAnsiTheme="majorHAnsi" w:cs="Arial"/>
          <w:sz w:val="24"/>
          <w:szCs w:val="24"/>
        </w:rPr>
        <w:t>,</w:t>
      </w:r>
      <w:r w:rsidRPr="00C46926">
        <w:rPr>
          <w:rFonts w:asciiTheme="majorHAnsi" w:eastAsia="DIN-Light" w:hAnsiTheme="majorHAnsi" w:cs="Arial"/>
          <w:sz w:val="24"/>
          <w:szCs w:val="24"/>
        </w:rPr>
        <w:t xml:space="preserve"> Oxford.</w:t>
      </w:r>
    </w:p>
    <w:p w:rsidR="00A10211" w:rsidRPr="00F87FBF" w:rsidRDefault="00C46926" w:rsidP="005806B5">
      <w:pPr>
        <w:spacing w:line="240" w:lineRule="auto"/>
        <w:rPr>
          <w:rFonts w:asciiTheme="majorHAnsi" w:eastAsia="DIN-Light" w:hAnsiTheme="majorHAnsi" w:cs="Arial"/>
          <w:sz w:val="24"/>
          <w:szCs w:val="24"/>
        </w:rPr>
      </w:pPr>
      <w:proofErr w:type="gramStart"/>
      <w:r w:rsidRPr="00C46926">
        <w:rPr>
          <w:rFonts w:asciiTheme="majorHAnsi" w:eastAsia="DIN-Light" w:hAnsiTheme="majorHAnsi" w:cs="Arial"/>
          <w:sz w:val="24"/>
          <w:szCs w:val="24"/>
        </w:rPr>
        <w:t>UNESCO</w:t>
      </w:r>
      <w:r w:rsidR="00037F6B" w:rsidRPr="00F87FBF">
        <w:rPr>
          <w:rFonts w:asciiTheme="majorHAnsi" w:eastAsia="DIN-Light" w:hAnsiTheme="majorHAnsi" w:cs="Arial"/>
          <w:sz w:val="24"/>
          <w:szCs w:val="24"/>
        </w:rPr>
        <w:t>,</w:t>
      </w:r>
      <w:r w:rsidRPr="00C46926">
        <w:rPr>
          <w:rFonts w:asciiTheme="majorHAnsi" w:eastAsia="DIN-Light" w:hAnsiTheme="majorHAnsi" w:cs="Arial"/>
          <w:sz w:val="24"/>
          <w:szCs w:val="24"/>
        </w:rPr>
        <w:t xml:space="preserve"> 2010.</w:t>
      </w:r>
      <w:proofErr w:type="gramEnd"/>
      <w:r w:rsidRPr="00C46926">
        <w:rPr>
          <w:rFonts w:asciiTheme="majorHAnsi" w:eastAsia="DIN-Light" w:hAnsiTheme="majorHAnsi" w:cs="Arial"/>
          <w:sz w:val="24"/>
          <w:szCs w:val="24"/>
        </w:rPr>
        <w:t xml:space="preserve"> EFA Global Monitoring Summary Report: Reaching the </w:t>
      </w:r>
      <w:proofErr w:type="spellStart"/>
      <w:r w:rsidRPr="00C46926">
        <w:rPr>
          <w:rFonts w:asciiTheme="majorHAnsi" w:eastAsia="DIN-Light" w:hAnsiTheme="majorHAnsi" w:cs="Arial"/>
          <w:sz w:val="24"/>
          <w:szCs w:val="24"/>
        </w:rPr>
        <w:t>Marginalised</w:t>
      </w:r>
      <w:proofErr w:type="spellEnd"/>
      <w:r w:rsidRPr="00C46926">
        <w:rPr>
          <w:rFonts w:asciiTheme="majorHAnsi" w:eastAsia="DIN-Light" w:hAnsiTheme="majorHAnsi" w:cs="Arial"/>
          <w:sz w:val="24"/>
          <w:szCs w:val="24"/>
        </w:rPr>
        <w:t xml:space="preserve">. </w:t>
      </w:r>
      <w:proofErr w:type="gramStart"/>
      <w:r w:rsidRPr="00C46926">
        <w:rPr>
          <w:rFonts w:asciiTheme="majorHAnsi" w:eastAsia="DIN-Light" w:hAnsiTheme="majorHAnsi" w:cs="Arial"/>
          <w:sz w:val="24"/>
          <w:szCs w:val="24"/>
        </w:rPr>
        <w:t>UNESCO.</w:t>
      </w:r>
      <w:proofErr w:type="gramEnd"/>
      <w:r w:rsidRPr="00C46926">
        <w:rPr>
          <w:rFonts w:asciiTheme="majorHAnsi" w:eastAsia="DIN-Light" w:hAnsiTheme="majorHAnsi" w:cs="Arial"/>
          <w:sz w:val="24"/>
          <w:szCs w:val="24"/>
        </w:rPr>
        <w:t xml:space="preserve"> Oxford University Press</w:t>
      </w:r>
      <w:r w:rsidR="009458F0">
        <w:rPr>
          <w:rFonts w:asciiTheme="majorHAnsi" w:eastAsia="DIN-Light" w:hAnsiTheme="majorHAnsi" w:cs="Arial"/>
          <w:sz w:val="24"/>
          <w:szCs w:val="24"/>
        </w:rPr>
        <w:t>,</w:t>
      </w:r>
      <w:r w:rsidRPr="00C46926">
        <w:rPr>
          <w:rFonts w:asciiTheme="majorHAnsi" w:eastAsia="DIN-Light" w:hAnsiTheme="majorHAnsi" w:cs="Arial"/>
          <w:sz w:val="24"/>
          <w:szCs w:val="24"/>
        </w:rPr>
        <w:t xml:space="preserve"> Oxford.</w:t>
      </w:r>
    </w:p>
    <w:p w:rsidR="00F70CA1" w:rsidRPr="00F87FBF" w:rsidRDefault="00C46926" w:rsidP="005806B5">
      <w:pPr>
        <w:spacing w:line="240" w:lineRule="auto"/>
        <w:rPr>
          <w:rFonts w:asciiTheme="majorHAnsi" w:eastAsia="DIN-Light" w:hAnsiTheme="majorHAnsi" w:cs="Arial"/>
          <w:sz w:val="24"/>
          <w:szCs w:val="24"/>
        </w:rPr>
      </w:pPr>
      <w:proofErr w:type="gramStart"/>
      <w:r w:rsidRPr="00C46926">
        <w:rPr>
          <w:rFonts w:asciiTheme="majorHAnsi" w:eastAsia="DIN-Light" w:hAnsiTheme="majorHAnsi" w:cs="Arial"/>
          <w:sz w:val="24"/>
          <w:szCs w:val="24"/>
        </w:rPr>
        <w:t>UNESCO</w:t>
      </w:r>
      <w:r w:rsidR="00037F6B" w:rsidRPr="00F87FBF">
        <w:rPr>
          <w:rFonts w:asciiTheme="majorHAnsi" w:eastAsia="DIN-Light" w:hAnsiTheme="majorHAnsi" w:cs="Arial"/>
          <w:sz w:val="24"/>
          <w:szCs w:val="24"/>
        </w:rPr>
        <w:t>,</w:t>
      </w:r>
      <w:r w:rsidRPr="00C46926">
        <w:rPr>
          <w:rFonts w:asciiTheme="majorHAnsi" w:eastAsia="DIN-Light" w:hAnsiTheme="majorHAnsi" w:cs="Arial"/>
          <w:sz w:val="24"/>
          <w:szCs w:val="24"/>
        </w:rPr>
        <w:t xml:space="preserve"> 2011.</w:t>
      </w:r>
      <w:proofErr w:type="gramEnd"/>
      <w:r w:rsidRPr="00C46926">
        <w:rPr>
          <w:rFonts w:asciiTheme="majorHAnsi" w:eastAsia="DIN-Light" w:hAnsiTheme="majorHAnsi" w:cs="Arial"/>
          <w:sz w:val="24"/>
          <w:szCs w:val="24"/>
        </w:rPr>
        <w:t xml:space="preserve"> EFA Global Monitoring Report: The Hidden Crisis: Armed Conflict and Education. </w:t>
      </w:r>
      <w:proofErr w:type="gramStart"/>
      <w:r w:rsidRPr="00C46926">
        <w:rPr>
          <w:rFonts w:asciiTheme="majorHAnsi" w:eastAsia="DIN-Light" w:hAnsiTheme="majorHAnsi" w:cs="Arial"/>
          <w:sz w:val="24"/>
          <w:szCs w:val="24"/>
        </w:rPr>
        <w:t>UNESCO.</w:t>
      </w:r>
      <w:proofErr w:type="gramEnd"/>
      <w:r w:rsidRPr="00C46926">
        <w:rPr>
          <w:rFonts w:asciiTheme="majorHAnsi" w:eastAsia="DIN-Light" w:hAnsiTheme="majorHAnsi" w:cs="Arial"/>
          <w:sz w:val="24"/>
          <w:szCs w:val="24"/>
        </w:rPr>
        <w:t xml:space="preserve"> Oxford University Press</w:t>
      </w:r>
      <w:r w:rsidR="009458F0">
        <w:rPr>
          <w:rFonts w:asciiTheme="majorHAnsi" w:eastAsia="DIN-Light" w:hAnsiTheme="majorHAnsi" w:cs="Arial"/>
          <w:sz w:val="24"/>
          <w:szCs w:val="24"/>
        </w:rPr>
        <w:t>,</w:t>
      </w:r>
      <w:r w:rsidRPr="00C46926">
        <w:rPr>
          <w:rFonts w:asciiTheme="majorHAnsi" w:eastAsia="DIN-Light" w:hAnsiTheme="majorHAnsi" w:cs="Arial"/>
          <w:sz w:val="24"/>
          <w:szCs w:val="24"/>
        </w:rPr>
        <w:t xml:space="preserve"> Oxford.</w:t>
      </w:r>
    </w:p>
    <w:p w:rsidR="00F70CA1" w:rsidRPr="00F87FBF" w:rsidRDefault="00C46926" w:rsidP="005806B5">
      <w:pPr>
        <w:spacing w:line="240" w:lineRule="auto"/>
        <w:rPr>
          <w:rFonts w:asciiTheme="majorHAnsi" w:eastAsia="DIN-Light" w:hAnsiTheme="majorHAnsi" w:cs="Arial"/>
          <w:sz w:val="24"/>
          <w:szCs w:val="24"/>
        </w:rPr>
      </w:pPr>
      <w:proofErr w:type="gramStart"/>
      <w:r w:rsidRPr="00C46926">
        <w:rPr>
          <w:rFonts w:asciiTheme="majorHAnsi" w:eastAsia="DIN-Light" w:hAnsiTheme="majorHAnsi" w:cs="Arial"/>
          <w:sz w:val="24"/>
          <w:szCs w:val="24"/>
        </w:rPr>
        <w:t>UNICEF</w:t>
      </w:r>
      <w:r w:rsidR="00037F6B" w:rsidRPr="00F87FBF">
        <w:rPr>
          <w:rFonts w:asciiTheme="majorHAnsi" w:eastAsia="DIN-Light" w:hAnsiTheme="majorHAnsi" w:cs="Arial"/>
          <w:sz w:val="24"/>
          <w:szCs w:val="24"/>
        </w:rPr>
        <w:t>,</w:t>
      </w:r>
      <w:r w:rsidRPr="00C46926">
        <w:rPr>
          <w:rFonts w:asciiTheme="majorHAnsi" w:eastAsia="DIN-Light" w:hAnsiTheme="majorHAnsi" w:cs="Arial"/>
          <w:sz w:val="24"/>
          <w:szCs w:val="24"/>
        </w:rPr>
        <w:t xml:space="preserve"> 2012.</w:t>
      </w:r>
      <w:proofErr w:type="gramEnd"/>
      <w:r w:rsidRPr="00C46926">
        <w:rPr>
          <w:rFonts w:asciiTheme="majorHAnsi" w:eastAsia="DIN-Light" w:hAnsiTheme="majorHAnsi" w:cs="Arial"/>
          <w:sz w:val="24"/>
          <w:szCs w:val="24"/>
        </w:rPr>
        <w:t xml:space="preserve"> State of the World’s Children 2012: Children in an Urban World. </w:t>
      </w:r>
      <w:proofErr w:type="spellStart"/>
      <w:proofErr w:type="gramStart"/>
      <w:r w:rsidRPr="00C46926">
        <w:rPr>
          <w:rFonts w:asciiTheme="majorHAnsi" w:eastAsia="DIN-Light" w:hAnsiTheme="majorHAnsi" w:cs="Arial"/>
          <w:sz w:val="24"/>
          <w:szCs w:val="24"/>
        </w:rPr>
        <w:t>Unicef</w:t>
      </w:r>
      <w:proofErr w:type="spellEnd"/>
      <w:proofErr w:type="gramEnd"/>
      <w:r w:rsidRPr="00C46926">
        <w:rPr>
          <w:rFonts w:asciiTheme="majorHAnsi" w:eastAsia="DIN-Light" w:hAnsiTheme="majorHAnsi" w:cs="Arial"/>
          <w:sz w:val="24"/>
          <w:szCs w:val="24"/>
        </w:rPr>
        <w:t xml:space="preserve">, New York. </w:t>
      </w:r>
    </w:p>
    <w:p w:rsidR="0011235B" w:rsidRPr="00F87FBF" w:rsidRDefault="0011235B" w:rsidP="005806B5">
      <w:pPr>
        <w:spacing w:line="240" w:lineRule="auto"/>
        <w:rPr>
          <w:rFonts w:asciiTheme="majorHAnsi" w:eastAsia="DIN-Light" w:hAnsiTheme="majorHAnsi" w:cs="Arial"/>
          <w:color w:val="000000"/>
          <w:sz w:val="24"/>
          <w:szCs w:val="24"/>
        </w:rPr>
      </w:pPr>
      <w:proofErr w:type="gramStart"/>
      <w:r w:rsidRPr="00F87FBF">
        <w:rPr>
          <w:rFonts w:asciiTheme="majorHAnsi" w:eastAsia="DIN-Light" w:hAnsiTheme="majorHAnsi" w:cs="Arial"/>
          <w:color w:val="000000"/>
          <w:sz w:val="24"/>
          <w:szCs w:val="24"/>
        </w:rPr>
        <w:t>UNICEF, 2007</w:t>
      </w:r>
      <w:r w:rsidR="00671337">
        <w:rPr>
          <w:rFonts w:asciiTheme="majorHAnsi" w:eastAsia="DIN-Light" w:hAnsiTheme="majorHAnsi" w:cs="Arial"/>
          <w:color w:val="000000"/>
          <w:sz w:val="24"/>
          <w:szCs w:val="24"/>
        </w:rPr>
        <w:t>.</w:t>
      </w:r>
      <w:proofErr w:type="gramEnd"/>
      <w:r w:rsidRPr="00F87FBF">
        <w:rPr>
          <w:rFonts w:asciiTheme="majorHAnsi" w:eastAsia="DIN-Light" w:hAnsiTheme="majorHAnsi" w:cs="Arial"/>
          <w:color w:val="000000"/>
          <w:sz w:val="24"/>
          <w:szCs w:val="24"/>
        </w:rPr>
        <w:t xml:space="preserve"> </w:t>
      </w:r>
      <w:proofErr w:type="gramStart"/>
      <w:r w:rsidR="00AD4A46" w:rsidRPr="00F87FBF">
        <w:rPr>
          <w:rFonts w:asciiTheme="majorHAnsi" w:eastAsia="DIN-Light" w:hAnsiTheme="majorHAnsi" w:cs="Arial"/>
          <w:color w:val="000000"/>
          <w:sz w:val="24"/>
          <w:szCs w:val="24"/>
        </w:rPr>
        <w:t>Information Sheet.</w:t>
      </w:r>
      <w:proofErr w:type="gramEnd"/>
      <w:r w:rsidR="00AD4A46" w:rsidRPr="00F87FBF">
        <w:rPr>
          <w:rFonts w:asciiTheme="majorHAnsi" w:eastAsia="DIN-Light" w:hAnsiTheme="majorHAnsi" w:cs="Arial"/>
          <w:color w:val="000000"/>
          <w:sz w:val="24"/>
          <w:szCs w:val="24"/>
        </w:rPr>
        <w:t xml:space="preserve"> </w:t>
      </w:r>
      <w:proofErr w:type="gramStart"/>
      <w:r w:rsidR="00AD4A46" w:rsidRPr="00F87FBF">
        <w:rPr>
          <w:rFonts w:asciiTheme="majorHAnsi" w:eastAsia="DIN-Light" w:hAnsiTheme="majorHAnsi" w:cs="Arial"/>
          <w:color w:val="000000"/>
          <w:sz w:val="24"/>
          <w:szCs w:val="24"/>
        </w:rPr>
        <w:t>Girls’ education</w:t>
      </w:r>
      <w:r w:rsidR="00F87FBF">
        <w:rPr>
          <w:rFonts w:asciiTheme="majorHAnsi" w:eastAsia="DIN-Light" w:hAnsiTheme="majorHAnsi" w:cs="Arial"/>
          <w:color w:val="000000"/>
          <w:sz w:val="24"/>
          <w:szCs w:val="24"/>
        </w:rPr>
        <w:t>.</w:t>
      </w:r>
      <w:proofErr w:type="gramEnd"/>
      <w:r w:rsidR="00AD4A46" w:rsidRPr="00F87FBF">
        <w:rPr>
          <w:rFonts w:asciiTheme="majorHAnsi" w:eastAsia="DIN-Light" w:hAnsiTheme="majorHAnsi" w:cs="Arial"/>
          <w:color w:val="000000"/>
          <w:sz w:val="24"/>
          <w:szCs w:val="24"/>
        </w:rPr>
        <w:t xml:space="preserve"> Abuja: UNICEF (on line at </w:t>
      </w:r>
      <w:hyperlink r:id="rId15" w:history="1">
        <w:r w:rsidR="00AD4A46" w:rsidRPr="00F87FBF">
          <w:rPr>
            <w:rStyle w:val="Hyperlink"/>
            <w:rFonts w:asciiTheme="majorHAnsi" w:hAnsiTheme="majorHAnsi"/>
            <w:sz w:val="24"/>
            <w:szCs w:val="24"/>
          </w:rPr>
          <w:t>http://www.unicef.org/wcaro/WCARO_Nigeria_Factsheets_GirlsEducation.pdf</w:t>
        </w:r>
      </w:hyperlink>
      <w:r w:rsidR="00AD4A46" w:rsidRPr="00F87FBF">
        <w:rPr>
          <w:rFonts w:asciiTheme="majorHAnsi" w:hAnsiTheme="majorHAnsi"/>
          <w:sz w:val="24"/>
          <w:szCs w:val="24"/>
        </w:rPr>
        <w:t xml:space="preserve"> accessed June 2012)</w:t>
      </w:r>
    </w:p>
    <w:p w:rsidR="00204D4A" w:rsidRPr="00F87FBF" w:rsidRDefault="00204D4A" w:rsidP="005806B5">
      <w:pPr>
        <w:spacing w:line="240" w:lineRule="auto"/>
        <w:rPr>
          <w:rFonts w:asciiTheme="majorHAnsi" w:hAnsiTheme="majorHAnsi" w:cs="Arial"/>
          <w:color w:val="000000"/>
          <w:sz w:val="24"/>
          <w:szCs w:val="24"/>
        </w:rPr>
      </w:pPr>
      <w:r w:rsidRPr="00F87FBF">
        <w:rPr>
          <w:rFonts w:asciiTheme="majorHAnsi" w:hAnsiTheme="majorHAnsi" w:cs="Arial"/>
          <w:color w:val="000000"/>
          <w:sz w:val="24"/>
          <w:szCs w:val="24"/>
        </w:rPr>
        <w:t>Unterhalter, E.</w:t>
      </w:r>
      <w:r w:rsidR="00037F6B" w:rsidRPr="00F87FBF">
        <w:rPr>
          <w:rFonts w:asciiTheme="majorHAnsi" w:hAnsiTheme="majorHAnsi" w:cs="Arial"/>
          <w:color w:val="000000"/>
          <w:sz w:val="24"/>
          <w:szCs w:val="24"/>
        </w:rPr>
        <w:t>,</w:t>
      </w:r>
      <w:r w:rsidRPr="00F87FBF">
        <w:rPr>
          <w:rFonts w:asciiTheme="majorHAnsi" w:hAnsiTheme="majorHAnsi" w:cs="Arial"/>
          <w:color w:val="000000"/>
          <w:sz w:val="24"/>
          <w:szCs w:val="24"/>
        </w:rPr>
        <w:t xml:space="preserve"> 2003. The Capabilities Approach and Gendered Education: An Examination of South African Complexities. Theory and Research in Education</w:t>
      </w:r>
      <w:r w:rsidR="00C46926" w:rsidRPr="00C46926">
        <w:rPr>
          <w:rFonts w:asciiTheme="majorHAnsi" w:hAnsiTheme="majorHAnsi" w:cs="Arial"/>
          <w:color w:val="000000"/>
          <w:sz w:val="24"/>
          <w:szCs w:val="24"/>
        </w:rPr>
        <w:t xml:space="preserve"> </w:t>
      </w:r>
      <w:r w:rsidRPr="00F87FBF">
        <w:rPr>
          <w:rFonts w:asciiTheme="majorHAnsi" w:hAnsiTheme="majorHAnsi" w:cs="Arial"/>
          <w:color w:val="000000"/>
          <w:sz w:val="24"/>
          <w:szCs w:val="24"/>
        </w:rPr>
        <w:t>1 (7), 7-22.</w:t>
      </w:r>
    </w:p>
    <w:p w:rsidR="00F70CA1" w:rsidRPr="00F87FBF" w:rsidRDefault="00F70CA1" w:rsidP="005806B5">
      <w:pPr>
        <w:spacing w:line="240" w:lineRule="auto"/>
        <w:rPr>
          <w:rFonts w:asciiTheme="majorHAnsi" w:hAnsiTheme="majorHAnsi" w:cs="Arial"/>
          <w:sz w:val="24"/>
          <w:szCs w:val="24"/>
        </w:rPr>
      </w:pPr>
      <w:r w:rsidRPr="00F87FBF">
        <w:rPr>
          <w:rFonts w:asciiTheme="majorHAnsi" w:hAnsiTheme="majorHAnsi" w:cs="Arial"/>
          <w:bCs/>
          <w:sz w:val="24"/>
          <w:szCs w:val="24"/>
        </w:rPr>
        <w:t xml:space="preserve"> </w:t>
      </w:r>
      <w:r w:rsidRPr="00F87FBF">
        <w:rPr>
          <w:rFonts w:asciiTheme="majorHAnsi" w:hAnsiTheme="majorHAnsi" w:cs="Arial"/>
          <w:sz w:val="24"/>
          <w:szCs w:val="24"/>
        </w:rPr>
        <w:t>Unterhalter, E.</w:t>
      </w:r>
      <w:r w:rsidR="00037F6B" w:rsidRPr="00F87FBF">
        <w:rPr>
          <w:rFonts w:asciiTheme="majorHAnsi" w:hAnsiTheme="majorHAnsi" w:cs="Arial"/>
          <w:sz w:val="24"/>
          <w:szCs w:val="24"/>
        </w:rPr>
        <w:t>,</w:t>
      </w:r>
      <w:r w:rsidRPr="00F87FBF">
        <w:rPr>
          <w:rFonts w:asciiTheme="majorHAnsi" w:hAnsiTheme="majorHAnsi" w:cs="Arial"/>
          <w:sz w:val="24"/>
          <w:szCs w:val="24"/>
        </w:rPr>
        <w:t xml:space="preserve"> 2005</w:t>
      </w:r>
      <w:r w:rsidR="00F87ACF" w:rsidRPr="00F87FBF">
        <w:rPr>
          <w:rFonts w:asciiTheme="majorHAnsi" w:hAnsiTheme="majorHAnsi" w:cs="Arial"/>
          <w:sz w:val="24"/>
          <w:szCs w:val="24"/>
        </w:rPr>
        <w:t>a</w:t>
      </w:r>
      <w:r w:rsidR="00DB5BF4" w:rsidRPr="00F87FBF">
        <w:rPr>
          <w:rFonts w:asciiTheme="majorHAnsi" w:hAnsiTheme="majorHAnsi" w:cs="Arial"/>
          <w:sz w:val="24"/>
          <w:szCs w:val="24"/>
        </w:rPr>
        <w:t>.</w:t>
      </w:r>
      <w:r w:rsidRPr="00F87FBF">
        <w:rPr>
          <w:rFonts w:asciiTheme="majorHAnsi" w:hAnsiTheme="majorHAnsi" w:cs="Arial"/>
          <w:sz w:val="24"/>
          <w:szCs w:val="24"/>
        </w:rPr>
        <w:t xml:space="preserve"> Fragmented frameworks? </w:t>
      </w:r>
      <w:proofErr w:type="gramStart"/>
      <w:r w:rsidRPr="00F87FBF">
        <w:rPr>
          <w:rFonts w:asciiTheme="majorHAnsi" w:hAnsiTheme="majorHAnsi" w:cs="Arial"/>
          <w:sz w:val="24"/>
          <w:szCs w:val="24"/>
        </w:rPr>
        <w:t>Researching women, gender, education and development.</w:t>
      </w:r>
      <w:proofErr w:type="gramEnd"/>
      <w:r w:rsidRPr="00F87FBF">
        <w:rPr>
          <w:rFonts w:asciiTheme="majorHAnsi" w:hAnsiTheme="majorHAnsi" w:cs="Arial"/>
          <w:sz w:val="24"/>
          <w:szCs w:val="24"/>
        </w:rPr>
        <w:t xml:space="preserve">  In Aikman, S</w:t>
      </w:r>
      <w:r w:rsidR="00DB5BF4" w:rsidRPr="00F87FBF">
        <w:rPr>
          <w:rFonts w:asciiTheme="majorHAnsi" w:hAnsiTheme="majorHAnsi" w:cs="Arial"/>
          <w:sz w:val="24"/>
          <w:szCs w:val="24"/>
        </w:rPr>
        <w:t>.,</w:t>
      </w:r>
      <w:r w:rsidRPr="00F87FBF">
        <w:rPr>
          <w:rFonts w:asciiTheme="majorHAnsi" w:hAnsiTheme="majorHAnsi" w:cs="Arial"/>
          <w:sz w:val="24"/>
          <w:szCs w:val="24"/>
        </w:rPr>
        <w:t xml:space="preserve"> Unterhalter, E</w:t>
      </w:r>
      <w:r w:rsidR="00DB5BF4" w:rsidRPr="00F87FBF">
        <w:rPr>
          <w:rFonts w:asciiTheme="majorHAnsi" w:hAnsiTheme="majorHAnsi" w:cs="Arial"/>
          <w:sz w:val="24"/>
          <w:szCs w:val="24"/>
        </w:rPr>
        <w:t>.</w:t>
      </w:r>
      <w:r w:rsidRPr="00F87FBF">
        <w:rPr>
          <w:rFonts w:asciiTheme="majorHAnsi" w:hAnsiTheme="majorHAnsi" w:cs="Arial"/>
          <w:sz w:val="24"/>
          <w:szCs w:val="24"/>
        </w:rPr>
        <w:t xml:space="preserve"> (</w:t>
      </w:r>
      <w:r w:rsidR="00DB5BF4" w:rsidRPr="00F87FBF">
        <w:rPr>
          <w:rFonts w:asciiTheme="majorHAnsi" w:hAnsiTheme="majorHAnsi" w:cs="Arial"/>
          <w:sz w:val="24"/>
          <w:szCs w:val="24"/>
        </w:rPr>
        <w:t>E</w:t>
      </w:r>
      <w:r w:rsidRPr="00F87FBF">
        <w:rPr>
          <w:rFonts w:asciiTheme="majorHAnsi" w:hAnsiTheme="majorHAnsi" w:cs="Arial"/>
          <w:sz w:val="24"/>
          <w:szCs w:val="24"/>
        </w:rPr>
        <w:t>ds</w:t>
      </w:r>
      <w:r w:rsidR="00DB5BF4" w:rsidRPr="00F87FBF">
        <w:rPr>
          <w:rFonts w:asciiTheme="majorHAnsi" w:hAnsiTheme="majorHAnsi" w:cs="Arial"/>
          <w:sz w:val="24"/>
          <w:szCs w:val="24"/>
        </w:rPr>
        <w:t>.</w:t>
      </w:r>
      <w:r w:rsidRPr="00F87FBF">
        <w:rPr>
          <w:rFonts w:asciiTheme="majorHAnsi" w:hAnsiTheme="majorHAnsi" w:cs="Arial"/>
          <w:sz w:val="24"/>
          <w:szCs w:val="24"/>
        </w:rPr>
        <w:t>)</w:t>
      </w:r>
      <w:r w:rsidR="00DB5BF4" w:rsidRPr="00F87FBF">
        <w:rPr>
          <w:rFonts w:asciiTheme="majorHAnsi" w:hAnsiTheme="majorHAnsi" w:cs="Arial"/>
          <w:sz w:val="24"/>
          <w:szCs w:val="24"/>
        </w:rPr>
        <w:t xml:space="preserve"> </w:t>
      </w:r>
      <w:r w:rsidR="00BF1554" w:rsidRPr="00F87FBF">
        <w:rPr>
          <w:rFonts w:asciiTheme="majorHAnsi" w:hAnsiTheme="majorHAnsi" w:cs="Arial"/>
          <w:sz w:val="24"/>
          <w:szCs w:val="24"/>
        </w:rPr>
        <w:t>Beyond Access</w:t>
      </w:r>
      <w:r w:rsidRPr="00F87FBF">
        <w:rPr>
          <w:rFonts w:asciiTheme="majorHAnsi" w:hAnsiTheme="majorHAnsi" w:cs="Arial"/>
          <w:sz w:val="24"/>
          <w:szCs w:val="24"/>
        </w:rPr>
        <w:t xml:space="preserve"> </w:t>
      </w:r>
      <w:r w:rsidR="00DB5BF4" w:rsidRPr="00F87FBF">
        <w:rPr>
          <w:rFonts w:asciiTheme="majorHAnsi" w:hAnsiTheme="majorHAnsi" w:cs="Arial"/>
          <w:sz w:val="24"/>
          <w:szCs w:val="24"/>
        </w:rPr>
        <w:t xml:space="preserve">Oxfam, Oxford, </w:t>
      </w:r>
      <w:r w:rsidRPr="00F87FBF">
        <w:rPr>
          <w:rFonts w:asciiTheme="majorHAnsi" w:hAnsiTheme="majorHAnsi" w:cs="Arial"/>
          <w:sz w:val="24"/>
          <w:szCs w:val="24"/>
        </w:rPr>
        <w:t>pp. 15-35.</w:t>
      </w:r>
    </w:p>
    <w:p w:rsidR="00F87ACF" w:rsidRPr="00F87FBF" w:rsidRDefault="00F87ACF" w:rsidP="005806B5">
      <w:pPr>
        <w:spacing w:line="240" w:lineRule="auto"/>
        <w:rPr>
          <w:rFonts w:asciiTheme="majorHAnsi" w:hAnsiTheme="majorHAnsi" w:cs="Arial"/>
          <w:sz w:val="24"/>
          <w:szCs w:val="24"/>
        </w:rPr>
      </w:pPr>
      <w:r w:rsidRPr="00F87FBF">
        <w:rPr>
          <w:rFonts w:asciiTheme="majorHAnsi" w:hAnsiTheme="majorHAnsi" w:cs="Arial"/>
          <w:sz w:val="24"/>
          <w:szCs w:val="24"/>
        </w:rPr>
        <w:lastRenderedPageBreak/>
        <w:t xml:space="preserve">Unterhalter, E., 2005b, </w:t>
      </w:r>
      <w:r w:rsidRPr="00F87FBF">
        <w:rPr>
          <w:rFonts w:asciiTheme="majorHAnsi" w:hAnsiTheme="majorHAnsi"/>
          <w:sz w:val="24"/>
          <w:szCs w:val="24"/>
        </w:rPr>
        <w:t xml:space="preserve">Global inequality, capabilities, social justice and the Millennium Development Goal  for gender equality in education’ </w:t>
      </w:r>
      <w:r w:rsidR="00C46926" w:rsidRPr="00C46926">
        <w:rPr>
          <w:rFonts w:asciiTheme="majorHAnsi" w:hAnsiTheme="majorHAnsi"/>
          <w:sz w:val="24"/>
          <w:szCs w:val="24"/>
        </w:rPr>
        <w:t>International Journal of Education and Development</w:t>
      </w:r>
      <w:r w:rsidRPr="00F87FBF">
        <w:rPr>
          <w:rFonts w:asciiTheme="majorHAnsi" w:hAnsiTheme="majorHAnsi"/>
          <w:iCs/>
          <w:sz w:val="24"/>
          <w:szCs w:val="24"/>
        </w:rPr>
        <w:t>, Vol. 25, 111-122</w:t>
      </w:r>
    </w:p>
    <w:p w:rsidR="00F70CA1" w:rsidRPr="00F87FBF" w:rsidRDefault="00F70CA1" w:rsidP="005806B5">
      <w:pPr>
        <w:spacing w:line="240" w:lineRule="auto"/>
        <w:rPr>
          <w:rFonts w:asciiTheme="majorHAnsi" w:hAnsiTheme="majorHAnsi" w:cs="Arial"/>
          <w:sz w:val="24"/>
          <w:szCs w:val="24"/>
        </w:rPr>
      </w:pPr>
      <w:r w:rsidRPr="00F87FBF">
        <w:rPr>
          <w:rFonts w:asciiTheme="majorHAnsi" w:hAnsiTheme="majorHAnsi" w:cs="Arial"/>
          <w:sz w:val="24"/>
          <w:szCs w:val="24"/>
        </w:rPr>
        <w:t>Unterhalter, E</w:t>
      </w:r>
      <w:r w:rsidR="00DB5BF4" w:rsidRPr="00F87FBF">
        <w:rPr>
          <w:rFonts w:asciiTheme="majorHAnsi" w:hAnsiTheme="majorHAnsi" w:cs="Arial"/>
          <w:sz w:val="24"/>
          <w:szCs w:val="24"/>
        </w:rPr>
        <w:t>.</w:t>
      </w:r>
      <w:r w:rsidR="00AB57A2" w:rsidRPr="00F87FBF">
        <w:rPr>
          <w:rFonts w:asciiTheme="majorHAnsi" w:hAnsiTheme="majorHAnsi" w:cs="Arial"/>
          <w:sz w:val="24"/>
          <w:szCs w:val="24"/>
        </w:rPr>
        <w:t>,</w:t>
      </w:r>
      <w:r w:rsidRPr="00F87FBF">
        <w:rPr>
          <w:rFonts w:asciiTheme="majorHAnsi" w:hAnsiTheme="majorHAnsi" w:cs="Arial"/>
          <w:sz w:val="24"/>
          <w:szCs w:val="24"/>
        </w:rPr>
        <w:t xml:space="preserve"> 2007</w:t>
      </w:r>
      <w:r w:rsidR="00DB5BF4"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Gender, Schooling, and Global Social Justice.</w:t>
      </w:r>
      <w:proofErr w:type="gramEnd"/>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Routledge</w:t>
      </w:r>
      <w:proofErr w:type="spellEnd"/>
      <w:r w:rsidR="00DB5BF4" w:rsidRPr="00F87FBF">
        <w:rPr>
          <w:rFonts w:asciiTheme="majorHAnsi" w:hAnsiTheme="majorHAnsi" w:cs="Arial"/>
          <w:sz w:val="24"/>
          <w:szCs w:val="24"/>
        </w:rPr>
        <w:t>, London</w:t>
      </w:r>
      <w:r w:rsidRPr="00F87FBF">
        <w:rPr>
          <w:rFonts w:asciiTheme="majorHAnsi" w:hAnsiTheme="majorHAnsi" w:cs="Arial"/>
          <w:sz w:val="24"/>
          <w:szCs w:val="24"/>
        </w:rPr>
        <w:t>.</w:t>
      </w:r>
    </w:p>
    <w:p w:rsidR="00F70CA1" w:rsidRPr="00F87FBF" w:rsidRDefault="00F70CA1" w:rsidP="005806B5">
      <w:pPr>
        <w:spacing w:line="240" w:lineRule="auto"/>
        <w:rPr>
          <w:rFonts w:asciiTheme="majorHAnsi" w:hAnsiTheme="majorHAnsi" w:cs="Arial"/>
          <w:color w:val="000000"/>
          <w:sz w:val="24"/>
          <w:szCs w:val="24"/>
        </w:rPr>
      </w:pPr>
      <w:r w:rsidRPr="00F87FBF">
        <w:rPr>
          <w:rFonts w:asciiTheme="majorHAnsi" w:hAnsiTheme="majorHAnsi" w:cs="Arial"/>
          <w:color w:val="000000"/>
          <w:sz w:val="24"/>
          <w:szCs w:val="24"/>
        </w:rPr>
        <w:t>Unterhalter, E., 2012a</w:t>
      </w:r>
      <w:r w:rsidR="00DB5BF4" w:rsidRPr="00F87FBF">
        <w:rPr>
          <w:rFonts w:asciiTheme="majorHAnsi" w:hAnsiTheme="majorHAnsi" w:cs="Arial"/>
          <w:color w:val="000000"/>
          <w:sz w:val="24"/>
          <w:szCs w:val="24"/>
        </w:rPr>
        <w:t xml:space="preserve">. </w:t>
      </w:r>
      <w:r w:rsidR="006660DB" w:rsidRPr="00F87FBF">
        <w:rPr>
          <w:rFonts w:asciiTheme="majorHAnsi" w:hAnsiTheme="majorHAnsi"/>
          <w:bCs/>
          <w:sz w:val="24"/>
          <w:szCs w:val="24"/>
        </w:rPr>
        <w:t xml:space="preserve">Trade off, comparative evaluation and global obligation: reflections on the poverty, gender and education Millennium Development Goals. </w:t>
      </w:r>
      <w:r w:rsidR="006660DB" w:rsidRPr="00F87FBF">
        <w:rPr>
          <w:rFonts w:asciiTheme="majorHAnsi" w:hAnsiTheme="majorHAnsi"/>
          <w:sz w:val="24"/>
          <w:szCs w:val="24"/>
        </w:rPr>
        <w:t>Journal of Human Development and Capabilities</w:t>
      </w:r>
      <w:r w:rsidR="006660DB" w:rsidRPr="00F87FBF">
        <w:rPr>
          <w:rFonts w:asciiTheme="majorHAnsi" w:hAnsiTheme="majorHAnsi"/>
          <w:bCs/>
          <w:sz w:val="24"/>
          <w:szCs w:val="24"/>
        </w:rPr>
        <w:t xml:space="preserve"> 13 (3), pp. 335-351.</w:t>
      </w:r>
      <w:r w:rsidR="00C46926" w:rsidRPr="00C46926">
        <w:rPr>
          <w:rFonts w:asciiTheme="majorHAnsi" w:hAnsiTheme="majorHAnsi" w:cs="Arial"/>
          <w:color w:val="000000"/>
          <w:sz w:val="24"/>
          <w:szCs w:val="24"/>
        </w:rPr>
        <w:t xml:space="preserve"> </w:t>
      </w:r>
    </w:p>
    <w:p w:rsidR="00F55D1B" w:rsidRDefault="00F55D1B" w:rsidP="005806B5">
      <w:pPr>
        <w:spacing w:line="240" w:lineRule="auto"/>
        <w:rPr>
          <w:rFonts w:asciiTheme="majorHAnsi" w:hAnsiTheme="majorHAnsi" w:cs="Arial"/>
          <w:color w:val="000000"/>
          <w:sz w:val="24"/>
          <w:szCs w:val="24"/>
        </w:rPr>
      </w:pPr>
      <w:r w:rsidRPr="00F87FBF">
        <w:rPr>
          <w:rFonts w:asciiTheme="majorHAnsi" w:hAnsiTheme="majorHAnsi" w:cs="Arial"/>
          <w:color w:val="000000"/>
          <w:sz w:val="24"/>
          <w:szCs w:val="24"/>
        </w:rPr>
        <w:t>Unterhalter</w:t>
      </w:r>
      <w:proofErr w:type="gramStart"/>
      <w:r w:rsidRPr="00F87FBF">
        <w:rPr>
          <w:rFonts w:asciiTheme="majorHAnsi" w:hAnsiTheme="majorHAnsi" w:cs="Arial"/>
          <w:color w:val="000000"/>
          <w:sz w:val="24"/>
          <w:szCs w:val="24"/>
        </w:rPr>
        <w:t xml:space="preserve">, </w:t>
      </w:r>
      <w:r w:rsidR="00B06325" w:rsidRPr="00F87FBF">
        <w:rPr>
          <w:rFonts w:asciiTheme="majorHAnsi" w:hAnsiTheme="majorHAnsi" w:cs="Arial"/>
          <w:color w:val="000000"/>
          <w:sz w:val="24"/>
          <w:szCs w:val="24"/>
        </w:rPr>
        <w:t xml:space="preserve"> E</w:t>
      </w:r>
      <w:proofErr w:type="gramEnd"/>
      <w:r w:rsidR="00B06325" w:rsidRPr="00F87FBF">
        <w:rPr>
          <w:rFonts w:asciiTheme="majorHAnsi" w:hAnsiTheme="majorHAnsi" w:cs="Arial"/>
          <w:color w:val="000000"/>
          <w:sz w:val="24"/>
          <w:szCs w:val="24"/>
        </w:rPr>
        <w:t>.</w:t>
      </w:r>
      <w:r w:rsidR="00AB57A2" w:rsidRPr="00F87FBF">
        <w:rPr>
          <w:rFonts w:asciiTheme="majorHAnsi" w:hAnsiTheme="majorHAnsi" w:cs="Arial"/>
          <w:color w:val="000000"/>
          <w:sz w:val="24"/>
          <w:szCs w:val="24"/>
        </w:rPr>
        <w:t xml:space="preserve">, </w:t>
      </w:r>
      <w:r w:rsidR="008315B6" w:rsidRPr="00F87FBF">
        <w:rPr>
          <w:rFonts w:asciiTheme="majorHAnsi" w:hAnsiTheme="majorHAnsi" w:cs="Arial"/>
          <w:color w:val="000000"/>
          <w:sz w:val="24"/>
          <w:szCs w:val="24"/>
        </w:rPr>
        <w:t>2012b</w:t>
      </w:r>
      <w:r w:rsidR="00F87FBF">
        <w:rPr>
          <w:rFonts w:asciiTheme="majorHAnsi" w:hAnsiTheme="majorHAnsi" w:cs="Arial"/>
          <w:color w:val="000000"/>
          <w:sz w:val="24"/>
          <w:szCs w:val="24"/>
        </w:rPr>
        <w:t xml:space="preserve">. </w:t>
      </w:r>
      <w:r w:rsidR="00B06325" w:rsidRPr="00F87FBF">
        <w:rPr>
          <w:rFonts w:asciiTheme="majorHAnsi" w:hAnsiTheme="majorHAnsi" w:cs="Arial"/>
          <w:color w:val="000000"/>
          <w:sz w:val="24"/>
          <w:szCs w:val="24"/>
        </w:rPr>
        <w:t>A migrating concept: The changing relationships of empowerment and education. Paper presented at BAICE conference, Cambridge, September</w:t>
      </w:r>
    </w:p>
    <w:p w:rsidR="00BB2458" w:rsidRPr="00A96152" w:rsidRDefault="00BB2458" w:rsidP="00BB2458">
      <w:pPr>
        <w:pStyle w:val="EndnoteText"/>
        <w:tabs>
          <w:tab w:val="left" w:pos="0"/>
        </w:tabs>
        <w:suppressAutoHyphens/>
        <w:spacing w:after="352"/>
      </w:pPr>
      <w:r>
        <w:t xml:space="preserve">Unterhalter, E., 2012 c, </w:t>
      </w:r>
      <w:r w:rsidRPr="001B4A7B">
        <w:t xml:space="preserve">‘Inequality, capabilities and poverty in four African countries: Girls’ voice, schooling, and strategies for institutional change’ </w:t>
      </w:r>
      <w:r w:rsidRPr="001B4A7B">
        <w:rPr>
          <w:i/>
        </w:rPr>
        <w:t>Cambridge Journal of Education</w:t>
      </w:r>
      <w:proofErr w:type="gramStart"/>
      <w:r>
        <w:rPr>
          <w:i/>
        </w:rPr>
        <w:t xml:space="preserve">,  </w:t>
      </w:r>
      <w:r w:rsidRPr="00A96152">
        <w:t>42</w:t>
      </w:r>
      <w:proofErr w:type="gramEnd"/>
      <w:r w:rsidRPr="00A96152">
        <w:t>, 3,</w:t>
      </w:r>
      <w:r>
        <w:rPr>
          <w:i/>
        </w:rPr>
        <w:t xml:space="preserve"> </w:t>
      </w:r>
      <w:r>
        <w:t>307-325.</w:t>
      </w:r>
    </w:p>
    <w:p w:rsidR="00F70CA1" w:rsidRPr="00F87FBF" w:rsidRDefault="00F70CA1" w:rsidP="005806B5">
      <w:pPr>
        <w:spacing w:line="240" w:lineRule="auto"/>
        <w:rPr>
          <w:rFonts w:asciiTheme="majorHAnsi" w:hAnsiTheme="majorHAnsi" w:cs="Arial"/>
          <w:color w:val="000000"/>
          <w:sz w:val="24"/>
          <w:szCs w:val="24"/>
        </w:rPr>
      </w:pPr>
      <w:r w:rsidRPr="00F87FBF">
        <w:rPr>
          <w:rFonts w:asciiTheme="majorHAnsi" w:hAnsiTheme="majorHAnsi" w:cs="Arial"/>
          <w:color w:val="000000"/>
          <w:sz w:val="24"/>
          <w:szCs w:val="24"/>
        </w:rPr>
        <w:t>Unterhalter</w:t>
      </w:r>
      <w:r w:rsidR="00DB5BF4" w:rsidRPr="00F87FBF">
        <w:rPr>
          <w:rFonts w:asciiTheme="majorHAnsi" w:hAnsiTheme="majorHAnsi" w:cs="Arial"/>
          <w:color w:val="000000"/>
          <w:sz w:val="24"/>
          <w:szCs w:val="24"/>
        </w:rPr>
        <w:t>, E., Heslop, J.</w:t>
      </w:r>
      <w:r w:rsidRPr="00F87FBF">
        <w:rPr>
          <w:rFonts w:asciiTheme="majorHAnsi" w:hAnsiTheme="majorHAnsi" w:cs="Arial"/>
          <w:color w:val="000000"/>
          <w:sz w:val="24"/>
          <w:szCs w:val="24"/>
        </w:rPr>
        <w:t xml:space="preserve"> 2011</w:t>
      </w:r>
      <w:r w:rsidR="00DB5BF4" w:rsidRPr="00F87FBF">
        <w:rPr>
          <w:rFonts w:asciiTheme="majorHAnsi" w:hAnsiTheme="majorHAnsi" w:cs="Arial"/>
          <w:color w:val="000000"/>
          <w:sz w:val="24"/>
          <w:szCs w:val="24"/>
        </w:rPr>
        <w:t>.</w:t>
      </w:r>
      <w:r w:rsidRPr="00F87FBF">
        <w:rPr>
          <w:rFonts w:asciiTheme="majorHAnsi" w:hAnsiTheme="majorHAnsi" w:cs="Arial"/>
          <w:color w:val="000000"/>
          <w:sz w:val="24"/>
          <w:szCs w:val="24"/>
        </w:rPr>
        <w:t xml:space="preserve"> </w:t>
      </w:r>
      <w:proofErr w:type="gramStart"/>
      <w:r w:rsidR="00BF1554" w:rsidRPr="00F87FBF">
        <w:rPr>
          <w:rFonts w:asciiTheme="majorHAnsi" w:hAnsiTheme="majorHAnsi" w:cs="Arial"/>
          <w:color w:val="000000"/>
          <w:sz w:val="24"/>
          <w:szCs w:val="24"/>
        </w:rPr>
        <w:t>Transforming education for girls in Nigeria and Tanzania.</w:t>
      </w:r>
      <w:proofErr w:type="gramEnd"/>
      <w:r w:rsidR="00BF1554" w:rsidRPr="00F87FBF">
        <w:rPr>
          <w:rFonts w:asciiTheme="majorHAnsi" w:hAnsiTheme="majorHAnsi" w:cs="Arial"/>
          <w:color w:val="000000"/>
          <w:sz w:val="24"/>
          <w:szCs w:val="24"/>
        </w:rPr>
        <w:t xml:space="preserve"> </w:t>
      </w:r>
      <w:proofErr w:type="gramStart"/>
      <w:r w:rsidR="00BF1554" w:rsidRPr="00F87FBF">
        <w:rPr>
          <w:rFonts w:asciiTheme="majorHAnsi" w:hAnsiTheme="majorHAnsi" w:cs="Arial"/>
          <w:color w:val="000000"/>
          <w:sz w:val="24"/>
          <w:szCs w:val="24"/>
        </w:rPr>
        <w:t>A cross-country analysis of baseline research</w:t>
      </w:r>
      <w:r w:rsidRPr="00F87FBF">
        <w:rPr>
          <w:rFonts w:asciiTheme="majorHAnsi" w:hAnsiTheme="majorHAnsi" w:cs="Arial"/>
          <w:color w:val="000000"/>
          <w:sz w:val="24"/>
          <w:szCs w:val="24"/>
        </w:rPr>
        <w:t xml:space="preserve"> Johannesburg</w:t>
      </w:r>
      <w:r w:rsidR="00F91EC6" w:rsidRPr="00F87FBF">
        <w:rPr>
          <w:rFonts w:asciiTheme="majorHAnsi" w:hAnsiTheme="majorHAnsi" w:cs="Arial"/>
          <w:color w:val="000000"/>
          <w:sz w:val="24"/>
          <w:szCs w:val="24"/>
        </w:rPr>
        <w:t>.</w:t>
      </w:r>
      <w:proofErr w:type="gramEnd"/>
      <w:r w:rsidR="00F91EC6" w:rsidRPr="00F87FBF">
        <w:rPr>
          <w:rFonts w:asciiTheme="majorHAnsi" w:hAnsiTheme="majorHAnsi" w:cs="Arial"/>
          <w:color w:val="000000"/>
          <w:sz w:val="24"/>
          <w:szCs w:val="24"/>
        </w:rPr>
        <w:t xml:space="preserve"> </w:t>
      </w:r>
      <w:proofErr w:type="spellStart"/>
      <w:r w:rsidRPr="00F87FBF">
        <w:rPr>
          <w:rFonts w:asciiTheme="majorHAnsi" w:hAnsiTheme="majorHAnsi" w:cs="Arial"/>
          <w:color w:val="000000"/>
          <w:sz w:val="24"/>
          <w:szCs w:val="24"/>
        </w:rPr>
        <w:t>ActionAid</w:t>
      </w:r>
      <w:proofErr w:type="spellEnd"/>
      <w:r w:rsidR="00F91EC6" w:rsidRPr="00F87FBF">
        <w:rPr>
          <w:rFonts w:asciiTheme="majorHAnsi" w:hAnsiTheme="majorHAnsi" w:cs="Arial"/>
          <w:color w:val="000000"/>
          <w:sz w:val="24"/>
          <w:szCs w:val="24"/>
        </w:rPr>
        <w:t>, Johannesburg.</w:t>
      </w:r>
    </w:p>
    <w:p w:rsidR="004E2D33" w:rsidRPr="00F87FBF" w:rsidRDefault="00754DB6" w:rsidP="005806B5">
      <w:pPr>
        <w:spacing w:line="240" w:lineRule="auto"/>
        <w:rPr>
          <w:rFonts w:asciiTheme="majorHAnsi" w:hAnsiTheme="majorHAnsi" w:cs="Arial"/>
          <w:sz w:val="24"/>
          <w:szCs w:val="24"/>
        </w:rPr>
      </w:pPr>
      <w:r w:rsidRPr="00F87FBF">
        <w:rPr>
          <w:rFonts w:asciiTheme="majorHAnsi" w:hAnsiTheme="majorHAnsi" w:cs="Arial"/>
          <w:color w:val="000000"/>
          <w:sz w:val="24"/>
          <w:szCs w:val="24"/>
        </w:rPr>
        <w:t>Unterhalter, E., Heslop, J. 2012,</w:t>
      </w:r>
      <w:r w:rsidR="004E2D33" w:rsidRPr="00F87FBF">
        <w:rPr>
          <w:rFonts w:asciiTheme="majorHAnsi" w:hAnsiTheme="majorHAnsi" w:cs="Arial"/>
          <w:color w:val="000000"/>
          <w:sz w:val="24"/>
          <w:szCs w:val="24"/>
        </w:rPr>
        <w:t xml:space="preserve"> </w:t>
      </w:r>
      <w:r w:rsidR="004E2D33" w:rsidRPr="00F87FBF">
        <w:rPr>
          <w:rFonts w:asciiTheme="majorHAnsi" w:hAnsiTheme="majorHAnsi" w:cs="Arial"/>
          <w:sz w:val="24"/>
          <w:szCs w:val="24"/>
        </w:rPr>
        <w:t xml:space="preserve">Transforming Education for Girls in Tanzania and Nigeria: Cross Country Analysis of </w:t>
      </w:r>
      <w:proofErr w:type="spellStart"/>
      <w:r w:rsidR="004E2D33" w:rsidRPr="00F87FBF">
        <w:rPr>
          <w:rFonts w:asciiTheme="majorHAnsi" w:hAnsiTheme="majorHAnsi" w:cs="Arial"/>
          <w:sz w:val="24"/>
          <w:szCs w:val="24"/>
        </w:rPr>
        <w:t>Endline</w:t>
      </w:r>
      <w:proofErr w:type="spellEnd"/>
      <w:r w:rsidR="004E2D33" w:rsidRPr="00F87FBF">
        <w:rPr>
          <w:rFonts w:asciiTheme="majorHAnsi" w:hAnsiTheme="majorHAnsi" w:cs="Arial"/>
          <w:sz w:val="24"/>
          <w:szCs w:val="24"/>
        </w:rPr>
        <w:t xml:space="preserve"> Research Studies</w:t>
      </w:r>
      <w:r w:rsidR="009458F0">
        <w:rPr>
          <w:rFonts w:asciiTheme="majorHAnsi" w:hAnsiTheme="majorHAnsi" w:cs="Arial"/>
          <w:sz w:val="24"/>
          <w:szCs w:val="24"/>
        </w:rPr>
        <w:t xml:space="preserve">. </w:t>
      </w:r>
      <w:proofErr w:type="spellStart"/>
      <w:r w:rsidR="004E2D33" w:rsidRPr="00F87FBF">
        <w:rPr>
          <w:rFonts w:asciiTheme="majorHAnsi" w:hAnsiTheme="majorHAnsi" w:cs="Arial"/>
          <w:sz w:val="24"/>
          <w:szCs w:val="24"/>
        </w:rPr>
        <w:t>ActionAid</w:t>
      </w:r>
      <w:proofErr w:type="spellEnd"/>
      <w:r w:rsidR="009458F0">
        <w:rPr>
          <w:rFonts w:asciiTheme="majorHAnsi" w:hAnsiTheme="majorHAnsi" w:cs="Arial"/>
          <w:sz w:val="24"/>
          <w:szCs w:val="24"/>
        </w:rPr>
        <w:t>, London.</w:t>
      </w:r>
    </w:p>
    <w:p w:rsidR="00A075B9" w:rsidRPr="00F87FBF" w:rsidRDefault="00A075B9" w:rsidP="005806B5">
      <w:pPr>
        <w:spacing w:line="240" w:lineRule="auto"/>
        <w:rPr>
          <w:rFonts w:asciiTheme="majorHAnsi" w:hAnsiTheme="majorHAnsi" w:cs="Arial"/>
          <w:bCs/>
          <w:sz w:val="24"/>
          <w:szCs w:val="24"/>
        </w:rPr>
      </w:pPr>
      <w:proofErr w:type="spellStart"/>
      <w:r w:rsidRPr="00F87FBF">
        <w:rPr>
          <w:rFonts w:asciiTheme="majorHAnsi" w:hAnsiTheme="majorHAnsi" w:cs="Arial"/>
          <w:sz w:val="24"/>
          <w:szCs w:val="24"/>
        </w:rPr>
        <w:t>Usman</w:t>
      </w:r>
      <w:proofErr w:type="spellEnd"/>
      <w:r w:rsidRPr="00F87FBF">
        <w:rPr>
          <w:rFonts w:asciiTheme="majorHAnsi" w:hAnsiTheme="majorHAnsi" w:cs="Arial"/>
          <w:sz w:val="24"/>
          <w:szCs w:val="24"/>
        </w:rPr>
        <w:t>, L.</w:t>
      </w:r>
      <w:r w:rsidR="00AB57A2" w:rsidRPr="00F87FBF">
        <w:rPr>
          <w:rFonts w:asciiTheme="majorHAnsi" w:hAnsiTheme="majorHAnsi" w:cs="Arial"/>
          <w:sz w:val="24"/>
          <w:szCs w:val="24"/>
        </w:rPr>
        <w:t>,</w:t>
      </w:r>
      <w:r w:rsidRPr="00F87FBF">
        <w:rPr>
          <w:rFonts w:asciiTheme="majorHAnsi" w:hAnsiTheme="majorHAnsi" w:cs="Arial"/>
          <w:sz w:val="24"/>
          <w:szCs w:val="24"/>
        </w:rPr>
        <w:t xml:space="preserve"> 2008. </w:t>
      </w:r>
      <w:proofErr w:type="gramStart"/>
      <w:r w:rsidRPr="00F87FBF">
        <w:rPr>
          <w:rFonts w:asciiTheme="majorHAnsi" w:hAnsiTheme="majorHAnsi" w:cs="Arial"/>
          <w:sz w:val="24"/>
          <w:szCs w:val="24"/>
        </w:rPr>
        <w:t xml:space="preserve">Assessing the universal basic education primary and </w:t>
      </w:r>
      <w:proofErr w:type="spellStart"/>
      <w:r w:rsidRPr="00F87FBF">
        <w:rPr>
          <w:rFonts w:asciiTheme="majorHAnsi" w:hAnsiTheme="majorHAnsi" w:cs="Arial"/>
          <w:sz w:val="24"/>
          <w:szCs w:val="24"/>
        </w:rPr>
        <w:t>Koranic</w:t>
      </w:r>
      <w:proofErr w:type="spellEnd"/>
      <w:r w:rsidRPr="00F87FBF">
        <w:rPr>
          <w:rFonts w:asciiTheme="majorHAnsi" w:hAnsiTheme="majorHAnsi" w:cs="Arial"/>
          <w:sz w:val="24"/>
          <w:szCs w:val="24"/>
        </w:rPr>
        <w:t xml:space="preserve"> schools' synergy for </w:t>
      </w:r>
      <w:proofErr w:type="spellStart"/>
      <w:r w:rsidRPr="00F87FBF">
        <w:rPr>
          <w:rFonts w:asciiTheme="majorHAnsi" w:hAnsiTheme="majorHAnsi" w:cs="Arial"/>
          <w:sz w:val="24"/>
          <w:szCs w:val="24"/>
        </w:rPr>
        <w:t>Almajiri</w:t>
      </w:r>
      <w:proofErr w:type="spellEnd"/>
      <w:r w:rsidRPr="00F87FBF">
        <w:rPr>
          <w:rFonts w:asciiTheme="majorHAnsi" w:hAnsiTheme="majorHAnsi" w:cs="Arial"/>
          <w:sz w:val="24"/>
          <w:szCs w:val="24"/>
        </w:rPr>
        <w:t xml:space="preserve"> street boys in Nigeria.</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International Journal of Educational Management 22 (1), pp.62</w:t>
      </w:r>
      <w:r w:rsidR="009458F0">
        <w:rPr>
          <w:rFonts w:asciiTheme="majorHAnsi" w:hAnsiTheme="majorHAnsi" w:cs="Arial"/>
          <w:sz w:val="24"/>
          <w:szCs w:val="24"/>
        </w:rPr>
        <w:t>–</w:t>
      </w:r>
      <w:r w:rsidRPr="00F87FBF">
        <w:rPr>
          <w:rFonts w:asciiTheme="majorHAnsi" w:hAnsiTheme="majorHAnsi" w:cs="Arial"/>
          <w:sz w:val="24"/>
          <w:szCs w:val="24"/>
        </w:rPr>
        <w:t>73</w:t>
      </w:r>
      <w:r w:rsidR="009458F0">
        <w:rPr>
          <w:rFonts w:asciiTheme="majorHAnsi" w:hAnsiTheme="majorHAnsi" w:cs="Arial"/>
          <w:sz w:val="24"/>
          <w:szCs w:val="24"/>
        </w:rPr>
        <w:t>.</w:t>
      </w:r>
      <w:proofErr w:type="gramEnd"/>
    </w:p>
    <w:p w:rsidR="00A075B9" w:rsidRPr="00F87FBF" w:rsidRDefault="00A075B9" w:rsidP="005806B5">
      <w:pPr>
        <w:spacing w:line="240" w:lineRule="auto"/>
        <w:rPr>
          <w:rFonts w:asciiTheme="majorHAnsi" w:hAnsiTheme="majorHAnsi" w:cs="Arial"/>
          <w:sz w:val="24"/>
          <w:szCs w:val="24"/>
        </w:rPr>
      </w:pPr>
      <w:proofErr w:type="spellStart"/>
      <w:r w:rsidRPr="00F87FBF">
        <w:rPr>
          <w:rFonts w:asciiTheme="majorHAnsi" w:hAnsiTheme="majorHAnsi" w:cs="Arial"/>
          <w:sz w:val="24"/>
          <w:szCs w:val="24"/>
        </w:rPr>
        <w:t>Usman</w:t>
      </w:r>
      <w:proofErr w:type="spellEnd"/>
      <w:r w:rsidRPr="00F87FBF">
        <w:rPr>
          <w:rFonts w:asciiTheme="majorHAnsi" w:hAnsiTheme="majorHAnsi" w:cs="Arial"/>
          <w:sz w:val="24"/>
          <w:szCs w:val="24"/>
        </w:rPr>
        <w:t>, L.</w:t>
      </w:r>
      <w:r w:rsidR="00AB57A2" w:rsidRPr="00F87FBF">
        <w:rPr>
          <w:rFonts w:asciiTheme="majorHAnsi" w:hAnsiTheme="majorHAnsi" w:cs="Arial"/>
          <w:sz w:val="24"/>
          <w:szCs w:val="24"/>
        </w:rPr>
        <w:t>,</w:t>
      </w:r>
      <w:r w:rsidRPr="00F87FBF">
        <w:rPr>
          <w:rFonts w:asciiTheme="majorHAnsi" w:hAnsiTheme="majorHAnsi" w:cs="Arial"/>
          <w:sz w:val="24"/>
          <w:szCs w:val="24"/>
        </w:rPr>
        <w:t xml:space="preserve"> 2006. Rural nomadic </w:t>
      </w:r>
      <w:proofErr w:type="spellStart"/>
      <w:r w:rsidRPr="00F87FBF">
        <w:rPr>
          <w:rFonts w:asciiTheme="majorHAnsi" w:hAnsiTheme="majorHAnsi" w:cs="Arial"/>
          <w:sz w:val="24"/>
          <w:szCs w:val="24"/>
        </w:rPr>
        <w:t>Fulbe</w:t>
      </w:r>
      <w:proofErr w:type="spellEnd"/>
      <w:r w:rsidRPr="00F87FBF">
        <w:rPr>
          <w:rFonts w:asciiTheme="majorHAnsi" w:hAnsiTheme="majorHAnsi" w:cs="Arial"/>
          <w:sz w:val="24"/>
          <w:szCs w:val="24"/>
        </w:rPr>
        <w:t xml:space="preserve"> boys' primary schooling: Assessing the repertoires of practice. McGill Journal of Education 41 (2), pp. 155-174.</w:t>
      </w:r>
    </w:p>
    <w:p w:rsidR="005E3F45" w:rsidRPr="00F87FBF" w:rsidRDefault="005E3F45" w:rsidP="005806B5">
      <w:pPr>
        <w:widowControl w:val="0"/>
        <w:spacing w:line="240" w:lineRule="auto"/>
        <w:rPr>
          <w:rFonts w:asciiTheme="majorHAnsi" w:hAnsiTheme="majorHAnsi" w:cs="Arial"/>
          <w:bCs/>
          <w:sz w:val="24"/>
          <w:szCs w:val="24"/>
        </w:rPr>
      </w:pPr>
      <w:proofErr w:type="spellStart"/>
      <w:proofErr w:type="gramStart"/>
      <w:r w:rsidRPr="00F87FBF">
        <w:rPr>
          <w:rFonts w:asciiTheme="majorHAnsi" w:hAnsiTheme="majorHAnsi" w:cs="Arial"/>
          <w:bCs/>
          <w:sz w:val="24"/>
          <w:szCs w:val="24"/>
        </w:rPr>
        <w:t>Vavrus</w:t>
      </w:r>
      <w:proofErr w:type="spellEnd"/>
      <w:r w:rsidRPr="00F87FBF">
        <w:rPr>
          <w:rFonts w:asciiTheme="majorHAnsi" w:hAnsiTheme="majorHAnsi" w:cs="Arial"/>
          <w:bCs/>
          <w:sz w:val="24"/>
          <w:szCs w:val="24"/>
        </w:rPr>
        <w:t>, F.</w:t>
      </w:r>
      <w:r w:rsidR="00AB57A2" w:rsidRPr="00F87FBF">
        <w:rPr>
          <w:rFonts w:asciiTheme="majorHAnsi" w:hAnsiTheme="majorHAnsi" w:cs="Arial"/>
          <w:bCs/>
          <w:sz w:val="24"/>
          <w:szCs w:val="24"/>
        </w:rPr>
        <w:t>,</w:t>
      </w:r>
      <w:r w:rsidRPr="00F87FBF">
        <w:rPr>
          <w:rFonts w:asciiTheme="majorHAnsi" w:hAnsiTheme="majorHAnsi" w:cs="Arial"/>
          <w:bCs/>
          <w:sz w:val="24"/>
          <w:szCs w:val="24"/>
        </w:rPr>
        <w:t xml:space="preserve"> 2005.</w:t>
      </w:r>
      <w:proofErr w:type="gramEnd"/>
      <w:r w:rsidRPr="00F87FBF">
        <w:rPr>
          <w:rFonts w:asciiTheme="majorHAnsi" w:hAnsiTheme="majorHAnsi" w:cs="Arial"/>
          <w:bCs/>
          <w:sz w:val="24"/>
          <w:szCs w:val="24"/>
        </w:rPr>
        <w:t xml:space="preserve"> </w:t>
      </w:r>
      <w:proofErr w:type="gramStart"/>
      <w:r w:rsidRPr="00F87FBF">
        <w:rPr>
          <w:rFonts w:asciiTheme="majorHAnsi" w:hAnsiTheme="majorHAnsi" w:cs="Arial"/>
          <w:bCs/>
          <w:sz w:val="24"/>
          <w:szCs w:val="24"/>
        </w:rPr>
        <w:t>Adjusting Inequality: Education and Structural Adjustment Policies in Tanzania.</w:t>
      </w:r>
      <w:proofErr w:type="gramEnd"/>
      <w:r w:rsidRPr="00F87FBF">
        <w:rPr>
          <w:rFonts w:asciiTheme="majorHAnsi" w:hAnsiTheme="majorHAnsi" w:cs="Arial"/>
          <w:bCs/>
          <w:sz w:val="24"/>
          <w:szCs w:val="24"/>
        </w:rPr>
        <w:t xml:space="preserve"> Harvard Educational Review </w:t>
      </w:r>
      <w:r w:rsidRPr="00F87FBF">
        <w:rPr>
          <w:rFonts w:asciiTheme="majorHAnsi" w:hAnsiTheme="majorHAnsi" w:cs="Arial"/>
          <w:bCs/>
          <w:iCs/>
          <w:sz w:val="24"/>
          <w:szCs w:val="24"/>
        </w:rPr>
        <w:t>75 (2</w:t>
      </w:r>
      <w:r w:rsidRPr="00F87FBF">
        <w:rPr>
          <w:rFonts w:asciiTheme="majorHAnsi" w:hAnsiTheme="majorHAnsi" w:cs="Arial"/>
          <w:bCs/>
          <w:sz w:val="24"/>
          <w:szCs w:val="24"/>
        </w:rPr>
        <w:t>), pp. 174-201.</w:t>
      </w:r>
    </w:p>
    <w:p w:rsidR="00203255" w:rsidRPr="00F87FBF" w:rsidRDefault="00203255" w:rsidP="005806B5">
      <w:pPr>
        <w:widowControl w:val="0"/>
        <w:spacing w:line="240" w:lineRule="auto"/>
        <w:rPr>
          <w:rFonts w:asciiTheme="majorHAnsi" w:hAnsiTheme="majorHAnsi" w:cs="Arial"/>
          <w:bCs/>
          <w:sz w:val="24"/>
          <w:szCs w:val="24"/>
        </w:rPr>
      </w:pPr>
      <w:proofErr w:type="spellStart"/>
      <w:proofErr w:type="gramStart"/>
      <w:r w:rsidRPr="00F87FBF">
        <w:rPr>
          <w:rFonts w:asciiTheme="majorHAnsi" w:hAnsiTheme="majorHAnsi" w:cs="Arial"/>
          <w:bCs/>
          <w:sz w:val="24"/>
          <w:szCs w:val="24"/>
        </w:rPr>
        <w:t>Vavrus</w:t>
      </w:r>
      <w:proofErr w:type="spellEnd"/>
      <w:r w:rsidRPr="00F87FBF">
        <w:rPr>
          <w:rFonts w:asciiTheme="majorHAnsi" w:hAnsiTheme="majorHAnsi" w:cs="Arial"/>
          <w:bCs/>
          <w:sz w:val="24"/>
          <w:szCs w:val="24"/>
        </w:rPr>
        <w:t>, F.</w:t>
      </w:r>
      <w:r w:rsidR="00AB57A2" w:rsidRPr="00F87FBF">
        <w:rPr>
          <w:rFonts w:asciiTheme="majorHAnsi" w:hAnsiTheme="majorHAnsi" w:cs="Arial"/>
          <w:bCs/>
          <w:sz w:val="24"/>
          <w:szCs w:val="24"/>
        </w:rPr>
        <w:t>,</w:t>
      </w:r>
      <w:r w:rsidRPr="00F87FBF">
        <w:rPr>
          <w:rFonts w:asciiTheme="majorHAnsi" w:hAnsiTheme="majorHAnsi" w:cs="Arial"/>
          <w:bCs/>
          <w:sz w:val="24"/>
          <w:szCs w:val="24"/>
        </w:rPr>
        <w:t xml:space="preserve"> 2003.</w:t>
      </w:r>
      <w:proofErr w:type="gramEnd"/>
      <w:r w:rsidRPr="00F87FBF">
        <w:rPr>
          <w:rFonts w:asciiTheme="majorHAnsi" w:hAnsiTheme="majorHAnsi" w:cs="Arial"/>
          <w:bCs/>
          <w:sz w:val="24"/>
          <w:szCs w:val="24"/>
        </w:rPr>
        <w:t xml:space="preserve"> The Acquired Income Deficiency Syndrome: school fees and sexual risk in Northern Tanzania 1. Compare, 33</w:t>
      </w:r>
      <w:r w:rsidR="005E3F45" w:rsidRPr="00F87FBF">
        <w:rPr>
          <w:rFonts w:asciiTheme="majorHAnsi" w:hAnsiTheme="majorHAnsi" w:cs="Arial"/>
          <w:bCs/>
          <w:sz w:val="24"/>
          <w:szCs w:val="24"/>
        </w:rPr>
        <w:t>, pp.</w:t>
      </w:r>
      <w:r w:rsidRPr="00F87FBF">
        <w:rPr>
          <w:rFonts w:asciiTheme="majorHAnsi" w:hAnsiTheme="majorHAnsi" w:cs="Arial"/>
          <w:bCs/>
          <w:sz w:val="24"/>
          <w:szCs w:val="24"/>
        </w:rPr>
        <w:t xml:space="preserve"> 235-250.</w:t>
      </w:r>
    </w:p>
    <w:p w:rsidR="005E3F45" w:rsidRPr="00F87FBF" w:rsidRDefault="005E3F45" w:rsidP="005806B5">
      <w:pPr>
        <w:widowControl w:val="0"/>
        <w:autoSpaceDE w:val="0"/>
        <w:autoSpaceDN w:val="0"/>
        <w:adjustRightInd w:val="0"/>
        <w:spacing w:line="240" w:lineRule="auto"/>
        <w:rPr>
          <w:rFonts w:asciiTheme="majorHAnsi" w:hAnsiTheme="majorHAnsi" w:cs="Arial"/>
          <w:sz w:val="24"/>
          <w:szCs w:val="24"/>
        </w:rPr>
      </w:pPr>
      <w:r w:rsidRPr="00F87FBF">
        <w:rPr>
          <w:rFonts w:asciiTheme="majorHAnsi" w:hAnsiTheme="majorHAnsi" w:cs="Arial"/>
          <w:sz w:val="24"/>
          <w:szCs w:val="24"/>
        </w:rPr>
        <w:t>Wedgewood, R.</w:t>
      </w:r>
      <w:r w:rsidR="00AB57A2" w:rsidRPr="00F87FBF">
        <w:rPr>
          <w:rFonts w:asciiTheme="majorHAnsi" w:hAnsiTheme="majorHAnsi" w:cs="Arial"/>
          <w:sz w:val="24"/>
          <w:szCs w:val="24"/>
        </w:rPr>
        <w:t>,</w:t>
      </w:r>
      <w:r w:rsidRPr="00F87FBF">
        <w:rPr>
          <w:rFonts w:asciiTheme="majorHAnsi" w:hAnsiTheme="majorHAnsi" w:cs="Arial"/>
          <w:sz w:val="24"/>
          <w:szCs w:val="24"/>
        </w:rPr>
        <w:t xml:space="preserve"> 2007. </w:t>
      </w:r>
      <w:proofErr w:type="gramStart"/>
      <w:r w:rsidRPr="00F87FBF">
        <w:rPr>
          <w:rFonts w:asciiTheme="majorHAnsi" w:hAnsiTheme="majorHAnsi" w:cs="Arial"/>
          <w:sz w:val="24"/>
          <w:szCs w:val="24"/>
        </w:rPr>
        <w:t>Post-Basic Education and Poverty in Tanzania.</w:t>
      </w:r>
      <w:proofErr w:type="gramEnd"/>
      <w:r w:rsidRPr="00F87FBF">
        <w:rPr>
          <w:rFonts w:asciiTheme="majorHAnsi" w:hAnsiTheme="majorHAnsi" w:cs="Arial"/>
          <w:sz w:val="24"/>
          <w:szCs w:val="24"/>
        </w:rPr>
        <w:t xml:space="preserve"> </w:t>
      </w:r>
      <w:proofErr w:type="gramStart"/>
      <w:r w:rsidR="00C46926" w:rsidRPr="00C46926">
        <w:rPr>
          <w:rFonts w:asciiTheme="majorHAnsi" w:hAnsiTheme="majorHAnsi" w:cs="Arial"/>
          <w:iCs/>
          <w:sz w:val="24"/>
          <w:szCs w:val="24"/>
        </w:rPr>
        <w:t>Post-Basic Education and Training Working Paper Series, No. 1.</w:t>
      </w:r>
      <w:proofErr w:type="gramEnd"/>
      <w:r w:rsidRPr="00F87FBF">
        <w:rPr>
          <w:rFonts w:asciiTheme="majorHAnsi" w:hAnsiTheme="majorHAnsi" w:cs="Arial"/>
          <w:sz w:val="24"/>
          <w:szCs w:val="24"/>
        </w:rPr>
        <w:t xml:space="preserve"> </w:t>
      </w:r>
      <w:proofErr w:type="gramStart"/>
      <w:r w:rsidRPr="00F87FBF">
        <w:rPr>
          <w:rFonts w:asciiTheme="majorHAnsi" w:hAnsiTheme="majorHAnsi" w:cs="Arial"/>
          <w:sz w:val="24"/>
          <w:szCs w:val="24"/>
        </w:rPr>
        <w:t>Centre of African Studies, Edinburgh.</w:t>
      </w:r>
      <w:proofErr w:type="gramEnd"/>
      <w:r w:rsidRPr="00F87FBF">
        <w:rPr>
          <w:rFonts w:asciiTheme="majorHAnsi" w:hAnsiTheme="majorHAnsi" w:cs="Arial"/>
          <w:sz w:val="24"/>
          <w:szCs w:val="24"/>
        </w:rPr>
        <w:t xml:space="preserve"> </w:t>
      </w:r>
    </w:p>
    <w:p w:rsidR="00F70CA1" w:rsidRPr="00F87FBF" w:rsidRDefault="00F70CA1" w:rsidP="005806B5">
      <w:pPr>
        <w:spacing w:line="240" w:lineRule="auto"/>
        <w:rPr>
          <w:rFonts w:asciiTheme="majorHAnsi" w:hAnsiTheme="majorHAnsi" w:cs="Arial"/>
          <w:sz w:val="24"/>
          <w:szCs w:val="24"/>
        </w:rPr>
      </w:pPr>
      <w:proofErr w:type="gramStart"/>
      <w:r w:rsidRPr="00F87FBF">
        <w:rPr>
          <w:rFonts w:asciiTheme="majorHAnsi" w:hAnsiTheme="majorHAnsi" w:cs="Arial"/>
          <w:sz w:val="24"/>
          <w:szCs w:val="24"/>
        </w:rPr>
        <w:t>World Bank</w:t>
      </w:r>
      <w:r w:rsidR="00AB57A2" w:rsidRPr="00F87FBF">
        <w:rPr>
          <w:rFonts w:asciiTheme="majorHAnsi" w:hAnsiTheme="majorHAnsi" w:cs="Arial"/>
          <w:sz w:val="24"/>
          <w:szCs w:val="24"/>
        </w:rPr>
        <w:t xml:space="preserve">, </w:t>
      </w:r>
      <w:r w:rsidRPr="00F87FBF">
        <w:rPr>
          <w:rFonts w:asciiTheme="majorHAnsi" w:hAnsiTheme="majorHAnsi" w:cs="Arial"/>
          <w:sz w:val="24"/>
          <w:szCs w:val="24"/>
        </w:rPr>
        <w:t>2011</w:t>
      </w:r>
      <w:r w:rsidR="00F91EC6" w:rsidRPr="00F87FBF">
        <w:rPr>
          <w:rFonts w:asciiTheme="majorHAnsi" w:hAnsiTheme="majorHAnsi" w:cs="Arial"/>
          <w:sz w:val="24"/>
          <w:szCs w:val="24"/>
        </w:rPr>
        <w:t>.</w:t>
      </w:r>
      <w:proofErr w:type="gramEnd"/>
      <w:r w:rsidR="00F91EC6" w:rsidRPr="00F87FBF">
        <w:rPr>
          <w:rFonts w:asciiTheme="majorHAnsi" w:hAnsiTheme="majorHAnsi" w:cs="Arial"/>
          <w:sz w:val="24"/>
          <w:szCs w:val="24"/>
        </w:rPr>
        <w:t xml:space="preserve"> </w:t>
      </w:r>
      <w:proofErr w:type="gramStart"/>
      <w:r w:rsidR="00BF1554" w:rsidRPr="00F87FBF">
        <w:rPr>
          <w:rFonts w:asciiTheme="majorHAnsi" w:hAnsiTheme="majorHAnsi" w:cs="Arial"/>
          <w:sz w:val="24"/>
          <w:szCs w:val="24"/>
        </w:rPr>
        <w:t>Education Strategy</w:t>
      </w:r>
      <w:r w:rsidR="00F91EC6" w:rsidRPr="00F87FBF">
        <w:rPr>
          <w:rFonts w:asciiTheme="majorHAnsi" w:hAnsiTheme="majorHAnsi" w:cs="Arial"/>
          <w:sz w:val="24"/>
          <w:szCs w:val="24"/>
        </w:rPr>
        <w:t>.</w:t>
      </w:r>
      <w:proofErr w:type="gramEnd"/>
      <w:r w:rsidRPr="00F87FBF">
        <w:rPr>
          <w:rFonts w:asciiTheme="majorHAnsi" w:hAnsiTheme="majorHAnsi" w:cs="Arial"/>
          <w:sz w:val="24"/>
          <w:szCs w:val="24"/>
        </w:rPr>
        <w:t xml:space="preserve"> World Bank</w:t>
      </w:r>
      <w:r w:rsidR="00F91EC6" w:rsidRPr="00F87FBF">
        <w:rPr>
          <w:rFonts w:asciiTheme="majorHAnsi" w:hAnsiTheme="majorHAnsi" w:cs="Arial"/>
          <w:sz w:val="24"/>
          <w:szCs w:val="24"/>
        </w:rPr>
        <w:t>, Washington.</w:t>
      </w:r>
    </w:p>
    <w:p w:rsidR="00033CFF" w:rsidRPr="00F87FBF" w:rsidRDefault="00033CFF" w:rsidP="005806B5">
      <w:pPr>
        <w:spacing w:line="240" w:lineRule="auto"/>
        <w:rPr>
          <w:rFonts w:asciiTheme="majorHAnsi" w:hAnsiTheme="majorHAnsi" w:cs="Arial"/>
          <w:sz w:val="24"/>
          <w:szCs w:val="24"/>
        </w:rPr>
      </w:pPr>
      <w:r w:rsidRPr="00F87FBF">
        <w:rPr>
          <w:rFonts w:asciiTheme="majorHAnsi" w:hAnsiTheme="majorHAnsi" w:cs="Arial"/>
          <w:sz w:val="24"/>
          <w:szCs w:val="24"/>
        </w:rPr>
        <w:t xml:space="preserve">Youdell, D., 2006, </w:t>
      </w:r>
      <w:proofErr w:type="gramStart"/>
      <w:r w:rsidR="00C46926" w:rsidRPr="00C46926">
        <w:rPr>
          <w:rFonts w:asciiTheme="majorHAnsi" w:hAnsiTheme="majorHAnsi" w:cs="Arial"/>
          <w:sz w:val="24"/>
          <w:szCs w:val="24"/>
        </w:rPr>
        <w:t>Impossible</w:t>
      </w:r>
      <w:proofErr w:type="gramEnd"/>
      <w:r w:rsidR="00C46926" w:rsidRPr="00C46926">
        <w:rPr>
          <w:rFonts w:asciiTheme="majorHAnsi" w:hAnsiTheme="majorHAnsi" w:cs="Arial"/>
          <w:sz w:val="24"/>
          <w:szCs w:val="24"/>
        </w:rPr>
        <w:t xml:space="preserve"> bodies, impossible selves: Exclusions and student subjectivities </w:t>
      </w:r>
      <w:r w:rsidRPr="00F87FBF">
        <w:rPr>
          <w:rFonts w:asciiTheme="majorHAnsi" w:hAnsiTheme="majorHAnsi" w:cs="Arial"/>
          <w:sz w:val="24"/>
          <w:szCs w:val="24"/>
        </w:rPr>
        <w:t>Dordrecht: Springer</w:t>
      </w:r>
    </w:p>
    <w:p w:rsidR="00754DB6" w:rsidRPr="00F87FBF" w:rsidRDefault="00754DB6" w:rsidP="005806B5">
      <w:pPr>
        <w:spacing w:line="240" w:lineRule="auto"/>
        <w:rPr>
          <w:rFonts w:asciiTheme="majorHAnsi" w:hAnsiTheme="majorHAnsi" w:cs="Arial"/>
          <w:sz w:val="24"/>
          <w:szCs w:val="24"/>
        </w:rPr>
      </w:pPr>
      <w:r w:rsidRPr="00F87FBF">
        <w:rPr>
          <w:rFonts w:asciiTheme="majorHAnsi" w:hAnsiTheme="majorHAnsi" w:cs="Arial"/>
          <w:sz w:val="24"/>
          <w:szCs w:val="24"/>
        </w:rPr>
        <w:t xml:space="preserve">Wetheridge, L., </w:t>
      </w:r>
      <w:r w:rsidR="00C46926" w:rsidRPr="00C46926">
        <w:rPr>
          <w:rFonts w:asciiTheme="majorHAnsi" w:hAnsiTheme="majorHAnsi" w:cs="Arial"/>
          <w:sz w:val="24"/>
          <w:szCs w:val="24"/>
        </w:rPr>
        <w:t xml:space="preserve">Kapaya, O. </w:t>
      </w:r>
      <w:r w:rsidRPr="00F87FBF">
        <w:rPr>
          <w:rFonts w:asciiTheme="majorHAnsi" w:hAnsiTheme="majorHAnsi" w:cs="Arial"/>
          <w:sz w:val="24"/>
          <w:szCs w:val="24"/>
        </w:rPr>
        <w:t xml:space="preserve">2012, </w:t>
      </w:r>
      <w:proofErr w:type="gramStart"/>
      <w:r w:rsidR="00C46926" w:rsidRPr="00C46926">
        <w:rPr>
          <w:rFonts w:asciiTheme="majorHAnsi" w:hAnsiTheme="majorHAnsi" w:cs="Arial"/>
          <w:sz w:val="24"/>
          <w:szCs w:val="24"/>
        </w:rPr>
        <w:t>Transforming</w:t>
      </w:r>
      <w:proofErr w:type="gramEnd"/>
      <w:r w:rsidR="00C46926" w:rsidRPr="00C46926">
        <w:rPr>
          <w:rFonts w:asciiTheme="majorHAnsi" w:hAnsiTheme="majorHAnsi" w:cs="Arial"/>
          <w:sz w:val="24"/>
          <w:szCs w:val="24"/>
        </w:rPr>
        <w:t xml:space="preserve"> education for girls in Tanzania. </w:t>
      </w:r>
      <w:proofErr w:type="spellStart"/>
      <w:proofErr w:type="gramStart"/>
      <w:r w:rsidR="00C46926" w:rsidRPr="00C46926">
        <w:rPr>
          <w:rFonts w:asciiTheme="majorHAnsi" w:hAnsiTheme="majorHAnsi" w:cs="Arial"/>
          <w:sz w:val="24"/>
          <w:szCs w:val="24"/>
        </w:rPr>
        <w:t>Endline</w:t>
      </w:r>
      <w:proofErr w:type="spellEnd"/>
      <w:r w:rsidR="00C46926" w:rsidRPr="00C46926">
        <w:rPr>
          <w:rFonts w:asciiTheme="majorHAnsi" w:hAnsiTheme="majorHAnsi" w:cs="Arial"/>
          <w:sz w:val="24"/>
          <w:szCs w:val="24"/>
        </w:rPr>
        <w:t xml:space="preserve"> research summary report</w:t>
      </w:r>
      <w:r w:rsidR="009458F0">
        <w:rPr>
          <w:rFonts w:asciiTheme="majorHAnsi" w:hAnsiTheme="majorHAnsi" w:cs="Arial"/>
          <w:sz w:val="24"/>
          <w:szCs w:val="24"/>
        </w:rPr>
        <w:t>.</w:t>
      </w:r>
      <w:proofErr w:type="gramEnd"/>
      <w:r w:rsidRPr="00F87FBF">
        <w:rPr>
          <w:rFonts w:asciiTheme="majorHAnsi" w:hAnsiTheme="majorHAnsi" w:cs="Arial"/>
          <w:sz w:val="24"/>
          <w:szCs w:val="24"/>
        </w:rPr>
        <w:t xml:space="preserve"> </w:t>
      </w:r>
      <w:proofErr w:type="spellStart"/>
      <w:r w:rsidRPr="00F87FBF">
        <w:rPr>
          <w:rFonts w:asciiTheme="majorHAnsi" w:hAnsiTheme="majorHAnsi" w:cs="Arial"/>
          <w:sz w:val="24"/>
          <w:szCs w:val="24"/>
        </w:rPr>
        <w:t>ActionAid</w:t>
      </w:r>
      <w:proofErr w:type="spellEnd"/>
      <w:r w:rsidR="009458F0">
        <w:rPr>
          <w:rFonts w:asciiTheme="majorHAnsi" w:hAnsiTheme="majorHAnsi" w:cs="Arial"/>
          <w:sz w:val="24"/>
          <w:szCs w:val="24"/>
        </w:rPr>
        <w:t xml:space="preserve">, </w:t>
      </w:r>
      <w:r w:rsidR="009458F0" w:rsidRPr="00F87FBF">
        <w:rPr>
          <w:rFonts w:asciiTheme="majorHAnsi" w:hAnsiTheme="majorHAnsi" w:cs="Arial"/>
          <w:sz w:val="24"/>
          <w:szCs w:val="24"/>
        </w:rPr>
        <w:t>Johannesburg</w:t>
      </w:r>
      <w:r w:rsidR="009458F0">
        <w:rPr>
          <w:rFonts w:asciiTheme="majorHAnsi" w:hAnsiTheme="majorHAnsi" w:cs="Arial"/>
          <w:sz w:val="24"/>
          <w:szCs w:val="24"/>
        </w:rPr>
        <w:t>.</w:t>
      </w:r>
    </w:p>
    <w:p w:rsidR="00754DB6" w:rsidRPr="009458F0" w:rsidRDefault="00194AA3" w:rsidP="005806B5">
      <w:pPr>
        <w:spacing w:line="240" w:lineRule="auto"/>
      </w:pPr>
      <w:r w:rsidRPr="00F87FBF">
        <w:rPr>
          <w:rFonts w:asciiTheme="majorHAnsi" w:hAnsiTheme="majorHAnsi" w:cs="Arial"/>
          <w:sz w:val="24"/>
          <w:szCs w:val="24"/>
        </w:rPr>
        <w:t xml:space="preserve">Wetheridge, L., </w:t>
      </w:r>
      <w:r w:rsidR="00C46926" w:rsidRPr="00C46926">
        <w:rPr>
          <w:rFonts w:asciiTheme="majorHAnsi" w:hAnsiTheme="majorHAnsi" w:cs="Arial"/>
          <w:sz w:val="24"/>
          <w:szCs w:val="24"/>
        </w:rPr>
        <w:t xml:space="preserve">Mamedu, A. </w:t>
      </w:r>
      <w:r w:rsidRPr="00F87FBF">
        <w:rPr>
          <w:rFonts w:asciiTheme="majorHAnsi" w:hAnsiTheme="majorHAnsi" w:cs="Arial"/>
          <w:sz w:val="24"/>
          <w:szCs w:val="24"/>
        </w:rPr>
        <w:t>2012</w:t>
      </w:r>
      <w:r w:rsidR="00754DB6" w:rsidRPr="00F87FBF">
        <w:rPr>
          <w:rFonts w:asciiTheme="majorHAnsi" w:hAnsiTheme="majorHAnsi" w:cs="Arial"/>
          <w:sz w:val="24"/>
          <w:szCs w:val="24"/>
        </w:rPr>
        <w:t xml:space="preserve">, </w:t>
      </w:r>
      <w:r w:rsidR="00C46926" w:rsidRPr="00C46926">
        <w:rPr>
          <w:rFonts w:asciiTheme="majorHAnsi" w:hAnsiTheme="majorHAnsi" w:cs="Arial"/>
          <w:sz w:val="24"/>
          <w:szCs w:val="24"/>
        </w:rPr>
        <w:t xml:space="preserve">Transforming education for girls in Nigeria. </w:t>
      </w:r>
      <w:proofErr w:type="spellStart"/>
      <w:proofErr w:type="gramStart"/>
      <w:r w:rsidR="00C46926" w:rsidRPr="00C46926">
        <w:rPr>
          <w:rFonts w:asciiTheme="majorHAnsi" w:hAnsiTheme="majorHAnsi" w:cs="Arial"/>
          <w:sz w:val="24"/>
          <w:szCs w:val="24"/>
        </w:rPr>
        <w:t>Endline</w:t>
      </w:r>
      <w:proofErr w:type="spellEnd"/>
      <w:r w:rsidR="00C46926" w:rsidRPr="00C46926">
        <w:rPr>
          <w:rFonts w:asciiTheme="majorHAnsi" w:hAnsiTheme="majorHAnsi" w:cs="Arial"/>
          <w:sz w:val="24"/>
          <w:szCs w:val="24"/>
        </w:rPr>
        <w:t xml:space="preserve"> research summary report</w:t>
      </w:r>
      <w:r w:rsidR="009458F0">
        <w:rPr>
          <w:rFonts w:asciiTheme="majorHAnsi" w:hAnsiTheme="majorHAnsi" w:cs="Arial"/>
          <w:sz w:val="24"/>
          <w:szCs w:val="24"/>
        </w:rPr>
        <w:t>.</w:t>
      </w:r>
      <w:proofErr w:type="gramEnd"/>
      <w:r w:rsidR="00754DB6" w:rsidRPr="00F87FBF">
        <w:rPr>
          <w:rFonts w:asciiTheme="majorHAnsi" w:hAnsiTheme="majorHAnsi" w:cs="Arial"/>
          <w:sz w:val="24"/>
          <w:szCs w:val="24"/>
        </w:rPr>
        <w:t xml:space="preserve"> </w:t>
      </w:r>
      <w:proofErr w:type="spellStart"/>
      <w:r w:rsidR="00754DB6" w:rsidRPr="00F87FBF">
        <w:rPr>
          <w:rFonts w:asciiTheme="majorHAnsi" w:hAnsiTheme="majorHAnsi" w:cs="Arial"/>
          <w:sz w:val="24"/>
          <w:szCs w:val="24"/>
        </w:rPr>
        <w:t>ActionAid</w:t>
      </w:r>
      <w:proofErr w:type="spellEnd"/>
      <w:r w:rsidR="009458F0">
        <w:rPr>
          <w:rFonts w:asciiTheme="majorHAnsi" w:hAnsiTheme="majorHAnsi" w:cs="Arial"/>
          <w:sz w:val="24"/>
          <w:szCs w:val="24"/>
        </w:rPr>
        <w:t>,</w:t>
      </w:r>
      <w:r w:rsidR="009458F0" w:rsidRPr="009458F0">
        <w:rPr>
          <w:rFonts w:asciiTheme="majorHAnsi" w:hAnsiTheme="majorHAnsi" w:cs="Arial"/>
          <w:sz w:val="24"/>
          <w:szCs w:val="24"/>
        </w:rPr>
        <w:t xml:space="preserve"> </w:t>
      </w:r>
      <w:r w:rsidR="009458F0" w:rsidRPr="00F87FBF">
        <w:rPr>
          <w:rFonts w:asciiTheme="majorHAnsi" w:hAnsiTheme="majorHAnsi" w:cs="Arial"/>
          <w:sz w:val="24"/>
          <w:szCs w:val="24"/>
        </w:rPr>
        <w:t>Johannesburg</w:t>
      </w:r>
      <w:r w:rsidR="009458F0">
        <w:rPr>
          <w:rFonts w:asciiTheme="majorHAnsi" w:hAnsiTheme="majorHAnsi" w:cs="Arial"/>
          <w:sz w:val="24"/>
          <w:szCs w:val="24"/>
        </w:rPr>
        <w:t>.</w:t>
      </w:r>
    </w:p>
    <w:p w:rsidR="007B221F" w:rsidRPr="00F87FBF" w:rsidRDefault="007B221F" w:rsidP="005806B5">
      <w:pPr>
        <w:spacing w:line="240" w:lineRule="auto"/>
        <w:rPr>
          <w:rFonts w:asciiTheme="majorHAnsi" w:hAnsiTheme="majorHAnsi" w:cs="Arial"/>
          <w:sz w:val="24"/>
          <w:szCs w:val="24"/>
        </w:rPr>
      </w:pPr>
    </w:p>
    <w:sectPr w:rsidR="007B221F" w:rsidRPr="00F87FBF" w:rsidSect="00E66AA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B1" w:rsidRDefault="00146DB1" w:rsidP="008879F2">
      <w:pPr>
        <w:spacing w:after="0" w:line="240" w:lineRule="auto"/>
      </w:pPr>
      <w:r>
        <w:separator/>
      </w:r>
    </w:p>
  </w:endnote>
  <w:endnote w:type="continuationSeparator" w:id="0">
    <w:p w:rsidR="00146DB1" w:rsidRDefault="00146DB1" w:rsidP="0088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Light">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4905"/>
      <w:docPartObj>
        <w:docPartGallery w:val="Page Numbers (Bottom of Page)"/>
        <w:docPartUnique/>
      </w:docPartObj>
    </w:sdtPr>
    <w:sdtContent>
      <w:p w:rsidR="00146DB1" w:rsidRDefault="00146DB1">
        <w:pPr>
          <w:pStyle w:val="Footer"/>
          <w:jc w:val="center"/>
        </w:pPr>
        <w:fldSimple w:instr=" PAGE   \* MERGEFORMAT ">
          <w:r w:rsidR="00753E31">
            <w:rPr>
              <w:noProof/>
            </w:rPr>
            <w:t>1</w:t>
          </w:r>
        </w:fldSimple>
      </w:p>
    </w:sdtContent>
  </w:sdt>
  <w:p w:rsidR="00146DB1" w:rsidRDefault="00146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B1" w:rsidRDefault="00146DB1" w:rsidP="008879F2">
      <w:pPr>
        <w:spacing w:after="0" w:line="240" w:lineRule="auto"/>
      </w:pPr>
      <w:r>
        <w:separator/>
      </w:r>
    </w:p>
  </w:footnote>
  <w:footnote w:type="continuationSeparator" w:id="0">
    <w:p w:rsidR="00146DB1" w:rsidRDefault="00146DB1" w:rsidP="008879F2">
      <w:pPr>
        <w:spacing w:after="0" w:line="240" w:lineRule="auto"/>
      </w:pPr>
      <w:r>
        <w:continuationSeparator/>
      </w:r>
    </w:p>
  </w:footnote>
  <w:footnote w:id="1">
    <w:p w:rsidR="00146DB1" w:rsidRPr="00A06D8D" w:rsidRDefault="00146DB1">
      <w:pPr>
        <w:pStyle w:val="FootnoteText"/>
        <w:rPr>
          <w:lang w:val="en-GB"/>
        </w:rPr>
      </w:pPr>
      <w:r w:rsidRPr="00A06D8D">
        <w:rPr>
          <w:rStyle w:val="FootnoteReference"/>
        </w:rPr>
        <w:footnoteRef/>
      </w:r>
      <w:r w:rsidRPr="00A06D8D">
        <w:t xml:space="preserve"> </w:t>
      </w:r>
      <w:r w:rsidRPr="0018347B">
        <w:rPr>
          <w:rFonts w:asciiTheme="majorHAnsi" w:hAnsiTheme="majorHAnsi"/>
        </w:rPr>
        <w:t xml:space="preserve">A composite empowerment variable was not constructed for this study, although work on this has been undertaken for the TEGINT </w:t>
      </w:r>
      <w:proofErr w:type="spellStart"/>
      <w:r w:rsidRPr="0018347B">
        <w:rPr>
          <w:rFonts w:asciiTheme="majorHAnsi" w:hAnsiTheme="majorHAnsi"/>
        </w:rPr>
        <w:t>endline</w:t>
      </w:r>
      <w:proofErr w:type="spellEnd"/>
      <w:r w:rsidRPr="0018347B">
        <w:rPr>
          <w:rFonts w:asciiTheme="majorHAnsi" w:hAnsiTheme="majorHAnsi"/>
        </w:rPr>
        <w:t xml:space="preserve"> study (Unterhalter and Heslop, 2012)</w:t>
      </w:r>
    </w:p>
  </w:footnote>
  <w:footnote w:id="2">
    <w:p w:rsidR="00146DB1" w:rsidRPr="00A06D8D" w:rsidRDefault="00146DB1" w:rsidP="00C34050">
      <w:pPr>
        <w:spacing w:after="0" w:line="240" w:lineRule="auto"/>
        <w:rPr>
          <w:rFonts w:asciiTheme="majorHAnsi" w:hAnsiTheme="majorHAnsi" w:cs="Cambria"/>
          <w:sz w:val="20"/>
          <w:szCs w:val="20"/>
        </w:rPr>
      </w:pPr>
      <w:r>
        <w:rPr>
          <w:rStyle w:val="FootnoteReference"/>
        </w:rPr>
        <w:footnoteRef/>
      </w:r>
      <w:r>
        <w:t xml:space="preserve"> </w:t>
      </w:r>
      <w:r w:rsidRPr="0018347B">
        <w:rPr>
          <w:rFonts w:asciiTheme="majorHAnsi" w:hAnsiTheme="majorHAnsi" w:cs="Cambria"/>
          <w:sz w:val="20"/>
          <w:szCs w:val="20"/>
        </w:rPr>
        <w:t xml:space="preserve">We </w:t>
      </w:r>
      <w:proofErr w:type="spellStart"/>
      <w:r w:rsidRPr="0018347B">
        <w:rPr>
          <w:rFonts w:asciiTheme="majorHAnsi" w:hAnsiTheme="majorHAnsi" w:cs="Cambria"/>
          <w:sz w:val="20"/>
          <w:szCs w:val="20"/>
        </w:rPr>
        <w:t>analyse</w:t>
      </w:r>
      <w:proofErr w:type="spellEnd"/>
      <w:r w:rsidRPr="0018347B">
        <w:rPr>
          <w:rFonts w:asciiTheme="majorHAnsi" w:hAnsiTheme="majorHAnsi" w:cs="Cambria"/>
          <w:sz w:val="20"/>
          <w:szCs w:val="20"/>
        </w:rPr>
        <w:t xml:space="preserve"> the relationship between aspects of distribution and empowerment in this section through using Pearson product-moment correlation, presenting the correlation coefficient (r) first and statistical significance of the relationship (p) in brackets in the tables. Statistically significant correlations at a 95% confidence limit of are shown in bold text.</w:t>
      </w:r>
    </w:p>
    <w:p w:rsidR="00146DB1" w:rsidRPr="00C34050" w:rsidRDefault="00146DB1">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5917"/>
    <w:multiLevelType w:val="hybridMultilevel"/>
    <w:tmpl w:val="09B26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99D020A"/>
    <w:multiLevelType w:val="multilevel"/>
    <w:tmpl w:val="E58C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E5180"/>
    <w:multiLevelType w:val="hybridMultilevel"/>
    <w:tmpl w:val="D8CA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F7A20"/>
    <w:multiLevelType w:val="hybridMultilevel"/>
    <w:tmpl w:val="151E81A6"/>
    <w:lvl w:ilvl="0" w:tplc="DFFA10DC">
      <w:start w:val="1"/>
      <w:numFmt w:val="bullet"/>
      <w:pStyle w:val="NormalInden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67E33741"/>
    <w:multiLevelType w:val="hybridMultilevel"/>
    <w:tmpl w:val="FB266F58"/>
    <w:lvl w:ilvl="0" w:tplc="1C646702">
      <w:start w:val="1"/>
      <w:numFmt w:val="bullet"/>
      <w:lvlText w:val="•"/>
      <w:lvlJc w:val="left"/>
      <w:pPr>
        <w:tabs>
          <w:tab w:val="num" w:pos="720"/>
        </w:tabs>
        <w:ind w:left="720" w:hanging="360"/>
      </w:pPr>
      <w:rPr>
        <w:rFonts w:ascii="Arial" w:hAnsi="Arial" w:hint="default"/>
      </w:rPr>
    </w:lvl>
    <w:lvl w:ilvl="1" w:tplc="54BAFBE0" w:tentative="1">
      <w:start w:val="1"/>
      <w:numFmt w:val="bullet"/>
      <w:lvlText w:val="•"/>
      <w:lvlJc w:val="left"/>
      <w:pPr>
        <w:tabs>
          <w:tab w:val="num" w:pos="1440"/>
        </w:tabs>
        <w:ind w:left="1440" w:hanging="360"/>
      </w:pPr>
      <w:rPr>
        <w:rFonts w:ascii="Arial" w:hAnsi="Arial" w:hint="default"/>
      </w:rPr>
    </w:lvl>
    <w:lvl w:ilvl="2" w:tplc="6EDEBEE0" w:tentative="1">
      <w:start w:val="1"/>
      <w:numFmt w:val="bullet"/>
      <w:lvlText w:val="•"/>
      <w:lvlJc w:val="left"/>
      <w:pPr>
        <w:tabs>
          <w:tab w:val="num" w:pos="2160"/>
        </w:tabs>
        <w:ind w:left="2160" w:hanging="360"/>
      </w:pPr>
      <w:rPr>
        <w:rFonts w:ascii="Arial" w:hAnsi="Arial" w:hint="default"/>
      </w:rPr>
    </w:lvl>
    <w:lvl w:ilvl="3" w:tplc="2EBC62F2" w:tentative="1">
      <w:start w:val="1"/>
      <w:numFmt w:val="bullet"/>
      <w:lvlText w:val="•"/>
      <w:lvlJc w:val="left"/>
      <w:pPr>
        <w:tabs>
          <w:tab w:val="num" w:pos="2880"/>
        </w:tabs>
        <w:ind w:left="2880" w:hanging="360"/>
      </w:pPr>
      <w:rPr>
        <w:rFonts w:ascii="Arial" w:hAnsi="Arial" w:hint="default"/>
      </w:rPr>
    </w:lvl>
    <w:lvl w:ilvl="4" w:tplc="6BDE7B72" w:tentative="1">
      <w:start w:val="1"/>
      <w:numFmt w:val="bullet"/>
      <w:lvlText w:val="•"/>
      <w:lvlJc w:val="left"/>
      <w:pPr>
        <w:tabs>
          <w:tab w:val="num" w:pos="3600"/>
        </w:tabs>
        <w:ind w:left="3600" w:hanging="360"/>
      </w:pPr>
      <w:rPr>
        <w:rFonts w:ascii="Arial" w:hAnsi="Arial" w:hint="default"/>
      </w:rPr>
    </w:lvl>
    <w:lvl w:ilvl="5" w:tplc="40847CFC" w:tentative="1">
      <w:start w:val="1"/>
      <w:numFmt w:val="bullet"/>
      <w:lvlText w:val="•"/>
      <w:lvlJc w:val="left"/>
      <w:pPr>
        <w:tabs>
          <w:tab w:val="num" w:pos="4320"/>
        </w:tabs>
        <w:ind w:left="4320" w:hanging="360"/>
      </w:pPr>
      <w:rPr>
        <w:rFonts w:ascii="Arial" w:hAnsi="Arial" w:hint="default"/>
      </w:rPr>
    </w:lvl>
    <w:lvl w:ilvl="6" w:tplc="4B0207AA" w:tentative="1">
      <w:start w:val="1"/>
      <w:numFmt w:val="bullet"/>
      <w:lvlText w:val="•"/>
      <w:lvlJc w:val="left"/>
      <w:pPr>
        <w:tabs>
          <w:tab w:val="num" w:pos="5040"/>
        </w:tabs>
        <w:ind w:left="5040" w:hanging="360"/>
      </w:pPr>
      <w:rPr>
        <w:rFonts w:ascii="Arial" w:hAnsi="Arial" w:hint="default"/>
      </w:rPr>
    </w:lvl>
    <w:lvl w:ilvl="7" w:tplc="3D32FB0A" w:tentative="1">
      <w:start w:val="1"/>
      <w:numFmt w:val="bullet"/>
      <w:lvlText w:val="•"/>
      <w:lvlJc w:val="left"/>
      <w:pPr>
        <w:tabs>
          <w:tab w:val="num" w:pos="5760"/>
        </w:tabs>
        <w:ind w:left="5760" w:hanging="360"/>
      </w:pPr>
      <w:rPr>
        <w:rFonts w:ascii="Arial" w:hAnsi="Arial" w:hint="default"/>
      </w:rPr>
    </w:lvl>
    <w:lvl w:ilvl="8" w:tplc="311A0574" w:tentative="1">
      <w:start w:val="1"/>
      <w:numFmt w:val="bullet"/>
      <w:lvlText w:val="•"/>
      <w:lvlJc w:val="left"/>
      <w:pPr>
        <w:tabs>
          <w:tab w:val="num" w:pos="6480"/>
        </w:tabs>
        <w:ind w:left="6480" w:hanging="360"/>
      </w:pPr>
      <w:rPr>
        <w:rFonts w:ascii="Arial" w:hAnsi="Arial" w:hint="default"/>
      </w:rPr>
    </w:lvl>
  </w:abstractNum>
  <w:abstractNum w:abstractNumId="5">
    <w:nsid w:val="71CD0771"/>
    <w:multiLevelType w:val="hybridMultilevel"/>
    <w:tmpl w:val="B20E7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440727"/>
    <w:multiLevelType w:val="hybridMultilevel"/>
    <w:tmpl w:val="233892E4"/>
    <w:lvl w:ilvl="0" w:tplc="72022F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D461D"/>
    <w:rsid w:val="00007117"/>
    <w:rsid w:val="00007B38"/>
    <w:rsid w:val="00010DEA"/>
    <w:rsid w:val="000143ED"/>
    <w:rsid w:val="00015D1A"/>
    <w:rsid w:val="00017BC4"/>
    <w:rsid w:val="00021F25"/>
    <w:rsid w:val="00024F8C"/>
    <w:rsid w:val="000257B3"/>
    <w:rsid w:val="000277C5"/>
    <w:rsid w:val="00033667"/>
    <w:rsid w:val="00033819"/>
    <w:rsid w:val="00033CFF"/>
    <w:rsid w:val="0003533B"/>
    <w:rsid w:val="0003536F"/>
    <w:rsid w:val="00036150"/>
    <w:rsid w:val="00037F6B"/>
    <w:rsid w:val="00040D2E"/>
    <w:rsid w:val="00042630"/>
    <w:rsid w:val="000428D5"/>
    <w:rsid w:val="00051820"/>
    <w:rsid w:val="00051AD3"/>
    <w:rsid w:val="0005282E"/>
    <w:rsid w:val="000530EE"/>
    <w:rsid w:val="00053130"/>
    <w:rsid w:val="0005418E"/>
    <w:rsid w:val="0005537C"/>
    <w:rsid w:val="000574D8"/>
    <w:rsid w:val="00060C61"/>
    <w:rsid w:val="000614F1"/>
    <w:rsid w:val="00061B09"/>
    <w:rsid w:val="000675FB"/>
    <w:rsid w:val="00071120"/>
    <w:rsid w:val="00071C2C"/>
    <w:rsid w:val="0007419F"/>
    <w:rsid w:val="0008045D"/>
    <w:rsid w:val="00081387"/>
    <w:rsid w:val="00082915"/>
    <w:rsid w:val="00082B4A"/>
    <w:rsid w:val="00082C12"/>
    <w:rsid w:val="00085D06"/>
    <w:rsid w:val="00086EF9"/>
    <w:rsid w:val="000920EE"/>
    <w:rsid w:val="000923FC"/>
    <w:rsid w:val="000929B6"/>
    <w:rsid w:val="00092DEC"/>
    <w:rsid w:val="00093C3F"/>
    <w:rsid w:val="00096809"/>
    <w:rsid w:val="000A176B"/>
    <w:rsid w:val="000A1A01"/>
    <w:rsid w:val="000A2A4B"/>
    <w:rsid w:val="000A62C7"/>
    <w:rsid w:val="000A63D4"/>
    <w:rsid w:val="000A755F"/>
    <w:rsid w:val="000B1187"/>
    <w:rsid w:val="000B39C6"/>
    <w:rsid w:val="000B5D88"/>
    <w:rsid w:val="000C0D3E"/>
    <w:rsid w:val="000C2116"/>
    <w:rsid w:val="000C3615"/>
    <w:rsid w:val="000C3D48"/>
    <w:rsid w:val="000C4086"/>
    <w:rsid w:val="000D08F1"/>
    <w:rsid w:val="000D0B75"/>
    <w:rsid w:val="000D48EF"/>
    <w:rsid w:val="000D582A"/>
    <w:rsid w:val="000E07A9"/>
    <w:rsid w:val="000E2CC4"/>
    <w:rsid w:val="000E3491"/>
    <w:rsid w:val="000E5B14"/>
    <w:rsid w:val="000F30F1"/>
    <w:rsid w:val="000F3B65"/>
    <w:rsid w:val="000F3F5F"/>
    <w:rsid w:val="00101B19"/>
    <w:rsid w:val="001024D5"/>
    <w:rsid w:val="001067E8"/>
    <w:rsid w:val="00107A64"/>
    <w:rsid w:val="00107F4A"/>
    <w:rsid w:val="0011235B"/>
    <w:rsid w:val="0011404C"/>
    <w:rsid w:val="00123678"/>
    <w:rsid w:val="0012621D"/>
    <w:rsid w:val="00135AFA"/>
    <w:rsid w:val="00136094"/>
    <w:rsid w:val="00142724"/>
    <w:rsid w:val="00143623"/>
    <w:rsid w:val="00144B59"/>
    <w:rsid w:val="00145876"/>
    <w:rsid w:val="00146DB1"/>
    <w:rsid w:val="00146ECA"/>
    <w:rsid w:val="00151DE4"/>
    <w:rsid w:val="00153396"/>
    <w:rsid w:val="0015412F"/>
    <w:rsid w:val="00154B1E"/>
    <w:rsid w:val="00155096"/>
    <w:rsid w:val="001575A4"/>
    <w:rsid w:val="00160D43"/>
    <w:rsid w:val="00161CDF"/>
    <w:rsid w:val="00161EA3"/>
    <w:rsid w:val="0016574E"/>
    <w:rsid w:val="00165A6F"/>
    <w:rsid w:val="00166578"/>
    <w:rsid w:val="00176E9C"/>
    <w:rsid w:val="00177D8E"/>
    <w:rsid w:val="00181577"/>
    <w:rsid w:val="00181953"/>
    <w:rsid w:val="00182D6F"/>
    <w:rsid w:val="0018347B"/>
    <w:rsid w:val="0018763E"/>
    <w:rsid w:val="00194AA3"/>
    <w:rsid w:val="001955D1"/>
    <w:rsid w:val="001A37D7"/>
    <w:rsid w:val="001B01B4"/>
    <w:rsid w:val="001B0C67"/>
    <w:rsid w:val="001B146E"/>
    <w:rsid w:val="001B580D"/>
    <w:rsid w:val="001B64E1"/>
    <w:rsid w:val="001C3979"/>
    <w:rsid w:val="001C44AF"/>
    <w:rsid w:val="001C73E4"/>
    <w:rsid w:val="001D5BDD"/>
    <w:rsid w:val="001D6F68"/>
    <w:rsid w:val="001D7B43"/>
    <w:rsid w:val="001E0E3B"/>
    <w:rsid w:val="001E35CF"/>
    <w:rsid w:val="001E7CE9"/>
    <w:rsid w:val="001F04AC"/>
    <w:rsid w:val="001F5E00"/>
    <w:rsid w:val="002015B5"/>
    <w:rsid w:val="00203255"/>
    <w:rsid w:val="00204D4A"/>
    <w:rsid w:val="0021113E"/>
    <w:rsid w:val="00214EE9"/>
    <w:rsid w:val="00216A43"/>
    <w:rsid w:val="00216DD0"/>
    <w:rsid w:val="00220D5E"/>
    <w:rsid w:val="00222041"/>
    <w:rsid w:val="00224335"/>
    <w:rsid w:val="00232509"/>
    <w:rsid w:val="00236209"/>
    <w:rsid w:val="00237DE3"/>
    <w:rsid w:val="002421B1"/>
    <w:rsid w:val="00246CFE"/>
    <w:rsid w:val="00254D15"/>
    <w:rsid w:val="00262DF5"/>
    <w:rsid w:val="00263711"/>
    <w:rsid w:val="0026375D"/>
    <w:rsid w:val="00264B4D"/>
    <w:rsid w:val="0026600B"/>
    <w:rsid w:val="00272D3F"/>
    <w:rsid w:val="002767BD"/>
    <w:rsid w:val="00280B78"/>
    <w:rsid w:val="00286266"/>
    <w:rsid w:val="00286ADC"/>
    <w:rsid w:val="002873C9"/>
    <w:rsid w:val="0029119A"/>
    <w:rsid w:val="00292D24"/>
    <w:rsid w:val="002937B1"/>
    <w:rsid w:val="00296722"/>
    <w:rsid w:val="002968F0"/>
    <w:rsid w:val="002A10E1"/>
    <w:rsid w:val="002A157C"/>
    <w:rsid w:val="002A293D"/>
    <w:rsid w:val="002B266E"/>
    <w:rsid w:val="002B6B55"/>
    <w:rsid w:val="002B7E24"/>
    <w:rsid w:val="002C1148"/>
    <w:rsid w:val="002C217A"/>
    <w:rsid w:val="002C74EA"/>
    <w:rsid w:val="002D24FF"/>
    <w:rsid w:val="002D321C"/>
    <w:rsid w:val="002D4DB8"/>
    <w:rsid w:val="002E436E"/>
    <w:rsid w:val="002E6684"/>
    <w:rsid w:val="002F1ABD"/>
    <w:rsid w:val="002F3DA6"/>
    <w:rsid w:val="002F468E"/>
    <w:rsid w:val="002F6590"/>
    <w:rsid w:val="002F683E"/>
    <w:rsid w:val="00301620"/>
    <w:rsid w:val="00303166"/>
    <w:rsid w:val="003046BD"/>
    <w:rsid w:val="00305A6B"/>
    <w:rsid w:val="00311C62"/>
    <w:rsid w:val="00312C81"/>
    <w:rsid w:val="003172CE"/>
    <w:rsid w:val="003177C4"/>
    <w:rsid w:val="00317FB0"/>
    <w:rsid w:val="003205B3"/>
    <w:rsid w:val="0032155D"/>
    <w:rsid w:val="00323919"/>
    <w:rsid w:val="00323FE3"/>
    <w:rsid w:val="003246C6"/>
    <w:rsid w:val="00327A37"/>
    <w:rsid w:val="00330461"/>
    <w:rsid w:val="003361E8"/>
    <w:rsid w:val="00341193"/>
    <w:rsid w:val="003434B6"/>
    <w:rsid w:val="00343D24"/>
    <w:rsid w:val="00344EBF"/>
    <w:rsid w:val="0034541B"/>
    <w:rsid w:val="00350E34"/>
    <w:rsid w:val="00354E9B"/>
    <w:rsid w:val="003609FC"/>
    <w:rsid w:val="003616F9"/>
    <w:rsid w:val="00361C3E"/>
    <w:rsid w:val="00361C6A"/>
    <w:rsid w:val="00363F86"/>
    <w:rsid w:val="00383C34"/>
    <w:rsid w:val="00385E5F"/>
    <w:rsid w:val="00387457"/>
    <w:rsid w:val="00390765"/>
    <w:rsid w:val="00392CD4"/>
    <w:rsid w:val="003A1628"/>
    <w:rsid w:val="003A1848"/>
    <w:rsid w:val="003A4794"/>
    <w:rsid w:val="003A6453"/>
    <w:rsid w:val="003B0E66"/>
    <w:rsid w:val="003B0F42"/>
    <w:rsid w:val="003B2A83"/>
    <w:rsid w:val="003B2F93"/>
    <w:rsid w:val="003B4406"/>
    <w:rsid w:val="003C33CA"/>
    <w:rsid w:val="003D1368"/>
    <w:rsid w:val="003D37D4"/>
    <w:rsid w:val="003D65D2"/>
    <w:rsid w:val="003E2460"/>
    <w:rsid w:val="003E4122"/>
    <w:rsid w:val="003F1E5A"/>
    <w:rsid w:val="003F50D9"/>
    <w:rsid w:val="003F612B"/>
    <w:rsid w:val="003F6274"/>
    <w:rsid w:val="003F6C43"/>
    <w:rsid w:val="00401035"/>
    <w:rsid w:val="00402530"/>
    <w:rsid w:val="00402AE7"/>
    <w:rsid w:val="00403625"/>
    <w:rsid w:val="00404822"/>
    <w:rsid w:val="00407F91"/>
    <w:rsid w:val="004203DB"/>
    <w:rsid w:val="00421F3C"/>
    <w:rsid w:val="004223CE"/>
    <w:rsid w:val="004227C0"/>
    <w:rsid w:val="00424AAC"/>
    <w:rsid w:val="00426523"/>
    <w:rsid w:val="004348FF"/>
    <w:rsid w:val="0043502C"/>
    <w:rsid w:val="0043716E"/>
    <w:rsid w:val="00437D62"/>
    <w:rsid w:val="004433A9"/>
    <w:rsid w:val="00445FFD"/>
    <w:rsid w:val="00450757"/>
    <w:rsid w:val="00450AF4"/>
    <w:rsid w:val="00452A48"/>
    <w:rsid w:val="00455FB3"/>
    <w:rsid w:val="004561E6"/>
    <w:rsid w:val="004616C4"/>
    <w:rsid w:val="00466989"/>
    <w:rsid w:val="00467976"/>
    <w:rsid w:val="004709FA"/>
    <w:rsid w:val="00473F01"/>
    <w:rsid w:val="00474D3D"/>
    <w:rsid w:val="00482817"/>
    <w:rsid w:val="00484FFE"/>
    <w:rsid w:val="004931B4"/>
    <w:rsid w:val="004A1E95"/>
    <w:rsid w:val="004A214D"/>
    <w:rsid w:val="004A2731"/>
    <w:rsid w:val="004A434E"/>
    <w:rsid w:val="004B0A8B"/>
    <w:rsid w:val="004B4ED3"/>
    <w:rsid w:val="004C1667"/>
    <w:rsid w:val="004D01FD"/>
    <w:rsid w:val="004D15D5"/>
    <w:rsid w:val="004D236A"/>
    <w:rsid w:val="004D26D6"/>
    <w:rsid w:val="004D312B"/>
    <w:rsid w:val="004D3C63"/>
    <w:rsid w:val="004D65FB"/>
    <w:rsid w:val="004D7CB0"/>
    <w:rsid w:val="004E0C92"/>
    <w:rsid w:val="004E2A7B"/>
    <w:rsid w:val="004E2D33"/>
    <w:rsid w:val="004E3CDA"/>
    <w:rsid w:val="004E4733"/>
    <w:rsid w:val="004E6DBB"/>
    <w:rsid w:val="00500676"/>
    <w:rsid w:val="0050613F"/>
    <w:rsid w:val="005073F3"/>
    <w:rsid w:val="00512FD1"/>
    <w:rsid w:val="005135A5"/>
    <w:rsid w:val="00523518"/>
    <w:rsid w:val="0052488A"/>
    <w:rsid w:val="00526035"/>
    <w:rsid w:val="0052608D"/>
    <w:rsid w:val="00526199"/>
    <w:rsid w:val="005268A3"/>
    <w:rsid w:val="00527330"/>
    <w:rsid w:val="00532CBF"/>
    <w:rsid w:val="005340CD"/>
    <w:rsid w:val="0053612D"/>
    <w:rsid w:val="00536A81"/>
    <w:rsid w:val="005409B1"/>
    <w:rsid w:val="005414DE"/>
    <w:rsid w:val="00544DE9"/>
    <w:rsid w:val="005540BF"/>
    <w:rsid w:val="0055494A"/>
    <w:rsid w:val="00555D23"/>
    <w:rsid w:val="00560B77"/>
    <w:rsid w:val="00562312"/>
    <w:rsid w:val="005636C0"/>
    <w:rsid w:val="00564EF3"/>
    <w:rsid w:val="0057045C"/>
    <w:rsid w:val="005753ED"/>
    <w:rsid w:val="00575EB0"/>
    <w:rsid w:val="0057689F"/>
    <w:rsid w:val="005806B5"/>
    <w:rsid w:val="00582765"/>
    <w:rsid w:val="00583349"/>
    <w:rsid w:val="0058369B"/>
    <w:rsid w:val="00587B46"/>
    <w:rsid w:val="0059065F"/>
    <w:rsid w:val="00590849"/>
    <w:rsid w:val="00591CAB"/>
    <w:rsid w:val="005944C9"/>
    <w:rsid w:val="005951A1"/>
    <w:rsid w:val="00595296"/>
    <w:rsid w:val="00597C23"/>
    <w:rsid w:val="005A1F0A"/>
    <w:rsid w:val="005A54E6"/>
    <w:rsid w:val="005A6BC0"/>
    <w:rsid w:val="005A7FBD"/>
    <w:rsid w:val="005B0B60"/>
    <w:rsid w:val="005B683A"/>
    <w:rsid w:val="005C79B0"/>
    <w:rsid w:val="005D19BC"/>
    <w:rsid w:val="005D294C"/>
    <w:rsid w:val="005D6558"/>
    <w:rsid w:val="005D77DD"/>
    <w:rsid w:val="005D7C88"/>
    <w:rsid w:val="005E2BD9"/>
    <w:rsid w:val="005E3F45"/>
    <w:rsid w:val="005E4E5E"/>
    <w:rsid w:val="005E5E17"/>
    <w:rsid w:val="005F3DA2"/>
    <w:rsid w:val="005F4C45"/>
    <w:rsid w:val="00605461"/>
    <w:rsid w:val="00606A99"/>
    <w:rsid w:val="006071DF"/>
    <w:rsid w:val="00610BFA"/>
    <w:rsid w:val="00612415"/>
    <w:rsid w:val="00614D80"/>
    <w:rsid w:val="00615873"/>
    <w:rsid w:val="006217F4"/>
    <w:rsid w:val="00625A56"/>
    <w:rsid w:val="006265FF"/>
    <w:rsid w:val="006277A2"/>
    <w:rsid w:val="0063188E"/>
    <w:rsid w:val="006318CC"/>
    <w:rsid w:val="00634944"/>
    <w:rsid w:val="006351AC"/>
    <w:rsid w:val="00640FF9"/>
    <w:rsid w:val="0064168B"/>
    <w:rsid w:val="00643F5A"/>
    <w:rsid w:val="006500FA"/>
    <w:rsid w:val="00650B99"/>
    <w:rsid w:val="00650EAC"/>
    <w:rsid w:val="0065149F"/>
    <w:rsid w:val="00654499"/>
    <w:rsid w:val="0065507A"/>
    <w:rsid w:val="006606F7"/>
    <w:rsid w:val="00660D92"/>
    <w:rsid w:val="0066132E"/>
    <w:rsid w:val="0066324D"/>
    <w:rsid w:val="00663533"/>
    <w:rsid w:val="006660DB"/>
    <w:rsid w:val="00666220"/>
    <w:rsid w:val="00667DDC"/>
    <w:rsid w:val="00671337"/>
    <w:rsid w:val="00675251"/>
    <w:rsid w:val="00675A98"/>
    <w:rsid w:val="0067752B"/>
    <w:rsid w:val="006818AC"/>
    <w:rsid w:val="00681CA3"/>
    <w:rsid w:val="00681D62"/>
    <w:rsid w:val="00687405"/>
    <w:rsid w:val="0069233C"/>
    <w:rsid w:val="00695AA5"/>
    <w:rsid w:val="006A0D88"/>
    <w:rsid w:val="006A1A1A"/>
    <w:rsid w:val="006A3A44"/>
    <w:rsid w:val="006B00D6"/>
    <w:rsid w:val="006B4527"/>
    <w:rsid w:val="006B6041"/>
    <w:rsid w:val="006B70EC"/>
    <w:rsid w:val="006B723F"/>
    <w:rsid w:val="006C0886"/>
    <w:rsid w:val="006C1CEE"/>
    <w:rsid w:val="006C2E00"/>
    <w:rsid w:val="006C40F7"/>
    <w:rsid w:val="006C43F4"/>
    <w:rsid w:val="006C79E4"/>
    <w:rsid w:val="006E100D"/>
    <w:rsid w:val="006E3F4F"/>
    <w:rsid w:val="006F0280"/>
    <w:rsid w:val="006F0B6D"/>
    <w:rsid w:val="006F1BA5"/>
    <w:rsid w:val="006F2AC1"/>
    <w:rsid w:val="006F4522"/>
    <w:rsid w:val="00711D93"/>
    <w:rsid w:val="00712111"/>
    <w:rsid w:val="0071407A"/>
    <w:rsid w:val="00714108"/>
    <w:rsid w:val="0071571B"/>
    <w:rsid w:val="007158AF"/>
    <w:rsid w:val="00716D43"/>
    <w:rsid w:val="0071736F"/>
    <w:rsid w:val="00717640"/>
    <w:rsid w:val="007176B4"/>
    <w:rsid w:val="007203A0"/>
    <w:rsid w:val="007210A7"/>
    <w:rsid w:val="007229B8"/>
    <w:rsid w:val="00723629"/>
    <w:rsid w:val="00727DD8"/>
    <w:rsid w:val="00733892"/>
    <w:rsid w:val="007351B4"/>
    <w:rsid w:val="007355CC"/>
    <w:rsid w:val="00735C2D"/>
    <w:rsid w:val="007403AF"/>
    <w:rsid w:val="00741055"/>
    <w:rsid w:val="0074598C"/>
    <w:rsid w:val="007471D3"/>
    <w:rsid w:val="0074796E"/>
    <w:rsid w:val="00747F06"/>
    <w:rsid w:val="007501DF"/>
    <w:rsid w:val="00751A73"/>
    <w:rsid w:val="00753E31"/>
    <w:rsid w:val="00754DB6"/>
    <w:rsid w:val="007563F9"/>
    <w:rsid w:val="00756712"/>
    <w:rsid w:val="007600F0"/>
    <w:rsid w:val="00760101"/>
    <w:rsid w:val="00765235"/>
    <w:rsid w:val="00766546"/>
    <w:rsid w:val="007717BA"/>
    <w:rsid w:val="00775E32"/>
    <w:rsid w:val="00777B3A"/>
    <w:rsid w:val="00780C5F"/>
    <w:rsid w:val="0078276B"/>
    <w:rsid w:val="007918C6"/>
    <w:rsid w:val="00791D57"/>
    <w:rsid w:val="0079799B"/>
    <w:rsid w:val="00797DA0"/>
    <w:rsid w:val="00797DCC"/>
    <w:rsid w:val="007A7373"/>
    <w:rsid w:val="007B08C0"/>
    <w:rsid w:val="007B221F"/>
    <w:rsid w:val="007B27A5"/>
    <w:rsid w:val="007B3156"/>
    <w:rsid w:val="007B52EA"/>
    <w:rsid w:val="007C346F"/>
    <w:rsid w:val="007C61D9"/>
    <w:rsid w:val="007D42FC"/>
    <w:rsid w:val="007D6400"/>
    <w:rsid w:val="007D6B0B"/>
    <w:rsid w:val="007E06B0"/>
    <w:rsid w:val="007E2B73"/>
    <w:rsid w:val="007E45F0"/>
    <w:rsid w:val="007E5562"/>
    <w:rsid w:val="007F009E"/>
    <w:rsid w:val="007F0825"/>
    <w:rsid w:val="007F4DB0"/>
    <w:rsid w:val="007F61C5"/>
    <w:rsid w:val="00805FF5"/>
    <w:rsid w:val="008062F9"/>
    <w:rsid w:val="0080635D"/>
    <w:rsid w:val="008070A1"/>
    <w:rsid w:val="00807792"/>
    <w:rsid w:val="008119BF"/>
    <w:rsid w:val="008125E5"/>
    <w:rsid w:val="00812D20"/>
    <w:rsid w:val="00812D71"/>
    <w:rsid w:val="00813021"/>
    <w:rsid w:val="0081377E"/>
    <w:rsid w:val="00817928"/>
    <w:rsid w:val="00821774"/>
    <w:rsid w:val="00825F45"/>
    <w:rsid w:val="00826222"/>
    <w:rsid w:val="00827557"/>
    <w:rsid w:val="00830476"/>
    <w:rsid w:val="008315B6"/>
    <w:rsid w:val="008346AD"/>
    <w:rsid w:val="00852134"/>
    <w:rsid w:val="00852A89"/>
    <w:rsid w:val="00854FDA"/>
    <w:rsid w:val="00856261"/>
    <w:rsid w:val="008611E5"/>
    <w:rsid w:val="00862006"/>
    <w:rsid w:val="00862268"/>
    <w:rsid w:val="00862B44"/>
    <w:rsid w:val="008640F0"/>
    <w:rsid w:val="0086635A"/>
    <w:rsid w:val="008668FD"/>
    <w:rsid w:val="00867206"/>
    <w:rsid w:val="00870F51"/>
    <w:rsid w:val="0087111E"/>
    <w:rsid w:val="008720BE"/>
    <w:rsid w:val="00877602"/>
    <w:rsid w:val="00881945"/>
    <w:rsid w:val="00881F83"/>
    <w:rsid w:val="00882200"/>
    <w:rsid w:val="00883515"/>
    <w:rsid w:val="00883566"/>
    <w:rsid w:val="008868D7"/>
    <w:rsid w:val="008879F2"/>
    <w:rsid w:val="008922A3"/>
    <w:rsid w:val="00894A5C"/>
    <w:rsid w:val="00895B58"/>
    <w:rsid w:val="0089696D"/>
    <w:rsid w:val="00897EF1"/>
    <w:rsid w:val="008A2FBC"/>
    <w:rsid w:val="008A5C5E"/>
    <w:rsid w:val="008B05B4"/>
    <w:rsid w:val="008B0B10"/>
    <w:rsid w:val="008B1F44"/>
    <w:rsid w:val="008B2A58"/>
    <w:rsid w:val="008C20CA"/>
    <w:rsid w:val="008C23C5"/>
    <w:rsid w:val="008C3344"/>
    <w:rsid w:val="008C3ED3"/>
    <w:rsid w:val="008C6E3C"/>
    <w:rsid w:val="008D14CA"/>
    <w:rsid w:val="008D3EAE"/>
    <w:rsid w:val="008D434E"/>
    <w:rsid w:val="008D5384"/>
    <w:rsid w:val="008D57F0"/>
    <w:rsid w:val="008E608B"/>
    <w:rsid w:val="008E71C8"/>
    <w:rsid w:val="008F2AFB"/>
    <w:rsid w:val="008F375E"/>
    <w:rsid w:val="008F4C7B"/>
    <w:rsid w:val="008F5BAE"/>
    <w:rsid w:val="008F7EBD"/>
    <w:rsid w:val="009007DC"/>
    <w:rsid w:val="00903DF0"/>
    <w:rsid w:val="00904EDA"/>
    <w:rsid w:val="0090598E"/>
    <w:rsid w:val="00910923"/>
    <w:rsid w:val="009121DC"/>
    <w:rsid w:val="009144BA"/>
    <w:rsid w:val="00914E07"/>
    <w:rsid w:val="00917623"/>
    <w:rsid w:val="00926CF9"/>
    <w:rsid w:val="00935E64"/>
    <w:rsid w:val="009360C5"/>
    <w:rsid w:val="00941474"/>
    <w:rsid w:val="00942D63"/>
    <w:rsid w:val="00943F2E"/>
    <w:rsid w:val="009458F0"/>
    <w:rsid w:val="0094688F"/>
    <w:rsid w:val="00946FC8"/>
    <w:rsid w:val="009477DE"/>
    <w:rsid w:val="00947BBE"/>
    <w:rsid w:val="009503F9"/>
    <w:rsid w:val="00951EF5"/>
    <w:rsid w:val="00954D4F"/>
    <w:rsid w:val="0096446D"/>
    <w:rsid w:val="00967D99"/>
    <w:rsid w:val="00971B31"/>
    <w:rsid w:val="00973EA8"/>
    <w:rsid w:val="00981986"/>
    <w:rsid w:val="00982E77"/>
    <w:rsid w:val="00985A33"/>
    <w:rsid w:val="00990360"/>
    <w:rsid w:val="009905E6"/>
    <w:rsid w:val="00990612"/>
    <w:rsid w:val="00993FB5"/>
    <w:rsid w:val="00995412"/>
    <w:rsid w:val="009A1C85"/>
    <w:rsid w:val="009B7821"/>
    <w:rsid w:val="009C1256"/>
    <w:rsid w:val="009C2D07"/>
    <w:rsid w:val="009C527B"/>
    <w:rsid w:val="009C667F"/>
    <w:rsid w:val="009D438D"/>
    <w:rsid w:val="009E24EE"/>
    <w:rsid w:val="009E2B00"/>
    <w:rsid w:val="009E2B2E"/>
    <w:rsid w:val="009E6792"/>
    <w:rsid w:val="009E7745"/>
    <w:rsid w:val="009F0098"/>
    <w:rsid w:val="009F62E8"/>
    <w:rsid w:val="00A0413E"/>
    <w:rsid w:val="00A043F7"/>
    <w:rsid w:val="00A050C2"/>
    <w:rsid w:val="00A06D8D"/>
    <w:rsid w:val="00A075B9"/>
    <w:rsid w:val="00A10211"/>
    <w:rsid w:val="00A1330B"/>
    <w:rsid w:val="00A15160"/>
    <w:rsid w:val="00A205AD"/>
    <w:rsid w:val="00A21652"/>
    <w:rsid w:val="00A22C33"/>
    <w:rsid w:val="00A23736"/>
    <w:rsid w:val="00A26752"/>
    <w:rsid w:val="00A2737C"/>
    <w:rsid w:val="00A30796"/>
    <w:rsid w:val="00A34824"/>
    <w:rsid w:val="00A35FF0"/>
    <w:rsid w:val="00A40D8B"/>
    <w:rsid w:val="00A424A7"/>
    <w:rsid w:val="00A44517"/>
    <w:rsid w:val="00A44F62"/>
    <w:rsid w:val="00A477B2"/>
    <w:rsid w:val="00A503FE"/>
    <w:rsid w:val="00A520D5"/>
    <w:rsid w:val="00A52399"/>
    <w:rsid w:val="00A56CCB"/>
    <w:rsid w:val="00A56F59"/>
    <w:rsid w:val="00A62E5C"/>
    <w:rsid w:val="00A6328D"/>
    <w:rsid w:val="00A670D0"/>
    <w:rsid w:val="00A7203D"/>
    <w:rsid w:val="00A72592"/>
    <w:rsid w:val="00A75168"/>
    <w:rsid w:val="00A75A50"/>
    <w:rsid w:val="00A80B54"/>
    <w:rsid w:val="00A8230F"/>
    <w:rsid w:val="00A82351"/>
    <w:rsid w:val="00A85202"/>
    <w:rsid w:val="00A85A7C"/>
    <w:rsid w:val="00A90441"/>
    <w:rsid w:val="00A92EC6"/>
    <w:rsid w:val="00A95757"/>
    <w:rsid w:val="00A970A2"/>
    <w:rsid w:val="00A977E3"/>
    <w:rsid w:val="00AA08C2"/>
    <w:rsid w:val="00AA2A8A"/>
    <w:rsid w:val="00AA4742"/>
    <w:rsid w:val="00AA4FDE"/>
    <w:rsid w:val="00AA6985"/>
    <w:rsid w:val="00AA76B7"/>
    <w:rsid w:val="00AB060F"/>
    <w:rsid w:val="00AB13E9"/>
    <w:rsid w:val="00AB27BE"/>
    <w:rsid w:val="00AB366A"/>
    <w:rsid w:val="00AB3BB7"/>
    <w:rsid w:val="00AB41D5"/>
    <w:rsid w:val="00AB4D09"/>
    <w:rsid w:val="00AB57A2"/>
    <w:rsid w:val="00AC6244"/>
    <w:rsid w:val="00AC7979"/>
    <w:rsid w:val="00AD248A"/>
    <w:rsid w:val="00AD4235"/>
    <w:rsid w:val="00AD4A46"/>
    <w:rsid w:val="00AD4BBD"/>
    <w:rsid w:val="00AD68BA"/>
    <w:rsid w:val="00AE3AED"/>
    <w:rsid w:val="00AE530F"/>
    <w:rsid w:val="00AF0A75"/>
    <w:rsid w:val="00AF3A79"/>
    <w:rsid w:val="00AF480F"/>
    <w:rsid w:val="00AF52B3"/>
    <w:rsid w:val="00AF75D7"/>
    <w:rsid w:val="00B03AA4"/>
    <w:rsid w:val="00B06325"/>
    <w:rsid w:val="00B12492"/>
    <w:rsid w:val="00B16339"/>
    <w:rsid w:val="00B173B1"/>
    <w:rsid w:val="00B210A8"/>
    <w:rsid w:val="00B3037D"/>
    <w:rsid w:val="00B31359"/>
    <w:rsid w:val="00B34D4E"/>
    <w:rsid w:val="00B36AF4"/>
    <w:rsid w:val="00B3794B"/>
    <w:rsid w:val="00B43E59"/>
    <w:rsid w:val="00B44D76"/>
    <w:rsid w:val="00B5038C"/>
    <w:rsid w:val="00B51669"/>
    <w:rsid w:val="00B549F5"/>
    <w:rsid w:val="00B5759A"/>
    <w:rsid w:val="00B64887"/>
    <w:rsid w:val="00B66197"/>
    <w:rsid w:val="00B66372"/>
    <w:rsid w:val="00B74548"/>
    <w:rsid w:val="00B752FC"/>
    <w:rsid w:val="00B76F82"/>
    <w:rsid w:val="00B81E67"/>
    <w:rsid w:val="00B81EE3"/>
    <w:rsid w:val="00B82BF3"/>
    <w:rsid w:val="00B870D3"/>
    <w:rsid w:val="00B87A87"/>
    <w:rsid w:val="00B90E77"/>
    <w:rsid w:val="00B9154E"/>
    <w:rsid w:val="00B9687C"/>
    <w:rsid w:val="00BA1057"/>
    <w:rsid w:val="00BA1EB0"/>
    <w:rsid w:val="00BA4BC9"/>
    <w:rsid w:val="00BA5846"/>
    <w:rsid w:val="00BA7128"/>
    <w:rsid w:val="00BB0E4C"/>
    <w:rsid w:val="00BB14F8"/>
    <w:rsid w:val="00BB2458"/>
    <w:rsid w:val="00BB2EDA"/>
    <w:rsid w:val="00BB3B9B"/>
    <w:rsid w:val="00BB53E7"/>
    <w:rsid w:val="00BC02BF"/>
    <w:rsid w:val="00BC1C9C"/>
    <w:rsid w:val="00BC250F"/>
    <w:rsid w:val="00BC2A90"/>
    <w:rsid w:val="00BC367C"/>
    <w:rsid w:val="00BC3A65"/>
    <w:rsid w:val="00BC687B"/>
    <w:rsid w:val="00BD57F3"/>
    <w:rsid w:val="00BD59C2"/>
    <w:rsid w:val="00BE00AF"/>
    <w:rsid w:val="00BE3097"/>
    <w:rsid w:val="00BE40EF"/>
    <w:rsid w:val="00BE4363"/>
    <w:rsid w:val="00BF1554"/>
    <w:rsid w:val="00BF3934"/>
    <w:rsid w:val="00BF5953"/>
    <w:rsid w:val="00BF60F7"/>
    <w:rsid w:val="00C00526"/>
    <w:rsid w:val="00C019DC"/>
    <w:rsid w:val="00C025FA"/>
    <w:rsid w:val="00C02AEE"/>
    <w:rsid w:val="00C034F7"/>
    <w:rsid w:val="00C10046"/>
    <w:rsid w:val="00C117C8"/>
    <w:rsid w:val="00C132E6"/>
    <w:rsid w:val="00C14311"/>
    <w:rsid w:val="00C16DD6"/>
    <w:rsid w:val="00C170A9"/>
    <w:rsid w:val="00C17988"/>
    <w:rsid w:val="00C21B23"/>
    <w:rsid w:val="00C2234E"/>
    <w:rsid w:val="00C244B3"/>
    <w:rsid w:val="00C30542"/>
    <w:rsid w:val="00C30647"/>
    <w:rsid w:val="00C31F88"/>
    <w:rsid w:val="00C34050"/>
    <w:rsid w:val="00C343B1"/>
    <w:rsid w:val="00C428FB"/>
    <w:rsid w:val="00C46926"/>
    <w:rsid w:val="00C505A6"/>
    <w:rsid w:val="00C54F4A"/>
    <w:rsid w:val="00C55FC9"/>
    <w:rsid w:val="00C60390"/>
    <w:rsid w:val="00C627EE"/>
    <w:rsid w:val="00C629FA"/>
    <w:rsid w:val="00C64972"/>
    <w:rsid w:val="00C66DAD"/>
    <w:rsid w:val="00C66E53"/>
    <w:rsid w:val="00C67D0D"/>
    <w:rsid w:val="00C70528"/>
    <w:rsid w:val="00C71973"/>
    <w:rsid w:val="00C73156"/>
    <w:rsid w:val="00C825D1"/>
    <w:rsid w:val="00C835E8"/>
    <w:rsid w:val="00C83B59"/>
    <w:rsid w:val="00C83DF0"/>
    <w:rsid w:val="00C84FE1"/>
    <w:rsid w:val="00C86407"/>
    <w:rsid w:val="00C86EA2"/>
    <w:rsid w:val="00C9202C"/>
    <w:rsid w:val="00C93CB7"/>
    <w:rsid w:val="00CA08F8"/>
    <w:rsid w:val="00CA19EA"/>
    <w:rsid w:val="00CA6E4F"/>
    <w:rsid w:val="00CA6FBA"/>
    <w:rsid w:val="00CA742B"/>
    <w:rsid w:val="00CB06C3"/>
    <w:rsid w:val="00CB2455"/>
    <w:rsid w:val="00CC04ED"/>
    <w:rsid w:val="00CC56F3"/>
    <w:rsid w:val="00CD1774"/>
    <w:rsid w:val="00CD2EB2"/>
    <w:rsid w:val="00CD3ADB"/>
    <w:rsid w:val="00CD3D8B"/>
    <w:rsid w:val="00CD6E43"/>
    <w:rsid w:val="00CE637F"/>
    <w:rsid w:val="00CE7386"/>
    <w:rsid w:val="00CF2C72"/>
    <w:rsid w:val="00CF595B"/>
    <w:rsid w:val="00D00D4A"/>
    <w:rsid w:val="00D01984"/>
    <w:rsid w:val="00D034B1"/>
    <w:rsid w:val="00D03DA0"/>
    <w:rsid w:val="00D05D59"/>
    <w:rsid w:val="00D12716"/>
    <w:rsid w:val="00D15E73"/>
    <w:rsid w:val="00D162F7"/>
    <w:rsid w:val="00D20E35"/>
    <w:rsid w:val="00D2388F"/>
    <w:rsid w:val="00D30F3B"/>
    <w:rsid w:val="00D33007"/>
    <w:rsid w:val="00D3513B"/>
    <w:rsid w:val="00D372A4"/>
    <w:rsid w:val="00D40024"/>
    <w:rsid w:val="00D46B00"/>
    <w:rsid w:val="00D528E7"/>
    <w:rsid w:val="00D561D2"/>
    <w:rsid w:val="00D56C8A"/>
    <w:rsid w:val="00D57132"/>
    <w:rsid w:val="00D5755C"/>
    <w:rsid w:val="00D57B4B"/>
    <w:rsid w:val="00D57F10"/>
    <w:rsid w:val="00D60D26"/>
    <w:rsid w:val="00D624E7"/>
    <w:rsid w:val="00D629F7"/>
    <w:rsid w:val="00D638B9"/>
    <w:rsid w:val="00D63C7E"/>
    <w:rsid w:val="00D6498E"/>
    <w:rsid w:val="00D66AFD"/>
    <w:rsid w:val="00D70B1B"/>
    <w:rsid w:val="00D70BF2"/>
    <w:rsid w:val="00D71EF9"/>
    <w:rsid w:val="00D71F89"/>
    <w:rsid w:val="00D74CCC"/>
    <w:rsid w:val="00D77F59"/>
    <w:rsid w:val="00D8062A"/>
    <w:rsid w:val="00D821FB"/>
    <w:rsid w:val="00D83AED"/>
    <w:rsid w:val="00D84DFD"/>
    <w:rsid w:val="00D84E7B"/>
    <w:rsid w:val="00D85188"/>
    <w:rsid w:val="00D85AEA"/>
    <w:rsid w:val="00D92909"/>
    <w:rsid w:val="00D9518C"/>
    <w:rsid w:val="00D952A0"/>
    <w:rsid w:val="00D9553E"/>
    <w:rsid w:val="00D96165"/>
    <w:rsid w:val="00DB1B2A"/>
    <w:rsid w:val="00DB4D30"/>
    <w:rsid w:val="00DB5BF4"/>
    <w:rsid w:val="00DB6CB8"/>
    <w:rsid w:val="00DC0376"/>
    <w:rsid w:val="00DC05A3"/>
    <w:rsid w:val="00DC7783"/>
    <w:rsid w:val="00DC79E6"/>
    <w:rsid w:val="00DD3100"/>
    <w:rsid w:val="00DD461D"/>
    <w:rsid w:val="00DD5FE9"/>
    <w:rsid w:val="00DD71AD"/>
    <w:rsid w:val="00DD7253"/>
    <w:rsid w:val="00DE20DA"/>
    <w:rsid w:val="00DE6030"/>
    <w:rsid w:val="00DF1612"/>
    <w:rsid w:val="00DF19A9"/>
    <w:rsid w:val="00E014EF"/>
    <w:rsid w:val="00E03CF1"/>
    <w:rsid w:val="00E05354"/>
    <w:rsid w:val="00E053D6"/>
    <w:rsid w:val="00E10426"/>
    <w:rsid w:val="00E11229"/>
    <w:rsid w:val="00E117D0"/>
    <w:rsid w:val="00E131E8"/>
    <w:rsid w:val="00E15386"/>
    <w:rsid w:val="00E3213A"/>
    <w:rsid w:val="00E323AE"/>
    <w:rsid w:val="00E37EB5"/>
    <w:rsid w:val="00E40A95"/>
    <w:rsid w:val="00E45FDA"/>
    <w:rsid w:val="00E53171"/>
    <w:rsid w:val="00E577CE"/>
    <w:rsid w:val="00E6022A"/>
    <w:rsid w:val="00E61E88"/>
    <w:rsid w:val="00E63430"/>
    <w:rsid w:val="00E658B4"/>
    <w:rsid w:val="00E66AA5"/>
    <w:rsid w:val="00E72050"/>
    <w:rsid w:val="00E7254B"/>
    <w:rsid w:val="00E72A45"/>
    <w:rsid w:val="00E7494C"/>
    <w:rsid w:val="00E83810"/>
    <w:rsid w:val="00E850B1"/>
    <w:rsid w:val="00E85E53"/>
    <w:rsid w:val="00E874B3"/>
    <w:rsid w:val="00E9337E"/>
    <w:rsid w:val="00E938BC"/>
    <w:rsid w:val="00E94AC7"/>
    <w:rsid w:val="00E966B4"/>
    <w:rsid w:val="00EA25EB"/>
    <w:rsid w:val="00EA553B"/>
    <w:rsid w:val="00EB2445"/>
    <w:rsid w:val="00EB3052"/>
    <w:rsid w:val="00EB5638"/>
    <w:rsid w:val="00EB5BF3"/>
    <w:rsid w:val="00EB74AC"/>
    <w:rsid w:val="00EB7655"/>
    <w:rsid w:val="00EC098E"/>
    <w:rsid w:val="00EC36E0"/>
    <w:rsid w:val="00EC6606"/>
    <w:rsid w:val="00EC7973"/>
    <w:rsid w:val="00EC79E1"/>
    <w:rsid w:val="00ED0857"/>
    <w:rsid w:val="00ED1595"/>
    <w:rsid w:val="00ED18D3"/>
    <w:rsid w:val="00ED3591"/>
    <w:rsid w:val="00EE25D1"/>
    <w:rsid w:val="00EE5006"/>
    <w:rsid w:val="00EE78B3"/>
    <w:rsid w:val="00EF095F"/>
    <w:rsid w:val="00EF1991"/>
    <w:rsid w:val="00EF44B8"/>
    <w:rsid w:val="00EF5651"/>
    <w:rsid w:val="00F0512D"/>
    <w:rsid w:val="00F05907"/>
    <w:rsid w:val="00F05FCC"/>
    <w:rsid w:val="00F06845"/>
    <w:rsid w:val="00F11389"/>
    <w:rsid w:val="00F14361"/>
    <w:rsid w:val="00F153CF"/>
    <w:rsid w:val="00F165E0"/>
    <w:rsid w:val="00F16C04"/>
    <w:rsid w:val="00F214EB"/>
    <w:rsid w:val="00F227BA"/>
    <w:rsid w:val="00F32F62"/>
    <w:rsid w:val="00F35AF6"/>
    <w:rsid w:val="00F4350C"/>
    <w:rsid w:val="00F442AF"/>
    <w:rsid w:val="00F500DB"/>
    <w:rsid w:val="00F51B18"/>
    <w:rsid w:val="00F5216E"/>
    <w:rsid w:val="00F53326"/>
    <w:rsid w:val="00F53B26"/>
    <w:rsid w:val="00F55D1B"/>
    <w:rsid w:val="00F633D5"/>
    <w:rsid w:val="00F659D0"/>
    <w:rsid w:val="00F665FA"/>
    <w:rsid w:val="00F700FD"/>
    <w:rsid w:val="00F70868"/>
    <w:rsid w:val="00F70CA1"/>
    <w:rsid w:val="00F72800"/>
    <w:rsid w:val="00F7409C"/>
    <w:rsid w:val="00F752AD"/>
    <w:rsid w:val="00F81D31"/>
    <w:rsid w:val="00F83B7B"/>
    <w:rsid w:val="00F87ACF"/>
    <w:rsid w:val="00F87FBF"/>
    <w:rsid w:val="00F91EC6"/>
    <w:rsid w:val="00F94ADA"/>
    <w:rsid w:val="00FA0656"/>
    <w:rsid w:val="00FA17E8"/>
    <w:rsid w:val="00FA451D"/>
    <w:rsid w:val="00FA6348"/>
    <w:rsid w:val="00FA6ACF"/>
    <w:rsid w:val="00FB0163"/>
    <w:rsid w:val="00FB5FB4"/>
    <w:rsid w:val="00FB6C7C"/>
    <w:rsid w:val="00FC3BB0"/>
    <w:rsid w:val="00FC7FF2"/>
    <w:rsid w:val="00FD1E46"/>
    <w:rsid w:val="00FD336B"/>
    <w:rsid w:val="00FD5F6C"/>
    <w:rsid w:val="00FE11A3"/>
    <w:rsid w:val="00FE24B8"/>
    <w:rsid w:val="00FF038D"/>
    <w:rsid w:val="00FF4A8E"/>
    <w:rsid w:val="00FF6B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1D"/>
    <w:rPr>
      <w:rFonts w:ascii="Calibri" w:eastAsia="Calibri" w:hAnsi="Calibri" w:cs="Times New Roman"/>
      <w:lang w:val="en-US"/>
    </w:rPr>
  </w:style>
  <w:style w:type="paragraph" w:styleId="Heading1">
    <w:name w:val="heading 1"/>
    <w:basedOn w:val="Normal"/>
    <w:next w:val="Normal"/>
    <w:link w:val="Heading1Char"/>
    <w:uiPriority w:val="9"/>
    <w:qFormat/>
    <w:rsid w:val="00F70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F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74CCC"/>
    <w:pPr>
      <w:keepNext/>
      <w:keepLines/>
      <w:spacing w:before="200" w:after="0" w:line="240" w:lineRule="auto"/>
      <w:outlineLvl w:val="2"/>
    </w:pPr>
    <w:rPr>
      <w:rFonts w:ascii="Cambria" w:eastAsia="Times New Roman" w:hAnsi="Cambria"/>
      <w:b/>
      <w:bCs/>
      <w:szCs w:val="24"/>
      <w:lang w:val="en-GB" w:eastAsia="en-GB"/>
    </w:rPr>
  </w:style>
  <w:style w:type="paragraph" w:styleId="Heading4">
    <w:name w:val="heading 4"/>
    <w:basedOn w:val="Normal"/>
    <w:next w:val="Normal"/>
    <w:link w:val="Heading4Char"/>
    <w:uiPriority w:val="9"/>
    <w:unhideWhenUsed/>
    <w:qFormat/>
    <w:rsid w:val="00E40A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94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rsid w:val="00935E64"/>
    <w:rPr>
      <w:rFonts w:ascii="Times New Roman" w:hAnsi="Times New Roman" w:cs="Times New Roman"/>
      <w:sz w:val="16"/>
      <w:szCs w:val="16"/>
    </w:rPr>
  </w:style>
  <w:style w:type="paragraph" w:styleId="CommentText">
    <w:name w:val="annotation text"/>
    <w:basedOn w:val="Normal"/>
    <w:link w:val="CommentTextChar"/>
    <w:uiPriority w:val="99"/>
    <w:rsid w:val="00935E64"/>
    <w:pPr>
      <w:spacing w:after="0" w:line="240" w:lineRule="auto"/>
    </w:pPr>
    <w:rPr>
      <w:rFonts w:ascii="Times New Roman" w:eastAsia="SimSun" w:hAnsi="Times New Roman"/>
      <w:sz w:val="20"/>
      <w:szCs w:val="20"/>
      <w:lang w:val="en-GB" w:eastAsia="zh-CN"/>
    </w:rPr>
  </w:style>
  <w:style w:type="character" w:customStyle="1" w:styleId="CommentTextChar">
    <w:name w:val="Comment Text Char"/>
    <w:basedOn w:val="DefaultParagraphFont"/>
    <w:link w:val="CommentText"/>
    <w:uiPriority w:val="99"/>
    <w:rsid w:val="00935E64"/>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3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E64"/>
    <w:rPr>
      <w:rFonts w:ascii="Tahoma" w:eastAsia="Calibri" w:hAnsi="Tahoma" w:cs="Tahoma"/>
      <w:sz w:val="16"/>
      <w:szCs w:val="16"/>
      <w:lang w:val="en-US"/>
    </w:rPr>
  </w:style>
  <w:style w:type="paragraph" w:styleId="ListParagraph">
    <w:name w:val="List Paragraph"/>
    <w:basedOn w:val="Normal"/>
    <w:link w:val="ListParagraphChar"/>
    <w:uiPriority w:val="34"/>
    <w:qFormat/>
    <w:rsid w:val="001024D5"/>
    <w:pPr>
      <w:widowControl w:val="0"/>
      <w:spacing w:after="0" w:line="240" w:lineRule="auto"/>
      <w:ind w:left="720"/>
      <w:contextualSpacing/>
      <w:jc w:val="both"/>
    </w:pPr>
    <w:rPr>
      <w:rFonts w:ascii="Cambria" w:eastAsia="Times New Roman" w:hAnsi="Cambria" w:cs="Arial"/>
      <w:sz w:val="24"/>
      <w:szCs w:val="24"/>
      <w:lang w:val="en-GB" w:eastAsia="en-GB"/>
    </w:rPr>
  </w:style>
  <w:style w:type="character" w:customStyle="1" w:styleId="ListParagraphChar">
    <w:name w:val="List Paragraph Char"/>
    <w:basedOn w:val="DefaultParagraphFont"/>
    <w:link w:val="ListParagraph"/>
    <w:uiPriority w:val="34"/>
    <w:rsid w:val="001024D5"/>
    <w:rPr>
      <w:rFonts w:ascii="Cambria" w:eastAsia="Times New Roman" w:hAnsi="Cambria" w:cs="Arial"/>
      <w:sz w:val="24"/>
      <w:szCs w:val="24"/>
      <w:lang w:eastAsia="en-GB"/>
    </w:rPr>
  </w:style>
  <w:style w:type="paragraph" w:styleId="NormalIndent">
    <w:name w:val="Normal Indent"/>
    <w:basedOn w:val="Normal"/>
    <w:link w:val="NormalIndentChar"/>
    <w:uiPriority w:val="99"/>
    <w:rsid w:val="00954D4F"/>
    <w:pPr>
      <w:widowControl w:val="0"/>
      <w:numPr>
        <w:numId w:val="1"/>
      </w:numPr>
      <w:spacing w:after="0" w:line="240" w:lineRule="auto"/>
      <w:jc w:val="both"/>
    </w:pPr>
    <w:rPr>
      <w:rFonts w:ascii="Verdana" w:eastAsia="Times New Roman" w:hAnsi="Verdana" w:cs="Arial"/>
      <w:sz w:val="24"/>
      <w:lang w:val="en-GB"/>
    </w:rPr>
  </w:style>
  <w:style w:type="character" w:customStyle="1" w:styleId="NormalIndentChar">
    <w:name w:val="Normal Indent Char"/>
    <w:basedOn w:val="DefaultParagraphFont"/>
    <w:link w:val="NormalIndent"/>
    <w:uiPriority w:val="99"/>
    <w:locked/>
    <w:rsid w:val="00954D4F"/>
    <w:rPr>
      <w:rFonts w:ascii="Verdana" w:eastAsia="Times New Roman" w:hAnsi="Verdana" w:cs="Arial"/>
      <w:sz w:val="24"/>
    </w:rPr>
  </w:style>
  <w:style w:type="paragraph" w:customStyle="1" w:styleId="Style1">
    <w:name w:val="Style1"/>
    <w:basedOn w:val="ListParagraph"/>
    <w:link w:val="Style1Char"/>
    <w:qFormat/>
    <w:rsid w:val="00D74CCC"/>
    <w:pPr>
      <w:widowControl/>
      <w:ind w:left="0"/>
      <w:contextualSpacing w:val="0"/>
      <w:jc w:val="left"/>
    </w:pPr>
    <w:rPr>
      <w:rFonts w:cs="Times New Roman"/>
      <w:b/>
    </w:rPr>
  </w:style>
  <w:style w:type="character" w:customStyle="1" w:styleId="Style1Char">
    <w:name w:val="Style1 Char"/>
    <w:basedOn w:val="ListParagraphChar"/>
    <w:link w:val="Style1"/>
    <w:rsid w:val="00D74CCC"/>
    <w:rPr>
      <w:rFonts w:ascii="Cambria" w:eastAsia="Times New Roman" w:hAnsi="Cambria" w:cs="Times New Roman"/>
      <w:b/>
      <w:sz w:val="24"/>
      <w:szCs w:val="24"/>
      <w:lang w:eastAsia="en-GB"/>
    </w:rPr>
  </w:style>
  <w:style w:type="character" w:customStyle="1" w:styleId="Heading3Char">
    <w:name w:val="Heading 3 Char"/>
    <w:basedOn w:val="DefaultParagraphFont"/>
    <w:link w:val="Heading3"/>
    <w:uiPriority w:val="9"/>
    <w:rsid w:val="00D74CCC"/>
    <w:rPr>
      <w:rFonts w:ascii="Cambria" w:eastAsia="Times New Roman" w:hAnsi="Cambria" w:cs="Times New Roman"/>
      <w:b/>
      <w:bCs/>
      <w:szCs w:val="24"/>
      <w:lang w:eastAsia="en-GB"/>
    </w:rPr>
  </w:style>
  <w:style w:type="paragraph" w:styleId="FootnoteText">
    <w:name w:val="footnote text"/>
    <w:basedOn w:val="Normal"/>
    <w:link w:val="FootnoteTextChar1"/>
    <w:uiPriority w:val="99"/>
    <w:semiHidden/>
    <w:rsid w:val="008879F2"/>
    <w:pPr>
      <w:widowControl w:val="0"/>
      <w:spacing w:after="0" w:line="240" w:lineRule="auto"/>
      <w:jc w:val="both"/>
    </w:pPr>
    <w:rPr>
      <w:rFonts w:ascii="Cambria" w:eastAsia="Times New Roman" w:hAnsi="Cambria" w:cs="Arial"/>
      <w:sz w:val="20"/>
      <w:szCs w:val="20"/>
    </w:rPr>
  </w:style>
  <w:style w:type="character" w:customStyle="1" w:styleId="FootnoteTextChar">
    <w:name w:val="Footnote Text Char"/>
    <w:basedOn w:val="DefaultParagraphFont"/>
    <w:uiPriority w:val="99"/>
    <w:semiHidden/>
    <w:rsid w:val="008879F2"/>
    <w:rPr>
      <w:rFonts w:ascii="Calibri" w:eastAsia="Calibri" w:hAnsi="Calibri" w:cs="Times New Roman"/>
      <w:sz w:val="20"/>
      <w:szCs w:val="20"/>
      <w:lang w:val="en-US"/>
    </w:rPr>
  </w:style>
  <w:style w:type="character" w:customStyle="1" w:styleId="FootnoteTextChar1">
    <w:name w:val="Footnote Text Char1"/>
    <w:basedOn w:val="DefaultParagraphFont"/>
    <w:link w:val="FootnoteText"/>
    <w:uiPriority w:val="99"/>
    <w:semiHidden/>
    <w:locked/>
    <w:rsid w:val="008879F2"/>
    <w:rPr>
      <w:rFonts w:ascii="Cambria" w:eastAsia="Times New Roman" w:hAnsi="Cambria" w:cs="Arial"/>
      <w:sz w:val="20"/>
      <w:szCs w:val="20"/>
      <w:lang w:val="en-US"/>
    </w:rPr>
  </w:style>
  <w:style w:type="character" w:styleId="FootnoteReference">
    <w:name w:val="footnote reference"/>
    <w:basedOn w:val="DefaultParagraphFont"/>
    <w:uiPriority w:val="99"/>
    <w:semiHidden/>
    <w:rsid w:val="008879F2"/>
    <w:rPr>
      <w:rFonts w:cs="Times New Roman"/>
      <w:vertAlign w:val="superscript"/>
    </w:rPr>
  </w:style>
  <w:style w:type="paragraph" w:styleId="Caption">
    <w:name w:val="caption"/>
    <w:basedOn w:val="Normal"/>
    <w:next w:val="Normal"/>
    <w:uiPriority w:val="99"/>
    <w:qFormat/>
    <w:rsid w:val="002968F0"/>
    <w:pPr>
      <w:spacing w:after="0" w:line="240" w:lineRule="auto"/>
    </w:pPr>
    <w:rPr>
      <w:rFonts w:ascii="Times New Roman" w:eastAsia="Times New Roman" w:hAnsi="Times New Roman"/>
      <w:b/>
      <w:bCs/>
      <w:sz w:val="20"/>
      <w:szCs w:val="20"/>
    </w:rPr>
  </w:style>
  <w:style w:type="character" w:styleId="Hyperlink">
    <w:name w:val="Hyperlink"/>
    <w:basedOn w:val="DefaultParagraphFont"/>
    <w:uiPriority w:val="99"/>
    <w:rsid w:val="00687405"/>
    <w:rPr>
      <w:rFonts w:ascii="Times New Roman" w:hAnsi="Times New Roman" w:cs="Times New Roman"/>
      <w:color w:val="0000FF"/>
      <w:u w:val="single"/>
    </w:rPr>
  </w:style>
  <w:style w:type="table" w:styleId="TableGrid">
    <w:name w:val="Table Grid"/>
    <w:basedOn w:val="TableNormal"/>
    <w:uiPriority w:val="59"/>
    <w:rsid w:val="00AF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50B99"/>
    <w:pPr>
      <w:spacing w:after="20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650B99"/>
    <w:rPr>
      <w:rFonts w:ascii="Calibri" w:eastAsia="Calibri" w:hAnsi="Calibri" w:cs="Times New Roman"/>
      <w:b/>
      <w:bCs/>
      <w:sz w:val="20"/>
      <w:szCs w:val="20"/>
      <w:lang w:val="en-US" w:eastAsia="zh-CN"/>
    </w:rPr>
  </w:style>
  <w:style w:type="character" w:customStyle="1" w:styleId="Heading2Char">
    <w:name w:val="Heading 2 Char"/>
    <w:basedOn w:val="DefaultParagraphFont"/>
    <w:link w:val="Heading2"/>
    <w:uiPriority w:val="9"/>
    <w:semiHidden/>
    <w:rsid w:val="00323FE3"/>
    <w:rPr>
      <w:rFonts w:asciiTheme="majorHAnsi" w:eastAsiaTheme="majorEastAsia" w:hAnsiTheme="majorHAnsi" w:cstheme="majorBidi"/>
      <w:b/>
      <w:bCs/>
      <w:color w:val="4F81BD" w:themeColor="accent1"/>
      <w:sz w:val="26"/>
      <w:szCs w:val="26"/>
      <w:lang w:val="en-US"/>
    </w:rPr>
  </w:style>
  <w:style w:type="paragraph" w:styleId="BodyText2">
    <w:name w:val="Body Text 2"/>
    <w:basedOn w:val="Normal"/>
    <w:link w:val="BodyText2Char"/>
    <w:uiPriority w:val="99"/>
    <w:semiHidden/>
    <w:rsid w:val="00323FE3"/>
    <w:pPr>
      <w:widowControl w:val="0"/>
      <w:spacing w:after="120" w:line="480" w:lineRule="auto"/>
      <w:jc w:val="both"/>
    </w:pPr>
    <w:rPr>
      <w:rFonts w:ascii="Cambria" w:eastAsia="Times New Roman" w:hAnsi="Cambria" w:cs="Arial"/>
      <w:sz w:val="24"/>
      <w:szCs w:val="24"/>
      <w:lang w:val="en-GB" w:eastAsia="en-GB"/>
    </w:rPr>
  </w:style>
  <w:style w:type="character" w:customStyle="1" w:styleId="BodyText2Char">
    <w:name w:val="Body Text 2 Char"/>
    <w:basedOn w:val="DefaultParagraphFont"/>
    <w:link w:val="BodyText2"/>
    <w:uiPriority w:val="99"/>
    <w:semiHidden/>
    <w:rsid w:val="00323FE3"/>
    <w:rPr>
      <w:rFonts w:ascii="Cambria" w:eastAsia="Times New Roman" w:hAnsi="Cambria" w:cs="Arial"/>
      <w:sz w:val="24"/>
      <w:szCs w:val="24"/>
      <w:lang w:eastAsia="en-GB"/>
    </w:rPr>
  </w:style>
  <w:style w:type="character" w:customStyle="1" w:styleId="Heading4Char">
    <w:name w:val="Heading 4 Char"/>
    <w:basedOn w:val="DefaultParagraphFont"/>
    <w:link w:val="Heading4"/>
    <w:uiPriority w:val="9"/>
    <w:rsid w:val="00E40A95"/>
    <w:rPr>
      <w:rFonts w:asciiTheme="majorHAnsi" w:eastAsiaTheme="majorEastAsia" w:hAnsiTheme="majorHAnsi" w:cstheme="majorBidi"/>
      <w:b/>
      <w:bCs/>
      <w:i/>
      <w:iCs/>
      <w:color w:val="4F81BD" w:themeColor="accent1"/>
      <w:lang w:val="en-US"/>
    </w:rPr>
  </w:style>
  <w:style w:type="paragraph" w:styleId="Revision">
    <w:name w:val="Revision"/>
    <w:hidden/>
    <w:uiPriority w:val="99"/>
    <w:semiHidden/>
    <w:rsid w:val="00060C61"/>
    <w:pPr>
      <w:spacing w:after="0" w:line="240" w:lineRule="auto"/>
    </w:pPr>
    <w:rPr>
      <w:rFonts w:ascii="Calibri" w:eastAsia="Calibri" w:hAnsi="Calibri" w:cs="Times New Roman"/>
      <w:lang w:val="en-US"/>
    </w:rPr>
  </w:style>
  <w:style w:type="paragraph" w:customStyle="1" w:styleId="Textecourant">
    <w:name w:val="Texte courant"/>
    <w:basedOn w:val="Normal"/>
    <w:uiPriority w:val="99"/>
    <w:rsid w:val="00615873"/>
    <w:pPr>
      <w:spacing w:after="120" w:line="240" w:lineRule="auto"/>
      <w:jc w:val="both"/>
    </w:pPr>
    <w:rPr>
      <w:rFonts w:ascii="Times New Roman" w:eastAsia="Times New Roman" w:hAnsi="Times New Roman"/>
      <w:sz w:val="24"/>
      <w:szCs w:val="24"/>
      <w:lang w:val="en-GB" w:eastAsia="fr-FR"/>
    </w:rPr>
  </w:style>
  <w:style w:type="paragraph" w:styleId="Header">
    <w:name w:val="header"/>
    <w:basedOn w:val="Normal"/>
    <w:link w:val="HeaderChar"/>
    <w:uiPriority w:val="99"/>
    <w:semiHidden/>
    <w:unhideWhenUsed/>
    <w:rsid w:val="003E24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2460"/>
    <w:rPr>
      <w:rFonts w:ascii="Calibri" w:eastAsia="Calibri" w:hAnsi="Calibri" w:cs="Times New Roman"/>
      <w:lang w:val="en-US"/>
    </w:rPr>
  </w:style>
  <w:style w:type="paragraph" w:styleId="Footer">
    <w:name w:val="footer"/>
    <w:basedOn w:val="Normal"/>
    <w:link w:val="FooterChar"/>
    <w:uiPriority w:val="99"/>
    <w:unhideWhenUsed/>
    <w:rsid w:val="003E2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460"/>
    <w:rPr>
      <w:rFonts w:ascii="Calibri" w:eastAsia="Calibri" w:hAnsi="Calibri" w:cs="Times New Roman"/>
      <w:lang w:val="en-US"/>
    </w:rPr>
  </w:style>
  <w:style w:type="character" w:customStyle="1" w:styleId="unescocustom-5-corps-texte1">
    <w:name w:val="unescocustom-5-corps-texte1"/>
    <w:basedOn w:val="DefaultParagraphFont"/>
    <w:rsid w:val="005E4E5E"/>
    <w:rPr>
      <w:color w:val="595858"/>
      <w:sz w:val="22"/>
      <w:szCs w:val="22"/>
    </w:rPr>
  </w:style>
  <w:style w:type="character" w:styleId="FollowedHyperlink">
    <w:name w:val="FollowedHyperlink"/>
    <w:basedOn w:val="DefaultParagraphFont"/>
    <w:uiPriority w:val="99"/>
    <w:semiHidden/>
    <w:unhideWhenUsed/>
    <w:rsid w:val="000E5B14"/>
    <w:rPr>
      <w:color w:val="800080" w:themeColor="followedHyperlink"/>
      <w:u w:val="single"/>
    </w:rPr>
  </w:style>
  <w:style w:type="character" w:customStyle="1" w:styleId="Heading1Char">
    <w:name w:val="Heading 1 Char"/>
    <w:basedOn w:val="DefaultParagraphFont"/>
    <w:link w:val="Heading1"/>
    <w:uiPriority w:val="9"/>
    <w:rsid w:val="00F70CA1"/>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F70CA1"/>
    <w:rPr>
      <w:i/>
      <w:iCs/>
    </w:rPr>
  </w:style>
  <w:style w:type="character" w:customStyle="1" w:styleId="authors">
    <w:name w:val="authors"/>
    <w:basedOn w:val="DefaultParagraphFont"/>
    <w:rsid w:val="00F70CA1"/>
  </w:style>
  <w:style w:type="character" w:customStyle="1" w:styleId="date-display-single">
    <w:name w:val="date-display-single"/>
    <w:basedOn w:val="DefaultParagraphFont"/>
    <w:rsid w:val="00F70CA1"/>
  </w:style>
  <w:style w:type="character" w:customStyle="1" w:styleId="field-author-value">
    <w:name w:val="field-author-value"/>
    <w:basedOn w:val="DefaultParagraphFont"/>
    <w:rsid w:val="00F70CA1"/>
  </w:style>
  <w:style w:type="character" w:customStyle="1" w:styleId="field-year-value">
    <w:name w:val="field-year-value"/>
    <w:basedOn w:val="DefaultParagraphFont"/>
    <w:rsid w:val="00F70CA1"/>
  </w:style>
  <w:style w:type="character" w:customStyle="1" w:styleId="title3">
    <w:name w:val="title3"/>
    <w:basedOn w:val="DefaultParagraphFont"/>
    <w:rsid w:val="00F70CA1"/>
  </w:style>
  <w:style w:type="character" w:customStyle="1" w:styleId="field-description-value">
    <w:name w:val="field-description-value"/>
    <w:basedOn w:val="DefaultParagraphFont"/>
    <w:rsid w:val="00F70CA1"/>
  </w:style>
  <w:style w:type="character" w:customStyle="1" w:styleId="apple-style-span">
    <w:name w:val="apple-style-span"/>
    <w:basedOn w:val="DefaultParagraphFont"/>
    <w:rsid w:val="00F70CA1"/>
  </w:style>
  <w:style w:type="character" w:customStyle="1" w:styleId="diva2recordchoicetext">
    <w:name w:val="diva2recordchoicetext"/>
    <w:basedOn w:val="DefaultParagraphFont"/>
    <w:rsid w:val="005E3F45"/>
  </w:style>
  <w:style w:type="character" w:customStyle="1" w:styleId="apple-converted-space">
    <w:name w:val="apple-converted-space"/>
    <w:basedOn w:val="DefaultParagraphFont"/>
    <w:rsid w:val="00CD6E43"/>
  </w:style>
  <w:style w:type="character" w:customStyle="1" w:styleId="subhead1">
    <w:name w:val="subhead1"/>
    <w:basedOn w:val="DefaultParagraphFont"/>
    <w:rsid w:val="00AB060F"/>
    <w:rPr>
      <w:color w:val="333333"/>
      <w:sz w:val="21"/>
      <w:szCs w:val="21"/>
    </w:rPr>
  </w:style>
  <w:style w:type="character" w:customStyle="1" w:styleId="fn">
    <w:name w:val="fn"/>
    <w:basedOn w:val="DefaultParagraphFont"/>
    <w:rsid w:val="00791D57"/>
  </w:style>
  <w:style w:type="character" w:customStyle="1" w:styleId="st1">
    <w:name w:val="st1"/>
    <w:basedOn w:val="DefaultParagraphFont"/>
    <w:rsid w:val="00BB2EDA"/>
  </w:style>
  <w:style w:type="character" w:customStyle="1" w:styleId="hit">
    <w:name w:val="hit"/>
    <w:basedOn w:val="DefaultParagraphFont"/>
    <w:rsid w:val="00643F5A"/>
    <w:rPr>
      <w:sz w:val="24"/>
      <w:szCs w:val="24"/>
      <w:bdr w:val="none" w:sz="0" w:space="0" w:color="auto" w:frame="1"/>
      <w:shd w:val="clear" w:color="auto" w:fill="FFFFDD"/>
      <w:vertAlign w:val="baseline"/>
    </w:rPr>
  </w:style>
  <w:style w:type="character" w:customStyle="1" w:styleId="slug-pub-date3">
    <w:name w:val="slug-pub-date3"/>
    <w:basedOn w:val="DefaultParagraphFont"/>
    <w:rsid w:val="00663533"/>
    <w:rPr>
      <w:b/>
      <w:bCs/>
    </w:rPr>
  </w:style>
  <w:style w:type="character" w:customStyle="1" w:styleId="slug-vol">
    <w:name w:val="slug-vol"/>
    <w:basedOn w:val="DefaultParagraphFont"/>
    <w:rsid w:val="00663533"/>
  </w:style>
  <w:style w:type="character" w:customStyle="1" w:styleId="slug-issue">
    <w:name w:val="slug-issue"/>
    <w:basedOn w:val="DefaultParagraphFont"/>
    <w:rsid w:val="00663533"/>
  </w:style>
  <w:style w:type="character" w:customStyle="1" w:styleId="slug-pages3">
    <w:name w:val="slug-pages3"/>
    <w:basedOn w:val="DefaultParagraphFont"/>
    <w:rsid w:val="00663533"/>
    <w:rPr>
      <w:b/>
      <w:bCs/>
    </w:rPr>
  </w:style>
  <w:style w:type="paragraph" w:styleId="EndnoteText">
    <w:name w:val="endnote text"/>
    <w:basedOn w:val="Normal"/>
    <w:link w:val="EndnoteTextChar"/>
    <w:uiPriority w:val="99"/>
    <w:semiHidden/>
    <w:rsid w:val="00BB2458"/>
    <w:pPr>
      <w:widowControl w:val="0"/>
      <w:spacing w:after="0" w:line="240" w:lineRule="auto"/>
    </w:pPr>
    <w:rPr>
      <w:rFonts w:ascii="Times New Roman" w:eastAsia="Times New Roman" w:hAnsi="Times New Roman"/>
      <w:sz w:val="24"/>
      <w:szCs w:val="24"/>
      <w:lang w:val="en-GB"/>
    </w:rPr>
  </w:style>
  <w:style w:type="character" w:customStyle="1" w:styleId="EndnoteTextChar">
    <w:name w:val="Endnote Text Char"/>
    <w:basedOn w:val="DefaultParagraphFont"/>
    <w:link w:val="EndnoteText"/>
    <w:uiPriority w:val="99"/>
    <w:semiHidden/>
    <w:rsid w:val="00BB24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1D"/>
    <w:rPr>
      <w:rFonts w:ascii="Calibri" w:eastAsia="Calibri" w:hAnsi="Calibri" w:cs="Times New Roman"/>
      <w:lang w:val="en-US"/>
    </w:rPr>
  </w:style>
  <w:style w:type="paragraph" w:styleId="Heading1">
    <w:name w:val="heading 1"/>
    <w:basedOn w:val="Normal"/>
    <w:next w:val="Normal"/>
    <w:link w:val="Heading1Char"/>
    <w:uiPriority w:val="9"/>
    <w:qFormat/>
    <w:rsid w:val="00F70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F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74CCC"/>
    <w:pPr>
      <w:keepNext/>
      <w:keepLines/>
      <w:spacing w:before="200" w:after="0" w:line="240" w:lineRule="auto"/>
      <w:outlineLvl w:val="2"/>
    </w:pPr>
    <w:rPr>
      <w:rFonts w:ascii="Cambria" w:eastAsia="Times New Roman" w:hAnsi="Cambria"/>
      <w:b/>
      <w:bCs/>
      <w:szCs w:val="24"/>
      <w:lang w:val="en-GB" w:eastAsia="en-GB"/>
    </w:rPr>
  </w:style>
  <w:style w:type="paragraph" w:styleId="Heading4">
    <w:name w:val="heading 4"/>
    <w:basedOn w:val="Normal"/>
    <w:next w:val="Normal"/>
    <w:link w:val="Heading4Char"/>
    <w:uiPriority w:val="9"/>
    <w:semiHidden/>
    <w:unhideWhenUsed/>
    <w:qFormat/>
    <w:rsid w:val="00E40A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94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rsid w:val="00935E64"/>
    <w:rPr>
      <w:rFonts w:ascii="Times New Roman" w:hAnsi="Times New Roman" w:cs="Times New Roman"/>
      <w:sz w:val="16"/>
      <w:szCs w:val="16"/>
    </w:rPr>
  </w:style>
  <w:style w:type="paragraph" w:styleId="CommentText">
    <w:name w:val="annotation text"/>
    <w:basedOn w:val="Normal"/>
    <w:link w:val="CommentTextChar"/>
    <w:uiPriority w:val="99"/>
    <w:rsid w:val="00935E64"/>
    <w:pPr>
      <w:spacing w:after="0" w:line="240" w:lineRule="auto"/>
    </w:pPr>
    <w:rPr>
      <w:rFonts w:ascii="Times New Roman" w:eastAsia="SimSun" w:hAnsi="Times New Roman"/>
      <w:sz w:val="20"/>
      <w:szCs w:val="20"/>
      <w:lang w:val="en-GB" w:eastAsia="zh-CN"/>
    </w:rPr>
  </w:style>
  <w:style w:type="character" w:customStyle="1" w:styleId="CommentTextChar">
    <w:name w:val="Comment Text Char"/>
    <w:basedOn w:val="DefaultParagraphFont"/>
    <w:link w:val="CommentText"/>
    <w:uiPriority w:val="99"/>
    <w:rsid w:val="00935E64"/>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3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E64"/>
    <w:rPr>
      <w:rFonts w:ascii="Tahoma" w:eastAsia="Calibri" w:hAnsi="Tahoma" w:cs="Tahoma"/>
      <w:sz w:val="16"/>
      <w:szCs w:val="16"/>
      <w:lang w:val="en-US"/>
    </w:rPr>
  </w:style>
  <w:style w:type="paragraph" w:styleId="ListParagraph">
    <w:name w:val="List Paragraph"/>
    <w:basedOn w:val="Normal"/>
    <w:link w:val="ListParagraphChar"/>
    <w:uiPriority w:val="34"/>
    <w:qFormat/>
    <w:rsid w:val="001024D5"/>
    <w:pPr>
      <w:widowControl w:val="0"/>
      <w:spacing w:after="0" w:line="240" w:lineRule="auto"/>
      <w:ind w:left="720"/>
      <w:contextualSpacing/>
      <w:jc w:val="both"/>
    </w:pPr>
    <w:rPr>
      <w:rFonts w:ascii="Cambria" w:eastAsia="Times New Roman" w:hAnsi="Cambria" w:cs="Arial"/>
      <w:sz w:val="24"/>
      <w:szCs w:val="24"/>
      <w:lang w:val="en-GB" w:eastAsia="en-GB"/>
    </w:rPr>
  </w:style>
  <w:style w:type="character" w:customStyle="1" w:styleId="ListParagraphChar">
    <w:name w:val="List Paragraph Char"/>
    <w:basedOn w:val="DefaultParagraphFont"/>
    <w:link w:val="ListParagraph"/>
    <w:uiPriority w:val="34"/>
    <w:rsid w:val="001024D5"/>
    <w:rPr>
      <w:rFonts w:ascii="Cambria" w:eastAsia="Times New Roman" w:hAnsi="Cambria" w:cs="Arial"/>
      <w:sz w:val="24"/>
      <w:szCs w:val="24"/>
      <w:lang w:eastAsia="en-GB"/>
    </w:rPr>
  </w:style>
  <w:style w:type="paragraph" w:styleId="NormalIndent">
    <w:name w:val="Normal Indent"/>
    <w:basedOn w:val="Normal"/>
    <w:link w:val="NormalIndentChar"/>
    <w:uiPriority w:val="99"/>
    <w:rsid w:val="00954D4F"/>
    <w:pPr>
      <w:widowControl w:val="0"/>
      <w:numPr>
        <w:numId w:val="1"/>
      </w:numPr>
      <w:spacing w:after="0" w:line="240" w:lineRule="auto"/>
      <w:jc w:val="both"/>
    </w:pPr>
    <w:rPr>
      <w:rFonts w:ascii="Verdana" w:eastAsia="Times New Roman" w:hAnsi="Verdana" w:cs="Arial"/>
      <w:sz w:val="24"/>
      <w:lang w:val="en-GB"/>
    </w:rPr>
  </w:style>
  <w:style w:type="character" w:customStyle="1" w:styleId="NormalIndentChar">
    <w:name w:val="Normal Indent Char"/>
    <w:basedOn w:val="DefaultParagraphFont"/>
    <w:link w:val="NormalIndent"/>
    <w:uiPriority w:val="99"/>
    <w:locked/>
    <w:rsid w:val="00954D4F"/>
    <w:rPr>
      <w:rFonts w:ascii="Verdana" w:eastAsia="Times New Roman" w:hAnsi="Verdana" w:cs="Arial"/>
      <w:sz w:val="24"/>
    </w:rPr>
  </w:style>
  <w:style w:type="paragraph" w:customStyle="1" w:styleId="Style1">
    <w:name w:val="Style1"/>
    <w:basedOn w:val="ListParagraph"/>
    <w:link w:val="Style1Char"/>
    <w:qFormat/>
    <w:rsid w:val="00D74CCC"/>
    <w:pPr>
      <w:widowControl/>
      <w:ind w:left="0"/>
      <w:contextualSpacing w:val="0"/>
      <w:jc w:val="left"/>
    </w:pPr>
    <w:rPr>
      <w:rFonts w:cs="Times New Roman"/>
      <w:b/>
    </w:rPr>
  </w:style>
  <w:style w:type="character" w:customStyle="1" w:styleId="Style1Char">
    <w:name w:val="Style1 Char"/>
    <w:basedOn w:val="ListParagraphChar"/>
    <w:link w:val="Style1"/>
    <w:rsid w:val="00D74CCC"/>
    <w:rPr>
      <w:rFonts w:ascii="Cambria" w:eastAsia="Times New Roman" w:hAnsi="Cambria" w:cs="Times New Roman"/>
      <w:b/>
      <w:sz w:val="24"/>
      <w:szCs w:val="24"/>
      <w:lang w:eastAsia="en-GB"/>
    </w:rPr>
  </w:style>
  <w:style w:type="character" w:customStyle="1" w:styleId="Heading3Char">
    <w:name w:val="Heading 3 Char"/>
    <w:basedOn w:val="DefaultParagraphFont"/>
    <w:link w:val="Heading3"/>
    <w:uiPriority w:val="9"/>
    <w:rsid w:val="00D74CCC"/>
    <w:rPr>
      <w:rFonts w:ascii="Cambria" w:eastAsia="Times New Roman" w:hAnsi="Cambria" w:cs="Times New Roman"/>
      <w:b/>
      <w:bCs/>
      <w:szCs w:val="24"/>
      <w:lang w:eastAsia="en-GB"/>
    </w:rPr>
  </w:style>
  <w:style w:type="paragraph" w:styleId="FootnoteText">
    <w:name w:val="footnote text"/>
    <w:basedOn w:val="Normal"/>
    <w:link w:val="FootnoteTextChar1"/>
    <w:uiPriority w:val="99"/>
    <w:semiHidden/>
    <w:rsid w:val="008879F2"/>
    <w:pPr>
      <w:widowControl w:val="0"/>
      <w:spacing w:after="0" w:line="240" w:lineRule="auto"/>
      <w:jc w:val="both"/>
    </w:pPr>
    <w:rPr>
      <w:rFonts w:ascii="Cambria" w:eastAsia="Times New Roman" w:hAnsi="Cambria" w:cs="Arial"/>
      <w:sz w:val="20"/>
      <w:szCs w:val="20"/>
    </w:rPr>
  </w:style>
  <w:style w:type="character" w:customStyle="1" w:styleId="FootnoteTextChar">
    <w:name w:val="Footnote Text Char"/>
    <w:basedOn w:val="DefaultParagraphFont"/>
    <w:uiPriority w:val="99"/>
    <w:semiHidden/>
    <w:rsid w:val="008879F2"/>
    <w:rPr>
      <w:rFonts w:ascii="Calibri" w:eastAsia="Calibri" w:hAnsi="Calibri" w:cs="Times New Roman"/>
      <w:sz w:val="20"/>
      <w:szCs w:val="20"/>
      <w:lang w:val="en-US"/>
    </w:rPr>
  </w:style>
  <w:style w:type="character" w:customStyle="1" w:styleId="FootnoteTextChar1">
    <w:name w:val="Footnote Text Char1"/>
    <w:basedOn w:val="DefaultParagraphFont"/>
    <w:link w:val="FootnoteText"/>
    <w:uiPriority w:val="99"/>
    <w:semiHidden/>
    <w:locked/>
    <w:rsid w:val="008879F2"/>
    <w:rPr>
      <w:rFonts w:ascii="Cambria" w:eastAsia="Times New Roman" w:hAnsi="Cambria" w:cs="Arial"/>
      <w:sz w:val="20"/>
      <w:szCs w:val="20"/>
      <w:lang w:val="en-US"/>
    </w:rPr>
  </w:style>
  <w:style w:type="character" w:styleId="FootnoteReference">
    <w:name w:val="footnote reference"/>
    <w:basedOn w:val="DefaultParagraphFont"/>
    <w:uiPriority w:val="99"/>
    <w:semiHidden/>
    <w:rsid w:val="008879F2"/>
    <w:rPr>
      <w:rFonts w:cs="Times New Roman"/>
      <w:vertAlign w:val="superscript"/>
    </w:rPr>
  </w:style>
  <w:style w:type="paragraph" w:styleId="Caption">
    <w:name w:val="caption"/>
    <w:basedOn w:val="Normal"/>
    <w:next w:val="Normal"/>
    <w:uiPriority w:val="99"/>
    <w:qFormat/>
    <w:rsid w:val="002968F0"/>
    <w:pPr>
      <w:spacing w:after="0" w:line="240" w:lineRule="auto"/>
    </w:pPr>
    <w:rPr>
      <w:rFonts w:ascii="Times New Roman" w:eastAsia="Times New Roman" w:hAnsi="Times New Roman"/>
      <w:b/>
      <w:bCs/>
      <w:sz w:val="20"/>
      <w:szCs w:val="20"/>
    </w:rPr>
  </w:style>
  <w:style w:type="character" w:styleId="Hyperlink">
    <w:name w:val="Hyperlink"/>
    <w:basedOn w:val="DefaultParagraphFont"/>
    <w:uiPriority w:val="99"/>
    <w:rsid w:val="00687405"/>
    <w:rPr>
      <w:rFonts w:ascii="Times New Roman" w:hAnsi="Times New Roman" w:cs="Times New Roman"/>
      <w:color w:val="0000FF"/>
      <w:u w:val="single"/>
    </w:rPr>
  </w:style>
  <w:style w:type="table" w:styleId="TableGrid">
    <w:name w:val="Table Grid"/>
    <w:basedOn w:val="TableNormal"/>
    <w:uiPriority w:val="59"/>
    <w:rsid w:val="00AF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50B99"/>
    <w:pPr>
      <w:spacing w:after="20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650B99"/>
    <w:rPr>
      <w:rFonts w:ascii="Calibri" w:eastAsia="Calibri" w:hAnsi="Calibri" w:cs="Times New Roman"/>
      <w:b/>
      <w:bCs/>
      <w:sz w:val="20"/>
      <w:szCs w:val="20"/>
      <w:lang w:val="en-US" w:eastAsia="zh-CN"/>
    </w:rPr>
  </w:style>
  <w:style w:type="character" w:customStyle="1" w:styleId="Heading2Char">
    <w:name w:val="Heading 2 Char"/>
    <w:basedOn w:val="DefaultParagraphFont"/>
    <w:link w:val="Heading2"/>
    <w:uiPriority w:val="9"/>
    <w:semiHidden/>
    <w:rsid w:val="00323FE3"/>
    <w:rPr>
      <w:rFonts w:asciiTheme="majorHAnsi" w:eastAsiaTheme="majorEastAsia" w:hAnsiTheme="majorHAnsi" w:cstheme="majorBidi"/>
      <w:b/>
      <w:bCs/>
      <w:color w:val="4F81BD" w:themeColor="accent1"/>
      <w:sz w:val="26"/>
      <w:szCs w:val="26"/>
      <w:lang w:val="en-US"/>
    </w:rPr>
  </w:style>
  <w:style w:type="paragraph" w:styleId="BodyText2">
    <w:name w:val="Body Text 2"/>
    <w:basedOn w:val="Normal"/>
    <w:link w:val="BodyText2Char"/>
    <w:uiPriority w:val="99"/>
    <w:semiHidden/>
    <w:rsid w:val="00323FE3"/>
    <w:pPr>
      <w:widowControl w:val="0"/>
      <w:spacing w:after="120" w:line="480" w:lineRule="auto"/>
      <w:jc w:val="both"/>
    </w:pPr>
    <w:rPr>
      <w:rFonts w:ascii="Cambria" w:eastAsia="Times New Roman" w:hAnsi="Cambria" w:cs="Arial"/>
      <w:sz w:val="24"/>
      <w:szCs w:val="24"/>
      <w:lang w:val="en-GB" w:eastAsia="en-GB"/>
    </w:rPr>
  </w:style>
  <w:style w:type="character" w:customStyle="1" w:styleId="BodyText2Char">
    <w:name w:val="Body Text 2 Char"/>
    <w:basedOn w:val="DefaultParagraphFont"/>
    <w:link w:val="BodyText2"/>
    <w:uiPriority w:val="99"/>
    <w:semiHidden/>
    <w:rsid w:val="00323FE3"/>
    <w:rPr>
      <w:rFonts w:ascii="Cambria" w:eastAsia="Times New Roman" w:hAnsi="Cambria" w:cs="Arial"/>
      <w:sz w:val="24"/>
      <w:szCs w:val="24"/>
      <w:lang w:eastAsia="en-GB"/>
    </w:rPr>
  </w:style>
  <w:style w:type="character" w:customStyle="1" w:styleId="Heading4Char">
    <w:name w:val="Heading 4 Char"/>
    <w:basedOn w:val="DefaultParagraphFont"/>
    <w:link w:val="Heading4"/>
    <w:uiPriority w:val="9"/>
    <w:semiHidden/>
    <w:rsid w:val="00E40A95"/>
    <w:rPr>
      <w:rFonts w:asciiTheme="majorHAnsi" w:eastAsiaTheme="majorEastAsia" w:hAnsiTheme="majorHAnsi" w:cstheme="majorBidi"/>
      <w:b/>
      <w:bCs/>
      <w:i/>
      <w:iCs/>
      <w:color w:val="4F81BD" w:themeColor="accent1"/>
      <w:lang w:val="en-US"/>
    </w:rPr>
  </w:style>
  <w:style w:type="paragraph" w:styleId="Revision">
    <w:name w:val="Revision"/>
    <w:hidden/>
    <w:uiPriority w:val="99"/>
    <w:semiHidden/>
    <w:rsid w:val="00060C61"/>
    <w:pPr>
      <w:spacing w:after="0" w:line="240" w:lineRule="auto"/>
    </w:pPr>
    <w:rPr>
      <w:rFonts w:ascii="Calibri" w:eastAsia="Calibri" w:hAnsi="Calibri" w:cs="Times New Roman"/>
      <w:lang w:val="en-US"/>
    </w:rPr>
  </w:style>
  <w:style w:type="paragraph" w:customStyle="1" w:styleId="Textecourant">
    <w:name w:val="Texte courant"/>
    <w:basedOn w:val="Normal"/>
    <w:uiPriority w:val="99"/>
    <w:rsid w:val="00615873"/>
    <w:pPr>
      <w:spacing w:after="120" w:line="240" w:lineRule="auto"/>
      <w:jc w:val="both"/>
    </w:pPr>
    <w:rPr>
      <w:rFonts w:ascii="Times New Roman" w:eastAsia="Times New Roman" w:hAnsi="Times New Roman"/>
      <w:sz w:val="24"/>
      <w:szCs w:val="24"/>
      <w:lang w:val="en-GB" w:eastAsia="fr-FR"/>
    </w:rPr>
  </w:style>
  <w:style w:type="paragraph" w:styleId="Header">
    <w:name w:val="header"/>
    <w:basedOn w:val="Normal"/>
    <w:link w:val="HeaderChar"/>
    <w:uiPriority w:val="99"/>
    <w:semiHidden/>
    <w:unhideWhenUsed/>
    <w:rsid w:val="003E24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2460"/>
    <w:rPr>
      <w:rFonts w:ascii="Calibri" w:eastAsia="Calibri" w:hAnsi="Calibri" w:cs="Times New Roman"/>
      <w:lang w:val="en-US"/>
    </w:rPr>
  </w:style>
  <w:style w:type="paragraph" w:styleId="Footer">
    <w:name w:val="footer"/>
    <w:basedOn w:val="Normal"/>
    <w:link w:val="FooterChar"/>
    <w:uiPriority w:val="99"/>
    <w:unhideWhenUsed/>
    <w:rsid w:val="003E2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460"/>
    <w:rPr>
      <w:rFonts w:ascii="Calibri" w:eastAsia="Calibri" w:hAnsi="Calibri" w:cs="Times New Roman"/>
      <w:lang w:val="en-US"/>
    </w:rPr>
  </w:style>
  <w:style w:type="character" w:customStyle="1" w:styleId="unescocustom-5-corps-texte1">
    <w:name w:val="unescocustom-5-corps-texte1"/>
    <w:basedOn w:val="DefaultParagraphFont"/>
    <w:rsid w:val="005E4E5E"/>
    <w:rPr>
      <w:color w:val="595858"/>
      <w:sz w:val="22"/>
      <w:szCs w:val="22"/>
    </w:rPr>
  </w:style>
  <w:style w:type="character" w:styleId="FollowedHyperlink">
    <w:name w:val="FollowedHyperlink"/>
    <w:basedOn w:val="DefaultParagraphFont"/>
    <w:uiPriority w:val="99"/>
    <w:semiHidden/>
    <w:unhideWhenUsed/>
    <w:rsid w:val="000E5B14"/>
    <w:rPr>
      <w:color w:val="800080" w:themeColor="followedHyperlink"/>
      <w:u w:val="single"/>
    </w:rPr>
  </w:style>
  <w:style w:type="character" w:customStyle="1" w:styleId="Heading1Char">
    <w:name w:val="Heading 1 Char"/>
    <w:basedOn w:val="DefaultParagraphFont"/>
    <w:link w:val="Heading1"/>
    <w:uiPriority w:val="9"/>
    <w:rsid w:val="00F70CA1"/>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F70CA1"/>
    <w:rPr>
      <w:i/>
      <w:iCs/>
    </w:rPr>
  </w:style>
  <w:style w:type="character" w:customStyle="1" w:styleId="authors">
    <w:name w:val="authors"/>
    <w:basedOn w:val="DefaultParagraphFont"/>
    <w:rsid w:val="00F70CA1"/>
  </w:style>
  <w:style w:type="character" w:customStyle="1" w:styleId="date-display-single">
    <w:name w:val="date-display-single"/>
    <w:basedOn w:val="DefaultParagraphFont"/>
    <w:rsid w:val="00F70CA1"/>
  </w:style>
  <w:style w:type="character" w:customStyle="1" w:styleId="field-author-value">
    <w:name w:val="field-author-value"/>
    <w:basedOn w:val="DefaultParagraphFont"/>
    <w:rsid w:val="00F70CA1"/>
  </w:style>
  <w:style w:type="character" w:customStyle="1" w:styleId="field-year-value">
    <w:name w:val="field-year-value"/>
    <w:basedOn w:val="DefaultParagraphFont"/>
    <w:rsid w:val="00F70CA1"/>
  </w:style>
  <w:style w:type="character" w:customStyle="1" w:styleId="title3">
    <w:name w:val="title3"/>
    <w:basedOn w:val="DefaultParagraphFont"/>
    <w:rsid w:val="00F70CA1"/>
  </w:style>
  <w:style w:type="character" w:customStyle="1" w:styleId="field-description-value">
    <w:name w:val="field-description-value"/>
    <w:basedOn w:val="DefaultParagraphFont"/>
    <w:rsid w:val="00F70CA1"/>
  </w:style>
  <w:style w:type="character" w:customStyle="1" w:styleId="apple-style-span">
    <w:name w:val="apple-style-span"/>
    <w:basedOn w:val="DefaultParagraphFont"/>
    <w:rsid w:val="00F70CA1"/>
  </w:style>
</w:styles>
</file>

<file path=word/webSettings.xml><?xml version="1.0" encoding="utf-8"?>
<w:webSettings xmlns:r="http://schemas.openxmlformats.org/officeDocument/2006/relationships" xmlns:w="http://schemas.openxmlformats.org/wordprocessingml/2006/main">
  <w:divs>
    <w:div w:id="289669957">
      <w:bodyDiv w:val="1"/>
      <w:marLeft w:val="0"/>
      <w:marRight w:val="0"/>
      <w:marTop w:val="0"/>
      <w:marBottom w:val="0"/>
      <w:divBdr>
        <w:top w:val="none" w:sz="0" w:space="0" w:color="auto"/>
        <w:left w:val="none" w:sz="0" w:space="0" w:color="auto"/>
        <w:bottom w:val="none" w:sz="0" w:space="0" w:color="auto"/>
        <w:right w:val="none" w:sz="0" w:space="0" w:color="auto"/>
      </w:divBdr>
    </w:div>
    <w:div w:id="315498166">
      <w:bodyDiv w:val="1"/>
      <w:marLeft w:val="0"/>
      <w:marRight w:val="0"/>
      <w:marTop w:val="0"/>
      <w:marBottom w:val="0"/>
      <w:divBdr>
        <w:top w:val="none" w:sz="0" w:space="0" w:color="auto"/>
        <w:left w:val="none" w:sz="0" w:space="0" w:color="auto"/>
        <w:bottom w:val="none" w:sz="0" w:space="0" w:color="auto"/>
        <w:right w:val="none" w:sz="0" w:space="0" w:color="auto"/>
      </w:divBdr>
      <w:divsChild>
        <w:div w:id="331219201">
          <w:marLeft w:val="0"/>
          <w:marRight w:val="0"/>
          <w:marTop w:val="0"/>
          <w:marBottom w:val="0"/>
          <w:divBdr>
            <w:top w:val="none" w:sz="0" w:space="0" w:color="auto"/>
            <w:left w:val="none" w:sz="0" w:space="0" w:color="auto"/>
            <w:bottom w:val="none" w:sz="0" w:space="0" w:color="auto"/>
            <w:right w:val="none" w:sz="0" w:space="0" w:color="auto"/>
          </w:divBdr>
          <w:divsChild>
            <w:div w:id="872310214">
              <w:marLeft w:val="0"/>
              <w:marRight w:val="0"/>
              <w:marTop w:val="0"/>
              <w:marBottom w:val="0"/>
              <w:divBdr>
                <w:top w:val="none" w:sz="0" w:space="0" w:color="auto"/>
                <w:left w:val="none" w:sz="0" w:space="0" w:color="auto"/>
                <w:bottom w:val="none" w:sz="0" w:space="0" w:color="auto"/>
                <w:right w:val="none" w:sz="0" w:space="0" w:color="auto"/>
              </w:divBdr>
              <w:divsChild>
                <w:div w:id="327176289">
                  <w:marLeft w:val="0"/>
                  <w:marRight w:val="0"/>
                  <w:marTop w:val="0"/>
                  <w:marBottom w:val="0"/>
                  <w:divBdr>
                    <w:top w:val="none" w:sz="0" w:space="0" w:color="auto"/>
                    <w:left w:val="none" w:sz="0" w:space="0" w:color="auto"/>
                    <w:bottom w:val="none" w:sz="0" w:space="0" w:color="auto"/>
                    <w:right w:val="none" w:sz="0" w:space="0" w:color="auto"/>
                  </w:divBdr>
                  <w:divsChild>
                    <w:div w:id="1045370765">
                      <w:marLeft w:val="0"/>
                      <w:marRight w:val="0"/>
                      <w:marTop w:val="0"/>
                      <w:marBottom w:val="0"/>
                      <w:divBdr>
                        <w:top w:val="none" w:sz="0" w:space="0" w:color="auto"/>
                        <w:left w:val="none" w:sz="0" w:space="0" w:color="auto"/>
                        <w:bottom w:val="none" w:sz="0" w:space="0" w:color="auto"/>
                        <w:right w:val="none" w:sz="0" w:space="0" w:color="auto"/>
                      </w:divBdr>
                      <w:divsChild>
                        <w:div w:id="1362434982">
                          <w:marLeft w:val="0"/>
                          <w:marRight w:val="0"/>
                          <w:marTop w:val="0"/>
                          <w:marBottom w:val="0"/>
                          <w:divBdr>
                            <w:top w:val="none" w:sz="0" w:space="0" w:color="auto"/>
                            <w:left w:val="none" w:sz="0" w:space="0" w:color="auto"/>
                            <w:bottom w:val="none" w:sz="0" w:space="0" w:color="auto"/>
                            <w:right w:val="none" w:sz="0" w:space="0" w:color="auto"/>
                          </w:divBdr>
                          <w:divsChild>
                            <w:div w:id="686177957">
                              <w:marLeft w:val="0"/>
                              <w:marRight w:val="0"/>
                              <w:marTop w:val="0"/>
                              <w:marBottom w:val="0"/>
                              <w:divBdr>
                                <w:top w:val="none" w:sz="0" w:space="0" w:color="auto"/>
                                <w:left w:val="none" w:sz="0" w:space="0" w:color="auto"/>
                                <w:bottom w:val="none" w:sz="0" w:space="0" w:color="auto"/>
                                <w:right w:val="none" w:sz="0" w:space="0" w:color="auto"/>
                              </w:divBdr>
                              <w:divsChild>
                                <w:div w:id="1525171910">
                                  <w:marLeft w:val="0"/>
                                  <w:marRight w:val="0"/>
                                  <w:marTop w:val="0"/>
                                  <w:marBottom w:val="0"/>
                                  <w:divBdr>
                                    <w:top w:val="none" w:sz="0" w:space="0" w:color="auto"/>
                                    <w:left w:val="none" w:sz="0" w:space="0" w:color="auto"/>
                                    <w:bottom w:val="none" w:sz="0" w:space="0" w:color="auto"/>
                                    <w:right w:val="none" w:sz="0" w:space="0" w:color="auto"/>
                                  </w:divBdr>
                                  <w:divsChild>
                                    <w:div w:id="2071731658">
                                      <w:marLeft w:val="0"/>
                                      <w:marRight w:val="0"/>
                                      <w:marTop w:val="0"/>
                                      <w:marBottom w:val="0"/>
                                      <w:divBdr>
                                        <w:top w:val="none" w:sz="0" w:space="0" w:color="auto"/>
                                        <w:left w:val="none" w:sz="0" w:space="0" w:color="auto"/>
                                        <w:bottom w:val="none" w:sz="0" w:space="0" w:color="auto"/>
                                        <w:right w:val="none" w:sz="0" w:space="0" w:color="auto"/>
                                      </w:divBdr>
                                      <w:divsChild>
                                        <w:div w:id="177355016">
                                          <w:marLeft w:val="0"/>
                                          <w:marRight w:val="0"/>
                                          <w:marTop w:val="0"/>
                                          <w:marBottom w:val="0"/>
                                          <w:divBdr>
                                            <w:top w:val="none" w:sz="0" w:space="0" w:color="auto"/>
                                            <w:left w:val="none" w:sz="0" w:space="0" w:color="auto"/>
                                            <w:bottom w:val="none" w:sz="0" w:space="0" w:color="auto"/>
                                            <w:right w:val="none" w:sz="0" w:space="0" w:color="auto"/>
                                          </w:divBdr>
                                          <w:divsChild>
                                            <w:div w:id="17256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577214">
      <w:bodyDiv w:val="1"/>
      <w:marLeft w:val="0"/>
      <w:marRight w:val="0"/>
      <w:marTop w:val="0"/>
      <w:marBottom w:val="0"/>
      <w:divBdr>
        <w:top w:val="none" w:sz="0" w:space="0" w:color="auto"/>
        <w:left w:val="none" w:sz="0" w:space="0" w:color="auto"/>
        <w:bottom w:val="none" w:sz="0" w:space="0" w:color="auto"/>
        <w:right w:val="none" w:sz="0" w:space="0" w:color="auto"/>
      </w:divBdr>
      <w:divsChild>
        <w:div w:id="1032998017">
          <w:marLeft w:val="547"/>
          <w:marRight w:val="0"/>
          <w:marTop w:val="134"/>
          <w:marBottom w:val="0"/>
          <w:divBdr>
            <w:top w:val="none" w:sz="0" w:space="0" w:color="auto"/>
            <w:left w:val="none" w:sz="0" w:space="0" w:color="auto"/>
            <w:bottom w:val="none" w:sz="0" w:space="0" w:color="auto"/>
            <w:right w:val="none" w:sz="0" w:space="0" w:color="auto"/>
          </w:divBdr>
        </w:div>
      </w:divsChild>
    </w:div>
    <w:div w:id="648555306">
      <w:bodyDiv w:val="1"/>
      <w:marLeft w:val="0"/>
      <w:marRight w:val="0"/>
      <w:marTop w:val="0"/>
      <w:marBottom w:val="0"/>
      <w:divBdr>
        <w:top w:val="none" w:sz="0" w:space="0" w:color="auto"/>
        <w:left w:val="none" w:sz="0" w:space="0" w:color="auto"/>
        <w:bottom w:val="none" w:sz="0" w:space="0" w:color="auto"/>
        <w:right w:val="none" w:sz="0" w:space="0" w:color="auto"/>
      </w:divBdr>
    </w:div>
    <w:div w:id="851724185">
      <w:bodyDiv w:val="1"/>
      <w:marLeft w:val="0"/>
      <w:marRight w:val="0"/>
      <w:marTop w:val="0"/>
      <w:marBottom w:val="0"/>
      <w:divBdr>
        <w:top w:val="none" w:sz="0" w:space="0" w:color="auto"/>
        <w:left w:val="none" w:sz="0" w:space="0" w:color="auto"/>
        <w:bottom w:val="none" w:sz="0" w:space="0" w:color="auto"/>
        <w:right w:val="none" w:sz="0" w:space="0" w:color="auto"/>
      </w:divBdr>
    </w:div>
    <w:div w:id="1005472677">
      <w:bodyDiv w:val="1"/>
      <w:marLeft w:val="0"/>
      <w:marRight w:val="0"/>
      <w:marTop w:val="0"/>
      <w:marBottom w:val="0"/>
      <w:divBdr>
        <w:top w:val="none" w:sz="0" w:space="0" w:color="auto"/>
        <w:left w:val="none" w:sz="0" w:space="0" w:color="auto"/>
        <w:bottom w:val="none" w:sz="0" w:space="0" w:color="auto"/>
        <w:right w:val="none" w:sz="0" w:space="0" w:color="auto"/>
      </w:divBdr>
    </w:div>
    <w:div w:id="1063138311">
      <w:bodyDiv w:val="1"/>
      <w:marLeft w:val="0"/>
      <w:marRight w:val="0"/>
      <w:marTop w:val="0"/>
      <w:marBottom w:val="0"/>
      <w:divBdr>
        <w:top w:val="none" w:sz="0" w:space="0" w:color="auto"/>
        <w:left w:val="none" w:sz="0" w:space="0" w:color="auto"/>
        <w:bottom w:val="none" w:sz="0" w:space="0" w:color="auto"/>
        <w:right w:val="none" w:sz="0" w:space="0" w:color="auto"/>
      </w:divBdr>
    </w:div>
    <w:div w:id="1287077215">
      <w:bodyDiv w:val="1"/>
      <w:marLeft w:val="0"/>
      <w:marRight w:val="0"/>
      <w:marTop w:val="0"/>
      <w:marBottom w:val="0"/>
      <w:divBdr>
        <w:top w:val="none" w:sz="0" w:space="0" w:color="auto"/>
        <w:left w:val="none" w:sz="0" w:space="0" w:color="auto"/>
        <w:bottom w:val="none" w:sz="0" w:space="0" w:color="auto"/>
        <w:right w:val="none" w:sz="0" w:space="0" w:color="auto"/>
      </w:divBdr>
    </w:div>
    <w:div w:id="1375428689">
      <w:bodyDiv w:val="1"/>
      <w:marLeft w:val="0"/>
      <w:marRight w:val="0"/>
      <w:marTop w:val="0"/>
      <w:marBottom w:val="0"/>
      <w:divBdr>
        <w:top w:val="none" w:sz="0" w:space="0" w:color="auto"/>
        <w:left w:val="none" w:sz="0" w:space="0" w:color="auto"/>
        <w:bottom w:val="none" w:sz="0" w:space="0" w:color="auto"/>
        <w:right w:val="none" w:sz="0" w:space="0" w:color="auto"/>
      </w:divBdr>
      <w:divsChild>
        <w:div w:id="1757633931">
          <w:marLeft w:val="0"/>
          <w:marRight w:val="0"/>
          <w:marTop w:val="0"/>
          <w:marBottom w:val="0"/>
          <w:divBdr>
            <w:top w:val="none" w:sz="0" w:space="0" w:color="auto"/>
            <w:left w:val="none" w:sz="0" w:space="0" w:color="auto"/>
            <w:bottom w:val="none" w:sz="0" w:space="0" w:color="auto"/>
            <w:right w:val="none" w:sz="0" w:space="0" w:color="auto"/>
          </w:divBdr>
          <w:divsChild>
            <w:div w:id="16261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580">
      <w:bodyDiv w:val="1"/>
      <w:marLeft w:val="0"/>
      <w:marRight w:val="0"/>
      <w:marTop w:val="0"/>
      <w:marBottom w:val="0"/>
      <w:divBdr>
        <w:top w:val="none" w:sz="0" w:space="0" w:color="auto"/>
        <w:left w:val="none" w:sz="0" w:space="0" w:color="auto"/>
        <w:bottom w:val="none" w:sz="0" w:space="0" w:color="auto"/>
        <w:right w:val="none" w:sz="0" w:space="0" w:color="auto"/>
      </w:divBdr>
      <w:divsChild>
        <w:div w:id="1379092584">
          <w:marLeft w:val="0"/>
          <w:marRight w:val="0"/>
          <w:marTop w:val="0"/>
          <w:marBottom w:val="0"/>
          <w:divBdr>
            <w:top w:val="none" w:sz="0" w:space="0" w:color="auto"/>
            <w:left w:val="none" w:sz="0" w:space="0" w:color="auto"/>
            <w:bottom w:val="none" w:sz="0" w:space="0" w:color="auto"/>
            <w:right w:val="none" w:sz="0" w:space="0" w:color="auto"/>
          </w:divBdr>
        </w:div>
      </w:divsChild>
    </w:div>
    <w:div w:id="1409425773">
      <w:bodyDiv w:val="1"/>
      <w:marLeft w:val="0"/>
      <w:marRight w:val="0"/>
      <w:marTop w:val="0"/>
      <w:marBottom w:val="0"/>
      <w:divBdr>
        <w:top w:val="none" w:sz="0" w:space="0" w:color="auto"/>
        <w:left w:val="none" w:sz="0" w:space="0" w:color="auto"/>
        <w:bottom w:val="none" w:sz="0" w:space="0" w:color="auto"/>
        <w:right w:val="none" w:sz="0" w:space="0" w:color="auto"/>
      </w:divBdr>
    </w:div>
    <w:div w:id="1536381165">
      <w:bodyDiv w:val="1"/>
      <w:marLeft w:val="0"/>
      <w:marRight w:val="0"/>
      <w:marTop w:val="0"/>
      <w:marBottom w:val="0"/>
      <w:divBdr>
        <w:top w:val="none" w:sz="0" w:space="0" w:color="auto"/>
        <w:left w:val="none" w:sz="0" w:space="0" w:color="auto"/>
        <w:bottom w:val="none" w:sz="0" w:space="0" w:color="auto"/>
        <w:right w:val="none" w:sz="0" w:space="0" w:color="auto"/>
      </w:divBdr>
      <w:divsChild>
        <w:div w:id="1739866299">
          <w:marLeft w:val="0"/>
          <w:marRight w:val="0"/>
          <w:marTop w:val="0"/>
          <w:marBottom w:val="0"/>
          <w:divBdr>
            <w:top w:val="none" w:sz="0" w:space="0" w:color="auto"/>
            <w:left w:val="none" w:sz="0" w:space="0" w:color="auto"/>
            <w:bottom w:val="none" w:sz="0" w:space="0" w:color="auto"/>
            <w:right w:val="none" w:sz="0" w:space="0" w:color="auto"/>
          </w:divBdr>
          <w:divsChild>
            <w:div w:id="7577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4808">
      <w:bodyDiv w:val="1"/>
      <w:marLeft w:val="0"/>
      <w:marRight w:val="0"/>
      <w:marTop w:val="0"/>
      <w:marBottom w:val="0"/>
      <w:divBdr>
        <w:top w:val="none" w:sz="0" w:space="0" w:color="auto"/>
        <w:left w:val="none" w:sz="0" w:space="0" w:color="auto"/>
        <w:bottom w:val="none" w:sz="0" w:space="0" w:color="auto"/>
        <w:right w:val="none" w:sz="0" w:space="0" w:color="auto"/>
      </w:divBdr>
    </w:div>
    <w:div w:id="1822576761">
      <w:bodyDiv w:val="1"/>
      <w:marLeft w:val="0"/>
      <w:marRight w:val="0"/>
      <w:marTop w:val="0"/>
      <w:marBottom w:val="0"/>
      <w:divBdr>
        <w:top w:val="none" w:sz="0" w:space="0" w:color="auto"/>
        <w:left w:val="none" w:sz="0" w:space="0" w:color="auto"/>
        <w:bottom w:val="none" w:sz="0" w:space="0" w:color="auto"/>
        <w:right w:val="none" w:sz="0" w:space="0" w:color="auto"/>
      </w:divBdr>
    </w:div>
    <w:div w:id="1924029609">
      <w:bodyDiv w:val="1"/>
      <w:marLeft w:val="0"/>
      <w:marRight w:val="0"/>
      <w:marTop w:val="0"/>
      <w:marBottom w:val="0"/>
      <w:divBdr>
        <w:top w:val="none" w:sz="0" w:space="0" w:color="auto"/>
        <w:left w:val="none" w:sz="0" w:space="0" w:color="auto"/>
        <w:bottom w:val="none" w:sz="0" w:space="0" w:color="auto"/>
        <w:right w:val="none" w:sz="0" w:space="0" w:color="auto"/>
      </w:divBdr>
    </w:div>
    <w:div w:id="2005626616">
      <w:bodyDiv w:val="1"/>
      <w:marLeft w:val="0"/>
      <w:marRight w:val="0"/>
      <w:marTop w:val="0"/>
      <w:marBottom w:val="0"/>
      <w:divBdr>
        <w:top w:val="none" w:sz="0" w:space="0" w:color="auto"/>
        <w:left w:val="none" w:sz="0" w:space="0" w:color="auto"/>
        <w:bottom w:val="none" w:sz="0" w:space="0" w:color="auto"/>
        <w:right w:val="none" w:sz="0" w:space="0" w:color="auto"/>
      </w:divBdr>
      <w:divsChild>
        <w:div w:id="741753043">
          <w:marLeft w:val="0"/>
          <w:marRight w:val="0"/>
          <w:marTop w:val="0"/>
          <w:marBottom w:val="0"/>
          <w:divBdr>
            <w:top w:val="none" w:sz="0" w:space="0" w:color="auto"/>
            <w:left w:val="none" w:sz="0" w:space="0" w:color="auto"/>
            <w:bottom w:val="none" w:sz="0" w:space="0" w:color="auto"/>
            <w:right w:val="none" w:sz="0" w:space="0" w:color="auto"/>
          </w:divBdr>
          <w:divsChild>
            <w:div w:id="1501853068">
              <w:marLeft w:val="0"/>
              <w:marRight w:val="0"/>
              <w:marTop w:val="0"/>
              <w:marBottom w:val="0"/>
              <w:divBdr>
                <w:top w:val="none" w:sz="0" w:space="0" w:color="auto"/>
                <w:left w:val="none" w:sz="0" w:space="0" w:color="auto"/>
                <w:bottom w:val="none" w:sz="0" w:space="0" w:color="auto"/>
                <w:right w:val="none" w:sz="0" w:space="0" w:color="auto"/>
              </w:divBdr>
              <w:divsChild>
                <w:div w:id="1768502461">
                  <w:marLeft w:val="0"/>
                  <w:marRight w:val="0"/>
                  <w:marTop w:val="0"/>
                  <w:marBottom w:val="195"/>
                  <w:divBdr>
                    <w:top w:val="none" w:sz="0" w:space="0" w:color="auto"/>
                    <w:left w:val="none" w:sz="0" w:space="0" w:color="auto"/>
                    <w:bottom w:val="none" w:sz="0" w:space="0" w:color="auto"/>
                    <w:right w:val="none" w:sz="0" w:space="0" w:color="auto"/>
                  </w:divBdr>
                  <w:divsChild>
                    <w:div w:id="1416052830">
                      <w:marLeft w:val="0"/>
                      <w:marRight w:val="0"/>
                      <w:marTop w:val="0"/>
                      <w:marBottom w:val="0"/>
                      <w:divBdr>
                        <w:top w:val="none" w:sz="0" w:space="0" w:color="auto"/>
                        <w:left w:val="none" w:sz="0" w:space="0" w:color="auto"/>
                        <w:bottom w:val="none" w:sz="0" w:space="0" w:color="auto"/>
                        <w:right w:val="none" w:sz="0" w:space="0" w:color="auto"/>
                      </w:divBdr>
                      <w:divsChild>
                        <w:div w:id="1904482885">
                          <w:marLeft w:val="0"/>
                          <w:marRight w:val="0"/>
                          <w:marTop w:val="0"/>
                          <w:marBottom w:val="0"/>
                          <w:divBdr>
                            <w:top w:val="none" w:sz="0" w:space="0" w:color="auto"/>
                            <w:left w:val="none" w:sz="0" w:space="0" w:color="auto"/>
                            <w:bottom w:val="none" w:sz="0" w:space="0" w:color="auto"/>
                            <w:right w:val="none" w:sz="0" w:space="0" w:color="auto"/>
                          </w:divBdr>
                          <w:divsChild>
                            <w:div w:id="43097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45244">
      <w:bodyDiv w:val="1"/>
      <w:marLeft w:val="0"/>
      <w:marRight w:val="0"/>
      <w:marTop w:val="0"/>
      <w:marBottom w:val="0"/>
      <w:divBdr>
        <w:top w:val="none" w:sz="0" w:space="0" w:color="auto"/>
        <w:left w:val="none" w:sz="0" w:space="0" w:color="auto"/>
        <w:bottom w:val="none" w:sz="0" w:space="0" w:color="auto"/>
        <w:right w:val="none" w:sz="0" w:space="0" w:color="auto"/>
      </w:divBdr>
      <w:divsChild>
        <w:div w:id="439643333">
          <w:marLeft w:val="323"/>
          <w:marRight w:val="0"/>
          <w:marTop w:val="0"/>
          <w:marBottom w:val="0"/>
          <w:divBdr>
            <w:top w:val="single" w:sz="18" w:space="0" w:color="6C9D30"/>
            <w:left w:val="single" w:sz="2" w:space="0" w:color="2E2E2E"/>
            <w:bottom w:val="single" w:sz="2" w:space="0" w:color="2E2E2E"/>
            <w:right w:val="single" w:sz="2" w:space="0" w:color="2E2E2E"/>
          </w:divBdr>
          <w:divsChild>
            <w:div w:id="1336231131">
              <w:marLeft w:val="0"/>
              <w:marRight w:val="0"/>
              <w:marTop w:val="15"/>
              <w:marBottom w:val="0"/>
              <w:divBdr>
                <w:top w:val="none" w:sz="0" w:space="0" w:color="auto"/>
                <w:left w:val="none" w:sz="0" w:space="0" w:color="auto"/>
                <w:bottom w:val="none" w:sz="0" w:space="0" w:color="auto"/>
                <w:right w:val="none" w:sz="0" w:space="0" w:color="auto"/>
              </w:divBdr>
              <w:divsChild>
                <w:div w:id="1012998775">
                  <w:marLeft w:val="0"/>
                  <w:marRight w:val="0"/>
                  <w:marTop w:val="0"/>
                  <w:marBottom w:val="0"/>
                  <w:divBdr>
                    <w:top w:val="none" w:sz="0" w:space="0" w:color="auto"/>
                    <w:left w:val="none" w:sz="0" w:space="0" w:color="auto"/>
                    <w:bottom w:val="none" w:sz="0" w:space="0" w:color="auto"/>
                    <w:right w:val="none" w:sz="0" w:space="0" w:color="auto"/>
                  </w:divBdr>
                  <w:divsChild>
                    <w:div w:id="112139961">
                      <w:marLeft w:val="0"/>
                      <w:marRight w:val="0"/>
                      <w:marTop w:val="0"/>
                      <w:marBottom w:val="315"/>
                      <w:divBdr>
                        <w:top w:val="single" w:sz="6" w:space="0" w:color="D7D7D7"/>
                        <w:left w:val="single" w:sz="2" w:space="0" w:color="D7D7D7"/>
                        <w:bottom w:val="single" w:sz="6" w:space="0" w:color="D7D7D7"/>
                        <w:right w:val="single" w:sz="2" w:space="0" w:color="D7D7D7"/>
                      </w:divBdr>
                      <w:divsChild>
                        <w:div w:id="3642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4conference.org" TargetMode="External"/><Relationship Id="rId13" Type="http://schemas.openxmlformats.org/officeDocument/2006/relationships/hyperlink" Target="http://web.uct.ac.za/org/gwsafrica/knowledge/pereir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7380593/2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7380593" TargetMode="External"/><Relationship Id="rId5" Type="http://schemas.openxmlformats.org/officeDocument/2006/relationships/webSettings" Target="webSettings.xml"/><Relationship Id="rId15" Type="http://schemas.openxmlformats.org/officeDocument/2006/relationships/hyperlink" Target="http://www.unicef.org/wcaro/WCARO_Nigeria_Factsheets_GirlsEducation.pdf" TargetMode="External"/><Relationship Id="rId10" Type="http://schemas.openxmlformats.org/officeDocument/2006/relationships/hyperlink" Target="http://www.repoa.or.tz/documents_storage/PHDR_2005_Prelim.pdf" TargetMode="External"/><Relationship Id="rId4" Type="http://schemas.openxmlformats.org/officeDocument/2006/relationships/settings" Target="settings.xml"/><Relationship Id="rId9" Type="http://schemas.openxmlformats.org/officeDocument/2006/relationships/hyperlink" Target="http://www.ingentaconnect.com/content/brill/afas;jsessionid=1ioex50ctr4eq.alexandra" TargetMode="External"/><Relationship Id="rId14" Type="http://schemas.openxmlformats.org/officeDocument/2006/relationships/hyperlink" Target="http://www.wworld.org/programs/regions/africa/amina_ma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493E1-349A-4E93-84B4-98E78C34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10368</Words>
  <Characters>59104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tedpeeu</cp:lastModifiedBy>
  <cp:revision>3</cp:revision>
  <dcterms:created xsi:type="dcterms:W3CDTF">2013-05-15T10:33:00Z</dcterms:created>
  <dcterms:modified xsi:type="dcterms:W3CDTF">2013-05-15T11:01:00Z</dcterms:modified>
</cp:coreProperties>
</file>