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045" w:rsidRDefault="006778CC" w:rsidP="00713EE2">
      <w:pPr>
        <w:pStyle w:val="Articletitle"/>
      </w:pPr>
      <w:bookmarkStart w:id="0" w:name="_GoBack"/>
      <w:bookmarkEnd w:id="0"/>
      <w:r w:rsidRPr="006778CC">
        <w:t>Making shipping greener: comparative study between organic fluids and water for Rankine cycle waste heat recovery</w:t>
      </w:r>
    </w:p>
    <w:p w:rsidR="006778CC" w:rsidRPr="006778CC" w:rsidRDefault="006778CC" w:rsidP="00A2360E">
      <w:pPr>
        <w:pStyle w:val="Affiliation"/>
        <w:rPr>
          <w:i w:val="0"/>
          <w:sz w:val="28"/>
          <w:lang w:val="es-MX"/>
        </w:rPr>
      </w:pPr>
      <w:r w:rsidRPr="006778CC">
        <w:rPr>
          <w:i w:val="0"/>
          <w:sz w:val="28"/>
          <w:lang w:val="es-MX"/>
        </w:rPr>
        <w:t>Santiago Suárez de la Fuente</w:t>
      </w:r>
      <w:r>
        <w:rPr>
          <w:i w:val="0"/>
          <w:sz w:val="28"/>
          <w:lang w:val="es-MX"/>
        </w:rPr>
        <w:t xml:space="preserve"> </w:t>
      </w:r>
      <w:r w:rsidRPr="006778CC">
        <w:rPr>
          <w:i w:val="0"/>
          <w:sz w:val="28"/>
          <w:lang w:val="es-MX"/>
        </w:rPr>
        <w:t xml:space="preserve"> ª</w:t>
      </w:r>
      <w:r w:rsidRPr="006778CC">
        <w:rPr>
          <w:i w:val="0"/>
          <w:sz w:val="28"/>
          <w:vertAlign w:val="superscript"/>
          <w:lang w:val="es-MX"/>
        </w:rPr>
        <w:t>*</w:t>
      </w:r>
      <w:r>
        <w:rPr>
          <w:i w:val="0"/>
          <w:sz w:val="28"/>
          <w:lang w:val="es-MX"/>
        </w:rPr>
        <w:t xml:space="preserve">, Alistair R. Greig </w:t>
      </w:r>
      <w:r w:rsidRPr="006778CC">
        <w:rPr>
          <w:i w:val="0"/>
          <w:sz w:val="28"/>
          <w:vertAlign w:val="superscript"/>
          <w:lang w:val="es-MX"/>
        </w:rPr>
        <w:t>a</w:t>
      </w:r>
    </w:p>
    <w:p w:rsidR="00997B0F" w:rsidRDefault="00997B0F" w:rsidP="00A2360E">
      <w:pPr>
        <w:pStyle w:val="Affiliation"/>
      </w:pPr>
      <w:r>
        <w:t>Department</w:t>
      </w:r>
      <w:r w:rsidR="006778CC">
        <w:t xml:space="preserve"> of Mechanical Engineering</w:t>
      </w:r>
      <w:r>
        <w:t>, University</w:t>
      </w:r>
      <w:r w:rsidR="006778CC">
        <w:t xml:space="preserve"> College London</w:t>
      </w:r>
      <w:r>
        <w:t xml:space="preserve">, </w:t>
      </w:r>
      <w:r w:rsidR="000130DC">
        <w:t>London</w:t>
      </w:r>
      <w:r>
        <w:t xml:space="preserve">, </w:t>
      </w:r>
      <w:r w:rsidR="000130DC">
        <w:t>United Kingdom</w:t>
      </w:r>
    </w:p>
    <w:p w:rsidR="000130DC" w:rsidRDefault="000130DC" w:rsidP="006778CC">
      <w:pPr>
        <w:pStyle w:val="Notesoncontributors"/>
        <w:rPr>
          <w:sz w:val="24"/>
        </w:rPr>
      </w:pPr>
      <w:r w:rsidRPr="000130DC">
        <w:rPr>
          <w:i/>
          <w:sz w:val="24"/>
        </w:rPr>
        <w:t>*</w:t>
      </w:r>
      <w:r>
        <w:rPr>
          <w:sz w:val="24"/>
        </w:rPr>
        <w:t xml:space="preserve"> </w:t>
      </w:r>
      <w:r w:rsidRPr="000130DC">
        <w:rPr>
          <w:sz w:val="24"/>
        </w:rPr>
        <w:t xml:space="preserve">Roberts Building, </w:t>
      </w:r>
      <w:r>
        <w:rPr>
          <w:sz w:val="24"/>
        </w:rPr>
        <w:t>5</w:t>
      </w:r>
      <w:r w:rsidRPr="000130DC">
        <w:rPr>
          <w:sz w:val="24"/>
          <w:vertAlign w:val="superscript"/>
        </w:rPr>
        <w:t>th</w:t>
      </w:r>
      <w:r>
        <w:rPr>
          <w:sz w:val="24"/>
        </w:rPr>
        <w:t xml:space="preserve"> floor, </w:t>
      </w:r>
      <w:r w:rsidRPr="000130DC">
        <w:rPr>
          <w:sz w:val="24"/>
        </w:rPr>
        <w:t xml:space="preserve">Torrington Place, London, WC1E 7JE, United Kingdom </w:t>
      </w:r>
    </w:p>
    <w:p w:rsidR="000130DC" w:rsidRDefault="000130DC" w:rsidP="006778CC">
      <w:pPr>
        <w:pStyle w:val="Notesoncontributors"/>
        <w:rPr>
          <w:sz w:val="24"/>
        </w:rPr>
      </w:pPr>
      <w:r>
        <w:rPr>
          <w:i/>
          <w:sz w:val="24"/>
        </w:rPr>
        <w:t xml:space="preserve">* </w:t>
      </w:r>
      <w:r w:rsidRPr="000130DC">
        <w:rPr>
          <w:i/>
          <w:sz w:val="24"/>
        </w:rPr>
        <w:t>Email address:</w:t>
      </w:r>
      <w:r>
        <w:rPr>
          <w:sz w:val="24"/>
        </w:rPr>
        <w:t xml:space="preserve"> santiago.fuente.2011@ucl.ac.uk</w:t>
      </w:r>
    </w:p>
    <w:p w:rsidR="00684662" w:rsidRDefault="00684662" w:rsidP="00684662">
      <w:pPr>
        <w:pStyle w:val="Heading1"/>
      </w:pPr>
      <w:r>
        <w:t>Author biographies</w:t>
      </w:r>
    </w:p>
    <w:p w:rsidR="006778CC" w:rsidRDefault="006778CC" w:rsidP="006778CC">
      <w:pPr>
        <w:pStyle w:val="Notesoncontributors"/>
      </w:pPr>
      <w:r>
        <w:t>Santiago Su</w:t>
      </w:r>
      <w:r w:rsidR="00FF268A" w:rsidRPr="00FF268A">
        <w:t>á</w:t>
      </w:r>
      <w:r>
        <w:t>rez de la Fuente is currently a PhD student at University College London (UCL)</w:t>
      </w:r>
      <w:r w:rsidR="006A79DB">
        <w:t xml:space="preserve"> </w:t>
      </w:r>
      <w:r w:rsidR="004B6106">
        <w:t>undertaking</w:t>
      </w:r>
      <w:r>
        <w:t xml:space="preserve"> research in the development of waste heat recovery systems for the shipping industry. Santiago’s main research interests are marine waste heat recovery systems based on organic Rankine cycles, system optimi</w:t>
      </w:r>
      <w:r w:rsidR="000C211F">
        <w:t>s</w:t>
      </w:r>
      <w:r>
        <w:t>ation and heat transfer.</w:t>
      </w:r>
    </w:p>
    <w:p w:rsidR="00C14585" w:rsidRDefault="006778CC" w:rsidP="006778CC">
      <w:pPr>
        <w:pStyle w:val="Notesoncontributors"/>
      </w:pPr>
      <w:r>
        <w:t>Alistair Greig is a senior lecturer at UCL and a professional marine engineer. His research interests cover a broad range of topics including warship design, ship efficiency and marine machinery integration with particular emphasis on advanced craft and the impact of new technology and legislation.</w:t>
      </w:r>
    </w:p>
    <w:p w:rsidR="00684662" w:rsidRPr="00684662" w:rsidRDefault="00684662" w:rsidP="00684662">
      <w:pPr>
        <w:pStyle w:val="Heading1"/>
      </w:pPr>
      <w:r w:rsidRPr="00684662">
        <w:t>Acknowledgments</w:t>
      </w:r>
    </w:p>
    <w:p w:rsidR="00684662" w:rsidRPr="00684662" w:rsidRDefault="00684662" w:rsidP="00684662">
      <w:pPr>
        <w:pStyle w:val="Notesoncontributors"/>
      </w:pPr>
      <w:r w:rsidRPr="00684662">
        <w:t xml:space="preserve">This work was sponsored by the Mexican National Council of Science and Technology (CONACYT) under Grant 213748, the Institute of Marine Engineering, </w:t>
      </w:r>
      <w:proofErr w:type="gramStart"/>
      <w:r w:rsidRPr="00684662">
        <w:t>Science</w:t>
      </w:r>
      <w:proofErr w:type="gramEnd"/>
      <w:r w:rsidRPr="00684662">
        <w:t xml:space="preserve"> &amp; Technology under the Stanley Gray award and the Department of Mechanical Engineering at UCL. Special thanks to Dr Rachel Pawling for her assistance in the analysis of flammable fluids </w:t>
      </w:r>
      <w:r w:rsidR="006A79DB" w:rsidRPr="00684662">
        <w:t>on-board</w:t>
      </w:r>
      <w:r w:rsidRPr="00684662">
        <w:t xml:space="preserve">. </w:t>
      </w:r>
    </w:p>
    <w:p w:rsidR="00C246C5" w:rsidRDefault="00C14585" w:rsidP="009B24B5">
      <w:pPr>
        <w:pStyle w:val="Articletitle"/>
      </w:pPr>
      <w:r>
        <w:br w:type="page"/>
      </w:r>
      <w:r w:rsidR="006778CC" w:rsidRPr="006778CC">
        <w:lastRenderedPageBreak/>
        <w:t>Making shipping greener: comparative study between organic fluids and water for Rankine cycle waste heat recovery</w:t>
      </w:r>
    </w:p>
    <w:p w:rsidR="002177AF" w:rsidRDefault="002177AF" w:rsidP="002177AF">
      <w:pPr>
        <w:pStyle w:val="Keywords"/>
      </w:pPr>
      <w:r>
        <w:t>The largest source of energy loss in ship</w:t>
      </w:r>
      <w:r w:rsidR="000C211F">
        <w:t>s</w:t>
      </w:r>
      <w:r>
        <w:t xml:space="preserve"> is found in the propulsion system. This study focuses on the concept of managing waste heat energy from the exhaust gases of the main engine. Using waste heat recovery systems to make shipping more efficient represents a good area of opportunity for achieving the shipping industry’s green objectives. Organic Rankine cycles have been applied in land</w:t>
      </w:r>
      <w:r w:rsidR="000C211F">
        <w:t>-</w:t>
      </w:r>
      <w:r>
        <w:t>based systems before, showing improvements in performance when compared with the traditional Rankine cycle. As marine environmental rules requir</w:t>
      </w:r>
      <w:r w:rsidR="000C211F">
        <w:t>ing</w:t>
      </w:r>
      <w:r>
        <w:t xml:space="preserve"> greener vessels and engine thermal efficiency continue to increase</w:t>
      </w:r>
      <w:r w:rsidR="00C60527">
        <w:t>,</w:t>
      </w:r>
      <w:r>
        <w:t xml:space="preserve"> </w:t>
      </w:r>
      <w:r w:rsidR="000C211F">
        <w:t>thus</w:t>
      </w:r>
      <w:r>
        <w:t xml:space="preserve"> reducing the available energy in the exhaust, organic Rankine cycle waste heat recovery systems become a more attractive option.</w:t>
      </w:r>
    </w:p>
    <w:p w:rsidR="002177AF" w:rsidRDefault="002177AF" w:rsidP="002177AF">
      <w:pPr>
        <w:pStyle w:val="Keywords"/>
      </w:pPr>
      <w:r>
        <w:t xml:space="preserve">The proposed waste heat recovery system was modelled using Matlab® with a typical ship installation with a slow speed diesel engine and the waste heat recovery system </w:t>
      </w:r>
      <w:r w:rsidR="000C211F">
        <w:t xml:space="preserve">having been </w:t>
      </w:r>
      <w:r>
        <w:t>installed after the steam boiler in the exhaust gas system. The energy recovered from the exhaust gas flow is transformed via the thermodynamic cycle</w:t>
      </w:r>
      <w:r w:rsidR="00C60527">
        <w:t xml:space="preserve"> - coupled with a generator - </w:t>
      </w:r>
      <w:r>
        <w:t>into electricity which help</w:t>
      </w:r>
      <w:r w:rsidR="000C211F">
        <w:t>s</w:t>
      </w:r>
      <w:r>
        <w:t xml:space="preserve"> to cover the ship’s demand. The Matlab® code found the highest electric power output varying the waste heat recovery system high pressure, maximi</w:t>
      </w:r>
      <w:r w:rsidR="000C211F">
        <w:t>s</w:t>
      </w:r>
      <w:r>
        <w:t>ing the fuel and CO</w:t>
      </w:r>
      <w:r w:rsidRPr="00C60527">
        <w:rPr>
          <w:vertAlign w:val="subscript"/>
        </w:rPr>
        <w:t>2</w:t>
      </w:r>
      <w:r>
        <w:t xml:space="preserve"> emission savings. Water and four organic fluids were considered and their performance was compared over a range of different engine operating conditions. A representative ship operating profile and a typical marine generator were used to measure CO</w:t>
      </w:r>
      <w:r w:rsidRPr="00C60527">
        <w:rPr>
          <w:vertAlign w:val="subscript"/>
        </w:rPr>
        <w:t>2</w:t>
      </w:r>
      <w:r>
        <w:t xml:space="preserve"> emission reductions. The implications of having flammable organic fluids </w:t>
      </w:r>
      <w:r w:rsidR="006A79DB">
        <w:t>on-board</w:t>
      </w:r>
      <w:r>
        <w:t xml:space="preserve"> are also briefly discussed. This work demonstrates that a simple organic Rankine cycle can be more effective than a steam cycle for the same engine operating conditions.</w:t>
      </w:r>
    </w:p>
    <w:p w:rsidR="0020415E" w:rsidRPr="0020415E" w:rsidRDefault="00997B0F" w:rsidP="002177AF">
      <w:pPr>
        <w:pStyle w:val="Keywords"/>
      </w:pPr>
      <w:r>
        <w:t xml:space="preserve">Keywords: </w:t>
      </w:r>
      <w:r w:rsidR="002177AF">
        <w:t>waste heat recovery systems</w:t>
      </w:r>
      <w:r>
        <w:t xml:space="preserve">; </w:t>
      </w:r>
      <w:r w:rsidR="002177AF">
        <w:t>organic fluids, CO</w:t>
      </w:r>
      <w:r w:rsidR="002177AF" w:rsidRPr="002177AF">
        <w:rPr>
          <w:vertAlign w:val="subscript"/>
        </w:rPr>
        <w:t>2</w:t>
      </w:r>
      <w:r w:rsidR="002177AF">
        <w:t xml:space="preserve"> emissions, optimi</w:t>
      </w:r>
      <w:r w:rsidR="000C211F">
        <w:t>s</w:t>
      </w:r>
      <w:r w:rsidR="002177AF">
        <w:t xml:space="preserve">ation. </w:t>
      </w:r>
    </w:p>
    <w:p w:rsidR="00997B0F" w:rsidRDefault="002177AF" w:rsidP="00106DAF">
      <w:pPr>
        <w:pStyle w:val="Heading1"/>
      </w:pPr>
      <w:r w:rsidRPr="002177AF">
        <w:t>Introduction</w:t>
      </w:r>
    </w:p>
    <w:p w:rsidR="002177AF" w:rsidRDefault="002177AF" w:rsidP="002177AF">
      <w:pPr>
        <w:pStyle w:val="Paragraph"/>
        <w:rPr>
          <w:szCs w:val="20"/>
        </w:rPr>
      </w:pPr>
      <w:r w:rsidRPr="008935AB">
        <w:rPr>
          <w:szCs w:val="20"/>
        </w:rPr>
        <w:t>Shipping CO</w:t>
      </w:r>
      <w:r w:rsidRPr="008935AB">
        <w:rPr>
          <w:szCs w:val="20"/>
          <w:vertAlign w:val="subscript"/>
        </w:rPr>
        <w:t>2</w:t>
      </w:r>
      <w:r w:rsidRPr="008935AB">
        <w:rPr>
          <w:szCs w:val="20"/>
        </w:rPr>
        <w:t xml:space="preserve"> emissions in 2007 represented around 3.3%</w:t>
      </w:r>
      <w:r w:rsidR="00C60527">
        <w:rPr>
          <w:szCs w:val="20"/>
        </w:rPr>
        <w:t xml:space="preserve"> of global carbon emissions</w:t>
      </w:r>
      <w:r w:rsidRPr="008935AB">
        <w:rPr>
          <w:szCs w:val="20"/>
        </w:rPr>
        <w:t>, and is one of the transportation modes with the greatest growth in energy demand between the years 1990</w:t>
      </w:r>
      <w:r w:rsidR="000C211F">
        <w:rPr>
          <w:szCs w:val="20"/>
        </w:rPr>
        <w:t xml:space="preserve"> and </w:t>
      </w:r>
      <w:r w:rsidRPr="008935AB">
        <w:rPr>
          <w:szCs w:val="20"/>
        </w:rPr>
        <w:t xml:space="preserve">2006, 2.0% for Organisation for Economic Co-operation </w:t>
      </w:r>
      <w:r w:rsidRPr="008935AB">
        <w:rPr>
          <w:szCs w:val="20"/>
        </w:rPr>
        <w:lastRenderedPageBreak/>
        <w:t>and Development (OECD) members and 7.3% for non-members</w:t>
      </w:r>
      <w:r>
        <w:rPr>
          <w:szCs w:val="20"/>
        </w:rPr>
        <w:t xml:space="preserve"> </w:t>
      </w:r>
      <w:r>
        <w:rPr>
          <w:szCs w:val="20"/>
        </w:rPr>
        <w:fldChar w:fldCharType="begin" w:fldLock="1"/>
      </w:r>
      <w:r w:rsidR="00BA1648">
        <w:rPr>
          <w:szCs w:val="20"/>
        </w:rPr>
        <w:instrText>ADDIN CSL_CITATION { "citationItems" : [ { "id" : "ITEM-1", "itemData" : { "ISBN" : "9789264073166", "abstract" : "About 25% of worldwide CO2 overall strategy to cut energy-related CO2 emissions are attributable to transport. Though cars and trucks represent the bulk of these emissions (about 75% worldwide), aviation and shipping emissions are growing rapidly. While energy use in transport could double by 2050, associated CO2 emissions must be cut dramatically as part of an emissions by 50%. The first priority should be to adopt technologies and practices that are cost-effective today. This will lead to substantial gains in vehicle fuel economy \u2013 we target a 50% improvement by 2030 for new light-duty vehicles. Relatively low-cost opportunities may be available in terms of vehicle electrification, such as via plug-in hybrids. We should also move strongly toward better urban development practices and encourage sensible changes in the way we travel, by investing in a new generation of urban and inter-city transit systems. Yet such savings will only be sufficient to slow the growth in vehicle travel and stabilise the growth in CO2 . A revolution in technology will be needed to move future. This will be built on some combination of electricity, hydrogen and biofuels. Important hurdles exist to reach substantial use of any of these fuels, including infrastructure requirements, costs and \u2013 especially in the case of biofuels \u2013 the need for a pathway toward the use of truly sustainable feedstocks. But through a combination of RD&amp;D, careful and co-ordinated planning, deployment, and learning by doing, the ambitious long-term targets described in this report can be achieved. toward a truly low CO2 Bringing about this technology transition will not be easy. It will require both a step- change in policy implementation by governments, and unprecedented investment in new technologies and supporting infrastructure such as electricity recharging systems. Countries will need to work together, and with a range of stakeholders, to ensure everyone moves in the same direction. Moreover, since the vast majority of growth in travel, energy use and CO2 will occur in non-OECD countries, these countries will need to be part of the solution. But they will also share in the very important benefits that a sustainable, low-CO2 transport future can provide. This publication has been produced under my authority as Executive Director of the International Energy Agency (IEA). The views expressed do not necessarily reflect the views or policies of individual IEA member countries.", "author" : [ { "dropping-particle" : "", "family" : "International Energy Agency", "given" : "", "non-dropping-particle" : "", "parse-names" : false, "suffix" : "" } ], "id" : "ITEM-1", "issued" : { "date-parts" : [ [ "2009" ] ] }, "number-of-pages" : "418", "publisher" : "International Energy Agency (IEA)", "publisher-place" : "Paris", "title" : "Transport, Energy and CO2", "type" : "report" }, "uris" : [ "http://www.mendeley.com/documents/?uuid=623783c0-e58f-4538-adf9-5541fedd16c7" ] } ], "mendeley" : { "formattedCitation" : "(International Energy Agency 2009)", "plainTextFormattedCitation" : "(International Energy Agency 2009)", "previouslyFormattedCitation" : "(International Energy Agency 2009)" }, "properties" : { "noteIndex" : 0 }, "schema" : "https://github.com/citation-style-language/schema/raw/master/csl-citation.json" }</w:instrText>
      </w:r>
      <w:r>
        <w:rPr>
          <w:szCs w:val="20"/>
        </w:rPr>
        <w:fldChar w:fldCharType="separate"/>
      </w:r>
      <w:r w:rsidR="00073405" w:rsidRPr="00073405">
        <w:rPr>
          <w:noProof/>
          <w:szCs w:val="20"/>
        </w:rPr>
        <w:t>(International Energy Agency 2009)</w:t>
      </w:r>
      <w:r>
        <w:rPr>
          <w:szCs w:val="20"/>
        </w:rPr>
        <w:fldChar w:fldCharType="end"/>
      </w:r>
      <w:r w:rsidRPr="008935AB">
        <w:rPr>
          <w:szCs w:val="20"/>
        </w:rPr>
        <w:t>. If no other policies are implemented and the patterns of social and economic behaviour do not change, future CO</w:t>
      </w:r>
      <w:r w:rsidRPr="008935AB">
        <w:rPr>
          <w:szCs w:val="20"/>
          <w:vertAlign w:val="subscript"/>
        </w:rPr>
        <w:t>2</w:t>
      </w:r>
      <w:r w:rsidRPr="008935AB">
        <w:rPr>
          <w:szCs w:val="20"/>
        </w:rPr>
        <w:t xml:space="preserve"> emissions in shipping </w:t>
      </w:r>
      <w:r>
        <w:rPr>
          <w:szCs w:val="20"/>
        </w:rPr>
        <w:t>could</w:t>
      </w:r>
      <w:r w:rsidRPr="008935AB">
        <w:rPr>
          <w:szCs w:val="20"/>
        </w:rPr>
        <w:t xml:space="preserve"> grow 400% by 2050 from the 2007 level </w:t>
      </w:r>
      <w:r w:rsidRPr="008935AB">
        <w:rPr>
          <w:szCs w:val="20"/>
        </w:rPr>
        <w:fldChar w:fldCharType="begin" w:fldLock="1"/>
      </w:r>
      <w:r w:rsidR="00BA1648">
        <w:rPr>
          <w:szCs w:val="20"/>
        </w:rPr>
        <w:instrText>ADDIN CSL_CITATION { "citationItems" : [ { "id" : "ITEM-1", "itemData" : { "abstract" : "The main objectives of the study were to assess: (i) present and future emissions from international shipping; (ii) the potential for reduction of these emissions through technology and policy; and (iii) impacts on climate from these emissions. The work has been conducted in two phases. Results from the first phase, covering only part of the scope, was presented in MEPC 58/INF.6. This report covers the full scope of work, hence updates and supersedes the report on the first phase.", "author" : [ { "dropping-particle" : "", "family" : "International Maritime Organization", "given" : "", "non-dropping-particle" : "", "parse-names" : false, "suffix" : "" } ], "id" : "ITEM-1", "issue" : "April", "issued" : { "date-parts" : [ [ "2009" ] ] }, "number-of-pages" : "289", "title" : "MEPC 59/Inf. 10", "type" : "report" }, "uris" : [ "http://www.mendeley.com/documents/?uuid=55d662e2-00cd-4648-a0fe-5a8f3f7171d3" ] } ], "mendeley" : { "formattedCitation" : "(International Maritime Organization 2009a)", "plainTextFormattedCitation" : "(International Maritime Organization 2009a)", "previouslyFormattedCitation" : "(International Maritime Organization 2009a)" }, "properties" : { "noteIndex" : 0 }, "schema" : "https://github.com/citation-style-language/schema/raw/master/csl-citation.json" }</w:instrText>
      </w:r>
      <w:r w:rsidRPr="008935AB">
        <w:rPr>
          <w:szCs w:val="20"/>
        </w:rPr>
        <w:fldChar w:fldCharType="separate"/>
      </w:r>
      <w:r w:rsidR="009B4DB7" w:rsidRPr="009B4DB7">
        <w:rPr>
          <w:noProof/>
          <w:szCs w:val="20"/>
        </w:rPr>
        <w:t>(International Maritime Organization 2009a)</w:t>
      </w:r>
      <w:r w:rsidRPr="008935AB">
        <w:rPr>
          <w:szCs w:val="20"/>
        </w:rPr>
        <w:fldChar w:fldCharType="end"/>
      </w:r>
      <w:r w:rsidRPr="008935AB">
        <w:rPr>
          <w:szCs w:val="20"/>
        </w:rPr>
        <w:t>. Shipping therefore represents an opportune, and necessary, sector for CO</w:t>
      </w:r>
      <w:r w:rsidRPr="008935AB">
        <w:rPr>
          <w:szCs w:val="20"/>
          <w:vertAlign w:val="subscript"/>
        </w:rPr>
        <w:t>2</w:t>
      </w:r>
      <w:r w:rsidRPr="008935AB">
        <w:rPr>
          <w:szCs w:val="20"/>
        </w:rPr>
        <w:t xml:space="preserve"> emissions reductions.</w:t>
      </w:r>
    </w:p>
    <w:p w:rsidR="002177AF" w:rsidRPr="008935AB" w:rsidRDefault="002177AF" w:rsidP="002177AF">
      <w:pPr>
        <w:pStyle w:val="Newparagraph"/>
      </w:pPr>
      <w:r w:rsidRPr="008935AB">
        <w:t>Within ships, the majority of energy los</w:t>
      </w:r>
      <w:r>
        <w:t>s</w:t>
      </w:r>
      <w:r w:rsidRPr="008935AB">
        <w:t xml:space="preserve">es are located in the prime mover. The </w:t>
      </w:r>
      <w:r>
        <w:t xml:space="preserve">most frequent option to power a commercial vessel is a </w:t>
      </w:r>
      <w:r w:rsidRPr="008935AB">
        <w:t xml:space="preserve">slow speed, </w:t>
      </w:r>
      <w:r w:rsidR="006A79DB">
        <w:t>two</w:t>
      </w:r>
      <w:r w:rsidRPr="008935AB">
        <w:t xml:space="preserve">-stroke </w:t>
      </w:r>
      <w:r>
        <w:t>marine diesel</w:t>
      </w:r>
      <w:r w:rsidRPr="008935AB">
        <w:t xml:space="preserve"> </w:t>
      </w:r>
      <w:r>
        <w:fldChar w:fldCharType="begin" w:fldLock="1"/>
      </w:r>
      <w:r w:rsidR="00BA1648">
        <w:instrText>ADDIN CSL_CITATION { "citationItems" : [ { "id" : "ITEM-1", "itemData" : { "ISBN" : "0750689846", "abstract" : "Since its first appearance in 1950, Pounders Marine Diesel Engines has served seagoing engineers, students of the Certificates of Competency examinations and the marine engineering industry throughout the world. Each new edition has noted the changes in engine design and the influence of new technology and economic needs on the marine diesel engine.", "author" : [ { "dropping-particle" : "", "family" : "Woodyard", "given" : "Doug", "non-dropping-particle" : "", "parse-names" : false, "suffix" : "" } ], "edition" : "9th", "id" : "ITEM-1", "issued" : { "date-parts" : [ [ "2009" ] ] }, "number-of-pages" : "928", "publisher" : "Butterworth-Heinemann", "publisher-place" : "Oxford", "title" : "Pounder's Marine Diesel Engines and Gas Turbines", "type" : "book" }, "uris" : [ "http://www.mendeley.com/documents/?uuid=99a585ba-dd93-4034-8a02-34ac08b80469" ] }, { "id" : "ITEM-2", "itemData" : { "ISBN" : "1-902536-47-9", "abstract" : "An approach to a ship.", "author" : [ { "dropping-particle" : "", "family" : "Woud", "given" : "Hans Klein", "non-dropping-particle" : "", "parse-names" : false, "suffix" : "" }, { "dropping-particle" : "", "family" : "Stapersma", "given" : "Douwe", "non-dropping-particle" : "", "parse-names" : false, "suffix" : "" } ], "edition" : "1st", "id" : "ITEM-2", "issued" : { "date-parts" : [ [ "2012" ] ] }, "number-of-pages" : "494", "publisher" : "IMarEST", "publisher-place" : "London", "title" : "Design of Propulsion and Electric Power Generation Systems", "type" : "book" }, "uris" : [ "http://www.mendeley.com/documents/?uuid=15498e52-0ebf-451c-86fc-bd5b0f05013a" ] } ], "mendeley" : { "formattedCitation" : "(Woodyard 2009; Woud &amp; Stapersma 2012)", "plainTextFormattedCitation" : "(Woodyard 2009; Woud &amp; Stapersma 2012)", "previouslyFormattedCitation" : "(Woodyard 2009; Woud &amp; Stapersma 2012)" }, "properties" : { "noteIndex" : 0 }, "schema" : "https://github.com/citation-style-language/schema/raw/master/csl-citation.json" }</w:instrText>
      </w:r>
      <w:r>
        <w:fldChar w:fldCharType="separate"/>
      </w:r>
      <w:r w:rsidR="00073405" w:rsidRPr="00073405">
        <w:rPr>
          <w:noProof/>
        </w:rPr>
        <w:t>(Woodyard 2009; Woud &amp; Stapersma 2012)</w:t>
      </w:r>
      <w:r>
        <w:fldChar w:fldCharType="end"/>
      </w:r>
      <w:r>
        <w:t xml:space="preserve">, this is </w:t>
      </w:r>
      <w:r w:rsidRPr="008935AB">
        <w:t xml:space="preserve">due to its high thermal efficiency which can reach up to 53% </w:t>
      </w:r>
      <w:r w:rsidRPr="008935AB">
        <w:fldChar w:fldCharType="begin" w:fldLock="1"/>
      </w:r>
      <w:r w:rsidR="00BA1648">
        <w:instrText>ADDIN CSL_CITATION { "citationItems" : [ { "id" : "ITEM-1", "itemData" : { "abstract" : "The main objectives of the study were to assess: (i) present and future emissions from international shipping; (ii) the potential for reduction of these emissions through technology and policy; and (iii) impacts on climate from these emissions. The work has been conducted in two phases. Results from the first phase, covering only part of the scope, was presented in MEPC 58/INF.6. This report covers the full scope of work, hence updates and supersedes the report on the first phase.", "author" : [ { "dropping-particle" : "", "family" : "International Maritime Organization", "given" : "", "non-dropping-particle" : "", "parse-names" : false, "suffix" : "" } ], "id" : "ITEM-1", "issue" : "April", "issued" : { "date-parts" : [ [ "2009" ] ] }, "number-of-pages" : "289", "title" : "MEPC 59/Inf. 10", "type" : "report" }, "uris" : [ "http://www.mendeley.com/documents/?uuid=55d662e2-00cd-4648-a0fe-5a8f3f7171d3" ] } ], "mendeley" : { "formattedCitation" : "(International Maritime Organization 2009a)", "plainTextFormattedCitation" : "(International Maritime Organization 2009a)", "previouslyFormattedCitation" : "(International Maritime Organization 2009a)" }, "properties" : { "noteIndex" : 0 }, "schema" : "https://github.com/citation-style-language/schema/raw/master/csl-citation.json" }</w:instrText>
      </w:r>
      <w:r w:rsidRPr="008935AB">
        <w:fldChar w:fldCharType="separate"/>
      </w:r>
      <w:r w:rsidR="009B4DB7" w:rsidRPr="009B4DB7">
        <w:rPr>
          <w:noProof/>
        </w:rPr>
        <w:t>(International Maritime Organization 2009a)</w:t>
      </w:r>
      <w:r w:rsidRPr="008935AB">
        <w:fldChar w:fldCharType="end"/>
      </w:r>
      <w:r w:rsidRPr="008935AB">
        <w:t xml:space="preserve">. </w:t>
      </w:r>
      <w:r>
        <w:t>Waste</w:t>
      </w:r>
      <w:r w:rsidRPr="008935AB">
        <w:t xml:space="preserve"> energy </w:t>
      </w:r>
      <w:r>
        <w:t>from the engine</w:t>
      </w:r>
      <w:r w:rsidRPr="008935AB">
        <w:t xml:space="preserve"> can be found as heat removed by the cooling system</w:t>
      </w:r>
      <w:r>
        <w:t xml:space="preserve"> (20-30%)</w:t>
      </w:r>
      <w:r w:rsidRPr="008935AB">
        <w:t xml:space="preserve">, heat escaping from the engine surface due to convection or radiation </w:t>
      </w:r>
      <w:r>
        <w:t>(1-5%)</w:t>
      </w:r>
      <w:r w:rsidR="000158F7">
        <w:t>,</w:t>
      </w:r>
      <w:r>
        <w:t xml:space="preserve"> </w:t>
      </w:r>
      <w:r w:rsidRPr="008935AB">
        <w:t>and finally</w:t>
      </w:r>
      <w:r w:rsidR="000158F7">
        <w:t>,</w:t>
      </w:r>
      <w:r w:rsidRPr="008935AB">
        <w:t xml:space="preserve"> a significant proportion </w:t>
      </w:r>
      <w:r w:rsidR="000158F7">
        <w:t xml:space="preserve">(25-45%) </w:t>
      </w:r>
      <w:r w:rsidRPr="008935AB">
        <w:t>through exhaust gases</w:t>
      </w:r>
      <w:r>
        <w:t xml:space="preserve"> </w:t>
      </w:r>
      <w:r>
        <w:fldChar w:fldCharType="begin" w:fldLock="1"/>
      </w:r>
      <w:r w:rsidR="00BA1648">
        <w:instrText>ADDIN CSL_CITATION { "citationItems" : [ { "id" : "ITEM-1", "itemData" : { "ISBN" : "0750689846", "abstract" : "Since its first appearance in 1950, Pounders Marine Diesel Engines has served seagoing engineers, students of the Certificates of Competency examinations and the marine engineering industry throughout the world. Each new edition has noted the changes in engine design and the influence of new technology and economic needs on the marine diesel engine.", "author" : [ { "dropping-particle" : "", "family" : "Woodyard", "given" : "Doug", "non-dropping-particle" : "", "parse-names" : false, "suffix" : "" } ], "edition" : "9th", "id" : "ITEM-1", "issued" : { "date-parts" : [ [ "2009" ] ] }, "number-of-pages" : "928", "publisher" : "Butterworth-Heinemann", "publisher-place" : "Oxford", "title" : "Pounder's Marine Diesel Engines and Gas Turbines", "type" : "book" }, "uris" : [ "http://www.mendeley.com/documents/?uuid=99a585ba-dd93-4034-8a02-34ac08b80469" ] }, { "id" : "ITEM-2", "itemData" : { "ISSN" : "1476-1548", "abstract" : "Heat treatment of ballast water is one of the many treatment options being explored. This analysis has tried to assess the heat availability from the cooling water, exhaust gases of the engines and steam condensers based on design and operational data obtained from an existing crude oil carrier. Time requirements for ballasting and treatment using the seawater and condenser circulating pumps are projected. Heat balance exercises were also carried out on a testbed engine to verify attainable heat recoveries. It is seen that, although considerable heat is available, a longer time than that available during ballasting and normal ballast passages will be required for the treatment process.", "author" : [ { "dropping-particle" : "", "family" : "Balaji", "given" : "R", "non-dropping-particle" : "", "parse-names" : false, "suffix" : "" }, { "dropping-particle" : "", "family" : "Yaakob", "given" : "O", "non-dropping-particle" : "", "parse-names" : false, "suffix" : "" } ], "container-title" : "Journal of Marine Engineering and Technology", "id" : "ITEM-2", "issue" : "2", "issued" : { "date-parts" : [ [ "2012" ] ] }, "note" : "Proportion of lost energy in the ship.", "page" : "15-29", "publisher" : "IMarEST", "title" : "An analysis of shipboard waste heat availability for ballast water treatment", "type" : "article-journal", "volume" : "11" }, "uris" : [ "http://www.mendeley.com/documents/?uuid=9f50ff2d-0255-4f64-8989-e38e1d871348" ] }, { "id" : "ITEM-3", "itemData" : { "abstract" : "The increasing interest in emission reduction, ship operating costs reduction and the newly adapted IMO EEDI rules calls for measures that ensure optimal utilisation of the fuel used for main engines on board ships. Main engine exhaust gas energy is by far the most attractive among the waste heat sources of a ship because of the heat flow and temperature. It is possible to generate an electrical output of up to 11% of the main engine power by utilising this exhaust gas energy in a waste heat recovery system comprising both steam and power turbines, and combined with utilising scavenge air energy for exhaust boiler feed-water heating.", "author" : [ { "dropping-particle" : "", "family" : "MAN Diesel &amp; Turbo", "given" : "", "non-dropping-particle" : "", "parse-names" : false, "suffix" : "" } ], "id" : "ITEM-3", "issued" : { "date-parts" : [ [ "2012" ] ] }, "note" : "ISO ambient conditions", "number-of-pages" : "32", "publisher-place" : "Copenhagen", "title" : "Waste Heat Recovery System ( WHRS ) for Reduction of Fuel Consumption, Emission and EEDI", "type" : "report" }, "uris" : [ "http://www.mendeley.com/documents/?uuid=e83ddc05-7a3c-45ad-b0f8-ed9011b09ca2" ] } ], "mendeley" : { "formattedCitation" : "(Woodyard 2009; Balaji &amp; Yaakob 2012; MAN Diesel &amp; Turbo 2012)", "plainTextFormattedCitation" : "(Woodyard 2009; Balaji &amp; Yaakob 2012; MAN Diesel &amp; Turbo 2012)", "previouslyFormattedCitation" : "(Woodyard 2009; Balaji &amp; Yaakob 2012; MAN Diesel &amp; Turbo 2012)" }, "properties" : { "noteIndex" : 0 }, "schema" : "https://github.com/citation-style-language/schema/raw/master/csl-citation.json" }</w:instrText>
      </w:r>
      <w:r>
        <w:fldChar w:fldCharType="separate"/>
      </w:r>
      <w:r w:rsidR="00073405" w:rsidRPr="00073405">
        <w:rPr>
          <w:noProof/>
        </w:rPr>
        <w:t>(Woodyard 2009; Balaji &amp; Yaakob 2012; MAN Diesel &amp; Turbo 2012)</w:t>
      </w:r>
      <w:r>
        <w:fldChar w:fldCharType="end"/>
      </w:r>
      <w:r w:rsidRPr="008935AB">
        <w:t xml:space="preserve">. Normally, waste heat coming from the diesel exhaust gases is found as medium quality heat (i.e. between </w:t>
      </w:r>
      <w:r>
        <w:t>230</w:t>
      </w:r>
      <w:r>
        <w:rPr>
          <w:rFonts w:ascii="Calibri" w:hAnsi="Calibri"/>
        </w:rPr>
        <w:t>˚</w:t>
      </w:r>
      <w:r>
        <w:t>C</w:t>
      </w:r>
      <w:r w:rsidRPr="008935AB">
        <w:t xml:space="preserve"> </w:t>
      </w:r>
      <w:r w:rsidR="000158F7">
        <w:t>and</w:t>
      </w:r>
      <w:r w:rsidRPr="008935AB">
        <w:t xml:space="preserve"> </w:t>
      </w:r>
      <w:r>
        <w:t>650</w:t>
      </w:r>
      <w:r>
        <w:rPr>
          <w:rFonts w:ascii="Calibri" w:hAnsi="Calibri"/>
        </w:rPr>
        <w:t>˚</w:t>
      </w:r>
      <w:r>
        <w:t>C</w:t>
      </w:r>
      <w:r w:rsidRPr="008935AB">
        <w:t xml:space="preserve">), while heat </w:t>
      </w:r>
      <w:r w:rsidR="000158F7">
        <w:t>escaping</w:t>
      </w:r>
      <w:r w:rsidRPr="008935AB">
        <w:t xml:space="preserve"> </w:t>
      </w:r>
      <w:r w:rsidR="000158F7">
        <w:t xml:space="preserve">from </w:t>
      </w:r>
      <w:r w:rsidRPr="008935AB">
        <w:t xml:space="preserve">the water </w:t>
      </w:r>
      <w:r w:rsidR="00C60527">
        <w:t xml:space="preserve">and air </w:t>
      </w:r>
      <w:r w:rsidRPr="008935AB">
        <w:t xml:space="preserve">cooling system, </w:t>
      </w:r>
      <w:r>
        <w:t xml:space="preserve">and from </w:t>
      </w:r>
      <w:r w:rsidRPr="008935AB">
        <w:t xml:space="preserve">radiative and convective </w:t>
      </w:r>
      <w:r>
        <w:t>phenomena</w:t>
      </w:r>
      <w:r w:rsidRPr="008935AB">
        <w:t xml:space="preserve"> are generally low grade </w:t>
      </w:r>
      <w:r>
        <w:t>quality</w:t>
      </w:r>
      <w:r w:rsidR="000158F7">
        <w:t>,</w:t>
      </w:r>
      <w:r>
        <w:t xml:space="preserve"> </w:t>
      </w:r>
      <w:r w:rsidRPr="008935AB">
        <w:t>i.e. between 30</w:t>
      </w:r>
      <w:r>
        <w:rPr>
          <w:rFonts w:ascii="Calibri" w:hAnsi="Calibri"/>
        </w:rPr>
        <w:t>˚</w:t>
      </w:r>
      <w:r>
        <w:t>C</w:t>
      </w:r>
      <w:r w:rsidRPr="008935AB">
        <w:t xml:space="preserve"> </w:t>
      </w:r>
      <w:r w:rsidR="000158F7">
        <w:t>and</w:t>
      </w:r>
      <w:r w:rsidRPr="008935AB">
        <w:t xml:space="preserve"> </w:t>
      </w:r>
      <w:r>
        <w:t>230</w:t>
      </w:r>
      <w:r>
        <w:rPr>
          <w:rFonts w:ascii="Calibri" w:hAnsi="Calibri"/>
        </w:rPr>
        <w:t>˚</w:t>
      </w:r>
      <w:r>
        <w:t>C</w:t>
      </w:r>
      <w:r w:rsidRPr="008935AB">
        <w:t xml:space="preserve"> </w:t>
      </w:r>
      <w:r w:rsidRPr="008935AB">
        <w:fldChar w:fldCharType="begin" w:fldLock="1"/>
      </w:r>
      <w:r w:rsidR="00073405">
        <w:instrText>ADDIN CSL_CITATION { "citationItems" : [ { "id" : "ITEM-1", "itemData" : { "abstract" : "Waste heat is heat, which is generated in a process by way of fuel combustion or chemical reaction, and then \u201cdumped\u201d into the environment even though it could still be reused for some useful and economic purpose. The essential quality of heat is not the amount but rather its \u201cvalue\u201d. The strategy of how to recover this heat depends in part on the temperature of the waste heat gases and the economics involved. Large quantity of hot flue gases is generated from Boilers, Kilns, Ovens and Furnaces. If some of this waste heat could be recovered, a considerable amount of primary fuel could be saved. The energy lost in waste gases cannot be fully recovered. However, much of the heat could be recovered and loss minimized by adopting following measures as outlined in this chapter.", "author" : [ { "dropping-particle" : "", "family" : "Dharmalingam", "given" : "P.", "non-dropping-particle" : "", "parse-names" : false, "suffix" : "" }, { "dropping-particle" : "", "family" : "Kumar", "given" : "J. Nagesh", "non-dropping-particle" : "", "parse-names" : false, "suffix" : "" }, { "dropping-particle" : "", "family" : "Suryanarayanan", "given" : "R.", "non-dropping-particle" : "", "parse-names" : false, "suffix" : "" }, { "dropping-particle" : "", "family" : "Kumar", "given" : "S. Sathis", "non-dropping-particle" : "", "parse-names" : false, "suffix" : "" } ], "chapter-number" : "8", "container-title" : "The National Certification Examination for Energy Managers and Energy Auditors", "edition" : "2nd", "id" : "ITEM-1", "issued" : { "date-parts" : [ [ "2004" ] ] }, "note" : "http://www.em-ea.org/Guide%20Books/book-2/2.8%20Waste%20Heat%20Recovery.pdf", "page" : "1-18", "publisher" : "Bureau of Energy Efficiency", "publisher-place" : "New Delhi", "title" : "Waste Heat Recovery", "type" : "chapter" }, "uris" : [ "http://www.mendeley.com/documents/?uuid=2df20a0c-b654-4bf5-85a7-fb1c37c9e9d0" ] } ], "mendeley" : { "formattedCitation" : "(Dharmalingam et al. 2004)", "plainTextFormattedCitation" : "(Dharmalingam et al. 2004)", "previouslyFormattedCitation" : "(Dharmalingam et al. 2004)" }, "properties" : { "noteIndex" : 0 }, "schema" : "https://github.com/citation-style-language/schema/raw/master/csl-citation.json" }</w:instrText>
      </w:r>
      <w:r w:rsidRPr="008935AB">
        <w:fldChar w:fldCharType="separate"/>
      </w:r>
      <w:r w:rsidR="00073405" w:rsidRPr="00073405">
        <w:rPr>
          <w:noProof/>
        </w:rPr>
        <w:t xml:space="preserve">(Dharmalingam </w:t>
      </w:r>
      <w:r w:rsidR="00073405" w:rsidRPr="006A79DB">
        <w:rPr>
          <w:i/>
          <w:noProof/>
        </w:rPr>
        <w:t>et al</w:t>
      </w:r>
      <w:r w:rsidR="00073405" w:rsidRPr="00073405">
        <w:rPr>
          <w:noProof/>
        </w:rPr>
        <w:t>. 2004)</w:t>
      </w:r>
      <w:r w:rsidRPr="008935AB">
        <w:fldChar w:fldCharType="end"/>
      </w:r>
      <w:r w:rsidRPr="008935AB">
        <w:t>.</w:t>
      </w:r>
    </w:p>
    <w:p w:rsidR="002177AF" w:rsidRDefault="002177AF" w:rsidP="002177AF">
      <w:pPr>
        <w:pStyle w:val="Newparagraph"/>
      </w:pPr>
      <w:r w:rsidRPr="008935AB">
        <w:t xml:space="preserve">Thermodynamic Waste Heat Recovery Systems (WHRS) absorb part of the waste heat which evaporates a working fluid. The fluid </w:t>
      </w:r>
      <w:r w:rsidR="007A68F7">
        <w:t xml:space="preserve">then </w:t>
      </w:r>
      <w:r w:rsidRPr="008935AB">
        <w:t xml:space="preserve">expands </w:t>
      </w:r>
      <w:r>
        <w:t>(e.g.</w:t>
      </w:r>
      <w:r w:rsidRPr="008935AB">
        <w:t xml:space="preserve"> in</w:t>
      </w:r>
      <w:r>
        <w:t>side</w:t>
      </w:r>
      <w:r w:rsidRPr="008935AB">
        <w:t xml:space="preserve"> a turbine</w:t>
      </w:r>
      <w:r>
        <w:t>)</w:t>
      </w:r>
      <w:r w:rsidRPr="008935AB">
        <w:t xml:space="preserve"> and converts part of the heat energy into mechanical, electrical or cooling work. The use of WHRS in land</w:t>
      </w:r>
      <w:r w:rsidR="007A68F7">
        <w:t>-</w:t>
      </w:r>
      <w:r w:rsidRPr="008935AB">
        <w:t>based systems has been well covered using low/medium waste heat</w:t>
      </w:r>
      <w:r>
        <w:t>:</w:t>
      </w:r>
      <w:r w:rsidRPr="008935AB">
        <w:rPr>
          <w:rStyle w:val="gt-baf-back"/>
          <w:szCs w:val="20"/>
        </w:rPr>
        <w:t xml:space="preserve"> </w:t>
      </w:r>
      <w:r w:rsidRPr="008935AB">
        <w:t xml:space="preserve">in cement processes </w:t>
      </w:r>
      <w:r w:rsidRPr="008935AB">
        <w:fldChar w:fldCharType="begin" w:fldLock="1"/>
      </w:r>
      <w:r w:rsidR="00BA1648">
        <w:instrText>ADDIN CSL_CITATION { "citationItems" : [ { "id" : "ITEM-1", "itemData" : { "DOI" : "10.1080/10668680209508978", "ISSN" : "1545-3669", "abstract" : "ABSTRACT Significant progress has been made in using the waste process heat in cement plants. But the use of this process heat to generate electricity fell during past years, which saw low and steady power prices. Times are changing. Deregulation is bringing the specter of extremely volatile electricity prices, loss of control over power costs, and the real likelihood that energy prices may increase in the near term in some areas. As a consequence, it is timely to reconsider the value of using waste process heat to generate electricity. With cogeneration, industries can lower costs and improve the environment. ABSTRACT Significant progress has been made in using the waste process heat in cement plants. But the use of this process heat to generate electricity fell during past years, which saw low and steady power prices. Times are changing. Deregulation is bringing the specter of extremely volatile electricity prices, loss of control over power costs, and the real likelihood that energy prices may increase in the near term in some areas. As a consequence, it is timely to reconsider the value of using waste process heat to generate electricity. With cogeneration, industries can lower costs and improve the environment.", "author" : [ { "dropping-particle" : "", "family" : "Cunningham", "given" : "Paul", "non-dropping-particle" : "", "parse-names" : false, "suffix" : "" } ], "container-title" : "Cogeneration &amp; Distributed Generation Journal", "id" : "ITEM-1", "issue" : "3", "issued" : { "date-parts" : [ [ "2002" ] ] }, "page" : "31-51", "publisher" : "Taylor &amp; Francis", "title" : "Waste Heat/Cogen Opportunities in the Cement Industry", "type" : "article-journal", "volume" : "17" }, "uris" : [ "http://www.mendeley.com/documents/?uuid=8eaeb153-5d89-4030-a383-dad94418347b" ] }, { "id" : "ITEM-2", "itemData" : { "abstract" : "Power Plants based on the Organic Rankine Cycle (ORC) have been increasingly employed over the last 20 years to produce power from various heat sources when other alternatives were either technically not practical or not economical. These power plants in sizes from 300 kW to 130 MW have demonstrated the maturity of this technology. The cycle is well adapted to low moderate temperature heat sources such as waste heat from industrial plants and is widely used producing 600 MW of electric power from geothermal and waste heat resources. The ORC technology is applicable to heat recovery of medium size gas turbines and cement plants, and offers significant advantages over conventional steam bottoming cycles. One such system, the 6.5 MW Gold Creek Power Plant is now in operation at a gas compressor station in Canada displacing some 25,000 tons of CO2 yearly. The Gold Creek Power Plant is owned and operted by a subsidiary of Transcanada Pipeline. A second system of 1.5 MW is operating at the Heidelberger Zement AG Plant in Lengurt, Germany. These environmentally friendly power plants are the first to be installed in these industries. The Cement power plant is recovering unused grate cooler heat and is generating electricity on a continuosly basis without interfering with the initial clinker production process, displacing some 7000 t of CO2 yearly. The use of ORC technology based systems has matured to a field proven and highly reliable technology. ORC have demonstrated advantages over conventional steam cycles and are particularly applicable to geothermal power plants and the recovery of waste heat, from small to medium gas turbines such as the compressor stations, while providing cost and environmental advantages.", "author" : [ { "dropping-particle" : "", "family" : "Bronicki", "given" : "L. Y.", "non-dropping-particle" : "", "parse-names" : false, "suffix" : "" } ], "id" : "ITEM-2", "issued" : { "date-parts" : [ [ "2000" ] ] }, "page" : "6", "publisher" : "Ormat", "publisher-place" : "Sparks", "title" : "Organic Rankine Cycle Power Plant For Waste Heat Recovery", "type" : "article" }, "uris" : [ "http://www.mendeley.com/documents/?uuid=4215e852-1c2c-4072-b592-7a63474bf4b5" ] } ], "mendeley" : { "formattedCitation" : "(Bronicki 2000; Cunningham 2002)", "plainTextFormattedCitation" : "(Bronicki 2000; Cunningham 2002)", "previouslyFormattedCitation" : "(Bronicki 2000; Cunningham 2002)" }, "properties" : { "noteIndex" : 0 }, "schema" : "https://github.com/citation-style-language/schema/raw/master/csl-citation.json" }</w:instrText>
      </w:r>
      <w:r w:rsidRPr="008935AB">
        <w:fldChar w:fldCharType="separate"/>
      </w:r>
      <w:r w:rsidR="00073405" w:rsidRPr="00073405">
        <w:rPr>
          <w:noProof/>
        </w:rPr>
        <w:t>(Bronicki 2000; Cunningham 2002)</w:t>
      </w:r>
      <w:r w:rsidRPr="008935AB">
        <w:fldChar w:fldCharType="end"/>
      </w:r>
      <w:r w:rsidRPr="008935AB">
        <w:t xml:space="preserve">, solar </w:t>
      </w:r>
      <w:r w:rsidRPr="008935AB">
        <w:fldChar w:fldCharType="begin" w:fldLock="1"/>
      </w:r>
      <w:r w:rsidR="00073405">
        <w:instrText>ADDIN CSL_CITATION { "citationItems" : [ { "id" : "ITEM-1", "itemData" : { "DOI" : "10.1016/j.rser.2011.07.024", "ISSN" : "13640321", "abstract" : "An organic Rankine cycle (ORC) machine is similar to a conventional steam cycle energy conversion system, but uses an organic fluid such as refrigerants and hydrocarbons instead of water. In recent years, research was intensified on this device as it is being progressively adopted as premier technology to convert low-temperature heat resources into power. Available heat resources are solar energy, geothermal energy, biomass products, surface seawater, and waste heat from various thermal processes. This paper presents existing applications and analyzes their maturity. Binary geothermal and binary biomass CHP are already mature. Provided the interest to recover waste heat rejected by thermal devices and industrial processes continue to grow, and favorable legislative conditions are adopted, waste heat recovery organic Rankine cycle systems in the near future will experience a rapid growth. Solar modular power plants are being intensely investigated at smaller scale for cogeneration applications in buildings but larger plants are also expected in tropical or Sahel regions with constant and low solar radiation intensity. OTEC power plants operating mainly on offshore installations at very low temperature have been advertised as total resource systems and interest on this technology is growing in large isolated islands.", "author" : [ { "dropping-particle" : "", "family" : "Tchanche", "given" : "Bertrand F.", "non-dropping-particle" : "", "parse-names" : false, "suffix" : "" }, { "dropping-particle" : "", "family" : "Lambrinos", "given" : "Gr.", "non-dropping-particle" : "", "parse-names" : false, "suffix" : "" }, { "dropping-particle" : "", "family" : "Frangoudakis", "given" : "A.", "non-dropping-particle" : "", "parse-names" : false, "suffix" : "" }, { "dropping-particle" : "", "family" : "Papadakis", "given" : "G.", "non-dropping-particle" : "", "parse-names" : false, "suffix" : "" } ], "container-title" : "Renewable and Sustainable Energy Reviews", "id" : "ITEM-1", "issue" : "8", "issued" : { "date-parts" : [ [ "2011", "10" ] ] }, "page" : "3963-3979", "publisher" : "Elsevier Ltd", "title" : "Low-grade heat conversion into power using organic Rankine cycles \u2013 A review of various applications", "type" : "article-journal", "volume" : "15" }, "uris" : [ "http://www.mendeley.com/documents/?uuid=46d7c368-b933-4ed1-962c-175cc630ee5b" ] }, { "id" : "ITEM-2", "itemData" : { "DOI" : "10.1016/j.rser.2012.03.022", "ISSN" : "13640321", "abstract" : "This paper presents an overview of the technical and economic aspects, as well as the market evolution of the Organic Rankine Cycle (ORC). This is an unconventional but very promising technology for the conversion of thermal energy, at low and medium temperatures, into electrical and/or mechanical energy on a small scale. As it makes a greater and/or more intensive use of its energy source, this technology could facilitate an electricity supply to unconnected areas, the self-production of energy, the desalination of seawater for human consumption, or even to increase the energy efficiency in the industrial sector respecting the environment. A look at the scientific publications on this topic shows an open research line, namely the selection of a suitable working fluid for these systems, since there is as yet none that provides all aspects that must be taken into account in ORCs. Furthermore, a description and an analysis of the applications of the proposed technology is carried out, specifying the main providers, which at the present time is limited mainly to the range 0.2\u20132 MWe with a cost of around 1 and 4 \u00d7 103 D /kWe. Lower powers are in pre-commercial status.", "author" : [ { "dropping-particle" : "", "family" : "V\u00e9lez", "given" : "Fredy", "non-dropping-particle" : "", "parse-names" : false, "suffix" : "" }, { "dropping-particle" : "", "family" : "Segovia", "given" : "Jos\u00e9 J.", "non-dropping-particle" : "", "parse-names" : false, "suffix" : "" }, { "dropping-particle" : "", "family" : "Mart\u00edn", "given" : "M. Carmen", "non-dropping-particle" : "", "parse-names" : false, "suffix" : "" }, { "dropping-particle" : "", "family" : "Antol\u00edn", "given" : "Gregorio", "non-dropping-particle" : "", "parse-names" : false, "suffix" : "" }, { "dropping-particle" : "", "family" : "Chejne", "given" : "Farid", "non-dropping-particle" : "", "parse-names" : false, "suffix" : "" }, { "dropping-particle" : "", "family" : "Quijano", "given" : "Ana", "non-dropping-particle" : "", "parse-names" : false, "suffix" : "" } ], "container-title" : "Renewable and Sustainable Energy Reviews", "id" : "ITEM-2", "issue" : "6", "issued" : { "date-parts" : [ [ "2012", "8" ] ] }, "page" : "4175-4189", "publisher" : "Elsevier Ltd", "title" : "A technical, economical and market review of organic Rankine cycles for the conversion of low-grade heat for power generation", "type" : "article-journal", "volume" : "16" }, "uris" : [ "http://www.mendeley.com/documents/?uuid=82782b58-be6d-4335-a2c7-db7c73b68b69" ] } ], "mendeley" : { "formattedCitation" : "(Tchanche et al. 2011; V\u00e9lez et al. 2012)", "plainTextFormattedCitation" : "(Tchanche et al. 2011; V\u00e9lez et al. 2012)", "previouslyFormattedCitation" : "(Tchanche et al. 2011; V\u00e9lez et al. 2012)" }, "properties" : { "noteIndex" : 0 }, "schema" : "https://github.com/citation-style-language/schema/raw/master/csl-citation.json" }</w:instrText>
      </w:r>
      <w:r w:rsidRPr="008935AB">
        <w:fldChar w:fldCharType="separate"/>
      </w:r>
      <w:r w:rsidR="00073405" w:rsidRPr="00073405">
        <w:rPr>
          <w:noProof/>
        </w:rPr>
        <w:t xml:space="preserve">(Tchanche </w:t>
      </w:r>
      <w:r w:rsidR="00073405" w:rsidRPr="006A79DB">
        <w:rPr>
          <w:i/>
          <w:noProof/>
        </w:rPr>
        <w:t>et al</w:t>
      </w:r>
      <w:r w:rsidR="00073405" w:rsidRPr="00073405">
        <w:rPr>
          <w:noProof/>
        </w:rPr>
        <w:t xml:space="preserve">. 2011; Vélez </w:t>
      </w:r>
      <w:r w:rsidR="00073405" w:rsidRPr="006A79DB">
        <w:rPr>
          <w:i/>
          <w:noProof/>
        </w:rPr>
        <w:t>et al</w:t>
      </w:r>
      <w:r w:rsidR="00073405" w:rsidRPr="00073405">
        <w:rPr>
          <w:noProof/>
        </w:rPr>
        <w:t>. 2012)</w:t>
      </w:r>
      <w:r w:rsidRPr="008935AB">
        <w:fldChar w:fldCharType="end"/>
      </w:r>
      <w:r w:rsidRPr="008935AB">
        <w:t xml:space="preserve">, geothermal </w:t>
      </w:r>
      <w:r w:rsidRPr="008935AB">
        <w:fldChar w:fldCharType="begin" w:fldLock="1"/>
      </w:r>
      <w:r w:rsidR="00073405">
        <w:instrText>ADDIN CSL_CITATION { "citationItems" : [ { "id" : "ITEM-1", "itemData" : { "abstract" : "This paper is intended as a primer on the Kalina cycle - a novel, efficient power cycle that uses an ammonia-water mixture as the working fluid. The reader needs no more than a basic understanding of conventional water based Rankine cycle power plants to comprehend the basic thermodynamics, principles and arrangements of Kalina cycle power plants presented in this paper.", "author" : [ { "dropping-particle" : "", "family" : "Mlcak", "given" : "Henry A.", "non-dropping-particle" : "", "parse-names" : false, "suffix" : "" } ], "container-title" : "The International Joint Power Generation Conference", "editor" : [ { "dropping-particle" : "", "family" : "Kielasa, L.; Weed", "given" : "G.E.", "non-dropping-particle" : "", "parse-names" : false, "suffix" : "" } ], "id" : "ITEM-1", "issued" : { "date-parts" : [ [ "2004" ] ] }, "page" : "1-11", "publisher" : "ASME International", "publisher-place" : "New York", "title" : "An Introduction to the Kalina Cycle", "type" : "paper-conference" }, "uris" : [ "http://www.mendeley.com/documents/?uuid=bdd79f5e-75f7-4314-91d8-6ecee41f9ef1" ] }, { "id" : "ITEM-2", "itemData" : { "DOI" : "10.1016/j.geothermics.2003.10.003", "ISSN" : "03756505", "abstract" : "Binary-type energy conversion systems are typically used to exploit low-temperature geothermal resources. There are many different technical variations of binary plants, including those known as Organic Rankine Cycles (ORC) and proprietary systems known as Kalina cycles. Recent articles in the technical literature claim dramatic efficiency advantages for Kalina cycles over ORCs, thereby providing the motivation for this study. Claims of remarkable superiority for one type of technology relative to another ought to be verifiable by recourse to actual performance data. Since there is now an actual Kalina cycle in operation, it ought to be possible to make a comparison between it and ORC plants that have been in operation for some time. Comparisons between power plants must use an appropriate and consistent thermodynamic basis. It has been shown that the Second Law of thermodynamics is the best basis for such comparisons. This principle, employing the concept of exergy, is used here to shed light on these claims. Furthermore, we introduce a methodology to render the comparison of plant efficiencies on common input and environmental conditions, even though the plants being compared operate with somewhat different fluid inlet and ambient temperatures.", "author" : [ { "dropping-particle" : "", "family" : "DiPippo", "given" : "Ronald", "non-dropping-particle" : "", "parse-names" : false, "suffix" : "" } ], "container-title" : "Geothermics", "id" : "ITEM-2", "issue" : "5", "issued" : { "date-parts" : [ [ "2004", "10" ] ] }, "page" : "565-586", "title" : "Second Law assessment of binary plants generating power from low-temperature geothermal fluids", "type" : "article-journal", "volume" : "33" }, "uris" : [ "http://www.mendeley.com/documents/?uuid=b57b8a00-78a5-4e3e-8049-99f4233d294c" ] }, { "id" : "ITEM-3", "itemData" : { "URL" : "http://www.ormat.com/research/papers/organic-rankine-cycle-power-plant-waste-heat-recovery", "abstract" : "Power Plants based on the Organic Rankine Cycle (ORC) have been increasingly employed over the last 20 years to produce power from various heat sources when other alternatives were either technically not practical or not economical. These power plants in sizes from 300 kW to 130 MW have demonstrated the maturity of this technology. The cycle is well adapted to low moderate temperature heat sources such as waste heat from industrial plants and is widely used producing 600 MW of electric power from geothermal and waste heat resources. The ORC technology is applicable to heat recovery of medium size gas turbines and cement plants, and offers significant advantages over conventional steam bottoming cycles. One such system, the 6.5 MW Gold Creek Power Plant is now in operation at a gas compressor station in Canada displacing some 25,000 tons of CO2 yearly. The Gold Creek Power Plant is owned and operted by a subsidiary of Transcanada Pipeline. A second system of 1.5 MW is operating at the Heidelberger Zement AG Plant in Lengurt, Germany. These environmentally friendly power plants are the first to be installed in these industries. The Cement power plant is recovering unused grate cooler heat and is generating electricity on a continuosly basis without interfering with the initial clinker production process, displacing some 7000 t of CO2 yearly. The use of ORC technology based systems has matured to a field proven and highly reliable technology. ORC have demonstrated advantages over conventional steam cycles and are particularly applicable to geothermal power plants and the recovery of waste heat, from small to medium gas turbines such as the compressor stations, while providing cost and environmental advantages.", "accessed" : { "date-parts" : [ [ "2012", "8", "23" ] ] }, "author" : [ { "dropping-particle" : "", "family" : "Bronicki", "given" : "L. Y.", "non-dropping-particle" : "", "parse-names" : false, "suffix" : "" } ], "container-title" : "Ormat Technologies Inc.", "id" : "ITEM-3", "issue" : "Figure 1", "issued" : { "date-parts" : [ [ "2010" ] ] }, "note" : "Land based ORC.", "page" : "5", "title" : "Organic Rankine Cycle Power Plant For Waste Heat", "type" : "webpage" }, "uris" : [ "http://www.mendeley.com/documents/?uuid=b006a678-220b-4e6b-9b43-d12178b4b97c" ] }, { "id" : "ITEM-4", "itemData" : { "DOI" : "10.1016/j.applthermaleng.2012.11.024", "ISSN" : "13594311", "abstract" : "Low Temperature Power Cycles have become increasingly interesting means of increasing energy efficiency of processes as well as for base load power generation from solar, and geothermal, heat. Theoretical understanding of the various processes, components and limitations is constantly increasing through extensive research. Practical utilisation of this knowledge is also increasing steadily though properly published field data is scarce. In this article a number of different solutions for power generation from low temperature heat sources have been gathered and analysed. Some of the studied units have not previously been described. A method for general evaluation of LTPC\u2019s is proposed and the outcome of the analysis is discussed as well as how to use it for practical purposes. By separating thermodynamic potential from irreversibilities the analysis indicates that the irreversibilities show limited dependency on temperature, size, thermodynamic cycle or working fluid. Instead performance of the studied units follows a relatively simple correlation with utilisation of the thermal potential. This correlation is defined and discussed. One conclusion is that the correlation allows for a possibility to express the maximum expected real power generation with knowledge of the characteristics of the heat source and heat sink only.", "author" : [ { "dropping-particle" : "", "family" : "\u00d6hman", "given" : "Henrik", "non-dropping-particle" : "", "parse-names" : false, "suffix" : "" }, { "dropping-particle" : "", "family" : "Lundqvist", "given" : "Per", "non-dropping-particle" : "", "parse-names" : false, "suffix" : "" } ], "container-title" : "Applied Thermal Engineering", "id" : "ITEM-4", "issue" : "1", "issued" : { "date-parts" : [ [ "2013", "4" ] ] }, "note" : "Read for comparison between technologies", "page" : "160-169", "publisher" : "Elsevier Ltd", "title" : "Comparison and analysis of performance using Low Temperature Power Cycles", "type" : "article-journal", "volume" : "52" }, "uris" : [ "http://www.mendeley.com/documents/?uuid=d172ced0-cb09-462a-928e-6cf31fac30eb" ] } ], "mendeley" : { "formattedCitation" : "(Mlcak 2004; DiPippo 2004; Bronicki 2010; \u00d6hman &amp; Lundqvist 2013)", "plainTextFormattedCitation" : "(Mlcak 2004; DiPippo 2004; Bronicki 2010; \u00d6hman &amp; Lundqvist 2013)", "previouslyFormattedCitation" : "(Mlcak 2004; DiPippo 2004; Bronicki 2010; \u00d6hman &amp; Lundqvist 2013)" }, "properties" : { "noteIndex" : 0 }, "schema" : "https://github.com/citation-style-language/schema/raw/master/csl-citation.json" }</w:instrText>
      </w:r>
      <w:r w:rsidRPr="008935AB">
        <w:fldChar w:fldCharType="separate"/>
      </w:r>
      <w:r w:rsidR="00073405" w:rsidRPr="00073405">
        <w:rPr>
          <w:noProof/>
        </w:rPr>
        <w:t>(Mlcak 2004; DiPippo 2004; Bronicki 2010; Öhman &amp; Lundqvist 2013)</w:t>
      </w:r>
      <w:r w:rsidRPr="008935AB">
        <w:fldChar w:fldCharType="end"/>
      </w:r>
      <w:r>
        <w:t xml:space="preserve"> and, land</w:t>
      </w:r>
      <w:r w:rsidR="007A68F7">
        <w:t>-</w:t>
      </w:r>
      <w:r>
        <w:t xml:space="preserve">based vehicles using </w:t>
      </w:r>
      <w:r w:rsidRPr="008935AB">
        <w:t>internal combustion engines</w:t>
      </w:r>
      <w:r>
        <w:t xml:space="preserve"> </w:t>
      </w:r>
      <w:r w:rsidRPr="008935AB">
        <w:fldChar w:fldCharType="begin" w:fldLock="1"/>
      </w:r>
      <w:r w:rsidR="00BA1648">
        <w:instrText>ADDIN CSL_CITATION { "citationItems" : [ { "id" : "ITEM-1", "itemData" : { "DOI" : "10.1016/j.applthermaleng.2011.10.025", "ISSN" : "13594311", "abstract" : "This paper describes the study of different bottoming Rankine cycles with water-steam and/or ORC configurations in classical and innovative setups such as a waste heat recovery system in a Heavy Duty Diesel (HDD) Engine. This work has been divided in two parts. This first part describes the model of the studied HDD engine and the available waste energy sources in this HDD Engine. The waste energy sources are studied from the standpoint of energy analysis to determine which are the most appropriate for their application in bottoming cycles attending to minimizing external irreversibilities. Finally, two configurations are chosen as the most appropriate, in a balance between external irreversibilities and technological complexity, and they have been analyzed to determine global efficiencies, power increments and necessary modifications to implement these cycles in the HDD engine. The second part of this article will analyze additional innovative setups in the HDD engine to fit this engine with ORC cycles.", "author" : [ { "dropping-particle" : "", "family" : "Dolz", "given" : "V.", "non-dropping-particle" : "", "parse-names" : false, "suffix" : "" }, { "dropping-particle" : "", "family" : "Novella", "given" : "R.", "non-dropping-particle" : "", "parse-names" : false, "suffix" : "" }, { "dropping-particle" : "", "family" : "Garc\u00eda", "given" : "A.", "non-dropping-particle" : "", "parse-names" : false, "suffix" : "" }, { "dropping-particle" : "", "family" : "S\u00e1nchez", "given" : "J.", "non-dropping-particle" : "", "parse-names" : false, "suffix" : "" } ], "container-title" : "Applied Thermal Engineering", "id" : "ITEM-1", "issued" : { "date-parts" : [ [ "2012", "4" ] ] }, "page" : "269-278", "publisher" : "Elsevier Ltd", "title" : "HD Diesel engine equipped with a bottoming Rankine cycle as a waste heat recovery system. Part 1: Study and analysis of the waste heat energy", "type" : "article-journal", "volume" : "36" }, "uris" : [ "http://www.mendeley.com/documents/?uuid=5c4d2f39-7579-4ac6-99f8-2326fb2faafc" ] }, { "id" : "ITEM-2", "itemData" : { "DOI" : "10.1109/APPEEC.2010.5448861", "ISBN" : "978-1-4244-4812-8", "abstract" : "For an internal combustion engine, 30% to 40% of the fuel energy is carried away by exhaust. Recovering a portion of the heat loss can increase the brake power and reduce the fuel consumption and CO2 emission of the engine. This paper shows how Rankine cycle is used to recover the exhaust heat. Total heat recovery efficiency is used to measure the performance of heat recovery system. The thermodynamic properties of the working fluids are analyzed. The results show that among the working fluids investigated, water has the highest total heat recovery efficiency when the exhaust temperature is high. In comparison to water, organic fluids are advantageous when the exhaust temperature is low and/or variable. Water is the fluid with the smallest variations from the power output at the evaporating pressure of 3 Mpa. This characteristic leads to the possibility of simplifying the compression and expansion component.", "author" : [ { "dropping-particle" : "", "family" : "Feng", "given" : "Liming", "non-dropping-particle" : "", "parse-names" : false, "suffix" : "" }, { "dropping-particle" : "", "family" : "Gao", "given" : "Wenzhi", "non-dropping-particle" : "", "parse-names" : false, "suffix" : "" }, { "dropping-particle" : "", "family" : "Qin", "given" : "Hao", "non-dropping-particle" : "", "parse-names" : false, "suffix" : "" }, { "dropping-particle" : "", "family" : "Xie", "given" : "Bixian", "non-dropping-particle" : "", "parse-names" : false, "suffix" : "" } ], "container-title" : "2010 Asia-Pacific Power and Energy Engineering Conference", "id" : "ITEM-2", "issued" : { "date-parts" : [ [ "2010" ] ] }, "page" : "1-4", "publisher" : "IEEE", "publisher-place" : "Chengdu", "title" : "Heat Recovery from Internal Combustion Engine with Rankine Cycle", "type" : "paper-conference" }, "uris" : [ "http://www.mendeley.com/documents/?uuid=3b20965d-5097-464c-b50b-6054a5bddc9e" ] }, { "id" : "ITEM-3", "itemData" : { "DOI" : "10.1016/j.applthermaleng.2010.04.028", "ISSN" : "13594311", "abstract" : "Thermal management, in particular, heat recovery and utilisation in internal combustion engines result in improved fuel economy, reduced emissions, fast warm up and optimized cylinder head temperatures. turbo-compounding is a heat recovery technique that has been successfully used in medium and large scale engines. Heat recovery to a secondary fluid and expansion is used in large scale engines, such as in power plants in the form of heat recovery steam generators (HRSG) [1]. The present paper presents a thermodynamic analysis of turbo-compounding and heat recovery and utilisation through a fluid power cycle, a technique that is also applicable to medium and small scale engines. In a fluid power cycle, the working fluid is stored in a reservoir and expanded subsequently. The reservoir acts as an energy buffer that improves the overall efficiency, significantly. This paper highlights the relative advantage of exhaust heat secondary power cycles over turbo-compounding with the aid of MATLAB based QSS Toolbox [2] simulation results. Steam has been selected as the working fluid in this work for its superior heat capacity over organic fluids and gases.", "author" : [ { "dropping-particle" : "", "family" : "Weerasinghe", "given" : "W.M.S.R.", "non-dropping-particle" : "", "parse-names" : false, "suffix" : "" }, { "dropping-particle" : "", "family" : "Stobart", "given" : "R.K.", "non-dropping-particle" : "", "parse-names" : false, "suffix" : "" }, { "dropping-particle" : "", "family" : "Hounsham", "given" : "S.M.", "non-dropping-particle" : "", "parse-names" : false, "suffix" : "" } ], "container-title" : "Applied Thermal Engineering", "id" : "ITEM-3", "issue" : "14-15", "issued" : { "date-parts" : [ [ "2010", "10" ] ] }, "page" : "2253-2256", "title" : "Thermal efficiency improvement in high output diesel engines a comparison of a Rankine cycle with turbo-compounding", "type" : "article-journal", "volume" : "30" }, "uris" : [ "http://www.mendeley.com/documents/?uuid=f501d070-3a1b-483c-8cc0-9a6a1cdf5b81" ] }, { "id" : "ITEM-4", "itemData" : { "author" : [ { "dropping-particle" : "", "family" : "Dinanno", "given" : "L. R.", "non-dropping-particle" : "", "parse-names" : false, "suffix" : "" }, { "dropping-particle" : "", "family" : "Dibella", "given" : "F. A.", "non-dropping-particle" : "", "parse-names" : false, "suffix" : "" }, { "dropping-particle" : "", "family" : "Koplow", "given" : "M. D.", "non-dropping-particle" : "", "parse-names" : false, "suffix" : "" } ], "id" : "ITEM-4", "issued" : { "date-parts" : [ [ "1983" ] ] }, "number-of-pages" : "128", "publisher-place" : "Cleveland", "title" : "An RC-1 Organic Rankine Bottoming Cycle for an Adiabatic Diesel Engine", "type" : "report" }, "uris" : [ "http://www.mendeley.com/documents/?uuid=d156b169-24c3-46d6-a5ea-3d653473ee5e" ] } ], "mendeley" : { "formattedCitation" : "(Dinanno et al. 1983; Feng et al. 2010; Weerasinghe et al. 2010; Dolz et al. 2012)", "plainTextFormattedCitation" : "(Dinanno et al. 1983; Feng et al. 2010; Weerasinghe et al. 2010; Dolz et al. 2012)", "previouslyFormattedCitation" : "(Dinanno et al. 1983; Feng et al. 2010; Weerasinghe et al. 2010; Dolz et al. 2012)" }, "properties" : { "noteIndex" : 0 }, "schema" : "https://github.com/citation-style-language/schema/raw/master/csl-citation.json" }</w:instrText>
      </w:r>
      <w:r w:rsidRPr="008935AB">
        <w:fldChar w:fldCharType="separate"/>
      </w:r>
      <w:r w:rsidR="00073405" w:rsidRPr="00073405">
        <w:rPr>
          <w:noProof/>
        </w:rPr>
        <w:t xml:space="preserve">(Dinanno </w:t>
      </w:r>
      <w:r w:rsidR="00073405" w:rsidRPr="006A79DB">
        <w:rPr>
          <w:i/>
          <w:noProof/>
        </w:rPr>
        <w:t>et al</w:t>
      </w:r>
      <w:r w:rsidR="00073405" w:rsidRPr="00073405">
        <w:rPr>
          <w:noProof/>
        </w:rPr>
        <w:t xml:space="preserve">. 1983; Feng </w:t>
      </w:r>
      <w:r w:rsidR="00073405" w:rsidRPr="006A79DB">
        <w:rPr>
          <w:i/>
          <w:noProof/>
        </w:rPr>
        <w:t>et al</w:t>
      </w:r>
      <w:r w:rsidR="00073405" w:rsidRPr="00073405">
        <w:rPr>
          <w:noProof/>
        </w:rPr>
        <w:t xml:space="preserve">. 2010; Weerasinghe </w:t>
      </w:r>
      <w:r w:rsidR="00073405" w:rsidRPr="006A79DB">
        <w:rPr>
          <w:i/>
          <w:noProof/>
        </w:rPr>
        <w:t>et al</w:t>
      </w:r>
      <w:r w:rsidR="00073405" w:rsidRPr="00073405">
        <w:rPr>
          <w:noProof/>
        </w:rPr>
        <w:t xml:space="preserve">. 2010; Dolz </w:t>
      </w:r>
      <w:r w:rsidR="00073405" w:rsidRPr="006A79DB">
        <w:rPr>
          <w:i/>
          <w:noProof/>
        </w:rPr>
        <w:t>et al</w:t>
      </w:r>
      <w:r w:rsidR="00073405" w:rsidRPr="00073405">
        <w:rPr>
          <w:noProof/>
        </w:rPr>
        <w:t>. 2012)</w:t>
      </w:r>
      <w:r w:rsidRPr="008935AB">
        <w:fldChar w:fldCharType="end"/>
      </w:r>
      <w:r>
        <w:t>.</w:t>
      </w:r>
      <w:r w:rsidRPr="008935AB">
        <w:t xml:space="preserve"> The </w:t>
      </w:r>
      <w:r w:rsidRPr="008935AB">
        <w:lastRenderedPageBreak/>
        <w:t xml:space="preserve">ship </w:t>
      </w:r>
      <w:r>
        <w:t xml:space="preserve">WHRS </w:t>
      </w:r>
      <w:r w:rsidRPr="008935AB">
        <w:t>case is a peculiar one</w:t>
      </w:r>
      <w:r>
        <w:t xml:space="preserve"> when compared to land</w:t>
      </w:r>
      <w:r w:rsidR="007A68F7">
        <w:t>-</w:t>
      </w:r>
      <w:r>
        <w:t>based systems:</w:t>
      </w:r>
      <w:r w:rsidRPr="008935AB">
        <w:t xml:space="preserve"> </w:t>
      </w:r>
      <w:r>
        <w:t xml:space="preserve">a) The fuels used for vessel propulsion have a higher sulphur content - even when including marine Emission Control Areas – this limits the amount of heat that the WHRS can absorb from the exhaust gas due to sulphuric acid corrosion </w:t>
      </w:r>
      <w:r>
        <w:fldChar w:fldCharType="begin" w:fldLock="1"/>
      </w:r>
      <w:r w:rsidR="00073405">
        <w:instrText>ADDIN CSL_CITATION { "citationItems" : [ { "id" : "ITEM-1", "itemData" : { "URL" : "http://www.imo.org/ourwork/environment/pollutionprevention/airpollution/pages/sulphur-oxides-(sox)-\u2013-regulation-14.aspx", "accessed" : { "date-parts" : [ [ "2013", "4", "24" ] ] }, "author" : [ { "dropping-particle" : "", "family" : "International Maritime Organization", "given" : "", "non-dropping-particle" : "", "parse-names" : false, "suffix" : "" } ], "container-title" : "Air Pollution and GHG Emissions", "id" : "ITEM-1", "issued" : { "date-parts" : [ [ "2013" ] ] }, "page" : "1", "title" : "Sulphur oxides (SOx) \u2013 Regulation 14", "type" : "webpage" }, "uris" : [ "http://www.mendeley.com/documents/?uuid=45153283-d7aa-44d3-acda-13fa276b96e0" ] }, { "id" : "ITEM-2", "itemData" : { "abstract" : "This European Standard specifies requirements and test methods for marketed and delivered automotive diesel fuel. It is applicable to automotive diesel fuel for use in diesel engine vehicles designed to run on automotive diesel fuel containing up to 7 %(V/V) Fatty Acid Methyl Ester. NOTE For the purposes of this European Standard, the terms \"% (m/m)\" and \"% (V/V)\" are used to represent respectively the mass fraction and the volume fraction.", "author" : [ { "dropping-particle" : "", "family" : "European Committee for Standardization", "given" : "", "non-dropping-particle" : "", "parse-names" : false, "suffix" : "" } ], "id" : "ITEM-2", "issued" : { "date-parts" : [ [ "2013" ] ] }, "page" : "22", "publisher" : "European Comittee for Standardization", "publisher-place" : "Brussels", "title" : "EN590:2013: Automotive fuels. Diesel. Requirements and test methods.", "type" : "article" }, "uris" : [ "http://www.mendeley.com/documents/?uuid=f0fc8ff2-1943-466f-8218-8cb6a94fc2bd" ] }, { "id" : "ITEM-3", "itemData" : { "abstract" : "Current interest in reducing emissions and reducing engine operating costs is leading towards the use of more effective wasteheat recovery. By adapting the tuning of the Sulzer low-speed two-stroke marine engines to increase exhaust gas energy andemploying both steam and exhaust gas turbines in a Total Heat Recover Plant, an electrical output of about 11% of enginepower is possible. Such savings can make a major contribution to improving both plant ef\ufb01ciency and engine emissions. Forexample, with a Sulzer 12RTA96C engine, as widely applied in today\u2019s large container liners, the Total Heat Recovery Plant would provide up to 7000 kW as electrical power at the engine\u2019s service load.This Total Heat Recovery Plant is attracting much interest from shipowners interested in saving fuel costs and reducingemissions. It must be remembered that modern large, low-speed marine engines are very highly developed and there is littlepotential for achieving signi\ufb01cant reductions in CO 2 emissions by engine development alone. Thus the proposed Total HeatRecovery Plant is a practical path forward.", "author" : [ { "dropping-particle" : "", "family" : "Schmid", "given" : "Heinrich", "non-dropping-particle" : "", "parse-names" : false, "suffix" : "" } ], "container-title" : "Green Ship Technology Conference", "id" : "ITEM-3", "issued" : { "date-parts" : [ [ "2004" ] ] }, "page" : "10", "publisher-place" : "London", "title" : "Waste Heat Recovery (WHR): Fuel Savings With Less Emissions", "type" : "paper-conference" }, "uris" : [ "http://www.mendeley.com/documents/?uuid=df562755-a53a-405c-ad03-e51ac6de2eb9" ] }, { "id" : "ITEM-4", "itemData" : { "DOI" : "10.1016/j.enconman.2014.03.038", "ISSN" : "01968904", "abstract" : "Stricter legislation on sulphur oxide emissions from ships will apply as of 2015 in emission control areas. Consequently, prices on low sulphur fuels are expected to increase drastically, providing a strong incentive to find alternative ways of complying with the legislation and improving the efficiency of machinery systems. The wet sulphuric acid process is an effective way of removing flue gas sulphur oxides from land-based coal-fired power plants. Moreover, organic Rankine cycles (ORC) are suitable for heat to power conversion for low temperature heat sources. This paper describes the design and modeling of a highly efficient machinery system which includes the removal of exhaust gas sulphur oxides. The system consists of a two-stroke diesel engine, the wet sulphuric process for sulphur removal, a conventional steam Rankine cycle and an ORC. Results of numerical modeling efforts suggest that an ORC placed after the conventional waste heat recovery system is able to extract the sulphuric acid from the exhaust gas, while at the same time increase the combined cycle thermal efficiency by 2.6%. The findings indicate that the technology has potential in marine applications regarding both energy and the environment; however, further research and development efforts are needed.", "author" : [ { "dropping-particle" : "", "family" : "Nielsen", "given" : "Rasmus Frimann", "non-dropping-particle" : "", "parse-names" : false, "suffix" : "" }, { "dropping-particle" : "", "family" : "Haglind", "given" : "Fredrik", "non-dropping-particle" : "", "parse-names" : false, "suffix" : "" }, { "dropping-particle" : "", "family" : "Larsen", "given" : "Ulrik", "non-dropping-particle" : "", "parse-names" : false, "suffix" : "" } ], "container-title" : "Energy Conversion and Management", "id" : "ITEM-4", "issued" : { "date-parts" : [ [ "2014", "4" ] ] }, "title" : "Design and modeling of an advanced marine machinery system including waste heat recovery and removal of sulphur oxides", "type" : "article-journal" }, "uris" : [ "http://www.mendeley.com/documents/?uuid=b99739f9-0a1c-43b3-a77c-e098dbcfdf97" ] } ], "mendeley" : { "formattedCitation" : "(Schmid 2004; European Committee for Standardization 2013; International Maritime Organization 2013; Nielsen et al. 2014)", "plainTextFormattedCitation" : "(Schmid 2004; European Committee for Standardization 2013; International Maritime Organization 2013; Nielsen et al. 2014)", "previouslyFormattedCitation" : "(Schmid 2004; European Committee for Standardization 2013; International Maritime Organization 2013; Nielsen et al. 2014)" }, "properties" : { "noteIndex" : 0 }, "schema" : "https://github.com/citation-style-language/schema/raw/master/csl-citation.json" }</w:instrText>
      </w:r>
      <w:r>
        <w:fldChar w:fldCharType="separate"/>
      </w:r>
      <w:r w:rsidR="00073405" w:rsidRPr="00073405">
        <w:rPr>
          <w:noProof/>
        </w:rPr>
        <w:t xml:space="preserve">(Schmid 2004; European Committee for Standardization 2013; International Maritime Organization 2013; Nielsen </w:t>
      </w:r>
      <w:r w:rsidR="00073405" w:rsidRPr="006A79DB">
        <w:rPr>
          <w:i/>
          <w:noProof/>
        </w:rPr>
        <w:t>et al</w:t>
      </w:r>
      <w:r w:rsidR="00073405" w:rsidRPr="00073405">
        <w:rPr>
          <w:noProof/>
        </w:rPr>
        <w:t>. 2014)</w:t>
      </w:r>
      <w:r>
        <w:fldChar w:fldCharType="end"/>
      </w:r>
      <w:r>
        <w:t>; b) Installing a WHRS on</w:t>
      </w:r>
      <w:r w:rsidR="007A68F7">
        <w:t>-</w:t>
      </w:r>
      <w:r>
        <w:t xml:space="preserve">board a ship will </w:t>
      </w:r>
      <w:r w:rsidR="007A68F7">
        <w:t>occupy</w:t>
      </w:r>
      <w:r>
        <w:t xml:space="preserve"> vital space</w:t>
      </w:r>
      <w:r w:rsidR="007A68F7">
        <w:t>,</w:t>
      </w:r>
      <w:r>
        <w:t xml:space="preserve"> resulting in compact designs </w:t>
      </w:r>
      <w:r w:rsidR="007A68F7">
        <w:t>and</w:t>
      </w:r>
      <w:r>
        <w:t xml:space="preserve"> will also impose additional constraints on the size and mass of components; c) The mass of the WHRS will increase the displacement of the ship and</w:t>
      </w:r>
      <w:r w:rsidR="007A68F7">
        <w:t>,</w:t>
      </w:r>
      <w:r>
        <w:t xml:space="preserve"> hence</w:t>
      </w:r>
      <w:r w:rsidR="007A68F7">
        <w:t>,</w:t>
      </w:r>
      <w:r>
        <w:t xml:space="preserve"> the power required to move it; d) Due to optimised weather routing, cargo level and scheduling</w:t>
      </w:r>
      <w:r w:rsidR="007A68F7">
        <w:t>,</w:t>
      </w:r>
      <w:r>
        <w:t xml:space="preserve"> there is a more varied operating profile and wider range of power demands,</w:t>
      </w:r>
      <w:r w:rsidRPr="00DE7E5B">
        <w:t xml:space="preserve"> </w:t>
      </w:r>
      <w:r w:rsidRPr="008935AB">
        <w:t>affecting the waste heat availability from th</w:t>
      </w:r>
      <w:r>
        <w:t xml:space="preserve">e ship’s different heat sources; e) When using seawater as </w:t>
      </w:r>
      <w:r w:rsidR="007A68F7">
        <w:t xml:space="preserve">a </w:t>
      </w:r>
      <w:r>
        <w:t xml:space="preserve">cooling medium, there will be temperature changes as the ship travels around the globe, </w:t>
      </w:r>
      <w:r w:rsidR="007A68F7">
        <w:t>with</w:t>
      </w:r>
      <w:r>
        <w:t xml:space="preserve"> cold sink temperatures which can range from -2</w:t>
      </w:r>
      <w:r>
        <w:rPr>
          <w:rFonts w:ascii="Calibri" w:hAnsi="Calibri"/>
        </w:rPr>
        <w:t>˚</w:t>
      </w:r>
      <w:r>
        <w:t xml:space="preserve">C to </w:t>
      </w:r>
      <w:r w:rsidRPr="008935AB">
        <w:t>30</w:t>
      </w:r>
      <w:r>
        <w:rPr>
          <w:rFonts w:ascii="Calibri" w:hAnsi="Calibri"/>
        </w:rPr>
        <w:t>˚</w:t>
      </w:r>
      <w:r>
        <w:t xml:space="preserve">C </w:t>
      </w:r>
      <w:r>
        <w:fldChar w:fldCharType="begin" w:fldLock="1"/>
      </w:r>
      <w:r w:rsidR="00073405">
        <w:instrText>ADDIN CSL_CITATION { "citationItems" : [ { "id" : "ITEM-1", "itemData" : { "DOI" : "http://dx.doi.org/10.1175/JCLI3637.1", "abstract" : "A new flexible gridded dataset of sea surface temperature (SST) since 1850 is presented and its uncertainties are quantified. This analysis [the Second Hadley Centre Sea Surface Temperature dataset (HadSST2)] is based on data contained within the recently created International Comprehensive Ocean\u2013Atmosphere Data Set (ICOADS) database and so is superior in geographical coverage to previous datasets and has smaller uncertainties. Issues arising when analyzing a database of observations measured from very different platforms and drawn from many different countries with different measurement practices are introduced. Improved bias corrections are applied to the data to account for changes in measurement conditions through time. A detailed analysis of uncertainties in these corrections is included by exploring assumptions made in their construction and producing multiple versions using a Monte Carlo method. An assessment of total uncertainty in each gridded average is obtained by combining these bias-correction-related uncertainties with those arising from measurement errors and undersampling of intragrid box variability. These are calculated by partitioning the variance in grid box averages between real and spurious variability. From month to month in individual grid boxes, sampling uncertainties tend to be most important (except in certain regions), but on large-scale averages bias-correction uncertainties are more dominant owing to their correlation between grid boxes. Changes in large-scale SST through time are assessed by two methods. The linear warming between 1850 and 2004 was 0.52\u00b0 \u00b1 0.19\u00b0C (95% confidence interval) for the globe, 0.59\u00b0 \u00b1 0.20\u00b0C for the Northern Hemisphere, and 0.46\u00b0 \u00b1 0.29\u00b0C for the Southern Hemisphere. Decadally filtered differences for these regions over this period were 0.67\u00b0 \u00b1 0.04\u00b0C, 0.71\u00b0 \u00b1 0.06\u00b0C, and 0.64\u00b0 \u00b1 0.07\u00b0C.", "author" : [ { "dropping-particle" : "", "family" : "Rayner", "given" : "N.A.", "non-dropping-particle" : "", "parse-names" : false, "suffix" : "" }, { "dropping-particle" : "", "family" : "Brohan", "given" : "P.", "non-dropping-particle" : "", "parse-names" : false, "suffix" : "" }, { "dropping-particle" : "", "family" : "Parker", "given" : "D.E.", "non-dropping-particle" : "", "parse-names" : false, "suffix" : "" }, { "dropping-particle" : "", "family" : "Folland", "given" : "C.K.", "non-dropping-particle" : "", "parse-names" : false, "suffix" : "" }, { "dropping-particle" : "", "family" : "Kennedy", "given" : "J.J.", "non-dropping-particle" : "", "parse-names" : false, "suffix" : "" }, { "dropping-particle" : "", "family" : "Vanicek", "given" : "M.", "non-dropping-particle" : "", "parse-names" : false, "suffix" : "" }, { "dropping-particle" : "", "family" : "Ansell", "given" : "T. J.", "non-dropping-particle" : "", "parse-names" : false, "suffix" : "" }, { "dropping-particle" : "", "family" : "Tett", "given" : "S.F.B.", "non-dropping-particle" : "", "parse-names" : false, "suffix" : "" } ], "container-title" : "Journal of Climate", "id" : "ITEM-1", "issue" : "3", "issued" : { "date-parts" : [ [ "2006" ] ] }, "page" : "446-469", "title" : "Improved analyses of changes and uncertainties in sea surface temperature measured in situ since the mid-nineteenth century: the HadSST2 data set.", "type" : "article-journal", "volume" : "19" }, "uris" : [ "http://www.mendeley.com/documents/?uuid=ad23f69c-38ee-4ecd-8466-6fddcae0c85d" ] } ], "mendeley" : { "formattedCitation" : "(Rayner et al. 2006)", "plainTextFormattedCitation" : "(Rayner et al. 2006)", "previouslyFormattedCitation" : "(Rayner et al. 2006)" }, "properties" : { "noteIndex" : 0 }, "schema" : "https://github.com/citation-style-language/schema/raw/master/csl-citation.json" }</w:instrText>
      </w:r>
      <w:r>
        <w:fldChar w:fldCharType="separate"/>
      </w:r>
      <w:r w:rsidR="00073405" w:rsidRPr="00073405">
        <w:rPr>
          <w:noProof/>
        </w:rPr>
        <w:t xml:space="preserve">(Rayner </w:t>
      </w:r>
      <w:r w:rsidR="00073405" w:rsidRPr="006A79DB">
        <w:rPr>
          <w:i/>
          <w:noProof/>
        </w:rPr>
        <w:t>et al</w:t>
      </w:r>
      <w:r w:rsidR="00073405" w:rsidRPr="00073405">
        <w:rPr>
          <w:noProof/>
        </w:rPr>
        <w:t>. 2006)</w:t>
      </w:r>
      <w:r>
        <w:fldChar w:fldCharType="end"/>
      </w:r>
      <w:r>
        <w:t>.</w:t>
      </w:r>
    </w:p>
    <w:p w:rsidR="002177AF" w:rsidRPr="008935AB" w:rsidRDefault="002177AF" w:rsidP="002177AF">
      <w:pPr>
        <w:pStyle w:val="Newparagraph"/>
      </w:pPr>
      <w:r w:rsidRPr="008935AB">
        <w:t xml:space="preserve">The work of </w:t>
      </w:r>
      <w:proofErr w:type="spellStart"/>
      <w:r w:rsidRPr="008935AB">
        <w:t>Alvik</w:t>
      </w:r>
      <w:proofErr w:type="spellEnd"/>
      <w:r w:rsidRPr="008935AB">
        <w:t xml:space="preserve"> </w:t>
      </w:r>
      <w:r w:rsidRPr="006A79DB">
        <w:rPr>
          <w:i/>
        </w:rPr>
        <w:t>et al</w:t>
      </w:r>
      <w:r w:rsidRPr="008935AB">
        <w:t xml:space="preserve">. </w:t>
      </w:r>
      <w:r>
        <w:fldChar w:fldCharType="begin" w:fldLock="1"/>
      </w:r>
      <w:r w:rsidR="00454C96">
        <w:instrText>ADDIN CSL_CITATION { "citationItems" : [ { "id" : "ITEM-1", "itemData" : { "abstract" : "In June 2009 DNV issued the fi rst Pathway to Low Carbon Shipping which demonstrated the potential to reduce the CO2 emission of the existing fl eet by 15% in a cost effi cient manner. In this second Pathway all the identifi ed measures are included. While there is no single measure which could make it all happen, the aggregated effect of all the measures is signifi cant. This will ensure an industry that operates in a more energy effi cient manner and also accepts its share of the common responsibility to reduce CO2 emissions.", "author" : [ { "dropping-particle" : "", "family" : "Alvik", "given" : "S.", "non-dropping-particle" : "", "parse-names" : false, "suffix" : "" }, { "dropping-particle" : "", "family" : "Eide", "given" : "M.S.", "non-dropping-particle" : "", "parse-names" : false, "suffix" : "" }, { "dropping-particle" : "", "family" : "Endresen", "given" : "\u00d8.", "non-dropping-particle" : "", "parse-names" : false, "suffix" : "" }, { "dropping-particle" : "", "family" : "Hoffmann", "given" : "P.", "non-dropping-particle" : "", "parse-names" : false, "suffix" : "" }, { "dropping-particle" : "", "family" : "Longva", "given" : "T.", "non-dropping-particle" : "", "parse-names" : false, "suffix" : "" } ], "id" : "ITEM-1", "issue" : "February", "issued" : { "date-parts" : [ [ "2010" ] ] }, "number-of-pages" : "8", "publisher-place" : "H\u00f8vik", "title" : "Pathways to low carbon shipping . Abatement potential towards 2030.", "type" : "report" }, "uris" : [ "http://www.mendeley.com/documents/?uuid=54fa4afb-e728-437e-b709-3ad3ba9d635e" ] } ], "mendeley" : { "formattedCitation" : "(Alvik et al. 2010)", "manualFormatting" : "(2010)", "plainTextFormattedCitation" : "(Alvik et al. 2010)", "previouslyFormattedCitation" : "(Alvik et al. 2010)" }, "properties" : { "noteIndex" : 0 }, "schema" : "https://github.com/citation-style-language/schema/raw/master/csl-citation.json" }</w:instrText>
      </w:r>
      <w:r>
        <w:fldChar w:fldCharType="separate"/>
      </w:r>
      <w:r w:rsidR="00454C96">
        <w:rPr>
          <w:noProof/>
        </w:rPr>
        <w:t>(</w:t>
      </w:r>
      <w:r w:rsidR="00454C96" w:rsidRPr="00454C96">
        <w:rPr>
          <w:noProof/>
        </w:rPr>
        <w:t>2010)</w:t>
      </w:r>
      <w:r>
        <w:fldChar w:fldCharType="end"/>
      </w:r>
      <w:r w:rsidRPr="008935AB">
        <w:t xml:space="preserve"> showed that WHRS </w:t>
      </w:r>
      <w:r>
        <w:t>is</w:t>
      </w:r>
      <w:r w:rsidRPr="008935AB">
        <w:t xml:space="preserve"> one of the options </w:t>
      </w:r>
      <w:r>
        <w:t>which reduces the largest amount of</w:t>
      </w:r>
      <w:r w:rsidRPr="008935AB">
        <w:t xml:space="preserve"> shipping CO</w:t>
      </w:r>
      <w:r w:rsidRPr="008935AB">
        <w:rPr>
          <w:vertAlign w:val="subscript"/>
        </w:rPr>
        <w:t>2</w:t>
      </w:r>
      <w:r w:rsidRPr="008935AB">
        <w:t xml:space="preserve"> emissions, just behind slow</w:t>
      </w:r>
      <w:r w:rsidR="007A68F7">
        <w:t>-</w:t>
      </w:r>
      <w:r w:rsidRPr="008935AB">
        <w:t>steaming and the use of LNG</w:t>
      </w:r>
      <w:r>
        <w:t xml:space="preserve"> as fuel. The downside is the initial</w:t>
      </w:r>
      <w:r w:rsidRPr="008935AB">
        <w:t xml:space="preserve"> cost</w:t>
      </w:r>
      <w:r w:rsidR="007A68F7">
        <w:t xml:space="preserve"> of WHRS</w:t>
      </w:r>
      <w:r>
        <w:t xml:space="preserve"> but</w:t>
      </w:r>
      <w:r w:rsidR="004353BC">
        <w:t>,</w:t>
      </w:r>
      <w:r>
        <w:t xml:space="preserve"> since </w:t>
      </w:r>
      <w:r w:rsidR="007A68F7">
        <w:t>its</w:t>
      </w:r>
      <w:r>
        <w:t xml:space="preserve"> CO</w:t>
      </w:r>
      <w:r>
        <w:rPr>
          <w:vertAlign w:val="subscript"/>
        </w:rPr>
        <w:t>2</w:t>
      </w:r>
      <w:r>
        <w:t xml:space="preserve"> reductions </w:t>
      </w:r>
      <w:r w:rsidR="004353BC">
        <w:t>occur</w:t>
      </w:r>
      <w:r>
        <w:t xml:space="preserve"> from a reduction in fuel use, the impact of the WHRS investment could be reduced in the short to medium term </w:t>
      </w:r>
      <w:r>
        <w:fldChar w:fldCharType="begin" w:fldLock="1"/>
      </w:r>
      <w:r w:rsidR="00073405">
        <w:instrText>ADDIN CSL_CITATION { "citationItems" : [ { "id" : "ITEM-1", "itemData" : { "DOI" : "10.1177/1475090212457894", "ISSN" : "1475-0902", "abstract" : "In this article, the waste heat recovery (WHR) installations used for the production of saturated steam and electric power for the cases of a two-stroke and a four-stroke engine propulsion plant of a typical merchant ship are investigated. The examined WHR system is considered to be of the single steam pressure type with an external heat exchanger for the heating of feed water entering into the boiler drum. The option of using the engine air cooler for heating the feed water was also examined. The WHR installation was modeled under steady-state conditions, and the derived WHR installation parameters for various engine loads are presented and analyzed. Furthermore, using the simulation results, the improvement of Energy Efficiency Design Index (EEDI) of the examined ship is calculated, and the impact of the WHR on the ship EEDI is discussed. In addition, following the technical evaluation of the alternative options for the ship propulsion plant, an economic study was performed for a typical ship voyage. The derived results were presented and discussed leading to conclusions for the most techno-economical propulsion system configuration.", "author" : [ { "dropping-particle" : "", "family" : "Theotokatos", "given" : "G.", "non-dropping-particle" : "", "parse-names" : false, "suffix" : "" }, { "dropping-particle" : "", "family" : "Livanos", "given" : "G.", "non-dropping-particle" : "", "parse-names" : false, "suffix" : "" } ], "container-title" : "Proceedings of the Institution of Mechanical Engineers Part M: Journal of Engineering for the Maritime Environment", "id" : "ITEM-1", "issue" : "2", "issued" : { "date-parts" : [ [ "2012", "10", "15" ] ] }, "page" : "83-97", "title" : "Techno-economical analysis of single pressure exhaust gas waste heat recovery systems in marine propulsion plants", "type" : "article-journal", "volume" : "227" }, "uris" : [ "http://www.mendeley.com/documents/?uuid=9c90ebe0-1d2a-4675-b4e4-4aac7463807c" ] } ], "mendeley" : { "formattedCitation" : "(Theotokatos &amp; Livanos 2012)", "plainTextFormattedCitation" : "(Theotokatos &amp; Livanos 2012)", "previouslyFormattedCitation" : "(Theotokatos &amp; Livanos 2012)" }, "properties" : { "noteIndex" : 0 }, "schema" : "https://github.com/citation-style-language/schema/raw/master/csl-citation.json" }</w:instrText>
      </w:r>
      <w:r>
        <w:fldChar w:fldCharType="separate"/>
      </w:r>
      <w:r w:rsidR="00073405" w:rsidRPr="00073405">
        <w:rPr>
          <w:noProof/>
        </w:rPr>
        <w:t>(Theotokatos &amp; Livanos 2012)</w:t>
      </w:r>
      <w:r>
        <w:fldChar w:fldCharType="end"/>
      </w:r>
      <w:r w:rsidRPr="008935AB">
        <w:t xml:space="preserve">. The preferred thermodynamic WHRS used </w:t>
      </w:r>
      <w:r w:rsidR="00454C96">
        <w:t>on-board</w:t>
      </w:r>
      <w:r w:rsidRPr="008935AB">
        <w:t xml:space="preserve"> ships is the water based Rankine Cycle (RC). </w:t>
      </w:r>
      <w:r>
        <w:t>Some of the</w:t>
      </w:r>
      <w:r w:rsidRPr="008935AB">
        <w:t xml:space="preserve"> reasons </w:t>
      </w:r>
      <w:r w:rsidRPr="008935AB">
        <w:fldChar w:fldCharType="begin" w:fldLock="1"/>
      </w:r>
      <w:r w:rsidR="00454C96">
        <w:instrText>ADDIN CSL_CITATION { "citationItems" : [ { "id" : "ITEM-1", "itemData" : { "DOI" : "10.4271/2009-01-0174", "abstract" : "This paper deals with an analysis of the potential of the Rankine cycle as an additional power generation process, which uses the waste heat of a car engine. A review of different heat recovery technologies leads to the identification of the steam process as a favorable solution for automotive applications. Two basic configurations (exhaust gas only; exhaust gas plus coolant) are selected from numerous illustrated Rankine cycle layouts for a detailed evaluation of heat recovery based on a four-cylinder internal combustion engine (ICE). Furthermore, the impact of different working fluids is studied. A parametric analysis of the efficiency of two selected systems is accomplished with the Dymola simulation tool, followed by a direct comparison between both configurations for different engine technologies and vehicle speeds. Finally, test bench measurements of the applied engine coupled with a heat recovery device are carried out. It can be demonstrated that waste heat recovery can produce an additional power output of about 10% at typical highway cruising speeds.", "author" : [ { "dropping-particle" : "", "family" : "Ringler, J.", "given" : "", "non-dropping-particle" : "", "parse-names" : false, "suffix" : "" }, { "dropping-particle" : "", "family" : "Seifert", "given" : "M.", "non-dropping-particle" : "", "parse-names" : false, "suffix" : "" }, { "dropping-particle" : "", "family" : "Guyotot", "given" : "V.", "non-dropping-particle" : "", "parse-names" : false, "suffix" : "" }, { "dropping-particle" : "", "family" : "H\u00fcbner", "given" : "W.", "non-dropping-particle" : "", "parse-names" : false, "suffix" : "" } ], "container-title" : "SAE Int. J. Engines", "id" : "ITEM-1", "issue" : "2", "issued" : { "date-parts" : [ [ "2009" ] ] }, "page" : "67-76", "title" : "Rankine Cycle for Waste Heat Recovery of IC Engines", "type" : "article-journal", "volume" : "1" }, "uris" : [ "http://www.mendeley.com/documents/?uuid=95bae482-4c16-4ff6-8cad-73f207e95d34" ] }, { "id" : "ITEM-2", "itemData" : { "DOI" : "10.1016/j.rser.2010.07.006", "ISSN" : "13640321", "abstract" : "This paper presents a review of the organic Rankine cycle and supercritical Rankine cycle for the conversion of low-grade heat into electrical power, as well as selection criteria of potential working fluids, screening of 35 working fluids for the two cycles and analyses of the influence of fluid properties on cycle performance. The thermodynamic and physical properties, stability, environmental impacts, safety and compatibility, and availability and cost are among the important considerations when selecting a working fluid. The paper discusses the types of workingfluids, influence of latent heat, density and specific heat, and the effectiveness of superheating. A discussion of the 35 screened working fluids is also presented.", "author" : [ { "dropping-particle" : "", "family" : "Chen", "given" : "Huijuan", "non-dropping-particle" : "", "parse-names" : false, "suffix" : "" }, { "dropping-particle" : "", "family" : "Goswami", "given" : "D. Yogi", "non-dropping-particle" : "", "parse-names" : false, "suffix" : "" }, { "dropping-particle" : "", "family" : "Stefanakos", "given" : "Elias K.", "non-dropping-particle" : "", "parse-names" : false, "suffix" : "" } ], "container-title" : "Renewable and Sustainable Energy Reviews", "id" : "ITEM-2", "issue" : "9", "issued" : { "date-parts" : [ [ "2010", "12" ] ] }, "page" : "3059-3067", "publisher" : "Elsevier Ltd", "title" : "A review of thermodynamic cycles and working fluids for the conversion of low-grade heat", "type" : "article-journal", "volume" : "14" }, "uris" : [ "http://www.mendeley.com/documents/?uuid=29515918-5559-4b4f-9a54-f597cbd4e95a" ] }, { "id" : "ITEM-3", "itemData" : { "DOI" : "10.1016/j.applthermaleng.2012.04.043", "ISSN" : "13594311", "abstract" : "Prior papers have shown the potentials of gasoline-like internal combustion engines fitted with Rankine cycle systems to deliver Diesel-like steady state fuel conversion efficiencies recovering the exhaust and the coolant waste heat with off-the-shelf components. In addition to the pros of the technology significantly increasing steady state efficiencies e up to 5% in absolute values and much more in relative values e these papers also mentioned the cons of the technology, increased backpressures, increased weight, more complex packaging, more complex control, troublesome transient operation, and finally the cold start issues that prevent the uptake of the technology. This paper further explores the option to use Rankine cycle systems to improve the fuel economy of vehicles under normal driving conditions. A single Rankine cycle system is integrated here with the engine design. A latest turbocharged 1.6 L direct injection engine has the coolant circuit modified to serve as pre-heater for the Rankine cycle fluid. This fluid is then vaporised and superheated in the boiler/superheater coaxial to the exhaust pipe located downstream of the turbocharger turbine and the closed coupled catalytic converter. The exhaust ports are insulated to reduce the heat losses. The pump of the Rankine cycle system is electrically operated. The expander of the Rankine cycle system drives a generator to recharge the traction battery pack. The thermal engine is connected to the transmission through an electric clutch and a motor/generator that permits to supplement/replace the thermal engine energy supply, recover the braking energy and start/ stop the thermal engine. The integrated Rankine cycle system is intended to permit short warming-up profiles, reduced heat losses and reduced weight and packaging issues, delivering significant benefits during cold start driving cycles as the NEDC in addition to the long term, constant load and speed extra urban driving.", "author" : [ { "dropping-particle" : "", "family" : "Boretti", "given" : "Alberto", "non-dropping-particle" : "", "parse-names" : false, "suffix" : "" } ], "container-title" : "Applied Thermal Engineering", "id" : "ITEM-3", "issued" : { "date-parts" : [ [ "2012", "12" ] ] }, "page" : "18-23", "publisher" : "Elsevier Ltd", "title" : "Transient operation of internal combustion engines with Rankine waste heat recovery systems", "type" : "article-journal", "volume" : "48" }, "uris" : [ "http://www.mendeley.com/documents/?uuid=d7096438-3c40-4c5d-8acc-d23f64c02acf" ] } ], "mendeley" : { "formattedCitation" : "(Ringler, J. et al. 2009; Chen et al. 2010; Boretti 2012)", "manualFormatting" : "(Ringler et al. 2009; Chen et al. 2010; Boretti 2012)", "plainTextFormattedCitation" : "(Ringler, J. et al. 2009; Chen et al. 2010; Boretti 2012)", "previouslyFormattedCitation" : "(Ringler, J. et al. 2009; Chen et al. 2010; Boretti 2012)" }, "properties" : { "noteIndex" : 0 }, "schema" : "https://github.com/citation-style-language/schema/raw/master/csl-citation.json" }</w:instrText>
      </w:r>
      <w:r w:rsidRPr="008935AB">
        <w:fldChar w:fldCharType="separate"/>
      </w:r>
      <w:r w:rsidR="00454C96">
        <w:rPr>
          <w:noProof/>
        </w:rPr>
        <w:t>(Ringler</w:t>
      </w:r>
      <w:r w:rsidR="006A79DB" w:rsidRPr="006A79DB">
        <w:rPr>
          <w:noProof/>
        </w:rPr>
        <w:t xml:space="preserve"> </w:t>
      </w:r>
      <w:r w:rsidR="006A79DB" w:rsidRPr="00454C96">
        <w:rPr>
          <w:i/>
          <w:noProof/>
        </w:rPr>
        <w:t>et al.</w:t>
      </w:r>
      <w:r w:rsidR="006A79DB" w:rsidRPr="006A79DB">
        <w:rPr>
          <w:noProof/>
        </w:rPr>
        <w:t xml:space="preserve"> 2009; Chen et al. 2010; Boretti 2012)</w:t>
      </w:r>
      <w:r w:rsidRPr="008935AB">
        <w:fldChar w:fldCharType="end"/>
      </w:r>
      <w:r w:rsidR="004353BC" w:rsidRPr="004353BC">
        <w:t xml:space="preserve"> </w:t>
      </w:r>
      <w:r w:rsidR="004353BC">
        <w:t>include</w:t>
      </w:r>
      <w:r w:rsidRPr="008935AB">
        <w:t xml:space="preserve">: </w:t>
      </w:r>
      <w:r w:rsidR="004353BC">
        <w:t>h</w:t>
      </w:r>
      <w:r w:rsidRPr="008935AB">
        <w:t xml:space="preserve">igh critical temperature (i.e. </w:t>
      </w:r>
      <w:r>
        <w:t>374</w:t>
      </w:r>
      <w:r>
        <w:rPr>
          <w:rFonts w:ascii="Calibri" w:hAnsi="Calibri"/>
        </w:rPr>
        <w:t>˚</w:t>
      </w:r>
      <w:r>
        <w:t>C</w:t>
      </w:r>
      <w:r w:rsidRPr="008935AB">
        <w:t>)</w:t>
      </w:r>
      <w:r>
        <w:t>;</w:t>
      </w:r>
      <w:r w:rsidRPr="008935AB">
        <w:t xml:space="preserve"> </w:t>
      </w:r>
      <w:r>
        <w:t xml:space="preserve">the highest </w:t>
      </w:r>
      <w:r w:rsidRPr="008935AB">
        <w:t>latent heat</w:t>
      </w:r>
      <w:r>
        <w:t xml:space="preserve"> of vaporisation of any substance</w:t>
      </w:r>
      <w:r w:rsidRPr="008935AB">
        <w:t xml:space="preserve"> helps to deliver large power outputs at high efficiencies; there is no chemical decomposition; and at higher temperatures it can be assured that the vapour will not condense inside the </w:t>
      </w:r>
      <w:r>
        <w:t>expander</w:t>
      </w:r>
      <w:r w:rsidRPr="008935AB">
        <w:t xml:space="preserve">, eliminating the problem of erosion. Water is a safe </w:t>
      </w:r>
      <w:r w:rsidRPr="008935AB">
        <w:lastRenderedPageBreak/>
        <w:t xml:space="preserve">working fluid </w:t>
      </w:r>
      <w:r w:rsidR="004353BC">
        <w:t>al</w:t>
      </w:r>
      <w:r w:rsidRPr="008935AB">
        <w:t xml:space="preserve">though there are always dangers associated with high pressure steam. </w:t>
      </w:r>
      <w:r>
        <w:t xml:space="preserve">Marine </w:t>
      </w:r>
      <w:r w:rsidRPr="008935AB">
        <w:t xml:space="preserve">RC WHRS </w:t>
      </w:r>
      <w:r>
        <w:t>have been researched by</w:t>
      </w:r>
      <w:r w:rsidRPr="008935AB">
        <w:t xml:space="preserve"> </w:t>
      </w:r>
      <w:proofErr w:type="spellStart"/>
      <w:r w:rsidRPr="008935AB">
        <w:t>Hatchman</w:t>
      </w:r>
      <w:proofErr w:type="spellEnd"/>
      <w:r w:rsidRPr="008935AB">
        <w:t xml:space="preserve"> </w:t>
      </w:r>
      <w:r>
        <w:fldChar w:fldCharType="begin" w:fldLock="1"/>
      </w:r>
      <w:r w:rsidR="00073405">
        <w:instrText>ADDIN CSL_CITATION { "citationItems" : [ { "id" : "ITEM-1", "itemData" : { "ISSN" : "02579669", "abstract" : "The paper describes a thermodynamic study of single pressure and dual pressure steam cycles for electrical power recovery from the exhaust gases of a slow speed diesel engine. The study wasfor an engine mcr output of 5850 kW. In the single-pressure cycles,fixed andfloating pressures were evaluated together with an external feed heating option. The dual-pressure cycles were also evaluated with an externalfeed heating option. Engine manufacturer's exhaust gas data was compared with in-service results and minimum stack temperatures were examined.", "author" : [ { "dropping-particle" : "", "family" : "Hatchman", "given" : "J.C.", "non-dropping-particle" : "", "parse-names" : false, "suffix" : "" } ], "container-title" : "Research and Development Journal", "id" : "ITEM-1", "issue" : "3", "issued" : { "date-parts" : [ [ "1991" ] ] }, "note" : "http://c.ymcdn.com/sites/saimeche.site-ym.com/resource/collection/48739F74-236E-4462-96E3-B28A9FF1DF7B/Hatchman-1991_05__600_dpi_-_1991__7_2___32-38.pdf", "page" : "32-38", "title" : "Steam cycles for waste heat recovery: A case study", "type" : "article-journal", "volume" : "7" }, "uris" : [ "http://www.mendeley.com/documents/?uuid=80cf1cb7-8819-489e-a344-9accdb7fe3ae" ] } ], "mendeley" : { "formattedCitation" : "(Hatchman 1991)", "manualFormatting" : "(1991)", "plainTextFormattedCitation" : "(Hatchman 1991)", "previouslyFormattedCitation" : "(Hatchman 1991)" }, "properties" : { "noteIndex" : 0 }, "schema" : "https://github.com/citation-style-language/schema/raw/master/csl-citation.json" }</w:instrText>
      </w:r>
      <w:r>
        <w:fldChar w:fldCharType="separate"/>
      </w:r>
      <w:r w:rsidR="00073405">
        <w:rPr>
          <w:noProof/>
        </w:rPr>
        <w:t>(</w:t>
      </w:r>
      <w:r w:rsidR="00073405" w:rsidRPr="00073405">
        <w:rPr>
          <w:noProof/>
        </w:rPr>
        <w:t>1991)</w:t>
      </w:r>
      <w:r>
        <w:fldChar w:fldCharType="end"/>
      </w:r>
      <w:r w:rsidRPr="008935AB">
        <w:t xml:space="preserve">, Tien </w:t>
      </w:r>
      <w:r w:rsidRPr="00454C96">
        <w:rPr>
          <w:i/>
        </w:rPr>
        <w:t>et al</w:t>
      </w:r>
      <w:r w:rsidRPr="008935AB">
        <w:t xml:space="preserve">. </w:t>
      </w:r>
      <w:r>
        <w:fldChar w:fldCharType="begin" w:fldLock="1"/>
      </w:r>
      <w:r w:rsidR="00073405">
        <w:instrText>ADDIN CSL_CITATION { "citationItems" : [ { "id" : "ITEM-1", "itemData" : { "DOI" : "http://dx.doi.org/10.1016/j.enconman.2007.01.032", "abstract" : "A methodology of assessing a cogeneration system on a ship is proposed. Given the mass flow rate of exhaust gas and cooling seawater and the inlet temperatures of the gas and seawater, the net power of this system can be obtained through an iterative method. The parameters of mass flow rate of exhaust gas, heat transfer area of boiler and condenser and outlet temperature of the gas from the boiler are considered. In the heating process, the boiler tubes contain superheated, saturated and subcooled sections. It is shown that the dimensionless saturated area of the boiler increases with exhaust mass flow rate, whereas the superheated region tends to decrease on increasing the mass flow rate of flue gas at a fixed exhaust temperature. As for the subcooled portion, no significant change is observed. The power consumption of the working fluid circulating pump increases as the exit exhaust temperature from the boiler decreases. In addition, the more net work the turbine produces, the lower is the outlet temperature of the working fluid in the condenser for a fixed mass flow rate of exhaust gas. The net output of the cogeneration system is larger for a larger mass flow rate and a smaller exit temperature of the exhaust. Finally, an experiment is conducted to validate the proposed model.", "author" : [ { "dropping-particle" : "", "family" : "Tien", "given" : "Wen-Kuo", "non-dropping-particle" : "", "parse-names" : false, "suffix" : "" }, { "dropping-particle" : "", "family" : "Yeh", "given" : "Rong-Hua", "non-dropping-particle" : "", "parse-names" : false, "suffix" : "" }, { "dropping-particle" : "", "family" : "Hong", "given" : "Jen-Ming", "non-dropping-particle" : "", "parse-names" : false, "suffix" : "" } ], "container-title" : "Energy Conversion and Management", "id" : "ITEM-1", "issue" : "7", "issued" : { "date-parts" : [ [ "2007" ] ] }, "note" : "Heat exchanger zones changing", "page" : "1965-1974", "title" : "Theoretical analysis of cogeneration system for ships", "type" : "article-journal", "volume" : "48" }, "uris" : [ "http://www.mendeley.com/documents/?uuid=849ff09d-93be-4edd-9324-d9b39b6bac66" ] } ], "mendeley" : { "formattedCitation" : "(Tien et al. 2007)", "manualFormatting" : "(2007)", "plainTextFormattedCitation" : "(Tien et al. 2007)", "previouslyFormattedCitation" : "(Tien et al. 2007)" }, "properties" : { "noteIndex" : 0 }, "schema" : "https://github.com/citation-style-language/schema/raw/master/csl-citation.json" }</w:instrText>
      </w:r>
      <w:r>
        <w:fldChar w:fldCharType="separate"/>
      </w:r>
      <w:r w:rsidR="00073405">
        <w:rPr>
          <w:noProof/>
        </w:rPr>
        <w:t>(</w:t>
      </w:r>
      <w:r w:rsidR="00073405" w:rsidRPr="00073405">
        <w:rPr>
          <w:noProof/>
        </w:rPr>
        <w:t>2007)</w:t>
      </w:r>
      <w:r>
        <w:fldChar w:fldCharType="end"/>
      </w:r>
      <w:r w:rsidRPr="008935AB">
        <w:t xml:space="preserve">, </w:t>
      </w:r>
      <w:proofErr w:type="spellStart"/>
      <w:r w:rsidRPr="008935AB">
        <w:t>Theotokatos</w:t>
      </w:r>
      <w:proofErr w:type="spellEnd"/>
      <w:r w:rsidRPr="008935AB">
        <w:t xml:space="preserve"> and </w:t>
      </w:r>
      <w:proofErr w:type="spellStart"/>
      <w:r w:rsidRPr="008935AB">
        <w:t>Livanos</w:t>
      </w:r>
      <w:proofErr w:type="spellEnd"/>
      <w:r w:rsidRPr="008935AB">
        <w:t xml:space="preserve"> </w:t>
      </w:r>
      <w:r>
        <w:fldChar w:fldCharType="begin" w:fldLock="1"/>
      </w:r>
      <w:r w:rsidR="00073405">
        <w:instrText>ADDIN CSL_CITATION { "citationItems" : [ { "id" : "ITEM-1", "itemData" : { "DOI" : "10.1177/1475090212457894", "ISSN" : "1475-0902", "abstract" : "In this article, the waste heat recovery (WHR) installations used for the production of saturated steam and electric power for the cases of a two-stroke and a four-stroke engine propulsion plant of a typical merchant ship are investigated. The examined WHR system is considered to be of the single steam pressure type with an external heat exchanger for the heating of feed water entering into the boiler drum. The option of using the engine air cooler for heating the feed water was also examined. The WHR installation was modeled under steady-state conditions, and the derived WHR installation parameters for various engine loads are presented and analyzed. Furthermore, using the simulation results, the improvement of Energy Efficiency Design Index (EEDI) of the examined ship is calculated, and the impact of the WHR on the ship EEDI is discussed. In addition, following the technical evaluation of the alternative options for the ship propulsion plant, an economic study was performed for a typical ship voyage. The derived results were presented and discussed leading to conclusions for the most techno-economical propulsion system configuration.", "author" : [ { "dropping-particle" : "", "family" : "Theotokatos", "given" : "G.", "non-dropping-particle" : "", "parse-names" : false, "suffix" : "" }, { "dropping-particle" : "", "family" : "Livanos", "given" : "G.", "non-dropping-particle" : "", "parse-names" : false, "suffix" : "" } ], "container-title" : "Proceedings of the Institution of Mechanical Engineers Part M: Journal of Engineering for the Maritime Environment", "id" : "ITEM-1", "issue" : "2", "issued" : { "date-parts" : [ [ "2012", "10", "15" ] ] }, "page" : "83-97", "title" : "Techno-economical analysis of single pressure exhaust gas waste heat recovery systems in marine propulsion plants", "type" : "article-journal", "volume" : "227" }, "uris" : [ "http://www.mendeley.com/documents/?uuid=9c90ebe0-1d2a-4675-b4e4-4aac7463807c" ] } ], "mendeley" : { "formattedCitation" : "(Theotokatos &amp; Livanos 2012)", "manualFormatting" : "(2012)", "plainTextFormattedCitation" : "(Theotokatos &amp; Livanos 2012)", "previouslyFormattedCitation" : "(Theotokatos &amp; Livanos 2012)" }, "properties" : { "noteIndex" : 0 }, "schema" : "https://github.com/citation-style-language/schema/raw/master/csl-citation.json" }</w:instrText>
      </w:r>
      <w:r>
        <w:fldChar w:fldCharType="separate"/>
      </w:r>
      <w:r w:rsidR="00073405">
        <w:rPr>
          <w:noProof/>
        </w:rPr>
        <w:t>(</w:t>
      </w:r>
      <w:r w:rsidR="00073405" w:rsidRPr="00073405">
        <w:rPr>
          <w:noProof/>
        </w:rPr>
        <w:t>2012)</w:t>
      </w:r>
      <w:r>
        <w:fldChar w:fldCharType="end"/>
      </w:r>
      <w:r w:rsidR="00C60527">
        <w:t xml:space="preserve">, </w:t>
      </w:r>
      <w:r w:rsidR="00F07218" w:rsidRPr="00BA0316">
        <w:rPr>
          <w:noProof/>
        </w:rPr>
        <w:t>Benvenuto</w:t>
      </w:r>
      <w:r w:rsidR="00F07218">
        <w:t xml:space="preserve"> </w:t>
      </w:r>
      <w:r w:rsidR="00F07218" w:rsidRPr="00454C96">
        <w:rPr>
          <w:i/>
        </w:rPr>
        <w:t>et al</w:t>
      </w:r>
      <w:r w:rsidR="00F07218">
        <w:t xml:space="preserve">. </w:t>
      </w:r>
      <w:r w:rsidR="00F07218">
        <w:fldChar w:fldCharType="begin" w:fldLock="1"/>
      </w:r>
      <w:r w:rsidR="00F07218">
        <w:instrText>ADDIN CSL_CITATION { "citationItems" : [ { "id" : "ITEM-1", "itemData" : { "author" : [ { "dropping-particle" : "", "family" : "Benvenuto", "given" : "G.", "non-dropping-particle" : "", "parse-names" : false, "suffix" : "" }, { "dropping-particle" : "", "family" : "Campora", "given" : "U.", "non-dropping-particle" : "", "parse-names" : false, "suffix" : "" }, { "dropping-particle" : "", "family" : "Trucco", "given" : "A.", "non-dropping-particle" : "", "parse-names" : false, "suffix" : "" } ], "container-title" : "12th International Naval Engineering Conference and Exhibition", "id" : "ITEM-1", "issued" : { "date-parts" : [ [ "2014" ] ] }, "page" : "329-340", "publisher" : "Institute of Marine Engineering, Science and Technology", "publisher-place" : "Amsterdam", "title" : "Comparison of ship plants layouts for power propulsion systems with energy recovery", "type" : "paper-conference" }, "uris" : [ "http://www.mendeley.com/documents/?uuid=300856f2-635d-4273-bc72-943af0bba214" ] } ], "mendeley" : { "formattedCitation" : "(Benvenuto et al. 2014)", "manualFormatting" : "(2014)", "plainTextFormattedCitation" : "(Benvenuto et al. 2014)", "previouslyFormattedCitation" : "(Benvenuto et al. 2014)" }, "properties" : { "noteIndex" : 0 }, "schema" : "https://github.com/citation-style-language/schema/raw/master/csl-citation.json" }</w:instrText>
      </w:r>
      <w:r w:rsidR="00F07218">
        <w:fldChar w:fldCharType="separate"/>
      </w:r>
      <w:r w:rsidR="00F07218">
        <w:rPr>
          <w:noProof/>
        </w:rPr>
        <w:t>(</w:t>
      </w:r>
      <w:r w:rsidR="00F07218" w:rsidRPr="00C60527">
        <w:rPr>
          <w:noProof/>
        </w:rPr>
        <w:t>2014)</w:t>
      </w:r>
      <w:r w:rsidR="00F07218">
        <w:fldChar w:fldCharType="end"/>
      </w:r>
      <w:r w:rsidR="00F07218">
        <w:t xml:space="preserve">, </w:t>
      </w:r>
      <w:proofErr w:type="spellStart"/>
      <w:r w:rsidR="00F07218">
        <w:t>Dimopoulos</w:t>
      </w:r>
      <w:proofErr w:type="spellEnd"/>
      <w:r w:rsidR="00F07218">
        <w:t xml:space="preserve"> </w:t>
      </w:r>
      <w:r w:rsidR="00F07218" w:rsidRPr="00454C96">
        <w:rPr>
          <w:i/>
        </w:rPr>
        <w:t>et al</w:t>
      </w:r>
      <w:r w:rsidR="00F07218">
        <w:t xml:space="preserve">. </w:t>
      </w:r>
      <w:r w:rsidR="00F07218">
        <w:fldChar w:fldCharType="begin" w:fldLock="1"/>
      </w:r>
      <w:r w:rsidR="00F07218">
        <w:instrText>ADDIN CSL_CITATION { "citationItems" : [ { "id" : "ITEM-1", "itemData" : { "DOI" : "10.1016/j.enconman.2014.04.046", "ISSN" : "01968904", "abstract" : "High fuel prices, environmental regulations and current shipping market conditions impose ships to operate in a more efficient and greener way. These drivers lead to the introduction of new technologies, fuels, and operations, increasing the complexity of modern ship energy systems. As a means to manage this complexity, in this paper we present the introduction of systems engineering methodologies in marine engineering via the development of a general-purpose process modelling framework for ships named as DNV COSSMOS. Shifting the focus from components \u2013 the standard approach in shipping- to systems, widens the space for optimal design and operation solutions. The associated computer implementation of COSSMOS is a platform that models, simulates and optimises integrated marine energy systems with respect to energy efficiency, emissions, safety/reliability and costs, under both steady-state and dynamic conditions. DNV COSSMOS can be used in assessment and optimisation of design and operation problems in existing vessels, new builds as well as new technologies. The main features and our modelling approach are presented and key capabilities are illustrated via two studies on the thermo-economic design and operation optimisation of a combined cycle system for large bulk carriers, and the transient operation simulation of an electric marine propulsion system.", "author" : [ { "dropping-particle" : "", "family" : "Dimopoulos", "given" : "George G.", "non-dropping-particle" : "", "parse-names" : false, "suffix" : "" }, { "dropping-particle" : "", "family" : "Georgopoulou", "given" : "Chariklia A.", "non-dropping-particle" : "", "parse-names" : false, "suffix" : "" }, { "dropping-particle" : "", "family" : "Stefanatos", "given" : "Iason C.", "non-dropping-particle" : "", "parse-names" : false, "suffix" : "" }, { "dropping-particle" : "", "family" : "Zymaris", "given" : "Alexandros S.", "non-dropping-particle" : "", "parse-names" : false, "suffix" : "" }, { "dropping-particle" : "", "family" : "Kakalis", "given" : "Nikolaos M.P.", "non-dropping-particle" : "", "parse-names" : false, "suffix" : "" } ], "container-title" : "Energy Conversion and Management", "id" : "ITEM-1", "issued" : { "date-parts" : [ [ "2014", "10" ] ] }, "page" : "325-339", "title" : "A general-purpose process modelling framework for marine energy systems", "type" : "article-journal", "volume" : "86" }, "uris" : [ "http://www.mendeley.com/documents/?uuid=94a466c3-be8e-4126-b2b7-2db059507cbd" ] } ], "mendeley" : { "formattedCitation" : "(Dimopoulos et al. 2014)", "manualFormatting" : "(2014)", "plainTextFormattedCitation" : "(Dimopoulos et al. 2014)", "previouslyFormattedCitation" : "(Dimopoulos et al. 2014)" }, "properties" : { "noteIndex" : 0 }, "schema" : "https://github.com/citation-style-language/schema/raw/master/csl-citation.json" }</w:instrText>
      </w:r>
      <w:r w:rsidR="00F07218">
        <w:fldChar w:fldCharType="separate"/>
      </w:r>
      <w:r w:rsidR="00F07218">
        <w:rPr>
          <w:noProof/>
        </w:rPr>
        <w:t>(</w:t>
      </w:r>
      <w:r w:rsidR="00F07218" w:rsidRPr="00F07218">
        <w:rPr>
          <w:noProof/>
        </w:rPr>
        <w:t>2014)</w:t>
      </w:r>
      <w:r w:rsidR="00F07218">
        <w:fldChar w:fldCharType="end"/>
      </w:r>
      <w:r w:rsidR="00F07218">
        <w:t xml:space="preserve">, </w:t>
      </w:r>
      <w:r w:rsidR="00F07218" w:rsidRPr="00E9585C">
        <w:rPr>
          <w:noProof/>
        </w:rPr>
        <w:t xml:space="preserve">Livanos </w:t>
      </w:r>
      <w:r w:rsidR="00F07218" w:rsidRPr="00454C96">
        <w:rPr>
          <w:i/>
          <w:noProof/>
        </w:rPr>
        <w:t>et al</w:t>
      </w:r>
      <w:r w:rsidR="00F07218" w:rsidRPr="00E9585C">
        <w:rPr>
          <w:noProof/>
        </w:rPr>
        <w:t xml:space="preserve">. </w:t>
      </w:r>
      <w:r w:rsidR="00F07218">
        <w:rPr>
          <w:noProof/>
        </w:rPr>
        <w:fldChar w:fldCharType="begin" w:fldLock="1"/>
      </w:r>
      <w:r w:rsidR="00F07218">
        <w:rPr>
          <w:noProof/>
        </w:rPr>
        <w:instrText>ADDIN CSL_CITATION { "citationItems" : [ { "id" : "ITEM-1", "itemData" : { "DOI" : "10.1016/j.enconman.2013.12.050", "ISSN" : "01968904", "abstract" : "In this paper, the main alternative propulsion plants based on reciprocating internal combustion engines of a ferry or RoRo ship operating in routes that include Emission Control Areas (ECAs) are comparatively assessed. Specifically, a dual fuel engine propulsion plant is compared with a conventional Diesel engine plant. For both cases, the installation of a waste heat recovery system, which covers a part of the ship electric energy demand, is also considered. The ship main DF engines are assumed to operate using LNG and a small amount of MDO for initiating combustion, whereas low sulphur MDO was regarded as the fuel for the case of the Diesel engine plant. The installation of Selective Catalytic Reduction (SCR) after-treatment unit for reducing the NOx emissions for the case of Diesel engines plant is also taken into account. The propulsion plants were modelled under steady state conditions, and the simulation results were analysed in order to compare the alternative configurations. Furthermore, the Energy Efficiency Design Index (EEDI) values were calculated and the two examined propulsion system cases were compared on EEDI basis. Finally, the Life Cycle Cost for each alternative propulsion plant was calculated and used for completing an economic evaluation of the Dual fuel propulsion plant versus the conventional designs applied in ferries.", "author" : [ { "dropping-particle" : "", "family" : "Livanos", "given" : "George A.", "non-dropping-particle" : "", "parse-names" : false, "suffix" : "" }, { "dropping-particle" : "", "family" : "Theotokatos", "given" : "Gerasimos", "non-dropping-particle" : "", "parse-names" : false, "suffix" : "" }, { "dropping-particle" : "", "family" : "Pagonis", "given" : "Dimitrios-Nikolaos", "non-dropping-particle" : "", "parse-names" : false, "suffix" : "" } ], "container-title" : "Energy Conversion and Management", "id" : "ITEM-1", "issued" : { "date-parts" : [ [ "2014", "3" ] ] }, "page" : "640-651", "title" : "Techno-economic investigation of alternative propulsion plants for Ferries and RoRo ships", "type" : "article-journal", "volume" : "79" }, "uris" : [ "http://www.mendeley.com/documents/?uuid=e53cd95b-2bff-49e0-be43-53d39b42c3af" ] } ], "mendeley" : { "formattedCitation" : "(Livanos et al. 2014)", "manualFormatting" : "(2014)", "plainTextFormattedCitation" : "(Livanos et al. 2014)", "previouslyFormattedCitation" : "(Livanos et al. 2014)" }, "properties" : { "noteIndex" : 0 }, "schema" : "https://github.com/citation-style-language/schema/raw/master/csl-citation.json" }</w:instrText>
      </w:r>
      <w:r w:rsidR="00F07218">
        <w:rPr>
          <w:noProof/>
        </w:rPr>
        <w:fldChar w:fldCharType="separate"/>
      </w:r>
      <w:r w:rsidR="00F07218">
        <w:rPr>
          <w:noProof/>
        </w:rPr>
        <w:t>(</w:t>
      </w:r>
      <w:r w:rsidR="00F07218" w:rsidRPr="00073405">
        <w:rPr>
          <w:noProof/>
        </w:rPr>
        <w:t>2014)</w:t>
      </w:r>
      <w:r w:rsidR="00F07218">
        <w:rPr>
          <w:noProof/>
        </w:rPr>
        <w:fldChar w:fldCharType="end"/>
      </w:r>
      <w:r w:rsidR="00F07218">
        <w:rPr>
          <w:noProof/>
        </w:rPr>
        <w:t xml:space="preserve"> and </w:t>
      </w:r>
      <w:r w:rsidR="00C60527" w:rsidRPr="00DF6B40">
        <w:rPr>
          <w:rFonts w:cs="Arial"/>
          <w:noProof/>
        </w:rPr>
        <w:t xml:space="preserve">Sakalis </w:t>
      </w:r>
      <w:r w:rsidR="004353BC">
        <w:rPr>
          <w:rFonts w:cs="Arial"/>
          <w:noProof/>
        </w:rPr>
        <w:t>and</w:t>
      </w:r>
      <w:r w:rsidR="00C60527" w:rsidRPr="00DF6B40">
        <w:rPr>
          <w:rFonts w:cs="Arial"/>
          <w:noProof/>
        </w:rPr>
        <w:t xml:space="preserve"> Frangopoulos</w:t>
      </w:r>
      <w:r w:rsidR="00C60527">
        <w:rPr>
          <w:rFonts w:cs="Arial"/>
        </w:rPr>
        <w:t xml:space="preserve"> </w:t>
      </w:r>
      <w:r w:rsidR="00C60527">
        <w:rPr>
          <w:rFonts w:cs="Arial"/>
        </w:rPr>
        <w:fldChar w:fldCharType="begin" w:fldLock="1"/>
      </w:r>
      <w:r w:rsidR="00670D52">
        <w:rPr>
          <w:rFonts w:cs="Arial"/>
        </w:rPr>
        <w:instrText>ADDIN CSL_CITATION { "citationItems" : [ { "id" : "ITEM-1", "itemData" : { "abstract" : "The synthesis (structure) and the design specifications of heat recovery steam generators either for cogeneration or for combined-cycle applications has been studied for several years. In most of the cases the interest was towards exhaust gases of gas-turbines, but recently attention is also directed to Diesel engines or gas engines, which are used for electricity generation or cogeneration on land, as well as for ship propulsion. In spite of the long effort, there are still interesting subjects open to investigation, such as the proper synthesis of the heat recovery steam generator (HRSG) for each particular application, i.e. the type, number and arrangement of the various heat exchangers, as well as the specifications of these components (surface area, operating pressure, temperature, etc.). A contribution to this investigation is attempted with the present work. The exploitation of the energy in the exhaust gases of three different ship propulsion engines by steam bottoming cycles is investigated: a gas turbine, a slow speed Diesel engine and a medium speed dual fuel engine. They have been selected, because they constitute characteristically different cases with respect to the mass flow rate and temperature of the exhaust gases, parameters crucial for the design of the HRSG. For each engine, twelve different configurations of HRSGs in connection with steam turbines are investigated, which differ from each other with respect to the number of steam pressure levels and the succession of the exchangers (preheaters, evaporators, superheaters). The design specifications of each configuration are optimized using a Genetic Algorithm, with the maximization of the net power output as the objective function. A comparison among the best designs reveals the optimum configuration in connection with each propulsion engine. The presentation closes with suggestions for further work.", "author" : [ { "dropping-particle" : "", "family" : "Sakalis", "given" : "George", "non-dropping-particle" : "", "parse-names" : false, "suffix" : "" }, { "dropping-particle" : "", "family" : "Frangopoulos", "given" : "Christos A.", "non-dropping-particle" : "", "parse-names" : false, "suffix" : "" } ], "container-title" : "27 th International Conference on Efficiency, Cost, Optimization, Simulation and Environmental Impact of Energy Systems", "id" : "ITEM-1", "issued" : { "date-parts" : [ [ "2014" ] ] }, "page" : "14", "publisher-place" : "Turku", "title" : "Towards synthesis and design optimization of steam bottoming Rankine cycles with different ship propulsion engines", "type" : "paper-conference" }, "uris" : [ "http://www.mendeley.com/documents/?uuid=d84a2a6f-8f78-49f2-af2f-1f2d953bf8d6" ] } ], "mendeley" : { "formattedCitation" : "(Sakalis &amp; Frangopoulos 2014)", "manualFormatting" : "(2014)", "plainTextFormattedCitation" : "(Sakalis &amp; Frangopoulos 2014)", "previouslyFormattedCitation" : "(Sakalis &amp; Frangopoulos 2014)" }, "properties" : { "noteIndex" : 0 }, "schema" : "https://github.com/citation-style-language/schema/raw/master/csl-citation.json" }</w:instrText>
      </w:r>
      <w:r w:rsidR="00C60527">
        <w:rPr>
          <w:rFonts w:cs="Arial"/>
        </w:rPr>
        <w:fldChar w:fldCharType="separate"/>
      </w:r>
      <w:r w:rsidR="00670D52">
        <w:rPr>
          <w:rFonts w:cs="Arial"/>
          <w:noProof/>
        </w:rPr>
        <w:t>(</w:t>
      </w:r>
      <w:r w:rsidR="00670D52" w:rsidRPr="00670D52">
        <w:rPr>
          <w:rFonts w:cs="Arial"/>
          <w:noProof/>
        </w:rPr>
        <w:t>2014)</w:t>
      </w:r>
      <w:r w:rsidR="00C60527">
        <w:rPr>
          <w:rFonts w:cs="Arial"/>
        </w:rPr>
        <w:fldChar w:fldCharType="end"/>
      </w:r>
      <w:r w:rsidRPr="008935AB">
        <w:t xml:space="preserve">. WHRS for shipping based on RC have been manufactured and applied with success </w:t>
      </w:r>
      <w:r w:rsidRPr="008935AB">
        <w:fldChar w:fldCharType="begin" w:fldLock="1"/>
      </w:r>
      <w:r w:rsidR="00BA1648">
        <w:instrText>ADDIN CSL_CITATION { "citationItems" : [ { "id" : "ITEM-1", "itemData" : { "abstract" : "Current interest in reducing emissions and reducing engine operating costs is leading towards the use of more effective wasteheat recovery. By adapting the tuning of the Sulzer low-speed two-stroke marine engines to increase exhaust gas energy andemploying both steam and exhaust gas turbines in a Total Heat Recover Plant, an electrical output of about 11% of enginepower is possible. Such savings can make a major contribution to improving both plant ef\ufb01ciency and engine emissions. Forexample, with a Sulzer 12RTA96C engine, as widely applied in today\u2019s large container liners, the Total Heat Recovery Plant would provide up to 7000 kW as electrical power at the engine\u2019s service load.This Total Heat Recovery Plant is attracting much interest from shipowners interested in saving fuel costs and reducingemissions. It must be remembered that modern large, low-speed marine engines are very highly developed and there is littlepotential for achieving signi\ufb01cant reductions in CO 2 emissions by engine development alone. Thus the proposed Total HeatRecovery Plant is a practical path forward.", "author" : [ { "dropping-particle" : "", "family" : "Schmid", "given" : "Heinrich", "non-dropping-particle" : "", "parse-names" : false, "suffix" : "" } ], "container-title" : "Green Ship Technology Conference", "id" : "ITEM-1", "issued" : { "date-parts" : [ [ "2004" ] ] }, "page" : "10", "publisher-place" : "London", "title" : "Waste Heat Recovery (WHR): Fuel Savings With Less Emissions", "type" : "paper-conference" }, "uris" : [ "http://www.mendeley.com/documents/?uuid=df562755-a53a-405c-ad03-e51ac6de2eb9" ] }, { "id" : "ITEM-2", "itemData" : { "abstract" : "The increasing interest in emission reduction, ship operating costs reduction and the newly adapted IMO EEDI rules calls for measures that ensure optimal utilisation of the fuel used for main engines on board ships. Main engine exhaust gas energy is by far the most attractive among the waste heat sources of a ship because of the heat flow and temperature. It is possible to generate an electrical output of up to 11% of the main engine power by utilising this exhaust gas energy in a waste heat recovery system comprising both steam and power turbines, and combined with utilising scavenge air energy for exhaust boiler feed-water heating.", "author" : [ { "dropping-particle" : "", "family" : "MAN Diesel &amp; Turbo", "given" : "", "non-dropping-particle" : "", "parse-names" : false, "suffix" : "" } ], "id" : "ITEM-2", "issued" : { "date-parts" : [ [ "2012" ] ] }, "note" : "ISO ambient conditions", "number-of-pages" : "32", "publisher-place" : "Copenhagen", "title" : "Waste Heat Recovery System ( WHRS ) for Reduction of Fuel Consumption, Emission and EEDI", "type" : "report" }, "uris" : [ "http://www.mendeley.com/documents/?uuid=e83ddc05-7a3c-45ad-b0f8-ed9011b09ca2" ] } ], "mendeley" : { "formattedCitation" : "(Schmid 2004; MAN Diesel &amp; Turbo 2012)", "plainTextFormattedCitation" : "(Schmid 2004; MAN Diesel &amp; Turbo 2012)", "previouslyFormattedCitation" : "(Schmid 2004; MAN Diesel &amp; Turbo 2012)" }, "properties" : { "noteIndex" : 0 }, "schema" : "https://github.com/citation-style-language/schema/raw/master/csl-citation.json" }</w:instrText>
      </w:r>
      <w:r w:rsidRPr="008935AB">
        <w:fldChar w:fldCharType="separate"/>
      </w:r>
      <w:r w:rsidR="00073405" w:rsidRPr="00073405">
        <w:rPr>
          <w:noProof/>
        </w:rPr>
        <w:t>(Schmid 2004; MAN Diesel &amp; Turbo 2012)</w:t>
      </w:r>
      <w:r w:rsidRPr="008935AB">
        <w:fldChar w:fldCharType="end"/>
      </w:r>
      <w:r w:rsidRPr="008935AB">
        <w:t xml:space="preserve">. Using the BIMCO EEDI calculator, MAN predicted that </w:t>
      </w:r>
      <w:r>
        <w:t xml:space="preserve">the </w:t>
      </w:r>
      <w:r w:rsidRPr="008935AB">
        <w:t xml:space="preserve">use of WHRS would result in a drop in the Energy Efficiency Design Index (EEDI) by around 9.2% </w:t>
      </w:r>
      <w:r w:rsidRPr="008935AB">
        <w:fldChar w:fldCharType="begin" w:fldLock="1"/>
      </w:r>
      <w:r w:rsidR="00BA1648">
        <w:instrText>ADDIN CSL_CITATION { "citationItems" : [ { "id" : "ITEM-1", "itemData" : { "abstract" : "The increasing interest in emission reduction, ship operating costs reduction and the newly adapted IMO EEDI rules calls for measures that ensure optimal utilisation of the fuel used for main engines on board ships. Main engine exhaust gas energy is by far the most attractive among the waste heat sources of a ship because of the heat flow and temperature. It is possible to generate an electrical output of up to 11% of the main engine power by utilising this exhaust gas energy in a waste heat recovery system comprising both steam and power turbines, and combined with utilising scavenge air energy for exhaust boiler feed-water heating.", "author" : [ { "dropping-particle" : "", "family" : "MAN Diesel &amp; Turbo", "given" : "", "non-dropping-particle" : "", "parse-names" : false, "suffix" : "" } ], "id" : "ITEM-1", "issued" : { "date-parts" : [ [ "2012" ] ] }, "note" : "ISO ambient conditions", "number-of-pages" : "32", "publisher-place" : "Copenhagen", "title" : "Waste Heat Recovery System ( WHRS ) for Reduction of Fuel Consumption, Emission and EEDI", "type" : "report" }, "uris" : [ "http://www.mendeley.com/documents/?uuid=e83ddc05-7a3c-45ad-b0f8-ed9011b09ca2" ] } ], "mendeley" : { "formattedCitation" : "(MAN Diesel &amp; Turbo 2012)", "plainTextFormattedCitation" : "(MAN Diesel &amp; Turbo 2012)", "previouslyFormattedCitation" : "(MAN Diesel &amp; Turbo 2012)" }, "properties" : { "noteIndex" : 0 }, "schema" : "https://github.com/citation-style-language/schema/raw/master/csl-citation.json" }</w:instrText>
      </w:r>
      <w:r w:rsidRPr="008935AB">
        <w:fldChar w:fldCharType="separate"/>
      </w:r>
      <w:r w:rsidR="00073405" w:rsidRPr="00073405">
        <w:rPr>
          <w:noProof/>
        </w:rPr>
        <w:t>(MAN Diesel &amp; Turbo 2012)</w:t>
      </w:r>
      <w:r w:rsidRPr="008935AB">
        <w:fldChar w:fldCharType="end"/>
      </w:r>
      <w:r w:rsidRPr="008935AB">
        <w:t xml:space="preserve">. </w:t>
      </w:r>
    </w:p>
    <w:p w:rsidR="002177AF" w:rsidRDefault="002177AF" w:rsidP="002177AF">
      <w:pPr>
        <w:pStyle w:val="Newparagraph"/>
      </w:pPr>
      <w:r w:rsidRPr="008935AB">
        <w:t>However, as the EEDI pushes for low CO</w:t>
      </w:r>
      <w:r w:rsidRPr="008935AB">
        <w:rPr>
          <w:vertAlign w:val="subscript"/>
        </w:rPr>
        <w:t>2</w:t>
      </w:r>
      <w:r w:rsidRPr="008935AB">
        <w:t xml:space="preserve"> emission vessels, the increasing preference of the shipping industry for slow speed steaming, the rise of diesel engine thermal efficiency and other GHG reduction technologies using part of the available waste heat (e.g. exhaust gas scrubbers), it is expected that waste heat quality will be reduced. This makes it harder for the RC to deliver high levels of electric power at a reasonable thermal efficiency. Organic fluids (i.e. </w:t>
      </w:r>
      <w:r>
        <w:t xml:space="preserve">those </w:t>
      </w:r>
      <w:r w:rsidRPr="008935AB">
        <w:t xml:space="preserve">that contain carbon in </w:t>
      </w:r>
      <w:r>
        <w:t>their</w:t>
      </w:r>
      <w:r w:rsidRPr="008935AB">
        <w:t xml:space="preserve"> molecular structure) using the same cycle proposed by Rankine are good candidates to overcome some of the difficulties found </w:t>
      </w:r>
      <w:r>
        <w:t>with</w:t>
      </w:r>
      <w:r w:rsidRPr="008935AB">
        <w:t xml:space="preserve"> lower grade waste heat sources</w:t>
      </w:r>
      <w:r>
        <w:t xml:space="preserve"> </w:t>
      </w:r>
      <w:r>
        <w:fldChar w:fldCharType="begin" w:fldLock="1"/>
      </w:r>
      <w:r w:rsidR="00073405">
        <w:instrText>ADDIN CSL_CITATION { "citationItems" : [ { "id" : "ITEM-1", "itemData" : { "DOI" : "10.1243/09576509JPE998", "ISSN" : "0957-6509", "abstract" : "In this article, the authors performed the thermodynamic optimization of organic Rankine cycles (ORCs) using several working fluids and considered the effect of three heat rejec- tion media in the condenser: cooling water, ambient air, and hot water at high temperature for co- or trigeneration applications. The ORC system was modelled and optimized using the Aspen Hysys process simulator. The objective function is the maximization of turbine power output. Most natural gas compression stations use no heat recovery system. In this study, they applied the optimization procedure to the recovery of waste heat fromgas turbines used to drive natural gas compressors in natural gas pumping stations. They used operational data from an existing pumping station to illustrate the potential benefits of ORC systems for this application, taking into account also non-thermodynamic aspects such as toxicity, flammability, and investment cost return. The highest ORC turbine output powerswere obtained with aromatic hydrocarbons, then with aromatic fluorocarbons, n-hydrocarbons, and siloxanes (in that order). For the case studied here \u2013 a gas turbine of 2.6MW of mechanical power\u2013 the proposed ORC can produce around 1MWe, with a thermal efficiency of up to 24 per cent depending on the working fluid and condensing temperature.", "author" : [ { "dropping-particle" : "", "family" : "Saavedra", "given" : "I", "non-dropping-particle" : "", "parse-names" : false, "suffix" : "" }, { "dropping-particle" : "", "family" : "Bruno", "given" : "J C", "non-dropping-particle" : "", "parse-names" : false, "suffix" : "" }, { "dropping-particle" : "", "family" : "Coronas", "given" : "A", "non-dropping-particle" : "", "parse-names" : false, "suffix" : "" } ], "container-title" : "Proceedings of the Institution of Mechanical Engineers, Part A: Journal of Power and Energy", "id" : "ITEM-1", "issue" : "7", "issued" : { "date-parts" : [ [ "2010", "11", "1" ] ] }, "page" : "917-930", "title" : "Thermodynamic optimization of organic Rankine cycles at several condensing temperatures: case study of waste heat recovery in a natural gas compressor station", "type" : "article-journal", "volume" : "224" }, "uris" : [ "http://www.mendeley.com/documents/?uuid=6a76ff70-1a27-4e35-a7be-2ab671213610" ] } ], "mendeley" : { "formattedCitation" : "(Saavedra et al. 2010)", "plainTextFormattedCitation" : "(Saavedra et al. 2010)", "previouslyFormattedCitation" : "(Saavedra et al. 2010)" }, "properties" : { "noteIndex" : 0 }, "schema" : "https://github.com/citation-style-language/schema/raw/master/csl-citation.json" }</w:instrText>
      </w:r>
      <w:r>
        <w:fldChar w:fldCharType="separate"/>
      </w:r>
      <w:r w:rsidR="00073405" w:rsidRPr="00073405">
        <w:rPr>
          <w:noProof/>
        </w:rPr>
        <w:t xml:space="preserve">(Saavedra </w:t>
      </w:r>
      <w:r w:rsidR="00073405" w:rsidRPr="00454C96">
        <w:rPr>
          <w:i/>
          <w:noProof/>
        </w:rPr>
        <w:t>et al</w:t>
      </w:r>
      <w:r w:rsidR="00073405" w:rsidRPr="00073405">
        <w:rPr>
          <w:noProof/>
        </w:rPr>
        <w:t>. 2010)</w:t>
      </w:r>
      <w:r>
        <w:fldChar w:fldCharType="end"/>
      </w:r>
      <w:r w:rsidRPr="008935AB">
        <w:t xml:space="preserve">. The large catalogue of organic fluids permits the creation of tailored designs for a heat source. The use of isentropic or dry organic fluids eliminates the problem of having droplets in the expansion process </w:t>
      </w:r>
      <w:r w:rsidRPr="008935AB">
        <w:fldChar w:fldCharType="begin" w:fldLock="1"/>
      </w:r>
      <w:r w:rsidR="00073405">
        <w:instrText>ADDIN CSL_CITATION { "citationItems" : [ { "id" : "ITEM-1", "itemData" : { "DOI" : "10.1016/j.energy.2004.01.004", "ISBN" : "8863582025", "ISSN" : "03605442", "abstract" : "This study presents an analysis of the performance of organic Rankine cycle (ORC) subjected to the influence of working fluids. The effects of various working fluids on the thermal efficiency and on the total heat-recovery efficiency have been investigated. It is found that the presence of hydrogen bond in certain molecules such as water, ammonia, and ethanol may result in wet fluid conditions due to larger vaporizing enthalpy, and is regarded as inappropriate for ORC systems. The calculated results reveal that the thermal efficiency for various working fluids is a weak function of the critical temperature. The maximum value of the total heat-recovery efficiency occurs at the appropriate evaporating temperature between the inlet temperature of waste heat and the condensing temperature. In addition, the maximum value of total heat-recovery efficiency increases with the increase of the inlet temperature of the waste heat source and decreases it by using working fluids having lower critical temperature. Analytical results using a constant waste heat temperature or based on thermal efficiency may result in considerable devi- ation of system design relative to the varying temperature conditions of the actual waste heat recovery and is regarded as inappropriate.", "author" : [ { "dropping-particle" : "", "family" : "Liu", "given" : "Bo-Tau", "non-dropping-particle" : "", "parse-names" : false, "suffix" : "" }, { "dropping-particle" : "", "family" : "Chien", "given" : "Kuo-Hsiang", "non-dropping-particle" : "", "parse-names" : false, "suffix" : "" }, { "dropping-particle" : "", "family" : "Wang", "given" : "Chi-Chuan", "non-dropping-particle" : "", "parse-names" : false, "suffix" : "" } ], "container-title" : "Energy", "id" : "ITEM-1", "issue" : "8", "issued" : { "date-parts" : [ [ "2004", "6" ] ] }, "page" : "1207-1217", "title" : "Effect of working fluids on organic Rankine cycle for waste heat recovery", "type" : "article-journal", "volume" : "29" }, "uris" : [ "http://www.mendeley.com/documents/?uuid=ab020046-c5f7-45dc-9050-90bafad4f22a" ] }, { "id" : "ITEM-2", "itemData" : { "DOI" : "10.1016/j.rser.2010.07.006", "ISSN" : "13640321", "abstract" : "This paper presents a review of the organic Rankine cycle and supercritical Rankine cycle for the conversion of low-grade heat into electrical power, as well as selection criteria of potential working fluids, screening of 35 working fluids for the two cycles and analyses of the influence of fluid properties on cycle performance. The thermodynamic and physical properties, stability, environmental impacts, safety and compatibility, and availability and cost are among the important considerations when selecting a working fluid. The paper discusses the types of workingfluids, influence of latent heat, density and specific heat, and the effectiveness of superheating. A discussion of the 35 screened working fluids is also presented.", "author" : [ { "dropping-particle" : "", "family" : "Chen", "given" : "Huijuan", "non-dropping-particle" : "", "parse-names" : false, "suffix" : "" }, { "dropping-particle" : "", "family" : "Goswami", "given" : "D. Yogi", "non-dropping-particle" : "", "parse-names" : false, "suffix" : "" }, { "dropping-particle" : "", "family" : "Stefanakos", "given" : "Elias K.", "non-dropping-particle" : "", "parse-names" : false, "suffix" : "" } ], "container-title" : "Renewable and Sustainable Energy Reviews", "id" : "ITEM-2", "issue" : "9", "issued" : { "date-parts" : [ [ "2010", "12" ] ] }, "page" : "3059-3067", "publisher" : "Elsevier Ltd", "title" : "A review of thermodynamic cycles and working fluids for the conversion of low-grade heat", "type" : "article-journal", "volume" : "14" }, "uris" : [ "http://www.mendeley.com/documents/?uuid=29515918-5559-4b4f-9a54-f597cbd4e95a" ] } ], "mendeley" : { "formattedCitation" : "(Liu et al. 2004; Chen et al. 2010)", "plainTextFormattedCitation" : "(Liu et al. 2004; Chen et al. 2010)", "previouslyFormattedCitation" : "(Liu et al. 2004; Chen et al. 2010)" }, "properties" : { "noteIndex" : 0 }, "schema" : "https://github.com/citation-style-language/schema/raw/master/csl-citation.json" }</w:instrText>
      </w:r>
      <w:r w:rsidRPr="008935AB">
        <w:fldChar w:fldCharType="separate"/>
      </w:r>
      <w:r w:rsidR="00073405" w:rsidRPr="00073405">
        <w:rPr>
          <w:noProof/>
        </w:rPr>
        <w:t xml:space="preserve">(Liu </w:t>
      </w:r>
      <w:r w:rsidR="00073405" w:rsidRPr="00454C96">
        <w:rPr>
          <w:i/>
          <w:noProof/>
        </w:rPr>
        <w:t>et al</w:t>
      </w:r>
      <w:r w:rsidR="00073405" w:rsidRPr="00073405">
        <w:rPr>
          <w:noProof/>
        </w:rPr>
        <w:t xml:space="preserve">. 2004; Chen </w:t>
      </w:r>
      <w:r w:rsidR="00073405" w:rsidRPr="00454C96">
        <w:rPr>
          <w:i/>
          <w:noProof/>
        </w:rPr>
        <w:t>et al</w:t>
      </w:r>
      <w:r w:rsidR="00073405" w:rsidRPr="00073405">
        <w:rPr>
          <w:noProof/>
        </w:rPr>
        <w:t>. 2010)</w:t>
      </w:r>
      <w:r w:rsidRPr="008935AB">
        <w:fldChar w:fldCharType="end"/>
      </w:r>
      <w:r>
        <w:t>, see</w:t>
      </w:r>
      <w:r w:rsidR="00D854F1">
        <w:t xml:space="preserve"> </w:t>
      </w:r>
      <w:r w:rsidR="00D854F1">
        <w:fldChar w:fldCharType="begin"/>
      </w:r>
      <w:r w:rsidR="00D854F1">
        <w:instrText xml:space="preserve"> REF _Ref414010355 \h </w:instrText>
      </w:r>
      <w:r w:rsidR="00D854F1">
        <w:fldChar w:fldCharType="separate"/>
      </w:r>
      <w:r w:rsidR="00AA6EE9">
        <w:t xml:space="preserve">Figure </w:t>
      </w:r>
      <w:r w:rsidR="00AA6EE9">
        <w:rPr>
          <w:noProof/>
        </w:rPr>
        <w:t>1</w:t>
      </w:r>
      <w:r w:rsidR="00D854F1">
        <w:fldChar w:fldCharType="end"/>
      </w:r>
      <w:r w:rsidRPr="008935AB">
        <w:t xml:space="preserve">. </w:t>
      </w:r>
      <w:r w:rsidR="00483148">
        <w:t>However</w:t>
      </w:r>
      <w:r w:rsidRPr="008935AB">
        <w:t>, organic fluids have lower latent heat than water</w:t>
      </w:r>
      <w:r>
        <w:t>, which means</w:t>
      </w:r>
      <w:r w:rsidRPr="008935AB">
        <w:t xml:space="preserve"> larger mass flow rates</w:t>
      </w:r>
      <w:r>
        <w:t>,</w:t>
      </w:r>
      <w:r w:rsidRPr="008935AB">
        <w:t xml:space="preserve"> pump losses and equipment.</w:t>
      </w:r>
    </w:p>
    <w:p w:rsidR="00073405" w:rsidRDefault="00B30F53" w:rsidP="00B30F53">
      <w:pPr>
        <w:pStyle w:val="Caption"/>
        <w:tabs>
          <w:tab w:val="left" w:pos="8499"/>
        </w:tabs>
        <w:ind w:right="-6"/>
        <w:jc w:val="center"/>
      </w:pPr>
      <w:bookmarkStart w:id="1" w:name="_Ref411253247"/>
      <w:r>
        <w:rPr>
          <w:noProof/>
          <w:lang w:eastAsia="en-GB"/>
        </w:rPr>
        <w:lastRenderedPageBreak/>
        <w:drawing>
          <wp:inline distT="0" distB="0" distL="0" distR="0" wp14:anchorId="01125970" wp14:editId="37FDE0AD">
            <wp:extent cx="4500000" cy="302445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Excel-Paint Calibri.tif"/>
                    <pic:cNvPicPr/>
                  </pic:nvPicPr>
                  <pic:blipFill>
                    <a:blip r:embed="rId9">
                      <a:extLst>
                        <a:ext uri="{28A0092B-C50C-407E-A947-70E740481C1C}">
                          <a14:useLocalDpi xmlns:a14="http://schemas.microsoft.com/office/drawing/2010/main" val="0"/>
                        </a:ext>
                      </a:extLst>
                    </a:blip>
                    <a:stretch>
                      <a:fillRect/>
                    </a:stretch>
                  </pic:blipFill>
                  <pic:spPr>
                    <a:xfrm>
                      <a:off x="0" y="0"/>
                      <a:ext cx="4500000" cy="3024457"/>
                    </a:xfrm>
                    <a:prstGeom prst="rect">
                      <a:avLst/>
                    </a:prstGeom>
                    <a:ln>
                      <a:noFill/>
                    </a:ln>
                  </pic:spPr>
                </pic:pic>
              </a:graphicData>
            </a:graphic>
          </wp:inline>
        </w:drawing>
      </w:r>
    </w:p>
    <w:p w:rsidR="00073405" w:rsidRPr="00AC5F8F" w:rsidRDefault="00073405" w:rsidP="00073405">
      <w:pPr>
        <w:pStyle w:val="Figurecaption"/>
        <w:rPr>
          <w:b/>
        </w:rPr>
      </w:pPr>
      <w:bookmarkStart w:id="2" w:name="_Ref414010355"/>
      <w:r>
        <w:t>Fig</w:t>
      </w:r>
      <w:r w:rsidR="00D854F1">
        <w:t>ure</w:t>
      </w:r>
      <w:r>
        <w:t xml:space="preserve"> </w:t>
      </w:r>
      <w:bookmarkEnd w:id="1"/>
      <w:r>
        <w:fldChar w:fldCharType="begin"/>
      </w:r>
      <w:r>
        <w:instrText xml:space="preserve"> SEQ Figure \* ARABIC </w:instrText>
      </w:r>
      <w:r>
        <w:fldChar w:fldCharType="separate"/>
      </w:r>
      <w:r w:rsidR="00AA6EE9">
        <w:rPr>
          <w:noProof/>
        </w:rPr>
        <w:t>1</w:t>
      </w:r>
      <w:r>
        <w:fldChar w:fldCharType="end"/>
      </w:r>
      <w:bookmarkEnd w:id="2"/>
      <w:r>
        <w:t xml:space="preserve">: Representation of three different types of fluids. Depending </w:t>
      </w:r>
      <w:r w:rsidR="00483148">
        <w:t>o</w:t>
      </w:r>
      <w:r>
        <w:t>n the working fluid's slope in a temperature-entropy diagram</w:t>
      </w:r>
      <w:r w:rsidR="00483148">
        <w:t>,</w:t>
      </w:r>
      <w:r>
        <w:rPr>
          <w:noProof/>
        </w:rPr>
        <w:t xml:space="preserve"> it could be classified as wet fluid when it has a positive slope (e.g. water); Isentropic when its slope is zero (e.g. R11); and Dry when </w:t>
      </w:r>
      <w:r w:rsidR="006A68BF">
        <w:rPr>
          <w:noProof/>
        </w:rPr>
        <w:t>it</w:t>
      </w:r>
      <w:r>
        <w:rPr>
          <w:noProof/>
        </w:rPr>
        <w:t xml:space="preserve"> is negative (e.g. </w:t>
      </w:r>
      <w:r w:rsidR="009A298C">
        <w:rPr>
          <w:noProof/>
        </w:rPr>
        <w:t>heptane</w:t>
      </w:r>
      <w:r>
        <w:rPr>
          <w:noProof/>
        </w:rPr>
        <w:t>).</w:t>
      </w:r>
    </w:p>
    <w:p w:rsidR="002177AF" w:rsidRDefault="002177AF" w:rsidP="002177AF">
      <w:pPr>
        <w:pStyle w:val="Newparagraph"/>
      </w:pPr>
    </w:p>
    <w:p w:rsidR="00D854F1" w:rsidRDefault="00D854F1" w:rsidP="00D854F1">
      <w:pPr>
        <w:pStyle w:val="Newparagraph"/>
      </w:pPr>
      <w:r>
        <w:t xml:space="preserve">ORC systems </w:t>
      </w:r>
      <w:r w:rsidR="00454C96">
        <w:t>on-board</w:t>
      </w:r>
      <w:r>
        <w:t xml:space="preserve"> ship</w:t>
      </w:r>
      <w:r w:rsidR="006A68BF">
        <w:t>s</w:t>
      </w:r>
      <w:r>
        <w:t xml:space="preserve"> are commonly studied as the bottoming cycle of other WHRS </w:t>
      </w:r>
      <w:r>
        <w:fldChar w:fldCharType="begin" w:fldLock="1"/>
      </w:r>
      <w:r>
        <w:instrText>ADDIN CSL_CITATION { "citationItems" : [ { "id" : "ITEM-1", "itemData" : { "DOI" : "10.1016/j.energy.2011.07.041", "ISSN" : "03605442", "abstract" : "abstract A comparison of optimized trilateral cycle (TLC) - systems with water as working fluid and optimized organic Rankine cycle (ORC) e systems with pure organic working fluids is presented. The study includes the heat transfer to and from the cycles. The TLC - systems were optimized by the selection of the maximum water temperature, the ORC - systems by the selection of the working fluid and the process parameters. The optimization criterion is the exergy efficiency for power production being the ratio of the net power output to the incoming exergy flow of the heat carrier. Results will be presented for five different cases specified by the inlet temperature of the heat carrier and the inlet temperature of the cooling agent. The inlet temperature pairs are (350 C, 62 C), (280 C, 62 C), (280 C, 15 C), (220 C, 15 C) and (150 C, 15 C). It is found that the exergy efficiency for power production is larger by 14%e29% for the TLC than for the ORC. On the other hand, the outgoing volume flows from the expander are larger for the TLC than for the ORC by a factor ranging from 2.8 for the first case to 70 for the last case.", "author" : [ { "dropping-particle" : "", "family" : "Fischer", "given" : "Johann", "non-dropping-particle" : "", "parse-names" : false, "suffix" : "" } ], "container-title" : "Energy", "id" : "ITEM-1", "issue" : "10", "issued" : { "date-parts" : [ [ "2011", "10" ] ] }, "page" : "6208-6219", "publisher" : "Elsevier Ltd", "title" : "Comparison of trilateral cycles and organic Rankine cycles", "type" : "article-journal", "volume" : "36" }, "uris" : [ "http://www.mendeley.com/documents/?uuid=e7b45006-c376-4335-964b-bf0c127f78fb" ] }, { "id" : "ITEM-2", "itemData" : { "DOI" : "10.1016/j.enconman.2014.03.038", "ISSN" : "01968904", "abstract" : "Stricter legislation on sulphur oxide emissions from ships will apply as of 2015 in emission control areas. Consequently, prices on low sulphur fuels are expected to increase drastically, providing a strong incentive to find alternative ways of complying with the legislation and improving the efficiency of machinery systems. The wet sulphuric acid process is an effective way of removing flue gas sulphur oxides from land-based coal-fired power plants. Moreover, organic Rankine cycles (ORC) are suitable for heat to power conversion for low temperature heat sources. This paper describes the design and modeling of a highly efficient machinery system which includes the removal of exhaust gas sulphur oxides. The system consists of a two-stroke diesel engine, the wet sulphuric process for sulphur removal, a conventional steam Rankine cycle and an ORC. Results of numerical modeling efforts suggest that an ORC placed after the conventional waste heat recovery system is able to extract the sulphuric acid from the exhaust gas, while at the same time increase the combined cycle thermal efficiency by 2.6%. The findings indicate that the technology has potential in marine applications regarding both energy and the environment; however, further research and development efforts are needed.", "author" : [ { "dropping-particle" : "", "family" : "Nielsen", "given" : "Rasmus Frimann", "non-dropping-particle" : "", "parse-names" : false, "suffix" : "" }, { "dropping-particle" : "", "family" : "Haglind", "given" : "Fredrik", "non-dropping-particle" : "", "parse-names" : false, "suffix" : "" }, { "dropping-particle" : "", "family" : "Larsen", "given" : "Ulrik", "non-dropping-particle" : "", "parse-names" : false, "suffix" : "" } ], "container-title" : "Energy Conversion and Management", "id" : "ITEM-2", "issued" : { "date-parts" : [ [ "2014", "4" ] ] }, "title" : "Design and modeling of an advanced marine machinery system including waste heat recovery and removal of sulphur oxides", "type" : "article-journal" }, "uris" : [ "http://www.mendeley.com/documents/?uuid=b99739f9-0a1c-43b3-a77c-e098dbcfdf97" ] }, { "id" : "ITEM-3", "itemData" : { "author" : [ { "dropping-particle" : "", "family" : "Marine Engineers Review", "given" : "", "non-dropping-particle" : "", "parse-names" : false, "suffix" : "" } ], "container-title" : "Marine Engineers Review", "id" : "ITEM-3", "issued" : { "date-parts" : [ [ "2014", "9" ] ] }, "page" : "10", "publisher-place" : "London", "title" : "Calentix converts heat to power", "type" : "article-magazine" }, "uris" : [ "http://www.mendeley.com/documents/?uuid=76c2970e-079b-421e-9b2d-18f8a8805dc2" ] } ], "mendeley" : { "formattedCitation" : "(Fischer 2011; Nielsen et al. 2014; Marine Engineers Review 2014)", "plainTextFormattedCitation" : "(Fischer 2011; Nielsen et al. 2014; Marine Engineers Review 2014)", "previouslyFormattedCitation" : "(Fischer 2011; Nielsen et al. 2014; Marine Engineers Review 2014)" }, "properties" : { "noteIndex" : 0 }, "schema" : "https://github.com/citation-style-language/schema/raw/master/csl-citation.json" }</w:instrText>
      </w:r>
      <w:r>
        <w:fldChar w:fldCharType="separate"/>
      </w:r>
      <w:r w:rsidRPr="00D854F1">
        <w:rPr>
          <w:noProof/>
        </w:rPr>
        <w:t xml:space="preserve">(Fischer 2011; Nielsen </w:t>
      </w:r>
      <w:r w:rsidRPr="00454C96">
        <w:rPr>
          <w:i/>
          <w:noProof/>
        </w:rPr>
        <w:t>et al</w:t>
      </w:r>
      <w:r w:rsidRPr="00D854F1">
        <w:rPr>
          <w:noProof/>
        </w:rPr>
        <w:t>. 2014; Marine Engineers Review 2014)</w:t>
      </w:r>
      <w:r>
        <w:fldChar w:fldCharType="end"/>
      </w:r>
      <w:r>
        <w:t xml:space="preserve">; this is due to the strong </w:t>
      </w:r>
      <w:r w:rsidR="006A68BF">
        <w:t xml:space="preserve">ORC </w:t>
      </w:r>
      <w:r>
        <w:t xml:space="preserve">performance at low temperatures and its simple layout </w:t>
      </w:r>
      <w:r>
        <w:fldChar w:fldCharType="begin" w:fldLock="1"/>
      </w:r>
      <w:r>
        <w:instrText>ADDIN CSL_CITATION { "citationItems" : [ { "id" : "ITEM-1", "itemData" : { "DOI" : "10.1016/j.energy.2004.01.004", "ISBN" : "8863582025", "ISSN" : "03605442", "abstract" : "This study presents an analysis of the performance of organic Rankine cycle (ORC) subjected to the influence of working fluids. The effects of various working fluids on the thermal efficiency and on the total heat-recovery efficiency have been investigated. It is found that the presence of hydrogen bond in certain molecules such as water, ammonia, and ethanol may result in wet fluid conditions due to larger vaporizing enthalpy, and is regarded as inappropriate for ORC systems. The calculated results reveal that the thermal efficiency for various working fluids is a weak function of the critical temperature. The maximum value of the total heat-recovery efficiency occurs at the appropriate evaporating temperature between the inlet temperature of waste heat and the condensing temperature. In addition, the maximum value of total heat-recovery efficiency increases with the increase of the inlet temperature of the waste heat source and decreases it by using working fluids having lower critical temperature. Analytical results using a constant waste heat temperature or based on thermal efficiency may result in considerable devi- ation of system design relative to the varying temperature conditions of the actual waste heat recovery and is regarded as inappropriate.", "author" : [ { "dropping-particle" : "", "family" : "Liu", "given" : "Bo-Tau", "non-dropping-particle" : "", "parse-names" : false, "suffix" : "" }, { "dropping-particle" : "", "family" : "Chien", "given" : "Kuo-Hsiang", "non-dropping-particle" : "", "parse-names" : false, "suffix" : "" }, { "dropping-particle" : "", "family" : "Wang", "given" : "Chi-Chuan", "non-dropping-particle" : "", "parse-names" : false, "suffix" : "" } ], "container-title" : "Energy", "id" : "ITEM-1", "issue" : "8", "issued" : { "date-parts" : [ [ "2004", "6" ] ] }, "page" : "1207-1217", "title" : "Effect of working fluids on organic Rankine cycle for waste heat recovery", "type" : "article-journal", "volume" : "29" }, "uris" : [ "http://www.mendeley.com/documents/?uuid=ab020046-c5f7-45dc-9050-90bafad4f22a" ] }, { "id" : "ITEM-2", "itemData" : { "DOI" : "10.1016/j.rser.2010.07.006", "ISSN" : "13640321", "abstract" : "This paper presents a review of the organic Rankine cycle and supercritical Rankine cycle for the conversion of low-grade heat into electrical power, as well as selection criteria of potential working fluids, screening of 35 working fluids for the two cycles and analyses of the influence of fluid properties on cycle performance. The thermodynamic and physical properties, stability, environmental impacts, safety and compatibility, and availability and cost are among the important considerations when selecting a working fluid. The paper discusses the types of workingfluids, influence of latent heat, density and specific heat, and the effectiveness of superheating. A discussion of the 35 screened working fluids is also presented.", "author" : [ { "dropping-particle" : "", "family" : "Chen", "given" : "Huijuan", "non-dropping-particle" : "", "parse-names" : false, "suffix" : "" }, { "dropping-particle" : "", "family" : "Goswami", "given" : "D. Yogi", "non-dropping-particle" : "", "parse-names" : false, "suffix" : "" }, { "dropping-particle" : "", "family" : "Stefanakos", "given" : "Elias K.", "non-dropping-particle" : "", "parse-names" : false, "suffix" : "" } ], "container-title" : "Renewable and Sustainable Energy Reviews", "id" : "ITEM-2", "issue" : "9", "issued" : { "date-parts" : [ [ "2010", "12" ] ] }, "page" : "3059-3067", "publisher" : "Elsevier Ltd", "title" : "A review of thermodynamic cycles and working fluids for the conversion of low-grade heat", "type" : "article-journal", "volume" : "14" }, "uris" : [ "http://www.mendeley.com/documents/?uuid=29515918-5559-4b4f-9a54-f597cbd4e95a" ] } ], "mendeley" : { "formattedCitation" : "(Liu et al. 2004; Chen et al. 2010)", "plainTextFormattedCitation" : "(Liu et al. 2004; Chen et al. 2010)", "previouslyFormattedCitation" : "(Liu et al. 2004; Chen et al. 2010)" }, "properties" : { "noteIndex" : 0 }, "schema" : "https://github.com/citation-style-language/schema/raw/master/csl-citation.json" }</w:instrText>
      </w:r>
      <w:r>
        <w:fldChar w:fldCharType="separate"/>
      </w:r>
      <w:r w:rsidRPr="00D854F1">
        <w:rPr>
          <w:noProof/>
        </w:rPr>
        <w:t xml:space="preserve">(Liu </w:t>
      </w:r>
      <w:r w:rsidRPr="00454C96">
        <w:rPr>
          <w:i/>
          <w:noProof/>
        </w:rPr>
        <w:t>et al</w:t>
      </w:r>
      <w:r w:rsidRPr="00D854F1">
        <w:rPr>
          <w:noProof/>
        </w:rPr>
        <w:t xml:space="preserve">. 2004; Chen </w:t>
      </w:r>
      <w:r w:rsidRPr="00454C96">
        <w:rPr>
          <w:i/>
          <w:noProof/>
        </w:rPr>
        <w:t>et al</w:t>
      </w:r>
      <w:r w:rsidRPr="00D854F1">
        <w:rPr>
          <w:noProof/>
        </w:rPr>
        <w:t>. 2010)</w:t>
      </w:r>
      <w:r>
        <w:fldChar w:fldCharType="end"/>
      </w:r>
      <w:r>
        <w:t xml:space="preserve">. </w:t>
      </w:r>
      <w:proofErr w:type="spellStart"/>
      <w:r w:rsidRPr="008935AB">
        <w:t>Opcon</w:t>
      </w:r>
      <w:proofErr w:type="spellEnd"/>
      <w:r w:rsidRPr="008935AB">
        <w:t xml:space="preserve"> Marine manufactures ORC waste heat recovery plants </w:t>
      </w:r>
      <w:r>
        <w:t>that work</w:t>
      </w:r>
      <w:r w:rsidRPr="008935AB">
        <w:t xml:space="preserve"> for the vessel’s low grade </w:t>
      </w:r>
      <w:r>
        <w:t xml:space="preserve">heat </w:t>
      </w:r>
      <w:r w:rsidRPr="008935AB">
        <w:t>source</w:t>
      </w:r>
      <w:r>
        <w:t>s</w:t>
      </w:r>
      <w:r w:rsidRPr="008935AB">
        <w:t xml:space="preserve"> (i.e. </w:t>
      </w:r>
      <w:r>
        <w:t>9</w:t>
      </w:r>
      <w:r w:rsidRPr="008935AB">
        <w:t>0</w:t>
      </w:r>
      <w:r>
        <w:t>-160</w:t>
      </w:r>
      <w:r>
        <w:rPr>
          <w:rFonts w:ascii="Calibri" w:hAnsi="Calibri"/>
        </w:rPr>
        <w:t>˚</w:t>
      </w:r>
      <w:r>
        <w:t>C</w:t>
      </w:r>
      <w:r w:rsidRPr="008935AB">
        <w:t xml:space="preserve">), </w:t>
      </w:r>
      <w:r>
        <w:t>such as the engine’s</w:t>
      </w:r>
      <w:r w:rsidRPr="008935AB">
        <w:t xml:space="preserve"> cooling system </w:t>
      </w:r>
      <w:r>
        <w:t xml:space="preserve">and </w:t>
      </w:r>
      <w:r w:rsidRPr="008935AB">
        <w:t>steam</w:t>
      </w:r>
      <w:r>
        <w:t xml:space="preserve"> not used by the vessel</w:t>
      </w:r>
      <w:r w:rsidRPr="008935AB">
        <w:t xml:space="preserve"> </w:t>
      </w:r>
      <w:r w:rsidRPr="008935AB">
        <w:fldChar w:fldCharType="begin" w:fldLock="1"/>
      </w:r>
      <w:r>
        <w:instrText>ADDIN CSL_CITATION { "citationItems" : [ { "id" : "ITEM-1", "itemData" : { "abstract" : "The enclosed quotation drawings and specifications are inteded to give the recipient an understanding of the size and space requirements and connections of the OPB-ORC-750M", "author" : [ { "dropping-particle" : "", "family" : "Opcon Energy Systems AB", "given" : "", "non-dropping-particle" : "", "parse-names" : false, "suffix" : "" } ], "id" : "ITEM-1", "issued" : { "date-parts" : [ [ "2012" ] ] }, "page" : "11", "publisher" : "Opcon", "publisher-place" : "Stockholm", "title" : "Data Sheet OPB-ORC-750M", "type" : "article" }, "uris" : [ "http://www.mendeley.com/documents/?uuid=799c8681-b622-4026-b1e4-8b2c06772dba" ] } ], "mendeley" : { "formattedCitation" : "(Opcon Energy Systems AB 2012a)", "plainTextFormattedCitation" : "(Opcon Energy Systems AB 2012a)", "previouslyFormattedCitation" : "(Opcon Energy Systems AB 2012a)" }, "properties" : { "noteIndex" : 0 }, "schema" : "https://github.com/citation-style-language/schema/raw/master/csl-citation.json" }</w:instrText>
      </w:r>
      <w:r w:rsidRPr="008935AB">
        <w:fldChar w:fldCharType="separate"/>
      </w:r>
      <w:r w:rsidRPr="00D854F1">
        <w:rPr>
          <w:noProof/>
        </w:rPr>
        <w:t>(Opcon Energy Systems AB 2012a)</w:t>
      </w:r>
      <w:r w:rsidRPr="008935AB">
        <w:fldChar w:fldCharType="end"/>
      </w:r>
      <w:r w:rsidRPr="008935AB">
        <w:t xml:space="preserve">. </w:t>
      </w:r>
      <w:r>
        <w:t>These</w:t>
      </w:r>
      <w:r w:rsidRPr="008935AB">
        <w:t xml:space="preserve"> </w:t>
      </w:r>
      <w:r>
        <w:t>WHRS</w:t>
      </w:r>
      <w:r w:rsidRPr="008935AB">
        <w:t xml:space="preserve"> are installed in </w:t>
      </w:r>
      <w:r w:rsidRPr="008935AB">
        <w:rPr>
          <w:i/>
        </w:rPr>
        <w:t>MV Figaro</w:t>
      </w:r>
      <w:r w:rsidRPr="008935AB">
        <w:t xml:space="preserve"> with a reported saving in fuel consumption of around 5% </w:t>
      </w:r>
      <w:r w:rsidRPr="008935AB">
        <w:fldChar w:fldCharType="begin" w:fldLock="1"/>
      </w:r>
      <w:r>
        <w:instrText>ADDIN CSL_CITATION { "citationItems" : [ { "id" : "ITEM-1", "itemData" : { "abstract" : "Over the past two years Opcon has collaborated with Wallenius Marine in a project supported by the Swedish Energy Agency aimed at adapting Opcon\u2019s technology for production on sea-going vessels of electricity from low-value waste heat in the vessel\u2019s steam and cooling system.", "author" : [ { "dropping-particle" : "", "family" : "Opcon Energy Systems AB", "given" : "", "non-dropping-particle" : "", "parse-names" : false, "suffix" : "" } ], "id" : "ITEM-1", "issued" : { "date-parts" : [ [ "2012" ] ] }, "page" : "2", "publisher" : "Opcon Energy Systems AB", "publisher-place" : "Stockholm", "title" : "Commissioning and testing of first reference installation of Opcon technology for ships", "type" : "article" }, "uris" : [ "http://www.mendeley.com/documents/?uuid=e8d3b57e-3d91-4813-94e2-7be18f42f1eb" ] } ], "mendeley" : { "formattedCitation" : "(Opcon Energy Systems AB 2012b)", "plainTextFormattedCitation" : "(Opcon Energy Systems AB 2012b)", "previouslyFormattedCitation" : "(Opcon Energy Systems AB 2012b)" }, "properties" : { "noteIndex" : 0 }, "schema" : "https://github.com/citation-style-language/schema/raw/master/csl-citation.json" }</w:instrText>
      </w:r>
      <w:r w:rsidRPr="008935AB">
        <w:fldChar w:fldCharType="separate"/>
      </w:r>
      <w:r w:rsidRPr="00D854F1">
        <w:rPr>
          <w:noProof/>
        </w:rPr>
        <w:t>(Opcon Energy Systems AB 2012b)</w:t>
      </w:r>
      <w:r w:rsidRPr="008935AB">
        <w:fldChar w:fldCharType="end"/>
      </w:r>
      <w:r w:rsidRPr="008935AB">
        <w:t xml:space="preserve">. </w:t>
      </w:r>
    </w:p>
    <w:p w:rsidR="00D854F1" w:rsidRPr="008935AB" w:rsidRDefault="00D854F1" w:rsidP="00D854F1">
      <w:pPr>
        <w:pStyle w:val="Newparagraph"/>
      </w:pPr>
      <w:r w:rsidRPr="0094027B">
        <w:rPr>
          <w:noProof/>
        </w:rPr>
        <w:t xml:space="preserve">Yue </w:t>
      </w:r>
      <w:r w:rsidRPr="00454C96">
        <w:rPr>
          <w:i/>
          <w:noProof/>
        </w:rPr>
        <w:t>et al</w:t>
      </w:r>
      <w:r w:rsidRPr="0094027B">
        <w:rPr>
          <w:noProof/>
        </w:rPr>
        <w:t>.</w:t>
      </w:r>
      <w:r w:rsidR="00436AFE">
        <w:rPr>
          <w:noProof/>
        </w:rPr>
        <w:t xml:space="preserve"> </w:t>
      </w:r>
      <w:r>
        <w:rPr>
          <w:noProof/>
        </w:rPr>
        <w:fldChar w:fldCharType="begin" w:fldLock="1"/>
      </w:r>
      <w:r>
        <w:rPr>
          <w:noProof/>
        </w:rPr>
        <w:instrText>ADDIN CSL_CITATION { "citationItems" : [ { "id" : "ITEM-1", "itemData" : { "DOI" : "10.4028/www.scientific.net/AMM.148-149.1264", "ISBN" : "978-3-03785-340-5", "ISSN" : "1662-7482", "abstract" : "Being an energy-saving project with great development potential, Organic Rankine Cycle (ORC) is becoming one of the research hotspots in recent years. However, there is little research about the waste heat recovery with Organic Rankine Cycle on ships as yet. In this paper, the marine diesel engine waste heat recovery system with Organic Rankine Cycle was designed and analyzed. Isopentane was used as working fluid in the Organic Rankine Cycle. The conditions for the system to recover marine diesel engine waste heat were given, and its schematic diagram was provided. Finally, the ORC turbine which is the most important components of the system was designed. The numerical simulations of the ORC turbine were carried out by using the CFD program. The operation performance and flow field were analyzed.", "author" : [ { "dropping-particle" : "", "family" : "Yue", "given" : "Guo Qiang", "non-dropping-particle" : "", "parse-names" : false, "suffix" : "" }, { "dropping-particle" : "", "family" : "Dong", "given" : "Shi Wei", "non-dropping-particle" : "", "parse-names" : false, "suffix" : "" }, { "dropping-particle" : "", "family" : "Zheng", "given" : "Qun", "non-dropping-particle" : "", "parse-names" : false, "suffix" : "" }, { "dropping-particle" : "", "family" : "Li", "given" : "Jia Rui", "non-dropping-particle" : "", "parse-names" : false, "suffix" : "" } ], "container-title" : "Applied Mechanics and Materials", "editor" : [ { "dropping-particle" : "", "family" : "Chang", "given" : "Grace", "non-dropping-particle" : "", "parse-names" : false, "suffix" : "" } ], "id" : "ITEM-1", "issued" : { "date-parts" : [ [ "2012", "3", "8" ] ] }, "note" : "Cooling water WHRS", "page" : "1264-1270", "title" : "Design of Marine Diesel Engine Waste Heat Recovery System with Organic Rankine Cycle", "type" : "paper-conference", "volume" : "148-149" }, "uris" : [ "http://www.mendeley.com/documents/?uuid=327a4a57-fe93-4917-8b08-a5a07c51adce" ] } ], "mendeley" : { "formattedCitation" : "(Yue et al. 2012)", "manualFormatting" : "(2012)", "plainTextFormattedCitation" : "(Yue et al. 2012)", "previouslyFormattedCitation" : "(Yue et al. 2012)" }, "properties" : { "noteIndex" : 0 }, "schema" : "https://github.com/citation-style-language/schema/raw/master/csl-citation.json" }</w:instrText>
      </w:r>
      <w:r>
        <w:rPr>
          <w:noProof/>
        </w:rPr>
        <w:fldChar w:fldCharType="separate"/>
      </w:r>
      <w:r>
        <w:rPr>
          <w:noProof/>
        </w:rPr>
        <w:t>(</w:t>
      </w:r>
      <w:r w:rsidRPr="00D854F1">
        <w:rPr>
          <w:noProof/>
        </w:rPr>
        <w:t>2012)</w:t>
      </w:r>
      <w:r>
        <w:rPr>
          <w:noProof/>
        </w:rPr>
        <w:fldChar w:fldCharType="end"/>
      </w:r>
      <w:r w:rsidRPr="0094027B">
        <w:t xml:space="preserve"> studied the possibility of using an </w:t>
      </w:r>
      <w:proofErr w:type="spellStart"/>
      <w:r w:rsidRPr="0094027B">
        <w:t>isopentane</w:t>
      </w:r>
      <w:proofErr w:type="spellEnd"/>
      <w:r w:rsidRPr="0094027B">
        <w:t xml:space="preserve"> WHRS using the jacket water of a 6</w:t>
      </w:r>
      <w:r w:rsidR="00354B2D">
        <w:t>,</w:t>
      </w:r>
      <w:r w:rsidRPr="0094027B">
        <w:t xml:space="preserve">750 kW marine diesel engine as the heat source. </w:t>
      </w:r>
      <w:r>
        <w:t xml:space="preserve">The ORC was capable of producing 300 kW at a thermal efficiency of 13.6%. This represented a reduction of around 277 tonnes of heavy fuel oil per year. Using more integral heat </w:t>
      </w:r>
      <w:r>
        <w:lastRenderedPageBreak/>
        <w:t xml:space="preserve">management (i.e. using the waste heat available in the charge air cooler, jacket water and exhaust gas system), </w:t>
      </w:r>
      <w:r w:rsidRPr="001F5525">
        <w:rPr>
          <w:noProof/>
        </w:rPr>
        <w:t xml:space="preserve">Larsen </w:t>
      </w:r>
      <w:r w:rsidRPr="00454C96">
        <w:rPr>
          <w:i/>
          <w:noProof/>
        </w:rPr>
        <w:t>et al</w:t>
      </w:r>
      <w:r w:rsidRPr="001F5525">
        <w:rPr>
          <w:noProof/>
        </w:rPr>
        <w:t xml:space="preserve">. </w:t>
      </w:r>
      <w:r>
        <w:rPr>
          <w:noProof/>
        </w:rPr>
        <w:fldChar w:fldCharType="begin" w:fldLock="1"/>
      </w:r>
      <w:r w:rsidR="00BA1648">
        <w:rPr>
          <w:noProof/>
        </w:rPr>
        <w:instrText>ADDIN CSL_CITATION { "citationItems" : [ { "id" : "ITEM-1", "itemData" : { "abstract" : "There is a strong motivation within the marine sector to reduce fuel expenses and to comply with ever stricter regulations on exhaust gas emissions. Heat recovery provides a tool to address both of these issues. The organic Rankine cycle, the Kalina cycle and the steam Rankine cycle have received the majority of the focus in the relevant literature. It is the objective of the present work to compare these three cycles in the context of combined cycle application with a large marine two-stroke diesel engine. Different aspects of the three cycles are compared. The combined cycle performance parameters are evaluated. Additionally, a qualitative comparison of the environmental impact, safety concerns and practical aspects of each of the cycles is presented. In order to obtain the optimum configuration and figures for design parameters for each of the cycles, an optimisation methodology is employed. The study is done based on numerical models derived using Matlab and the optimisations are done using a genetic algorithm. A model of a two-stroke, low speed diesel engine, validated in previous work, is combined with a turbocharger model and models of advanced Rankine cycle processes, using steam, organic fluids, or a mixture of ammonia and water as working fluids. The results suggest that the Kalina cycle possess no significant advantages compared to the organic Rankine cycle or the steam cycle. While contributing to very high efficiencies, the organic working fluids possess high global warming potentials and hazard levels. It is concluded that the organic Rankine cycle has the greatest potential for increasing the fuel efficiency, and in combination with the two-stroke, low speed diesel engine, it seems to offer very high thermal efficiency. While being less efficient, the steam cycle has the advantages of being well proven, harmless to the environment as well as being less hazardous in comparison.", "author" : [ { "dropping-particle" : "", "family" : "Larsen", "given" : "Ulrik", "non-dropping-particle" : "", "parse-names" : false, "suffix" : "" }, { "dropping-particle" : "", "family" : "Haglind", "given" : "Fredrik", "non-dropping-particle" : "", "parse-names" : false, "suffix" : "" }, { "dropping-particle" : "", "family" : "Oskar", "given" : "Sigthorsson", "non-dropping-particle" : "", "parse-names" : false, "suffix" : "" } ], "container-title" : "The 26th International Conference on Efficiency, Cost, Optimization, Simulation and Environmental Impact of Energy Systems", "id" : "ITEM-1", "issued" : { "date-parts" : [ [ "2013" ] ] }, "note" : "http://orbit.dtu.dk/fedora/objects/orbit:124441/datastreams/file_4572d741-f2e0-44d6-b387-96991762d1d4/content", "page" : "13", "publisher" : "Chinese Society of Engineering Thermophysics", "publisher-place" : "Guilin", "title" : "A comparison of advanced heat recovery power cycles in a combined cycle for large ships", "type" : "paper-conference" }, "uris" : [ "http://www.mendeley.com/documents/?uuid=a96ffdd1-03a2-4fb7-887b-a2992c7289c5" ] } ], "mendeley" : { "formattedCitation" : "(Larsen, Haglind, et al. 2013)", "manualFormatting" : "(2013)", "plainTextFormattedCitation" : "(Larsen, Haglind, et al. 2013)", "previouslyFormattedCitation" : "(Larsen, Haglind, et al. 2013)" }, "properties" : { "noteIndex" : 0 }, "schema" : "https://github.com/citation-style-language/schema/raw/master/csl-citation.json" }</w:instrText>
      </w:r>
      <w:r>
        <w:rPr>
          <w:noProof/>
        </w:rPr>
        <w:fldChar w:fldCharType="separate"/>
      </w:r>
      <w:r>
        <w:rPr>
          <w:noProof/>
        </w:rPr>
        <w:t>(</w:t>
      </w:r>
      <w:r w:rsidRPr="00D854F1">
        <w:rPr>
          <w:noProof/>
        </w:rPr>
        <w:t>2013)</w:t>
      </w:r>
      <w:r>
        <w:rPr>
          <w:noProof/>
        </w:rPr>
        <w:fldChar w:fldCharType="end"/>
      </w:r>
      <w:r>
        <w:rPr>
          <w:noProof/>
        </w:rPr>
        <w:t xml:space="preserve"> </w:t>
      </w:r>
      <w:r w:rsidR="00436AFE">
        <w:rPr>
          <w:noProof/>
        </w:rPr>
        <w:t>performed</w:t>
      </w:r>
      <w:r>
        <w:t xml:space="preserve"> a comparison between a marine ORC WHRS using the organic fluid R245ca, a typical water</w:t>
      </w:r>
      <w:r w:rsidR="00436AFE">
        <w:t>-</w:t>
      </w:r>
      <w:r>
        <w:t>based RC WHRS and a Kalina cycle under the same design point and conditions. The Kalina cycle is a thermodynamic cycle that uses the concepts of the RC and absorption cycle</w:t>
      </w:r>
      <w:r w:rsidR="00436AFE">
        <w:t>,</w:t>
      </w:r>
      <w:r>
        <w:t xml:space="preserve"> using a binary working fluid</w:t>
      </w:r>
      <w:r w:rsidR="00436AFE">
        <w:t xml:space="preserve"> </w:t>
      </w:r>
      <w:r>
        <w:t>- water and ammonia in different concentrations</w:t>
      </w:r>
      <w:r w:rsidR="00436AFE">
        <w:t xml:space="preserve"> </w:t>
      </w:r>
      <w:r>
        <w:t xml:space="preserve">- in order to </w:t>
      </w:r>
      <w:r w:rsidR="00436AFE">
        <w:t>attain</w:t>
      </w:r>
      <w:r>
        <w:t xml:space="preserve"> a better match for the heat source and sink by having a non-isothermal evaporation/condensation, for more details see </w:t>
      </w:r>
      <w:r>
        <w:fldChar w:fldCharType="begin" w:fldLock="1"/>
      </w:r>
      <w:r w:rsidR="006A79DB">
        <w:instrText>ADDIN CSL_CITATION { "citationItems" : [ { "id" : "ITEM-1", "itemData" : { "DOI" : "10.1016/j.rser.2012.05.040", "ISSN" : "13640321", "abstract" : "This paper presents a review of the research on the Kalina cycle, including the description of the Kalina cycle, the comparison of the Rankine and Kalina cycle, energy and exergy analysis on the Kalina cycle, different Kalina systems and their different applications. Moreover, different correlations for calculating thermodynamic properties of ammonia\u2013water mixture are screened and discussed. In the end, some technique concerns on ammonia\u2013water mixture, i.e., stability, environmental impacts, safety and corrosion problem etc are also discussed.", "author" : [ { "dropping-particle" : "", "family" : "Zhang", "given" : "Xinxin", "non-dropping-particle" : "", "parse-names" : false, "suffix" : "" }, { "dropping-particle" : "", "family" : "He", "given" : "Maogang", "non-dropping-particle" : "", "parse-names" : false, "suffix" : "" }, { "dropping-particle" : "", "family" : "Zhang", "given" : "Ying", "non-dropping-particle" : "", "parse-names" : false, "suffix" : "" } ], "container-title" : "Renewable and Sustainable Energy Reviews", "id" : "ITEM-1", "issue" : "7", "issued" : { "date-parts" : [ [ "2012", "9" ] ] }, "page" : "5309-5318", "publisher" : "Elsevier", "title" : "A review of research on the Kalina cycle", "type" : "article-journal", "volume" : "16" }, "uris" : [ "http://www.mendeley.com/documents/?uuid=18d168c0-3643-4d1c-a366-c6c01072831f" ] } ], "mendeley" : { "formattedCitation" : "(Zhang et al. 2012)", "manualFormatting" : "Zhang et al. (2012)", "plainTextFormattedCitation" : "(Zhang et al. 2012)", "previouslyFormattedCitation" : "(Zhang et al. 2012)" }, "properties" : { "noteIndex" : 0 }, "schema" : "https://github.com/citation-style-language/schema/raw/master/csl-citation.json" }</w:instrText>
      </w:r>
      <w:r>
        <w:fldChar w:fldCharType="separate"/>
      </w:r>
      <w:r w:rsidRPr="00D854F1">
        <w:rPr>
          <w:noProof/>
        </w:rPr>
        <w:t xml:space="preserve">Zhang </w:t>
      </w:r>
      <w:r w:rsidRPr="00454C96">
        <w:rPr>
          <w:i/>
          <w:noProof/>
        </w:rPr>
        <w:t>et al</w:t>
      </w:r>
      <w:r w:rsidRPr="00D854F1">
        <w:rPr>
          <w:noProof/>
        </w:rPr>
        <w:t xml:space="preserve">. </w:t>
      </w:r>
      <w:r w:rsidR="00436AFE">
        <w:rPr>
          <w:noProof/>
        </w:rPr>
        <w:t>(</w:t>
      </w:r>
      <w:r w:rsidRPr="00D854F1">
        <w:rPr>
          <w:noProof/>
        </w:rPr>
        <w:t>2012)</w:t>
      </w:r>
      <w:r>
        <w:fldChar w:fldCharType="end"/>
      </w:r>
      <w:r>
        <w:t>. It was found that the marine ORC outperformed, in power output, the RC and KC by around 34.4% and 40.6% respectively. In another study, a</w:t>
      </w:r>
      <w:r w:rsidRPr="001F5525">
        <w:t xml:space="preserve"> large catalogue of organic fluids </w:t>
      </w:r>
      <w:r>
        <w:t xml:space="preserve">was used by </w:t>
      </w:r>
      <w:r w:rsidRPr="001F5525">
        <w:t xml:space="preserve">Larsen </w:t>
      </w:r>
      <w:r w:rsidRPr="00454C96">
        <w:rPr>
          <w:i/>
        </w:rPr>
        <w:t>et al</w:t>
      </w:r>
      <w:r w:rsidRPr="001F5525">
        <w:t xml:space="preserve">. </w:t>
      </w:r>
      <w:r>
        <w:fldChar w:fldCharType="begin" w:fldLock="1"/>
      </w:r>
      <w:r w:rsidR="00BA1648">
        <w:instrText>ADDIN CSL_CITATION { "citationItems" : [ { "id" : "ITEM-1", "itemData" : { "DOI" : "10.1016/j.energy.2013.03.021", "ISSN" : "03605442", "abstract" : "Power cycles using alternative working fluids are currently receiving significant attention. Selection of working fluid among many candidates is a key topic and guidelines have been presented. A general problem is that the selection is based on numerous criteria, such as thermodynamic performance, boundary conditions, hazard levels and environmental concerns. A generally applicable methodology, based on the principles of natural selection, is presented and used to determine the optimum working fluid, boiler pressure and Rankine cycle process layout for scenarios related to marine engine heat recovery. Included in the solution domain are 109 fluids in sub and supercritical processes, and the process is adapted to the properties of the individual fluid. The efficiency losses caused by imposing process constraints are investigated to help propose a suitable process layout. Hydrocarbon dry type fluids in recuperated processes produced the highest efficiencies, while wet and isentropic fluids were superior in non-recuperated processes. The results suggested that at design point, the requirements of process simplicity, low operating pressure and low hazard resulted in cumulative reductions in cycle efficiency. Furthermore, the results indicated that non-flammable fluids were able to produce near optimum efficiency in recuperated high pressure processes.", "author" : [ { "dropping-particle" : "", "family" : "Larsen", "given" : "Ulrik", "non-dropping-particle" : "", "parse-names" : false, "suffix" : "" }, { "dropping-particle" : "", "family" : "Pierobon", "given" : "Leonardo", "non-dropping-particle" : "", "parse-names" : false, "suffix" : "" }, { "dropping-particle" : "", "family" : "Haglind", "given" : "Fredrik", "non-dropping-particle" : "", "parse-names" : false, "suffix" : "" }, { "dropping-particle" : "", "family" : "Gabrielii", "given" : "Cecilia", "non-dropping-particle" : "", "parse-names" : false, "suffix" : "" } ], "container-title" : "Energy", "id" : "ITEM-1", "issued" : { "date-parts" : [ [ "2013", "6" ] ] }, "page" : "803-812", "title" : "Design and optimisation of organic Rankine cycles for waste heat recovery in marine applications using the principles of natural selection", "type" : "article-journal", "volume" : "55" }, "uris" : [ "http://www.mendeley.com/documents/?uuid=dced26f9-bc2a-48d4-87de-bbbd546e51bb" ] } ], "mendeley" : { "formattedCitation" : "(Larsen, Pierobon, et al. 2013)", "manualFormatting" : "(2013)", "plainTextFormattedCitation" : "(Larsen, Pierobon, et al. 2013)", "previouslyFormattedCitation" : "(Larsen, Pierobon, et al. 2013)" }, "properties" : { "noteIndex" : 0 }, "schema" : "https://github.com/citation-style-language/schema/raw/master/csl-citation.json" }</w:instrText>
      </w:r>
      <w:r>
        <w:fldChar w:fldCharType="separate"/>
      </w:r>
      <w:r>
        <w:rPr>
          <w:noProof/>
        </w:rPr>
        <w:t>(</w:t>
      </w:r>
      <w:r w:rsidRPr="00D854F1">
        <w:rPr>
          <w:noProof/>
        </w:rPr>
        <w:t>2013)</w:t>
      </w:r>
      <w:r>
        <w:fldChar w:fldCharType="end"/>
      </w:r>
      <w:r>
        <w:rPr>
          <w:noProof/>
        </w:rPr>
        <w:t xml:space="preserve"> </w:t>
      </w:r>
      <w:r>
        <w:t>to recover</w:t>
      </w:r>
      <w:r w:rsidRPr="001F5525">
        <w:t xml:space="preserve"> available heat from the exhaust gas of a low speed two-stroke marine diesel engine. </w:t>
      </w:r>
      <w:r w:rsidRPr="008935AB">
        <w:t xml:space="preserve">Performance and characteristics of the different WHRS were compared using a multi-objective algorithm with the principle of natural selection. The result showed that if safety is the </w:t>
      </w:r>
      <w:r>
        <w:t>most important</w:t>
      </w:r>
      <w:r w:rsidRPr="008935AB">
        <w:t xml:space="preserve"> factor, the </w:t>
      </w:r>
      <w:r>
        <w:t>highest performance</w:t>
      </w:r>
      <w:r w:rsidRPr="008935AB">
        <w:t xml:space="preserve"> </w:t>
      </w:r>
      <w:r>
        <w:t>was given by</w:t>
      </w:r>
      <w:r w:rsidRPr="008935AB">
        <w:t xml:space="preserve"> R245fa and R236ea. This selection </w:t>
      </w:r>
      <w:r>
        <w:t xml:space="preserve">of fluids </w:t>
      </w:r>
      <w:r w:rsidRPr="008935AB">
        <w:t>has its drawbacks since its global warming potential</w:t>
      </w:r>
      <w:r>
        <w:t xml:space="preserve"> (GWP)</w:t>
      </w:r>
      <w:r w:rsidRPr="008935AB">
        <w:t xml:space="preserve"> </w:t>
      </w:r>
      <w:r w:rsidR="001953D6">
        <w:t>is</w:t>
      </w:r>
      <w:r w:rsidRPr="008935AB">
        <w:t xml:space="preserve"> high</w:t>
      </w:r>
      <w:r>
        <w:t xml:space="preserve">; meaning that the gas, if it escapes </w:t>
      </w:r>
      <w:r w:rsidR="001953D6">
        <w:t>in</w:t>
      </w:r>
      <w:r>
        <w:t xml:space="preserve">to the atmosphere, will store more energy than a similar mass of </w:t>
      </w:r>
      <w:r w:rsidRPr="001F242B">
        <w:t>CO</w:t>
      </w:r>
      <w:r w:rsidRPr="001F242B">
        <w:rPr>
          <w:vertAlign w:val="subscript"/>
        </w:rPr>
        <w:t>2</w:t>
      </w:r>
      <w:r w:rsidRPr="008935AB">
        <w:t xml:space="preserve"> </w:t>
      </w:r>
      <w:r>
        <w:fldChar w:fldCharType="begin" w:fldLock="1"/>
      </w:r>
      <w:r>
        <w:instrText>ADDIN CSL_CITATION { "citationItems" : [ { "id" : "ITEM-1", "itemData" : { "ISBN" : "978-1-107-05799-1", "abstract" : "It is unequivocal that anthropogenic increases in the well-mixed greenhouse gases (WMGHGs) have substantially enhanced the greenhouse effect, and the resulting forcing continues to increase. Aerosols partially offset the forcing of the WMGHGs and dominate the uncertainty associated with the total anthropogenic driving of climate change.", "author" : [ { "dropping-particle" : "", "family" : "Myhre", "given" : "G.", "non-dropping-particle" : "", "parse-names" : false, "suffix" : "" }, { "dropping-particle" : "", "family" : "Shindell", "given" : "D.", "non-dropping-particle" : "", "parse-names" : false, "suffix" : "" }, { "dropping-particle" : "", "family" : "Br\u00e9on", "given" : "F.-M.", "non-dropping-particle" : "", "parse-names" : false, "suffix" : "" }, { "dropping-particle" : "", "family" : "Collins", "given" : "W.", "non-dropping-particle" : "", "parse-names" : false, "suffix" : "" }, { "dropping-particle" : "", "family" : "Fuglestvedt", "given" : "J.", "non-dropping-particle" : "", "parse-names" : false, "suffix" : "" }, { "dropping-particle" : "", "family" : "Huang", "given" : "J.", "non-dropping-particle" : "", "parse-names" : false, "suffix" : "" }, { "dropping-particle" : "", "family" : "Koch", "given" : "D.", "non-dropping-particle" : "", "parse-names" : false, "suffix" : "" }, { "dropping-particle" : "", "family" : "Lamarque", "given" : "J.-F.", "non-dropping-particle" : "", "parse-names" : false, "suffix" : "" }, { "dropping-particle" : "", "family" : "Lee", "given" : "D.", "non-dropping-particle" : "", "parse-names" : false, "suffix" : "" }, { "dropping-particle" : "", "family" : "Mendoza", "given" : "B.", "non-dropping-particle" : "", "parse-names" : false, "suffix" : "" }, { "dropping-particle" : "", "family" : "Nakajima", "given" : "T.", "non-dropping-particle" : "", "parse-names" : false, "suffix" : "" }, { "dropping-particle" : "", "family" : "Robock", "given" : "A.", "non-dropping-particle" : "", "parse-names" : false, "suffix" : "" }, { "dropping-particle" : "", "family" : "Stephens", "given" : "G.", "non-dropping-particle" : "", "parse-names" : false, "suffix" : "" }, { "dropping-particle" : "", "family" : "Takemura", "given" : "T.", "non-dropping-particle" : "", "parse-names" : false, "suffix" : "" }, { "dropping-particle" : "", "family" : "Zhan", "given" : "H.", "non-dropping-particle" : "", "parse-names" : false, "suffix" : "" } ], "chapter-number" : "8", "container-title" : "Climate Change 2013: The Physical Science Basis. Contribution of Working Group I to the Fifth Assessment Report of the Intergovernmental Panel on Climate Change", "edition" : "1st", "editor" : [ { "dropping-particle" : "", "family" : "Stocker", "given" : "T.F.;", "non-dropping-particle" : "", "parse-names" : false, "suffix" : "" }, { "dropping-particle" : "", "family" : "Qin", "given" : "D.;", "non-dropping-particle" : "", "parse-names" : false, "suffix" : "" }, { "dropping-particle" : "", "family" : "Plattner", "given" : "G.-K;", "non-dropping-particle" : "", "parse-names" : false, "suffix" : "" }, { "dropping-particle" : "", "family" : "Tignor", "given" : "M. ;", "non-dropping-particle" : "", "parse-names" : false, "suffix" : "" }, { "dropping-particle" : "", "family" : "Allen", "given" : "S.K.;", "non-dropping-particle" : "", "parse-names" : false, "suffix" : "" }, { "dropping-particle" : "", "family" : "Boschung", "given" : "J.;", "non-dropping-particle" : "", "parse-names" : false, "suffix" : "" }, { "dropping-particle" : "", "family" : "Nauels", "given" : "A.;", "non-dropping-particle" : "", "parse-names" : false, "suffix" : "" }, { "dropping-particle" : "", "family" : "Xia", "given" : "Y.;", "non-dropping-particle" : "", "parse-names" : false, "suffix" : "" }, { "dropping-particle" : "", "family" : "Bex", "given" : "V.;", "non-dropping-particle" : "", "parse-names" : false, "suffix" : "" }, { "dropping-particle" : "", "family" : "Midgley", "given" : "P.M.;", "non-dropping-particle" : "", "parse-names" : false, "suffix" : "" } ], "id" : "ITEM-1", "issued" : { "date-parts" : [ [ "2013" ] ] }, "page" : "659-740", "publisher" : "Cambridge University Press", "publisher-place" : "Cambridge and New York", "title" : "2013: Anthropogenic and Natural Radiative Forcing", "type" : "chapter" }, "uris" : [ "http://www.mendeley.com/documents/?uuid=06f91562-a9ee-415e-8ac7-cd185bf21c7d" ] } ], "mendeley" : { "formattedCitation" : "(Myhre et al. 2013)", "plainTextFormattedCitation" : "(Myhre et al. 2013)", "previouslyFormattedCitation" : "(Myhre et al. 2013)" }, "properties" : { "noteIndex" : 0 }, "schema" : "https://github.com/citation-style-language/schema/raw/master/csl-citation.json" }</w:instrText>
      </w:r>
      <w:r>
        <w:fldChar w:fldCharType="separate"/>
      </w:r>
      <w:r w:rsidRPr="00D854F1">
        <w:rPr>
          <w:noProof/>
        </w:rPr>
        <w:t xml:space="preserve">(Myhre </w:t>
      </w:r>
      <w:r w:rsidRPr="00454C96">
        <w:rPr>
          <w:i/>
          <w:noProof/>
        </w:rPr>
        <w:t>et al</w:t>
      </w:r>
      <w:r w:rsidRPr="00D854F1">
        <w:rPr>
          <w:noProof/>
        </w:rPr>
        <w:t>. 2013)</w:t>
      </w:r>
      <w:r>
        <w:fldChar w:fldCharType="end"/>
      </w:r>
      <w:r w:rsidRPr="008935AB">
        <w:t xml:space="preserve">. </w:t>
      </w:r>
      <w:r>
        <w:t>When r</w:t>
      </w:r>
      <w:r w:rsidRPr="008935AB">
        <w:t>educing the importance of safety level</w:t>
      </w:r>
      <w:r w:rsidR="001953D6">
        <w:t>s</w:t>
      </w:r>
      <w:r w:rsidRPr="008935AB">
        <w:t xml:space="preserve">, toluene and pentene </w:t>
      </w:r>
      <w:r>
        <w:t>deliver the best results</w:t>
      </w:r>
      <w:r w:rsidRPr="008935AB">
        <w:t xml:space="preserve">. </w:t>
      </w:r>
      <w:r w:rsidR="001953D6">
        <w:t xml:space="preserve">The work of </w:t>
      </w:r>
      <w:r w:rsidRPr="008935AB">
        <w:t xml:space="preserve">Larsen </w:t>
      </w:r>
      <w:r w:rsidRPr="00454C96">
        <w:rPr>
          <w:i/>
        </w:rPr>
        <w:t>et al</w:t>
      </w:r>
      <w:r w:rsidRPr="008935AB">
        <w:t xml:space="preserve">. focused only </w:t>
      </w:r>
      <w:r>
        <w:t>on</w:t>
      </w:r>
      <w:r w:rsidRPr="008935AB">
        <w:t xml:space="preserve"> the thermal efficiency of the system and not the power output which dictate</w:t>
      </w:r>
      <w:r w:rsidR="001953D6">
        <w:t>s</w:t>
      </w:r>
      <w:r w:rsidRPr="008935AB">
        <w:t xml:space="preserve"> the WHRS benefit on CO</w:t>
      </w:r>
      <w:r w:rsidRPr="008935AB">
        <w:rPr>
          <w:vertAlign w:val="subscript"/>
        </w:rPr>
        <w:t>2</w:t>
      </w:r>
      <w:r w:rsidRPr="008935AB">
        <w:t xml:space="preserve"> reduction and fuel consumption.</w:t>
      </w:r>
      <w:r>
        <w:t xml:space="preserve"> </w:t>
      </w:r>
      <w:r w:rsidRPr="008935AB">
        <w:t xml:space="preserve">Samsung Heavy Industries </w:t>
      </w:r>
      <w:r w:rsidRPr="008935AB">
        <w:fldChar w:fldCharType="begin" w:fldLock="1"/>
      </w:r>
      <w:r>
        <w:instrText>ADDIN CSL_CITATION { "citationItems" : [ { "id" : "ITEM-1", "itemData" : { "abstract" : "Because of IMO MEPC(International Maritime Organization Marine Environmental Protection Committee) 62nd Session, emission control and efficiency improvements of ships are became more important issue for current marine business. One of ways to achieve the efficiency improvement in the ships is recovering unused source of energy in the ships. Typically, current marine engines use only 50% of fuel energy for the shaft power and dump 30% to 40% as waste heat. For the low grade waste heat, the Organic Rankine Cycle(ORC) is one of the promising heat recovery power generatin cycles. ORC is a rankine cycle that uses organic fluid (High molecular mass fluid) with a liquid-vapor change occurring at a lower temperature than the water-steam phase change. The present work focuses on the heat transfer loop of Organic Rankine Cycle - Waste Heat Recovery System(ORC-WHRS) for the vessel. The considered ship type and engine type were Suez-Max Tanker and MAN Diesel &amp; Turbo 6S70ME-C8.1-TII. The heat transfer loops were evaluated based on the power output of thermal cycle. Performances of ORC were calculated at the different temperature conditions of thermal loop. Calculated results were compared in terms of cycle and system efficiency. The result shows additional electricity of Maximum 660kWe con be produced by using ORC-WHRS, and the system has 9~13% of cycle eiifciency depends on the heat transfer loop design and pinch condition of heat exchanger. In this work show, ORC-WHRS con produce 60~73% of required electricity of Suez-max COT at the normal operation running condition and this lead to fuel saving effect. And Addition of evaporator and pre-heater were studied to maximize output power of ORC-WHRS. Exhaust gas, scavenge air and jacket cooling water were considered as possible heat sources to be recovered. Dual loop system which has multiple heat transfer loops for each waste heat source shows better performance than the single loop system which has only one heat transfer loop. By changing ORC evaporator and preheater, the output of ORC increased by 6~27%", "author" : [ { "dropping-particle" : "", "family" : "Lee", "given" : "Dongkil", "non-dropping-particle" : "", "parse-names" : false, "suffix" : "" }, { "dropping-particle" : "", "family" : "Lee", "given" : "Ho Ki", "non-dropping-particle" : "", "parse-names" : false, "suffix" : "" } ], "container-title" : "ASME ORC 2013", "id" : "ITEM-1", "issued" : { "date-parts" : [ [ "2013" ] ] }, "page" : "1", "publisher-place" : "Rotterdam", "title" : "Optimization of Organic Rankine Cycle to Recover Waste Heat of Marine Diesel Engine", "type" : "paper-conference" }, "uris" : [ "http://www.mendeley.com/documents/?uuid=192deb88-2fc6-4fac-b868-f17fb90afbe9" ] } ], "mendeley" : { "formattedCitation" : "(Lee &amp; Lee 2013)", "plainTextFormattedCitation" : "(Lee &amp; Lee 2013)", "previouslyFormattedCitation" : "(Lee &amp; Lee 2013)" }, "properties" : { "noteIndex" : 0 }, "schema" : "https://github.com/citation-style-language/schema/raw/master/csl-citation.json" }</w:instrText>
      </w:r>
      <w:r w:rsidRPr="008935AB">
        <w:fldChar w:fldCharType="separate"/>
      </w:r>
      <w:r w:rsidRPr="00D854F1">
        <w:rPr>
          <w:noProof/>
        </w:rPr>
        <w:t>(Lee &amp; Lee 2013)</w:t>
      </w:r>
      <w:r w:rsidRPr="008935AB">
        <w:fldChar w:fldCharType="end"/>
      </w:r>
      <w:r w:rsidRPr="008935AB">
        <w:t xml:space="preserve"> </w:t>
      </w:r>
      <w:r>
        <w:t>worked</w:t>
      </w:r>
      <w:r w:rsidRPr="008935AB">
        <w:t xml:space="preserve"> with an ORC WHRS concept using a double loop system which absorbs waste heat from the ship’s exhaust gas, cooling water and scavenge air. The results show that the WHRS could cover up to 73% of the electric demand of a </w:t>
      </w:r>
      <w:proofErr w:type="spellStart"/>
      <w:r w:rsidRPr="008935AB">
        <w:t>Suezmax</w:t>
      </w:r>
      <w:proofErr w:type="spellEnd"/>
      <w:r w:rsidRPr="008935AB">
        <w:t xml:space="preserve"> tanker</w:t>
      </w:r>
      <w:r>
        <w:t xml:space="preserve"> while in transit</w:t>
      </w:r>
      <w:r w:rsidRPr="008935AB">
        <w:t>.</w:t>
      </w:r>
    </w:p>
    <w:p w:rsidR="00D854F1" w:rsidRPr="008935AB" w:rsidRDefault="00D854F1" w:rsidP="00D854F1">
      <w:pPr>
        <w:pStyle w:val="Newparagraph"/>
      </w:pPr>
      <w:r w:rsidRPr="008935AB">
        <w:lastRenderedPageBreak/>
        <w:t xml:space="preserve">The work presented here will focus on the usage of low/medium grade waste heat energy from the exhaust gas to produce electric power. The authors studied how the diesel’s engine load affects the performance </w:t>
      </w:r>
      <w:r>
        <w:t xml:space="preserve">and design </w:t>
      </w:r>
      <w:r w:rsidRPr="008935AB">
        <w:t>of the WHRS</w:t>
      </w:r>
      <w:r>
        <w:t>, and the impact in CO</w:t>
      </w:r>
      <w:r>
        <w:rPr>
          <w:vertAlign w:val="subscript"/>
        </w:rPr>
        <w:t>2</w:t>
      </w:r>
      <w:r>
        <w:t xml:space="preserve"> reduction when compared to a generator using marine diesel oil</w:t>
      </w:r>
      <w:r w:rsidRPr="008935AB">
        <w:t xml:space="preserve">, helping to understand the performance differences between marine RC and ORC WHRS. </w:t>
      </w:r>
      <w:r>
        <w:t xml:space="preserve"> </w:t>
      </w:r>
    </w:p>
    <w:p w:rsidR="00D854F1" w:rsidRDefault="00D854F1" w:rsidP="00D854F1">
      <w:pPr>
        <w:pStyle w:val="Heading1"/>
      </w:pPr>
      <w:r w:rsidRPr="008935AB">
        <w:t>Methodology</w:t>
      </w:r>
    </w:p>
    <w:p w:rsidR="00D854F1" w:rsidRDefault="00D854F1" w:rsidP="00D854F1">
      <w:pPr>
        <w:pStyle w:val="Heading2"/>
      </w:pPr>
      <w:r>
        <w:t>Diesel engine and exhaust gas</w:t>
      </w:r>
    </w:p>
    <w:p w:rsidR="00D854F1" w:rsidRPr="008935AB" w:rsidRDefault="00D854F1" w:rsidP="00D854F1">
      <w:pPr>
        <w:pStyle w:val="Paragraph"/>
      </w:pPr>
      <w:r w:rsidRPr="008935AB">
        <w:t xml:space="preserve">The engine used to run the simulations </w:t>
      </w:r>
      <w:r w:rsidR="001953D6">
        <w:t>wa</w:t>
      </w:r>
      <w:r w:rsidRPr="008935AB">
        <w:t>s an 87</w:t>
      </w:r>
      <w:r w:rsidR="00354B2D">
        <w:t xml:space="preserve"> </w:t>
      </w:r>
      <w:r w:rsidRPr="008935AB">
        <w:t>MW 1</w:t>
      </w:r>
      <w:r>
        <w:t>2</w:t>
      </w:r>
      <w:r w:rsidRPr="008935AB">
        <w:t xml:space="preserve"> cylinder slow</w:t>
      </w:r>
      <w:r w:rsidR="001953D6">
        <w:t>-</w:t>
      </w:r>
      <w:r w:rsidRPr="008935AB">
        <w:t xml:space="preserve">speed diesel manufactured by MAN Diesel &amp; Turbo. The model </w:t>
      </w:r>
      <w:r w:rsidR="001953D6">
        <w:t>wa</w:t>
      </w:r>
      <w:r w:rsidRPr="008935AB">
        <w:t xml:space="preserve">s </w:t>
      </w:r>
      <w:r>
        <w:t>G95ME-C9.5</w:t>
      </w:r>
      <w:r w:rsidRPr="008935AB">
        <w:t>-TII with four turbo-compressors, model MAN TCA88-2</w:t>
      </w:r>
      <w:r>
        <w:t>4</w:t>
      </w:r>
      <w:r w:rsidRPr="008935AB">
        <w:t xml:space="preserve">. The engine works with marine diesel oil (MDO), </w:t>
      </w:r>
      <w:r>
        <w:t xml:space="preserve">with </w:t>
      </w:r>
      <w:r w:rsidRPr="008935AB">
        <w:t>a price of  €</w:t>
      </w:r>
      <w:r>
        <w:t>733</w:t>
      </w:r>
      <w:r w:rsidRPr="008935AB">
        <w:rPr>
          <w:rStyle w:val="FootnoteReference"/>
          <w:szCs w:val="20"/>
        </w:rPr>
        <w:footnoteReference w:id="1"/>
      </w:r>
      <w:r w:rsidRPr="008935AB">
        <w:t xml:space="preserve"> per </w:t>
      </w:r>
      <w:r>
        <w:t>tonne</w:t>
      </w:r>
      <w:r w:rsidRPr="008935AB">
        <w:t xml:space="preserve"> </w:t>
      </w:r>
      <w:r w:rsidRPr="008935AB">
        <w:fldChar w:fldCharType="begin" w:fldLock="1"/>
      </w:r>
      <w:r w:rsidR="00BA1648">
        <w:instrText>ADDIN CSL_CITATION { "citationItems" : [ { "id" : "ITEM-1", "itemData" : { "URL" : "http://www.bunkerindex.com/prices/bixfree.php?priceindex_id=4#Description", "abstract" : "Bunker Index MDO (BIX MDO) is the Average Global Bunker Price (AGBP) for all marine diesel oil (MDO) port prices published on the Bunker Index website.", "accessed" : { "date-parts" : [ [ "2014", "12", "5" ] ] }, "author" : [ { "dropping-particle" : "", "family" : "Bunker Index", "given" : "", "non-dropping-particle" : "", "parse-names" : false, "suffix" : "" } ], "container-title" : "Prices", "id" : "ITEM-1", "issued" : { "date-parts" : [ [ "2015" ] ] }, "page" : "1", "title" : "Bunker Index", "type" : "webpage" }, "uris" : [ "http://www.mendeley.com/documents/?uuid=506f8099-b9f6-4eab-a646-9e8ae4bddf20" ] } ], "mendeley" : { "formattedCitation" : "(Bunker Index 2015)", "plainTextFormattedCitation" : "(Bunker Index 2015)", "previouslyFormattedCitation" : "(Bunker Index 2015)" }, "properties" : { "noteIndex" : 0 }, "schema" : "https://github.com/citation-style-language/schema/raw/master/csl-citation.json" }</w:instrText>
      </w:r>
      <w:r w:rsidRPr="008935AB">
        <w:fldChar w:fldCharType="separate"/>
      </w:r>
      <w:r w:rsidR="00BA1648" w:rsidRPr="00BA1648">
        <w:rPr>
          <w:noProof/>
        </w:rPr>
        <w:t>(Bunker Index 2015)</w:t>
      </w:r>
      <w:r w:rsidRPr="008935AB">
        <w:fldChar w:fldCharType="end"/>
      </w:r>
      <w:r w:rsidRPr="008935AB">
        <w:t xml:space="preserve">. </w:t>
      </w:r>
      <w:r>
        <w:t xml:space="preserve">The vessel has a steam </w:t>
      </w:r>
      <w:r w:rsidR="00BE72ED">
        <w:t xml:space="preserve">demand of around 3,800 kg </w:t>
      </w:r>
      <w:r>
        <w:t>h</w:t>
      </w:r>
      <w:r w:rsidR="00BE72ED">
        <w:rPr>
          <w:vertAlign w:val="superscript"/>
        </w:rPr>
        <w:t>-1</w:t>
      </w:r>
      <w:r>
        <w:t xml:space="preserve"> at any time which will be covered by a waste heat boiler.</w:t>
      </w:r>
    </w:p>
    <w:p w:rsidR="00D854F1" w:rsidRDefault="00D854F1" w:rsidP="00D06F8C">
      <w:pPr>
        <w:pStyle w:val="Newparagraph"/>
      </w:pPr>
      <w:r w:rsidRPr="008935AB">
        <w:t>The WHRS used the waste heat available from the exhaust gas after it ha</w:t>
      </w:r>
      <w:r w:rsidR="001953D6">
        <w:t>d</w:t>
      </w:r>
      <w:r w:rsidRPr="008935AB">
        <w:t xml:space="preserve"> passed </w:t>
      </w:r>
      <w:r w:rsidR="001953D6">
        <w:t xml:space="preserve">through </w:t>
      </w:r>
      <w:r w:rsidRPr="008935AB">
        <w:t xml:space="preserve">the turbo-compressors </w:t>
      </w:r>
      <w:r>
        <w:t>and the waste heat boiler</w:t>
      </w:r>
      <w:r w:rsidRPr="008935AB">
        <w:t xml:space="preserve"> (see </w:t>
      </w:r>
      <w:r w:rsidR="00D06F8C">
        <w:fldChar w:fldCharType="begin"/>
      </w:r>
      <w:r w:rsidR="00D06F8C">
        <w:instrText xml:space="preserve"> REF _Ref414010726 \h </w:instrText>
      </w:r>
      <w:r w:rsidR="00D06F8C">
        <w:fldChar w:fldCharType="separate"/>
      </w:r>
      <w:r w:rsidR="00AA6EE9">
        <w:t>Figure</w:t>
      </w:r>
      <w:r w:rsidR="00AA6EE9" w:rsidRPr="008935AB">
        <w:t xml:space="preserve"> </w:t>
      </w:r>
      <w:r w:rsidR="00AA6EE9">
        <w:rPr>
          <w:noProof/>
        </w:rPr>
        <w:t>2</w:t>
      </w:r>
      <w:r w:rsidR="00D06F8C">
        <w:fldChar w:fldCharType="end"/>
      </w:r>
      <w:r w:rsidRPr="008935AB">
        <w:t xml:space="preserve">). Since the fuel </w:t>
      </w:r>
      <w:r w:rsidR="001953D6">
        <w:t>contains</w:t>
      </w:r>
      <w:r w:rsidRPr="008935AB">
        <w:t xml:space="preserve"> sulphur in its composition</w:t>
      </w:r>
      <w:r w:rsidR="001953D6">
        <w:t>,</w:t>
      </w:r>
      <w:r w:rsidRPr="008935AB">
        <w:t xml:space="preserve"> it </w:t>
      </w:r>
      <w:r w:rsidR="001953D6">
        <w:t>wa</w:t>
      </w:r>
      <w:r w:rsidRPr="008935AB">
        <w:t xml:space="preserve">s expected that the exhaust gas </w:t>
      </w:r>
      <w:r w:rsidR="00816EA2">
        <w:t>would</w:t>
      </w:r>
      <w:r w:rsidR="00816EA2" w:rsidRPr="008935AB">
        <w:t xml:space="preserve"> </w:t>
      </w:r>
      <w:r w:rsidRPr="008935AB">
        <w:t xml:space="preserve">contain </w:t>
      </w:r>
      <w:proofErr w:type="spellStart"/>
      <w:r w:rsidRPr="008935AB">
        <w:t>SO</w:t>
      </w:r>
      <w:r w:rsidRPr="008935AB">
        <w:rPr>
          <w:vertAlign w:val="subscript"/>
        </w:rPr>
        <w:t>x</w:t>
      </w:r>
      <w:proofErr w:type="spellEnd"/>
      <w:r w:rsidRPr="008935AB">
        <w:t xml:space="preserve">. Engine manufacturers recommend having a minimum temperature at the exit of the exhaust gas between </w:t>
      </w:r>
      <w:r>
        <w:t>160</w:t>
      </w:r>
      <w:r w:rsidR="00816EA2">
        <w:t xml:space="preserve"> and </w:t>
      </w:r>
      <w:r>
        <w:t>165°C</w:t>
      </w:r>
      <w:r w:rsidRPr="008935AB">
        <w:t xml:space="preserve"> to avoid soot and acid corrosion </w:t>
      </w:r>
      <w:r>
        <w:fldChar w:fldCharType="begin" w:fldLock="1"/>
      </w:r>
      <w:r w:rsidR="00BA1648">
        <w:instrText>ADDIN CSL_CITATION { "citationItems" : [ { "id" : "ITEM-1", "itemData" : { "abstract" : "The demand for the highest possible overall fuel efficiency is reflected in de- velopments in the propulsion market for oceangoing ships. Today, this market is dominated by highly efficient two-stroke low speed diesel engines which run on low quality fuels and utilise (recover) the exhaust gas heat by means of an ex- haust gas boiler/economiser. The development of high efficiency en- gines has resulted in reduced specific fuel oil consumption, i.e. increased ther- mal efficiency of the diesel engine, and thereby lower exhaust gas tempera- tures. Based on ISO ambient reference conditions (25\u00b0C air and 25\u00b0C cooling water), and with the present nomi- nal ratings of the MC/MC-C and ME/ ME-C/ME-B engines, the exhaust gas", "author" : [ { "dropping-particle" : "", "family" : "MAN Diesel &amp; Turbo", "given" : "", "non-dropping-particle" : "", "parse-names" : false, "suffix" : "" } ], "id" : "ITEM-1", "issued" : { "date-parts" : [ [ "2009" ] ] }, "number-of-pages" : "28", "publisher-place" : "Copenhagen", "title" : "Soot Deposits and Fires in Exhaust gas Boilers", "type" : "report" }, "uris" : [ "http://www.mendeley.com/documents/?uuid=f410a096-eff8-48fc-a9aa-8aad9d27e586" ] }, { "id" : "ITEM-2", "itemData" : { "abstract" : "Current interest in reducing emissions and reducing engine operating costs is leading towards the use of more effective wasteheat recovery. By adapting the tuning of the Sulzer low-speed two-stroke marine engines to increase exhaust gas energy andemploying both steam and exhaust gas turbines in a Total Heat Recover Plant, an electrical output of about 11% of enginepower is possible. Such savings can make a major contribution to improving both plant ef\ufb01ciency and engine emissions. Forexample, with a Sulzer 12RTA96C engine, as widely applied in today\u2019s large container liners, the Total Heat Recovery Plant would provide up to 7000 kW as electrical power at the engine\u2019s service load.This Total Heat Recovery Plant is attracting much interest from shipowners interested in saving fuel costs and reducingemissions. It must be remembered that modern large, low-speed marine engines are very highly developed and there is littlepotential for achieving signi\ufb01cant reductions in CO 2 emissions by engine development alone. Thus the proposed Total HeatRecovery Plant is a practical path forward.", "author" : [ { "dropping-particle" : "", "family" : "Schmid", "given" : "Heinrich", "non-dropping-particle" : "", "parse-names" : false, "suffix" : "" } ], "container-title" : "Green Ship Technology Conference", "id" : "ITEM-2", "issued" : { "date-parts" : [ [ "2004" ] ] }, "page" : "10", "publisher-place" : "London", "title" : "Waste Heat Recovery (WHR): Fuel Savings With Less Emissions", "type" : "paper-conference" }, "uris" : [ "http://www.mendeley.com/documents/?uuid=df562755-a53a-405c-ad03-e51ac6de2eb9" ] }, { "id" : "ITEM-3", "itemData" : { "DOI" : "10.1108/00035590410533129", "ISSN" : "0003-5599", "abstract" : "Corrosion failures due to condensing flue gases containing H2O, SO3, NOx and HCl still occur more often than might be expected. The corrosion failures can be of several types: general corrosion, pitting attack and stress corrosion cracking (SCC). The chemistry of condensing gases is discussed, and some examples of corrosion in large\u2010scale installations are presented, including blast stoves for steel production, heat recovery steam generators, and waste incineration boilers. The use of thermal insulation inside boiler casings can result in nitrate SCC when the flue gas contains high concentrations of NOx. Nitric acid from flue gas can react with carbon steel and insulation material forming ammonium nitrate and calcium nitrate. Both materials have hygroscopic properties and are very corrosive, even above the water dewpoint of the gases.", "author" : [ { "dropping-particle" : "", "family" : "Huijbregts", "given" : "W.M.M.", "non-dropping-particle" : "", "parse-names" : false, "suffix" : "" }, { "dropping-particle" : "", "family" : "Leferink", "given" : "R.G.I.", "non-dropping-particle" : "", "parse-names" : false, "suffix" : "" } ], "container-title" : "Anti-Corrosion Methods and Materials", "id" : "ITEM-3", "issue" : "3", "issued" : { "date-parts" : [ [ "2004", "6", "10" ] ] }, "language" : "en", "page" : "173-188", "publisher" : "Emerald Group Publishing Limited", "title" : "Latest advances in the understanding of acid dewpoint corrosion: corrosion and stress corrosion cracking in combustion gas condensates", "type" : "article-journal", "volume" : "51" }, "uris" : [ "http://www.mendeley.com/documents/?uuid=2b49496e-df33-43b7-8d04-6bac20243c37" ] } ], "mendeley" : { "formattedCitation" : "(Schmid 2004; Huijbregts &amp; Leferink 2004; MAN Diesel &amp; Turbo 2009)", "plainTextFormattedCitation" : "(Schmid 2004; Huijbregts &amp; Leferink 2004; MAN Diesel &amp; Turbo 2009)", "previouslyFormattedCitation" : "(Schmid 2004; Huijbregts &amp; Leferink 2004; MAN Diesel &amp; Turbo 2009)" }, "properties" : { "noteIndex" : 0 }, "schema" : "https://github.com/citation-style-language/schema/raw/master/csl-citation.json" }</w:instrText>
      </w:r>
      <w:r>
        <w:fldChar w:fldCharType="separate"/>
      </w:r>
      <w:r w:rsidRPr="00D854F1">
        <w:rPr>
          <w:noProof/>
        </w:rPr>
        <w:t>(Schmid 2004; Huijbregts &amp; Leferink 2004; MAN Diesel &amp; Turbo 2009)</w:t>
      </w:r>
      <w:r>
        <w:fldChar w:fldCharType="end"/>
      </w:r>
      <w:r w:rsidRPr="008935AB">
        <w:t>. This will mean that the WHRS economi</w:t>
      </w:r>
      <w:r w:rsidR="00816EA2">
        <w:t>s</w:t>
      </w:r>
      <w:r w:rsidRPr="008935AB">
        <w:t>er</w:t>
      </w:r>
      <w:r>
        <w:t>,</w:t>
      </w:r>
      <w:r w:rsidRPr="008935AB">
        <w:t xml:space="preserve"> </w:t>
      </w:r>
      <w:r>
        <w:t xml:space="preserve">in this study, </w:t>
      </w:r>
      <w:r w:rsidR="00816EA2">
        <w:t>could</w:t>
      </w:r>
      <w:r w:rsidRPr="008935AB">
        <w:t xml:space="preserve"> extract energy until the exhaust </w:t>
      </w:r>
      <w:r>
        <w:t>gas reache</w:t>
      </w:r>
      <w:r w:rsidR="00816EA2">
        <w:t>d</w:t>
      </w:r>
      <w:r>
        <w:t xml:space="preserve"> a temperature of 165°C</w:t>
      </w:r>
      <w:r w:rsidRPr="008935AB">
        <w:t>.</w:t>
      </w:r>
    </w:p>
    <w:p w:rsidR="00D854F1" w:rsidRPr="008935AB" w:rsidRDefault="00D854F1" w:rsidP="00D06F8C">
      <w:pPr>
        <w:pStyle w:val="Newparagraph"/>
      </w:pPr>
      <w:r>
        <w:t>T</w:t>
      </w:r>
      <w:r w:rsidRPr="008935AB">
        <w:t xml:space="preserve">he exhaust gas was assumed to have similar properties and behaviour to air. </w:t>
      </w:r>
      <w:r w:rsidR="00816EA2">
        <w:t>Its</w:t>
      </w:r>
      <w:r w:rsidRPr="008935AB">
        <w:t xml:space="preserve"> specific heat at constant pressure was calculated as the average temperature between the </w:t>
      </w:r>
      <w:r w:rsidRPr="008935AB">
        <w:lastRenderedPageBreak/>
        <w:t xml:space="preserve">temperatures at the </w:t>
      </w:r>
      <w:r>
        <w:t>turbo compressor’s exit</w:t>
      </w:r>
      <w:r w:rsidRPr="008935AB">
        <w:t xml:space="preserve"> and </w:t>
      </w:r>
      <w:r>
        <w:t>the minimum possible for the exhaust gas</w:t>
      </w:r>
      <w:r w:rsidRPr="008935AB">
        <w:t xml:space="preserve">. </w:t>
      </w:r>
    </w:p>
    <w:p w:rsidR="00D06F8C" w:rsidRDefault="00B30F53" w:rsidP="00D06F8C">
      <w:pPr>
        <w:pStyle w:val="Caption"/>
        <w:jc w:val="center"/>
      </w:pPr>
      <w:bookmarkStart w:id="3" w:name="_Ref375133155"/>
      <w:r>
        <w:rPr>
          <w:noProof/>
          <w:lang w:eastAsia="en-GB"/>
        </w:rPr>
        <w:drawing>
          <wp:inline distT="0" distB="0" distL="0" distR="0">
            <wp:extent cx="5396865" cy="20935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Powerpoint-Paint Calibri.tif"/>
                    <pic:cNvPicPr/>
                  </pic:nvPicPr>
                  <pic:blipFill>
                    <a:blip r:embed="rId10">
                      <a:extLst>
                        <a:ext uri="{28A0092B-C50C-407E-A947-70E740481C1C}">
                          <a14:useLocalDpi xmlns:a14="http://schemas.microsoft.com/office/drawing/2010/main" val="0"/>
                        </a:ext>
                      </a:extLst>
                    </a:blip>
                    <a:stretch>
                      <a:fillRect/>
                    </a:stretch>
                  </pic:blipFill>
                  <pic:spPr>
                    <a:xfrm>
                      <a:off x="0" y="0"/>
                      <a:ext cx="5396865" cy="2093595"/>
                    </a:xfrm>
                    <a:prstGeom prst="rect">
                      <a:avLst/>
                    </a:prstGeom>
                  </pic:spPr>
                </pic:pic>
              </a:graphicData>
            </a:graphic>
          </wp:inline>
        </w:drawing>
      </w:r>
    </w:p>
    <w:p w:rsidR="00D06F8C" w:rsidRPr="008935AB" w:rsidRDefault="00D06F8C" w:rsidP="00D06F8C">
      <w:pPr>
        <w:pStyle w:val="Figurecaption"/>
      </w:pPr>
      <w:bookmarkStart w:id="4" w:name="_Ref414010726"/>
      <w:r>
        <w:t>Figure</w:t>
      </w:r>
      <w:r w:rsidRPr="008935AB">
        <w:t xml:space="preserve"> </w:t>
      </w:r>
      <w:bookmarkEnd w:id="3"/>
      <w:r>
        <w:fldChar w:fldCharType="begin"/>
      </w:r>
      <w:r>
        <w:instrText xml:space="preserve"> SEQ Figure \* ARABIC </w:instrText>
      </w:r>
      <w:r>
        <w:fldChar w:fldCharType="separate"/>
      </w:r>
      <w:r w:rsidR="00AA6EE9">
        <w:rPr>
          <w:noProof/>
        </w:rPr>
        <w:t>2</w:t>
      </w:r>
      <w:r>
        <w:fldChar w:fldCharType="end"/>
      </w:r>
      <w:bookmarkEnd w:id="4"/>
      <w:r>
        <w:t>:</w:t>
      </w:r>
      <w:r w:rsidRPr="008935AB">
        <w:t xml:space="preserve"> </w:t>
      </w:r>
      <w:r>
        <w:t>Overview</w:t>
      </w:r>
      <w:r w:rsidRPr="008935AB">
        <w:t xml:space="preserve"> of the WHRS inside the ship.</w:t>
      </w:r>
    </w:p>
    <w:p w:rsidR="00D06F8C" w:rsidRDefault="00D06F8C" w:rsidP="00D06F8C">
      <w:pPr>
        <w:pStyle w:val="Newparagraph"/>
      </w:pPr>
      <w:r w:rsidRPr="008935AB">
        <w:t xml:space="preserve">The engine’s loading conditions considered </w:t>
      </w:r>
      <w:r w:rsidR="00816EA2">
        <w:t>went</w:t>
      </w:r>
      <w:r w:rsidRPr="008935AB">
        <w:t xml:space="preserve"> from 15% to 100% of the engine’s Maximum Continuous Rating (MCR) in steps of 5%.</w:t>
      </w:r>
    </w:p>
    <w:p w:rsidR="00B30F53" w:rsidRDefault="00B30F53" w:rsidP="00B30F53">
      <w:pPr>
        <w:pStyle w:val="Newparagraph"/>
        <w:ind w:firstLine="0"/>
        <w:jc w:val="center"/>
      </w:pPr>
      <w:r>
        <w:rPr>
          <w:noProof/>
        </w:rPr>
        <w:drawing>
          <wp:inline distT="0" distB="0" distL="0" distR="0">
            <wp:extent cx="4500000" cy="33193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Excel-Paint Calibri.tif"/>
                    <pic:cNvPicPr/>
                  </pic:nvPicPr>
                  <pic:blipFill>
                    <a:blip r:embed="rId11">
                      <a:extLst>
                        <a:ext uri="{28A0092B-C50C-407E-A947-70E740481C1C}">
                          <a14:useLocalDpi xmlns:a14="http://schemas.microsoft.com/office/drawing/2010/main" val="0"/>
                        </a:ext>
                      </a:extLst>
                    </a:blip>
                    <a:stretch>
                      <a:fillRect/>
                    </a:stretch>
                  </pic:blipFill>
                  <pic:spPr>
                    <a:xfrm>
                      <a:off x="0" y="0"/>
                      <a:ext cx="4500000" cy="3319392"/>
                    </a:xfrm>
                    <a:prstGeom prst="rect">
                      <a:avLst/>
                    </a:prstGeom>
                  </pic:spPr>
                </pic:pic>
              </a:graphicData>
            </a:graphic>
          </wp:inline>
        </w:drawing>
      </w:r>
    </w:p>
    <w:p w:rsidR="00D06F8C" w:rsidRPr="000D4130" w:rsidRDefault="00D06F8C" w:rsidP="00D06F8C">
      <w:pPr>
        <w:pStyle w:val="Figurecaption"/>
      </w:pPr>
      <w:bookmarkStart w:id="5" w:name="_Ref403577359"/>
      <w:bookmarkStart w:id="6" w:name="_Ref414014296"/>
      <w:r>
        <w:t xml:space="preserve">Figure </w:t>
      </w:r>
      <w:bookmarkEnd w:id="5"/>
      <w:r>
        <w:fldChar w:fldCharType="begin"/>
      </w:r>
      <w:r>
        <w:instrText xml:space="preserve"> SEQ Figure \* ARABIC </w:instrText>
      </w:r>
      <w:r>
        <w:fldChar w:fldCharType="separate"/>
      </w:r>
      <w:r w:rsidR="00AA6EE9">
        <w:rPr>
          <w:noProof/>
        </w:rPr>
        <w:t>3</w:t>
      </w:r>
      <w:r>
        <w:fldChar w:fldCharType="end"/>
      </w:r>
      <w:bookmarkEnd w:id="6"/>
      <w:r>
        <w:t xml:space="preserve">: </w:t>
      </w:r>
      <w:r w:rsidRPr="001E01F7">
        <w:t xml:space="preserve">Engine performance and exhaust gas behaviour. Taken at ISO ambient reference conditions </w:t>
      </w:r>
      <w:r>
        <w:fldChar w:fldCharType="begin" w:fldLock="1"/>
      </w:r>
      <w:r w:rsidR="003F41D9">
        <w:instrText>ADDIN CSL_CITATION { "citationItems" : [ { "id" : "ITEM-1", "itemData" : { "author" : [ { "dropping-particle" : "", "family" : "MAN Diesel &amp; Turbo", "given" : "", "non-dropping-particle" : "", "parse-names" : false, "suffix" : "" } ], "id" : "ITEM-1", "issued" : { "date-parts" : [ [ "2014" ] ] }, "page" : "9", "publisher" : "MAN Diesel &amp; Turbo", "title" : "Engine room and performance data for 12G95ME-C9.5-TII with part load engine control tuning (ECT) tuning", "type" : "article" }, "uris" : [ "http://www.mendeley.com/documents/?uuid=2c409154-5f7b-40c2-a74e-b950607ebf93" ] } ], "mendeley" : { "formattedCitation" : "(MAN Diesel &amp; Turbo 2014)", "plainTextFormattedCitation" : "(MAN Diesel &amp; Turbo 2014)", "previouslyFormattedCitation" : "(MAN Diesel &amp; Turbo 2014)" }, "properties" : { "noteIndex" : 0 }, "schema" : "https://github.com/citation-style-language/schema/raw/master/csl-citation.json" }</w:instrText>
      </w:r>
      <w:r>
        <w:fldChar w:fldCharType="separate"/>
      </w:r>
      <w:r w:rsidRPr="00D06F8C">
        <w:rPr>
          <w:noProof/>
        </w:rPr>
        <w:t>(MAN Diesel &amp; Turbo 2014)</w:t>
      </w:r>
      <w:r>
        <w:fldChar w:fldCharType="end"/>
      </w:r>
      <w:r>
        <w:t>.</w:t>
      </w:r>
    </w:p>
    <w:p w:rsidR="00D06F8C" w:rsidRPr="008935AB" w:rsidRDefault="00D06F8C" w:rsidP="00D06F8C">
      <w:pPr>
        <w:pStyle w:val="Heading2"/>
        <w:rPr>
          <w:szCs w:val="20"/>
        </w:rPr>
      </w:pPr>
      <w:r w:rsidRPr="008935AB">
        <w:rPr>
          <w:szCs w:val="20"/>
        </w:rPr>
        <w:lastRenderedPageBreak/>
        <w:t>Working Fluids</w:t>
      </w:r>
    </w:p>
    <w:p w:rsidR="00B30F53" w:rsidRPr="002B7B65" w:rsidRDefault="00D06F8C" w:rsidP="00B30F53">
      <w:pPr>
        <w:pStyle w:val="Paragraph"/>
      </w:pPr>
      <w:r w:rsidRPr="008935AB">
        <w:t xml:space="preserve">The working fluids </w:t>
      </w:r>
      <w:r>
        <w:t>(</w:t>
      </w:r>
      <w:r>
        <w:fldChar w:fldCharType="begin"/>
      </w:r>
      <w:r>
        <w:instrText xml:space="preserve"> REF _Ref364884199 \h  \* MERGEFORMAT </w:instrText>
      </w:r>
      <w:r>
        <w:fldChar w:fldCharType="separate"/>
      </w:r>
      <w:r w:rsidR="00AA6EE9" w:rsidRPr="00423170">
        <w:t xml:space="preserve">Table </w:t>
      </w:r>
      <w:r w:rsidR="00AA6EE9">
        <w:t>1</w:t>
      </w:r>
      <w:r>
        <w:fldChar w:fldCharType="end"/>
      </w:r>
      <w:r>
        <w:t>)</w:t>
      </w:r>
      <w:r w:rsidRPr="008935AB">
        <w:t xml:space="preserve"> </w:t>
      </w:r>
      <w:r>
        <w:t xml:space="preserve">were </w:t>
      </w:r>
      <w:r w:rsidRPr="008935AB">
        <w:t xml:space="preserve">selected principally because of </w:t>
      </w:r>
      <w:r>
        <w:t xml:space="preserve">their </w:t>
      </w:r>
      <w:r w:rsidR="00454C96">
        <w:t>positive</w:t>
      </w:r>
      <w:r w:rsidRPr="008935AB">
        <w:t xml:space="preserve"> performance </w:t>
      </w:r>
      <w:r w:rsidR="00816EA2">
        <w:t xml:space="preserve">as </w:t>
      </w:r>
      <w:r w:rsidRPr="008935AB">
        <w:t xml:space="preserve">identified by Saavedra </w:t>
      </w:r>
      <w:r w:rsidRPr="00454C96">
        <w:rPr>
          <w:i/>
        </w:rPr>
        <w:t>et al</w:t>
      </w:r>
      <w:r w:rsidRPr="003F41D9">
        <w:t>.</w:t>
      </w:r>
      <w:r w:rsidRPr="008935AB">
        <w:t xml:space="preserve"> </w:t>
      </w:r>
      <w:r>
        <w:fldChar w:fldCharType="begin" w:fldLock="1"/>
      </w:r>
      <w:r w:rsidR="003F41D9">
        <w:instrText>ADDIN CSL_CITATION { "citationItems" : [ { "id" : "ITEM-1", "itemData" : { "DOI" : "10.1243/09576509JPE998", "ISSN" : "0957-6509", "abstract" : "In this article, the authors performed the thermodynamic optimization of organic Rankine cycles (ORCs) using several working fluids and considered the effect of three heat rejec- tion media in the condenser: cooling water, ambient air, and hot water at high temperature for co- or trigeneration applications. The ORC system was modelled and optimized using the Aspen Hysys process simulator. The objective function is the maximization of turbine power output. Most natural gas compression stations use no heat recovery system. In this study, they applied the optimization procedure to the recovery of waste heat fromgas turbines used to drive natural gas compressors in natural gas pumping stations. They used operational data from an existing pumping station to illustrate the potential benefits of ORC systems for this application, taking into account also non-thermodynamic aspects such as toxicity, flammability, and investment cost return. The highest ORC turbine output powerswere obtained with aromatic hydrocarbons, then with aromatic fluorocarbons, n-hydrocarbons, and siloxanes (in that order). For the case studied here \u2013 a gas turbine of 2.6MW of mechanical power\u2013 the proposed ORC can produce around 1MWe, with a thermal efficiency of up to 24 per cent depending on the working fluid and condensing temperature.", "author" : [ { "dropping-particle" : "", "family" : "Saavedra", "given" : "I", "non-dropping-particle" : "", "parse-names" : false, "suffix" : "" }, { "dropping-particle" : "", "family" : "Bruno", "given" : "J C", "non-dropping-particle" : "", "parse-names" : false, "suffix" : "" }, { "dropping-particle" : "", "family" : "Coronas", "given" : "A", "non-dropping-particle" : "", "parse-names" : false, "suffix" : "" } ], "container-title" : "Proceedings of the Institution of Mechanical Engineers, Part A: Journal of Power and Energy", "id" : "ITEM-1", "issue" : "7", "issued" : { "date-parts" : [ [ "2010", "11", "1" ] ] }, "page" : "917-930", "title" : "Thermodynamic optimization of organic Rankine cycles at several condensing temperatures: case study of waste heat recovery in a natural gas compressor station", "type" : "article-journal", "volume" : "224" }, "uris" : [ "http://www.mendeley.com/documents/?uuid=6a76ff70-1a27-4e35-a7be-2ab671213610" ] } ], "mendeley" : { "formattedCitation" : "(Saavedra et al. 2010)", "manualFormatting" : "(2010)", "plainTextFormattedCitation" : "(Saavedra et al. 2010)", "previouslyFormattedCitation" : "(Saavedra et al. 2010)" }, "properties" : { "noteIndex" : 0 }, "schema" : "https://github.com/citation-style-language/schema/raw/master/csl-citation.json" }</w:instrText>
      </w:r>
      <w:r>
        <w:fldChar w:fldCharType="separate"/>
      </w:r>
      <w:r w:rsidR="003F41D9">
        <w:rPr>
          <w:noProof/>
        </w:rPr>
        <w:t>(</w:t>
      </w:r>
      <w:r w:rsidR="003F41D9" w:rsidRPr="003F41D9">
        <w:rPr>
          <w:noProof/>
        </w:rPr>
        <w:t>2010)</w:t>
      </w:r>
      <w:r>
        <w:fldChar w:fldCharType="end"/>
      </w:r>
      <w:r>
        <w:t xml:space="preserve"> and their</w:t>
      </w:r>
      <w:r w:rsidRPr="008935AB">
        <w:t xml:space="preserve"> low global warming potential (GWP)</w:t>
      </w:r>
      <w:r>
        <w:t>. A value of 1 is assigned to CO</w:t>
      </w:r>
      <w:r>
        <w:rPr>
          <w:vertAlign w:val="subscript"/>
        </w:rPr>
        <w:t>2</w:t>
      </w:r>
      <w:r>
        <w:t>; larger values than one mean that the gas would store more energy</w:t>
      </w:r>
      <w:r w:rsidR="00816EA2">
        <w:t>,</w:t>
      </w:r>
      <w:r>
        <w:t xml:space="preserve"> </w:t>
      </w:r>
      <w:r w:rsidR="00816EA2">
        <w:t>thus,</w:t>
      </w:r>
      <w:r>
        <w:t xml:space="preserve"> warming the climate system </w:t>
      </w:r>
      <w:r w:rsidR="00816EA2">
        <w:t xml:space="preserve">more </w:t>
      </w:r>
      <w:r>
        <w:t>than a similar mass of CO</w:t>
      </w:r>
      <w:r>
        <w:rPr>
          <w:vertAlign w:val="subscript"/>
        </w:rPr>
        <w:t>2</w:t>
      </w:r>
      <w:r>
        <w:t>. For example</w:t>
      </w:r>
      <w:r w:rsidR="00816EA2">
        <w:t>,</w:t>
      </w:r>
      <w:r>
        <w:t xml:space="preserve"> methane has a GWP</w:t>
      </w:r>
      <w:r>
        <w:rPr>
          <w:vertAlign w:val="subscript"/>
        </w:rPr>
        <w:t>100</w:t>
      </w:r>
      <w:r>
        <w:t xml:space="preserve"> of 28 which means that in a period of 100 years</w:t>
      </w:r>
      <w:r w:rsidR="00816EA2">
        <w:t>,</w:t>
      </w:r>
      <w:r>
        <w:t xml:space="preserve"> </w:t>
      </w:r>
      <w:r w:rsidR="00816EA2">
        <w:t>it</w:t>
      </w:r>
      <w:r>
        <w:t xml:space="preserve"> will store 28 times more energy than CO</w:t>
      </w:r>
      <w:r>
        <w:rPr>
          <w:vertAlign w:val="subscript"/>
        </w:rPr>
        <w:t>2</w:t>
      </w:r>
      <w:r>
        <w:t>.</w:t>
      </w:r>
    </w:p>
    <w:tbl>
      <w:tblPr>
        <w:tblStyle w:val="TableGrid"/>
        <w:tblW w:w="5264" w:type="pct"/>
        <w:jc w:val="center"/>
        <w:tblLayout w:type="fixed"/>
        <w:tblLook w:val="04A0" w:firstRow="1" w:lastRow="0" w:firstColumn="1" w:lastColumn="0" w:noHBand="0" w:noVBand="1"/>
      </w:tblPr>
      <w:tblGrid>
        <w:gridCol w:w="1697"/>
        <w:gridCol w:w="956"/>
        <w:gridCol w:w="1275"/>
        <w:gridCol w:w="1251"/>
        <w:gridCol w:w="1483"/>
        <w:gridCol w:w="839"/>
        <w:gridCol w:w="727"/>
        <w:gridCol w:w="947"/>
      </w:tblGrid>
      <w:tr w:rsidR="00B30F53" w:rsidRPr="002B7B65" w:rsidTr="00B30F53">
        <w:trPr>
          <w:jc w:val="center"/>
        </w:trPr>
        <w:tc>
          <w:tcPr>
            <w:tcW w:w="925" w:type="pct"/>
            <w:tcBorders>
              <w:left w:val="nil"/>
              <w:bottom w:val="nil"/>
              <w:right w:val="nil"/>
            </w:tcBorders>
            <w:vAlign w:val="bottom"/>
          </w:tcPr>
          <w:p w:rsidR="00B30F53" w:rsidRPr="00BE72C0" w:rsidRDefault="00B30F53" w:rsidP="00B30F53">
            <w:pPr>
              <w:pStyle w:val="Caption"/>
              <w:spacing w:after="0"/>
              <w:jc w:val="center"/>
              <w:rPr>
                <w:rFonts w:ascii="Times New Roman" w:hAnsi="Times New Roman" w:cs="Times New Roman"/>
                <w:i/>
              </w:rPr>
            </w:pPr>
            <w:r w:rsidRPr="002B7B65">
              <w:rPr>
                <w:rFonts w:ascii="Times New Roman" w:hAnsi="Times New Roman" w:cs="Times New Roman"/>
                <w:i/>
              </w:rPr>
              <w:t>Working</w:t>
            </w:r>
            <w:r>
              <w:rPr>
                <w:rFonts w:ascii="Times New Roman" w:hAnsi="Times New Roman" w:cs="Times New Roman"/>
                <w:i/>
              </w:rPr>
              <w:t xml:space="preserve"> </w:t>
            </w:r>
            <w:r w:rsidRPr="002B7B65">
              <w:rPr>
                <w:rFonts w:ascii="Times New Roman" w:hAnsi="Times New Roman" w:cs="Times New Roman"/>
                <w:i/>
              </w:rPr>
              <w:t>Fluids</w:t>
            </w:r>
          </w:p>
        </w:tc>
        <w:tc>
          <w:tcPr>
            <w:tcW w:w="521" w:type="pct"/>
            <w:tcBorders>
              <w:left w:val="nil"/>
              <w:bottom w:val="nil"/>
              <w:right w:val="nil"/>
            </w:tcBorders>
            <w:vAlign w:val="center"/>
          </w:tcPr>
          <w:p w:rsidR="00B30F53" w:rsidRPr="00BE72C0" w:rsidRDefault="00B30F53" w:rsidP="00B30F53">
            <w:pPr>
              <w:pStyle w:val="Caption"/>
              <w:spacing w:before="200" w:after="0"/>
              <w:jc w:val="center"/>
              <w:rPr>
                <w:rFonts w:ascii="Times New Roman" w:hAnsi="Times New Roman" w:cs="Times New Roman"/>
                <w:i/>
              </w:rPr>
            </w:pPr>
            <w:r w:rsidRPr="002B7B65">
              <w:rPr>
                <w:rFonts w:ascii="Times New Roman" w:hAnsi="Times New Roman" w:cs="Times New Roman"/>
                <w:i/>
              </w:rPr>
              <w:t>GWP</w:t>
            </w:r>
            <w:r w:rsidRPr="002B7B65">
              <w:rPr>
                <w:rFonts w:ascii="Times New Roman" w:hAnsi="Times New Roman" w:cs="Times New Roman"/>
                <w:i/>
                <w:vertAlign w:val="subscript"/>
              </w:rPr>
              <w:t>100</w:t>
            </w:r>
            <w:r>
              <w:rPr>
                <w:rFonts w:ascii="Times New Roman" w:hAnsi="Times New Roman" w:cs="Times New Roman"/>
                <w:i/>
                <w:vertAlign w:val="subscript"/>
              </w:rPr>
              <w:t xml:space="preserve"> </w:t>
            </w:r>
          </w:p>
        </w:tc>
        <w:tc>
          <w:tcPr>
            <w:tcW w:w="695" w:type="pct"/>
            <w:tcBorders>
              <w:left w:val="nil"/>
              <w:bottom w:val="nil"/>
              <w:right w:val="nil"/>
            </w:tcBorders>
          </w:tcPr>
          <w:p w:rsidR="00B30F53" w:rsidRPr="00BE72C0" w:rsidRDefault="00B30F53" w:rsidP="00B30F53">
            <w:pPr>
              <w:pStyle w:val="Caption"/>
              <w:spacing w:before="200" w:after="0"/>
              <w:jc w:val="center"/>
              <w:rPr>
                <w:rFonts w:ascii="Times New Roman" w:hAnsi="Times New Roman" w:cs="Times New Roman"/>
                <w:i/>
              </w:rPr>
            </w:pPr>
            <w:r w:rsidRPr="002B7B65">
              <w:rPr>
                <w:rFonts w:ascii="Times New Roman" w:hAnsi="Times New Roman" w:cs="Times New Roman"/>
                <w:i/>
              </w:rPr>
              <w:t>Latent Heat of Vaporization</w:t>
            </w:r>
          </w:p>
        </w:tc>
        <w:tc>
          <w:tcPr>
            <w:tcW w:w="682" w:type="pct"/>
            <w:tcBorders>
              <w:left w:val="nil"/>
              <w:bottom w:val="nil"/>
              <w:right w:val="nil"/>
            </w:tcBorders>
            <w:vAlign w:val="center"/>
          </w:tcPr>
          <w:p w:rsidR="00B30F53" w:rsidRPr="00BE72C0" w:rsidRDefault="00B30F53" w:rsidP="00B30F53">
            <w:pPr>
              <w:pStyle w:val="Caption"/>
              <w:spacing w:before="200" w:after="0"/>
              <w:jc w:val="center"/>
              <w:rPr>
                <w:rFonts w:ascii="Times New Roman" w:hAnsi="Times New Roman" w:cs="Times New Roman"/>
                <w:i/>
              </w:rPr>
            </w:pPr>
            <w:r w:rsidRPr="002B7B65">
              <w:rPr>
                <w:rFonts w:ascii="Times New Roman" w:hAnsi="Times New Roman" w:cs="Times New Roman"/>
                <w:i/>
              </w:rPr>
              <w:t>Auto-ignition Temperature</w:t>
            </w:r>
          </w:p>
        </w:tc>
        <w:tc>
          <w:tcPr>
            <w:tcW w:w="808" w:type="pct"/>
            <w:tcBorders>
              <w:left w:val="nil"/>
              <w:bottom w:val="nil"/>
              <w:right w:val="nil"/>
            </w:tcBorders>
            <w:vAlign w:val="center"/>
          </w:tcPr>
          <w:p w:rsidR="00B30F53" w:rsidRPr="00BE72C0" w:rsidRDefault="00B30F53" w:rsidP="00B30F53">
            <w:pPr>
              <w:pStyle w:val="Caption"/>
              <w:spacing w:before="200" w:after="0"/>
              <w:jc w:val="center"/>
              <w:rPr>
                <w:rFonts w:ascii="Times New Roman" w:hAnsi="Times New Roman" w:cs="Times New Roman"/>
                <w:i/>
              </w:rPr>
            </w:pPr>
            <w:r w:rsidRPr="002B7B65">
              <w:rPr>
                <w:rFonts w:ascii="Times New Roman" w:hAnsi="Times New Roman" w:cs="Times New Roman"/>
                <w:i/>
              </w:rPr>
              <w:t>Decomposition Temperature</w:t>
            </w:r>
          </w:p>
        </w:tc>
        <w:tc>
          <w:tcPr>
            <w:tcW w:w="457" w:type="pct"/>
            <w:tcBorders>
              <w:left w:val="nil"/>
              <w:bottom w:val="nil"/>
              <w:right w:val="nil"/>
            </w:tcBorders>
            <w:vAlign w:val="center"/>
          </w:tcPr>
          <w:p w:rsidR="00B30F53" w:rsidRPr="00BE72C0" w:rsidRDefault="00B30F53" w:rsidP="00B30F53">
            <w:pPr>
              <w:pStyle w:val="Caption"/>
              <w:spacing w:before="200" w:after="0"/>
              <w:jc w:val="center"/>
              <w:rPr>
                <w:rFonts w:ascii="Times New Roman" w:hAnsi="Times New Roman" w:cs="Times New Roman"/>
                <w:i/>
                <w:vertAlign w:val="subscript"/>
              </w:rPr>
            </w:pPr>
            <w:r w:rsidRPr="002B7B65">
              <w:rPr>
                <w:rFonts w:ascii="Times New Roman" w:hAnsi="Times New Roman" w:cs="Times New Roman"/>
                <w:i/>
              </w:rPr>
              <w:t>Flash Point</w:t>
            </w:r>
          </w:p>
        </w:tc>
        <w:tc>
          <w:tcPr>
            <w:tcW w:w="396" w:type="pct"/>
            <w:tcBorders>
              <w:left w:val="nil"/>
              <w:bottom w:val="nil"/>
              <w:right w:val="nil"/>
            </w:tcBorders>
            <w:vAlign w:val="center"/>
          </w:tcPr>
          <w:p w:rsidR="00B30F53" w:rsidRPr="00BE72C0" w:rsidRDefault="00B30F53" w:rsidP="00B30F53">
            <w:pPr>
              <w:pStyle w:val="Caption"/>
              <w:spacing w:before="200" w:after="0"/>
              <w:jc w:val="center"/>
              <w:rPr>
                <w:rFonts w:ascii="Times New Roman" w:hAnsi="Times New Roman" w:cs="Times New Roman"/>
                <w:i/>
                <w:vertAlign w:val="subscript"/>
              </w:rPr>
            </w:pPr>
            <w:r w:rsidRPr="002B7B65">
              <w:rPr>
                <w:rFonts w:ascii="Times New Roman" w:hAnsi="Times New Roman" w:cs="Times New Roman"/>
                <w:i/>
              </w:rPr>
              <w:t>T</w:t>
            </w:r>
            <w:r w:rsidRPr="002B7B65">
              <w:rPr>
                <w:rFonts w:ascii="Times New Roman" w:hAnsi="Times New Roman" w:cs="Times New Roman"/>
                <w:i/>
                <w:vertAlign w:val="subscript"/>
              </w:rPr>
              <w:t>c</w:t>
            </w:r>
          </w:p>
        </w:tc>
        <w:tc>
          <w:tcPr>
            <w:tcW w:w="516" w:type="pct"/>
            <w:tcBorders>
              <w:left w:val="nil"/>
              <w:bottom w:val="nil"/>
              <w:right w:val="nil"/>
            </w:tcBorders>
            <w:vAlign w:val="center"/>
          </w:tcPr>
          <w:p w:rsidR="00B30F53" w:rsidRPr="00BE72C0" w:rsidRDefault="00B30F53" w:rsidP="00B30F53">
            <w:pPr>
              <w:pStyle w:val="Caption"/>
              <w:spacing w:before="200" w:after="0"/>
              <w:jc w:val="center"/>
              <w:rPr>
                <w:rFonts w:ascii="Times New Roman" w:hAnsi="Times New Roman" w:cs="Times New Roman"/>
                <w:i/>
                <w:vertAlign w:val="subscript"/>
              </w:rPr>
            </w:pPr>
            <w:r w:rsidRPr="002B7B65">
              <w:rPr>
                <w:rFonts w:ascii="Times New Roman" w:hAnsi="Times New Roman" w:cs="Times New Roman"/>
                <w:i/>
              </w:rPr>
              <w:t>P</w:t>
            </w:r>
            <w:r w:rsidRPr="002B7B65">
              <w:rPr>
                <w:rFonts w:ascii="Times New Roman" w:hAnsi="Times New Roman" w:cs="Times New Roman"/>
                <w:i/>
                <w:vertAlign w:val="subscript"/>
              </w:rPr>
              <w:t>c</w:t>
            </w:r>
          </w:p>
        </w:tc>
      </w:tr>
      <w:tr w:rsidR="00B30F53" w:rsidRPr="002B7B65" w:rsidTr="00B30F53">
        <w:trPr>
          <w:jc w:val="center"/>
        </w:trPr>
        <w:tc>
          <w:tcPr>
            <w:tcW w:w="925" w:type="pct"/>
            <w:tcBorders>
              <w:top w:val="nil"/>
              <w:left w:val="nil"/>
              <w:bottom w:val="single" w:sz="4" w:space="0" w:color="auto"/>
              <w:right w:val="nil"/>
            </w:tcBorders>
            <w:vAlign w:val="center"/>
          </w:tcPr>
          <w:p w:rsidR="00B30F53" w:rsidRPr="002B7B65" w:rsidRDefault="00B30F53" w:rsidP="00B30F53">
            <w:pPr>
              <w:pStyle w:val="Caption"/>
              <w:jc w:val="center"/>
              <w:rPr>
                <w:rFonts w:cs="Times New Roman"/>
                <w:i/>
              </w:rPr>
            </w:pPr>
          </w:p>
        </w:tc>
        <w:tc>
          <w:tcPr>
            <w:tcW w:w="521" w:type="pct"/>
            <w:tcBorders>
              <w:top w:val="nil"/>
              <w:left w:val="nil"/>
              <w:bottom w:val="single" w:sz="4" w:space="0" w:color="auto"/>
              <w:right w:val="nil"/>
            </w:tcBorders>
            <w:vAlign w:val="center"/>
          </w:tcPr>
          <w:p w:rsidR="00B30F53" w:rsidRPr="002B7B65" w:rsidRDefault="00B30F53" w:rsidP="00B30F53">
            <w:pPr>
              <w:pStyle w:val="Caption"/>
              <w:spacing w:before="200"/>
              <w:jc w:val="center"/>
              <w:rPr>
                <w:rFonts w:cs="Times New Roman"/>
                <w:i/>
              </w:rPr>
            </w:pPr>
            <w:r w:rsidRPr="00BE72C0">
              <w:rPr>
                <w:rFonts w:ascii="Times New Roman" w:hAnsi="Times New Roman" w:cs="Times New Roman"/>
              </w:rPr>
              <w:t>(-)</w:t>
            </w:r>
            <w:r w:rsidRPr="002B7B65">
              <w:rPr>
                <w:rStyle w:val="FootnoteReference"/>
                <w:rFonts w:ascii="Times New Roman" w:hAnsi="Times New Roman" w:cs="Times New Roman"/>
                <w:b/>
                <w:i/>
              </w:rPr>
              <w:footnoteReference w:id="2"/>
            </w:r>
          </w:p>
        </w:tc>
        <w:tc>
          <w:tcPr>
            <w:tcW w:w="695" w:type="pct"/>
            <w:tcBorders>
              <w:top w:val="nil"/>
              <w:left w:val="nil"/>
              <w:bottom w:val="single" w:sz="4" w:space="0" w:color="auto"/>
              <w:right w:val="nil"/>
            </w:tcBorders>
          </w:tcPr>
          <w:p w:rsidR="00B30F53" w:rsidRPr="002B7B65" w:rsidRDefault="00B30F53" w:rsidP="00B30F53">
            <w:pPr>
              <w:pStyle w:val="Caption"/>
              <w:spacing w:before="200"/>
              <w:jc w:val="center"/>
              <w:rPr>
                <w:rFonts w:cs="Times New Roman"/>
                <w:i/>
              </w:rPr>
            </w:pPr>
            <w:r w:rsidRPr="00BE72C0">
              <w:rPr>
                <w:rFonts w:ascii="Times New Roman" w:hAnsi="Times New Roman" w:cs="Times New Roman"/>
              </w:rPr>
              <w:t>(</w:t>
            </w:r>
            <w:r w:rsidRPr="005A4E0D">
              <w:rPr>
                <w:rFonts w:ascii="Times New Roman" w:hAnsi="Times New Roman" w:cs="Times New Roman"/>
                <w:bCs w:val="0"/>
                <w:color w:val="000000"/>
              </w:rPr>
              <w:t>kJ kg</w:t>
            </w:r>
            <w:r w:rsidRPr="005A4E0D">
              <w:rPr>
                <w:rFonts w:ascii="Times New Roman" w:hAnsi="Times New Roman" w:cs="Times New Roman"/>
                <w:bCs w:val="0"/>
                <w:color w:val="000000"/>
                <w:vertAlign w:val="superscript"/>
              </w:rPr>
              <w:t>-1</w:t>
            </w:r>
            <w:r w:rsidRPr="00BE72C0">
              <w:rPr>
                <w:rFonts w:ascii="Times New Roman" w:hAnsi="Times New Roman" w:cs="Times New Roman"/>
              </w:rPr>
              <w:t>)</w:t>
            </w:r>
            <w:r w:rsidRPr="00BE72C0">
              <w:rPr>
                <w:rStyle w:val="FootnoteReference"/>
                <w:rFonts w:ascii="Times New Roman" w:hAnsi="Times New Roman" w:cs="Times New Roman"/>
                <w:b/>
              </w:rPr>
              <w:footnoteReference w:id="3"/>
            </w:r>
          </w:p>
        </w:tc>
        <w:tc>
          <w:tcPr>
            <w:tcW w:w="682" w:type="pct"/>
            <w:tcBorders>
              <w:top w:val="nil"/>
              <w:left w:val="nil"/>
              <w:bottom w:val="single" w:sz="4" w:space="0" w:color="auto"/>
              <w:right w:val="nil"/>
            </w:tcBorders>
            <w:vAlign w:val="center"/>
          </w:tcPr>
          <w:p w:rsidR="00B30F53" w:rsidRPr="002B7B65" w:rsidRDefault="00B30F53" w:rsidP="00B30F53">
            <w:pPr>
              <w:pStyle w:val="Caption"/>
              <w:spacing w:before="200"/>
              <w:jc w:val="center"/>
              <w:rPr>
                <w:rFonts w:cs="Times New Roman"/>
                <w:i/>
              </w:rPr>
            </w:pPr>
            <w:r w:rsidRPr="00BE72C0">
              <w:rPr>
                <w:rFonts w:ascii="Times New Roman" w:hAnsi="Times New Roman" w:cs="Times New Roman"/>
              </w:rPr>
              <w:t>(˚C)</w:t>
            </w:r>
            <w:r w:rsidRPr="00BE72C0">
              <w:rPr>
                <w:rStyle w:val="FootnoteReference"/>
                <w:rFonts w:ascii="Times New Roman" w:hAnsi="Times New Roman" w:cs="Times New Roman"/>
                <w:b/>
              </w:rPr>
              <w:footnoteReference w:id="4"/>
            </w:r>
          </w:p>
        </w:tc>
        <w:tc>
          <w:tcPr>
            <w:tcW w:w="808" w:type="pct"/>
            <w:tcBorders>
              <w:top w:val="nil"/>
              <w:left w:val="nil"/>
              <w:bottom w:val="single" w:sz="4" w:space="0" w:color="auto"/>
              <w:right w:val="nil"/>
            </w:tcBorders>
            <w:vAlign w:val="center"/>
          </w:tcPr>
          <w:p w:rsidR="00B30F53" w:rsidRPr="002B7B65" w:rsidRDefault="00B30F53" w:rsidP="00B30F53">
            <w:pPr>
              <w:pStyle w:val="Caption"/>
              <w:spacing w:before="200"/>
              <w:jc w:val="center"/>
              <w:rPr>
                <w:rFonts w:cs="Times New Roman"/>
                <w:i/>
              </w:rPr>
            </w:pPr>
            <w:r w:rsidRPr="00BE72C0">
              <w:rPr>
                <w:rFonts w:ascii="Times New Roman" w:hAnsi="Times New Roman" w:cs="Times New Roman"/>
              </w:rPr>
              <w:t>(˚C)</w:t>
            </w:r>
            <w:r w:rsidRPr="00BE72C0">
              <w:rPr>
                <w:rStyle w:val="FootnoteReference"/>
                <w:rFonts w:ascii="Times New Roman" w:hAnsi="Times New Roman" w:cs="Times New Roman"/>
                <w:b/>
              </w:rPr>
              <w:footnoteReference w:id="5"/>
            </w:r>
          </w:p>
        </w:tc>
        <w:tc>
          <w:tcPr>
            <w:tcW w:w="457" w:type="pct"/>
            <w:tcBorders>
              <w:top w:val="nil"/>
              <w:left w:val="nil"/>
              <w:bottom w:val="single" w:sz="4" w:space="0" w:color="auto"/>
              <w:right w:val="nil"/>
            </w:tcBorders>
            <w:vAlign w:val="center"/>
          </w:tcPr>
          <w:p w:rsidR="00B30F53" w:rsidRPr="002B7B65" w:rsidRDefault="00B30F53" w:rsidP="00B30F53">
            <w:pPr>
              <w:pStyle w:val="Caption"/>
              <w:spacing w:before="200"/>
              <w:jc w:val="center"/>
              <w:rPr>
                <w:rFonts w:cs="Times New Roman"/>
                <w:i/>
              </w:rPr>
            </w:pPr>
            <w:r w:rsidRPr="00BE72C0">
              <w:rPr>
                <w:rFonts w:ascii="Times New Roman" w:hAnsi="Times New Roman" w:cs="Times New Roman"/>
              </w:rPr>
              <w:t>(˚C)</w:t>
            </w:r>
            <w:r w:rsidRPr="00BE72C0">
              <w:rPr>
                <w:rStyle w:val="FootnoteReference"/>
                <w:rFonts w:ascii="Times New Roman" w:hAnsi="Times New Roman" w:cs="Times New Roman"/>
                <w:b/>
              </w:rPr>
              <w:t xml:space="preserve"> </w:t>
            </w:r>
            <w:r w:rsidRPr="00BE72C0">
              <w:rPr>
                <w:rStyle w:val="FootnoteReference"/>
                <w:rFonts w:ascii="Times New Roman" w:hAnsi="Times New Roman" w:cs="Times New Roman"/>
                <w:b/>
              </w:rPr>
              <w:footnoteReference w:id="6"/>
            </w:r>
          </w:p>
        </w:tc>
        <w:tc>
          <w:tcPr>
            <w:tcW w:w="396" w:type="pct"/>
            <w:tcBorders>
              <w:top w:val="nil"/>
              <w:left w:val="nil"/>
              <w:bottom w:val="single" w:sz="4" w:space="0" w:color="auto"/>
              <w:right w:val="nil"/>
            </w:tcBorders>
            <w:vAlign w:val="center"/>
          </w:tcPr>
          <w:p w:rsidR="00B30F53" w:rsidRPr="002B7B65" w:rsidRDefault="00B30F53" w:rsidP="00B30F53">
            <w:pPr>
              <w:pStyle w:val="Caption"/>
              <w:spacing w:before="200"/>
              <w:jc w:val="center"/>
              <w:rPr>
                <w:rFonts w:cs="Times New Roman"/>
                <w:i/>
              </w:rPr>
            </w:pPr>
            <w:r w:rsidRPr="00BE72C0">
              <w:rPr>
                <w:rFonts w:ascii="Times New Roman" w:hAnsi="Times New Roman" w:cs="Times New Roman"/>
              </w:rPr>
              <w:t>(˚C)</w:t>
            </w:r>
            <w:r w:rsidRPr="00BE72C0">
              <w:rPr>
                <w:rStyle w:val="FootnoteReference"/>
                <w:rFonts w:ascii="Times New Roman" w:hAnsi="Times New Roman" w:cs="Times New Roman"/>
                <w:b/>
              </w:rPr>
              <w:footnoteReference w:id="7"/>
            </w:r>
          </w:p>
        </w:tc>
        <w:tc>
          <w:tcPr>
            <w:tcW w:w="516" w:type="pct"/>
            <w:tcBorders>
              <w:top w:val="nil"/>
              <w:left w:val="nil"/>
              <w:bottom w:val="single" w:sz="4" w:space="0" w:color="auto"/>
              <w:right w:val="nil"/>
            </w:tcBorders>
            <w:vAlign w:val="center"/>
          </w:tcPr>
          <w:p w:rsidR="00B30F53" w:rsidRPr="002B7B65" w:rsidRDefault="00B30F53" w:rsidP="00B30F53">
            <w:pPr>
              <w:pStyle w:val="Caption"/>
              <w:spacing w:before="200"/>
              <w:jc w:val="center"/>
              <w:rPr>
                <w:rFonts w:cs="Times New Roman"/>
                <w:i/>
              </w:rPr>
            </w:pPr>
            <w:r w:rsidRPr="002B7B65">
              <w:rPr>
                <w:rFonts w:ascii="Times New Roman" w:hAnsi="Times New Roman" w:cs="Times New Roman"/>
              </w:rPr>
              <w:t>(MPa)</w:t>
            </w:r>
            <w:r>
              <w:rPr>
                <w:rFonts w:ascii="Times New Roman" w:hAnsi="Times New Roman" w:cs="Times New Roman"/>
                <w:vertAlign w:val="superscript"/>
              </w:rPr>
              <w:t>***</w:t>
            </w:r>
          </w:p>
        </w:tc>
      </w:tr>
      <w:tr w:rsidR="00B30F53" w:rsidRPr="002B7B65" w:rsidTr="00B30F53">
        <w:trPr>
          <w:jc w:val="center"/>
        </w:trPr>
        <w:tc>
          <w:tcPr>
            <w:tcW w:w="925" w:type="pct"/>
            <w:tcBorders>
              <w:left w:val="nil"/>
              <w:bottom w:val="nil"/>
              <w:right w:val="nil"/>
            </w:tcBorders>
            <w:vAlign w:val="center"/>
          </w:tcPr>
          <w:p w:rsidR="00B30F53" w:rsidRPr="002B7B65" w:rsidRDefault="00B30F53" w:rsidP="00B30F53">
            <w:pPr>
              <w:pStyle w:val="Caption"/>
              <w:spacing w:before="200"/>
              <w:jc w:val="center"/>
              <w:rPr>
                <w:rFonts w:ascii="Times New Roman" w:hAnsi="Times New Roman" w:cs="Times New Roman"/>
              </w:rPr>
            </w:pPr>
            <w:r w:rsidRPr="002B7B65">
              <w:rPr>
                <w:rFonts w:ascii="Times New Roman" w:hAnsi="Times New Roman" w:cs="Times New Roman"/>
              </w:rPr>
              <w:t>Water</w:t>
            </w:r>
          </w:p>
        </w:tc>
        <w:tc>
          <w:tcPr>
            <w:tcW w:w="521" w:type="pct"/>
            <w:tcBorders>
              <w:left w:val="nil"/>
              <w:bottom w:val="nil"/>
              <w:right w:val="nil"/>
            </w:tcBorders>
            <w:vAlign w:val="center"/>
          </w:tcPr>
          <w:p w:rsidR="00B30F53" w:rsidRPr="002B7B65" w:rsidRDefault="00B30F53" w:rsidP="00B30F53">
            <w:pPr>
              <w:pStyle w:val="Caption"/>
              <w:spacing w:before="200"/>
              <w:jc w:val="center"/>
              <w:rPr>
                <w:rFonts w:ascii="Times New Roman" w:hAnsi="Times New Roman" w:cs="Times New Roman"/>
              </w:rPr>
            </w:pPr>
            <w:r w:rsidRPr="002B7B65">
              <w:rPr>
                <w:rFonts w:ascii="Times New Roman" w:hAnsi="Times New Roman" w:cs="Times New Roman"/>
              </w:rPr>
              <w:t>N/A</w:t>
            </w:r>
          </w:p>
        </w:tc>
        <w:tc>
          <w:tcPr>
            <w:tcW w:w="695" w:type="pct"/>
            <w:tcBorders>
              <w:left w:val="nil"/>
              <w:bottom w:val="nil"/>
              <w:right w:val="nil"/>
            </w:tcBorders>
            <w:vAlign w:val="center"/>
          </w:tcPr>
          <w:p w:rsidR="00B30F53" w:rsidRPr="002B7B65" w:rsidRDefault="00B30F53" w:rsidP="00B30F53">
            <w:pPr>
              <w:pStyle w:val="Caption"/>
              <w:spacing w:before="200"/>
              <w:jc w:val="center"/>
              <w:rPr>
                <w:rFonts w:ascii="Times New Roman" w:hAnsi="Times New Roman" w:cs="Times New Roman"/>
              </w:rPr>
            </w:pPr>
            <w:r w:rsidRPr="002B7B65">
              <w:rPr>
                <w:rFonts w:ascii="Times New Roman" w:hAnsi="Times New Roman" w:cs="Times New Roman"/>
              </w:rPr>
              <w:t>2,257</w:t>
            </w:r>
          </w:p>
        </w:tc>
        <w:tc>
          <w:tcPr>
            <w:tcW w:w="682" w:type="pct"/>
            <w:tcBorders>
              <w:left w:val="nil"/>
              <w:bottom w:val="nil"/>
              <w:right w:val="nil"/>
            </w:tcBorders>
            <w:vAlign w:val="center"/>
          </w:tcPr>
          <w:p w:rsidR="00B30F53" w:rsidRPr="002B7B65" w:rsidRDefault="00B30F53" w:rsidP="00B30F53">
            <w:pPr>
              <w:pStyle w:val="Caption"/>
              <w:spacing w:before="200"/>
              <w:jc w:val="center"/>
              <w:rPr>
                <w:rFonts w:ascii="Times New Roman" w:hAnsi="Times New Roman" w:cs="Times New Roman"/>
              </w:rPr>
            </w:pPr>
            <w:r w:rsidRPr="002B7B65">
              <w:rPr>
                <w:rFonts w:ascii="Times New Roman" w:hAnsi="Times New Roman" w:cs="Times New Roman"/>
              </w:rPr>
              <w:t>-</w:t>
            </w:r>
          </w:p>
        </w:tc>
        <w:tc>
          <w:tcPr>
            <w:tcW w:w="808" w:type="pct"/>
            <w:tcBorders>
              <w:left w:val="nil"/>
              <w:bottom w:val="nil"/>
              <w:right w:val="nil"/>
            </w:tcBorders>
            <w:vAlign w:val="center"/>
          </w:tcPr>
          <w:p w:rsidR="00B30F53" w:rsidRPr="002B7B65" w:rsidRDefault="00B30F53" w:rsidP="00B30F53">
            <w:pPr>
              <w:pStyle w:val="Caption"/>
              <w:spacing w:before="200"/>
              <w:jc w:val="center"/>
              <w:rPr>
                <w:rFonts w:ascii="Times New Roman" w:hAnsi="Times New Roman" w:cs="Times New Roman"/>
              </w:rPr>
            </w:pPr>
            <w:r w:rsidRPr="002B7B65">
              <w:rPr>
                <w:rFonts w:ascii="Times New Roman" w:hAnsi="Times New Roman" w:cs="Times New Roman"/>
              </w:rPr>
              <w:t>2,000</w:t>
            </w:r>
          </w:p>
        </w:tc>
        <w:tc>
          <w:tcPr>
            <w:tcW w:w="457" w:type="pct"/>
            <w:tcBorders>
              <w:left w:val="nil"/>
              <w:bottom w:val="nil"/>
              <w:right w:val="nil"/>
            </w:tcBorders>
            <w:vAlign w:val="center"/>
          </w:tcPr>
          <w:p w:rsidR="00B30F53" w:rsidRPr="002B7B65" w:rsidRDefault="00B30F53" w:rsidP="00B30F53">
            <w:pPr>
              <w:pStyle w:val="Caption"/>
              <w:spacing w:before="200"/>
              <w:jc w:val="center"/>
              <w:rPr>
                <w:rFonts w:ascii="Times New Roman" w:hAnsi="Times New Roman" w:cs="Times New Roman"/>
              </w:rPr>
            </w:pPr>
            <w:r w:rsidRPr="002B7B65">
              <w:rPr>
                <w:rFonts w:ascii="Times New Roman" w:hAnsi="Times New Roman" w:cs="Times New Roman"/>
              </w:rPr>
              <w:t>-</w:t>
            </w:r>
          </w:p>
        </w:tc>
        <w:tc>
          <w:tcPr>
            <w:tcW w:w="396" w:type="pct"/>
            <w:tcBorders>
              <w:left w:val="nil"/>
              <w:bottom w:val="nil"/>
              <w:right w:val="nil"/>
            </w:tcBorders>
            <w:vAlign w:val="center"/>
          </w:tcPr>
          <w:p w:rsidR="00B30F53" w:rsidRPr="002B7B65" w:rsidRDefault="00B30F53" w:rsidP="00B30F53">
            <w:pPr>
              <w:pStyle w:val="Caption"/>
              <w:spacing w:before="200"/>
              <w:jc w:val="center"/>
              <w:rPr>
                <w:rFonts w:ascii="Times New Roman" w:hAnsi="Times New Roman" w:cs="Times New Roman"/>
              </w:rPr>
            </w:pPr>
            <w:r w:rsidRPr="002B7B65">
              <w:rPr>
                <w:rFonts w:ascii="Times New Roman" w:hAnsi="Times New Roman" w:cs="Times New Roman"/>
              </w:rPr>
              <w:t>374</w:t>
            </w:r>
          </w:p>
        </w:tc>
        <w:tc>
          <w:tcPr>
            <w:tcW w:w="516" w:type="pct"/>
            <w:tcBorders>
              <w:left w:val="nil"/>
              <w:bottom w:val="nil"/>
              <w:right w:val="nil"/>
            </w:tcBorders>
            <w:vAlign w:val="center"/>
          </w:tcPr>
          <w:p w:rsidR="00B30F53" w:rsidRPr="002B7B65" w:rsidRDefault="00B30F53" w:rsidP="00B30F53">
            <w:pPr>
              <w:pStyle w:val="Caption"/>
              <w:spacing w:before="200"/>
              <w:jc w:val="center"/>
              <w:rPr>
                <w:rFonts w:ascii="Times New Roman" w:hAnsi="Times New Roman" w:cs="Times New Roman"/>
              </w:rPr>
            </w:pPr>
            <w:r w:rsidRPr="002B7B65">
              <w:rPr>
                <w:rFonts w:ascii="Times New Roman" w:hAnsi="Times New Roman" w:cs="Times New Roman"/>
              </w:rPr>
              <w:t>22.06</w:t>
            </w:r>
          </w:p>
        </w:tc>
      </w:tr>
      <w:tr w:rsidR="00B30F53" w:rsidRPr="002B7B65" w:rsidTr="00B30F53">
        <w:trPr>
          <w:jc w:val="center"/>
        </w:trPr>
        <w:tc>
          <w:tcPr>
            <w:tcW w:w="925" w:type="pct"/>
            <w:tcBorders>
              <w:top w:val="nil"/>
              <w:left w:val="nil"/>
              <w:bottom w:val="nil"/>
              <w:right w:val="nil"/>
            </w:tcBorders>
            <w:vAlign w:val="center"/>
          </w:tcPr>
          <w:p w:rsidR="00B30F53" w:rsidRPr="002B7B65" w:rsidRDefault="00B30F53" w:rsidP="00B30F53">
            <w:pPr>
              <w:pStyle w:val="Caption"/>
              <w:jc w:val="center"/>
              <w:rPr>
                <w:rFonts w:ascii="Times New Roman" w:hAnsi="Times New Roman" w:cs="Times New Roman"/>
              </w:rPr>
            </w:pPr>
            <w:r w:rsidRPr="002B7B65">
              <w:rPr>
                <w:rFonts w:ascii="Times New Roman" w:hAnsi="Times New Roman" w:cs="Times New Roman"/>
              </w:rPr>
              <w:t>Benzene</w:t>
            </w:r>
          </w:p>
        </w:tc>
        <w:tc>
          <w:tcPr>
            <w:tcW w:w="521" w:type="pct"/>
            <w:tcBorders>
              <w:top w:val="nil"/>
              <w:left w:val="nil"/>
              <w:bottom w:val="nil"/>
              <w:right w:val="nil"/>
            </w:tcBorders>
            <w:vAlign w:val="center"/>
          </w:tcPr>
          <w:p w:rsidR="00B30F53" w:rsidRPr="002B7B65" w:rsidRDefault="00B30F53" w:rsidP="00B30F53">
            <w:pPr>
              <w:pStyle w:val="Caption"/>
              <w:jc w:val="center"/>
              <w:rPr>
                <w:rFonts w:ascii="Times New Roman" w:hAnsi="Times New Roman" w:cs="Times New Roman"/>
              </w:rPr>
            </w:pPr>
            <w:r w:rsidRPr="002B7B65">
              <w:rPr>
                <w:rFonts w:ascii="Times New Roman" w:hAnsi="Times New Roman" w:cs="Times New Roman"/>
              </w:rPr>
              <w:t>N/A</w:t>
            </w:r>
          </w:p>
        </w:tc>
        <w:tc>
          <w:tcPr>
            <w:tcW w:w="695" w:type="pct"/>
            <w:tcBorders>
              <w:top w:val="nil"/>
              <w:left w:val="nil"/>
              <w:bottom w:val="nil"/>
              <w:right w:val="nil"/>
            </w:tcBorders>
            <w:vAlign w:val="center"/>
          </w:tcPr>
          <w:p w:rsidR="00B30F53" w:rsidRPr="002B7B65" w:rsidRDefault="00B30F53" w:rsidP="00B30F53">
            <w:pPr>
              <w:pStyle w:val="Caption"/>
              <w:jc w:val="center"/>
              <w:rPr>
                <w:rFonts w:ascii="Times New Roman" w:hAnsi="Times New Roman" w:cs="Times New Roman"/>
              </w:rPr>
            </w:pPr>
            <w:r w:rsidRPr="002B7B65">
              <w:rPr>
                <w:rFonts w:ascii="Times New Roman" w:hAnsi="Times New Roman" w:cs="Times New Roman"/>
              </w:rPr>
              <w:t>394</w:t>
            </w:r>
          </w:p>
        </w:tc>
        <w:tc>
          <w:tcPr>
            <w:tcW w:w="682" w:type="pct"/>
            <w:tcBorders>
              <w:top w:val="nil"/>
              <w:left w:val="nil"/>
              <w:bottom w:val="nil"/>
              <w:right w:val="nil"/>
            </w:tcBorders>
            <w:vAlign w:val="center"/>
          </w:tcPr>
          <w:p w:rsidR="00B30F53" w:rsidRPr="002B7B65" w:rsidRDefault="00B30F53" w:rsidP="00B30F53">
            <w:pPr>
              <w:pStyle w:val="Caption"/>
              <w:jc w:val="center"/>
              <w:rPr>
                <w:rFonts w:ascii="Times New Roman" w:hAnsi="Times New Roman" w:cs="Times New Roman"/>
              </w:rPr>
            </w:pPr>
            <w:r w:rsidRPr="002B7B65">
              <w:rPr>
                <w:rFonts w:ascii="Times New Roman" w:hAnsi="Times New Roman" w:cs="Times New Roman"/>
              </w:rPr>
              <w:t>562</w:t>
            </w:r>
          </w:p>
        </w:tc>
        <w:tc>
          <w:tcPr>
            <w:tcW w:w="808" w:type="pct"/>
            <w:tcBorders>
              <w:top w:val="nil"/>
              <w:left w:val="nil"/>
              <w:bottom w:val="nil"/>
              <w:right w:val="nil"/>
            </w:tcBorders>
            <w:vAlign w:val="center"/>
          </w:tcPr>
          <w:p w:rsidR="00B30F53" w:rsidRPr="002B7B65" w:rsidRDefault="00B30F53" w:rsidP="00B30F53">
            <w:pPr>
              <w:pStyle w:val="Caption"/>
              <w:jc w:val="center"/>
              <w:rPr>
                <w:rFonts w:ascii="Times New Roman" w:hAnsi="Times New Roman" w:cs="Times New Roman"/>
              </w:rPr>
            </w:pPr>
            <w:r w:rsidRPr="002B7B65">
              <w:rPr>
                <w:rFonts w:ascii="Times New Roman" w:hAnsi="Times New Roman" w:cs="Times New Roman"/>
              </w:rPr>
              <w:t>760</w:t>
            </w:r>
          </w:p>
        </w:tc>
        <w:tc>
          <w:tcPr>
            <w:tcW w:w="457" w:type="pct"/>
            <w:tcBorders>
              <w:top w:val="nil"/>
              <w:left w:val="nil"/>
              <w:bottom w:val="nil"/>
              <w:right w:val="nil"/>
            </w:tcBorders>
            <w:vAlign w:val="center"/>
          </w:tcPr>
          <w:p w:rsidR="00B30F53" w:rsidRPr="002B7B65" w:rsidRDefault="00B30F53" w:rsidP="00B30F53">
            <w:pPr>
              <w:pStyle w:val="Caption"/>
              <w:jc w:val="center"/>
              <w:rPr>
                <w:rFonts w:ascii="Times New Roman" w:hAnsi="Times New Roman" w:cs="Times New Roman"/>
              </w:rPr>
            </w:pPr>
            <w:r w:rsidRPr="002B7B65">
              <w:rPr>
                <w:rFonts w:ascii="Times New Roman" w:hAnsi="Times New Roman" w:cs="Times New Roman"/>
              </w:rPr>
              <w:t>-11</w:t>
            </w:r>
          </w:p>
        </w:tc>
        <w:tc>
          <w:tcPr>
            <w:tcW w:w="396" w:type="pct"/>
            <w:tcBorders>
              <w:top w:val="nil"/>
              <w:left w:val="nil"/>
              <w:bottom w:val="nil"/>
              <w:right w:val="nil"/>
            </w:tcBorders>
            <w:vAlign w:val="center"/>
          </w:tcPr>
          <w:p w:rsidR="00B30F53" w:rsidRPr="002B7B65" w:rsidRDefault="00B30F53" w:rsidP="00B30F53">
            <w:pPr>
              <w:pStyle w:val="Caption"/>
              <w:jc w:val="center"/>
              <w:rPr>
                <w:rFonts w:ascii="Times New Roman" w:hAnsi="Times New Roman" w:cs="Times New Roman"/>
              </w:rPr>
            </w:pPr>
            <w:r w:rsidRPr="002B7B65">
              <w:rPr>
                <w:rFonts w:ascii="Times New Roman" w:hAnsi="Times New Roman" w:cs="Times New Roman"/>
              </w:rPr>
              <w:t>289</w:t>
            </w:r>
          </w:p>
        </w:tc>
        <w:tc>
          <w:tcPr>
            <w:tcW w:w="516" w:type="pct"/>
            <w:tcBorders>
              <w:top w:val="nil"/>
              <w:left w:val="nil"/>
              <w:bottom w:val="nil"/>
              <w:right w:val="nil"/>
            </w:tcBorders>
            <w:vAlign w:val="center"/>
          </w:tcPr>
          <w:p w:rsidR="00B30F53" w:rsidRPr="002B7B65" w:rsidRDefault="00B30F53" w:rsidP="00B30F53">
            <w:pPr>
              <w:pStyle w:val="Caption"/>
              <w:jc w:val="center"/>
              <w:rPr>
                <w:rFonts w:ascii="Times New Roman" w:hAnsi="Times New Roman" w:cs="Times New Roman"/>
              </w:rPr>
            </w:pPr>
            <w:r w:rsidRPr="002B7B65">
              <w:rPr>
                <w:rFonts w:ascii="Times New Roman" w:hAnsi="Times New Roman" w:cs="Times New Roman"/>
              </w:rPr>
              <w:t>4.91</w:t>
            </w:r>
          </w:p>
        </w:tc>
      </w:tr>
      <w:tr w:rsidR="00B30F53" w:rsidRPr="002B7B65" w:rsidTr="00B30F53">
        <w:trPr>
          <w:jc w:val="center"/>
        </w:trPr>
        <w:tc>
          <w:tcPr>
            <w:tcW w:w="925" w:type="pct"/>
            <w:tcBorders>
              <w:top w:val="nil"/>
              <w:left w:val="nil"/>
              <w:bottom w:val="nil"/>
              <w:right w:val="nil"/>
            </w:tcBorders>
            <w:vAlign w:val="center"/>
          </w:tcPr>
          <w:p w:rsidR="00B30F53" w:rsidRPr="002B7B65" w:rsidRDefault="00B30F53" w:rsidP="00B30F53">
            <w:pPr>
              <w:pStyle w:val="Caption"/>
              <w:jc w:val="center"/>
              <w:rPr>
                <w:rFonts w:ascii="Times New Roman" w:hAnsi="Times New Roman" w:cs="Times New Roman"/>
              </w:rPr>
            </w:pPr>
            <w:r w:rsidRPr="002B7B65">
              <w:rPr>
                <w:rFonts w:ascii="Times New Roman" w:hAnsi="Times New Roman" w:cs="Times New Roman"/>
              </w:rPr>
              <w:t>Toluene</w:t>
            </w:r>
          </w:p>
        </w:tc>
        <w:tc>
          <w:tcPr>
            <w:tcW w:w="521" w:type="pct"/>
            <w:tcBorders>
              <w:top w:val="nil"/>
              <w:left w:val="nil"/>
              <w:bottom w:val="nil"/>
              <w:right w:val="nil"/>
            </w:tcBorders>
            <w:vAlign w:val="center"/>
          </w:tcPr>
          <w:p w:rsidR="00B30F53" w:rsidRPr="002B7B65" w:rsidRDefault="00B30F53" w:rsidP="00B30F53">
            <w:pPr>
              <w:pStyle w:val="Caption"/>
              <w:jc w:val="center"/>
              <w:rPr>
                <w:rFonts w:ascii="Times New Roman" w:hAnsi="Times New Roman" w:cs="Times New Roman"/>
              </w:rPr>
            </w:pPr>
            <w:r w:rsidRPr="002B7B65">
              <w:rPr>
                <w:rFonts w:ascii="Times New Roman" w:hAnsi="Times New Roman" w:cs="Times New Roman"/>
              </w:rPr>
              <w:t>2.7</w:t>
            </w:r>
          </w:p>
        </w:tc>
        <w:tc>
          <w:tcPr>
            <w:tcW w:w="695" w:type="pct"/>
            <w:tcBorders>
              <w:top w:val="nil"/>
              <w:left w:val="nil"/>
              <w:bottom w:val="nil"/>
              <w:right w:val="nil"/>
            </w:tcBorders>
            <w:vAlign w:val="center"/>
          </w:tcPr>
          <w:p w:rsidR="00B30F53" w:rsidRPr="002B7B65" w:rsidRDefault="00B30F53" w:rsidP="00B30F53">
            <w:pPr>
              <w:pStyle w:val="Caption"/>
              <w:jc w:val="center"/>
              <w:rPr>
                <w:rFonts w:ascii="Times New Roman" w:hAnsi="Times New Roman" w:cs="Times New Roman"/>
              </w:rPr>
            </w:pPr>
            <w:r w:rsidRPr="002B7B65">
              <w:rPr>
                <w:rFonts w:ascii="Times New Roman" w:hAnsi="Times New Roman" w:cs="Times New Roman"/>
              </w:rPr>
              <w:t>361</w:t>
            </w:r>
          </w:p>
        </w:tc>
        <w:tc>
          <w:tcPr>
            <w:tcW w:w="682" w:type="pct"/>
            <w:tcBorders>
              <w:top w:val="nil"/>
              <w:left w:val="nil"/>
              <w:bottom w:val="nil"/>
              <w:right w:val="nil"/>
            </w:tcBorders>
            <w:vAlign w:val="center"/>
          </w:tcPr>
          <w:p w:rsidR="00B30F53" w:rsidRPr="002B7B65" w:rsidRDefault="00B30F53" w:rsidP="00B30F53">
            <w:pPr>
              <w:pStyle w:val="Caption"/>
              <w:jc w:val="center"/>
              <w:rPr>
                <w:rFonts w:ascii="Times New Roman" w:hAnsi="Times New Roman" w:cs="Times New Roman"/>
              </w:rPr>
            </w:pPr>
            <w:r w:rsidRPr="002B7B65">
              <w:rPr>
                <w:rFonts w:ascii="Times New Roman" w:hAnsi="Times New Roman" w:cs="Times New Roman"/>
              </w:rPr>
              <w:t>536</w:t>
            </w:r>
          </w:p>
        </w:tc>
        <w:tc>
          <w:tcPr>
            <w:tcW w:w="808" w:type="pct"/>
            <w:tcBorders>
              <w:top w:val="nil"/>
              <w:left w:val="nil"/>
              <w:bottom w:val="nil"/>
              <w:right w:val="nil"/>
            </w:tcBorders>
            <w:vAlign w:val="center"/>
          </w:tcPr>
          <w:p w:rsidR="00B30F53" w:rsidRPr="002B7B65" w:rsidRDefault="00B30F53" w:rsidP="00B30F53">
            <w:pPr>
              <w:pStyle w:val="Caption"/>
              <w:jc w:val="center"/>
              <w:rPr>
                <w:rFonts w:ascii="Times New Roman" w:hAnsi="Times New Roman" w:cs="Times New Roman"/>
              </w:rPr>
            </w:pPr>
            <w:r w:rsidRPr="002B7B65">
              <w:rPr>
                <w:rFonts w:ascii="Times New Roman" w:hAnsi="Times New Roman" w:cs="Times New Roman"/>
              </w:rPr>
              <w:t>399</w:t>
            </w:r>
          </w:p>
        </w:tc>
        <w:tc>
          <w:tcPr>
            <w:tcW w:w="457" w:type="pct"/>
            <w:tcBorders>
              <w:top w:val="nil"/>
              <w:left w:val="nil"/>
              <w:bottom w:val="nil"/>
              <w:right w:val="nil"/>
            </w:tcBorders>
            <w:vAlign w:val="center"/>
          </w:tcPr>
          <w:p w:rsidR="00B30F53" w:rsidRPr="002B7B65" w:rsidRDefault="00B30F53" w:rsidP="00B30F53">
            <w:pPr>
              <w:pStyle w:val="Caption"/>
              <w:jc w:val="center"/>
              <w:rPr>
                <w:rFonts w:ascii="Times New Roman" w:hAnsi="Times New Roman" w:cs="Times New Roman"/>
              </w:rPr>
            </w:pPr>
            <w:r w:rsidRPr="002B7B65">
              <w:rPr>
                <w:rFonts w:ascii="Times New Roman" w:hAnsi="Times New Roman" w:cs="Times New Roman"/>
              </w:rPr>
              <w:t>4</w:t>
            </w:r>
          </w:p>
        </w:tc>
        <w:tc>
          <w:tcPr>
            <w:tcW w:w="396" w:type="pct"/>
            <w:tcBorders>
              <w:top w:val="nil"/>
              <w:left w:val="nil"/>
              <w:bottom w:val="nil"/>
              <w:right w:val="nil"/>
            </w:tcBorders>
            <w:vAlign w:val="center"/>
          </w:tcPr>
          <w:p w:rsidR="00B30F53" w:rsidRPr="002B7B65" w:rsidRDefault="00B30F53" w:rsidP="00B30F53">
            <w:pPr>
              <w:pStyle w:val="Caption"/>
              <w:jc w:val="center"/>
              <w:rPr>
                <w:rFonts w:ascii="Times New Roman" w:hAnsi="Times New Roman" w:cs="Times New Roman"/>
              </w:rPr>
            </w:pPr>
            <w:r w:rsidRPr="002B7B65">
              <w:rPr>
                <w:rFonts w:ascii="Times New Roman" w:hAnsi="Times New Roman" w:cs="Times New Roman"/>
              </w:rPr>
              <w:t>318</w:t>
            </w:r>
          </w:p>
        </w:tc>
        <w:tc>
          <w:tcPr>
            <w:tcW w:w="516" w:type="pct"/>
            <w:tcBorders>
              <w:top w:val="nil"/>
              <w:left w:val="nil"/>
              <w:bottom w:val="nil"/>
              <w:right w:val="nil"/>
            </w:tcBorders>
            <w:vAlign w:val="center"/>
          </w:tcPr>
          <w:p w:rsidR="00B30F53" w:rsidRPr="002B7B65" w:rsidRDefault="00B30F53" w:rsidP="00B30F53">
            <w:pPr>
              <w:pStyle w:val="Caption"/>
              <w:jc w:val="center"/>
              <w:rPr>
                <w:rFonts w:ascii="Times New Roman" w:hAnsi="Times New Roman" w:cs="Times New Roman"/>
              </w:rPr>
            </w:pPr>
            <w:r w:rsidRPr="002B7B65">
              <w:rPr>
                <w:rFonts w:ascii="Times New Roman" w:hAnsi="Times New Roman" w:cs="Times New Roman"/>
              </w:rPr>
              <w:t>4.13</w:t>
            </w:r>
          </w:p>
        </w:tc>
      </w:tr>
      <w:tr w:rsidR="00B30F53" w:rsidRPr="002B7B65" w:rsidTr="00B30F53">
        <w:trPr>
          <w:jc w:val="center"/>
        </w:trPr>
        <w:tc>
          <w:tcPr>
            <w:tcW w:w="925" w:type="pct"/>
            <w:tcBorders>
              <w:top w:val="nil"/>
              <w:left w:val="nil"/>
              <w:bottom w:val="nil"/>
              <w:right w:val="nil"/>
            </w:tcBorders>
            <w:vAlign w:val="center"/>
          </w:tcPr>
          <w:p w:rsidR="00B30F53" w:rsidRPr="002B7B65" w:rsidRDefault="00B30F53" w:rsidP="00B30F53">
            <w:pPr>
              <w:pStyle w:val="Caption"/>
              <w:jc w:val="center"/>
              <w:rPr>
                <w:rFonts w:ascii="Times New Roman" w:hAnsi="Times New Roman" w:cs="Times New Roman"/>
              </w:rPr>
            </w:pPr>
            <w:r w:rsidRPr="002B7B65">
              <w:rPr>
                <w:rFonts w:ascii="Times New Roman" w:hAnsi="Times New Roman" w:cs="Times New Roman"/>
              </w:rPr>
              <w:t>Heptane</w:t>
            </w:r>
          </w:p>
        </w:tc>
        <w:tc>
          <w:tcPr>
            <w:tcW w:w="521" w:type="pct"/>
            <w:tcBorders>
              <w:top w:val="nil"/>
              <w:left w:val="nil"/>
              <w:bottom w:val="nil"/>
              <w:right w:val="nil"/>
            </w:tcBorders>
            <w:vAlign w:val="center"/>
          </w:tcPr>
          <w:p w:rsidR="00B30F53" w:rsidRPr="002B7B65" w:rsidRDefault="00B30F53" w:rsidP="00B30F53">
            <w:pPr>
              <w:pStyle w:val="Caption"/>
              <w:jc w:val="center"/>
              <w:rPr>
                <w:rFonts w:ascii="Times New Roman" w:hAnsi="Times New Roman" w:cs="Times New Roman"/>
              </w:rPr>
            </w:pPr>
            <w:r w:rsidRPr="002B7B65">
              <w:rPr>
                <w:rFonts w:ascii="Times New Roman" w:hAnsi="Times New Roman" w:cs="Times New Roman"/>
              </w:rPr>
              <w:t>3.0</w:t>
            </w:r>
          </w:p>
        </w:tc>
        <w:tc>
          <w:tcPr>
            <w:tcW w:w="695" w:type="pct"/>
            <w:tcBorders>
              <w:top w:val="nil"/>
              <w:left w:val="nil"/>
              <w:bottom w:val="nil"/>
              <w:right w:val="nil"/>
            </w:tcBorders>
            <w:vAlign w:val="center"/>
          </w:tcPr>
          <w:p w:rsidR="00B30F53" w:rsidRPr="002B7B65" w:rsidRDefault="00B30F53" w:rsidP="00B30F53">
            <w:pPr>
              <w:pStyle w:val="Caption"/>
              <w:jc w:val="center"/>
              <w:rPr>
                <w:rFonts w:ascii="Times New Roman" w:hAnsi="Times New Roman" w:cs="Times New Roman"/>
              </w:rPr>
            </w:pPr>
            <w:r w:rsidRPr="002B7B65">
              <w:rPr>
                <w:rFonts w:ascii="Times New Roman" w:hAnsi="Times New Roman" w:cs="Times New Roman"/>
              </w:rPr>
              <w:t>317</w:t>
            </w:r>
          </w:p>
        </w:tc>
        <w:tc>
          <w:tcPr>
            <w:tcW w:w="682" w:type="pct"/>
            <w:tcBorders>
              <w:top w:val="nil"/>
              <w:left w:val="nil"/>
              <w:bottom w:val="nil"/>
              <w:right w:val="nil"/>
            </w:tcBorders>
            <w:vAlign w:val="center"/>
          </w:tcPr>
          <w:p w:rsidR="00B30F53" w:rsidRPr="002B7B65" w:rsidRDefault="00B30F53" w:rsidP="00B30F53">
            <w:pPr>
              <w:pStyle w:val="Caption"/>
              <w:jc w:val="center"/>
              <w:rPr>
                <w:rFonts w:ascii="Times New Roman" w:hAnsi="Times New Roman" w:cs="Times New Roman"/>
              </w:rPr>
            </w:pPr>
            <w:r w:rsidRPr="002B7B65">
              <w:rPr>
                <w:rFonts w:ascii="Times New Roman" w:hAnsi="Times New Roman" w:cs="Times New Roman"/>
              </w:rPr>
              <w:t>223</w:t>
            </w:r>
          </w:p>
        </w:tc>
        <w:tc>
          <w:tcPr>
            <w:tcW w:w="808" w:type="pct"/>
            <w:tcBorders>
              <w:top w:val="nil"/>
              <w:left w:val="nil"/>
              <w:bottom w:val="nil"/>
              <w:right w:val="nil"/>
            </w:tcBorders>
            <w:vAlign w:val="center"/>
          </w:tcPr>
          <w:p w:rsidR="00B30F53" w:rsidRPr="002B7B65" w:rsidRDefault="00B30F53" w:rsidP="00B30F53">
            <w:pPr>
              <w:pStyle w:val="Caption"/>
              <w:jc w:val="center"/>
              <w:rPr>
                <w:rFonts w:ascii="Times New Roman" w:hAnsi="Times New Roman" w:cs="Times New Roman"/>
              </w:rPr>
            </w:pPr>
            <w:r w:rsidRPr="002B7B65">
              <w:rPr>
                <w:rFonts w:ascii="Times New Roman" w:hAnsi="Times New Roman" w:cs="Times New Roman"/>
              </w:rPr>
              <w:t>550</w:t>
            </w:r>
          </w:p>
        </w:tc>
        <w:tc>
          <w:tcPr>
            <w:tcW w:w="457" w:type="pct"/>
            <w:tcBorders>
              <w:top w:val="nil"/>
              <w:left w:val="nil"/>
              <w:bottom w:val="nil"/>
              <w:right w:val="nil"/>
            </w:tcBorders>
            <w:vAlign w:val="center"/>
          </w:tcPr>
          <w:p w:rsidR="00B30F53" w:rsidRPr="002B7B65" w:rsidRDefault="00B30F53" w:rsidP="00B30F53">
            <w:pPr>
              <w:pStyle w:val="Caption"/>
              <w:jc w:val="center"/>
              <w:rPr>
                <w:rFonts w:ascii="Times New Roman" w:hAnsi="Times New Roman" w:cs="Times New Roman"/>
              </w:rPr>
            </w:pPr>
            <w:r w:rsidRPr="002B7B65">
              <w:rPr>
                <w:rFonts w:ascii="Times New Roman" w:hAnsi="Times New Roman" w:cs="Times New Roman"/>
              </w:rPr>
              <w:t>-4</w:t>
            </w:r>
          </w:p>
        </w:tc>
        <w:tc>
          <w:tcPr>
            <w:tcW w:w="396" w:type="pct"/>
            <w:tcBorders>
              <w:top w:val="nil"/>
              <w:left w:val="nil"/>
              <w:bottom w:val="nil"/>
              <w:right w:val="nil"/>
            </w:tcBorders>
            <w:vAlign w:val="center"/>
          </w:tcPr>
          <w:p w:rsidR="00B30F53" w:rsidRPr="002B7B65" w:rsidRDefault="00B30F53" w:rsidP="00B30F53">
            <w:pPr>
              <w:pStyle w:val="Caption"/>
              <w:jc w:val="center"/>
              <w:rPr>
                <w:rFonts w:ascii="Times New Roman" w:hAnsi="Times New Roman" w:cs="Times New Roman"/>
              </w:rPr>
            </w:pPr>
            <w:r w:rsidRPr="002B7B65">
              <w:rPr>
                <w:rFonts w:ascii="Times New Roman" w:hAnsi="Times New Roman" w:cs="Times New Roman"/>
              </w:rPr>
              <w:t>267</w:t>
            </w:r>
          </w:p>
        </w:tc>
        <w:tc>
          <w:tcPr>
            <w:tcW w:w="516" w:type="pct"/>
            <w:tcBorders>
              <w:top w:val="nil"/>
              <w:left w:val="nil"/>
              <w:bottom w:val="nil"/>
              <w:right w:val="nil"/>
            </w:tcBorders>
            <w:vAlign w:val="center"/>
          </w:tcPr>
          <w:p w:rsidR="00B30F53" w:rsidRPr="002B7B65" w:rsidRDefault="00B30F53" w:rsidP="00B30F53">
            <w:pPr>
              <w:pStyle w:val="Caption"/>
              <w:jc w:val="center"/>
              <w:rPr>
                <w:rFonts w:ascii="Times New Roman" w:hAnsi="Times New Roman" w:cs="Times New Roman"/>
              </w:rPr>
            </w:pPr>
            <w:r w:rsidRPr="002B7B65">
              <w:rPr>
                <w:rFonts w:ascii="Times New Roman" w:hAnsi="Times New Roman" w:cs="Times New Roman"/>
              </w:rPr>
              <w:t>2.74</w:t>
            </w:r>
          </w:p>
        </w:tc>
      </w:tr>
      <w:tr w:rsidR="00B30F53" w:rsidRPr="002B7B65" w:rsidTr="00B30F53">
        <w:trPr>
          <w:jc w:val="center"/>
        </w:trPr>
        <w:tc>
          <w:tcPr>
            <w:tcW w:w="925" w:type="pct"/>
            <w:tcBorders>
              <w:top w:val="nil"/>
              <w:left w:val="nil"/>
              <w:bottom w:val="single" w:sz="4" w:space="0" w:color="auto"/>
              <w:right w:val="nil"/>
            </w:tcBorders>
            <w:vAlign w:val="center"/>
          </w:tcPr>
          <w:p w:rsidR="00B30F53" w:rsidRPr="002B7B65" w:rsidRDefault="00B30F53" w:rsidP="00B30F53">
            <w:pPr>
              <w:pStyle w:val="Caption"/>
              <w:jc w:val="center"/>
              <w:rPr>
                <w:rFonts w:ascii="Times New Roman" w:hAnsi="Times New Roman" w:cs="Times New Roman"/>
                <w:sz w:val="16"/>
                <w:szCs w:val="16"/>
              </w:rPr>
            </w:pPr>
            <w:r w:rsidRPr="002B7B65">
              <w:rPr>
                <w:rFonts w:ascii="Times New Roman" w:hAnsi="Times New Roman" w:cs="Times New Roman"/>
                <w:sz w:val="16"/>
                <w:szCs w:val="16"/>
              </w:rPr>
              <w:t>Hexamethyldisiloxane</w:t>
            </w:r>
          </w:p>
          <w:p w:rsidR="00B30F53" w:rsidRPr="002B7B65" w:rsidRDefault="00B30F53" w:rsidP="00B30F53">
            <w:pPr>
              <w:pStyle w:val="Caption"/>
              <w:jc w:val="center"/>
              <w:rPr>
                <w:rFonts w:ascii="Times New Roman" w:hAnsi="Times New Roman" w:cs="Times New Roman"/>
              </w:rPr>
            </w:pPr>
            <w:r w:rsidRPr="002B7B65">
              <w:rPr>
                <w:rFonts w:ascii="Times New Roman" w:hAnsi="Times New Roman" w:cs="Times New Roman"/>
                <w:sz w:val="16"/>
                <w:szCs w:val="16"/>
              </w:rPr>
              <w:t>(MM)</w:t>
            </w:r>
          </w:p>
        </w:tc>
        <w:tc>
          <w:tcPr>
            <w:tcW w:w="521" w:type="pct"/>
            <w:tcBorders>
              <w:top w:val="nil"/>
              <w:left w:val="nil"/>
              <w:bottom w:val="single" w:sz="4" w:space="0" w:color="auto"/>
              <w:right w:val="nil"/>
            </w:tcBorders>
            <w:vAlign w:val="center"/>
          </w:tcPr>
          <w:p w:rsidR="00B30F53" w:rsidRPr="002B7B65" w:rsidRDefault="00B30F53" w:rsidP="00B30F53">
            <w:pPr>
              <w:pStyle w:val="Caption"/>
              <w:jc w:val="center"/>
              <w:rPr>
                <w:rFonts w:ascii="Times New Roman" w:hAnsi="Times New Roman" w:cs="Times New Roman"/>
              </w:rPr>
            </w:pPr>
            <w:r w:rsidRPr="002B7B65">
              <w:rPr>
                <w:rFonts w:ascii="Times New Roman" w:hAnsi="Times New Roman" w:cs="Times New Roman"/>
              </w:rPr>
              <w:t>&lt;10</w:t>
            </w:r>
          </w:p>
        </w:tc>
        <w:tc>
          <w:tcPr>
            <w:tcW w:w="695" w:type="pct"/>
            <w:tcBorders>
              <w:top w:val="nil"/>
              <w:left w:val="nil"/>
              <w:bottom w:val="single" w:sz="4" w:space="0" w:color="auto"/>
              <w:right w:val="nil"/>
            </w:tcBorders>
            <w:vAlign w:val="center"/>
          </w:tcPr>
          <w:p w:rsidR="00B30F53" w:rsidRPr="002B7B65" w:rsidRDefault="00B30F53" w:rsidP="00B30F53">
            <w:pPr>
              <w:pStyle w:val="Caption"/>
              <w:jc w:val="center"/>
              <w:rPr>
                <w:rFonts w:ascii="Times New Roman" w:hAnsi="Times New Roman" w:cs="Times New Roman"/>
              </w:rPr>
            </w:pPr>
            <w:r w:rsidRPr="002B7B65">
              <w:rPr>
                <w:rFonts w:ascii="Times New Roman" w:hAnsi="Times New Roman" w:cs="Times New Roman"/>
              </w:rPr>
              <w:t>193</w:t>
            </w:r>
          </w:p>
        </w:tc>
        <w:tc>
          <w:tcPr>
            <w:tcW w:w="682" w:type="pct"/>
            <w:tcBorders>
              <w:top w:val="nil"/>
              <w:left w:val="nil"/>
              <w:bottom w:val="single" w:sz="4" w:space="0" w:color="auto"/>
              <w:right w:val="nil"/>
            </w:tcBorders>
            <w:vAlign w:val="center"/>
          </w:tcPr>
          <w:p w:rsidR="00B30F53" w:rsidRPr="002B7B65" w:rsidRDefault="00B30F53" w:rsidP="00B30F53">
            <w:pPr>
              <w:pStyle w:val="Caption"/>
              <w:jc w:val="center"/>
              <w:rPr>
                <w:rFonts w:ascii="Times New Roman" w:hAnsi="Times New Roman" w:cs="Times New Roman"/>
              </w:rPr>
            </w:pPr>
            <w:r w:rsidRPr="002B7B65">
              <w:rPr>
                <w:rFonts w:ascii="Times New Roman" w:hAnsi="Times New Roman" w:cs="Times New Roman"/>
              </w:rPr>
              <w:t>341</w:t>
            </w:r>
          </w:p>
        </w:tc>
        <w:tc>
          <w:tcPr>
            <w:tcW w:w="808" w:type="pct"/>
            <w:tcBorders>
              <w:top w:val="nil"/>
              <w:left w:val="nil"/>
              <w:bottom w:val="single" w:sz="4" w:space="0" w:color="auto"/>
              <w:right w:val="nil"/>
            </w:tcBorders>
            <w:vAlign w:val="center"/>
          </w:tcPr>
          <w:p w:rsidR="00B30F53" w:rsidRPr="002B7B65" w:rsidRDefault="00B30F53" w:rsidP="00B30F53">
            <w:pPr>
              <w:pStyle w:val="Caption"/>
              <w:jc w:val="center"/>
              <w:rPr>
                <w:rFonts w:ascii="Times New Roman" w:hAnsi="Times New Roman" w:cs="Times New Roman"/>
              </w:rPr>
            </w:pPr>
            <w:r w:rsidRPr="002B7B65">
              <w:rPr>
                <w:rFonts w:ascii="Times New Roman" w:hAnsi="Times New Roman" w:cs="Times New Roman"/>
              </w:rPr>
              <w:t>300</w:t>
            </w:r>
          </w:p>
        </w:tc>
        <w:tc>
          <w:tcPr>
            <w:tcW w:w="457" w:type="pct"/>
            <w:tcBorders>
              <w:top w:val="nil"/>
              <w:left w:val="nil"/>
              <w:bottom w:val="single" w:sz="4" w:space="0" w:color="auto"/>
              <w:right w:val="nil"/>
            </w:tcBorders>
            <w:vAlign w:val="center"/>
          </w:tcPr>
          <w:p w:rsidR="00B30F53" w:rsidRPr="002B7B65" w:rsidRDefault="00B30F53" w:rsidP="00B30F53">
            <w:pPr>
              <w:pStyle w:val="Caption"/>
              <w:jc w:val="center"/>
              <w:rPr>
                <w:rFonts w:ascii="Times New Roman" w:hAnsi="Times New Roman" w:cs="Times New Roman"/>
              </w:rPr>
            </w:pPr>
            <w:r w:rsidRPr="002B7B65">
              <w:rPr>
                <w:rFonts w:ascii="Times New Roman" w:hAnsi="Times New Roman" w:cs="Times New Roman"/>
              </w:rPr>
              <w:t>-2</w:t>
            </w:r>
          </w:p>
        </w:tc>
        <w:tc>
          <w:tcPr>
            <w:tcW w:w="396" w:type="pct"/>
            <w:tcBorders>
              <w:top w:val="nil"/>
              <w:left w:val="nil"/>
              <w:bottom w:val="single" w:sz="4" w:space="0" w:color="auto"/>
              <w:right w:val="nil"/>
            </w:tcBorders>
            <w:vAlign w:val="center"/>
          </w:tcPr>
          <w:p w:rsidR="00B30F53" w:rsidRPr="002B7B65" w:rsidRDefault="00B30F53" w:rsidP="00B30F53">
            <w:pPr>
              <w:pStyle w:val="Caption"/>
              <w:jc w:val="center"/>
              <w:rPr>
                <w:rFonts w:ascii="Times New Roman" w:hAnsi="Times New Roman" w:cs="Times New Roman"/>
              </w:rPr>
            </w:pPr>
            <w:r w:rsidRPr="002B7B65">
              <w:rPr>
                <w:rFonts w:ascii="Times New Roman" w:hAnsi="Times New Roman" w:cs="Times New Roman"/>
              </w:rPr>
              <w:t>246</w:t>
            </w:r>
          </w:p>
        </w:tc>
        <w:tc>
          <w:tcPr>
            <w:tcW w:w="516" w:type="pct"/>
            <w:tcBorders>
              <w:top w:val="nil"/>
              <w:left w:val="nil"/>
              <w:bottom w:val="single" w:sz="4" w:space="0" w:color="auto"/>
              <w:right w:val="nil"/>
            </w:tcBorders>
            <w:vAlign w:val="center"/>
          </w:tcPr>
          <w:p w:rsidR="00B30F53" w:rsidRPr="002B7B65" w:rsidRDefault="00B30F53" w:rsidP="00B30F53">
            <w:pPr>
              <w:pStyle w:val="Caption"/>
              <w:jc w:val="center"/>
              <w:rPr>
                <w:rFonts w:ascii="Times New Roman" w:hAnsi="Times New Roman" w:cs="Times New Roman"/>
              </w:rPr>
            </w:pPr>
            <w:r w:rsidRPr="002B7B65">
              <w:rPr>
                <w:rFonts w:ascii="Times New Roman" w:hAnsi="Times New Roman" w:cs="Times New Roman"/>
              </w:rPr>
              <w:t>1.94</w:t>
            </w:r>
          </w:p>
        </w:tc>
      </w:tr>
    </w:tbl>
    <w:p w:rsidR="00D06F8C" w:rsidRPr="00423170" w:rsidRDefault="00D06F8C" w:rsidP="00D06F8C">
      <w:pPr>
        <w:pStyle w:val="Tabletitle"/>
      </w:pPr>
      <w:bookmarkStart w:id="7" w:name="_Ref364884199"/>
      <w:r w:rsidRPr="00423170">
        <w:t xml:space="preserve">Table </w:t>
      </w:r>
      <w:r w:rsidR="001C7E9D">
        <w:fldChar w:fldCharType="begin"/>
      </w:r>
      <w:r w:rsidR="001C7E9D">
        <w:instrText xml:space="preserve"> SEQ Table \* ARABIC </w:instrText>
      </w:r>
      <w:r w:rsidR="001C7E9D">
        <w:fldChar w:fldCharType="separate"/>
      </w:r>
      <w:r w:rsidR="00AA6EE9">
        <w:rPr>
          <w:noProof/>
        </w:rPr>
        <w:t>1</w:t>
      </w:r>
      <w:r w:rsidR="001C7E9D">
        <w:rPr>
          <w:noProof/>
        </w:rPr>
        <w:fldChar w:fldCharType="end"/>
      </w:r>
      <w:bookmarkEnd w:id="7"/>
      <w:r>
        <w:t>:</w:t>
      </w:r>
      <w:r w:rsidRPr="00423170">
        <w:t xml:space="preserve"> Working fluids selected </w:t>
      </w:r>
      <w:r>
        <w:t xml:space="preserve">with </w:t>
      </w:r>
      <w:r w:rsidR="00816EA2">
        <w:t>their</w:t>
      </w:r>
      <w:r>
        <w:t xml:space="preserve"> GWP value in a time interval of 100 years, latent heat, auto-ignition and decomposition temperatures, flash points and, critical temperature and pressure.</w:t>
      </w:r>
    </w:p>
    <w:p w:rsidR="003F41D9" w:rsidRPr="008935AB" w:rsidRDefault="003F41D9" w:rsidP="003F41D9">
      <w:pPr>
        <w:pStyle w:val="Newparagraph"/>
      </w:pPr>
      <w:r w:rsidRPr="008935AB">
        <w:t>The ORC studied here were analysed in their subcritical region. Because of this</w:t>
      </w:r>
      <w:r w:rsidR="00816EA2">
        <w:t>,</w:t>
      </w:r>
      <w:r w:rsidRPr="008935AB">
        <w:t xml:space="preserve"> the pressure and temperature limits were given by the critical points (shown in </w:t>
      </w:r>
      <w:r>
        <w:fldChar w:fldCharType="begin"/>
      </w:r>
      <w:r>
        <w:instrText xml:space="preserve"> REF _Ref364884199 \h  \* MERGEFORMAT </w:instrText>
      </w:r>
      <w:r>
        <w:fldChar w:fldCharType="separate"/>
      </w:r>
      <w:r w:rsidR="00AA6EE9" w:rsidRPr="00423170">
        <w:t xml:space="preserve">Table </w:t>
      </w:r>
      <w:r w:rsidR="00AA6EE9">
        <w:t>1</w:t>
      </w:r>
      <w:r>
        <w:fldChar w:fldCharType="end"/>
      </w:r>
      <w:r w:rsidRPr="008935AB">
        <w:t xml:space="preserve">). </w:t>
      </w:r>
    </w:p>
    <w:p w:rsidR="009B4DB7" w:rsidRPr="008935AB" w:rsidRDefault="009B4DB7" w:rsidP="009B4DB7">
      <w:pPr>
        <w:pStyle w:val="Newparagraph"/>
      </w:pPr>
      <w:r w:rsidRPr="008935AB">
        <w:lastRenderedPageBreak/>
        <w:t xml:space="preserve">Decomposition temperature describes when the fluid </w:t>
      </w:r>
      <w:r w:rsidR="00816EA2">
        <w:t>beings</w:t>
      </w:r>
      <w:r w:rsidRPr="008935AB">
        <w:t xml:space="preserve"> to decompose chemically. If the conditions in the system exceed this temperature</w:t>
      </w:r>
      <w:r w:rsidR="00816EA2">
        <w:t>,</w:t>
      </w:r>
      <w:r w:rsidRPr="008935AB">
        <w:t xml:space="preserve"> the useful life of the fluid will be reduced </w:t>
      </w:r>
      <w:r w:rsidRPr="008935AB">
        <w:fldChar w:fldCharType="begin" w:fldLock="1"/>
      </w:r>
      <w:r w:rsidR="005E20C3">
        <w:instrText>ADDIN CSL_CITATION { "citationItems" : [ { "id" : "ITEM-1", "itemData" : { "DOI" : "10.1243/09576509JPE998", "ISSN" : "0957-6509", "abstract" : "In this article, the authors performed the thermodynamic optimization of organic Rankine cycles (ORCs) using several working fluids and considered the effect of three heat rejec- tion media in the condenser: cooling water, ambient air, and hot water at high temperature for co- or trigeneration applications. The ORC system was modelled and optimized using the Aspen Hysys process simulator. The objective function is the maximization of turbine power output. Most natural gas compression stations use no heat recovery system. In this study, they applied the optimization procedure to the recovery of waste heat fromgas turbines used to drive natural gas compressors in natural gas pumping stations. They used operational data from an existing pumping station to illustrate the potential benefits of ORC systems for this application, taking into account also non-thermodynamic aspects such as toxicity, flammability, and investment cost return. The highest ORC turbine output powerswere obtained with aromatic hydrocarbons, then with aromatic fluorocarbons, n-hydrocarbons, and siloxanes (in that order). For the case studied here \u2013 a gas turbine of 2.6MW of mechanical power\u2013 the proposed ORC can produce around 1MWe, with a thermal efficiency of up to 24 per cent depending on the working fluid and condensing temperature.", "author" : [ { "dropping-particle" : "", "family" : "Saavedra", "given" : "I", "non-dropping-particle" : "", "parse-names" : false, "suffix" : "" }, { "dropping-particle" : "", "family" : "Bruno", "given" : "J C", "non-dropping-particle" : "", "parse-names" : false, "suffix" : "" }, { "dropping-particle" : "", "family" : "Coronas", "given" : "A", "non-dropping-particle" : "", "parse-names" : false, "suffix" : "" } ], "container-title" : "Proceedings of the Institution of Mechanical Engineers, Part A: Journal of Power and Energy", "id" : "ITEM-1", "issue" : "7", "issued" : { "date-parts" : [ [ "2010", "11", "1" ] ] }, "page" : "917-930", "title" : "Thermodynamic optimization of organic Rankine cycles at several condensing temperatures: case study of waste heat recovery in a natural gas compressor station", "type" : "article-journal", "volume" : "224" }, "uris" : [ "http://www.mendeley.com/documents/?uuid=6a76ff70-1a27-4e35-a7be-2ab671213610" ] } ], "mendeley" : { "formattedCitation" : "(Saavedra et al. 2010)", "plainTextFormattedCitation" : "(Saavedra et al. 2010)", "previouslyFormattedCitation" : "(Saavedra et al. 2010)" }, "properties" : { "noteIndex" : 0 }, "schema" : "https://github.com/citation-style-language/schema/raw/master/csl-citation.json" }</w:instrText>
      </w:r>
      <w:r w:rsidRPr="008935AB">
        <w:fldChar w:fldCharType="separate"/>
      </w:r>
      <w:r w:rsidRPr="009B4DB7">
        <w:rPr>
          <w:noProof/>
        </w:rPr>
        <w:t>(Saavedra et al. 2010)</w:t>
      </w:r>
      <w:r w:rsidRPr="008935AB">
        <w:fldChar w:fldCharType="end"/>
      </w:r>
      <w:r w:rsidRPr="008935AB">
        <w:t xml:space="preserve">. An important characteristic of the organic fluid with regard to marine safety is the auto-ignition temperature. </w:t>
      </w:r>
    </w:p>
    <w:p w:rsidR="009B4DB7" w:rsidRPr="008935AB" w:rsidRDefault="009B4DB7" w:rsidP="009B4DB7">
      <w:pPr>
        <w:pStyle w:val="Heading2"/>
        <w:rPr>
          <w:szCs w:val="20"/>
        </w:rPr>
      </w:pPr>
      <w:r w:rsidRPr="008935AB">
        <w:rPr>
          <w:szCs w:val="20"/>
        </w:rPr>
        <w:t>Thermal oil</w:t>
      </w:r>
    </w:p>
    <w:p w:rsidR="009B4DB7" w:rsidRPr="008935AB" w:rsidRDefault="009B4DB7" w:rsidP="009B4DB7">
      <w:pPr>
        <w:pStyle w:val="Paragraph"/>
      </w:pPr>
      <w:r w:rsidRPr="001F1B94">
        <w:t>In order to transfer the waste heat to the organic fluids</w:t>
      </w:r>
      <w:r w:rsidR="00816EA2">
        <w:t>,</w:t>
      </w:r>
      <w:r w:rsidRPr="001F1B94">
        <w:t xml:space="preserve"> a thermal oil circuit </w:t>
      </w:r>
      <w:r w:rsidR="00E149B6">
        <w:t>wa</w:t>
      </w:r>
      <w:r w:rsidRPr="001F1B94">
        <w:t xml:space="preserve">s modelled into the code. </w:t>
      </w:r>
      <w:r>
        <w:t>For some organic fluids this is essential to protect them from thermal decomposition. Aboard ship it is required</w:t>
      </w:r>
      <w:r w:rsidR="00E149B6">
        <w:t>,</w:t>
      </w:r>
      <w:r>
        <w:t xml:space="preserve"> d</w:t>
      </w:r>
      <w:r w:rsidRPr="008935AB">
        <w:t xml:space="preserve">ue to the low flash points of the organic fluids selected and regulations given by the International Convention for the Safety of Life at Sea (SOLAS) </w:t>
      </w:r>
      <w:r w:rsidR="004A7186">
        <w:t xml:space="preserve">in </w:t>
      </w:r>
      <w:r w:rsidRPr="008935AB">
        <w:t xml:space="preserve">Chapter II-2, </w:t>
      </w:r>
      <w:r w:rsidR="00E149B6">
        <w:t>that</w:t>
      </w:r>
      <w:r w:rsidRPr="008935AB">
        <w:t xml:space="preserve"> organic fluids </w:t>
      </w:r>
      <w:r w:rsidR="00E149B6">
        <w:t>are</w:t>
      </w:r>
      <w:r w:rsidRPr="008935AB">
        <w:t xml:space="preserve"> not permitted in the engine room </w:t>
      </w:r>
      <w:r w:rsidRPr="008935AB">
        <w:fldChar w:fldCharType="begin" w:fldLock="1"/>
      </w:r>
      <w:r w:rsidR="00BA1648">
        <w:instrText>ADDIN CSL_CITATION { "citationItems" : [ { "id" : "ITEM-1", "itemData" : { "ISBN" : "9789280115055", "abstract" : "Of all the international conventions dealing with maritime safety, the most important is the International Convention for the Safety of Life at Sea, 1974, as amended, better known as SOLAS , which covers a wide range of measures designed to improve the safety of shipping. The Convention is also one of the oldest of its kind: the first version was adopted in 1914 following the sinking of the Titanic with the loss of more than 1,500 lives. Since then there have been four more versions of SOLAS. The present version was adopted in 1974 and entered into force in 1980. In order to provide an easy reference to all SOLAS requirements applicable from 1 July 2009, this edition presents a consolidated text of the SOLAS Convention, its Protocols of 1978 and 1988 and all amendments in effect from that date. The fully updated 2009 edition features a number of new SOLAS regulations, adopted after the last consolidated edition of the Convention was published. Of these, particular attention is drawn to regulation V/19-1 on long-range identification and tracking of ships (LRIT), regulation II-1/3-8 on mooring and towing equipment and regulation II-1/35-1 on bilge pumping arrangements. The SOLAS provisions for corrosion protection have been updated and expanded and the new requirements are incorporated in chapter II-1. Furthermore, chapter II-1 was comprehensively revised to include probabilistic requirements for subdivision and damage stability and now also has a new Part F concerning alternative designs and arrangements. The annex to the Convention regarding the SOLAS forms of certificates contains the fully revised safety certificates for nuclear passenger and cargo ships and the list of certificates and documents required to be carried on board ships, as revised, is also added. The SOLAS Consolidated Edition 2009 is an essential reference for maritime administrations, ship manufacturers, owners and operators, shipping companies, education institutes and all others concerned with requirements of the International Convention for the Safety of Life at Sea.", "author" : [ { "dropping-particle" : "", "family" : "International Maritime Organization", "given" : "", "non-dropping-particle" : "", "parse-names" : false, "suffix" : "" } ], "container-title" : "International Convention for the Safety of Life at Sea", "edition" : "5th ed", "id" : "ITEM-1", "issued" : { "date-parts" : [ [ "2009" ] ] }, "number-of-pages" : "420", "publisher" : "IMO Publishing", "publisher-place" : "London", "title" : "SOLAS, Consolidated Edition 2009", "type" : "book" }, "uris" : [ "http://www.mendeley.com/documents/?uuid=9a22d996-5b35-462b-b3c8-36454fdeeac7" ] } ], "mendeley" : { "formattedCitation" : "(International Maritime Organization 2009b)", "plainTextFormattedCitation" : "(International Maritime Organization 2009b)", "previouslyFormattedCitation" : "(International Maritime Organization 2009b)" }, "properties" : { "noteIndex" : 0 }, "schema" : "https://github.com/citation-style-language/schema/raw/master/csl-citation.json" }</w:instrText>
      </w:r>
      <w:r w:rsidRPr="008935AB">
        <w:fldChar w:fldCharType="separate"/>
      </w:r>
      <w:r w:rsidRPr="009B4DB7">
        <w:rPr>
          <w:noProof/>
        </w:rPr>
        <w:t>(International Maritime Organization 2009b)</w:t>
      </w:r>
      <w:r w:rsidRPr="008935AB">
        <w:fldChar w:fldCharType="end"/>
      </w:r>
      <w:r w:rsidRPr="008935AB">
        <w:t xml:space="preserve">. </w:t>
      </w:r>
      <w:r>
        <w:t>The thermal oil circuit provide</w:t>
      </w:r>
      <w:r w:rsidR="00E149B6">
        <w:t>s</w:t>
      </w:r>
      <w:r>
        <w:t xml:space="preserve"> flexibility in layout which is particularly useful for retrofits. </w:t>
      </w:r>
      <w:r w:rsidRPr="008935AB">
        <w:t xml:space="preserve">The thermal oil used </w:t>
      </w:r>
      <w:r w:rsidR="00E149B6">
        <w:t>wa</w:t>
      </w:r>
      <w:r>
        <w:t>s</w:t>
      </w:r>
      <w:r w:rsidRPr="008935AB">
        <w:t xml:space="preserve"> </w:t>
      </w:r>
      <w:proofErr w:type="spellStart"/>
      <w:r w:rsidRPr="008935AB">
        <w:t>Therminol</w:t>
      </w:r>
      <w:proofErr w:type="spellEnd"/>
      <w:r w:rsidRPr="008935AB">
        <w:t xml:space="preserve"> VP-1 due to its heat stability and low viscosity at the WHRS operational conditions </w:t>
      </w:r>
      <w:r w:rsidRPr="008935AB">
        <w:fldChar w:fldCharType="begin" w:fldLock="1"/>
      </w:r>
      <w:r w:rsidR="005E20C3">
        <w:instrText>ADDIN CSL_CITATION { "citationItems" : [ { "id" : "ITEM-1", "itemData" : { "abstract" : "Therminol \u00ae VP-1 heat transfer fluid is specifically designed to meet the demanding requirements of vapor phase systems. It combines exceptional heat stability and low viscosity for efficient, dependable, uniform performance in a wide optimum use range of 12 \u00b0 C to 400 \u00b0 C.", "author" : [ { "dropping-particle" : "", "family" : "Solutia Inc.", "given" : "", "non-dropping-particle" : "", "parse-names" : false, "suffix" : "" } ], "id" : "ITEM-1", "issued" : { "date-parts" : [ [ "1999" ] ] }, "page" : "11", "publisher" : "Solutia Inc.", "publisher-place" : "St. Louis", "title" : "Therminol VP-1: Vapor Phase/Liquid Phase Heat Transfer Fluid", "type" : "article" }, "uris" : [ "http://www.mendeley.com/documents/?uuid=cc4aba44-3997-44fa-bc9b-95092f02bf7d" ] } ], "mendeley" : { "formattedCitation" : "(Solutia Inc. 1999)", "plainTextFormattedCitation" : "(Solutia Inc. 1999)", "previouslyFormattedCitation" : "(Solutia Inc. 1999)" }, "properties" : { "noteIndex" : 0 }, "schema" : "https://github.com/citation-style-language/schema/raw/master/csl-citation.json" }</w:instrText>
      </w:r>
      <w:r w:rsidRPr="008935AB">
        <w:fldChar w:fldCharType="separate"/>
      </w:r>
      <w:r w:rsidRPr="009B4DB7">
        <w:rPr>
          <w:noProof/>
        </w:rPr>
        <w:t>(Solutia Inc. 1999)</w:t>
      </w:r>
      <w:r w:rsidRPr="008935AB">
        <w:fldChar w:fldCharType="end"/>
      </w:r>
      <w:r w:rsidRPr="008935AB">
        <w:t xml:space="preserve">. </w:t>
      </w:r>
      <w:r w:rsidR="008E6A27">
        <w:t>A d</w:t>
      </w:r>
      <w:r>
        <w:t>etailed</w:t>
      </w:r>
      <w:r w:rsidRPr="008935AB">
        <w:t xml:space="preserve"> study</w:t>
      </w:r>
      <w:r>
        <w:t xml:space="preserve"> </w:t>
      </w:r>
      <w:r w:rsidRPr="008935AB">
        <w:t>of the thermal oil circuit was out of the scope for this paper.</w:t>
      </w:r>
    </w:p>
    <w:p w:rsidR="009B4DB7" w:rsidRPr="008935AB" w:rsidRDefault="009B4DB7" w:rsidP="009B4DB7">
      <w:pPr>
        <w:pStyle w:val="Heading2"/>
        <w:rPr>
          <w:szCs w:val="20"/>
        </w:rPr>
      </w:pPr>
      <w:r w:rsidRPr="008935AB">
        <w:rPr>
          <w:szCs w:val="20"/>
        </w:rPr>
        <w:t>Waste heat recovery system</w:t>
      </w:r>
    </w:p>
    <w:p w:rsidR="009B4DB7" w:rsidRPr="008935AB" w:rsidRDefault="009B4DB7" w:rsidP="009B4DB7">
      <w:pPr>
        <w:pStyle w:val="Paragraph"/>
      </w:pPr>
      <w:r w:rsidRPr="008935AB">
        <w:t>The model iterated the high pressure level in steps of 10 kPa up to the critical pressure</w:t>
      </w:r>
      <w:r w:rsidR="003B5F85">
        <w:t xml:space="preserve"> (</w:t>
      </w:r>
      <w:r w:rsidR="003B5F85" w:rsidRPr="003B5F85">
        <w:rPr>
          <w:i/>
        </w:rPr>
        <w:t>P</w:t>
      </w:r>
      <w:r w:rsidR="003B5F85" w:rsidRPr="003B5F85">
        <w:rPr>
          <w:i/>
          <w:vertAlign w:val="subscript"/>
        </w:rPr>
        <w:t>c</w:t>
      </w:r>
      <w:r w:rsidR="003B5F85">
        <w:t>)</w:t>
      </w:r>
      <w:r w:rsidRPr="008935AB">
        <w:t xml:space="preserve"> of each working fluid at the </w:t>
      </w:r>
      <w:r w:rsidR="005372AF">
        <w:t>various</w:t>
      </w:r>
      <w:r w:rsidRPr="008935AB">
        <w:t xml:space="preserve"> engine loads. The iterative process stopped when critical pressure was reached or when the working fluid saturation temperature was higher than the value set </w:t>
      </w:r>
      <w:r w:rsidR="003B5F85">
        <w:t xml:space="preserve">for </w:t>
      </w:r>
      <w:r w:rsidR="003B5F85" w:rsidRPr="008935AB">
        <w:t>the expander</w:t>
      </w:r>
      <w:r w:rsidR="003B5F85">
        <w:t>’s</w:t>
      </w:r>
      <w:r w:rsidR="003B5F85" w:rsidRPr="008935AB">
        <w:t xml:space="preserve"> inlet temperature</w:t>
      </w:r>
      <w:r w:rsidR="003B5F85" w:rsidRPr="003B5F85">
        <w:rPr>
          <w:i/>
        </w:rPr>
        <w:t xml:space="preserve"> </w:t>
      </w:r>
      <w:r w:rsidR="003B5F85">
        <w:t>(</w:t>
      </w:r>
      <w:r w:rsidR="003B5F85" w:rsidRPr="003B5F85">
        <w:rPr>
          <w:i/>
        </w:rPr>
        <w:t>T</w:t>
      </w:r>
      <w:r w:rsidR="003B5F85" w:rsidRPr="003B5F85">
        <w:rPr>
          <w:i/>
          <w:vertAlign w:val="subscript"/>
        </w:rPr>
        <w:t>1</w:t>
      </w:r>
      <w:r w:rsidR="003B5F85">
        <w:t xml:space="preserve">) </w:t>
      </w:r>
      <w:r w:rsidRPr="008935AB">
        <w:t xml:space="preserve">in </w:t>
      </w:r>
      <w:r>
        <w:fldChar w:fldCharType="begin"/>
      </w:r>
      <w:r>
        <w:instrText xml:space="preserve"> REF _Ref378590612 \h  \* MERGEFORMAT </w:instrText>
      </w:r>
      <w:r>
        <w:fldChar w:fldCharType="separate"/>
      </w:r>
      <w:r w:rsidR="00AA6EE9" w:rsidRPr="004850ED">
        <w:t xml:space="preserve">Table </w:t>
      </w:r>
      <w:r w:rsidR="00AA6EE9">
        <w:t>2</w:t>
      </w:r>
      <w:r>
        <w:fldChar w:fldCharType="end"/>
      </w:r>
      <w:r w:rsidRPr="008935AB">
        <w:t xml:space="preserve">. The purpose of the iterative process was to find the WHRS maximum electrical power output </w:t>
      </w:r>
      <w:r>
        <w:t xml:space="preserve">for </w:t>
      </w:r>
      <w:r w:rsidRPr="008935AB">
        <w:t>a given engine load</w:t>
      </w:r>
      <w:r>
        <w:t>.</w:t>
      </w:r>
      <w:r w:rsidRPr="008935AB">
        <w:t xml:space="preserve"> </w:t>
      </w:r>
    </w:p>
    <w:p w:rsidR="009B4DB7" w:rsidRDefault="009B4DB7" w:rsidP="009B4DB7">
      <w:pPr>
        <w:pStyle w:val="Newparagraph"/>
      </w:pPr>
      <w:r w:rsidRPr="008935AB">
        <w:t>For this study</w:t>
      </w:r>
      <w:r w:rsidR="005372AF">
        <w:t>,</w:t>
      </w:r>
      <w:r w:rsidRPr="008935AB">
        <w:t xml:space="preserve"> the thermodynamic cycle use</w:t>
      </w:r>
      <w:r>
        <w:t>d</w:t>
      </w:r>
      <w:r w:rsidRPr="008935AB">
        <w:t xml:space="preserve"> an economi</w:t>
      </w:r>
      <w:r w:rsidR="005372AF">
        <w:t>s</w:t>
      </w:r>
      <w:r w:rsidRPr="008935AB">
        <w:t xml:space="preserve">er, an expander connected to an electrical generator, a condenser with a sea pump, and a second pump </w:t>
      </w:r>
      <w:r w:rsidRPr="008935AB">
        <w:lastRenderedPageBreak/>
        <w:t xml:space="preserve">for the working fluid. A </w:t>
      </w:r>
      <w:r w:rsidR="00B27FEE">
        <w:t>recuperator</w:t>
      </w:r>
      <w:r w:rsidRPr="008935AB">
        <w:t xml:space="preserve"> is installed after the pump and expander if the expander outlet temperature (</w:t>
      </w:r>
      <w:r w:rsidRPr="008935AB">
        <w:rPr>
          <w:i/>
        </w:rPr>
        <w:t>T</w:t>
      </w:r>
      <w:r w:rsidRPr="008935AB">
        <w:rPr>
          <w:i/>
          <w:vertAlign w:val="subscript"/>
        </w:rPr>
        <w:t>2</w:t>
      </w:r>
      <w:r w:rsidRPr="008935AB">
        <w:t xml:space="preserve">) is </w:t>
      </w:r>
      <w:r>
        <w:t>10% greater</w:t>
      </w:r>
      <w:r w:rsidRPr="008935AB">
        <w:t xml:space="preserve"> than </w:t>
      </w:r>
      <w:r w:rsidR="005372AF">
        <w:t xml:space="preserve">that of </w:t>
      </w:r>
      <w:r w:rsidRPr="008935AB">
        <w:t>the pump</w:t>
      </w:r>
      <w:r>
        <w:t xml:space="preserve"> </w:t>
      </w:r>
      <w:r w:rsidRPr="008935AB">
        <w:t>(</w:t>
      </w:r>
      <w:r w:rsidRPr="008935AB">
        <w:rPr>
          <w:i/>
        </w:rPr>
        <w:t>T</w:t>
      </w:r>
      <w:r w:rsidRPr="008935AB">
        <w:rPr>
          <w:i/>
          <w:vertAlign w:val="subscript"/>
        </w:rPr>
        <w:t>4</w:t>
      </w:r>
      <w:r w:rsidRPr="008935AB">
        <w:t xml:space="preserve">). </w:t>
      </w:r>
    </w:p>
    <w:p w:rsidR="009B4DB7" w:rsidRDefault="00B30F53" w:rsidP="00B30F53">
      <w:pPr>
        <w:pStyle w:val="Newparagraph"/>
        <w:spacing w:line="240" w:lineRule="auto"/>
        <w:ind w:firstLine="0"/>
      </w:pPr>
      <w:r>
        <w:rPr>
          <w:noProof/>
        </w:rPr>
        <w:drawing>
          <wp:inline distT="0" distB="0" distL="0" distR="0">
            <wp:extent cx="5396865" cy="44361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PowerPoint-Paint Calibri.tif"/>
                    <pic:cNvPicPr/>
                  </pic:nvPicPr>
                  <pic:blipFill>
                    <a:blip r:embed="rId12">
                      <a:extLst>
                        <a:ext uri="{28A0092B-C50C-407E-A947-70E740481C1C}">
                          <a14:useLocalDpi xmlns:a14="http://schemas.microsoft.com/office/drawing/2010/main" val="0"/>
                        </a:ext>
                      </a:extLst>
                    </a:blip>
                    <a:stretch>
                      <a:fillRect/>
                    </a:stretch>
                  </pic:blipFill>
                  <pic:spPr>
                    <a:xfrm>
                      <a:off x="0" y="0"/>
                      <a:ext cx="5396865" cy="4436110"/>
                    </a:xfrm>
                    <a:prstGeom prst="rect">
                      <a:avLst/>
                    </a:prstGeom>
                  </pic:spPr>
                </pic:pic>
              </a:graphicData>
            </a:graphic>
          </wp:inline>
        </w:drawing>
      </w:r>
    </w:p>
    <w:p w:rsidR="009B4DB7" w:rsidRPr="006D1D9E" w:rsidRDefault="009B4DB7" w:rsidP="009B4DB7">
      <w:pPr>
        <w:pStyle w:val="Figurecaption"/>
      </w:pPr>
      <w:bookmarkStart w:id="8" w:name="_Ref375225734"/>
      <w:bookmarkStart w:id="9" w:name="_Ref414012537"/>
      <w:r>
        <w:t>Figure</w:t>
      </w:r>
      <w:r w:rsidRPr="006D1D9E">
        <w:t xml:space="preserve"> </w:t>
      </w:r>
      <w:bookmarkEnd w:id="8"/>
      <w:r>
        <w:fldChar w:fldCharType="begin"/>
      </w:r>
      <w:r>
        <w:instrText xml:space="preserve"> SEQ Figure \* ARABIC </w:instrText>
      </w:r>
      <w:r>
        <w:fldChar w:fldCharType="separate"/>
      </w:r>
      <w:r w:rsidR="00AA6EE9">
        <w:rPr>
          <w:noProof/>
        </w:rPr>
        <w:t>4</w:t>
      </w:r>
      <w:r>
        <w:fldChar w:fldCharType="end"/>
      </w:r>
      <w:bookmarkEnd w:id="9"/>
      <w:r>
        <w:t>:</w:t>
      </w:r>
      <w:r w:rsidRPr="006D1D9E">
        <w:t xml:space="preserve"> WHRS layout including </w:t>
      </w:r>
      <w:r w:rsidR="00B27FEE">
        <w:t>recuperator</w:t>
      </w:r>
      <w:r w:rsidRPr="006D1D9E">
        <w:t xml:space="preserve"> and thermal oil circuit.</w:t>
      </w:r>
    </w:p>
    <w:p w:rsidR="009B4DB7" w:rsidRPr="008935AB" w:rsidRDefault="009B4DB7" w:rsidP="009B4DB7">
      <w:pPr>
        <w:pStyle w:val="Heading3"/>
        <w:rPr>
          <w:szCs w:val="20"/>
        </w:rPr>
      </w:pPr>
      <w:r w:rsidRPr="008935AB">
        <w:rPr>
          <w:szCs w:val="20"/>
        </w:rPr>
        <w:t>Heat Exchangers</w:t>
      </w:r>
    </w:p>
    <w:p w:rsidR="009B4DB7" w:rsidRPr="008935AB" w:rsidRDefault="009B4DB7" w:rsidP="009B4DB7">
      <w:pPr>
        <w:pStyle w:val="Paragraph"/>
      </w:pPr>
      <w:r w:rsidRPr="008935AB">
        <w:t>The heat exchangers were counter-flow with a constant pinch point temperature difference of 5 K. The</w:t>
      </w:r>
      <w:r w:rsidR="005372AF">
        <w:t>se</w:t>
      </w:r>
      <w:r w:rsidRPr="008935AB">
        <w:t xml:space="preserve"> were defined as the difference between the saturation temperature and the heat source or sink temperature.</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3"/>
        <w:gridCol w:w="2906"/>
        <w:gridCol w:w="2906"/>
      </w:tblGrid>
      <w:tr w:rsidR="005E20C3" w:rsidRPr="008935AB" w:rsidTr="000C4D22">
        <w:trPr>
          <w:jc w:val="center"/>
        </w:trPr>
        <w:tc>
          <w:tcPr>
            <w:tcW w:w="1666" w:type="pct"/>
          </w:tcPr>
          <w:p w:rsidR="005E20C3" w:rsidRPr="008935AB" w:rsidRDefault="005E20C3" w:rsidP="000C4D22">
            <w:pPr>
              <w:rPr>
                <w:rFonts w:cs="Times New Roman"/>
                <w:szCs w:val="20"/>
              </w:rPr>
            </w:pPr>
          </w:p>
        </w:tc>
        <w:tc>
          <w:tcPr>
            <w:tcW w:w="1667" w:type="pct"/>
          </w:tcPr>
          <w:p w:rsidR="005E20C3" w:rsidRPr="008935AB" w:rsidRDefault="001C7E9D" w:rsidP="000C4D22">
            <w:pPr>
              <w:jc w:val="center"/>
              <w:rPr>
                <w:rFonts w:cs="Times New Roman"/>
                <w:szCs w:val="20"/>
              </w:rPr>
            </w:pPr>
            <m:oMathPara>
              <m:oMath>
                <m:sSub>
                  <m:sSubPr>
                    <m:ctrlPr>
                      <w:rPr>
                        <w:rFonts w:ascii="Cambria Math" w:hAnsi="Cambria Math" w:cs="Times New Roman"/>
                        <w:i/>
                        <w:szCs w:val="20"/>
                      </w:rPr>
                    </m:ctrlPr>
                  </m:sSubPr>
                  <m:e>
                    <m:r>
                      <w:rPr>
                        <w:rFonts w:ascii="Cambria Math" w:hAnsi="Cambria Math" w:cs="Times New Roman"/>
                        <w:szCs w:val="20"/>
                      </w:rPr>
                      <m:t>T</m:t>
                    </m:r>
                  </m:e>
                  <m:sub>
                    <m:r>
                      <w:rPr>
                        <w:rFonts w:ascii="Cambria Math" w:hAnsi="Cambria Math" w:cs="Times New Roman"/>
                        <w:szCs w:val="20"/>
                      </w:rPr>
                      <m:t>pp</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T</m:t>
                    </m:r>
                  </m:e>
                  <m:sub>
                    <m:r>
                      <w:rPr>
                        <w:rFonts w:ascii="Cambria Math" w:hAnsi="Cambria Math" w:cs="Times New Roman"/>
                        <w:szCs w:val="20"/>
                      </w:rPr>
                      <m:t>sat</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∆T</m:t>
                    </m:r>
                  </m:e>
                  <m:sub>
                    <m:r>
                      <w:rPr>
                        <w:rFonts w:ascii="Cambria Math" w:hAnsi="Cambria Math" w:cs="Times New Roman"/>
                        <w:szCs w:val="20"/>
                      </w:rPr>
                      <m:t>pp</m:t>
                    </m:r>
                  </m:sub>
                </m:sSub>
              </m:oMath>
            </m:oMathPara>
          </w:p>
        </w:tc>
        <w:tc>
          <w:tcPr>
            <w:tcW w:w="1667" w:type="pct"/>
          </w:tcPr>
          <w:p w:rsidR="005E20C3" w:rsidRPr="005E20C3" w:rsidRDefault="005E20C3" w:rsidP="00B306B8">
            <w:pPr>
              <w:keepNext/>
              <w:jc w:val="right"/>
              <w:rPr>
                <w:rFonts w:ascii="Times New Roman" w:hAnsi="Times New Roman" w:cs="Times New Roman"/>
                <w:szCs w:val="20"/>
              </w:rPr>
            </w:pPr>
            <w:bookmarkStart w:id="10" w:name="_Ref364888117"/>
            <w:r w:rsidRPr="005E20C3">
              <w:rPr>
                <w:rFonts w:ascii="Times New Roman" w:hAnsi="Times New Roman" w:cs="Times New Roman"/>
                <w:szCs w:val="20"/>
              </w:rPr>
              <w:t>(</w:t>
            </w:r>
            <w:r w:rsidRPr="005E20C3">
              <w:rPr>
                <w:szCs w:val="20"/>
              </w:rPr>
              <w:fldChar w:fldCharType="begin"/>
            </w:r>
            <w:r w:rsidRPr="005E20C3">
              <w:rPr>
                <w:rFonts w:ascii="Times New Roman" w:hAnsi="Times New Roman" w:cs="Times New Roman"/>
                <w:szCs w:val="20"/>
              </w:rPr>
              <w:instrText xml:space="preserve"> SEQ [ \* ARABIC </w:instrText>
            </w:r>
            <w:r w:rsidRPr="005E20C3">
              <w:rPr>
                <w:szCs w:val="20"/>
              </w:rPr>
              <w:fldChar w:fldCharType="separate"/>
            </w:r>
            <w:r w:rsidR="00AA6EE9">
              <w:rPr>
                <w:rFonts w:ascii="Times New Roman" w:hAnsi="Times New Roman" w:cs="Times New Roman"/>
                <w:noProof/>
                <w:szCs w:val="20"/>
              </w:rPr>
              <w:t>1</w:t>
            </w:r>
            <w:r w:rsidRPr="005E20C3">
              <w:rPr>
                <w:szCs w:val="20"/>
              </w:rPr>
              <w:fldChar w:fldCharType="end"/>
            </w:r>
            <w:bookmarkEnd w:id="10"/>
            <w:r w:rsidRPr="005E20C3">
              <w:rPr>
                <w:rFonts w:ascii="Times New Roman" w:hAnsi="Times New Roman" w:cs="Times New Roman"/>
                <w:szCs w:val="20"/>
              </w:rPr>
              <w:t>)</w:t>
            </w:r>
          </w:p>
        </w:tc>
      </w:tr>
    </w:tbl>
    <w:p w:rsidR="005E20C3" w:rsidRPr="008935AB" w:rsidRDefault="005E20C3" w:rsidP="005E20C3">
      <w:pPr>
        <w:pStyle w:val="Newparagraph"/>
      </w:pPr>
      <w:r w:rsidRPr="008935AB">
        <w:t>A minimum of 5 K was chosen for the approach temperature (</w:t>
      </w:r>
      <w:r w:rsidRPr="008935AB">
        <w:rPr>
          <w:i/>
        </w:rPr>
        <w:t>T</w:t>
      </w:r>
      <w:r w:rsidRPr="008935AB">
        <w:rPr>
          <w:i/>
          <w:vertAlign w:val="subscript"/>
        </w:rPr>
        <w:t>a</w:t>
      </w:r>
      <w:r>
        <w:rPr>
          <w:i/>
          <w:vertAlign w:val="subscript"/>
        </w:rPr>
        <w:t>p</w:t>
      </w:r>
      <w:r w:rsidRPr="008935AB">
        <w:t>), defined in a counter-flow heat exchanger as the temperature difference between the cold fluid inlet and hot fluid outlet</w:t>
      </w:r>
      <w:r w:rsidR="00EE51D9">
        <w:t>, and cold fluid outlet and hot fluid in</w:t>
      </w:r>
      <w:r w:rsidR="00EE51D9" w:rsidRPr="008935AB">
        <w:t xml:space="preserve">let </w:t>
      </w:r>
      <w:r w:rsidRPr="008935AB">
        <w:fldChar w:fldCharType="begin" w:fldLock="1"/>
      </w:r>
      <w:r w:rsidR="00BA1648">
        <w:instrText>ADDIN CSL_CITATION { "citationItems" : [ { "id" : "ITEM-1", "itemData" : { "ISBN" : "0471321710", "author" : [ { "dropping-particle" : "", "family" : "Shah", "given" : "Ramesh K.", "non-dropping-particle" : "", "parse-names" : false, "suffix" : "" }, { "dropping-particle" : "", "family" : "Sekulic", "given" : "Du\u0161an P.", "non-dropping-particle" : "", "parse-names" : false, "suffix" : "" } ], "edition" : "1st", "id" : "ITEM-1", "issued" : { "date-parts" : [ [ "2003" ] ] }, "number-of-pages" : "972", "publisher" : "John Wiley &amp; Sons, Inc.", "publisher-place" : "New Jersey", "title" : "Fundamentals Of Heat Exchanger Design", "type" : "book" }, "uris" : [ "http://www.mendeley.com/documents/?uuid=127c4c32-d3f2-4c9d-bb17-38ba7512fe3a" ] } ], "mendeley" : { "formattedCitation" : "(Shah &amp; Sekulic 2003)", "plainTextFormattedCitation" : "(Shah &amp; Sekulic 2003)", "previouslyFormattedCitation" : "(Shah &amp; Sekulic 2003)" }, "properties" : { "noteIndex" : 0 }, "schema" : "https://github.com/citation-style-language/schema/raw/master/csl-citation.json" }</w:instrText>
      </w:r>
      <w:r w:rsidRPr="008935AB">
        <w:fldChar w:fldCharType="separate"/>
      </w:r>
      <w:r w:rsidRPr="005E20C3">
        <w:rPr>
          <w:noProof/>
        </w:rPr>
        <w:t>(Shah &amp; Sekulic 2003)</w:t>
      </w:r>
      <w:r w:rsidRPr="008935AB">
        <w:fldChar w:fldCharType="end"/>
      </w:r>
      <w:r w:rsidRPr="008935AB">
        <w:t xml:space="preserve">. The </w:t>
      </w:r>
      <w:r w:rsidRPr="008935AB">
        <w:rPr>
          <w:i/>
        </w:rPr>
        <w:lastRenderedPageBreak/>
        <w:t>T</w:t>
      </w:r>
      <w:r w:rsidRPr="008935AB">
        <w:rPr>
          <w:i/>
          <w:vertAlign w:val="subscript"/>
        </w:rPr>
        <w:t>a</w:t>
      </w:r>
      <w:r>
        <w:rPr>
          <w:i/>
          <w:vertAlign w:val="subscript"/>
        </w:rPr>
        <w:t>p</w:t>
      </w:r>
      <w:r w:rsidRPr="008935AB">
        <w:t xml:space="preserve"> constraint </w:t>
      </w:r>
      <w:r w:rsidR="00B306B8">
        <w:t>wa</w:t>
      </w:r>
      <w:r w:rsidRPr="008935AB">
        <w:t xml:space="preserve">s inside the temperature range of a plate or spiral tube heat exchangers </w:t>
      </w:r>
      <w:r w:rsidRPr="008935AB">
        <w:fldChar w:fldCharType="begin" w:fldLock="1"/>
      </w:r>
      <w:r>
        <w:instrText>ADDIN CSL_CITATION { "citationItems" : [ { "id" : "ITEM-1", "itemData" : { "abstract" : "Supertargeting based on composite curves (CC) is widely used to determine the optimum approach temperature (\u0394Tmin) that yields the minimum total cost for heat exchange networks (HEN). Supertargeting using CC has two key limitations. Firstly, the HEN area calculations are drastically simplified through the assumption that CC segments may be considered as pseudo-single hot and cold streams exchanging heat via only one exchanger that is governed by a single cost correlation. Secondly, the current Supertargeting approach of considering only one hot and one cold utility level may lead to a crude estimation of the total HEN cost and the optimum \u0394Tmin. This work presents the stream temperature vs. enthalpy plot supertargeting (STEPS) method that overcomes these limitations. This paper proves that supertargeting based on CC can lead to up to 50% error in the total cost target and poor \u0394Tmin estimations.", "author" : [ { "dropping-particle" : "", "family" : "Sun", "given" : "Kheen Nam", "non-dropping-particle" : "", "parse-names" : false, "suffix" : "" }, { "dropping-particle" : "", "family" : "Wan Alwi", "given" : "Sharifah Rafidah", "non-dropping-particle" : "", "parse-names" : false, "suffix" : "" }, { "dropping-particle" : "", "family" : "Manan", "given" : "Zainuddin Abdul", "non-dropping-particle" : "", "parse-names" : false, "suffix" : "" } ], "container-title" : "Computers &amp; Chemical Engineering", "id" : "ITEM-1", "issued" : { "date-parts" : [ [ "2013" ] ] }, "page" : "194-204", "title" : "Heat exchanger network cost optimization considering multiple utilities and different types of heat exchangers", "type" : "article-journal", "volume" : "49" }, "uris" : [ "http://www.mendeley.com/documents/?uuid=9c6424fe-925e-45d0-950b-1bfc54459c3e" ] }, { "id" : "ITEM-2", "itemData" : { "author" : [ { "dropping-particle" : "", "family" : "Tranter", "given" : "", "non-dropping-particle" : "", "parse-names" : false, "suffix" : "" } ], "id" : "ITEM-2", "issued" : { "date-parts" : [ [ "2011" ] ] }, "page" : "12", "publisher-place" : "Whichita Falls", "title" : "Plate Heat Exchangers | Tranter", "type" : "article" }, "uris" : [ "http://www.mendeley.com/documents/?uuid=d6f9bdf5-0041-417f-9638-91b829dad201" ] } ], "mendeley" : { "formattedCitation" : "(Tranter 2011; Sun et al. 2013)", "plainTextFormattedCitation" : "(Tranter 2011; Sun et al. 2013)", "previouslyFormattedCitation" : "(Tranter 2011; Sun et al. 2013)" }, "properties" : { "noteIndex" : 0 }, "schema" : "https://github.com/citation-style-language/schema/raw/master/csl-citation.json" }</w:instrText>
      </w:r>
      <w:r w:rsidRPr="008935AB">
        <w:fldChar w:fldCharType="separate"/>
      </w:r>
      <w:r w:rsidRPr="005E20C3">
        <w:rPr>
          <w:noProof/>
        </w:rPr>
        <w:t xml:space="preserve">(Tranter 2011; Sun </w:t>
      </w:r>
      <w:r w:rsidRPr="004A7186">
        <w:rPr>
          <w:i/>
          <w:noProof/>
        </w:rPr>
        <w:t>et al</w:t>
      </w:r>
      <w:r w:rsidRPr="005E20C3">
        <w:rPr>
          <w:noProof/>
        </w:rPr>
        <w:t>. 2013)</w:t>
      </w:r>
      <w:r w:rsidRPr="008935AB">
        <w:fldChar w:fldCharType="end"/>
      </w:r>
      <w:r w:rsidRPr="008935AB">
        <w:t>.</w:t>
      </w:r>
    </w:p>
    <w:p w:rsidR="005E20C3" w:rsidRPr="008935AB" w:rsidRDefault="005E20C3" w:rsidP="005E20C3">
      <w:pPr>
        <w:autoSpaceDE w:val="0"/>
        <w:autoSpaceDN w:val="0"/>
        <w:adjustRightInd w:val="0"/>
        <w:ind w:firstLine="567"/>
        <w:rPr>
          <w:szCs w:val="20"/>
        </w:rPr>
      </w:pPr>
      <w:r w:rsidRPr="008935AB">
        <w:rPr>
          <w:szCs w:val="20"/>
        </w:rPr>
        <w:t>The economi</w:t>
      </w:r>
      <w:r w:rsidR="005372AF">
        <w:rPr>
          <w:szCs w:val="20"/>
        </w:rPr>
        <w:t>s</w:t>
      </w:r>
      <w:r w:rsidRPr="008935AB">
        <w:rPr>
          <w:szCs w:val="20"/>
        </w:rPr>
        <w:t>er and condenser were subdivided in</w:t>
      </w:r>
      <w:r w:rsidR="00B306B8">
        <w:rPr>
          <w:szCs w:val="20"/>
        </w:rPr>
        <w:t>to</w:t>
      </w:r>
      <w:r w:rsidRPr="008935AB">
        <w:rPr>
          <w:szCs w:val="20"/>
        </w:rPr>
        <w:t xml:space="preserve"> three regions (</w:t>
      </w:r>
      <w:r>
        <w:fldChar w:fldCharType="begin"/>
      </w:r>
      <w:r>
        <w:rPr>
          <w:szCs w:val="20"/>
        </w:rPr>
        <w:instrText xml:space="preserve"> REF _Ref414012408 \h </w:instrText>
      </w:r>
      <w:r>
        <w:fldChar w:fldCharType="separate"/>
      </w:r>
      <w:r w:rsidR="00AA6EE9">
        <w:t>Figure</w:t>
      </w:r>
      <w:r w:rsidR="00AA6EE9" w:rsidRPr="006D1D9E">
        <w:t xml:space="preserve"> </w:t>
      </w:r>
      <w:r w:rsidR="00AA6EE9">
        <w:rPr>
          <w:noProof/>
        </w:rPr>
        <w:t>5</w:t>
      </w:r>
      <w:r>
        <w:fldChar w:fldCharType="end"/>
      </w:r>
      <w:r w:rsidRPr="008935AB">
        <w:rPr>
          <w:szCs w:val="20"/>
        </w:rPr>
        <w:t>) in order to accurately measure the energy balance in processes where there were two states of the fluid present (i.e. liquid and vapour).</w:t>
      </w:r>
    </w:p>
    <w:p w:rsidR="005E20C3" w:rsidRPr="008935AB" w:rsidRDefault="005E20C3" w:rsidP="005E20C3">
      <w:pPr>
        <w:pStyle w:val="Bulletedlist"/>
      </w:pPr>
      <w:proofErr w:type="spellStart"/>
      <w:r w:rsidRPr="008935AB">
        <w:t>Subcooler</w:t>
      </w:r>
      <w:proofErr w:type="spellEnd"/>
      <w:r w:rsidRPr="008935AB">
        <w:t xml:space="preserve">: </w:t>
      </w:r>
      <w:r>
        <w:t>T</w:t>
      </w:r>
      <w:r w:rsidRPr="008935AB">
        <w:t>he region between saturated liquid and the working fluid subcooled region. In the case of the condenser</w:t>
      </w:r>
      <w:r w:rsidR="005372AF">
        <w:t>,</w:t>
      </w:r>
      <w:r w:rsidRPr="008935AB">
        <w:t xml:space="preserve"> this region did not exist due to the restrictions imposed.</w:t>
      </w:r>
    </w:p>
    <w:p w:rsidR="005E20C3" w:rsidRPr="008935AB" w:rsidRDefault="005E20C3" w:rsidP="005E20C3">
      <w:pPr>
        <w:pStyle w:val="Bulletedlist"/>
      </w:pPr>
      <w:r w:rsidRPr="008935AB">
        <w:t>Evaporator: Region that takes the working fluid from the saturated liquid state to the saturated vapour.</w:t>
      </w:r>
    </w:p>
    <w:p w:rsidR="005E20C3" w:rsidRPr="008935AB" w:rsidRDefault="005E20C3" w:rsidP="005E20C3">
      <w:pPr>
        <w:pStyle w:val="Bulletedlist"/>
      </w:pPr>
      <w:r w:rsidRPr="008935AB">
        <w:t xml:space="preserve">Superheater: Located between the superheater state of the working fluid and the saturated vapour state. </w:t>
      </w:r>
    </w:p>
    <w:p w:rsidR="005E20C3" w:rsidRPr="006D1D9E" w:rsidRDefault="005E20C3" w:rsidP="005E20C3">
      <w:pPr>
        <w:pStyle w:val="Figurecaption"/>
      </w:pPr>
      <w:bookmarkStart w:id="11" w:name="_Ref365051183"/>
      <w:bookmarkStart w:id="12" w:name="_Ref414012408"/>
      <w:r>
        <w:t>Figure</w:t>
      </w:r>
      <w:r w:rsidRPr="006D1D9E">
        <w:t xml:space="preserve"> </w:t>
      </w:r>
      <w:bookmarkEnd w:id="11"/>
      <w:r>
        <w:fldChar w:fldCharType="begin"/>
      </w:r>
      <w:r>
        <w:instrText xml:space="preserve"> SEQ Figure \* ARABIC </w:instrText>
      </w:r>
      <w:r>
        <w:fldChar w:fldCharType="separate"/>
      </w:r>
      <w:r w:rsidR="00AA6EE9">
        <w:rPr>
          <w:noProof/>
        </w:rPr>
        <w:t>5</w:t>
      </w:r>
      <w:r>
        <w:fldChar w:fldCharType="end"/>
      </w:r>
      <w:bookmarkEnd w:id="12"/>
      <w:r>
        <w:t>:</w:t>
      </w:r>
      <w:r w:rsidRPr="006D1D9E">
        <w:t xml:space="preserve"> Representation of the three regions pre</w:t>
      </w:r>
      <w:r w:rsidRPr="006D1D9E">
        <w:rPr>
          <w:noProof/>
        </w:rPr>
        <w:t xml:space="preserve">sented in the </w:t>
      </w:r>
      <w:r>
        <w:rPr>
          <w:noProof/>
        </w:rPr>
        <w:t>water’s economi</w:t>
      </w:r>
      <w:r w:rsidR="00E061B6">
        <w:rPr>
          <w:noProof/>
        </w:rPr>
        <w:t>s</w:t>
      </w:r>
      <w:r>
        <w:rPr>
          <w:noProof/>
        </w:rPr>
        <w:t>er</w:t>
      </w:r>
      <w:r w:rsidRPr="006D1D9E">
        <w:rPr>
          <w:noProof/>
        </w:rPr>
        <w:t>.</w:t>
      </w:r>
    </w:p>
    <w:p w:rsidR="005E20C3" w:rsidRPr="008935AB" w:rsidRDefault="005E20C3" w:rsidP="00862EAC">
      <w:pPr>
        <w:pStyle w:val="Newparagraph"/>
      </w:pPr>
      <w:r w:rsidRPr="008935AB">
        <w:t>Starting with the economi</w:t>
      </w:r>
      <w:r w:rsidR="00E061B6">
        <w:t>s</w:t>
      </w:r>
      <w:r w:rsidRPr="008935AB">
        <w:t>er, the heat flow available from the exhaust gas is defined as follows: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7232"/>
        <w:gridCol w:w="809"/>
      </w:tblGrid>
      <w:tr w:rsidR="005E20C3" w:rsidRPr="00B64370" w:rsidTr="00862EAC">
        <w:trPr>
          <w:jc w:val="center"/>
        </w:trPr>
        <w:tc>
          <w:tcPr>
            <w:tcW w:w="387" w:type="pct"/>
          </w:tcPr>
          <w:p w:rsidR="005E20C3" w:rsidRPr="00B64370" w:rsidRDefault="005E20C3" w:rsidP="000C4D22">
            <w:pPr>
              <w:rPr>
                <w:rFonts w:ascii="Times New Roman" w:hAnsi="Times New Roman" w:cs="Times New Roman"/>
                <w:szCs w:val="20"/>
              </w:rPr>
            </w:pPr>
          </w:p>
        </w:tc>
        <w:tc>
          <w:tcPr>
            <w:tcW w:w="4149" w:type="pct"/>
          </w:tcPr>
          <w:p w:rsidR="005E20C3" w:rsidRPr="00862EAC" w:rsidRDefault="001C7E9D" w:rsidP="000C4D22">
            <w:pPr>
              <w:jc w:val="center"/>
              <w:rPr>
                <w:rFonts w:ascii="Times New Roman" w:hAnsi="Times New Roman" w:cs="Times New Roman"/>
                <w:szCs w:val="20"/>
              </w:rPr>
            </w:pPr>
            <m:oMathPara>
              <m:oMathParaPr>
                <m:jc m:val="center"/>
              </m:oMathParaPr>
              <m:oMath>
                <m:sSub>
                  <m:sSubPr>
                    <m:ctrlPr>
                      <w:rPr>
                        <w:rFonts w:ascii="Cambria Math" w:hAnsi="Cambria Math" w:cs="Times New Roman"/>
                        <w:i/>
                        <w:szCs w:val="20"/>
                      </w:rPr>
                    </m:ctrlPr>
                  </m:sSubPr>
                  <m:e>
                    <m:acc>
                      <m:accPr>
                        <m:chr m:val="̇"/>
                        <m:ctrlPr>
                          <w:rPr>
                            <w:rFonts w:ascii="Cambria Math" w:hAnsi="Cambria Math" w:cs="Times New Roman"/>
                            <w:i/>
                            <w:szCs w:val="20"/>
                          </w:rPr>
                        </m:ctrlPr>
                      </m:accPr>
                      <m:e>
                        <m:r>
                          <w:rPr>
                            <w:rFonts w:ascii="Cambria Math" w:hAnsi="Cambria Math" w:cs="Times New Roman"/>
                            <w:szCs w:val="20"/>
                          </w:rPr>
                          <m:t>Q</m:t>
                        </m:r>
                      </m:e>
                    </m:acc>
                  </m:e>
                  <m:sub>
                    <m:r>
                      <w:rPr>
                        <w:rFonts w:ascii="Cambria Math" w:hAnsi="Cambria Math" w:cs="Times New Roman"/>
                        <w:szCs w:val="20"/>
                      </w:rPr>
                      <m:t>H</m:t>
                    </m:r>
                  </m:sub>
                </m:sSub>
                <m:r>
                  <w:rPr>
                    <w:rFonts w:ascii="Cambria Math" w:hAnsi="Cambria Math" w:cs="Times New Roman"/>
                    <w:szCs w:val="20"/>
                  </w:rPr>
                  <m:t>=</m:t>
                </m:r>
                <m:sSub>
                  <m:sSubPr>
                    <m:ctrlPr>
                      <w:rPr>
                        <w:rFonts w:ascii="Cambria Math" w:hAnsi="Cambria Math" w:cs="Times New Roman"/>
                        <w:i/>
                        <w:szCs w:val="20"/>
                      </w:rPr>
                    </m:ctrlPr>
                  </m:sSubPr>
                  <m:e>
                    <m:acc>
                      <m:accPr>
                        <m:chr m:val="̇"/>
                        <m:ctrlPr>
                          <w:rPr>
                            <w:rFonts w:ascii="Cambria Math" w:hAnsi="Cambria Math" w:cs="Times New Roman"/>
                            <w:i/>
                            <w:szCs w:val="20"/>
                          </w:rPr>
                        </m:ctrlPr>
                      </m:accPr>
                      <m:e>
                        <m:r>
                          <w:rPr>
                            <w:rFonts w:ascii="Cambria Math" w:hAnsi="Cambria Math" w:cs="Times New Roman"/>
                            <w:szCs w:val="20"/>
                          </w:rPr>
                          <m:t>m</m:t>
                        </m:r>
                      </m:e>
                    </m:acc>
                  </m:e>
                  <m:sub>
                    <m:r>
                      <w:rPr>
                        <w:rFonts w:ascii="Cambria Math" w:hAnsi="Cambria Math" w:cs="Times New Roman"/>
                        <w:szCs w:val="20"/>
                      </w:rPr>
                      <m:t>H</m:t>
                    </m:r>
                  </m:sub>
                </m:sSub>
                <m:sSub>
                  <m:sSubPr>
                    <m:ctrlPr>
                      <w:rPr>
                        <w:rFonts w:ascii="Cambria Math" w:hAnsi="Cambria Math" w:cs="Times New Roman"/>
                        <w:i/>
                        <w:szCs w:val="20"/>
                      </w:rPr>
                    </m:ctrlPr>
                  </m:sSubPr>
                  <m:e>
                    <m:r>
                      <w:rPr>
                        <w:rFonts w:ascii="Cambria Math" w:hAnsi="Cambria Math" w:cs="Times New Roman"/>
                        <w:szCs w:val="20"/>
                      </w:rPr>
                      <m:t>C</m:t>
                    </m:r>
                  </m:e>
                  <m:sub>
                    <m:r>
                      <w:rPr>
                        <w:rFonts w:ascii="Cambria Math" w:hAnsi="Cambria Math" w:cs="Times New Roman"/>
                        <w:szCs w:val="20"/>
                      </w:rPr>
                      <m:t>p_H</m:t>
                    </m:r>
                  </m:sub>
                </m:sSub>
                <m:d>
                  <m:dPr>
                    <m:ctrlPr>
                      <w:rPr>
                        <w:rFonts w:ascii="Cambria Math" w:hAnsi="Cambria Math" w:cs="Times New Roman"/>
                        <w:i/>
                        <w:szCs w:val="20"/>
                      </w:rPr>
                    </m:ctrlPr>
                  </m:dPr>
                  <m:e>
                    <m:sSub>
                      <m:sSubPr>
                        <m:ctrlPr>
                          <w:rPr>
                            <w:rFonts w:ascii="Cambria Math" w:hAnsi="Cambria Math" w:cs="Times New Roman"/>
                            <w:i/>
                            <w:szCs w:val="20"/>
                          </w:rPr>
                        </m:ctrlPr>
                      </m:sSubPr>
                      <m:e>
                        <m:r>
                          <w:rPr>
                            <w:rFonts w:ascii="Cambria Math" w:hAnsi="Cambria Math" w:cs="Times New Roman"/>
                            <w:szCs w:val="20"/>
                          </w:rPr>
                          <m:t>T</m:t>
                        </m:r>
                      </m:e>
                      <m:sub>
                        <m:r>
                          <w:rPr>
                            <w:rFonts w:ascii="Cambria Math" w:hAnsi="Cambria Math" w:cs="Times New Roman"/>
                            <w:szCs w:val="20"/>
                          </w:rPr>
                          <m:t>H,i</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T</m:t>
                        </m:r>
                      </m:e>
                      <m:sub>
                        <m:r>
                          <w:rPr>
                            <w:rFonts w:ascii="Cambria Math" w:hAnsi="Cambria Math" w:cs="Times New Roman"/>
                            <w:szCs w:val="20"/>
                          </w:rPr>
                          <m:t>H,o_min</m:t>
                        </m:r>
                      </m:sub>
                    </m:sSub>
                  </m:e>
                </m:d>
              </m:oMath>
            </m:oMathPara>
          </w:p>
        </w:tc>
        <w:tc>
          <w:tcPr>
            <w:tcW w:w="465" w:type="pct"/>
          </w:tcPr>
          <w:p w:rsidR="005E20C3" w:rsidRPr="00B64370" w:rsidRDefault="005E20C3" w:rsidP="00B306B8">
            <w:pPr>
              <w:keepNext/>
              <w:jc w:val="right"/>
              <w:rPr>
                <w:rFonts w:ascii="Times New Roman" w:hAnsi="Times New Roman" w:cs="Times New Roman"/>
                <w:szCs w:val="20"/>
              </w:rPr>
            </w:pPr>
            <w:bookmarkStart w:id="13" w:name="_Ref364889086"/>
            <w:r w:rsidRPr="00B64370">
              <w:rPr>
                <w:rFonts w:ascii="Times New Roman" w:hAnsi="Times New Roman" w:cs="Times New Roman"/>
                <w:szCs w:val="20"/>
              </w:rPr>
              <w:t>(</w:t>
            </w:r>
            <w:r w:rsidRPr="00B64370">
              <w:rPr>
                <w:szCs w:val="20"/>
              </w:rPr>
              <w:fldChar w:fldCharType="begin"/>
            </w:r>
            <w:r w:rsidRPr="00B64370">
              <w:rPr>
                <w:rFonts w:ascii="Times New Roman" w:hAnsi="Times New Roman" w:cs="Times New Roman"/>
                <w:szCs w:val="20"/>
              </w:rPr>
              <w:instrText xml:space="preserve"> SEQ [ \* ARABIC </w:instrText>
            </w:r>
            <w:r w:rsidRPr="00B64370">
              <w:rPr>
                <w:szCs w:val="20"/>
              </w:rPr>
              <w:fldChar w:fldCharType="separate"/>
            </w:r>
            <w:r w:rsidR="00AA6EE9">
              <w:rPr>
                <w:rFonts w:ascii="Times New Roman" w:hAnsi="Times New Roman" w:cs="Times New Roman"/>
                <w:noProof/>
                <w:szCs w:val="20"/>
              </w:rPr>
              <w:t>2</w:t>
            </w:r>
            <w:r w:rsidRPr="00B64370">
              <w:rPr>
                <w:szCs w:val="20"/>
              </w:rPr>
              <w:fldChar w:fldCharType="end"/>
            </w:r>
            <w:bookmarkEnd w:id="13"/>
            <w:r w:rsidRPr="00B64370">
              <w:rPr>
                <w:rFonts w:ascii="Times New Roman" w:hAnsi="Times New Roman" w:cs="Times New Roman"/>
                <w:szCs w:val="20"/>
              </w:rPr>
              <w:t>)</w:t>
            </w:r>
          </w:p>
        </w:tc>
      </w:tr>
    </w:tbl>
    <w:p w:rsidR="005E20C3" w:rsidRPr="008935AB" w:rsidRDefault="005E20C3" w:rsidP="00B64370">
      <w:pPr>
        <w:pStyle w:val="Newparagraph"/>
      </w:pPr>
      <w:r w:rsidRPr="008935AB">
        <w:t>With the pinch point temperature difference and the saturation tem</w:t>
      </w:r>
      <w:r w:rsidR="00B64370">
        <w:t>perature of the working fluid (e</w:t>
      </w:r>
      <w:r w:rsidRPr="008935AB">
        <w:t xml:space="preserve">quation </w:t>
      </w:r>
      <w:r w:rsidRPr="008935AB">
        <w:fldChar w:fldCharType="begin"/>
      </w:r>
      <w:r w:rsidRPr="008935AB">
        <w:instrText xml:space="preserve"> REF _Ref364888117 \h  \* MERGEFORMAT </w:instrText>
      </w:r>
      <w:r w:rsidRPr="008935AB">
        <w:fldChar w:fldCharType="separate"/>
      </w:r>
      <w:proofErr w:type="gramStart"/>
      <w:r w:rsidR="00AA6EE9" w:rsidRPr="00AA6EE9">
        <w:t xml:space="preserve">( </w:t>
      </w:r>
      <w:r w:rsidR="00AA6EE9" w:rsidRPr="00AA6EE9">
        <w:rPr>
          <w:noProof/>
        </w:rPr>
        <w:t>1</w:t>
      </w:r>
      <w:proofErr w:type="gramEnd"/>
      <w:r w:rsidRPr="008935AB">
        <w:fldChar w:fldCharType="end"/>
      </w:r>
      <w:r w:rsidRPr="008935AB">
        <w:t xml:space="preserve"> ))</w:t>
      </w:r>
      <w:r w:rsidR="00E061B6">
        <w:t>,</w:t>
      </w:r>
      <w:r w:rsidRPr="008935AB">
        <w:t xml:space="preserve"> it is possible to </w:t>
      </w:r>
      <w:r w:rsidR="00B306B8">
        <w:t>ascertain</w:t>
      </w:r>
      <w:r w:rsidRPr="008935AB">
        <w:t xml:space="preserve"> the </w:t>
      </w:r>
      <w:r w:rsidR="00862EAC">
        <w:t xml:space="preserve">heat coming into the </w:t>
      </w:r>
      <w:proofErr w:type="spellStart"/>
      <w:r w:rsidR="00862EAC">
        <w:t>subcooler</w:t>
      </w:r>
      <w:proofErr w:type="spellEnd"/>
      <w:r w:rsidR="00862EAC">
        <w: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2"/>
        <w:gridCol w:w="6944"/>
        <w:gridCol w:w="669"/>
      </w:tblGrid>
      <w:tr w:rsidR="005E20C3" w:rsidRPr="00B64370" w:rsidTr="00862EAC">
        <w:trPr>
          <w:jc w:val="center"/>
        </w:trPr>
        <w:tc>
          <w:tcPr>
            <w:tcW w:w="632" w:type="pct"/>
          </w:tcPr>
          <w:p w:rsidR="005E20C3" w:rsidRPr="00B64370" w:rsidRDefault="005E20C3" w:rsidP="00862EAC">
            <w:pPr>
              <w:jc w:val="center"/>
              <w:rPr>
                <w:rFonts w:ascii="Times New Roman" w:hAnsi="Times New Roman" w:cs="Times New Roman"/>
                <w:szCs w:val="20"/>
              </w:rPr>
            </w:pPr>
          </w:p>
        </w:tc>
        <w:tc>
          <w:tcPr>
            <w:tcW w:w="3984" w:type="pct"/>
          </w:tcPr>
          <w:p w:rsidR="005E20C3" w:rsidRPr="00862EAC" w:rsidRDefault="001C7E9D" w:rsidP="000C4D22">
            <w:pPr>
              <w:jc w:val="center"/>
              <w:rPr>
                <w:rFonts w:ascii="Times New Roman" w:hAnsi="Times New Roman" w:cs="Times New Roman"/>
                <w:szCs w:val="20"/>
              </w:rPr>
            </w:pPr>
            <m:oMathPara>
              <m:oMathParaPr>
                <m:jc m:val="center"/>
              </m:oMathParaPr>
              <m:oMath>
                <m:sSub>
                  <m:sSubPr>
                    <m:ctrlPr>
                      <w:rPr>
                        <w:rFonts w:ascii="Cambria Math" w:hAnsi="Cambria Math" w:cs="Times New Roman"/>
                        <w:i/>
                        <w:szCs w:val="20"/>
                      </w:rPr>
                    </m:ctrlPr>
                  </m:sSubPr>
                  <m:e>
                    <m:acc>
                      <m:accPr>
                        <m:chr m:val="̇"/>
                        <m:ctrlPr>
                          <w:rPr>
                            <w:rFonts w:ascii="Cambria Math" w:hAnsi="Cambria Math" w:cs="Times New Roman"/>
                            <w:i/>
                            <w:szCs w:val="20"/>
                          </w:rPr>
                        </m:ctrlPr>
                      </m:accPr>
                      <m:e>
                        <m:r>
                          <w:rPr>
                            <w:rFonts w:ascii="Cambria Math" w:hAnsi="Cambria Math" w:cs="Times New Roman"/>
                            <w:szCs w:val="20"/>
                          </w:rPr>
                          <m:t>Q</m:t>
                        </m:r>
                      </m:e>
                    </m:acc>
                  </m:e>
                  <m:sub>
                    <m:r>
                      <w:rPr>
                        <w:rFonts w:ascii="Cambria Math" w:hAnsi="Cambria Math" w:cs="Times New Roman"/>
                        <w:szCs w:val="20"/>
                      </w:rPr>
                      <m:t>H,sc</m:t>
                    </m:r>
                  </m:sub>
                </m:sSub>
                <m:r>
                  <w:rPr>
                    <w:rFonts w:ascii="Cambria Math" w:hAnsi="Cambria Math" w:cs="Times New Roman"/>
                    <w:szCs w:val="20"/>
                  </w:rPr>
                  <m:t>=</m:t>
                </m:r>
                <m:sSub>
                  <m:sSubPr>
                    <m:ctrlPr>
                      <w:rPr>
                        <w:rFonts w:ascii="Cambria Math" w:hAnsi="Cambria Math" w:cs="Times New Roman"/>
                        <w:i/>
                        <w:szCs w:val="20"/>
                      </w:rPr>
                    </m:ctrlPr>
                  </m:sSubPr>
                  <m:e>
                    <m:acc>
                      <m:accPr>
                        <m:chr m:val="̇"/>
                        <m:ctrlPr>
                          <w:rPr>
                            <w:rFonts w:ascii="Cambria Math" w:hAnsi="Cambria Math" w:cs="Times New Roman"/>
                            <w:i/>
                            <w:szCs w:val="20"/>
                          </w:rPr>
                        </m:ctrlPr>
                      </m:accPr>
                      <m:e>
                        <m:r>
                          <w:rPr>
                            <w:rFonts w:ascii="Cambria Math" w:hAnsi="Cambria Math" w:cs="Times New Roman"/>
                            <w:szCs w:val="20"/>
                          </w:rPr>
                          <m:t>m</m:t>
                        </m:r>
                      </m:e>
                    </m:acc>
                  </m:e>
                  <m:sub>
                    <m:r>
                      <w:rPr>
                        <w:rFonts w:ascii="Cambria Math" w:hAnsi="Cambria Math" w:cs="Times New Roman"/>
                        <w:szCs w:val="20"/>
                      </w:rPr>
                      <m:t>H</m:t>
                    </m:r>
                  </m:sub>
                </m:sSub>
                <m:sSub>
                  <m:sSubPr>
                    <m:ctrlPr>
                      <w:rPr>
                        <w:rFonts w:ascii="Cambria Math" w:hAnsi="Cambria Math" w:cs="Times New Roman"/>
                        <w:i/>
                        <w:szCs w:val="20"/>
                      </w:rPr>
                    </m:ctrlPr>
                  </m:sSubPr>
                  <m:e>
                    <m:r>
                      <w:rPr>
                        <w:rFonts w:ascii="Cambria Math" w:hAnsi="Cambria Math" w:cs="Times New Roman"/>
                        <w:szCs w:val="20"/>
                      </w:rPr>
                      <m:t>C</m:t>
                    </m:r>
                  </m:e>
                  <m:sub>
                    <m:r>
                      <w:rPr>
                        <w:rFonts w:ascii="Cambria Math" w:hAnsi="Cambria Math" w:cs="Times New Roman"/>
                        <w:szCs w:val="20"/>
                      </w:rPr>
                      <m:t>p_H</m:t>
                    </m:r>
                  </m:sub>
                </m:sSub>
                <m:d>
                  <m:dPr>
                    <m:ctrlPr>
                      <w:rPr>
                        <w:rFonts w:ascii="Cambria Math" w:hAnsi="Cambria Math" w:cs="Times New Roman"/>
                        <w:i/>
                        <w:szCs w:val="20"/>
                      </w:rPr>
                    </m:ctrlPr>
                  </m:dPr>
                  <m:e>
                    <m:sSub>
                      <m:sSubPr>
                        <m:ctrlPr>
                          <w:rPr>
                            <w:rFonts w:ascii="Cambria Math" w:hAnsi="Cambria Math" w:cs="Times New Roman"/>
                            <w:i/>
                            <w:szCs w:val="20"/>
                          </w:rPr>
                        </m:ctrlPr>
                      </m:sSubPr>
                      <m:e>
                        <m:r>
                          <w:rPr>
                            <w:rFonts w:ascii="Cambria Math" w:hAnsi="Cambria Math" w:cs="Times New Roman"/>
                            <w:szCs w:val="20"/>
                          </w:rPr>
                          <m:t>T</m:t>
                        </m:r>
                      </m:e>
                      <m:sub>
                        <m:r>
                          <w:rPr>
                            <w:rFonts w:ascii="Cambria Math" w:hAnsi="Cambria Math" w:cs="Times New Roman"/>
                            <w:szCs w:val="20"/>
                          </w:rPr>
                          <m:t>sat, h</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∆T</m:t>
                        </m:r>
                      </m:e>
                      <m:sub>
                        <m:r>
                          <w:rPr>
                            <w:rFonts w:ascii="Cambria Math" w:hAnsi="Cambria Math" w:cs="Times New Roman"/>
                            <w:szCs w:val="20"/>
                          </w:rPr>
                          <m:t>pp,H</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T</m:t>
                        </m:r>
                      </m:e>
                      <m:sub>
                        <m:r>
                          <w:rPr>
                            <w:rFonts w:ascii="Cambria Math" w:hAnsi="Cambria Math" w:cs="Times New Roman"/>
                            <w:szCs w:val="20"/>
                          </w:rPr>
                          <m:t>H,o_min</m:t>
                        </m:r>
                      </m:sub>
                    </m:sSub>
                  </m:e>
                </m:d>
              </m:oMath>
            </m:oMathPara>
          </w:p>
        </w:tc>
        <w:tc>
          <w:tcPr>
            <w:tcW w:w="384" w:type="pct"/>
          </w:tcPr>
          <w:p w:rsidR="005E20C3" w:rsidRPr="00B64370" w:rsidRDefault="005E20C3" w:rsidP="00B306B8">
            <w:pPr>
              <w:keepNext/>
              <w:jc w:val="right"/>
              <w:rPr>
                <w:rFonts w:ascii="Times New Roman" w:hAnsi="Times New Roman" w:cs="Times New Roman"/>
                <w:szCs w:val="20"/>
              </w:rPr>
            </w:pPr>
            <w:bookmarkStart w:id="14" w:name="_Ref364888787"/>
            <w:r w:rsidRPr="00B64370">
              <w:rPr>
                <w:rFonts w:ascii="Times New Roman" w:hAnsi="Times New Roman" w:cs="Times New Roman"/>
                <w:szCs w:val="20"/>
              </w:rPr>
              <w:t>(</w:t>
            </w:r>
            <w:r w:rsidRPr="00B64370">
              <w:rPr>
                <w:szCs w:val="20"/>
              </w:rPr>
              <w:fldChar w:fldCharType="begin"/>
            </w:r>
            <w:r w:rsidRPr="00B64370">
              <w:rPr>
                <w:rFonts w:ascii="Times New Roman" w:hAnsi="Times New Roman" w:cs="Times New Roman"/>
                <w:szCs w:val="20"/>
              </w:rPr>
              <w:instrText xml:space="preserve"> SEQ [ \* ARABIC </w:instrText>
            </w:r>
            <w:r w:rsidRPr="00B64370">
              <w:rPr>
                <w:szCs w:val="20"/>
              </w:rPr>
              <w:fldChar w:fldCharType="separate"/>
            </w:r>
            <w:r w:rsidR="00AA6EE9">
              <w:rPr>
                <w:rFonts w:ascii="Times New Roman" w:hAnsi="Times New Roman" w:cs="Times New Roman"/>
                <w:noProof/>
                <w:szCs w:val="20"/>
              </w:rPr>
              <w:t>3</w:t>
            </w:r>
            <w:r w:rsidRPr="00B64370">
              <w:rPr>
                <w:szCs w:val="20"/>
              </w:rPr>
              <w:fldChar w:fldCharType="end"/>
            </w:r>
            <w:bookmarkEnd w:id="14"/>
            <w:r w:rsidRPr="00B64370">
              <w:rPr>
                <w:rFonts w:ascii="Times New Roman" w:hAnsi="Times New Roman" w:cs="Times New Roman"/>
                <w:szCs w:val="20"/>
              </w:rPr>
              <w:t>)</w:t>
            </w:r>
          </w:p>
        </w:tc>
      </w:tr>
    </w:tbl>
    <w:p w:rsidR="005E20C3" w:rsidRPr="008935AB" w:rsidRDefault="005E20C3" w:rsidP="00B64370">
      <w:pPr>
        <w:pStyle w:val="Newparagraph"/>
      </w:pPr>
      <w:r w:rsidRPr="008935AB">
        <w:t>Equating the heat leaving the exhaust gas to th</w:t>
      </w:r>
      <w:r w:rsidR="00E061B6">
        <w:t>at</w:t>
      </w:r>
      <w:r w:rsidRPr="008935AB">
        <w:t xml:space="preserve"> absorbed by the working fluid</w:t>
      </w:r>
      <w:r w:rsidR="00B306B8">
        <w:t>,</w:t>
      </w:r>
      <w:r w:rsidRPr="008935AB">
        <w:t xml:space="preserve"> </w:t>
      </w:r>
      <w:r w:rsidR="00B306B8">
        <w:t xml:space="preserve">it </w:t>
      </w:r>
      <w:r w:rsidRPr="008935AB">
        <w:t xml:space="preserve">is possible to determine the mass flow rate required by the </w:t>
      </w:r>
      <w:proofErr w:type="spellStart"/>
      <w:r w:rsidRPr="008935AB">
        <w:t>subcool</w:t>
      </w:r>
      <w:proofErr w:type="spellEnd"/>
      <w:r w:rsidRPr="008935AB">
        <w:t xml:space="preserve"> region, assuming that there is no </w:t>
      </w:r>
      <w:r w:rsidR="00B27FEE">
        <w:t>recuperator</w:t>
      </w:r>
      <w:r w:rsidRPr="008935AB">
        <w: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8"/>
        <w:gridCol w:w="6521"/>
        <w:gridCol w:w="1236"/>
      </w:tblGrid>
      <w:tr w:rsidR="005E20C3" w:rsidRPr="00B64370" w:rsidTr="00B64370">
        <w:trPr>
          <w:jc w:val="center"/>
        </w:trPr>
        <w:tc>
          <w:tcPr>
            <w:tcW w:w="550" w:type="pct"/>
          </w:tcPr>
          <w:p w:rsidR="005E20C3" w:rsidRPr="00B64370" w:rsidRDefault="005E20C3" w:rsidP="000C4D22">
            <w:pPr>
              <w:rPr>
                <w:rFonts w:ascii="Times New Roman" w:hAnsi="Times New Roman" w:cs="Times New Roman"/>
                <w:szCs w:val="20"/>
              </w:rPr>
            </w:pPr>
          </w:p>
        </w:tc>
        <w:tc>
          <w:tcPr>
            <w:tcW w:w="3741" w:type="pct"/>
          </w:tcPr>
          <w:p w:rsidR="005E20C3" w:rsidRPr="00B64370" w:rsidRDefault="001C7E9D" w:rsidP="000C4D22">
            <w:pPr>
              <w:jc w:val="center"/>
              <w:rPr>
                <w:rFonts w:ascii="Times New Roman" w:hAnsi="Times New Roman" w:cs="Times New Roman"/>
                <w:szCs w:val="20"/>
              </w:rPr>
            </w:pPr>
            <m:oMathPara>
              <m:oMathParaPr>
                <m:jc m:val="center"/>
              </m:oMathParaPr>
              <m:oMath>
                <m:sSub>
                  <m:sSubPr>
                    <m:ctrlPr>
                      <w:rPr>
                        <w:rFonts w:ascii="Cambria Math" w:hAnsi="Cambria Math" w:cs="Times New Roman"/>
                        <w:i/>
                        <w:szCs w:val="20"/>
                      </w:rPr>
                    </m:ctrlPr>
                  </m:sSubPr>
                  <m:e>
                    <m:acc>
                      <m:accPr>
                        <m:chr m:val="̇"/>
                        <m:ctrlPr>
                          <w:rPr>
                            <w:rFonts w:ascii="Cambria Math" w:hAnsi="Cambria Math" w:cs="Times New Roman"/>
                            <w:i/>
                            <w:szCs w:val="20"/>
                          </w:rPr>
                        </m:ctrlPr>
                      </m:accPr>
                      <m:e>
                        <m:r>
                          <w:rPr>
                            <w:rFonts w:ascii="Cambria Math" w:hAnsi="Cambria Math" w:cs="Times New Roman"/>
                            <w:szCs w:val="20"/>
                          </w:rPr>
                          <m:t>m</m:t>
                        </m:r>
                      </m:e>
                    </m:acc>
                  </m:e>
                  <m:sub>
                    <m:r>
                      <w:rPr>
                        <w:rFonts w:ascii="Cambria Math" w:hAnsi="Cambria Math" w:cs="Times New Roman"/>
                        <w:szCs w:val="20"/>
                      </w:rPr>
                      <m:t>wf,sc</m:t>
                    </m:r>
                  </m:sub>
                </m:sSub>
                <m:r>
                  <w:rPr>
                    <w:rFonts w:ascii="Cambria Math" w:hAnsi="Cambria Math" w:cs="Times New Roman"/>
                    <w:szCs w:val="20"/>
                  </w:rPr>
                  <m:t>=</m:t>
                </m:r>
                <m:f>
                  <m:fPr>
                    <m:ctrlPr>
                      <w:rPr>
                        <w:rFonts w:ascii="Cambria Math" w:hAnsi="Cambria Math" w:cs="Times New Roman"/>
                        <w:i/>
                        <w:szCs w:val="20"/>
                      </w:rPr>
                    </m:ctrlPr>
                  </m:fPr>
                  <m:num>
                    <m:sSub>
                      <m:sSubPr>
                        <m:ctrlPr>
                          <w:rPr>
                            <w:rFonts w:ascii="Cambria Math" w:hAnsi="Cambria Math" w:cs="Times New Roman"/>
                            <w:i/>
                            <w:szCs w:val="20"/>
                          </w:rPr>
                        </m:ctrlPr>
                      </m:sSubPr>
                      <m:e>
                        <m:acc>
                          <m:accPr>
                            <m:chr m:val="̇"/>
                            <m:ctrlPr>
                              <w:rPr>
                                <w:rFonts w:ascii="Cambria Math" w:hAnsi="Cambria Math" w:cs="Times New Roman"/>
                                <w:i/>
                                <w:szCs w:val="20"/>
                              </w:rPr>
                            </m:ctrlPr>
                          </m:accPr>
                          <m:e>
                            <m:r>
                              <w:rPr>
                                <w:rFonts w:ascii="Cambria Math" w:hAnsi="Cambria Math" w:cs="Times New Roman"/>
                                <w:szCs w:val="20"/>
                              </w:rPr>
                              <m:t>m</m:t>
                            </m:r>
                          </m:e>
                        </m:acc>
                      </m:e>
                      <m:sub>
                        <m:r>
                          <w:rPr>
                            <w:rFonts w:ascii="Cambria Math" w:hAnsi="Cambria Math" w:cs="Times New Roman"/>
                            <w:szCs w:val="20"/>
                          </w:rPr>
                          <m:t>H</m:t>
                        </m:r>
                      </m:sub>
                    </m:sSub>
                    <m:sSub>
                      <m:sSubPr>
                        <m:ctrlPr>
                          <w:rPr>
                            <w:rFonts w:ascii="Cambria Math" w:hAnsi="Cambria Math" w:cs="Times New Roman"/>
                            <w:i/>
                            <w:szCs w:val="20"/>
                          </w:rPr>
                        </m:ctrlPr>
                      </m:sSubPr>
                      <m:e>
                        <m:r>
                          <w:rPr>
                            <w:rFonts w:ascii="Cambria Math" w:hAnsi="Cambria Math" w:cs="Times New Roman"/>
                            <w:szCs w:val="20"/>
                          </w:rPr>
                          <m:t>C</m:t>
                        </m:r>
                      </m:e>
                      <m:sub>
                        <m:r>
                          <w:rPr>
                            <w:rFonts w:ascii="Cambria Math" w:hAnsi="Cambria Math" w:cs="Times New Roman"/>
                            <w:szCs w:val="20"/>
                          </w:rPr>
                          <m:t>p_H</m:t>
                        </m:r>
                      </m:sub>
                    </m:sSub>
                    <m:d>
                      <m:dPr>
                        <m:ctrlPr>
                          <w:rPr>
                            <w:rFonts w:ascii="Cambria Math" w:hAnsi="Cambria Math" w:cs="Times New Roman"/>
                            <w:i/>
                            <w:szCs w:val="20"/>
                          </w:rPr>
                        </m:ctrlPr>
                      </m:dPr>
                      <m:e>
                        <m:sSub>
                          <m:sSubPr>
                            <m:ctrlPr>
                              <w:rPr>
                                <w:rFonts w:ascii="Cambria Math" w:hAnsi="Cambria Math" w:cs="Times New Roman"/>
                                <w:i/>
                                <w:szCs w:val="20"/>
                              </w:rPr>
                            </m:ctrlPr>
                          </m:sSubPr>
                          <m:e>
                            <m:r>
                              <w:rPr>
                                <w:rFonts w:ascii="Cambria Math" w:hAnsi="Cambria Math" w:cs="Times New Roman"/>
                                <w:szCs w:val="20"/>
                              </w:rPr>
                              <m:t>T</m:t>
                            </m:r>
                          </m:e>
                          <m:sub>
                            <m:r>
                              <w:rPr>
                                <w:rFonts w:ascii="Cambria Math" w:hAnsi="Cambria Math" w:cs="Times New Roman"/>
                                <w:szCs w:val="20"/>
                              </w:rPr>
                              <m:t>sat, h</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∆T</m:t>
                            </m:r>
                          </m:e>
                          <m:sub>
                            <m:r>
                              <w:rPr>
                                <w:rFonts w:ascii="Cambria Math" w:hAnsi="Cambria Math" w:cs="Times New Roman"/>
                                <w:szCs w:val="20"/>
                              </w:rPr>
                              <m:t>pp,H</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T</m:t>
                            </m:r>
                          </m:e>
                          <m:sub>
                            <m:r>
                              <w:rPr>
                                <w:rFonts w:ascii="Cambria Math" w:hAnsi="Cambria Math" w:cs="Times New Roman"/>
                                <w:szCs w:val="20"/>
                              </w:rPr>
                              <m:t>H,o_min</m:t>
                            </m:r>
                          </m:sub>
                        </m:sSub>
                      </m:e>
                    </m:d>
                  </m:num>
                  <m:den>
                    <m:d>
                      <m:dPr>
                        <m:ctrlPr>
                          <w:rPr>
                            <w:rFonts w:ascii="Cambria Math" w:hAnsi="Cambria Math" w:cs="Times New Roman"/>
                            <w:i/>
                            <w:szCs w:val="20"/>
                          </w:rPr>
                        </m:ctrlPr>
                      </m:dPr>
                      <m:e>
                        <m:sSub>
                          <m:sSubPr>
                            <m:ctrlPr>
                              <w:rPr>
                                <w:rFonts w:ascii="Cambria Math" w:hAnsi="Cambria Math" w:cs="Times New Roman"/>
                                <w:i/>
                                <w:szCs w:val="20"/>
                              </w:rPr>
                            </m:ctrlPr>
                          </m:sSubPr>
                          <m:e>
                            <m:r>
                              <w:rPr>
                                <w:rFonts w:ascii="Cambria Math" w:hAnsi="Cambria Math" w:cs="Times New Roman"/>
                                <w:szCs w:val="20"/>
                              </w:rPr>
                              <m:t>h</m:t>
                            </m:r>
                          </m:e>
                          <m:sub>
                            <m:r>
                              <w:rPr>
                                <w:rFonts w:ascii="Cambria Math" w:hAnsi="Cambria Math" w:cs="Times New Roman"/>
                                <w:szCs w:val="20"/>
                              </w:rPr>
                              <m:t>4a</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h</m:t>
                            </m:r>
                          </m:e>
                          <m:sub>
                            <m:r>
                              <w:rPr>
                                <w:rFonts w:ascii="Cambria Math" w:hAnsi="Cambria Math" w:cs="Times New Roman"/>
                                <w:szCs w:val="20"/>
                              </w:rPr>
                              <m:t>4</m:t>
                            </m:r>
                          </m:sub>
                        </m:sSub>
                      </m:e>
                    </m:d>
                  </m:den>
                </m:f>
              </m:oMath>
            </m:oMathPara>
          </w:p>
        </w:tc>
        <w:tc>
          <w:tcPr>
            <w:tcW w:w="709" w:type="pct"/>
          </w:tcPr>
          <w:p w:rsidR="005E20C3" w:rsidRPr="00B64370" w:rsidRDefault="005E20C3" w:rsidP="00B306B8">
            <w:pPr>
              <w:keepNext/>
              <w:jc w:val="right"/>
              <w:rPr>
                <w:rFonts w:ascii="Times New Roman" w:hAnsi="Times New Roman" w:cs="Times New Roman"/>
                <w:szCs w:val="20"/>
              </w:rPr>
            </w:pPr>
            <w:r w:rsidRPr="00B64370">
              <w:rPr>
                <w:rFonts w:ascii="Times New Roman" w:hAnsi="Times New Roman" w:cs="Times New Roman"/>
                <w:szCs w:val="20"/>
              </w:rPr>
              <w:t>(</w:t>
            </w:r>
            <w:r w:rsidRPr="00B64370">
              <w:rPr>
                <w:szCs w:val="20"/>
              </w:rPr>
              <w:fldChar w:fldCharType="begin"/>
            </w:r>
            <w:r w:rsidRPr="00B64370">
              <w:rPr>
                <w:rFonts w:ascii="Times New Roman" w:hAnsi="Times New Roman" w:cs="Times New Roman"/>
                <w:szCs w:val="20"/>
              </w:rPr>
              <w:instrText xml:space="preserve"> SEQ [ \* ARABIC </w:instrText>
            </w:r>
            <w:r w:rsidRPr="00B64370">
              <w:rPr>
                <w:szCs w:val="20"/>
              </w:rPr>
              <w:fldChar w:fldCharType="separate"/>
            </w:r>
            <w:r w:rsidR="00AA6EE9">
              <w:rPr>
                <w:rFonts w:ascii="Times New Roman" w:hAnsi="Times New Roman" w:cs="Times New Roman"/>
                <w:noProof/>
                <w:szCs w:val="20"/>
              </w:rPr>
              <w:t>4</w:t>
            </w:r>
            <w:r w:rsidRPr="00B64370">
              <w:rPr>
                <w:szCs w:val="20"/>
              </w:rPr>
              <w:fldChar w:fldCharType="end"/>
            </w:r>
            <w:r w:rsidRPr="00B64370">
              <w:rPr>
                <w:rFonts w:ascii="Times New Roman" w:hAnsi="Times New Roman" w:cs="Times New Roman"/>
                <w:szCs w:val="20"/>
              </w:rPr>
              <w:t>)</w:t>
            </w:r>
          </w:p>
        </w:tc>
      </w:tr>
    </w:tbl>
    <w:p w:rsidR="005E20C3" w:rsidRPr="008935AB" w:rsidRDefault="005E20C3" w:rsidP="00B64370">
      <w:pPr>
        <w:pStyle w:val="Newparagraph"/>
      </w:pPr>
      <w:r w:rsidRPr="008935AB">
        <w:t xml:space="preserve">Where </w:t>
      </w:r>
      <w:r w:rsidRPr="008935AB">
        <w:rPr>
          <w:i/>
        </w:rPr>
        <w:t>h</w:t>
      </w:r>
      <w:r w:rsidRPr="008935AB">
        <w:rPr>
          <w:i/>
          <w:vertAlign w:val="subscript"/>
        </w:rPr>
        <w:t>4a</w:t>
      </w:r>
      <w:r w:rsidRPr="008935AB">
        <w:t xml:space="preserve"> is the high pressure enthalpy at the saturated liquid point of the working fluid, and </w:t>
      </w:r>
      <w:r w:rsidRPr="008935AB">
        <w:rPr>
          <w:i/>
        </w:rPr>
        <w:t>h</w:t>
      </w:r>
      <w:r w:rsidRPr="008935AB">
        <w:rPr>
          <w:i/>
          <w:vertAlign w:val="subscript"/>
        </w:rPr>
        <w:t>4</w:t>
      </w:r>
      <w:r w:rsidRPr="008935AB">
        <w:t xml:space="preserve"> is the working fluid at the entrance of the heat exchanger.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wf,sc</m:t>
            </m:r>
          </m:sub>
        </m:sSub>
      </m:oMath>
      <w:r w:rsidRPr="008935AB">
        <w:t xml:space="preserve"> </w:t>
      </w:r>
      <w:proofErr w:type="gramStart"/>
      <w:r w:rsidRPr="008935AB">
        <w:t>is</w:t>
      </w:r>
      <w:proofErr w:type="gramEnd"/>
      <w:r w:rsidRPr="008935AB">
        <w:t xml:space="preserve"> used here as the maximum mass flow rate possible which falls inside the restrictions set by the pinch point temperature and the exhaust gas exit temperature. A lower mass flow rate than th</w:t>
      </w:r>
      <w:r w:rsidR="00B306B8">
        <w:t>at</w:t>
      </w:r>
      <w:r w:rsidRPr="008935AB">
        <w:t xml:space="preserve"> set by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wf,sc</m:t>
            </m:r>
          </m:sub>
        </m:sSub>
      </m:oMath>
      <w:r w:rsidRPr="008935AB">
        <w:t xml:space="preserve"> will not be able to absorb all the energy available at the </w:t>
      </w:r>
      <w:proofErr w:type="spellStart"/>
      <w:r w:rsidRPr="008935AB">
        <w:t>subcooler</w:t>
      </w:r>
      <w:proofErr w:type="spellEnd"/>
      <w:r w:rsidRPr="008935AB">
        <w:t xml:space="preserve"> region</w:t>
      </w:r>
      <w:r w:rsidR="00B306B8">
        <w:t>,</w:t>
      </w:r>
      <w:r w:rsidRPr="008935AB">
        <w:t xml:space="preserve"> but will still be insid</w:t>
      </w:r>
      <w:r w:rsidR="00B64370">
        <w:t>e the restriction limits. With e</w:t>
      </w:r>
      <w:r w:rsidRPr="008935AB">
        <w:t xml:space="preserve">quations </w:t>
      </w:r>
      <w:r w:rsidRPr="008935AB">
        <w:fldChar w:fldCharType="begin"/>
      </w:r>
      <w:r w:rsidRPr="008935AB">
        <w:instrText xml:space="preserve"> REF _Ref364889086 \h  \* MERGEFORMAT </w:instrText>
      </w:r>
      <w:r w:rsidRPr="008935AB">
        <w:fldChar w:fldCharType="separate"/>
      </w:r>
      <w:r w:rsidR="00AA6EE9" w:rsidRPr="00AA6EE9">
        <w:t>(2</w:t>
      </w:r>
      <w:r w:rsidRPr="008935AB">
        <w:fldChar w:fldCharType="end"/>
      </w:r>
      <w:r w:rsidRPr="008935AB">
        <w:t xml:space="preserve">) and </w:t>
      </w:r>
      <w:r>
        <w:fldChar w:fldCharType="begin"/>
      </w:r>
      <w:r>
        <w:instrText xml:space="preserve"> REF _Ref364888787 \h  \* MERGEFORMAT </w:instrText>
      </w:r>
      <w:r>
        <w:fldChar w:fldCharType="separate"/>
      </w:r>
      <w:r w:rsidR="00AA6EE9" w:rsidRPr="00AA6EE9">
        <w:t>(3</w:t>
      </w:r>
      <w:r>
        <w:fldChar w:fldCharType="end"/>
      </w:r>
      <w:r w:rsidRPr="008935AB">
        <w:t>) is possible to determine the mass flow rate required to take the working fluid from its liquid saturated point to the expander inlet enthalpy:</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7"/>
        <w:gridCol w:w="5811"/>
        <w:gridCol w:w="1377"/>
      </w:tblGrid>
      <w:tr w:rsidR="005E20C3" w:rsidRPr="00B64370" w:rsidTr="00B64370">
        <w:trPr>
          <w:jc w:val="center"/>
        </w:trPr>
        <w:tc>
          <w:tcPr>
            <w:tcW w:w="876" w:type="pct"/>
          </w:tcPr>
          <w:p w:rsidR="005E20C3" w:rsidRPr="00B64370" w:rsidRDefault="005E20C3" w:rsidP="000C4D22">
            <w:pPr>
              <w:rPr>
                <w:rFonts w:ascii="Times New Roman" w:hAnsi="Times New Roman" w:cs="Times New Roman"/>
                <w:szCs w:val="20"/>
              </w:rPr>
            </w:pPr>
          </w:p>
        </w:tc>
        <w:tc>
          <w:tcPr>
            <w:tcW w:w="3334" w:type="pct"/>
          </w:tcPr>
          <w:p w:rsidR="005E20C3" w:rsidRPr="00B64370" w:rsidRDefault="001C7E9D" w:rsidP="000C4D22">
            <w:pPr>
              <w:jc w:val="center"/>
              <w:rPr>
                <w:rFonts w:ascii="Times New Roman" w:hAnsi="Times New Roman" w:cs="Times New Roman"/>
                <w:szCs w:val="20"/>
              </w:rPr>
            </w:pPr>
            <m:oMathPara>
              <m:oMathParaPr>
                <m:jc m:val="center"/>
              </m:oMathParaPr>
              <m:oMath>
                <m:sSub>
                  <m:sSubPr>
                    <m:ctrlPr>
                      <w:rPr>
                        <w:rFonts w:ascii="Cambria Math" w:hAnsi="Cambria Math" w:cs="Times New Roman"/>
                        <w:i/>
                        <w:szCs w:val="20"/>
                      </w:rPr>
                    </m:ctrlPr>
                  </m:sSubPr>
                  <m:e>
                    <m:acc>
                      <m:accPr>
                        <m:chr m:val="̇"/>
                        <m:ctrlPr>
                          <w:rPr>
                            <w:rFonts w:ascii="Cambria Math" w:hAnsi="Cambria Math" w:cs="Times New Roman"/>
                            <w:i/>
                            <w:szCs w:val="20"/>
                          </w:rPr>
                        </m:ctrlPr>
                      </m:accPr>
                      <m:e>
                        <m:r>
                          <w:rPr>
                            <w:rFonts w:ascii="Cambria Math" w:hAnsi="Cambria Math" w:cs="Times New Roman"/>
                            <w:szCs w:val="20"/>
                          </w:rPr>
                          <m:t>m</m:t>
                        </m:r>
                      </m:e>
                    </m:acc>
                  </m:e>
                  <m:sub>
                    <m:r>
                      <w:rPr>
                        <w:rFonts w:ascii="Cambria Math" w:hAnsi="Cambria Math" w:cs="Times New Roman"/>
                        <w:szCs w:val="20"/>
                      </w:rPr>
                      <m:t>wf,ev-sh</m:t>
                    </m:r>
                  </m:sub>
                </m:sSub>
                <m:r>
                  <w:rPr>
                    <w:rFonts w:ascii="Cambria Math" w:hAnsi="Cambria Math" w:cs="Times New Roman"/>
                    <w:szCs w:val="20"/>
                  </w:rPr>
                  <m:t>=</m:t>
                </m:r>
                <m:f>
                  <m:fPr>
                    <m:ctrlPr>
                      <w:rPr>
                        <w:rFonts w:ascii="Cambria Math" w:hAnsi="Cambria Math" w:cs="Times New Roman"/>
                        <w:i/>
                        <w:szCs w:val="20"/>
                      </w:rPr>
                    </m:ctrlPr>
                  </m:fPr>
                  <m:num>
                    <m:sSub>
                      <m:sSubPr>
                        <m:ctrlPr>
                          <w:rPr>
                            <w:rFonts w:ascii="Cambria Math" w:hAnsi="Cambria Math" w:cs="Times New Roman"/>
                            <w:i/>
                            <w:szCs w:val="20"/>
                          </w:rPr>
                        </m:ctrlPr>
                      </m:sSubPr>
                      <m:e>
                        <m:acc>
                          <m:accPr>
                            <m:chr m:val="̇"/>
                            <m:ctrlPr>
                              <w:rPr>
                                <w:rFonts w:ascii="Cambria Math" w:hAnsi="Cambria Math" w:cs="Times New Roman"/>
                                <w:i/>
                                <w:szCs w:val="20"/>
                              </w:rPr>
                            </m:ctrlPr>
                          </m:accPr>
                          <m:e>
                            <m:r>
                              <w:rPr>
                                <w:rFonts w:ascii="Cambria Math" w:hAnsi="Cambria Math" w:cs="Times New Roman"/>
                                <w:szCs w:val="20"/>
                              </w:rPr>
                              <m:t>Q</m:t>
                            </m:r>
                          </m:e>
                        </m:acc>
                      </m:e>
                      <m:sub>
                        <m:r>
                          <w:rPr>
                            <w:rFonts w:ascii="Cambria Math" w:hAnsi="Cambria Math" w:cs="Times New Roman"/>
                            <w:szCs w:val="20"/>
                          </w:rPr>
                          <m:t>H</m:t>
                        </m:r>
                      </m:sub>
                    </m:sSub>
                    <m:sSub>
                      <m:sSubPr>
                        <m:ctrlPr>
                          <w:rPr>
                            <w:rFonts w:ascii="Cambria Math" w:hAnsi="Cambria Math" w:cs="Times New Roman"/>
                            <w:i/>
                            <w:szCs w:val="20"/>
                          </w:rPr>
                        </m:ctrlPr>
                      </m:sSubPr>
                      <m:e>
                        <m:r>
                          <w:rPr>
                            <w:rFonts w:ascii="Cambria Math" w:hAnsi="Cambria Math" w:cs="Times New Roman"/>
                            <w:szCs w:val="20"/>
                          </w:rPr>
                          <m:t>-</m:t>
                        </m:r>
                        <m:acc>
                          <m:accPr>
                            <m:chr m:val="̇"/>
                            <m:ctrlPr>
                              <w:rPr>
                                <w:rFonts w:ascii="Cambria Math" w:hAnsi="Cambria Math" w:cs="Times New Roman"/>
                                <w:i/>
                                <w:szCs w:val="20"/>
                              </w:rPr>
                            </m:ctrlPr>
                          </m:accPr>
                          <m:e>
                            <m:r>
                              <w:rPr>
                                <w:rFonts w:ascii="Cambria Math" w:hAnsi="Cambria Math" w:cs="Times New Roman"/>
                                <w:szCs w:val="20"/>
                              </w:rPr>
                              <m:t>Q</m:t>
                            </m:r>
                          </m:e>
                        </m:acc>
                      </m:e>
                      <m:sub>
                        <m:r>
                          <w:rPr>
                            <w:rFonts w:ascii="Cambria Math" w:hAnsi="Cambria Math" w:cs="Times New Roman"/>
                            <w:szCs w:val="20"/>
                          </w:rPr>
                          <m:t>H,sc</m:t>
                        </m:r>
                      </m:sub>
                    </m:sSub>
                  </m:num>
                  <m:den>
                    <m:d>
                      <m:dPr>
                        <m:ctrlPr>
                          <w:rPr>
                            <w:rFonts w:ascii="Cambria Math" w:hAnsi="Cambria Math" w:cs="Times New Roman"/>
                            <w:i/>
                            <w:szCs w:val="20"/>
                          </w:rPr>
                        </m:ctrlPr>
                      </m:dPr>
                      <m:e>
                        <m:sSub>
                          <m:sSubPr>
                            <m:ctrlPr>
                              <w:rPr>
                                <w:rFonts w:ascii="Cambria Math" w:hAnsi="Cambria Math" w:cs="Times New Roman"/>
                                <w:i/>
                                <w:szCs w:val="20"/>
                              </w:rPr>
                            </m:ctrlPr>
                          </m:sSubPr>
                          <m:e>
                            <m:r>
                              <w:rPr>
                                <w:rFonts w:ascii="Cambria Math" w:hAnsi="Cambria Math" w:cs="Times New Roman"/>
                                <w:szCs w:val="20"/>
                              </w:rPr>
                              <m:t>h</m:t>
                            </m:r>
                          </m:e>
                          <m:sub>
                            <m:r>
                              <w:rPr>
                                <w:rFonts w:ascii="Cambria Math" w:hAnsi="Cambria Math" w:cs="Times New Roman"/>
                                <w:szCs w:val="20"/>
                              </w:rPr>
                              <m:t>1</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h</m:t>
                            </m:r>
                          </m:e>
                          <m:sub>
                            <m:r>
                              <w:rPr>
                                <w:rFonts w:ascii="Cambria Math" w:hAnsi="Cambria Math" w:cs="Times New Roman"/>
                                <w:szCs w:val="20"/>
                              </w:rPr>
                              <m:t>4a</m:t>
                            </m:r>
                          </m:sub>
                        </m:sSub>
                      </m:e>
                    </m:d>
                  </m:den>
                </m:f>
              </m:oMath>
            </m:oMathPara>
          </w:p>
        </w:tc>
        <w:tc>
          <w:tcPr>
            <w:tcW w:w="790" w:type="pct"/>
          </w:tcPr>
          <w:p w:rsidR="005E20C3" w:rsidRPr="00B64370" w:rsidRDefault="005E20C3" w:rsidP="005D23AB">
            <w:pPr>
              <w:keepNext/>
              <w:jc w:val="right"/>
              <w:rPr>
                <w:rFonts w:ascii="Times New Roman" w:hAnsi="Times New Roman" w:cs="Times New Roman"/>
                <w:szCs w:val="20"/>
              </w:rPr>
            </w:pPr>
            <w:r w:rsidRPr="00B64370">
              <w:rPr>
                <w:rFonts w:ascii="Times New Roman" w:hAnsi="Times New Roman" w:cs="Times New Roman"/>
                <w:szCs w:val="20"/>
              </w:rPr>
              <w:t>(</w:t>
            </w:r>
            <w:r w:rsidRPr="00B64370">
              <w:rPr>
                <w:szCs w:val="20"/>
              </w:rPr>
              <w:fldChar w:fldCharType="begin"/>
            </w:r>
            <w:r w:rsidRPr="00B64370">
              <w:rPr>
                <w:rFonts w:ascii="Times New Roman" w:hAnsi="Times New Roman" w:cs="Times New Roman"/>
                <w:szCs w:val="20"/>
              </w:rPr>
              <w:instrText xml:space="preserve"> SEQ [ \* ARABIC </w:instrText>
            </w:r>
            <w:r w:rsidRPr="00B64370">
              <w:rPr>
                <w:szCs w:val="20"/>
              </w:rPr>
              <w:fldChar w:fldCharType="separate"/>
            </w:r>
            <w:r w:rsidR="00AA6EE9">
              <w:rPr>
                <w:rFonts w:ascii="Times New Roman" w:hAnsi="Times New Roman" w:cs="Times New Roman"/>
                <w:noProof/>
                <w:szCs w:val="20"/>
              </w:rPr>
              <w:t>5</w:t>
            </w:r>
            <w:r w:rsidRPr="00B64370">
              <w:rPr>
                <w:szCs w:val="20"/>
              </w:rPr>
              <w:fldChar w:fldCharType="end"/>
            </w:r>
            <w:r w:rsidRPr="00B64370">
              <w:rPr>
                <w:rFonts w:ascii="Times New Roman" w:hAnsi="Times New Roman" w:cs="Times New Roman"/>
                <w:szCs w:val="20"/>
              </w:rPr>
              <w:t>)</w:t>
            </w:r>
          </w:p>
        </w:tc>
      </w:tr>
      <w:tr w:rsidR="00B64370" w:rsidRPr="00B64370" w:rsidTr="00B64370">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76" w:type="pct"/>
            <w:tcBorders>
              <w:top w:val="nil"/>
              <w:left w:val="nil"/>
              <w:bottom w:val="nil"/>
              <w:right w:val="nil"/>
            </w:tcBorders>
          </w:tcPr>
          <w:p w:rsidR="00B64370" w:rsidRPr="00B64370" w:rsidRDefault="00B64370" w:rsidP="000C4D22">
            <w:pPr>
              <w:rPr>
                <w:rFonts w:ascii="Times New Roman" w:hAnsi="Times New Roman" w:cs="Times New Roman"/>
                <w:szCs w:val="20"/>
              </w:rPr>
            </w:pPr>
          </w:p>
        </w:tc>
        <w:tc>
          <w:tcPr>
            <w:tcW w:w="3334" w:type="pct"/>
            <w:tcBorders>
              <w:top w:val="nil"/>
              <w:left w:val="nil"/>
              <w:bottom w:val="nil"/>
              <w:right w:val="nil"/>
            </w:tcBorders>
          </w:tcPr>
          <w:p w:rsidR="00B64370" w:rsidRPr="00B64370" w:rsidRDefault="001C7E9D" w:rsidP="00B64370">
            <w:pPr>
              <w:jc w:val="center"/>
              <w:rPr>
                <w:rFonts w:ascii="Times New Roman" w:hAnsi="Times New Roman" w:cs="Times New Roman"/>
                <w:szCs w:val="20"/>
              </w:rPr>
            </w:pPr>
            <m:oMath>
              <m:sSub>
                <m:sSubPr>
                  <m:ctrlPr>
                    <w:rPr>
                      <w:rFonts w:ascii="Cambria Math" w:hAnsi="Cambria Math" w:cs="Times New Roman"/>
                      <w:i/>
                      <w:szCs w:val="20"/>
                    </w:rPr>
                  </m:ctrlPr>
                </m:sSubPr>
                <m:e>
                  <m:acc>
                    <m:accPr>
                      <m:chr m:val="̇"/>
                      <m:ctrlPr>
                        <w:rPr>
                          <w:rFonts w:ascii="Cambria Math" w:hAnsi="Cambria Math" w:cs="Times New Roman"/>
                          <w:i/>
                          <w:szCs w:val="20"/>
                        </w:rPr>
                      </m:ctrlPr>
                    </m:accPr>
                    <m:e>
                      <m:r>
                        <w:rPr>
                          <w:rFonts w:ascii="Cambria Math" w:hAnsi="Cambria Math" w:cs="Times New Roman"/>
                          <w:szCs w:val="20"/>
                        </w:rPr>
                        <m:t>m</m:t>
                      </m:r>
                    </m:e>
                  </m:acc>
                </m:e>
                <m:sub>
                  <m:r>
                    <w:rPr>
                      <w:rFonts w:ascii="Cambria Math" w:hAnsi="Cambria Math" w:cs="Times New Roman"/>
                      <w:szCs w:val="20"/>
                    </w:rPr>
                    <m:t>wf,ev-sh</m:t>
                  </m:r>
                </m:sub>
              </m:sSub>
              <m:r>
                <w:rPr>
                  <w:rFonts w:ascii="Cambria Math" w:hAnsi="Cambria Math" w:cs="Times New Roman"/>
                  <w:szCs w:val="20"/>
                </w:rPr>
                <m:t>≤</m:t>
              </m:r>
            </m:oMath>
            <w:r w:rsidR="00B64370" w:rsidRPr="00B64370">
              <w:rPr>
                <w:rFonts w:ascii="Times New Roman" w:hAnsi="Times New Roman" w:cs="Times New Roman"/>
                <w:szCs w:val="20"/>
              </w:rPr>
              <w:t xml:space="preserve"> </w:t>
            </w:r>
            <m:oMath>
              <m:sSub>
                <m:sSubPr>
                  <m:ctrlPr>
                    <w:rPr>
                      <w:rFonts w:ascii="Cambria Math" w:hAnsi="Cambria Math" w:cs="Times New Roman"/>
                      <w:i/>
                      <w:szCs w:val="20"/>
                    </w:rPr>
                  </m:ctrlPr>
                </m:sSubPr>
                <m:e>
                  <m:acc>
                    <m:accPr>
                      <m:chr m:val="̇"/>
                      <m:ctrlPr>
                        <w:rPr>
                          <w:rFonts w:ascii="Cambria Math" w:hAnsi="Cambria Math" w:cs="Times New Roman"/>
                          <w:i/>
                          <w:szCs w:val="20"/>
                        </w:rPr>
                      </m:ctrlPr>
                    </m:accPr>
                    <m:e>
                      <m:r>
                        <w:rPr>
                          <w:rFonts w:ascii="Cambria Math" w:hAnsi="Cambria Math" w:cs="Times New Roman"/>
                          <w:szCs w:val="20"/>
                        </w:rPr>
                        <m:t>m</m:t>
                      </m:r>
                    </m:e>
                  </m:acc>
                </m:e>
                <m:sub>
                  <m:r>
                    <w:rPr>
                      <w:rFonts w:ascii="Cambria Math" w:hAnsi="Cambria Math" w:cs="Times New Roman"/>
                      <w:szCs w:val="20"/>
                    </w:rPr>
                    <m:t>wf,sc</m:t>
                  </m:r>
                </m:sub>
              </m:sSub>
            </m:oMath>
          </w:p>
        </w:tc>
        <w:tc>
          <w:tcPr>
            <w:tcW w:w="790" w:type="pct"/>
            <w:tcBorders>
              <w:top w:val="nil"/>
              <w:left w:val="nil"/>
              <w:bottom w:val="nil"/>
              <w:right w:val="nil"/>
            </w:tcBorders>
          </w:tcPr>
          <w:p w:rsidR="00B64370" w:rsidRPr="00B64370" w:rsidRDefault="00B64370" w:rsidP="005D23AB">
            <w:pPr>
              <w:keepNext/>
              <w:jc w:val="right"/>
              <w:rPr>
                <w:rFonts w:ascii="Times New Roman" w:hAnsi="Times New Roman" w:cs="Times New Roman"/>
                <w:szCs w:val="20"/>
              </w:rPr>
            </w:pPr>
            <w:bookmarkStart w:id="15" w:name="_Ref364932682"/>
            <w:r w:rsidRPr="00B64370">
              <w:rPr>
                <w:rFonts w:ascii="Times New Roman" w:hAnsi="Times New Roman" w:cs="Times New Roman"/>
                <w:szCs w:val="20"/>
              </w:rPr>
              <w:t>(</w:t>
            </w:r>
            <w:r w:rsidRPr="00B64370">
              <w:rPr>
                <w:szCs w:val="20"/>
              </w:rPr>
              <w:fldChar w:fldCharType="begin"/>
            </w:r>
            <w:r w:rsidRPr="00B64370">
              <w:rPr>
                <w:rFonts w:ascii="Times New Roman" w:hAnsi="Times New Roman" w:cs="Times New Roman"/>
                <w:szCs w:val="20"/>
              </w:rPr>
              <w:instrText xml:space="preserve"> SEQ [ \* ARABIC </w:instrText>
            </w:r>
            <w:r w:rsidRPr="00B64370">
              <w:rPr>
                <w:szCs w:val="20"/>
              </w:rPr>
              <w:fldChar w:fldCharType="separate"/>
            </w:r>
            <w:r w:rsidR="00AA6EE9">
              <w:rPr>
                <w:rFonts w:ascii="Times New Roman" w:hAnsi="Times New Roman" w:cs="Times New Roman"/>
                <w:noProof/>
                <w:szCs w:val="20"/>
              </w:rPr>
              <w:t>6</w:t>
            </w:r>
            <w:r w:rsidRPr="00B64370">
              <w:rPr>
                <w:szCs w:val="20"/>
              </w:rPr>
              <w:fldChar w:fldCharType="end"/>
            </w:r>
            <w:bookmarkEnd w:id="15"/>
            <w:r w:rsidRPr="00B64370">
              <w:rPr>
                <w:rFonts w:ascii="Times New Roman" w:hAnsi="Times New Roman" w:cs="Times New Roman"/>
                <w:szCs w:val="20"/>
              </w:rPr>
              <w:t>)</w:t>
            </w:r>
          </w:p>
        </w:tc>
      </w:tr>
    </w:tbl>
    <w:p w:rsidR="005E20C3" w:rsidRPr="008935AB" w:rsidRDefault="005E20C3" w:rsidP="00B64370">
      <w:pPr>
        <w:pStyle w:val="Newparagraph"/>
      </w:pPr>
      <w:r w:rsidRPr="008935AB">
        <w:t>The logic of the algorithm will not take into consideration mass flow rates that do not comply with t</w:t>
      </w:r>
      <w:r w:rsidR="00B64370">
        <w:t>he restriction shown in e</w:t>
      </w:r>
      <w:r w:rsidRPr="008935AB">
        <w:t xml:space="preserve">quation </w:t>
      </w:r>
      <w:r w:rsidRPr="008935AB">
        <w:fldChar w:fldCharType="begin"/>
      </w:r>
      <w:r w:rsidRPr="008935AB">
        <w:instrText xml:space="preserve"> REF  _Ref364932682 \h  \* MERGEFORMAT </w:instrText>
      </w:r>
      <w:r w:rsidRPr="008935AB">
        <w:fldChar w:fldCharType="separate"/>
      </w:r>
      <w:r w:rsidR="00AA6EE9" w:rsidRPr="00AA6EE9">
        <w:t>(6</w:t>
      </w:r>
      <w:r w:rsidRPr="008935AB">
        <w:fldChar w:fldCharType="end"/>
      </w:r>
      <w:r w:rsidRPr="008935AB">
        <w:t xml:space="preserve">) which guarantees that there is no temperature </w:t>
      </w:r>
      <w:r>
        <w:t>crossover</w:t>
      </w:r>
      <w:r w:rsidRPr="008935AB">
        <w:t xml:space="preserve"> inside the heat exchanger.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wf,ev-sh</m:t>
            </m:r>
          </m:sub>
        </m:sSub>
      </m:oMath>
      <w:r w:rsidRPr="008935AB">
        <w:t xml:space="preserve"> </w:t>
      </w:r>
      <w:proofErr w:type="gramStart"/>
      <w:r w:rsidR="005D23AB">
        <w:t>is</w:t>
      </w:r>
      <w:proofErr w:type="gramEnd"/>
      <w:r w:rsidRPr="008935AB">
        <w:t xml:space="preserve"> used as the working fluid mass flow rate. From this point onwards the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wf,ev-sh</m:t>
            </m:r>
          </m:sub>
        </m:sSub>
      </m:oMath>
      <w:r w:rsidRPr="008935AB">
        <w:t xml:space="preserve"> will be written </w:t>
      </w:r>
      <w:proofErr w:type="gramStart"/>
      <w:r w:rsidRPr="008935AB">
        <w:t xml:space="preserve">as </w:t>
      </w:r>
      <w:proofErr w:type="gramEnd"/>
      <m:oMath>
        <m:sSub>
          <m:sSubPr>
            <m:ctrlPr>
              <w:rPr>
                <w:rFonts w:ascii="Cambria Math" w:hAnsi="Cambria Math"/>
                <w:i/>
              </w:rPr>
            </m:ctrlPr>
          </m:sSubPr>
          <m:e>
            <m:acc>
              <m:accPr>
                <m:chr m:val="̇"/>
                <m:ctrlPr>
                  <w:rPr>
                    <w:rFonts w:ascii="Cambria Math" w:hAnsi="Cambria Math"/>
                    <w:i/>
                  </w:rPr>
                </m:ctrlPr>
              </m:accPr>
              <m:e>
                <m:r>
                  <w:rPr>
                    <w:rFonts w:ascii="Cambria Math" w:hAnsi="Cambria Math"/>
                  </w:rPr>
                  <m:t>m</m:t>
                </m:r>
              </m:e>
            </m:acc>
          </m:e>
          <m:sub>
            <m:r>
              <w:rPr>
                <w:rFonts w:ascii="Cambria Math" w:hAnsi="Cambria Math"/>
              </w:rPr>
              <m:t>wf</m:t>
            </m:r>
          </m:sub>
        </m:sSub>
      </m:oMath>
      <w:r w:rsidRPr="008935AB">
        <w:t xml:space="preserve">. </w:t>
      </w:r>
    </w:p>
    <w:p w:rsidR="005E20C3" w:rsidRPr="008935AB" w:rsidRDefault="005E20C3" w:rsidP="00B64370">
      <w:pPr>
        <w:pStyle w:val="Newparagraph"/>
      </w:pPr>
      <w:r w:rsidRPr="008935AB">
        <w:t>The total heat absorbed by the working fluid can be calculated as follows:</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7796"/>
        <w:gridCol w:w="669"/>
      </w:tblGrid>
      <w:tr w:rsidR="005E20C3" w:rsidRPr="00B64370" w:rsidTr="00B64370">
        <w:trPr>
          <w:jc w:val="center"/>
        </w:trPr>
        <w:tc>
          <w:tcPr>
            <w:tcW w:w="143" w:type="pct"/>
          </w:tcPr>
          <w:p w:rsidR="005E20C3" w:rsidRPr="00B64370" w:rsidRDefault="005E20C3" w:rsidP="000C4D22">
            <w:pPr>
              <w:rPr>
                <w:rFonts w:ascii="Times New Roman" w:hAnsi="Times New Roman" w:cs="Times New Roman"/>
                <w:szCs w:val="20"/>
              </w:rPr>
            </w:pPr>
          </w:p>
        </w:tc>
        <w:tc>
          <w:tcPr>
            <w:tcW w:w="4473" w:type="pct"/>
          </w:tcPr>
          <w:p w:rsidR="005E20C3" w:rsidRPr="00B64370" w:rsidRDefault="001C7E9D" w:rsidP="000C4D22">
            <w:pPr>
              <w:jc w:val="center"/>
              <w:rPr>
                <w:rFonts w:ascii="Times New Roman" w:hAnsi="Times New Roman" w:cs="Times New Roman"/>
                <w:szCs w:val="20"/>
              </w:rPr>
            </w:pPr>
            <m:oMathPara>
              <m:oMath>
                <m:sSub>
                  <m:sSubPr>
                    <m:ctrlPr>
                      <w:rPr>
                        <w:rFonts w:ascii="Cambria Math" w:hAnsi="Cambria Math" w:cs="Times New Roman"/>
                        <w:i/>
                        <w:szCs w:val="20"/>
                      </w:rPr>
                    </m:ctrlPr>
                  </m:sSubPr>
                  <m:e>
                    <m:acc>
                      <m:accPr>
                        <m:chr m:val="̇"/>
                        <m:ctrlPr>
                          <w:rPr>
                            <w:rFonts w:ascii="Cambria Math" w:hAnsi="Cambria Math" w:cs="Times New Roman"/>
                            <w:i/>
                            <w:szCs w:val="20"/>
                          </w:rPr>
                        </m:ctrlPr>
                      </m:accPr>
                      <m:e>
                        <m:r>
                          <w:rPr>
                            <w:rFonts w:ascii="Cambria Math" w:hAnsi="Cambria Math" w:cs="Times New Roman"/>
                            <w:szCs w:val="20"/>
                          </w:rPr>
                          <m:t>Q</m:t>
                        </m:r>
                      </m:e>
                    </m:acc>
                  </m:e>
                  <m:sub>
                    <m:r>
                      <w:rPr>
                        <w:rFonts w:ascii="Cambria Math" w:hAnsi="Cambria Math" w:cs="Times New Roman"/>
                        <w:szCs w:val="20"/>
                      </w:rPr>
                      <m:t>wf,H</m:t>
                    </m:r>
                  </m:sub>
                </m:sSub>
                <m:r>
                  <w:rPr>
                    <w:rFonts w:ascii="Cambria Math" w:hAnsi="Cambria Math" w:cs="Times New Roman"/>
                    <w:szCs w:val="20"/>
                  </w:rPr>
                  <m:t>=</m:t>
                </m:r>
                <m:sSub>
                  <m:sSubPr>
                    <m:ctrlPr>
                      <w:rPr>
                        <w:rFonts w:ascii="Cambria Math" w:hAnsi="Cambria Math" w:cs="Times New Roman"/>
                        <w:i/>
                        <w:szCs w:val="20"/>
                      </w:rPr>
                    </m:ctrlPr>
                  </m:sSubPr>
                  <m:e>
                    <m:acc>
                      <m:accPr>
                        <m:chr m:val="̇"/>
                        <m:ctrlPr>
                          <w:rPr>
                            <w:rFonts w:ascii="Cambria Math" w:hAnsi="Cambria Math" w:cs="Times New Roman"/>
                            <w:i/>
                            <w:szCs w:val="20"/>
                          </w:rPr>
                        </m:ctrlPr>
                      </m:accPr>
                      <m:e>
                        <m:r>
                          <w:rPr>
                            <w:rFonts w:ascii="Cambria Math" w:hAnsi="Cambria Math" w:cs="Times New Roman"/>
                            <w:szCs w:val="20"/>
                          </w:rPr>
                          <m:t>Q</m:t>
                        </m:r>
                      </m:e>
                    </m:acc>
                  </m:e>
                  <m:sub>
                    <m:r>
                      <w:rPr>
                        <w:rFonts w:ascii="Cambria Math" w:hAnsi="Cambria Math" w:cs="Times New Roman"/>
                        <w:szCs w:val="20"/>
                      </w:rPr>
                      <m:t>wf, H-sc</m:t>
                    </m:r>
                  </m:sub>
                </m:sSub>
                <m:sSub>
                  <m:sSubPr>
                    <m:ctrlPr>
                      <w:rPr>
                        <w:rFonts w:ascii="Cambria Math" w:hAnsi="Cambria Math" w:cs="Times New Roman"/>
                        <w:i/>
                        <w:szCs w:val="20"/>
                      </w:rPr>
                    </m:ctrlPr>
                  </m:sSubPr>
                  <m:e>
                    <m:r>
                      <w:rPr>
                        <w:rFonts w:ascii="Cambria Math" w:hAnsi="Cambria Math" w:cs="Times New Roman"/>
                        <w:szCs w:val="20"/>
                      </w:rPr>
                      <m:t xml:space="preserve"> + </m:t>
                    </m:r>
                    <m:acc>
                      <m:accPr>
                        <m:chr m:val="̇"/>
                        <m:ctrlPr>
                          <w:rPr>
                            <w:rFonts w:ascii="Cambria Math" w:hAnsi="Cambria Math" w:cs="Times New Roman"/>
                            <w:i/>
                            <w:szCs w:val="20"/>
                          </w:rPr>
                        </m:ctrlPr>
                      </m:accPr>
                      <m:e>
                        <m:r>
                          <w:rPr>
                            <w:rFonts w:ascii="Cambria Math" w:hAnsi="Cambria Math" w:cs="Times New Roman"/>
                            <w:szCs w:val="20"/>
                          </w:rPr>
                          <m:t>Q</m:t>
                        </m:r>
                      </m:e>
                    </m:acc>
                  </m:e>
                  <m:sub>
                    <m:r>
                      <w:rPr>
                        <w:rFonts w:ascii="Cambria Math" w:hAnsi="Cambria Math" w:cs="Times New Roman"/>
                        <w:szCs w:val="20"/>
                      </w:rPr>
                      <m:t>wf,H-ev</m:t>
                    </m:r>
                  </m:sub>
                </m:sSub>
                <m:r>
                  <w:rPr>
                    <w:rFonts w:ascii="Cambria Math" w:hAnsi="Cambria Math" w:cs="Times New Roman"/>
                    <w:szCs w:val="20"/>
                  </w:rPr>
                  <m:t>+</m:t>
                </m:r>
                <m:sSub>
                  <m:sSubPr>
                    <m:ctrlPr>
                      <w:rPr>
                        <w:rFonts w:ascii="Cambria Math" w:hAnsi="Cambria Math" w:cs="Times New Roman"/>
                        <w:i/>
                        <w:szCs w:val="20"/>
                      </w:rPr>
                    </m:ctrlPr>
                  </m:sSubPr>
                  <m:e>
                    <m:acc>
                      <m:accPr>
                        <m:chr m:val="̇"/>
                        <m:ctrlPr>
                          <w:rPr>
                            <w:rFonts w:ascii="Cambria Math" w:hAnsi="Cambria Math" w:cs="Times New Roman"/>
                            <w:i/>
                            <w:szCs w:val="20"/>
                          </w:rPr>
                        </m:ctrlPr>
                      </m:accPr>
                      <m:e>
                        <m:r>
                          <w:rPr>
                            <w:rFonts w:ascii="Cambria Math" w:hAnsi="Cambria Math" w:cs="Times New Roman"/>
                            <w:szCs w:val="20"/>
                          </w:rPr>
                          <m:t>Q</m:t>
                        </m:r>
                      </m:e>
                    </m:acc>
                  </m:e>
                  <m:sub>
                    <m:r>
                      <w:rPr>
                        <w:rFonts w:ascii="Cambria Math" w:hAnsi="Cambria Math" w:cs="Times New Roman"/>
                        <w:szCs w:val="20"/>
                      </w:rPr>
                      <m:t>wf, H-sh</m:t>
                    </m:r>
                  </m:sub>
                </m:sSub>
                <m:r>
                  <w:rPr>
                    <w:rFonts w:ascii="Cambria Math" w:hAnsi="Cambria Math" w:cs="Times New Roman"/>
                    <w:szCs w:val="20"/>
                  </w:rPr>
                  <m:t xml:space="preserve">= </m:t>
                </m:r>
                <m:sSub>
                  <m:sSubPr>
                    <m:ctrlPr>
                      <w:rPr>
                        <w:rFonts w:ascii="Cambria Math" w:hAnsi="Cambria Math" w:cs="Times New Roman"/>
                        <w:i/>
                        <w:szCs w:val="20"/>
                      </w:rPr>
                    </m:ctrlPr>
                  </m:sSubPr>
                  <m:e>
                    <m:acc>
                      <m:accPr>
                        <m:chr m:val="̇"/>
                        <m:ctrlPr>
                          <w:rPr>
                            <w:rFonts w:ascii="Cambria Math" w:hAnsi="Cambria Math" w:cs="Times New Roman"/>
                            <w:i/>
                            <w:szCs w:val="20"/>
                          </w:rPr>
                        </m:ctrlPr>
                      </m:accPr>
                      <m:e>
                        <m:r>
                          <w:rPr>
                            <w:rFonts w:ascii="Cambria Math" w:hAnsi="Cambria Math" w:cs="Times New Roman"/>
                            <w:szCs w:val="20"/>
                          </w:rPr>
                          <m:t>m</m:t>
                        </m:r>
                      </m:e>
                    </m:acc>
                  </m:e>
                  <m:sub>
                    <m:r>
                      <w:rPr>
                        <w:rFonts w:ascii="Cambria Math" w:hAnsi="Cambria Math" w:cs="Times New Roman"/>
                        <w:szCs w:val="20"/>
                      </w:rPr>
                      <m:t>wf</m:t>
                    </m:r>
                  </m:sub>
                </m:sSub>
                <m:d>
                  <m:dPr>
                    <m:begChr m:val="["/>
                    <m:endChr m:val="]"/>
                    <m:ctrlPr>
                      <w:rPr>
                        <w:rFonts w:ascii="Cambria Math" w:hAnsi="Cambria Math" w:cs="Times New Roman"/>
                        <w:i/>
                        <w:szCs w:val="20"/>
                      </w:rPr>
                    </m:ctrlPr>
                  </m:dPr>
                  <m:e>
                    <m:d>
                      <m:dPr>
                        <m:ctrlPr>
                          <w:rPr>
                            <w:rFonts w:ascii="Cambria Math" w:hAnsi="Cambria Math" w:cs="Times New Roman"/>
                            <w:i/>
                            <w:szCs w:val="20"/>
                          </w:rPr>
                        </m:ctrlPr>
                      </m:dPr>
                      <m:e>
                        <m:sSub>
                          <m:sSubPr>
                            <m:ctrlPr>
                              <w:rPr>
                                <w:rFonts w:ascii="Cambria Math" w:hAnsi="Cambria Math" w:cs="Times New Roman"/>
                                <w:i/>
                                <w:szCs w:val="20"/>
                              </w:rPr>
                            </m:ctrlPr>
                          </m:sSubPr>
                          <m:e>
                            <m:r>
                              <w:rPr>
                                <w:rFonts w:ascii="Cambria Math" w:hAnsi="Cambria Math" w:cs="Times New Roman"/>
                                <w:szCs w:val="20"/>
                              </w:rPr>
                              <m:t>h</m:t>
                            </m:r>
                          </m:e>
                          <m:sub>
                            <m:r>
                              <w:rPr>
                                <w:rFonts w:ascii="Cambria Math" w:hAnsi="Cambria Math" w:cs="Times New Roman"/>
                                <w:szCs w:val="20"/>
                              </w:rPr>
                              <m:t>1</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h</m:t>
                            </m:r>
                          </m:e>
                          <m:sub>
                            <m:r>
                              <w:rPr>
                                <w:rFonts w:ascii="Cambria Math" w:hAnsi="Cambria Math" w:cs="Times New Roman"/>
                                <w:szCs w:val="20"/>
                              </w:rPr>
                              <m:t>4</m:t>
                            </m:r>
                          </m:sub>
                        </m:sSub>
                      </m:e>
                    </m:d>
                  </m:e>
                </m:d>
              </m:oMath>
            </m:oMathPara>
          </w:p>
        </w:tc>
        <w:tc>
          <w:tcPr>
            <w:tcW w:w="384" w:type="pct"/>
          </w:tcPr>
          <w:p w:rsidR="005E20C3" w:rsidRPr="00B64370" w:rsidRDefault="005E20C3" w:rsidP="000C4D22">
            <w:pPr>
              <w:keepNext/>
              <w:jc w:val="right"/>
              <w:rPr>
                <w:rFonts w:ascii="Times New Roman" w:hAnsi="Times New Roman" w:cs="Times New Roman"/>
                <w:szCs w:val="20"/>
              </w:rPr>
            </w:pPr>
            <w:r w:rsidRPr="00B64370">
              <w:rPr>
                <w:rFonts w:ascii="Times New Roman" w:hAnsi="Times New Roman" w:cs="Times New Roman"/>
                <w:szCs w:val="20"/>
              </w:rPr>
              <w:t xml:space="preserve">( </w:t>
            </w:r>
            <w:r w:rsidRPr="00B64370">
              <w:rPr>
                <w:szCs w:val="20"/>
              </w:rPr>
              <w:fldChar w:fldCharType="begin"/>
            </w:r>
            <w:r w:rsidRPr="00B64370">
              <w:rPr>
                <w:rFonts w:ascii="Times New Roman" w:hAnsi="Times New Roman" w:cs="Times New Roman"/>
                <w:szCs w:val="20"/>
              </w:rPr>
              <w:instrText xml:space="preserve"> SEQ [ \* ARABIC </w:instrText>
            </w:r>
            <w:r w:rsidRPr="00B64370">
              <w:rPr>
                <w:szCs w:val="20"/>
              </w:rPr>
              <w:fldChar w:fldCharType="separate"/>
            </w:r>
            <w:r w:rsidR="00AA6EE9">
              <w:rPr>
                <w:rFonts w:ascii="Times New Roman" w:hAnsi="Times New Roman" w:cs="Times New Roman"/>
                <w:noProof/>
                <w:szCs w:val="20"/>
              </w:rPr>
              <w:t>7</w:t>
            </w:r>
            <w:r w:rsidRPr="00B64370">
              <w:rPr>
                <w:szCs w:val="20"/>
              </w:rPr>
              <w:fldChar w:fldCharType="end"/>
            </w:r>
            <w:r w:rsidRPr="00B64370">
              <w:rPr>
                <w:rFonts w:ascii="Times New Roman" w:hAnsi="Times New Roman" w:cs="Times New Roman"/>
                <w:szCs w:val="20"/>
              </w:rPr>
              <w:t xml:space="preserve"> )</w:t>
            </w:r>
          </w:p>
        </w:tc>
      </w:tr>
    </w:tbl>
    <w:p w:rsidR="005E20C3" w:rsidRPr="008935AB" w:rsidRDefault="005E20C3" w:rsidP="00B64370">
      <w:pPr>
        <w:pStyle w:val="Newparagraph"/>
      </w:pPr>
      <w:r w:rsidRPr="008935AB">
        <w:t>For the condenser</w:t>
      </w:r>
      <w:r w:rsidR="005D23AB">
        <w:t>,</w:t>
      </w:r>
      <w:r w:rsidRPr="008935AB">
        <w:t xml:space="preserve"> the heat rejected to the seawater when there is not a </w:t>
      </w:r>
      <w:r w:rsidR="00B27FEE">
        <w:t>recuperator</w:t>
      </w:r>
      <w:r w:rsidRPr="008935AB">
        <w:t xml:space="preserve"> is given by:</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7796"/>
        <w:gridCol w:w="669"/>
      </w:tblGrid>
      <w:tr w:rsidR="00B64370" w:rsidRPr="00B64370" w:rsidTr="00B64370">
        <w:trPr>
          <w:jc w:val="center"/>
        </w:trPr>
        <w:tc>
          <w:tcPr>
            <w:tcW w:w="143" w:type="pct"/>
          </w:tcPr>
          <w:p w:rsidR="005E20C3" w:rsidRPr="00B64370" w:rsidRDefault="005E20C3" w:rsidP="000C4D22">
            <w:pPr>
              <w:rPr>
                <w:rFonts w:ascii="Times New Roman" w:hAnsi="Times New Roman" w:cs="Times New Roman"/>
                <w:szCs w:val="20"/>
              </w:rPr>
            </w:pPr>
          </w:p>
        </w:tc>
        <w:tc>
          <w:tcPr>
            <w:tcW w:w="4473" w:type="pct"/>
          </w:tcPr>
          <w:p w:rsidR="005E20C3" w:rsidRPr="00B64370" w:rsidRDefault="001C7E9D" w:rsidP="000C4D22">
            <w:pPr>
              <w:jc w:val="center"/>
              <w:rPr>
                <w:rFonts w:ascii="Times New Roman" w:hAnsi="Times New Roman" w:cs="Times New Roman"/>
                <w:szCs w:val="20"/>
              </w:rPr>
            </w:pPr>
            <m:oMathPara>
              <m:oMath>
                <m:sSub>
                  <m:sSubPr>
                    <m:ctrlPr>
                      <w:rPr>
                        <w:rFonts w:ascii="Cambria Math" w:hAnsi="Cambria Math" w:cs="Times New Roman"/>
                        <w:i/>
                        <w:szCs w:val="20"/>
                      </w:rPr>
                    </m:ctrlPr>
                  </m:sSubPr>
                  <m:e>
                    <m:acc>
                      <m:accPr>
                        <m:chr m:val="̇"/>
                        <m:ctrlPr>
                          <w:rPr>
                            <w:rFonts w:ascii="Cambria Math" w:hAnsi="Cambria Math" w:cs="Times New Roman"/>
                            <w:i/>
                            <w:szCs w:val="20"/>
                          </w:rPr>
                        </m:ctrlPr>
                      </m:accPr>
                      <m:e>
                        <m:r>
                          <w:rPr>
                            <w:rFonts w:ascii="Cambria Math" w:hAnsi="Cambria Math" w:cs="Times New Roman"/>
                            <w:szCs w:val="20"/>
                          </w:rPr>
                          <m:t>Q</m:t>
                        </m:r>
                      </m:e>
                    </m:acc>
                  </m:e>
                  <m:sub>
                    <m:r>
                      <w:rPr>
                        <w:rFonts w:ascii="Cambria Math" w:hAnsi="Cambria Math" w:cs="Times New Roman"/>
                        <w:szCs w:val="20"/>
                      </w:rPr>
                      <m:t>wf,S</m:t>
                    </m:r>
                  </m:sub>
                </m:sSub>
                <m:r>
                  <w:rPr>
                    <w:rFonts w:ascii="Cambria Math" w:hAnsi="Cambria Math" w:cs="Times New Roman"/>
                    <w:szCs w:val="20"/>
                  </w:rPr>
                  <m:t>=</m:t>
                </m:r>
                <m:sSub>
                  <m:sSubPr>
                    <m:ctrlPr>
                      <w:rPr>
                        <w:rFonts w:ascii="Cambria Math" w:hAnsi="Cambria Math" w:cs="Times New Roman"/>
                        <w:i/>
                        <w:szCs w:val="20"/>
                      </w:rPr>
                    </m:ctrlPr>
                  </m:sSubPr>
                  <m:e>
                    <m:acc>
                      <m:accPr>
                        <m:chr m:val="̇"/>
                        <m:ctrlPr>
                          <w:rPr>
                            <w:rFonts w:ascii="Cambria Math" w:hAnsi="Cambria Math" w:cs="Times New Roman"/>
                            <w:i/>
                            <w:szCs w:val="20"/>
                          </w:rPr>
                        </m:ctrlPr>
                      </m:accPr>
                      <m:e>
                        <m:r>
                          <w:rPr>
                            <w:rFonts w:ascii="Cambria Math" w:hAnsi="Cambria Math" w:cs="Times New Roman"/>
                            <w:szCs w:val="20"/>
                          </w:rPr>
                          <m:t>Q</m:t>
                        </m:r>
                      </m:e>
                    </m:acc>
                  </m:e>
                  <m:sub>
                    <m:r>
                      <w:rPr>
                        <w:rFonts w:ascii="Cambria Math" w:hAnsi="Cambria Math" w:cs="Times New Roman"/>
                        <w:szCs w:val="20"/>
                      </w:rPr>
                      <m:t>wf, S-sc</m:t>
                    </m:r>
                  </m:sub>
                </m:sSub>
                <m:sSub>
                  <m:sSubPr>
                    <m:ctrlPr>
                      <w:rPr>
                        <w:rFonts w:ascii="Cambria Math" w:hAnsi="Cambria Math" w:cs="Times New Roman"/>
                        <w:i/>
                        <w:szCs w:val="20"/>
                      </w:rPr>
                    </m:ctrlPr>
                  </m:sSubPr>
                  <m:e>
                    <m:r>
                      <w:rPr>
                        <w:rFonts w:ascii="Cambria Math" w:hAnsi="Cambria Math" w:cs="Times New Roman"/>
                        <w:szCs w:val="20"/>
                      </w:rPr>
                      <m:t xml:space="preserve"> + </m:t>
                    </m:r>
                    <m:acc>
                      <m:accPr>
                        <m:chr m:val="̇"/>
                        <m:ctrlPr>
                          <w:rPr>
                            <w:rFonts w:ascii="Cambria Math" w:hAnsi="Cambria Math" w:cs="Times New Roman"/>
                            <w:i/>
                            <w:szCs w:val="20"/>
                          </w:rPr>
                        </m:ctrlPr>
                      </m:accPr>
                      <m:e>
                        <m:r>
                          <w:rPr>
                            <w:rFonts w:ascii="Cambria Math" w:hAnsi="Cambria Math" w:cs="Times New Roman"/>
                            <w:szCs w:val="20"/>
                          </w:rPr>
                          <m:t>Q</m:t>
                        </m:r>
                      </m:e>
                    </m:acc>
                  </m:e>
                  <m:sub>
                    <m:r>
                      <w:rPr>
                        <w:rFonts w:ascii="Cambria Math" w:hAnsi="Cambria Math" w:cs="Times New Roman"/>
                        <w:szCs w:val="20"/>
                      </w:rPr>
                      <m:t>wf,S-ev</m:t>
                    </m:r>
                  </m:sub>
                </m:sSub>
                <m:r>
                  <w:rPr>
                    <w:rFonts w:ascii="Cambria Math" w:hAnsi="Cambria Math" w:cs="Times New Roman"/>
                    <w:szCs w:val="20"/>
                  </w:rPr>
                  <m:t>+</m:t>
                </m:r>
                <m:sSub>
                  <m:sSubPr>
                    <m:ctrlPr>
                      <w:rPr>
                        <w:rFonts w:ascii="Cambria Math" w:hAnsi="Cambria Math" w:cs="Times New Roman"/>
                        <w:i/>
                        <w:szCs w:val="20"/>
                      </w:rPr>
                    </m:ctrlPr>
                  </m:sSubPr>
                  <m:e>
                    <m:acc>
                      <m:accPr>
                        <m:chr m:val="̇"/>
                        <m:ctrlPr>
                          <w:rPr>
                            <w:rFonts w:ascii="Cambria Math" w:hAnsi="Cambria Math" w:cs="Times New Roman"/>
                            <w:i/>
                            <w:szCs w:val="20"/>
                          </w:rPr>
                        </m:ctrlPr>
                      </m:accPr>
                      <m:e>
                        <m:r>
                          <w:rPr>
                            <w:rFonts w:ascii="Cambria Math" w:hAnsi="Cambria Math" w:cs="Times New Roman"/>
                            <w:szCs w:val="20"/>
                          </w:rPr>
                          <m:t>Q</m:t>
                        </m:r>
                      </m:e>
                    </m:acc>
                  </m:e>
                  <m:sub>
                    <m:r>
                      <w:rPr>
                        <w:rFonts w:ascii="Cambria Math" w:hAnsi="Cambria Math" w:cs="Times New Roman"/>
                        <w:szCs w:val="20"/>
                      </w:rPr>
                      <m:t>wf, S-sh</m:t>
                    </m:r>
                  </m:sub>
                </m:sSub>
                <m:r>
                  <w:rPr>
                    <w:rFonts w:ascii="Cambria Math" w:hAnsi="Cambria Math" w:cs="Times New Roman"/>
                    <w:szCs w:val="20"/>
                  </w:rPr>
                  <m:t xml:space="preserve">= </m:t>
                </m:r>
                <m:sSub>
                  <m:sSubPr>
                    <m:ctrlPr>
                      <w:rPr>
                        <w:rFonts w:ascii="Cambria Math" w:hAnsi="Cambria Math" w:cs="Times New Roman"/>
                        <w:i/>
                        <w:szCs w:val="20"/>
                      </w:rPr>
                    </m:ctrlPr>
                  </m:sSubPr>
                  <m:e>
                    <m:acc>
                      <m:accPr>
                        <m:chr m:val="̇"/>
                        <m:ctrlPr>
                          <w:rPr>
                            <w:rFonts w:ascii="Cambria Math" w:hAnsi="Cambria Math" w:cs="Times New Roman"/>
                            <w:i/>
                            <w:szCs w:val="20"/>
                          </w:rPr>
                        </m:ctrlPr>
                      </m:accPr>
                      <m:e>
                        <m:r>
                          <w:rPr>
                            <w:rFonts w:ascii="Cambria Math" w:hAnsi="Cambria Math" w:cs="Times New Roman"/>
                            <w:szCs w:val="20"/>
                          </w:rPr>
                          <m:t>m</m:t>
                        </m:r>
                      </m:e>
                    </m:acc>
                  </m:e>
                  <m:sub>
                    <m:r>
                      <w:rPr>
                        <w:rFonts w:ascii="Cambria Math" w:hAnsi="Cambria Math" w:cs="Times New Roman"/>
                        <w:szCs w:val="20"/>
                      </w:rPr>
                      <m:t>wf</m:t>
                    </m:r>
                  </m:sub>
                </m:sSub>
                <m:d>
                  <m:dPr>
                    <m:begChr m:val="["/>
                    <m:endChr m:val="]"/>
                    <m:ctrlPr>
                      <w:rPr>
                        <w:rFonts w:ascii="Cambria Math" w:hAnsi="Cambria Math" w:cs="Times New Roman"/>
                        <w:i/>
                        <w:szCs w:val="20"/>
                      </w:rPr>
                    </m:ctrlPr>
                  </m:dPr>
                  <m:e>
                    <m:d>
                      <m:dPr>
                        <m:ctrlPr>
                          <w:rPr>
                            <w:rFonts w:ascii="Cambria Math" w:hAnsi="Cambria Math" w:cs="Times New Roman"/>
                            <w:i/>
                            <w:szCs w:val="20"/>
                          </w:rPr>
                        </m:ctrlPr>
                      </m:dPr>
                      <m:e>
                        <m:sSub>
                          <m:sSubPr>
                            <m:ctrlPr>
                              <w:rPr>
                                <w:rFonts w:ascii="Cambria Math" w:hAnsi="Cambria Math" w:cs="Times New Roman"/>
                                <w:i/>
                                <w:szCs w:val="20"/>
                              </w:rPr>
                            </m:ctrlPr>
                          </m:sSubPr>
                          <m:e>
                            <m:r>
                              <w:rPr>
                                <w:rFonts w:ascii="Cambria Math" w:hAnsi="Cambria Math" w:cs="Times New Roman"/>
                                <w:szCs w:val="20"/>
                              </w:rPr>
                              <m:t>h</m:t>
                            </m:r>
                          </m:e>
                          <m:sub>
                            <m:r>
                              <w:rPr>
                                <w:rFonts w:ascii="Cambria Math" w:hAnsi="Cambria Math" w:cs="Times New Roman"/>
                                <w:szCs w:val="20"/>
                              </w:rPr>
                              <m:t>3</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h</m:t>
                            </m:r>
                          </m:e>
                          <m:sub>
                            <m:r>
                              <w:rPr>
                                <w:rFonts w:ascii="Cambria Math" w:hAnsi="Cambria Math" w:cs="Times New Roman"/>
                                <w:szCs w:val="20"/>
                              </w:rPr>
                              <m:t>2</m:t>
                            </m:r>
                          </m:sub>
                        </m:sSub>
                      </m:e>
                    </m:d>
                  </m:e>
                </m:d>
              </m:oMath>
            </m:oMathPara>
          </w:p>
        </w:tc>
        <w:tc>
          <w:tcPr>
            <w:tcW w:w="384" w:type="pct"/>
          </w:tcPr>
          <w:p w:rsidR="005E20C3" w:rsidRPr="00B64370" w:rsidRDefault="005E20C3" w:rsidP="000C4D22">
            <w:pPr>
              <w:keepNext/>
              <w:jc w:val="right"/>
              <w:rPr>
                <w:rFonts w:ascii="Times New Roman" w:hAnsi="Times New Roman" w:cs="Times New Roman"/>
                <w:szCs w:val="20"/>
              </w:rPr>
            </w:pPr>
            <w:r w:rsidRPr="00B64370">
              <w:rPr>
                <w:rFonts w:ascii="Times New Roman" w:hAnsi="Times New Roman" w:cs="Times New Roman"/>
                <w:szCs w:val="20"/>
              </w:rPr>
              <w:t xml:space="preserve">( </w:t>
            </w:r>
            <w:r w:rsidRPr="00B64370">
              <w:rPr>
                <w:szCs w:val="20"/>
              </w:rPr>
              <w:fldChar w:fldCharType="begin"/>
            </w:r>
            <w:r w:rsidRPr="00B64370">
              <w:rPr>
                <w:rFonts w:ascii="Times New Roman" w:hAnsi="Times New Roman" w:cs="Times New Roman"/>
                <w:szCs w:val="20"/>
              </w:rPr>
              <w:instrText xml:space="preserve"> SEQ [ \* ARABIC </w:instrText>
            </w:r>
            <w:r w:rsidRPr="00B64370">
              <w:rPr>
                <w:szCs w:val="20"/>
              </w:rPr>
              <w:fldChar w:fldCharType="separate"/>
            </w:r>
            <w:r w:rsidR="00AA6EE9">
              <w:rPr>
                <w:rFonts w:ascii="Times New Roman" w:hAnsi="Times New Roman" w:cs="Times New Roman"/>
                <w:noProof/>
                <w:szCs w:val="20"/>
              </w:rPr>
              <w:t>8</w:t>
            </w:r>
            <w:r w:rsidRPr="00B64370">
              <w:rPr>
                <w:szCs w:val="20"/>
              </w:rPr>
              <w:fldChar w:fldCharType="end"/>
            </w:r>
            <w:r w:rsidRPr="00B64370">
              <w:rPr>
                <w:rFonts w:ascii="Times New Roman" w:hAnsi="Times New Roman" w:cs="Times New Roman"/>
                <w:szCs w:val="20"/>
              </w:rPr>
              <w:t xml:space="preserve"> )</w:t>
            </w:r>
          </w:p>
        </w:tc>
      </w:tr>
    </w:tbl>
    <w:p w:rsidR="005E20C3" w:rsidRPr="008935AB" w:rsidRDefault="00E14A87" w:rsidP="00B64370">
      <w:pPr>
        <w:pStyle w:val="Newparagraph"/>
      </w:pPr>
      <w:r>
        <w:t>T</w:t>
      </w:r>
      <w:r w:rsidR="005E20C3" w:rsidRPr="008935AB">
        <w:t xml:space="preserve">he </w:t>
      </w:r>
      <w:r w:rsidR="00B27FEE">
        <w:t>recuperator</w:t>
      </w:r>
      <w:r w:rsidR="005E20C3" w:rsidRPr="008935AB">
        <w:t xml:space="preserve"> </w:t>
      </w:r>
      <w:r>
        <w:t>temperatures were restricted by the following expression:</w:t>
      </w:r>
      <w:r w:rsidR="005E20C3" w:rsidRPr="008935AB">
        <w:t xml:space="preserve">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3"/>
        <w:gridCol w:w="2906"/>
        <w:gridCol w:w="2906"/>
      </w:tblGrid>
      <w:tr w:rsidR="005E20C3" w:rsidRPr="00B64370" w:rsidTr="000C4D22">
        <w:trPr>
          <w:jc w:val="center"/>
        </w:trPr>
        <w:tc>
          <w:tcPr>
            <w:tcW w:w="1666" w:type="pct"/>
          </w:tcPr>
          <w:p w:rsidR="005E20C3" w:rsidRPr="00B64370" w:rsidRDefault="005E20C3" w:rsidP="000C4D22">
            <w:pPr>
              <w:rPr>
                <w:rFonts w:ascii="Times New Roman" w:hAnsi="Times New Roman" w:cs="Times New Roman"/>
                <w:szCs w:val="20"/>
              </w:rPr>
            </w:pPr>
          </w:p>
        </w:tc>
        <w:tc>
          <w:tcPr>
            <w:tcW w:w="1667" w:type="pct"/>
          </w:tcPr>
          <w:p w:rsidR="005E20C3" w:rsidRPr="00B64370" w:rsidRDefault="001C7E9D" w:rsidP="000C4D22">
            <w:pPr>
              <w:jc w:val="center"/>
              <w:rPr>
                <w:rFonts w:ascii="Times New Roman" w:hAnsi="Times New Roman" w:cs="Times New Roman"/>
                <w:szCs w:val="20"/>
              </w:rPr>
            </w:pPr>
            <m:oMathPara>
              <m:oMath>
                <m:sSub>
                  <m:sSubPr>
                    <m:ctrlPr>
                      <w:rPr>
                        <w:rFonts w:ascii="Cambria Math" w:hAnsi="Cambria Math" w:cs="Times New Roman"/>
                        <w:i/>
                        <w:szCs w:val="20"/>
                      </w:rPr>
                    </m:ctrlPr>
                  </m:sSubPr>
                  <m:e>
                    <m:r>
                      <w:rPr>
                        <w:rFonts w:ascii="Cambria Math" w:hAnsi="Cambria Math" w:cs="Times New Roman"/>
                        <w:szCs w:val="20"/>
                      </w:rPr>
                      <m:t>T</m:t>
                    </m:r>
                  </m:e>
                  <m:sub>
                    <m:r>
                      <w:rPr>
                        <w:rFonts w:ascii="Cambria Math" w:hAnsi="Cambria Math" w:cs="Times New Roman"/>
                        <w:szCs w:val="20"/>
                      </w:rPr>
                      <m:t>2</m:t>
                    </m:r>
                  </m:sub>
                </m:sSub>
                <m:r>
                  <w:rPr>
                    <w:rFonts w:ascii="Cambria Math" w:hAnsi="Cambria Math" w:cs="Times New Roman"/>
                    <w:szCs w:val="20"/>
                  </w:rPr>
                  <m:t>&gt;</m:t>
                </m:r>
                <m:d>
                  <m:dPr>
                    <m:ctrlPr>
                      <w:rPr>
                        <w:rFonts w:ascii="Cambria Math" w:hAnsi="Cambria Math" w:cs="Times New Roman"/>
                        <w:i/>
                        <w:szCs w:val="20"/>
                      </w:rPr>
                    </m:ctrlPr>
                  </m:dPr>
                  <m:e>
                    <m:r>
                      <w:rPr>
                        <w:rFonts w:ascii="Cambria Math" w:hAnsi="Cambria Math" w:cs="Times New Roman"/>
                        <w:szCs w:val="20"/>
                      </w:rPr>
                      <m:t>1+</m:t>
                    </m:r>
                    <m:d>
                      <m:dPr>
                        <m:ctrlPr>
                          <w:rPr>
                            <w:rFonts w:ascii="Cambria Math" w:hAnsi="Cambria Math" w:cs="Times New Roman"/>
                            <w:i/>
                            <w:szCs w:val="20"/>
                          </w:rPr>
                        </m:ctrlPr>
                      </m:dPr>
                      <m:e>
                        <m:r>
                          <w:rPr>
                            <w:rFonts w:ascii="Cambria Math" w:hAnsi="Cambria Math" w:cs="Times New Roman"/>
                            <w:szCs w:val="20"/>
                          </w:rPr>
                          <m:t>1-</m:t>
                        </m:r>
                        <m:sSub>
                          <m:sSubPr>
                            <m:ctrlPr>
                              <w:rPr>
                                <w:rFonts w:ascii="Cambria Math" w:hAnsi="Cambria Math" w:cs="Times New Roman"/>
                                <w:i/>
                                <w:szCs w:val="20"/>
                              </w:rPr>
                            </m:ctrlPr>
                          </m:sSubPr>
                          <m:e>
                            <m:r>
                              <w:rPr>
                                <w:rFonts w:ascii="Cambria Math" w:hAnsi="Cambria Math" w:cs="Times New Roman"/>
                                <w:szCs w:val="20"/>
                              </w:rPr>
                              <m:t>η</m:t>
                            </m:r>
                          </m:e>
                          <m:sub>
                            <m:r>
                              <w:rPr>
                                <w:rFonts w:ascii="Cambria Math" w:hAnsi="Cambria Math" w:cs="Times New Roman"/>
                                <w:szCs w:val="20"/>
                              </w:rPr>
                              <m:t>r</m:t>
                            </m:r>
                          </m:sub>
                        </m:sSub>
                      </m:e>
                    </m:d>
                  </m:e>
                </m:d>
                <m:sSub>
                  <m:sSubPr>
                    <m:ctrlPr>
                      <w:rPr>
                        <w:rFonts w:ascii="Cambria Math" w:hAnsi="Cambria Math" w:cs="Times New Roman"/>
                        <w:i/>
                        <w:szCs w:val="20"/>
                      </w:rPr>
                    </m:ctrlPr>
                  </m:sSubPr>
                  <m:e>
                    <m:r>
                      <w:rPr>
                        <w:rFonts w:ascii="Cambria Math" w:hAnsi="Cambria Math" w:cs="Times New Roman"/>
                        <w:szCs w:val="20"/>
                      </w:rPr>
                      <m:t>T</m:t>
                    </m:r>
                  </m:e>
                  <m:sub>
                    <m:r>
                      <w:rPr>
                        <w:rFonts w:ascii="Cambria Math" w:hAnsi="Cambria Math" w:cs="Times New Roman"/>
                        <w:szCs w:val="20"/>
                      </w:rPr>
                      <m:t>4</m:t>
                    </m:r>
                  </m:sub>
                </m:sSub>
              </m:oMath>
            </m:oMathPara>
          </w:p>
        </w:tc>
        <w:tc>
          <w:tcPr>
            <w:tcW w:w="1667" w:type="pct"/>
          </w:tcPr>
          <w:p w:rsidR="005E20C3" w:rsidRPr="00B64370" w:rsidRDefault="005E20C3" w:rsidP="000C4D22">
            <w:pPr>
              <w:keepNext/>
              <w:jc w:val="right"/>
              <w:rPr>
                <w:rFonts w:ascii="Times New Roman" w:hAnsi="Times New Roman" w:cs="Times New Roman"/>
                <w:szCs w:val="20"/>
              </w:rPr>
            </w:pPr>
            <w:r w:rsidRPr="00B64370">
              <w:rPr>
                <w:rFonts w:ascii="Times New Roman" w:hAnsi="Times New Roman" w:cs="Times New Roman"/>
                <w:szCs w:val="20"/>
              </w:rPr>
              <w:t xml:space="preserve">( </w:t>
            </w:r>
            <w:r w:rsidRPr="00B64370">
              <w:rPr>
                <w:szCs w:val="20"/>
              </w:rPr>
              <w:fldChar w:fldCharType="begin"/>
            </w:r>
            <w:r w:rsidRPr="00B64370">
              <w:rPr>
                <w:rFonts w:ascii="Times New Roman" w:hAnsi="Times New Roman" w:cs="Times New Roman"/>
                <w:szCs w:val="20"/>
              </w:rPr>
              <w:instrText xml:space="preserve"> SEQ [ \* ARABIC </w:instrText>
            </w:r>
            <w:r w:rsidRPr="00B64370">
              <w:rPr>
                <w:szCs w:val="20"/>
              </w:rPr>
              <w:fldChar w:fldCharType="separate"/>
            </w:r>
            <w:r w:rsidR="00AA6EE9">
              <w:rPr>
                <w:rFonts w:ascii="Times New Roman" w:hAnsi="Times New Roman" w:cs="Times New Roman"/>
                <w:noProof/>
                <w:szCs w:val="20"/>
              </w:rPr>
              <w:t>9</w:t>
            </w:r>
            <w:r w:rsidRPr="00B64370">
              <w:rPr>
                <w:szCs w:val="20"/>
              </w:rPr>
              <w:fldChar w:fldCharType="end"/>
            </w:r>
            <w:r w:rsidRPr="00B64370">
              <w:rPr>
                <w:rFonts w:ascii="Times New Roman" w:hAnsi="Times New Roman" w:cs="Times New Roman"/>
                <w:szCs w:val="20"/>
              </w:rPr>
              <w:t xml:space="preserve"> )</w:t>
            </w:r>
          </w:p>
        </w:tc>
      </w:tr>
    </w:tbl>
    <w:p w:rsidR="005E20C3" w:rsidRPr="008935AB" w:rsidRDefault="005E20C3" w:rsidP="00B64370">
      <w:pPr>
        <w:pStyle w:val="Newparagraph"/>
      </w:pPr>
      <w:r w:rsidRPr="008935AB">
        <w:lastRenderedPageBreak/>
        <w:t xml:space="preserve">Where </w:t>
      </w:r>
      <w:r w:rsidR="00E14A87">
        <w:t xml:space="preserve">the </w:t>
      </w:r>
      <w:r w:rsidR="00B27FEE">
        <w:t>recuperator</w:t>
      </w:r>
      <w:r w:rsidR="00E14A87" w:rsidRPr="008935AB">
        <w:t xml:space="preserve"> efficiency</w:t>
      </w:r>
      <w:r w:rsidR="00E14A87">
        <w:t xml:space="preserve"> (</w:t>
      </w:r>
      <w:proofErr w:type="spellStart"/>
      <w:r w:rsidR="00E14A87" w:rsidRPr="00B64370">
        <w:rPr>
          <w:i/>
        </w:rPr>
        <w:t>η</w:t>
      </w:r>
      <w:r w:rsidR="00E14A87" w:rsidRPr="00B64370">
        <w:rPr>
          <w:i/>
          <w:vertAlign w:val="subscript"/>
        </w:rPr>
        <w:t>r</w:t>
      </w:r>
      <w:proofErr w:type="spellEnd"/>
      <w:r w:rsidR="00E14A87">
        <w:t xml:space="preserve">) </w:t>
      </w:r>
      <w:r w:rsidRPr="008935AB">
        <w:t xml:space="preserve">is given by the following equation </w:t>
      </w:r>
      <w:r w:rsidR="00E14A87">
        <w:t>assuming</w:t>
      </w:r>
      <w:r w:rsidRPr="008935AB">
        <w:t xml:space="preserve"> constant specific heat:</w:t>
      </w:r>
    </w:p>
    <w:tbl>
      <w:tblPr>
        <w:tblStyle w:val="TableGrid"/>
        <w:tblW w:w="509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9"/>
        <w:gridCol w:w="2961"/>
        <w:gridCol w:w="2961"/>
      </w:tblGrid>
      <w:tr w:rsidR="005E20C3" w:rsidRPr="00B64370" w:rsidTr="00B64370">
        <w:trPr>
          <w:trHeight w:val="916"/>
          <w:jc w:val="center"/>
        </w:trPr>
        <w:tc>
          <w:tcPr>
            <w:tcW w:w="1666" w:type="pct"/>
          </w:tcPr>
          <w:p w:rsidR="005E20C3" w:rsidRPr="00B64370" w:rsidRDefault="005E20C3" w:rsidP="000C4D22">
            <w:pPr>
              <w:rPr>
                <w:rFonts w:ascii="Times New Roman" w:hAnsi="Times New Roman" w:cs="Times New Roman"/>
                <w:szCs w:val="20"/>
              </w:rPr>
            </w:pPr>
          </w:p>
        </w:tc>
        <w:tc>
          <w:tcPr>
            <w:tcW w:w="1667" w:type="pct"/>
          </w:tcPr>
          <w:p w:rsidR="005E20C3" w:rsidRPr="00B64370" w:rsidRDefault="001C7E9D" w:rsidP="000C4D22">
            <w:pPr>
              <w:jc w:val="center"/>
              <w:rPr>
                <w:rFonts w:ascii="Times New Roman" w:hAnsi="Times New Roman" w:cs="Times New Roman"/>
                <w:szCs w:val="20"/>
              </w:rPr>
            </w:pPr>
            <m:oMathPara>
              <m:oMath>
                <m:sSub>
                  <m:sSubPr>
                    <m:ctrlPr>
                      <w:rPr>
                        <w:rFonts w:ascii="Cambria Math" w:hAnsi="Cambria Math" w:cs="Times New Roman"/>
                        <w:i/>
                        <w:szCs w:val="20"/>
                      </w:rPr>
                    </m:ctrlPr>
                  </m:sSubPr>
                  <m:e>
                    <m:r>
                      <w:rPr>
                        <w:rFonts w:ascii="Cambria Math" w:hAnsi="Cambria Math" w:cs="Times New Roman"/>
                        <w:szCs w:val="20"/>
                      </w:rPr>
                      <m:t>η</m:t>
                    </m:r>
                  </m:e>
                  <m:sub>
                    <m:r>
                      <w:rPr>
                        <w:rFonts w:ascii="Cambria Math" w:hAnsi="Cambria Math" w:cs="Times New Roman"/>
                        <w:szCs w:val="20"/>
                      </w:rPr>
                      <m:t>r</m:t>
                    </m:r>
                  </m:sub>
                </m:sSub>
                <m:r>
                  <w:rPr>
                    <w:rFonts w:ascii="Cambria Math" w:hAnsi="Cambria Math" w:cs="Times New Roman"/>
                    <w:szCs w:val="20"/>
                  </w:rPr>
                  <m:t>=</m:t>
                </m:r>
                <m:f>
                  <m:fPr>
                    <m:ctrlPr>
                      <w:rPr>
                        <w:rFonts w:ascii="Cambria Math" w:hAnsi="Cambria Math" w:cs="Times New Roman"/>
                        <w:i/>
                        <w:szCs w:val="20"/>
                      </w:rPr>
                    </m:ctrlPr>
                  </m:fPr>
                  <m:num>
                    <m:sSub>
                      <m:sSubPr>
                        <m:ctrlPr>
                          <w:rPr>
                            <w:rFonts w:ascii="Cambria Math" w:hAnsi="Cambria Math" w:cs="Times New Roman"/>
                            <w:i/>
                            <w:szCs w:val="20"/>
                          </w:rPr>
                        </m:ctrlPr>
                      </m:sSubPr>
                      <m:e>
                        <m:r>
                          <w:rPr>
                            <w:rFonts w:ascii="Cambria Math" w:hAnsi="Cambria Math" w:cs="Times New Roman"/>
                            <w:szCs w:val="20"/>
                          </w:rPr>
                          <m:t>T</m:t>
                        </m:r>
                      </m:e>
                      <m:sub>
                        <m:r>
                          <w:rPr>
                            <w:rFonts w:ascii="Cambria Math" w:hAnsi="Cambria Math" w:cs="Times New Roman"/>
                            <w:szCs w:val="20"/>
                          </w:rPr>
                          <m:t>2</m:t>
                        </m:r>
                      </m:sub>
                    </m:sSub>
                    <m:r>
                      <w:rPr>
                        <w:rFonts w:ascii="Cambria Math" w:hAnsi="Cambria Math" w:cs="Times New Roman"/>
                        <w:szCs w:val="20"/>
                      </w:rPr>
                      <m:t xml:space="preserve">- </m:t>
                    </m:r>
                    <m:sSub>
                      <m:sSubPr>
                        <m:ctrlPr>
                          <w:rPr>
                            <w:rFonts w:ascii="Cambria Math" w:hAnsi="Cambria Math" w:cs="Times New Roman"/>
                            <w:i/>
                            <w:szCs w:val="20"/>
                          </w:rPr>
                        </m:ctrlPr>
                      </m:sSubPr>
                      <m:e>
                        <m:r>
                          <w:rPr>
                            <w:rFonts w:ascii="Cambria Math" w:hAnsi="Cambria Math" w:cs="Times New Roman"/>
                            <w:szCs w:val="20"/>
                          </w:rPr>
                          <m:t>T</m:t>
                        </m:r>
                      </m:e>
                      <m:sub>
                        <m:r>
                          <w:rPr>
                            <w:rFonts w:ascii="Cambria Math" w:hAnsi="Cambria Math" w:cs="Times New Roman"/>
                            <w:szCs w:val="20"/>
                          </w:rPr>
                          <m:t>2r</m:t>
                        </m:r>
                      </m:sub>
                    </m:sSub>
                  </m:num>
                  <m:den>
                    <m:sSub>
                      <m:sSubPr>
                        <m:ctrlPr>
                          <w:rPr>
                            <w:rFonts w:ascii="Cambria Math" w:hAnsi="Cambria Math" w:cs="Times New Roman"/>
                            <w:i/>
                            <w:szCs w:val="20"/>
                          </w:rPr>
                        </m:ctrlPr>
                      </m:sSubPr>
                      <m:e>
                        <m:r>
                          <w:rPr>
                            <w:rFonts w:ascii="Cambria Math" w:hAnsi="Cambria Math" w:cs="Times New Roman"/>
                            <w:szCs w:val="20"/>
                          </w:rPr>
                          <m:t>T</m:t>
                        </m:r>
                      </m:e>
                      <m:sub>
                        <m:r>
                          <w:rPr>
                            <w:rFonts w:ascii="Cambria Math" w:hAnsi="Cambria Math" w:cs="Times New Roman"/>
                            <w:szCs w:val="20"/>
                          </w:rPr>
                          <m:t>2</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T</m:t>
                        </m:r>
                      </m:e>
                      <m:sub>
                        <m:r>
                          <w:rPr>
                            <w:rFonts w:ascii="Cambria Math" w:hAnsi="Cambria Math" w:cs="Times New Roman"/>
                            <w:szCs w:val="20"/>
                          </w:rPr>
                          <m:t>4</m:t>
                        </m:r>
                      </m:sub>
                    </m:sSub>
                  </m:den>
                </m:f>
              </m:oMath>
            </m:oMathPara>
          </w:p>
        </w:tc>
        <w:tc>
          <w:tcPr>
            <w:tcW w:w="1667" w:type="pct"/>
          </w:tcPr>
          <w:p w:rsidR="005E20C3" w:rsidRPr="00B64370" w:rsidRDefault="005E20C3" w:rsidP="000C4D22">
            <w:pPr>
              <w:keepNext/>
              <w:jc w:val="right"/>
              <w:rPr>
                <w:rFonts w:ascii="Times New Roman" w:hAnsi="Times New Roman" w:cs="Times New Roman"/>
                <w:szCs w:val="20"/>
              </w:rPr>
            </w:pPr>
            <w:r w:rsidRPr="00B64370">
              <w:rPr>
                <w:rFonts w:ascii="Times New Roman" w:hAnsi="Times New Roman" w:cs="Times New Roman"/>
                <w:szCs w:val="20"/>
              </w:rPr>
              <w:t xml:space="preserve">( </w:t>
            </w:r>
            <w:r w:rsidRPr="00B64370">
              <w:rPr>
                <w:szCs w:val="20"/>
              </w:rPr>
              <w:fldChar w:fldCharType="begin"/>
            </w:r>
            <w:r w:rsidRPr="00B64370">
              <w:rPr>
                <w:rFonts w:ascii="Times New Roman" w:hAnsi="Times New Roman" w:cs="Times New Roman"/>
                <w:szCs w:val="20"/>
              </w:rPr>
              <w:instrText xml:space="preserve"> SEQ [ \* ARABIC </w:instrText>
            </w:r>
            <w:r w:rsidRPr="00B64370">
              <w:rPr>
                <w:szCs w:val="20"/>
              </w:rPr>
              <w:fldChar w:fldCharType="separate"/>
            </w:r>
            <w:r w:rsidR="00AA6EE9">
              <w:rPr>
                <w:rFonts w:ascii="Times New Roman" w:hAnsi="Times New Roman" w:cs="Times New Roman"/>
                <w:noProof/>
                <w:szCs w:val="20"/>
              </w:rPr>
              <w:t>10</w:t>
            </w:r>
            <w:r w:rsidRPr="00B64370">
              <w:rPr>
                <w:szCs w:val="20"/>
              </w:rPr>
              <w:fldChar w:fldCharType="end"/>
            </w:r>
            <w:r w:rsidRPr="00B64370">
              <w:rPr>
                <w:rFonts w:ascii="Times New Roman" w:hAnsi="Times New Roman" w:cs="Times New Roman"/>
                <w:szCs w:val="20"/>
              </w:rPr>
              <w:t xml:space="preserve"> )</w:t>
            </w:r>
          </w:p>
        </w:tc>
      </w:tr>
    </w:tbl>
    <w:p w:rsidR="005E20C3" w:rsidRPr="008935AB" w:rsidRDefault="005E20C3" w:rsidP="005E20C3">
      <w:pPr>
        <w:pStyle w:val="Heading3"/>
        <w:rPr>
          <w:szCs w:val="20"/>
        </w:rPr>
      </w:pPr>
      <w:r w:rsidRPr="008935AB">
        <w:rPr>
          <w:szCs w:val="20"/>
        </w:rPr>
        <w:t>Expander and pump</w:t>
      </w:r>
    </w:p>
    <w:p w:rsidR="005E20C3" w:rsidRPr="008935AB" w:rsidRDefault="005E20C3" w:rsidP="00B64370">
      <w:pPr>
        <w:pStyle w:val="Paragraph"/>
      </w:pPr>
      <w:r w:rsidRPr="008935AB">
        <w:t>The power output of the expander is given by:</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3291"/>
        <w:gridCol w:w="2906"/>
      </w:tblGrid>
      <w:tr w:rsidR="005E20C3" w:rsidRPr="005E20C3" w:rsidTr="00B64370">
        <w:trPr>
          <w:jc w:val="center"/>
        </w:trPr>
        <w:tc>
          <w:tcPr>
            <w:tcW w:w="1445" w:type="pct"/>
          </w:tcPr>
          <w:p w:rsidR="005E20C3" w:rsidRPr="005E20C3" w:rsidRDefault="005E20C3" w:rsidP="000C4D22">
            <w:pPr>
              <w:rPr>
                <w:rFonts w:ascii="Times New Roman" w:hAnsi="Times New Roman" w:cs="Times New Roman"/>
                <w:szCs w:val="20"/>
              </w:rPr>
            </w:pPr>
          </w:p>
        </w:tc>
        <w:tc>
          <w:tcPr>
            <w:tcW w:w="1888" w:type="pct"/>
          </w:tcPr>
          <w:p w:rsidR="005E20C3" w:rsidRPr="005E20C3" w:rsidRDefault="001C7E9D" w:rsidP="000C4D22">
            <w:pPr>
              <w:jc w:val="center"/>
              <w:rPr>
                <w:rFonts w:ascii="Times New Roman" w:hAnsi="Times New Roman" w:cs="Times New Roman"/>
                <w:szCs w:val="20"/>
              </w:rPr>
            </w:pPr>
            <m:oMathPara>
              <m:oMath>
                <m:sSub>
                  <m:sSubPr>
                    <m:ctrlPr>
                      <w:rPr>
                        <w:rFonts w:ascii="Cambria Math" w:hAnsi="Cambria Math" w:cs="Times New Roman"/>
                        <w:i/>
                        <w:szCs w:val="20"/>
                      </w:rPr>
                    </m:ctrlPr>
                  </m:sSubPr>
                  <m:e>
                    <m:acc>
                      <m:accPr>
                        <m:chr m:val="̇"/>
                        <m:ctrlPr>
                          <w:rPr>
                            <w:rFonts w:ascii="Cambria Math" w:hAnsi="Cambria Math" w:cs="Times New Roman"/>
                            <w:i/>
                            <w:szCs w:val="20"/>
                          </w:rPr>
                        </m:ctrlPr>
                      </m:accPr>
                      <m:e>
                        <m:r>
                          <w:rPr>
                            <w:rFonts w:ascii="Cambria Math" w:hAnsi="Cambria Math" w:cs="Times New Roman"/>
                            <w:szCs w:val="20"/>
                          </w:rPr>
                          <m:t>W</m:t>
                        </m:r>
                      </m:e>
                    </m:acc>
                  </m:e>
                  <m:sub>
                    <m:r>
                      <w:rPr>
                        <w:rFonts w:ascii="Cambria Math" w:hAnsi="Cambria Math" w:cs="Times New Roman"/>
                        <w:szCs w:val="20"/>
                      </w:rPr>
                      <m:t>o</m:t>
                    </m:r>
                  </m:sub>
                </m:sSub>
                <m:r>
                  <w:rPr>
                    <w:rFonts w:ascii="Cambria Math" w:hAnsi="Cambria Math" w:cs="Times New Roman"/>
                    <w:szCs w:val="20"/>
                  </w:rPr>
                  <m:t>=</m:t>
                </m:r>
                <m:sSub>
                  <m:sSubPr>
                    <m:ctrlPr>
                      <w:rPr>
                        <w:rFonts w:ascii="Cambria Math" w:hAnsi="Cambria Math" w:cs="Times New Roman"/>
                        <w:i/>
                        <w:szCs w:val="20"/>
                      </w:rPr>
                    </m:ctrlPr>
                  </m:sSubPr>
                  <m:e>
                    <m:acc>
                      <m:accPr>
                        <m:chr m:val="̇"/>
                        <m:ctrlPr>
                          <w:rPr>
                            <w:rFonts w:ascii="Cambria Math" w:hAnsi="Cambria Math" w:cs="Times New Roman"/>
                            <w:i/>
                            <w:szCs w:val="20"/>
                          </w:rPr>
                        </m:ctrlPr>
                      </m:accPr>
                      <m:e>
                        <m:r>
                          <w:rPr>
                            <w:rFonts w:ascii="Cambria Math" w:hAnsi="Cambria Math" w:cs="Times New Roman"/>
                            <w:szCs w:val="20"/>
                          </w:rPr>
                          <m:t>m</m:t>
                        </m:r>
                      </m:e>
                    </m:acc>
                  </m:e>
                  <m:sub>
                    <m:r>
                      <w:rPr>
                        <w:rFonts w:ascii="Cambria Math" w:hAnsi="Cambria Math" w:cs="Times New Roman"/>
                        <w:szCs w:val="20"/>
                      </w:rPr>
                      <m:t>wf</m:t>
                    </m:r>
                  </m:sub>
                </m:sSub>
                <m:d>
                  <m:dPr>
                    <m:ctrlPr>
                      <w:rPr>
                        <w:rFonts w:ascii="Cambria Math" w:hAnsi="Cambria Math" w:cs="Times New Roman"/>
                        <w:i/>
                        <w:szCs w:val="20"/>
                      </w:rPr>
                    </m:ctrlPr>
                  </m:dPr>
                  <m:e>
                    <m:sSub>
                      <m:sSubPr>
                        <m:ctrlPr>
                          <w:rPr>
                            <w:rFonts w:ascii="Cambria Math" w:hAnsi="Cambria Math" w:cs="Times New Roman"/>
                            <w:i/>
                            <w:szCs w:val="20"/>
                          </w:rPr>
                        </m:ctrlPr>
                      </m:sSubPr>
                      <m:e>
                        <m:sSub>
                          <m:sSubPr>
                            <m:ctrlPr>
                              <w:rPr>
                                <w:rFonts w:ascii="Cambria Math" w:hAnsi="Cambria Math" w:cs="Times New Roman"/>
                                <w:i/>
                                <w:szCs w:val="20"/>
                              </w:rPr>
                            </m:ctrlPr>
                          </m:sSubPr>
                          <m:e>
                            <m:r>
                              <w:rPr>
                                <w:rFonts w:ascii="Cambria Math" w:hAnsi="Cambria Math" w:cs="Times New Roman"/>
                                <w:szCs w:val="20"/>
                              </w:rPr>
                              <m:t>h</m:t>
                            </m:r>
                          </m:e>
                          <m:sub>
                            <m:r>
                              <w:rPr>
                                <w:rFonts w:ascii="Cambria Math" w:hAnsi="Cambria Math" w:cs="Times New Roman"/>
                                <w:szCs w:val="20"/>
                              </w:rPr>
                              <m:t>1</m:t>
                            </m:r>
                          </m:sub>
                        </m:sSub>
                        <m:r>
                          <w:rPr>
                            <w:rFonts w:ascii="Cambria Math" w:hAnsi="Cambria Math" w:cs="Times New Roman"/>
                            <w:szCs w:val="20"/>
                          </w:rPr>
                          <m:t>-h</m:t>
                        </m:r>
                      </m:e>
                      <m:sub>
                        <m:r>
                          <w:rPr>
                            <w:rFonts w:ascii="Cambria Math" w:hAnsi="Cambria Math" w:cs="Times New Roman"/>
                            <w:szCs w:val="20"/>
                          </w:rPr>
                          <m:t>2s</m:t>
                        </m:r>
                      </m:sub>
                    </m:sSub>
                  </m:e>
                </m:d>
                <m:sSub>
                  <m:sSubPr>
                    <m:ctrlPr>
                      <w:rPr>
                        <w:rFonts w:ascii="Cambria Math" w:hAnsi="Cambria Math" w:cs="Times New Roman"/>
                        <w:i/>
                        <w:szCs w:val="20"/>
                      </w:rPr>
                    </m:ctrlPr>
                  </m:sSubPr>
                  <m:e>
                    <m:r>
                      <w:rPr>
                        <w:rFonts w:ascii="Cambria Math" w:hAnsi="Cambria Math" w:cs="Times New Roman"/>
                        <w:szCs w:val="20"/>
                      </w:rPr>
                      <m:t>η</m:t>
                    </m:r>
                  </m:e>
                  <m:sub>
                    <m:r>
                      <w:rPr>
                        <w:rFonts w:ascii="Cambria Math" w:hAnsi="Cambria Math" w:cs="Times New Roman"/>
                        <w:szCs w:val="20"/>
                      </w:rPr>
                      <m:t>exp</m:t>
                    </m:r>
                  </m:sub>
                </m:sSub>
              </m:oMath>
            </m:oMathPara>
          </w:p>
        </w:tc>
        <w:tc>
          <w:tcPr>
            <w:tcW w:w="1667" w:type="pct"/>
          </w:tcPr>
          <w:p w:rsidR="005E20C3" w:rsidRPr="005E20C3" w:rsidRDefault="005E20C3" w:rsidP="000C4D22">
            <w:pPr>
              <w:keepNext/>
              <w:jc w:val="right"/>
              <w:rPr>
                <w:rFonts w:ascii="Times New Roman" w:hAnsi="Times New Roman" w:cs="Times New Roman"/>
                <w:szCs w:val="20"/>
              </w:rPr>
            </w:pPr>
            <w:r w:rsidRPr="005E20C3">
              <w:rPr>
                <w:rFonts w:ascii="Times New Roman" w:hAnsi="Times New Roman" w:cs="Times New Roman"/>
                <w:szCs w:val="20"/>
              </w:rPr>
              <w:t xml:space="preserve">( </w:t>
            </w:r>
            <w:r w:rsidRPr="005E20C3">
              <w:rPr>
                <w:szCs w:val="20"/>
              </w:rPr>
              <w:fldChar w:fldCharType="begin"/>
            </w:r>
            <w:r w:rsidRPr="005E20C3">
              <w:rPr>
                <w:rFonts w:ascii="Times New Roman" w:hAnsi="Times New Roman" w:cs="Times New Roman"/>
                <w:szCs w:val="20"/>
              </w:rPr>
              <w:instrText xml:space="preserve"> SEQ [ \* ARABIC </w:instrText>
            </w:r>
            <w:r w:rsidRPr="005E20C3">
              <w:rPr>
                <w:szCs w:val="20"/>
              </w:rPr>
              <w:fldChar w:fldCharType="separate"/>
            </w:r>
            <w:r w:rsidR="00AA6EE9">
              <w:rPr>
                <w:rFonts w:ascii="Times New Roman" w:hAnsi="Times New Roman" w:cs="Times New Roman"/>
                <w:noProof/>
                <w:szCs w:val="20"/>
              </w:rPr>
              <w:t>11</w:t>
            </w:r>
            <w:r w:rsidRPr="005E20C3">
              <w:rPr>
                <w:szCs w:val="20"/>
              </w:rPr>
              <w:fldChar w:fldCharType="end"/>
            </w:r>
            <w:r w:rsidRPr="005E20C3">
              <w:rPr>
                <w:rFonts w:ascii="Times New Roman" w:hAnsi="Times New Roman" w:cs="Times New Roman"/>
                <w:szCs w:val="20"/>
              </w:rPr>
              <w:t xml:space="preserve"> )</w:t>
            </w:r>
          </w:p>
        </w:tc>
      </w:tr>
    </w:tbl>
    <w:p w:rsidR="005E20C3" w:rsidRPr="008935AB" w:rsidRDefault="005E20C3" w:rsidP="005E20C3">
      <w:pPr>
        <w:pStyle w:val="Newparagraph"/>
      </w:pPr>
      <w:proofErr w:type="gramStart"/>
      <w:r w:rsidRPr="008935AB">
        <w:t xml:space="preserve">Where </w:t>
      </w:r>
      <w:r w:rsidRPr="008935AB">
        <w:rPr>
          <w:i/>
        </w:rPr>
        <w:t>h</w:t>
      </w:r>
      <w:r w:rsidRPr="008935AB">
        <w:rPr>
          <w:i/>
          <w:vertAlign w:val="subscript"/>
        </w:rPr>
        <w:t xml:space="preserve">2s </w:t>
      </w:r>
      <w:r w:rsidRPr="008935AB">
        <w:t>is the enthalpy at low pressure after an isentropic expansion.</w:t>
      </w:r>
      <w:proofErr w:type="gramEnd"/>
      <w:r w:rsidRPr="008935AB">
        <w:t xml:space="preserve"> </w:t>
      </w:r>
    </w:p>
    <w:p w:rsidR="005E20C3" w:rsidRPr="008935AB" w:rsidRDefault="005E20C3" w:rsidP="005E20C3">
      <w:pPr>
        <w:pStyle w:val="Newparagraph"/>
      </w:pPr>
      <w:r w:rsidRPr="008935AB">
        <w:t>The power input of the pump is given by:</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5"/>
        <w:gridCol w:w="3434"/>
        <w:gridCol w:w="2906"/>
      </w:tblGrid>
      <w:tr w:rsidR="005E20C3" w:rsidRPr="005E20C3" w:rsidTr="00B64370">
        <w:trPr>
          <w:jc w:val="center"/>
        </w:trPr>
        <w:tc>
          <w:tcPr>
            <w:tcW w:w="1363" w:type="pct"/>
          </w:tcPr>
          <w:p w:rsidR="005E20C3" w:rsidRPr="005E20C3" w:rsidRDefault="005E20C3" w:rsidP="000C4D22">
            <w:pPr>
              <w:rPr>
                <w:rFonts w:ascii="Times New Roman" w:hAnsi="Times New Roman" w:cs="Times New Roman"/>
                <w:szCs w:val="20"/>
              </w:rPr>
            </w:pPr>
          </w:p>
        </w:tc>
        <w:tc>
          <w:tcPr>
            <w:tcW w:w="1970" w:type="pct"/>
          </w:tcPr>
          <w:p w:rsidR="005E20C3" w:rsidRPr="005E20C3" w:rsidRDefault="001C7E9D" w:rsidP="000C4D22">
            <w:pPr>
              <w:jc w:val="center"/>
              <w:rPr>
                <w:rFonts w:ascii="Times New Roman" w:hAnsi="Times New Roman" w:cs="Times New Roman"/>
                <w:szCs w:val="20"/>
              </w:rPr>
            </w:pPr>
            <m:oMathPara>
              <m:oMath>
                <m:sSub>
                  <m:sSubPr>
                    <m:ctrlPr>
                      <w:rPr>
                        <w:rFonts w:ascii="Cambria Math" w:hAnsi="Cambria Math" w:cs="Times New Roman"/>
                        <w:i/>
                        <w:szCs w:val="20"/>
                      </w:rPr>
                    </m:ctrlPr>
                  </m:sSubPr>
                  <m:e>
                    <m:acc>
                      <m:accPr>
                        <m:chr m:val="̇"/>
                        <m:ctrlPr>
                          <w:rPr>
                            <w:rFonts w:ascii="Cambria Math" w:hAnsi="Cambria Math" w:cs="Times New Roman"/>
                            <w:i/>
                            <w:szCs w:val="20"/>
                          </w:rPr>
                        </m:ctrlPr>
                      </m:accPr>
                      <m:e>
                        <m:r>
                          <w:rPr>
                            <w:rFonts w:ascii="Cambria Math" w:hAnsi="Cambria Math" w:cs="Times New Roman"/>
                            <w:szCs w:val="20"/>
                          </w:rPr>
                          <m:t>W</m:t>
                        </m:r>
                      </m:e>
                    </m:acc>
                  </m:e>
                  <m:sub>
                    <m:r>
                      <w:rPr>
                        <w:rFonts w:ascii="Cambria Math" w:hAnsi="Cambria Math" w:cs="Times New Roman"/>
                        <w:szCs w:val="20"/>
                      </w:rPr>
                      <m:t>i</m:t>
                    </m:r>
                  </m:sub>
                </m:sSub>
                <m:r>
                  <w:rPr>
                    <w:rFonts w:ascii="Cambria Math" w:hAnsi="Cambria Math" w:cs="Times New Roman"/>
                    <w:szCs w:val="20"/>
                  </w:rPr>
                  <m:t>=</m:t>
                </m:r>
                <m:f>
                  <m:fPr>
                    <m:ctrlPr>
                      <w:rPr>
                        <w:rFonts w:ascii="Cambria Math" w:hAnsi="Cambria Math" w:cs="Times New Roman"/>
                        <w:i/>
                        <w:szCs w:val="20"/>
                      </w:rPr>
                    </m:ctrlPr>
                  </m:fPr>
                  <m:num>
                    <m:sSub>
                      <m:sSubPr>
                        <m:ctrlPr>
                          <w:rPr>
                            <w:rFonts w:ascii="Cambria Math" w:hAnsi="Cambria Math" w:cs="Times New Roman"/>
                            <w:i/>
                            <w:szCs w:val="20"/>
                          </w:rPr>
                        </m:ctrlPr>
                      </m:sSubPr>
                      <m:e>
                        <m:acc>
                          <m:accPr>
                            <m:chr m:val="̇"/>
                            <m:ctrlPr>
                              <w:rPr>
                                <w:rFonts w:ascii="Cambria Math" w:hAnsi="Cambria Math" w:cs="Times New Roman"/>
                                <w:i/>
                                <w:szCs w:val="20"/>
                              </w:rPr>
                            </m:ctrlPr>
                          </m:accPr>
                          <m:e>
                            <m:r>
                              <w:rPr>
                                <w:rFonts w:ascii="Cambria Math" w:hAnsi="Cambria Math" w:cs="Times New Roman"/>
                                <w:szCs w:val="20"/>
                              </w:rPr>
                              <m:t>m</m:t>
                            </m:r>
                          </m:e>
                        </m:acc>
                      </m:e>
                      <m:sub>
                        <m:r>
                          <w:rPr>
                            <w:rFonts w:ascii="Cambria Math" w:hAnsi="Cambria Math" w:cs="Times New Roman"/>
                            <w:szCs w:val="20"/>
                          </w:rPr>
                          <m:t>wf</m:t>
                        </m:r>
                      </m:sub>
                    </m:sSub>
                    <m:d>
                      <m:dPr>
                        <m:ctrlPr>
                          <w:rPr>
                            <w:rFonts w:ascii="Cambria Math" w:hAnsi="Cambria Math" w:cs="Times New Roman"/>
                            <w:i/>
                            <w:szCs w:val="20"/>
                          </w:rPr>
                        </m:ctrlPr>
                      </m:dPr>
                      <m:e>
                        <m:sSub>
                          <m:sSubPr>
                            <m:ctrlPr>
                              <w:rPr>
                                <w:rFonts w:ascii="Cambria Math" w:hAnsi="Cambria Math" w:cs="Times New Roman"/>
                                <w:i/>
                                <w:szCs w:val="20"/>
                              </w:rPr>
                            </m:ctrlPr>
                          </m:sSubPr>
                          <m:e>
                            <m:sSub>
                              <m:sSubPr>
                                <m:ctrlPr>
                                  <w:rPr>
                                    <w:rFonts w:ascii="Cambria Math" w:hAnsi="Cambria Math" w:cs="Times New Roman"/>
                                    <w:i/>
                                    <w:szCs w:val="20"/>
                                  </w:rPr>
                                </m:ctrlPr>
                              </m:sSubPr>
                              <m:e>
                                <m:r>
                                  <w:rPr>
                                    <w:rFonts w:ascii="Cambria Math" w:hAnsi="Cambria Math" w:cs="Times New Roman"/>
                                    <w:szCs w:val="20"/>
                                  </w:rPr>
                                  <m:t>h</m:t>
                                </m:r>
                              </m:e>
                              <m:sub>
                                <m:r>
                                  <w:rPr>
                                    <w:rFonts w:ascii="Cambria Math" w:hAnsi="Cambria Math" w:cs="Times New Roman"/>
                                    <w:szCs w:val="20"/>
                                  </w:rPr>
                                  <m:t>3</m:t>
                                </m:r>
                              </m:sub>
                            </m:sSub>
                            <m:r>
                              <w:rPr>
                                <w:rFonts w:ascii="Cambria Math" w:hAnsi="Cambria Math" w:cs="Times New Roman"/>
                                <w:szCs w:val="20"/>
                              </w:rPr>
                              <m:t>-h</m:t>
                            </m:r>
                          </m:e>
                          <m:sub>
                            <m:r>
                              <w:rPr>
                                <w:rFonts w:ascii="Cambria Math" w:hAnsi="Cambria Math" w:cs="Times New Roman"/>
                                <w:szCs w:val="20"/>
                              </w:rPr>
                              <m:t>4s</m:t>
                            </m:r>
                          </m:sub>
                        </m:sSub>
                      </m:e>
                    </m:d>
                  </m:num>
                  <m:den>
                    <m:sSub>
                      <m:sSubPr>
                        <m:ctrlPr>
                          <w:rPr>
                            <w:rFonts w:ascii="Cambria Math" w:hAnsi="Cambria Math" w:cs="Times New Roman"/>
                            <w:i/>
                            <w:szCs w:val="20"/>
                          </w:rPr>
                        </m:ctrlPr>
                      </m:sSubPr>
                      <m:e>
                        <m:r>
                          <w:rPr>
                            <w:rFonts w:ascii="Cambria Math" w:hAnsi="Cambria Math" w:cs="Times New Roman"/>
                            <w:szCs w:val="20"/>
                          </w:rPr>
                          <m:t>η</m:t>
                        </m:r>
                      </m:e>
                      <m:sub>
                        <m:r>
                          <w:rPr>
                            <w:rFonts w:ascii="Cambria Math" w:hAnsi="Cambria Math" w:cs="Times New Roman"/>
                            <w:szCs w:val="20"/>
                          </w:rPr>
                          <m:t>p</m:t>
                        </m:r>
                      </m:sub>
                    </m:sSub>
                  </m:den>
                </m:f>
              </m:oMath>
            </m:oMathPara>
          </w:p>
        </w:tc>
        <w:tc>
          <w:tcPr>
            <w:tcW w:w="1667" w:type="pct"/>
          </w:tcPr>
          <w:p w:rsidR="005E20C3" w:rsidRPr="005E20C3" w:rsidRDefault="005E20C3" w:rsidP="000C4D22">
            <w:pPr>
              <w:keepNext/>
              <w:jc w:val="right"/>
              <w:rPr>
                <w:rFonts w:ascii="Times New Roman" w:hAnsi="Times New Roman" w:cs="Times New Roman"/>
                <w:szCs w:val="20"/>
              </w:rPr>
            </w:pPr>
            <w:r w:rsidRPr="005E20C3">
              <w:rPr>
                <w:rFonts w:ascii="Times New Roman" w:hAnsi="Times New Roman" w:cs="Times New Roman"/>
                <w:szCs w:val="20"/>
              </w:rPr>
              <w:t xml:space="preserve">( </w:t>
            </w:r>
            <w:r w:rsidRPr="005E20C3">
              <w:rPr>
                <w:szCs w:val="20"/>
              </w:rPr>
              <w:fldChar w:fldCharType="begin"/>
            </w:r>
            <w:r w:rsidRPr="005E20C3">
              <w:rPr>
                <w:rFonts w:ascii="Times New Roman" w:hAnsi="Times New Roman" w:cs="Times New Roman"/>
                <w:szCs w:val="20"/>
              </w:rPr>
              <w:instrText xml:space="preserve"> SEQ [ \* ARABIC </w:instrText>
            </w:r>
            <w:r w:rsidRPr="005E20C3">
              <w:rPr>
                <w:szCs w:val="20"/>
              </w:rPr>
              <w:fldChar w:fldCharType="separate"/>
            </w:r>
            <w:r w:rsidR="00AA6EE9">
              <w:rPr>
                <w:rFonts w:ascii="Times New Roman" w:hAnsi="Times New Roman" w:cs="Times New Roman"/>
                <w:noProof/>
                <w:szCs w:val="20"/>
              </w:rPr>
              <w:t>12</w:t>
            </w:r>
            <w:r w:rsidRPr="005E20C3">
              <w:rPr>
                <w:szCs w:val="20"/>
              </w:rPr>
              <w:fldChar w:fldCharType="end"/>
            </w:r>
            <w:r w:rsidRPr="005E20C3">
              <w:rPr>
                <w:rFonts w:ascii="Times New Roman" w:hAnsi="Times New Roman" w:cs="Times New Roman"/>
                <w:szCs w:val="20"/>
              </w:rPr>
              <w:t xml:space="preserve"> )</w:t>
            </w:r>
          </w:p>
        </w:tc>
      </w:tr>
    </w:tbl>
    <w:p w:rsidR="005E20C3" w:rsidRPr="008935AB" w:rsidRDefault="005E20C3" w:rsidP="005E20C3">
      <w:pPr>
        <w:pStyle w:val="Newparagraph"/>
      </w:pPr>
      <w:proofErr w:type="gramStart"/>
      <w:r w:rsidRPr="008935AB">
        <w:t xml:space="preserve">Where </w:t>
      </w:r>
      <w:r w:rsidRPr="008935AB">
        <w:rPr>
          <w:i/>
        </w:rPr>
        <w:t>h</w:t>
      </w:r>
      <w:r w:rsidRPr="008935AB">
        <w:rPr>
          <w:i/>
          <w:vertAlign w:val="subscript"/>
        </w:rPr>
        <w:t>4s</w:t>
      </w:r>
      <w:r w:rsidRPr="008935AB">
        <w:rPr>
          <w:vertAlign w:val="subscript"/>
        </w:rPr>
        <w:t xml:space="preserve"> </w:t>
      </w:r>
      <w:r w:rsidRPr="008935AB">
        <w:t>is the enthalpy at high pressure after an isentropic compression.</w:t>
      </w:r>
      <w:proofErr w:type="gramEnd"/>
      <w:r w:rsidRPr="008935AB">
        <w:t xml:space="preserve"> </w:t>
      </w:r>
    </w:p>
    <w:p w:rsidR="005E20C3" w:rsidRPr="004850ED" w:rsidRDefault="005E20C3" w:rsidP="005E20C3">
      <w:pPr>
        <w:pStyle w:val="Heading2"/>
        <w:rPr>
          <w:szCs w:val="20"/>
        </w:rPr>
      </w:pPr>
      <w:r w:rsidRPr="004850ED">
        <w:rPr>
          <w:szCs w:val="20"/>
        </w:rPr>
        <w:t>WHRS Performance</w:t>
      </w:r>
    </w:p>
    <w:p w:rsidR="005E20C3" w:rsidRPr="004850ED" w:rsidRDefault="005E20C3" w:rsidP="005E20C3">
      <w:pPr>
        <w:pStyle w:val="Paragraph"/>
      </w:pPr>
      <w:r w:rsidRPr="004850ED">
        <w:t>The net power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W</m:t>
                </m:r>
              </m:e>
            </m:acc>
          </m:e>
          <m:sub>
            <m:r>
              <w:rPr>
                <w:rFonts w:ascii="Cambria Math" w:hAnsi="Cambria Math"/>
              </w:rPr>
              <m:t>t</m:t>
            </m:r>
          </m:sub>
        </m:sSub>
      </m:oMath>
      <w:r w:rsidRPr="004850ED">
        <w:t>) is the addition of all the power flows of the WHRS. The thermal efficiency is given by:</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4626"/>
        <w:gridCol w:w="2280"/>
      </w:tblGrid>
      <w:tr w:rsidR="005E20C3" w:rsidRPr="005E20C3" w:rsidTr="005E20C3">
        <w:trPr>
          <w:jc w:val="center"/>
        </w:trPr>
        <w:tc>
          <w:tcPr>
            <w:tcW w:w="1038" w:type="pct"/>
          </w:tcPr>
          <w:p w:rsidR="005E20C3" w:rsidRPr="005E20C3" w:rsidRDefault="005E20C3" w:rsidP="000C4D22">
            <w:pPr>
              <w:rPr>
                <w:rFonts w:ascii="Times New Roman" w:hAnsi="Times New Roman" w:cs="Times New Roman"/>
                <w:szCs w:val="20"/>
              </w:rPr>
            </w:pPr>
          </w:p>
        </w:tc>
        <w:tc>
          <w:tcPr>
            <w:tcW w:w="2654" w:type="pct"/>
          </w:tcPr>
          <w:p w:rsidR="005E20C3" w:rsidRPr="005E20C3" w:rsidRDefault="001C7E9D" w:rsidP="000C4D22">
            <w:pPr>
              <w:jc w:val="center"/>
              <w:rPr>
                <w:rFonts w:ascii="Times New Roman" w:hAnsi="Times New Roman" w:cs="Times New Roman"/>
                <w:szCs w:val="20"/>
              </w:rPr>
            </w:pPr>
            <m:oMathPara>
              <m:oMath>
                <m:sSub>
                  <m:sSubPr>
                    <m:ctrlPr>
                      <w:rPr>
                        <w:rFonts w:ascii="Cambria Math" w:hAnsi="Cambria Math" w:cs="Times New Roman"/>
                        <w:i/>
                        <w:szCs w:val="20"/>
                      </w:rPr>
                    </m:ctrlPr>
                  </m:sSubPr>
                  <m:e>
                    <m:r>
                      <w:rPr>
                        <w:rFonts w:ascii="Cambria Math" w:hAnsi="Cambria Math" w:cs="Times New Roman"/>
                        <w:szCs w:val="20"/>
                      </w:rPr>
                      <m:t>η</m:t>
                    </m:r>
                  </m:e>
                  <m:sub>
                    <m:r>
                      <w:rPr>
                        <w:rFonts w:ascii="Cambria Math" w:hAnsi="Cambria Math" w:cs="Times New Roman"/>
                        <w:szCs w:val="20"/>
                      </w:rPr>
                      <m:t>th</m:t>
                    </m:r>
                  </m:sub>
                </m:sSub>
                <m:r>
                  <w:rPr>
                    <w:rFonts w:ascii="Cambria Math" w:hAnsi="Cambria Math" w:cs="Times New Roman"/>
                    <w:szCs w:val="20"/>
                  </w:rPr>
                  <m:t>=</m:t>
                </m:r>
                <m:f>
                  <m:fPr>
                    <m:ctrlPr>
                      <w:rPr>
                        <w:rFonts w:ascii="Cambria Math" w:hAnsi="Cambria Math" w:cs="Times New Roman"/>
                        <w:i/>
                        <w:szCs w:val="20"/>
                      </w:rPr>
                    </m:ctrlPr>
                  </m:fPr>
                  <m:num>
                    <m:sSub>
                      <m:sSubPr>
                        <m:ctrlPr>
                          <w:rPr>
                            <w:rFonts w:ascii="Cambria Math" w:hAnsi="Cambria Math" w:cs="Times New Roman"/>
                            <w:i/>
                            <w:szCs w:val="20"/>
                          </w:rPr>
                        </m:ctrlPr>
                      </m:sSubPr>
                      <m:e>
                        <m:acc>
                          <m:accPr>
                            <m:chr m:val="̇"/>
                            <m:ctrlPr>
                              <w:rPr>
                                <w:rFonts w:ascii="Cambria Math" w:hAnsi="Cambria Math" w:cs="Times New Roman"/>
                                <w:i/>
                                <w:szCs w:val="20"/>
                              </w:rPr>
                            </m:ctrlPr>
                          </m:accPr>
                          <m:e>
                            <m:r>
                              <w:rPr>
                                <w:rFonts w:ascii="Cambria Math" w:hAnsi="Cambria Math" w:cs="Times New Roman"/>
                                <w:szCs w:val="20"/>
                              </w:rPr>
                              <m:t>W</m:t>
                            </m:r>
                          </m:e>
                        </m:acc>
                      </m:e>
                      <m:sub>
                        <m:r>
                          <w:rPr>
                            <w:rFonts w:ascii="Cambria Math" w:hAnsi="Cambria Math" w:cs="Times New Roman"/>
                            <w:szCs w:val="20"/>
                          </w:rPr>
                          <m:t>t</m:t>
                        </m:r>
                      </m:sub>
                    </m:sSub>
                  </m:num>
                  <m:den>
                    <m:sSub>
                      <m:sSubPr>
                        <m:ctrlPr>
                          <w:rPr>
                            <w:rFonts w:ascii="Cambria Math" w:hAnsi="Cambria Math" w:cs="Times New Roman"/>
                            <w:i/>
                            <w:szCs w:val="20"/>
                          </w:rPr>
                        </m:ctrlPr>
                      </m:sSubPr>
                      <m:e>
                        <m:acc>
                          <m:accPr>
                            <m:chr m:val="̇"/>
                            <m:ctrlPr>
                              <w:rPr>
                                <w:rFonts w:ascii="Cambria Math" w:hAnsi="Cambria Math" w:cs="Times New Roman"/>
                                <w:i/>
                                <w:szCs w:val="20"/>
                              </w:rPr>
                            </m:ctrlPr>
                          </m:accPr>
                          <m:e>
                            <m:r>
                              <w:rPr>
                                <w:rFonts w:ascii="Cambria Math" w:hAnsi="Cambria Math" w:cs="Times New Roman"/>
                                <w:szCs w:val="20"/>
                              </w:rPr>
                              <m:t>Q</m:t>
                            </m:r>
                          </m:e>
                        </m:acc>
                      </m:e>
                      <m:sub>
                        <m:r>
                          <w:rPr>
                            <w:rFonts w:ascii="Cambria Math" w:hAnsi="Cambria Math" w:cs="Times New Roman"/>
                            <w:szCs w:val="20"/>
                          </w:rPr>
                          <m:t>i</m:t>
                        </m:r>
                      </m:sub>
                    </m:sSub>
                  </m:den>
                </m:f>
                <m:r>
                  <w:rPr>
                    <w:rFonts w:ascii="Cambria Math" w:hAnsi="Cambria Math" w:cs="Times New Roman"/>
                    <w:szCs w:val="20"/>
                  </w:rPr>
                  <m:t>=</m:t>
                </m:r>
                <m:f>
                  <m:fPr>
                    <m:ctrlPr>
                      <w:rPr>
                        <w:rFonts w:ascii="Cambria Math" w:hAnsi="Cambria Math" w:cs="Times New Roman"/>
                        <w:i/>
                        <w:szCs w:val="20"/>
                      </w:rPr>
                    </m:ctrlPr>
                  </m:fPr>
                  <m:num>
                    <m:sSub>
                      <m:sSubPr>
                        <m:ctrlPr>
                          <w:rPr>
                            <w:rFonts w:ascii="Cambria Math" w:hAnsi="Cambria Math" w:cs="Times New Roman"/>
                            <w:i/>
                            <w:szCs w:val="20"/>
                          </w:rPr>
                        </m:ctrlPr>
                      </m:sSubPr>
                      <m:e>
                        <m:acc>
                          <m:accPr>
                            <m:chr m:val="̇"/>
                            <m:ctrlPr>
                              <w:rPr>
                                <w:rFonts w:ascii="Cambria Math" w:hAnsi="Cambria Math" w:cs="Times New Roman"/>
                                <w:i/>
                                <w:szCs w:val="20"/>
                              </w:rPr>
                            </m:ctrlPr>
                          </m:accPr>
                          <m:e>
                            <m:r>
                              <w:rPr>
                                <w:rFonts w:ascii="Cambria Math" w:hAnsi="Cambria Math" w:cs="Times New Roman"/>
                                <w:szCs w:val="20"/>
                              </w:rPr>
                              <m:t>W</m:t>
                            </m:r>
                          </m:e>
                        </m:acc>
                      </m:e>
                      <m:sub>
                        <m:r>
                          <w:rPr>
                            <w:rFonts w:ascii="Cambria Math" w:hAnsi="Cambria Math" w:cs="Times New Roman"/>
                            <w:szCs w:val="20"/>
                          </w:rPr>
                          <m:t>o</m:t>
                        </m:r>
                      </m:sub>
                    </m:sSub>
                    <m:r>
                      <w:rPr>
                        <w:rFonts w:ascii="Cambria Math" w:hAnsi="Cambria Math" w:cs="Times New Roman"/>
                        <w:szCs w:val="20"/>
                      </w:rPr>
                      <m:t>+</m:t>
                    </m:r>
                    <m:sSub>
                      <m:sSubPr>
                        <m:ctrlPr>
                          <w:rPr>
                            <w:rFonts w:ascii="Cambria Math" w:hAnsi="Cambria Math" w:cs="Times New Roman"/>
                            <w:i/>
                            <w:szCs w:val="20"/>
                          </w:rPr>
                        </m:ctrlPr>
                      </m:sSubPr>
                      <m:e>
                        <m:acc>
                          <m:accPr>
                            <m:chr m:val="̇"/>
                            <m:ctrlPr>
                              <w:rPr>
                                <w:rFonts w:ascii="Cambria Math" w:hAnsi="Cambria Math" w:cs="Times New Roman"/>
                                <w:i/>
                                <w:szCs w:val="20"/>
                              </w:rPr>
                            </m:ctrlPr>
                          </m:accPr>
                          <m:e>
                            <m:r>
                              <w:rPr>
                                <w:rFonts w:ascii="Cambria Math" w:hAnsi="Cambria Math" w:cs="Times New Roman"/>
                                <w:szCs w:val="20"/>
                              </w:rPr>
                              <m:t>W</m:t>
                            </m:r>
                          </m:e>
                        </m:acc>
                      </m:e>
                      <m:sub>
                        <m:r>
                          <w:rPr>
                            <w:rFonts w:ascii="Cambria Math" w:hAnsi="Cambria Math" w:cs="Times New Roman"/>
                            <w:szCs w:val="20"/>
                          </w:rPr>
                          <m:t>i</m:t>
                        </m:r>
                      </m:sub>
                    </m:sSub>
                  </m:num>
                  <m:den>
                    <m:sSub>
                      <m:sSubPr>
                        <m:ctrlPr>
                          <w:rPr>
                            <w:rFonts w:ascii="Cambria Math" w:hAnsi="Cambria Math" w:cs="Times New Roman"/>
                            <w:i/>
                            <w:szCs w:val="20"/>
                          </w:rPr>
                        </m:ctrlPr>
                      </m:sSubPr>
                      <m:e>
                        <m:acc>
                          <m:accPr>
                            <m:chr m:val="̇"/>
                            <m:ctrlPr>
                              <w:rPr>
                                <w:rFonts w:ascii="Cambria Math" w:hAnsi="Cambria Math" w:cs="Times New Roman"/>
                                <w:i/>
                                <w:szCs w:val="20"/>
                              </w:rPr>
                            </m:ctrlPr>
                          </m:accPr>
                          <m:e>
                            <m:r>
                              <w:rPr>
                                <w:rFonts w:ascii="Cambria Math" w:hAnsi="Cambria Math" w:cs="Times New Roman"/>
                                <w:szCs w:val="20"/>
                              </w:rPr>
                              <m:t>m</m:t>
                            </m:r>
                          </m:e>
                        </m:acc>
                      </m:e>
                      <m:sub>
                        <m:r>
                          <w:rPr>
                            <w:rFonts w:ascii="Cambria Math" w:hAnsi="Cambria Math" w:cs="Times New Roman"/>
                            <w:szCs w:val="20"/>
                          </w:rPr>
                          <m:t>wf</m:t>
                        </m:r>
                      </m:sub>
                    </m:sSub>
                    <m:d>
                      <m:dPr>
                        <m:begChr m:val="["/>
                        <m:endChr m:val="]"/>
                        <m:ctrlPr>
                          <w:rPr>
                            <w:rFonts w:ascii="Cambria Math" w:hAnsi="Cambria Math" w:cs="Times New Roman"/>
                            <w:i/>
                            <w:szCs w:val="20"/>
                          </w:rPr>
                        </m:ctrlPr>
                      </m:dPr>
                      <m:e>
                        <m:d>
                          <m:dPr>
                            <m:ctrlPr>
                              <w:rPr>
                                <w:rFonts w:ascii="Cambria Math" w:hAnsi="Cambria Math" w:cs="Times New Roman"/>
                                <w:i/>
                                <w:szCs w:val="20"/>
                              </w:rPr>
                            </m:ctrlPr>
                          </m:dPr>
                          <m:e>
                            <m:sSub>
                              <m:sSubPr>
                                <m:ctrlPr>
                                  <w:rPr>
                                    <w:rFonts w:ascii="Cambria Math" w:hAnsi="Cambria Math" w:cs="Times New Roman"/>
                                    <w:i/>
                                    <w:szCs w:val="20"/>
                                  </w:rPr>
                                </m:ctrlPr>
                              </m:sSubPr>
                              <m:e>
                                <m:r>
                                  <w:rPr>
                                    <w:rFonts w:ascii="Cambria Math" w:hAnsi="Cambria Math" w:cs="Times New Roman"/>
                                    <w:szCs w:val="20"/>
                                  </w:rPr>
                                  <m:t>h</m:t>
                                </m:r>
                              </m:e>
                              <m:sub>
                                <m:r>
                                  <w:rPr>
                                    <w:rFonts w:ascii="Cambria Math" w:hAnsi="Cambria Math" w:cs="Times New Roman"/>
                                    <w:szCs w:val="20"/>
                                  </w:rPr>
                                  <m:t>1</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h</m:t>
                                </m:r>
                              </m:e>
                              <m:sub>
                                <m:r>
                                  <w:rPr>
                                    <w:rFonts w:ascii="Cambria Math" w:hAnsi="Cambria Math" w:cs="Times New Roman"/>
                                    <w:szCs w:val="20"/>
                                  </w:rPr>
                                  <m:t>4(r)</m:t>
                                </m:r>
                              </m:sub>
                            </m:sSub>
                          </m:e>
                        </m:d>
                      </m:e>
                    </m:d>
                  </m:den>
                </m:f>
              </m:oMath>
            </m:oMathPara>
          </w:p>
        </w:tc>
        <w:tc>
          <w:tcPr>
            <w:tcW w:w="1308" w:type="pct"/>
          </w:tcPr>
          <w:p w:rsidR="005E20C3" w:rsidRPr="005E20C3" w:rsidRDefault="005E20C3" w:rsidP="000C4D22">
            <w:pPr>
              <w:keepNext/>
              <w:jc w:val="right"/>
              <w:rPr>
                <w:rFonts w:ascii="Times New Roman" w:hAnsi="Times New Roman" w:cs="Times New Roman"/>
                <w:szCs w:val="20"/>
              </w:rPr>
            </w:pPr>
            <w:r w:rsidRPr="005E20C3">
              <w:rPr>
                <w:rFonts w:ascii="Times New Roman" w:hAnsi="Times New Roman" w:cs="Times New Roman"/>
                <w:szCs w:val="20"/>
              </w:rPr>
              <w:t xml:space="preserve">( </w:t>
            </w:r>
            <w:r w:rsidRPr="005E20C3">
              <w:rPr>
                <w:szCs w:val="20"/>
              </w:rPr>
              <w:fldChar w:fldCharType="begin"/>
            </w:r>
            <w:r w:rsidRPr="005E20C3">
              <w:rPr>
                <w:rFonts w:ascii="Times New Roman" w:hAnsi="Times New Roman" w:cs="Times New Roman"/>
                <w:szCs w:val="20"/>
              </w:rPr>
              <w:instrText xml:space="preserve"> SEQ [ \* ARABIC </w:instrText>
            </w:r>
            <w:r w:rsidRPr="005E20C3">
              <w:rPr>
                <w:szCs w:val="20"/>
              </w:rPr>
              <w:fldChar w:fldCharType="separate"/>
            </w:r>
            <w:r w:rsidR="00AA6EE9">
              <w:rPr>
                <w:rFonts w:ascii="Times New Roman" w:hAnsi="Times New Roman" w:cs="Times New Roman"/>
                <w:noProof/>
                <w:szCs w:val="20"/>
              </w:rPr>
              <w:t>13</w:t>
            </w:r>
            <w:r w:rsidRPr="005E20C3">
              <w:rPr>
                <w:szCs w:val="20"/>
              </w:rPr>
              <w:fldChar w:fldCharType="end"/>
            </w:r>
            <w:r w:rsidRPr="005E20C3">
              <w:rPr>
                <w:rFonts w:ascii="Times New Roman" w:hAnsi="Times New Roman" w:cs="Times New Roman"/>
                <w:szCs w:val="20"/>
              </w:rPr>
              <w:t xml:space="preserve"> )</w:t>
            </w:r>
          </w:p>
        </w:tc>
      </w:tr>
    </w:tbl>
    <w:p w:rsidR="005E20C3" w:rsidRPr="004850ED" w:rsidRDefault="001C7E9D" w:rsidP="005E20C3">
      <w:pPr>
        <w:pStyle w:val="Newparagraph"/>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Q</m:t>
                </m:r>
              </m:e>
            </m:acc>
          </m:e>
          <m:sub>
            <m:r>
              <w:rPr>
                <w:rFonts w:ascii="Cambria Math" w:hAnsi="Cambria Math"/>
              </w:rPr>
              <m:t>i</m:t>
            </m:r>
          </m:sub>
        </m:sSub>
      </m:oMath>
      <w:r w:rsidR="005E20C3" w:rsidRPr="004850ED">
        <w:t xml:space="preserve"> </w:t>
      </w:r>
      <w:proofErr w:type="gramStart"/>
      <w:r w:rsidR="005E20C3" w:rsidRPr="004850ED">
        <w:t>is</w:t>
      </w:r>
      <w:proofErr w:type="gramEnd"/>
      <w:r w:rsidR="005E20C3" w:rsidRPr="004850ED">
        <w:t xml:space="preserve"> the heat absorbed by the economi</w:t>
      </w:r>
      <w:r w:rsidR="005D23AB">
        <w:t>s</w:t>
      </w:r>
      <w:r w:rsidR="005E20C3" w:rsidRPr="004850ED">
        <w:t>er or heat exchanger</w:t>
      </w:r>
      <w:r w:rsidR="005E20C3">
        <w:t xml:space="preserve"> (per </w:t>
      </w:r>
      <w:r w:rsidR="005E20C3">
        <w:fldChar w:fldCharType="begin"/>
      </w:r>
      <w:r w:rsidR="005E20C3">
        <w:instrText xml:space="preserve"> REF _Ref414012537 \h </w:instrText>
      </w:r>
      <w:r w:rsidR="005E20C3">
        <w:fldChar w:fldCharType="separate"/>
      </w:r>
      <w:r w:rsidR="00AA6EE9">
        <w:t>Figure</w:t>
      </w:r>
      <w:r w:rsidR="00AA6EE9" w:rsidRPr="006D1D9E">
        <w:t xml:space="preserve"> </w:t>
      </w:r>
      <w:r w:rsidR="00AA6EE9">
        <w:rPr>
          <w:noProof/>
        </w:rPr>
        <w:t>4</w:t>
      </w:r>
      <w:r w:rsidR="005E20C3">
        <w:fldChar w:fldCharType="end"/>
      </w:r>
      <w:r w:rsidR="005E20C3">
        <w:t xml:space="preserve"> and depending if there is a thermal fluid circuit or not)</w:t>
      </w:r>
      <w:r w:rsidR="005E20C3" w:rsidRPr="004850ED">
        <w:t xml:space="preserve">, and it is less </w:t>
      </w:r>
      <w:r w:rsidR="00E14A87">
        <w:t xml:space="preserve">or equal </w:t>
      </w:r>
      <w:r w:rsidR="005E20C3" w:rsidRPr="004850ED">
        <w:t xml:space="preserve">than the total heat available in the exhaust gas. </w:t>
      </w:r>
      <w:r w:rsidR="005E20C3" w:rsidRPr="00E11EB8">
        <w:rPr>
          <w:i/>
        </w:rPr>
        <w:t>h</w:t>
      </w:r>
      <w:r w:rsidR="005E20C3" w:rsidRPr="00E11EB8">
        <w:rPr>
          <w:i/>
          <w:vertAlign w:val="subscript"/>
        </w:rPr>
        <w:t>4(r)</w:t>
      </w:r>
      <w:r w:rsidR="005E20C3">
        <w:t xml:space="preserve"> stands for </w:t>
      </w:r>
      <w:r w:rsidR="005E20C3" w:rsidRPr="00E11EB8">
        <w:rPr>
          <w:i/>
        </w:rPr>
        <w:t>h</w:t>
      </w:r>
      <w:r w:rsidR="005E20C3" w:rsidRPr="00E11EB8">
        <w:rPr>
          <w:i/>
          <w:vertAlign w:val="subscript"/>
        </w:rPr>
        <w:t>4</w:t>
      </w:r>
      <w:r w:rsidR="005E20C3">
        <w:t xml:space="preserve"> when the plant does not have a </w:t>
      </w:r>
      <w:r w:rsidR="00B27FEE">
        <w:t>recuperator</w:t>
      </w:r>
      <w:r w:rsidR="005E20C3">
        <w:t xml:space="preserve"> and </w:t>
      </w:r>
      <w:r w:rsidR="005E20C3" w:rsidRPr="00E11EB8">
        <w:rPr>
          <w:i/>
        </w:rPr>
        <w:t>h</w:t>
      </w:r>
      <w:r w:rsidR="005E20C3" w:rsidRPr="00E11EB8">
        <w:rPr>
          <w:i/>
          <w:vertAlign w:val="subscript"/>
        </w:rPr>
        <w:t>4r</w:t>
      </w:r>
      <w:r w:rsidR="005E20C3">
        <w:t xml:space="preserve"> when it </w:t>
      </w:r>
      <w:r w:rsidR="005D23AB">
        <w:t>does</w:t>
      </w:r>
      <w:r w:rsidR="005E20C3">
        <w:t xml:space="preserve">. </w:t>
      </w:r>
      <w:r w:rsidR="005E20C3" w:rsidRPr="004850ED">
        <w:t xml:space="preserve">The electric power </w:t>
      </w:r>
      <w:r w:rsidR="005E20C3">
        <w:t>output</w:t>
      </w:r>
      <w:r w:rsidR="005E20C3" w:rsidRPr="004850ED">
        <w:t xml:space="preserve"> is given by:</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9"/>
        <w:gridCol w:w="3573"/>
        <w:gridCol w:w="2623"/>
      </w:tblGrid>
      <w:tr w:rsidR="005E20C3" w:rsidRPr="005E20C3" w:rsidTr="005E20C3">
        <w:trPr>
          <w:jc w:val="center"/>
        </w:trPr>
        <w:tc>
          <w:tcPr>
            <w:tcW w:w="1445" w:type="pct"/>
          </w:tcPr>
          <w:p w:rsidR="005E20C3" w:rsidRPr="005E20C3" w:rsidRDefault="005E20C3" w:rsidP="000C4D22">
            <w:pPr>
              <w:rPr>
                <w:rFonts w:ascii="Times New Roman" w:hAnsi="Times New Roman" w:cs="Times New Roman"/>
                <w:szCs w:val="20"/>
              </w:rPr>
            </w:pPr>
          </w:p>
        </w:tc>
        <w:tc>
          <w:tcPr>
            <w:tcW w:w="2050" w:type="pct"/>
          </w:tcPr>
          <w:p w:rsidR="005E20C3" w:rsidRPr="005E20C3" w:rsidRDefault="001C7E9D" w:rsidP="000C4D22">
            <w:pPr>
              <w:jc w:val="center"/>
              <w:rPr>
                <w:rFonts w:ascii="Times New Roman" w:hAnsi="Times New Roman" w:cs="Times New Roman"/>
                <w:szCs w:val="20"/>
              </w:rPr>
            </w:pPr>
            <m:oMathPara>
              <m:oMath>
                <m:sSub>
                  <m:sSubPr>
                    <m:ctrlPr>
                      <w:rPr>
                        <w:rFonts w:ascii="Cambria Math" w:hAnsi="Cambria Math" w:cs="Times New Roman"/>
                        <w:i/>
                        <w:szCs w:val="20"/>
                      </w:rPr>
                    </m:ctrlPr>
                  </m:sSubPr>
                  <m:e>
                    <m:acc>
                      <m:accPr>
                        <m:chr m:val="̇"/>
                        <m:ctrlPr>
                          <w:rPr>
                            <w:rFonts w:ascii="Cambria Math" w:hAnsi="Cambria Math" w:cs="Times New Roman"/>
                            <w:i/>
                            <w:szCs w:val="20"/>
                          </w:rPr>
                        </m:ctrlPr>
                      </m:accPr>
                      <m:e>
                        <m:r>
                          <w:rPr>
                            <w:rFonts w:ascii="Cambria Math" w:hAnsi="Cambria Math" w:cs="Times New Roman"/>
                            <w:szCs w:val="20"/>
                          </w:rPr>
                          <m:t>W</m:t>
                        </m:r>
                      </m:e>
                    </m:acc>
                  </m:e>
                  <m:sub>
                    <m:r>
                      <w:rPr>
                        <w:rFonts w:ascii="Cambria Math" w:hAnsi="Cambria Math" w:cs="Times New Roman"/>
                        <w:szCs w:val="20"/>
                      </w:rPr>
                      <m:t>e</m:t>
                    </m:r>
                  </m:sub>
                </m:sSub>
                <m:r>
                  <w:rPr>
                    <w:rFonts w:ascii="Cambria Math" w:hAnsi="Cambria Math" w:cs="Times New Roman"/>
                    <w:szCs w:val="20"/>
                  </w:rPr>
                  <m:t>=</m:t>
                </m:r>
                <m:sSub>
                  <m:sSubPr>
                    <m:ctrlPr>
                      <w:rPr>
                        <w:rFonts w:ascii="Cambria Math" w:hAnsi="Cambria Math" w:cs="Times New Roman"/>
                        <w:i/>
                        <w:szCs w:val="20"/>
                      </w:rPr>
                    </m:ctrlPr>
                  </m:sSubPr>
                  <m:e>
                    <m:acc>
                      <m:accPr>
                        <m:chr m:val="̇"/>
                        <m:ctrlPr>
                          <w:rPr>
                            <w:rFonts w:ascii="Cambria Math" w:hAnsi="Cambria Math" w:cs="Times New Roman"/>
                            <w:i/>
                            <w:szCs w:val="20"/>
                          </w:rPr>
                        </m:ctrlPr>
                      </m:accPr>
                      <m:e>
                        <m:r>
                          <w:rPr>
                            <w:rFonts w:ascii="Cambria Math" w:hAnsi="Cambria Math" w:cs="Times New Roman"/>
                            <w:szCs w:val="20"/>
                          </w:rPr>
                          <m:t>W</m:t>
                        </m:r>
                      </m:e>
                    </m:acc>
                  </m:e>
                  <m:sub>
                    <m:r>
                      <w:rPr>
                        <w:rFonts w:ascii="Cambria Math" w:hAnsi="Cambria Math" w:cs="Times New Roman"/>
                        <w:szCs w:val="20"/>
                      </w:rPr>
                      <m:t>o</m:t>
                    </m:r>
                  </m:sub>
                </m:sSub>
                <m:sSub>
                  <m:sSubPr>
                    <m:ctrlPr>
                      <w:rPr>
                        <w:rFonts w:ascii="Cambria Math" w:hAnsi="Cambria Math" w:cs="Times New Roman"/>
                        <w:i/>
                        <w:szCs w:val="20"/>
                      </w:rPr>
                    </m:ctrlPr>
                  </m:sSubPr>
                  <m:e>
                    <m:r>
                      <w:rPr>
                        <w:rFonts w:ascii="Cambria Math" w:hAnsi="Cambria Math" w:cs="Times New Roman"/>
                        <w:szCs w:val="20"/>
                      </w:rPr>
                      <m:t>η</m:t>
                    </m:r>
                  </m:e>
                  <m:sub>
                    <m:r>
                      <w:rPr>
                        <w:rFonts w:ascii="Cambria Math" w:hAnsi="Cambria Math" w:cs="Times New Roman"/>
                        <w:szCs w:val="20"/>
                      </w:rPr>
                      <m:t>e</m:t>
                    </m:r>
                  </m:sub>
                </m:sSub>
                <m:r>
                  <w:rPr>
                    <w:rFonts w:ascii="Cambria Math" w:hAnsi="Cambria Math" w:cs="Times New Roman"/>
                    <w:szCs w:val="20"/>
                  </w:rPr>
                  <m:t>+</m:t>
                </m:r>
                <m:f>
                  <m:fPr>
                    <m:ctrlPr>
                      <w:rPr>
                        <w:rFonts w:ascii="Cambria Math" w:hAnsi="Cambria Math" w:cs="Times New Roman"/>
                        <w:i/>
                        <w:szCs w:val="20"/>
                      </w:rPr>
                    </m:ctrlPr>
                  </m:fPr>
                  <m:num>
                    <m:d>
                      <m:dPr>
                        <m:ctrlPr>
                          <w:rPr>
                            <w:rFonts w:ascii="Cambria Math" w:hAnsi="Cambria Math" w:cs="Times New Roman"/>
                            <w:i/>
                            <w:szCs w:val="20"/>
                          </w:rPr>
                        </m:ctrlPr>
                      </m:dPr>
                      <m:e>
                        <m:sSub>
                          <m:sSubPr>
                            <m:ctrlPr>
                              <w:rPr>
                                <w:rFonts w:ascii="Cambria Math" w:hAnsi="Cambria Math" w:cs="Times New Roman"/>
                                <w:i/>
                                <w:szCs w:val="20"/>
                              </w:rPr>
                            </m:ctrlPr>
                          </m:sSubPr>
                          <m:e>
                            <m:acc>
                              <m:accPr>
                                <m:chr m:val="̇"/>
                                <m:ctrlPr>
                                  <w:rPr>
                                    <w:rFonts w:ascii="Cambria Math" w:hAnsi="Cambria Math" w:cs="Times New Roman"/>
                                    <w:i/>
                                    <w:szCs w:val="20"/>
                                  </w:rPr>
                                </m:ctrlPr>
                              </m:accPr>
                              <m:e>
                                <m:r>
                                  <w:rPr>
                                    <w:rFonts w:ascii="Cambria Math" w:hAnsi="Cambria Math" w:cs="Times New Roman"/>
                                    <w:szCs w:val="20"/>
                                  </w:rPr>
                                  <m:t>W</m:t>
                                </m:r>
                              </m:e>
                            </m:acc>
                          </m:e>
                          <m:sub>
                            <m:r>
                              <w:rPr>
                                <w:rFonts w:ascii="Cambria Math" w:hAnsi="Cambria Math" w:cs="Times New Roman"/>
                                <w:szCs w:val="20"/>
                              </w:rPr>
                              <m:t>i</m:t>
                            </m:r>
                          </m:sub>
                        </m:sSub>
                        <m:r>
                          <w:rPr>
                            <w:rFonts w:ascii="Cambria Math" w:hAnsi="Cambria Math" w:cs="Times New Roman"/>
                            <w:szCs w:val="20"/>
                          </w:rPr>
                          <m:t>+</m:t>
                        </m:r>
                        <m:sSub>
                          <m:sSubPr>
                            <m:ctrlPr>
                              <w:rPr>
                                <w:rFonts w:ascii="Cambria Math" w:hAnsi="Cambria Math" w:cs="Times New Roman"/>
                                <w:i/>
                                <w:szCs w:val="20"/>
                              </w:rPr>
                            </m:ctrlPr>
                          </m:sSubPr>
                          <m:e>
                            <m:acc>
                              <m:accPr>
                                <m:chr m:val="̇"/>
                                <m:ctrlPr>
                                  <w:rPr>
                                    <w:rFonts w:ascii="Cambria Math" w:hAnsi="Cambria Math" w:cs="Times New Roman"/>
                                    <w:i/>
                                    <w:szCs w:val="20"/>
                                  </w:rPr>
                                </m:ctrlPr>
                              </m:accPr>
                              <m:e>
                                <m:r>
                                  <w:rPr>
                                    <w:rFonts w:ascii="Cambria Math" w:hAnsi="Cambria Math" w:cs="Times New Roman"/>
                                    <w:szCs w:val="20"/>
                                  </w:rPr>
                                  <m:t>W</m:t>
                                </m:r>
                              </m:e>
                            </m:acc>
                          </m:e>
                          <m:sub>
                            <m:r>
                              <w:rPr>
                                <w:rFonts w:ascii="Cambria Math" w:hAnsi="Cambria Math" w:cs="Times New Roman"/>
                                <w:szCs w:val="20"/>
                              </w:rPr>
                              <m:t>S,i</m:t>
                            </m:r>
                          </m:sub>
                        </m:sSub>
                      </m:e>
                    </m:d>
                  </m:num>
                  <m:den>
                    <m:sSub>
                      <m:sSubPr>
                        <m:ctrlPr>
                          <w:rPr>
                            <w:rFonts w:ascii="Cambria Math" w:hAnsi="Cambria Math" w:cs="Times New Roman"/>
                            <w:i/>
                            <w:szCs w:val="20"/>
                          </w:rPr>
                        </m:ctrlPr>
                      </m:sSubPr>
                      <m:e>
                        <m:r>
                          <w:rPr>
                            <w:rFonts w:ascii="Cambria Math" w:hAnsi="Cambria Math" w:cs="Times New Roman"/>
                            <w:szCs w:val="20"/>
                          </w:rPr>
                          <m:t>η</m:t>
                        </m:r>
                      </m:e>
                      <m:sub>
                        <m:r>
                          <w:rPr>
                            <w:rFonts w:ascii="Cambria Math" w:hAnsi="Cambria Math" w:cs="Times New Roman"/>
                            <w:szCs w:val="20"/>
                          </w:rPr>
                          <m:t>e</m:t>
                        </m:r>
                      </m:sub>
                    </m:sSub>
                  </m:den>
                </m:f>
              </m:oMath>
            </m:oMathPara>
          </w:p>
        </w:tc>
        <w:tc>
          <w:tcPr>
            <w:tcW w:w="1505" w:type="pct"/>
          </w:tcPr>
          <w:p w:rsidR="005E20C3" w:rsidRPr="005E20C3" w:rsidRDefault="005E20C3" w:rsidP="000C4D22">
            <w:pPr>
              <w:keepNext/>
              <w:jc w:val="right"/>
              <w:rPr>
                <w:rFonts w:ascii="Times New Roman" w:hAnsi="Times New Roman" w:cs="Times New Roman"/>
                <w:szCs w:val="20"/>
              </w:rPr>
            </w:pPr>
            <w:bookmarkStart w:id="16" w:name="_Ref364993457"/>
            <w:r w:rsidRPr="005E20C3">
              <w:rPr>
                <w:rFonts w:ascii="Times New Roman" w:hAnsi="Times New Roman" w:cs="Times New Roman"/>
                <w:szCs w:val="20"/>
              </w:rPr>
              <w:t xml:space="preserve">( </w:t>
            </w:r>
            <w:r w:rsidRPr="005E20C3">
              <w:rPr>
                <w:szCs w:val="20"/>
              </w:rPr>
              <w:fldChar w:fldCharType="begin"/>
            </w:r>
            <w:r w:rsidRPr="005E20C3">
              <w:rPr>
                <w:rFonts w:ascii="Times New Roman" w:hAnsi="Times New Roman" w:cs="Times New Roman"/>
                <w:szCs w:val="20"/>
              </w:rPr>
              <w:instrText xml:space="preserve"> SEQ [ \* ARABIC </w:instrText>
            </w:r>
            <w:r w:rsidRPr="005E20C3">
              <w:rPr>
                <w:szCs w:val="20"/>
              </w:rPr>
              <w:fldChar w:fldCharType="separate"/>
            </w:r>
            <w:r w:rsidR="00AA6EE9">
              <w:rPr>
                <w:rFonts w:ascii="Times New Roman" w:hAnsi="Times New Roman" w:cs="Times New Roman"/>
                <w:noProof/>
                <w:szCs w:val="20"/>
              </w:rPr>
              <w:t>14</w:t>
            </w:r>
            <w:r w:rsidRPr="005E20C3">
              <w:rPr>
                <w:szCs w:val="20"/>
              </w:rPr>
              <w:fldChar w:fldCharType="end"/>
            </w:r>
            <w:bookmarkEnd w:id="16"/>
            <w:r w:rsidRPr="005E20C3">
              <w:rPr>
                <w:rFonts w:ascii="Times New Roman" w:hAnsi="Times New Roman" w:cs="Times New Roman"/>
                <w:szCs w:val="20"/>
              </w:rPr>
              <w:t xml:space="preserve"> )</w:t>
            </w:r>
          </w:p>
        </w:tc>
      </w:tr>
    </w:tbl>
    <w:bookmarkStart w:id="17" w:name="_Ref364859929"/>
    <w:p w:rsidR="005E20C3" w:rsidRDefault="005E20C3" w:rsidP="005E20C3">
      <w:pPr>
        <w:pStyle w:val="Newparagraph"/>
      </w:pPr>
      <w:r>
        <w:fldChar w:fldCharType="begin"/>
      </w:r>
      <w:r>
        <w:instrText xml:space="preserve"> REF _Ref378590612 \h  \* MERGEFORMAT </w:instrText>
      </w:r>
      <w:r>
        <w:fldChar w:fldCharType="separate"/>
      </w:r>
      <w:r w:rsidR="00AA6EE9" w:rsidRPr="004850ED">
        <w:t xml:space="preserve">Table </w:t>
      </w:r>
      <w:r w:rsidR="00AA6EE9">
        <w:t>2</w:t>
      </w:r>
      <w:r>
        <w:fldChar w:fldCharType="end"/>
      </w:r>
      <w:r w:rsidRPr="004850ED">
        <w:t xml:space="preserve"> shows </w:t>
      </w:r>
      <w:r w:rsidR="005D23AB">
        <w:t xml:space="preserve">the </w:t>
      </w:r>
      <w:r w:rsidRPr="004850ED">
        <w:t xml:space="preserve">different constraints and conditions imposed to the different parts of the WHRS model. These values </w:t>
      </w:r>
      <w:r w:rsidR="005D23AB">
        <w:t>remain</w:t>
      </w:r>
      <w:r w:rsidRPr="004850ED">
        <w:t xml:space="preserve"> constant unless the contrary is stated. </w:t>
      </w:r>
      <w:r w:rsidRPr="004850ED">
        <w:lastRenderedPageBreak/>
        <w:t xml:space="preserve">Assumptions made for the thermodynamic simulations were that </w:t>
      </w:r>
      <w:r>
        <w:t xml:space="preserve">the </w:t>
      </w:r>
      <w:r w:rsidRPr="004850ED">
        <w:t xml:space="preserve">electrical efficiency of </w:t>
      </w:r>
      <w:r>
        <w:t xml:space="preserve">the WHRS’s </w:t>
      </w:r>
      <w:r w:rsidRPr="004850ED">
        <w:t xml:space="preserve">generator and pumps </w:t>
      </w:r>
      <w:r>
        <w:t xml:space="preserve">was </w:t>
      </w:r>
      <w:r w:rsidRPr="004850ED">
        <w:t>90%</w:t>
      </w:r>
      <w:r>
        <w:t xml:space="preserve">, while the thermal efficiency of the expander and working fluid pumps </w:t>
      </w:r>
      <w:r w:rsidR="005D23AB">
        <w:t>was</w:t>
      </w:r>
      <w:r>
        <w:t xml:space="preserve"> 75%; all efficiencies were assumed to be constant at off-design conditions.</w:t>
      </w:r>
      <w:r w:rsidRPr="004850ED">
        <w:t xml:space="preserve"> </w:t>
      </w:r>
      <w:r>
        <w:t>Also</w:t>
      </w:r>
      <w:r w:rsidR="005D23AB">
        <w:t>,</w:t>
      </w:r>
      <w:r>
        <w:t xml:space="preserve"> it was assumed that </w:t>
      </w:r>
      <w:r w:rsidRPr="004850ED">
        <w:t xml:space="preserve">there </w:t>
      </w:r>
      <w:r w:rsidR="005D23AB">
        <w:t>we</w:t>
      </w:r>
      <w:r w:rsidRPr="004850ED">
        <w:t xml:space="preserve">re no pressure changes except for the expander and pump; no heat losses </w:t>
      </w:r>
      <w:r w:rsidR="005D23AB">
        <w:t>or</w:t>
      </w:r>
      <w:r w:rsidRPr="004850ED">
        <w:t xml:space="preserve"> leakages and it </w:t>
      </w:r>
      <w:r w:rsidR="005D23AB">
        <w:t>wa</w:t>
      </w:r>
      <w:r w:rsidRPr="004850ED">
        <w:t xml:space="preserve">s a steady-state operation. </w:t>
      </w:r>
      <w:r>
        <w:t xml:space="preserve">The </w:t>
      </w:r>
      <w:r w:rsidR="00B27FEE">
        <w:t>recuperator</w:t>
      </w:r>
      <w:r>
        <w:t xml:space="preserve"> efficiency was set to 90% which guarantee</w:t>
      </w:r>
      <w:r w:rsidR="005D23AB">
        <w:t>d</w:t>
      </w:r>
      <w:r>
        <w:t xml:space="preserve"> a </w:t>
      </w:r>
      <w:r w:rsidR="00B27FEE">
        <w:t>recuperator</w:t>
      </w:r>
      <w:r>
        <w:t xml:space="preserve"> </w:t>
      </w:r>
      <w:r w:rsidRPr="005B5A45">
        <w:rPr>
          <w:i/>
        </w:rPr>
        <w:t>T</w:t>
      </w:r>
      <w:r w:rsidRPr="005B5A45">
        <w:rPr>
          <w:i/>
          <w:vertAlign w:val="subscript"/>
        </w:rPr>
        <w:t>ap</w:t>
      </w:r>
      <w:r>
        <w:t xml:space="preserve"> of more than 4 K, inside the capabilities of a plate heat exchanger. </w:t>
      </w:r>
      <w:r w:rsidRPr="003738D5">
        <w:t xml:space="preserve">Saavedra </w:t>
      </w:r>
      <w:r w:rsidRPr="004A7186">
        <w:rPr>
          <w:i/>
        </w:rPr>
        <w:t>et al</w:t>
      </w:r>
      <w:r w:rsidRPr="003738D5">
        <w:t xml:space="preserve">. </w:t>
      </w:r>
      <w:r>
        <w:fldChar w:fldCharType="begin" w:fldLock="1"/>
      </w:r>
      <w:r>
        <w:instrText>ADDIN CSL_CITATION { "citationItems" : [ { "id" : "ITEM-1", "itemData" : { "DOI" : "10.1243/09576509JPE998", "ISSN" : "0957-6509", "abstract" : "In this article, the authors performed the thermodynamic optimization of organic Rankine cycles (ORCs) using several working fluids and considered the effect of three heat rejec- tion media in the condenser: cooling water, ambient air, and hot water at high temperature for co- or trigeneration applications. The ORC system was modelled and optimized using the Aspen Hysys process simulator. The objective function is the maximization of turbine power output. Most natural gas compression stations use no heat recovery system. In this study, they applied the optimization procedure to the recovery of waste heat fromgas turbines used to drive natural gas compressors in natural gas pumping stations. They used operational data from an existing pumping station to illustrate the potential benefits of ORC systems for this application, taking into account also non-thermodynamic aspects such as toxicity, flammability, and investment cost return. The highest ORC turbine output powerswere obtained with aromatic hydrocarbons, then with aromatic fluorocarbons, n-hydrocarbons, and siloxanes (in that order). For the case studied here \u2013 a gas turbine of 2.6MW of mechanical power\u2013 the proposed ORC can produce around 1MWe, with a thermal efficiency of up to 24 per cent depending on the working fluid and condensing temperature.", "author" : [ { "dropping-particle" : "", "family" : "Saavedra", "given" : "I", "non-dropping-particle" : "", "parse-names" : false, "suffix" : "" }, { "dropping-particle" : "", "family" : "Bruno", "given" : "J C", "non-dropping-particle" : "", "parse-names" : false, "suffix" : "" }, { "dropping-particle" : "", "family" : "Coronas", "given" : "A", "non-dropping-particle" : "", "parse-names" : false, "suffix" : "" } ], "container-title" : "Proceedings of the Institution of Mechanical Engineers, Part A: Journal of Power and Energy", "id" : "ITEM-1", "issue" : "7", "issued" : { "date-parts" : [ [ "2010", "11", "1" ] ] }, "page" : "917-930", "title" : "Thermodynamic optimization of organic Rankine cycles at several condensing temperatures: case study of waste heat recovery in a natural gas compressor station", "type" : "article-journal", "volume" : "224" }, "uris" : [ "http://www.mendeley.com/documents/?uuid=6a76ff70-1a27-4e35-a7be-2ab671213610" ] } ], "mendeley" : { "formattedCitation" : "(Saavedra et al. 2010)", "manualFormatting" : "(2010)", "plainTextFormattedCitation" : "(Saavedra et al. 2010)", "previouslyFormattedCitation" : "(Saavedra et al. 2010)" }, "properties" : { "noteIndex" : 0 }, "schema" : "https://github.com/citation-style-language/schema/raw/master/csl-citation.json" }</w:instrText>
      </w:r>
      <w:r>
        <w:fldChar w:fldCharType="separate"/>
      </w:r>
      <w:r>
        <w:rPr>
          <w:noProof/>
        </w:rPr>
        <w:t>(</w:t>
      </w:r>
      <w:r w:rsidRPr="005E20C3">
        <w:rPr>
          <w:noProof/>
        </w:rPr>
        <w:t>2010)</w:t>
      </w:r>
      <w:r>
        <w:fldChar w:fldCharType="end"/>
      </w:r>
      <w:r w:rsidRPr="003738D5">
        <w:t xml:space="preserve"> studied the effects of changing the sink temperature while keeping constant the inlet temperature and waste heat mass flow rate. </w:t>
      </w:r>
      <w:r>
        <w:t xml:space="preserve">They found that changing the sink temperature </w:t>
      </w:r>
      <w:r w:rsidR="005D23AB">
        <w:t xml:space="preserve">by 55°C, </w:t>
      </w:r>
      <w:r>
        <w:t>there was a 35% drop in power output when using n-heptane</w:t>
      </w:r>
      <w:r w:rsidR="005D23AB">
        <w:t>:</w:t>
      </w:r>
      <w:r>
        <w:t xml:space="preserve"> 37% for water and 39% for toluene. In this paper</w:t>
      </w:r>
      <w:r w:rsidR="005D23AB">
        <w:t>,</w:t>
      </w:r>
      <w:r>
        <w:t xml:space="preserve"> a</w:t>
      </w:r>
      <w:r w:rsidRPr="004850ED">
        <w:t xml:space="preserve"> constant inlet </w:t>
      </w:r>
      <w:r>
        <w:t>sink</w:t>
      </w:r>
      <w:r w:rsidRPr="004850ED">
        <w:t xml:space="preserve"> temper</w:t>
      </w:r>
      <w:r>
        <w:t>atur</w:t>
      </w:r>
      <w:r w:rsidRPr="004850ED">
        <w:t xml:space="preserve">e of </w:t>
      </w:r>
      <w:r>
        <w:t>9°C</w:t>
      </w:r>
      <w:r w:rsidR="005D23AB">
        <w:t xml:space="preserve"> was assumed</w:t>
      </w:r>
      <w:r w:rsidRPr="004850ED">
        <w:t xml:space="preserve">. This </w:t>
      </w:r>
      <w:r>
        <w:t xml:space="preserve">value is close to the mean annual </w:t>
      </w:r>
      <w:r w:rsidR="005D23AB">
        <w:t xml:space="preserve">ocean </w:t>
      </w:r>
      <w:r>
        <w:t>temperature</w:t>
      </w:r>
      <w:r w:rsidRPr="0095388E">
        <w:t xml:space="preserve"> </w:t>
      </w:r>
      <w:r>
        <w:fldChar w:fldCharType="begin" w:fldLock="1"/>
      </w:r>
      <w:r>
        <w:instrText>ADDIN CSL_CITATION { "citationItems" : [ { "id" : "ITEM-1", "itemData" : { "DOI" : "http://dx.doi.org/10.1175/JCLI3637.1", "abstract" : "A new flexible gridded dataset of sea surface temperature (SST) since 1850 is presented and its uncertainties are quantified. This analysis [the Second Hadley Centre Sea Surface Temperature dataset (HadSST2)] is based on data contained within the recently created International Comprehensive Ocean\u2013Atmosphere Data Set (ICOADS) database and so is superior in geographical coverage to previous datasets and has smaller uncertainties. Issues arising when analyzing a database of observations measured from very different platforms and drawn from many different countries with different measurement practices are introduced. Improved bias corrections are applied to the data to account for changes in measurement conditions through time. A detailed analysis of uncertainties in these corrections is included by exploring assumptions made in their construction and producing multiple versions using a Monte Carlo method. An assessment of total uncertainty in each gridded average is obtained by combining these bias-correction-related uncertainties with those arising from measurement errors and undersampling of intragrid box variability. These are calculated by partitioning the variance in grid box averages between real and spurious variability. From month to month in individual grid boxes, sampling uncertainties tend to be most important (except in certain regions), but on large-scale averages bias-correction uncertainties are more dominant owing to their correlation between grid boxes. Changes in large-scale SST through time are assessed by two methods. The linear warming between 1850 and 2004 was 0.52\u00b0 \u00b1 0.19\u00b0C (95% confidence interval) for the globe, 0.59\u00b0 \u00b1 0.20\u00b0C for the Northern Hemisphere, and 0.46\u00b0 \u00b1 0.29\u00b0C for the Southern Hemisphere. Decadally filtered differences for these regions over this period were 0.67\u00b0 \u00b1 0.04\u00b0C, 0.71\u00b0 \u00b1 0.06\u00b0C, and 0.64\u00b0 \u00b1 0.07\u00b0C.", "author" : [ { "dropping-particle" : "", "family" : "Rayner", "given" : "N.A.", "non-dropping-particle" : "", "parse-names" : false, "suffix" : "" }, { "dropping-particle" : "", "family" : "Brohan", "given" : "P.", "non-dropping-particle" : "", "parse-names" : false, "suffix" : "" }, { "dropping-particle" : "", "family" : "Parker", "given" : "D.E.", "non-dropping-particle" : "", "parse-names" : false, "suffix" : "" }, { "dropping-particle" : "", "family" : "Folland", "given" : "C.K.", "non-dropping-particle" : "", "parse-names" : false, "suffix" : "" }, { "dropping-particle" : "", "family" : "Kennedy", "given" : "J.J.", "non-dropping-particle" : "", "parse-names" : false, "suffix" : "" }, { "dropping-particle" : "", "family" : "Vanicek", "given" : "M.", "non-dropping-particle" : "", "parse-names" : false, "suffix" : "" }, { "dropping-particle" : "", "family" : "Ansell", "given" : "T. J.", "non-dropping-particle" : "", "parse-names" : false, "suffix" : "" }, { "dropping-particle" : "", "family" : "Tett", "given" : "S.F.B.", "non-dropping-particle" : "", "parse-names" : false, "suffix" : "" } ], "container-title" : "Journal of Climate", "id" : "ITEM-1", "issue" : "3", "issued" : { "date-parts" : [ [ "2006" ] ] }, "page" : "446-469", "title" : "Improved analyses of changes and uncertainties in sea surface temperature measured in situ since the mid-nineteenth century: the HadSST2 data set.", "type" : "article-journal", "volume" : "19" }, "uris" : [ "http://www.mendeley.com/documents/?uuid=ad23f69c-38ee-4ecd-8466-6fddcae0c85d" ] }, { "id" : "ITEM-2", "itemData" : { "DOI" : "10.1029/2002JD002670", "ISSN" : "0148-0227", "author" : [ { "dropping-particle" : "", "family" : "Rayner", "given" : "N. A.", "non-dropping-particle" : "", "parse-names" : false, "suffix" : "" } ], "container-title" : "Journal of Geophysical Research", "id" : "ITEM-2", "issue" : "D14", "issued" : { "date-parts" : [ [ "2003" ] ] }, "page" : "4407", "title" : "Global analyses of sea surface temperature, sea ice, and night marine air temperature since the late nineteenth century", "type" : "article-journal", "volume" : "108" }, "uris" : [ "http://www.mendeley.com/documents/?uuid=9f61ea0d-4a17-4c0f-99af-a0255c6ecac5" ] } ], "mendeley" : { "formattedCitation" : "(Rayner 2003; Rayner et al. 2006)", "plainTextFormattedCitation" : "(Rayner 2003; Rayner et al. 2006)", "previouslyFormattedCitation" : "(Rayner 2003; Rayner et al. 2006)" }, "properties" : { "noteIndex" : 0 }, "schema" : "https://github.com/citation-style-language/schema/raw/master/csl-citation.json" }</w:instrText>
      </w:r>
      <w:r>
        <w:fldChar w:fldCharType="separate"/>
      </w:r>
      <w:r w:rsidRPr="005E20C3">
        <w:rPr>
          <w:noProof/>
        </w:rPr>
        <w:t xml:space="preserve">(Rayner 2003; Rayner </w:t>
      </w:r>
      <w:r w:rsidRPr="004A7186">
        <w:rPr>
          <w:i/>
          <w:noProof/>
        </w:rPr>
        <w:t>et al</w:t>
      </w:r>
      <w:r w:rsidRPr="005E20C3">
        <w:rPr>
          <w:noProof/>
        </w:rPr>
        <w:t>. 2006)</w:t>
      </w:r>
      <w:r>
        <w:fldChar w:fldCharType="end"/>
      </w:r>
      <w:r w:rsidRPr="003738D5">
        <w:t xml:space="preserve">. </w:t>
      </w:r>
    </w:p>
    <w:tbl>
      <w:tblPr>
        <w:tblStyle w:val="TableGrid"/>
        <w:tblW w:w="5000" w:type="pct"/>
        <w:tblLook w:val="04A0" w:firstRow="1" w:lastRow="0" w:firstColumn="1" w:lastColumn="0" w:noHBand="0" w:noVBand="1"/>
      </w:tblPr>
      <w:tblGrid>
        <w:gridCol w:w="2868"/>
        <w:gridCol w:w="3045"/>
        <w:gridCol w:w="146"/>
        <w:gridCol w:w="2656"/>
      </w:tblGrid>
      <w:tr w:rsidR="00B30F53" w:rsidRPr="001A3583" w:rsidTr="00B30F53">
        <w:tc>
          <w:tcPr>
            <w:tcW w:w="1645" w:type="pct"/>
            <w:tcBorders>
              <w:left w:val="nil"/>
              <w:bottom w:val="single" w:sz="4" w:space="0" w:color="auto"/>
              <w:right w:val="nil"/>
            </w:tcBorders>
            <w:vAlign w:val="center"/>
          </w:tcPr>
          <w:p w:rsidR="00B30F53" w:rsidRPr="001A3583" w:rsidRDefault="00B30F53" w:rsidP="00B30F53">
            <w:pPr>
              <w:pStyle w:val="Caption"/>
              <w:spacing w:after="0"/>
              <w:contextualSpacing/>
              <w:jc w:val="left"/>
              <w:rPr>
                <w:rFonts w:ascii="Times New Roman" w:hAnsi="Times New Roman" w:cs="Times New Roman"/>
                <w:b/>
                <w:i/>
              </w:rPr>
            </w:pPr>
            <w:r w:rsidRPr="001A3583">
              <w:rPr>
                <w:rFonts w:ascii="Times New Roman" w:hAnsi="Times New Roman" w:cs="Times New Roman"/>
                <w:b/>
                <w:i/>
              </w:rPr>
              <w:t>Equipment</w:t>
            </w:r>
          </w:p>
        </w:tc>
        <w:tc>
          <w:tcPr>
            <w:tcW w:w="1831" w:type="pct"/>
            <w:gridSpan w:val="2"/>
            <w:tcBorders>
              <w:left w:val="nil"/>
              <w:bottom w:val="single" w:sz="4" w:space="0" w:color="auto"/>
              <w:right w:val="nil"/>
            </w:tcBorders>
            <w:vAlign w:val="center"/>
          </w:tcPr>
          <w:p w:rsidR="00B30F53" w:rsidRPr="001A3583" w:rsidRDefault="00B30F53" w:rsidP="00B30F53">
            <w:pPr>
              <w:pStyle w:val="Caption"/>
              <w:spacing w:after="0"/>
              <w:contextualSpacing/>
              <w:jc w:val="left"/>
              <w:rPr>
                <w:rFonts w:ascii="Times New Roman" w:hAnsi="Times New Roman" w:cs="Times New Roman"/>
                <w:b/>
                <w:i/>
              </w:rPr>
            </w:pPr>
            <w:r w:rsidRPr="001A3583">
              <w:rPr>
                <w:rFonts w:ascii="Times New Roman" w:hAnsi="Times New Roman" w:cs="Times New Roman"/>
                <w:b/>
                <w:i/>
              </w:rPr>
              <w:t>Variable</w:t>
            </w:r>
          </w:p>
        </w:tc>
        <w:tc>
          <w:tcPr>
            <w:tcW w:w="1524" w:type="pct"/>
            <w:tcBorders>
              <w:left w:val="nil"/>
              <w:bottom w:val="single" w:sz="4" w:space="0" w:color="auto"/>
              <w:right w:val="nil"/>
            </w:tcBorders>
            <w:vAlign w:val="center"/>
          </w:tcPr>
          <w:p w:rsidR="00B30F53" w:rsidRPr="001A3583" w:rsidRDefault="00B30F53" w:rsidP="00B30F53">
            <w:pPr>
              <w:pStyle w:val="Caption"/>
              <w:spacing w:after="0"/>
              <w:contextualSpacing/>
              <w:jc w:val="left"/>
              <w:rPr>
                <w:rFonts w:ascii="Times New Roman" w:hAnsi="Times New Roman" w:cs="Times New Roman"/>
                <w:b/>
                <w:i/>
              </w:rPr>
            </w:pPr>
            <w:r w:rsidRPr="001A3583">
              <w:rPr>
                <w:rFonts w:ascii="Times New Roman" w:hAnsi="Times New Roman" w:cs="Times New Roman"/>
                <w:b/>
                <w:i/>
              </w:rPr>
              <w:t>Value</w:t>
            </w:r>
          </w:p>
        </w:tc>
      </w:tr>
      <w:tr w:rsidR="00B30F53" w:rsidRPr="001A3583" w:rsidTr="00B30F53">
        <w:tc>
          <w:tcPr>
            <w:tcW w:w="1645" w:type="pct"/>
            <w:tcBorders>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i/>
              </w:rPr>
            </w:pPr>
            <w:r w:rsidRPr="001A3583">
              <w:rPr>
                <w:rFonts w:ascii="Times New Roman" w:hAnsi="Times New Roman" w:cs="Times New Roman"/>
                <w:i/>
              </w:rPr>
              <w:t>Expander</w:t>
            </w:r>
          </w:p>
        </w:tc>
        <w:tc>
          <w:tcPr>
            <w:tcW w:w="1747" w:type="pct"/>
            <w:tcBorders>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p>
        </w:tc>
        <w:tc>
          <w:tcPr>
            <w:tcW w:w="1608" w:type="pct"/>
            <w:gridSpan w:val="2"/>
            <w:tcBorders>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p>
        </w:tc>
      </w:tr>
      <w:tr w:rsidR="00B30F53" w:rsidRPr="001A3583" w:rsidTr="00B30F53">
        <w:tc>
          <w:tcPr>
            <w:tcW w:w="1645" w:type="pct"/>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p>
        </w:tc>
        <w:tc>
          <w:tcPr>
            <w:tcW w:w="1747" w:type="pct"/>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r w:rsidRPr="001A3583">
              <w:rPr>
                <w:rFonts w:ascii="Times New Roman" w:hAnsi="Times New Roman" w:cs="Times New Roman"/>
              </w:rPr>
              <w:t xml:space="preserve">Inlet temperature, </w:t>
            </w:r>
            <w:r w:rsidRPr="001A3583">
              <w:rPr>
                <w:rFonts w:ascii="Times New Roman" w:hAnsi="Times New Roman" w:cs="Times New Roman"/>
                <w:i/>
              </w:rPr>
              <w:t>T</w:t>
            </w:r>
            <w:r w:rsidRPr="001A3583">
              <w:rPr>
                <w:rFonts w:ascii="Times New Roman" w:hAnsi="Times New Roman" w:cs="Times New Roman"/>
                <w:i/>
                <w:vertAlign w:val="subscript"/>
              </w:rPr>
              <w:t>1</w:t>
            </w:r>
            <w:r w:rsidRPr="001A3583">
              <w:rPr>
                <w:rFonts w:ascii="Times New Roman" w:hAnsi="Times New Roman" w:cs="Times New Roman"/>
              </w:rPr>
              <w:t xml:space="preserve"> (°C)</w:t>
            </w:r>
          </w:p>
        </w:tc>
        <w:tc>
          <w:tcPr>
            <w:tcW w:w="1608" w:type="pct"/>
            <w:gridSpan w:val="2"/>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r w:rsidRPr="001A3583">
              <w:rPr>
                <w:rFonts w:ascii="Times New Roman" w:hAnsi="Times New Roman" w:cs="Times New Roman"/>
              </w:rPr>
              <w:t>0.975</w:t>
            </w:r>
            <w:r w:rsidRPr="001A3583">
              <w:rPr>
                <w:rFonts w:ascii="Times New Roman" w:hAnsi="Times New Roman" w:cs="Times New Roman"/>
                <w:i/>
              </w:rPr>
              <w:t>T</w:t>
            </w:r>
            <w:r w:rsidRPr="001A3583">
              <w:rPr>
                <w:rFonts w:ascii="Times New Roman" w:hAnsi="Times New Roman" w:cs="Times New Roman"/>
                <w:i/>
                <w:vertAlign w:val="subscript"/>
              </w:rPr>
              <w:t>H,i</w:t>
            </w:r>
          </w:p>
        </w:tc>
      </w:tr>
      <w:tr w:rsidR="00B30F53" w:rsidRPr="001A3583" w:rsidTr="00B30F53">
        <w:tc>
          <w:tcPr>
            <w:tcW w:w="1645" w:type="pct"/>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p>
        </w:tc>
        <w:tc>
          <w:tcPr>
            <w:tcW w:w="1747" w:type="pct"/>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vertAlign w:val="subscript"/>
              </w:rPr>
            </w:pPr>
            <w:proofErr w:type="spellStart"/>
            <w:r w:rsidRPr="001A3583">
              <w:rPr>
                <w:rFonts w:ascii="Times New Roman" w:hAnsi="Times New Roman" w:cs="Times New Roman"/>
                <w:i/>
              </w:rPr>
              <w:t>η</w:t>
            </w:r>
            <w:r w:rsidRPr="001A3583">
              <w:rPr>
                <w:rFonts w:ascii="Times New Roman" w:hAnsi="Times New Roman" w:cs="Times New Roman"/>
                <w:i/>
                <w:vertAlign w:val="subscript"/>
              </w:rPr>
              <w:t>exp</w:t>
            </w:r>
            <w:proofErr w:type="spellEnd"/>
          </w:p>
        </w:tc>
        <w:tc>
          <w:tcPr>
            <w:tcW w:w="1608" w:type="pct"/>
            <w:gridSpan w:val="2"/>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r w:rsidRPr="001A3583">
              <w:rPr>
                <w:rFonts w:ascii="Times New Roman" w:hAnsi="Times New Roman" w:cs="Times New Roman"/>
              </w:rPr>
              <w:t>75%</w:t>
            </w:r>
          </w:p>
        </w:tc>
      </w:tr>
      <w:tr w:rsidR="00B30F53" w:rsidRPr="001A3583" w:rsidTr="00B30F53">
        <w:tc>
          <w:tcPr>
            <w:tcW w:w="1645" w:type="pct"/>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p>
        </w:tc>
        <w:tc>
          <w:tcPr>
            <w:tcW w:w="1747" w:type="pct"/>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r w:rsidRPr="001A3583">
              <w:rPr>
                <w:rFonts w:ascii="Times New Roman" w:hAnsi="Times New Roman" w:cs="Times New Roman"/>
              </w:rPr>
              <w:t>Exit pressure, (kPa)</w:t>
            </w:r>
          </w:p>
        </w:tc>
        <w:tc>
          <w:tcPr>
            <w:tcW w:w="1608" w:type="pct"/>
            <w:gridSpan w:val="2"/>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r w:rsidRPr="001A3583">
              <w:rPr>
                <w:rFonts w:ascii="Times New Roman" w:hAnsi="Times New Roman" w:cs="Times New Roman"/>
              </w:rPr>
              <w:t>10</w:t>
            </w:r>
          </w:p>
        </w:tc>
      </w:tr>
      <w:tr w:rsidR="00B30F53" w:rsidRPr="001A3583" w:rsidTr="00B30F53">
        <w:tc>
          <w:tcPr>
            <w:tcW w:w="1645" w:type="pct"/>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r w:rsidRPr="001A3583">
              <w:rPr>
                <w:rFonts w:ascii="Times New Roman" w:hAnsi="Times New Roman" w:cs="Times New Roman"/>
                <w:i/>
              </w:rPr>
              <w:t>Condenser</w:t>
            </w:r>
          </w:p>
        </w:tc>
        <w:tc>
          <w:tcPr>
            <w:tcW w:w="1747" w:type="pct"/>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p>
        </w:tc>
        <w:tc>
          <w:tcPr>
            <w:tcW w:w="1608" w:type="pct"/>
            <w:gridSpan w:val="2"/>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p>
        </w:tc>
      </w:tr>
      <w:tr w:rsidR="00B30F53" w:rsidRPr="001A3583" w:rsidTr="00B30F53">
        <w:tc>
          <w:tcPr>
            <w:tcW w:w="1645" w:type="pct"/>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p>
        </w:tc>
        <w:tc>
          <w:tcPr>
            <w:tcW w:w="1747" w:type="pct"/>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r w:rsidRPr="001A3583">
              <w:rPr>
                <w:rFonts w:ascii="Times New Roman" w:hAnsi="Times New Roman" w:cs="Times New Roman"/>
                <w:i/>
              </w:rPr>
              <w:t>T</w:t>
            </w:r>
            <w:r w:rsidRPr="001A3583">
              <w:rPr>
                <w:rFonts w:ascii="Times New Roman" w:hAnsi="Times New Roman" w:cs="Times New Roman"/>
                <w:i/>
                <w:vertAlign w:val="subscript"/>
              </w:rPr>
              <w:t>ap</w:t>
            </w:r>
            <w:r w:rsidRPr="001A3583">
              <w:rPr>
                <w:rFonts w:ascii="Times New Roman" w:hAnsi="Times New Roman" w:cs="Times New Roman"/>
                <w:i/>
              </w:rPr>
              <w:t xml:space="preserve"> </w:t>
            </w:r>
            <w:r w:rsidRPr="001A3583">
              <w:rPr>
                <w:rFonts w:ascii="Times New Roman" w:hAnsi="Times New Roman" w:cs="Times New Roman"/>
              </w:rPr>
              <w:t>(°C)</w:t>
            </w:r>
          </w:p>
        </w:tc>
        <w:tc>
          <w:tcPr>
            <w:tcW w:w="1608" w:type="pct"/>
            <w:gridSpan w:val="2"/>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r w:rsidRPr="001A3583">
              <w:rPr>
                <w:rFonts w:ascii="Times New Roman" w:hAnsi="Times New Roman" w:cs="Times New Roman"/>
                <w:u w:val="single"/>
              </w:rPr>
              <w:t>&gt;</w:t>
            </w:r>
            <w:r w:rsidRPr="001A3583">
              <w:rPr>
                <w:rFonts w:ascii="Times New Roman" w:hAnsi="Times New Roman" w:cs="Times New Roman"/>
              </w:rPr>
              <w:t xml:space="preserve"> 5</w:t>
            </w:r>
          </w:p>
        </w:tc>
      </w:tr>
      <w:tr w:rsidR="00B30F53" w:rsidRPr="001A3583" w:rsidTr="00B30F53">
        <w:tc>
          <w:tcPr>
            <w:tcW w:w="1645" w:type="pct"/>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p>
        </w:tc>
        <w:tc>
          <w:tcPr>
            <w:tcW w:w="1747" w:type="pct"/>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b/>
              </w:rPr>
            </w:pPr>
            <w:proofErr w:type="spellStart"/>
            <w:r w:rsidRPr="001A3583">
              <w:rPr>
                <w:rFonts w:ascii="Times New Roman" w:hAnsi="Times New Roman" w:cs="Times New Roman"/>
                <w:i/>
              </w:rPr>
              <w:t>ΔT</w:t>
            </w:r>
            <w:r w:rsidRPr="001A3583">
              <w:rPr>
                <w:rFonts w:ascii="Times New Roman" w:hAnsi="Times New Roman" w:cs="Times New Roman"/>
                <w:i/>
                <w:vertAlign w:val="subscript"/>
              </w:rPr>
              <w:t>pp,C</w:t>
            </w:r>
            <w:proofErr w:type="spellEnd"/>
            <w:r w:rsidRPr="001A3583">
              <w:rPr>
                <w:rFonts w:ascii="Times New Roman" w:hAnsi="Times New Roman" w:cs="Times New Roman"/>
              </w:rPr>
              <w:t xml:space="preserve"> (°C)</w:t>
            </w:r>
          </w:p>
        </w:tc>
        <w:tc>
          <w:tcPr>
            <w:tcW w:w="1608" w:type="pct"/>
            <w:gridSpan w:val="2"/>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r w:rsidRPr="001A3583">
              <w:rPr>
                <w:rFonts w:ascii="Times New Roman" w:hAnsi="Times New Roman" w:cs="Times New Roman"/>
              </w:rPr>
              <w:t>5</w:t>
            </w:r>
          </w:p>
        </w:tc>
      </w:tr>
      <w:tr w:rsidR="00B30F53" w:rsidRPr="001A3583" w:rsidTr="00B30F53">
        <w:tc>
          <w:tcPr>
            <w:tcW w:w="1645" w:type="pct"/>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p>
        </w:tc>
        <w:tc>
          <w:tcPr>
            <w:tcW w:w="1747" w:type="pct"/>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r w:rsidRPr="001A3583">
              <w:rPr>
                <w:rFonts w:ascii="Times New Roman" w:hAnsi="Times New Roman" w:cs="Times New Roman"/>
              </w:rPr>
              <w:t xml:space="preserve"> Inlet Sink Temperature, </w:t>
            </w:r>
            <w:proofErr w:type="spellStart"/>
            <w:r w:rsidRPr="001A3583">
              <w:rPr>
                <w:rFonts w:ascii="Times New Roman" w:hAnsi="Times New Roman" w:cs="Times New Roman"/>
                <w:i/>
              </w:rPr>
              <w:t>T</w:t>
            </w:r>
            <w:r w:rsidRPr="001A3583">
              <w:rPr>
                <w:rFonts w:ascii="Times New Roman" w:hAnsi="Times New Roman" w:cs="Times New Roman"/>
                <w:i/>
                <w:vertAlign w:val="subscript"/>
              </w:rPr>
              <w:t>S,i</w:t>
            </w:r>
            <w:proofErr w:type="spellEnd"/>
            <w:r w:rsidRPr="001A3583">
              <w:rPr>
                <w:rFonts w:ascii="Times New Roman" w:hAnsi="Times New Roman" w:cs="Times New Roman"/>
                <w:i/>
              </w:rPr>
              <w:t xml:space="preserve"> </w:t>
            </w:r>
            <w:r w:rsidRPr="001A3583">
              <w:rPr>
                <w:rFonts w:ascii="Times New Roman" w:hAnsi="Times New Roman" w:cs="Times New Roman"/>
              </w:rPr>
              <w:t>(°C)</w:t>
            </w:r>
          </w:p>
        </w:tc>
        <w:tc>
          <w:tcPr>
            <w:tcW w:w="1608" w:type="pct"/>
            <w:gridSpan w:val="2"/>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r w:rsidRPr="001A3583">
              <w:rPr>
                <w:rFonts w:ascii="Times New Roman" w:hAnsi="Times New Roman" w:cs="Times New Roman"/>
              </w:rPr>
              <w:t>9</w:t>
            </w:r>
          </w:p>
        </w:tc>
      </w:tr>
      <w:tr w:rsidR="00B30F53" w:rsidRPr="001A3583" w:rsidTr="00B30F53">
        <w:tc>
          <w:tcPr>
            <w:tcW w:w="1645" w:type="pct"/>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i/>
              </w:rPr>
            </w:pPr>
            <w:r>
              <w:rPr>
                <w:rFonts w:ascii="Times New Roman" w:hAnsi="Times New Roman" w:cs="Times New Roman"/>
                <w:i/>
              </w:rPr>
              <w:t>Recuperator</w:t>
            </w:r>
          </w:p>
        </w:tc>
        <w:tc>
          <w:tcPr>
            <w:tcW w:w="1747" w:type="pct"/>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p>
        </w:tc>
        <w:tc>
          <w:tcPr>
            <w:tcW w:w="1608" w:type="pct"/>
            <w:gridSpan w:val="2"/>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p>
        </w:tc>
      </w:tr>
      <w:tr w:rsidR="00B30F53" w:rsidRPr="001A3583" w:rsidTr="00B30F53">
        <w:tc>
          <w:tcPr>
            <w:tcW w:w="1645" w:type="pct"/>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p>
        </w:tc>
        <w:tc>
          <w:tcPr>
            <w:tcW w:w="1747" w:type="pct"/>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proofErr w:type="spellStart"/>
            <w:r w:rsidRPr="001A3583">
              <w:rPr>
                <w:rFonts w:ascii="Times New Roman" w:hAnsi="Times New Roman" w:cs="Times New Roman"/>
                <w:i/>
              </w:rPr>
              <w:t>η</w:t>
            </w:r>
            <w:r w:rsidRPr="001A3583">
              <w:rPr>
                <w:rFonts w:ascii="Times New Roman" w:hAnsi="Times New Roman" w:cs="Times New Roman"/>
                <w:i/>
                <w:vertAlign w:val="subscript"/>
              </w:rPr>
              <w:t>r</w:t>
            </w:r>
            <w:proofErr w:type="spellEnd"/>
          </w:p>
        </w:tc>
        <w:tc>
          <w:tcPr>
            <w:tcW w:w="1608" w:type="pct"/>
            <w:gridSpan w:val="2"/>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r w:rsidRPr="001A3583">
              <w:rPr>
                <w:rFonts w:ascii="Times New Roman" w:hAnsi="Times New Roman" w:cs="Times New Roman"/>
              </w:rPr>
              <w:t>90%</w:t>
            </w:r>
          </w:p>
        </w:tc>
      </w:tr>
      <w:tr w:rsidR="00B30F53" w:rsidRPr="001A3583" w:rsidTr="00B30F53">
        <w:tc>
          <w:tcPr>
            <w:tcW w:w="1645" w:type="pct"/>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i/>
              </w:rPr>
            </w:pPr>
            <w:r w:rsidRPr="001A3583">
              <w:rPr>
                <w:rFonts w:ascii="Times New Roman" w:hAnsi="Times New Roman" w:cs="Times New Roman"/>
                <w:i/>
              </w:rPr>
              <w:t>Pump</w:t>
            </w:r>
          </w:p>
        </w:tc>
        <w:tc>
          <w:tcPr>
            <w:tcW w:w="1747" w:type="pct"/>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p>
        </w:tc>
        <w:tc>
          <w:tcPr>
            <w:tcW w:w="1608" w:type="pct"/>
            <w:gridSpan w:val="2"/>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p>
        </w:tc>
      </w:tr>
      <w:tr w:rsidR="00B30F53" w:rsidRPr="001A3583" w:rsidTr="00B30F53">
        <w:tc>
          <w:tcPr>
            <w:tcW w:w="1645" w:type="pct"/>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i/>
              </w:rPr>
            </w:pPr>
          </w:p>
        </w:tc>
        <w:tc>
          <w:tcPr>
            <w:tcW w:w="1747" w:type="pct"/>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r w:rsidRPr="001A3583">
              <w:rPr>
                <w:rFonts w:ascii="Times New Roman" w:hAnsi="Times New Roman" w:cs="Times New Roman"/>
              </w:rPr>
              <w:t xml:space="preserve">Inlet temperature, </w:t>
            </w:r>
            <w:r w:rsidRPr="001A3583">
              <w:rPr>
                <w:rFonts w:ascii="Times New Roman" w:hAnsi="Times New Roman" w:cs="Times New Roman"/>
                <w:i/>
              </w:rPr>
              <w:t>T</w:t>
            </w:r>
            <w:r w:rsidRPr="001A3583">
              <w:rPr>
                <w:rFonts w:ascii="Times New Roman" w:hAnsi="Times New Roman" w:cs="Times New Roman"/>
                <w:i/>
                <w:vertAlign w:val="subscript"/>
              </w:rPr>
              <w:t>3</w:t>
            </w:r>
            <w:r w:rsidRPr="001A3583">
              <w:rPr>
                <w:rFonts w:ascii="Times New Roman" w:hAnsi="Times New Roman" w:cs="Times New Roman"/>
                <w:i/>
              </w:rPr>
              <w:t xml:space="preserve"> </w:t>
            </w:r>
            <w:r w:rsidRPr="001A3583">
              <w:rPr>
                <w:rFonts w:ascii="Times New Roman" w:hAnsi="Times New Roman" w:cs="Times New Roman"/>
              </w:rPr>
              <w:t>(°C)</w:t>
            </w:r>
          </w:p>
        </w:tc>
        <w:tc>
          <w:tcPr>
            <w:tcW w:w="1608" w:type="pct"/>
            <w:gridSpan w:val="2"/>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r w:rsidRPr="001A3583">
              <w:rPr>
                <w:rFonts w:ascii="Times New Roman" w:hAnsi="Times New Roman" w:cs="Times New Roman"/>
              </w:rPr>
              <w:t>Liquid saturation temperature at low pressure</w:t>
            </w:r>
          </w:p>
        </w:tc>
      </w:tr>
      <w:tr w:rsidR="00B30F53" w:rsidRPr="001A3583" w:rsidTr="00B30F53">
        <w:tc>
          <w:tcPr>
            <w:tcW w:w="1645" w:type="pct"/>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i/>
              </w:rPr>
            </w:pPr>
          </w:p>
        </w:tc>
        <w:tc>
          <w:tcPr>
            <w:tcW w:w="1747" w:type="pct"/>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proofErr w:type="spellStart"/>
            <w:r w:rsidRPr="001A3583">
              <w:rPr>
                <w:rFonts w:ascii="Times New Roman" w:hAnsi="Times New Roman" w:cs="Times New Roman"/>
                <w:i/>
              </w:rPr>
              <w:t>η</w:t>
            </w:r>
            <w:r w:rsidRPr="001A3583">
              <w:rPr>
                <w:rFonts w:ascii="Times New Roman" w:hAnsi="Times New Roman" w:cs="Times New Roman"/>
                <w:i/>
                <w:vertAlign w:val="subscript"/>
              </w:rPr>
              <w:t>p</w:t>
            </w:r>
            <w:proofErr w:type="spellEnd"/>
          </w:p>
        </w:tc>
        <w:tc>
          <w:tcPr>
            <w:tcW w:w="1608" w:type="pct"/>
            <w:gridSpan w:val="2"/>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r w:rsidRPr="001A3583">
              <w:rPr>
                <w:rFonts w:ascii="Times New Roman" w:hAnsi="Times New Roman" w:cs="Times New Roman"/>
              </w:rPr>
              <w:t>75%</w:t>
            </w:r>
          </w:p>
        </w:tc>
      </w:tr>
      <w:tr w:rsidR="00B30F53" w:rsidRPr="001A3583" w:rsidTr="00B30F53">
        <w:tc>
          <w:tcPr>
            <w:tcW w:w="1645" w:type="pct"/>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r w:rsidRPr="001A3583">
              <w:rPr>
                <w:rFonts w:ascii="Times New Roman" w:hAnsi="Times New Roman" w:cs="Times New Roman"/>
                <w:i/>
              </w:rPr>
              <w:t>Heat Exchanger/Economizer</w:t>
            </w:r>
          </w:p>
        </w:tc>
        <w:tc>
          <w:tcPr>
            <w:tcW w:w="1747" w:type="pct"/>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p>
        </w:tc>
        <w:tc>
          <w:tcPr>
            <w:tcW w:w="1608" w:type="pct"/>
            <w:gridSpan w:val="2"/>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p>
        </w:tc>
      </w:tr>
      <w:tr w:rsidR="00B30F53" w:rsidRPr="001A3583" w:rsidTr="00B30F53">
        <w:tc>
          <w:tcPr>
            <w:tcW w:w="1645" w:type="pct"/>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p>
        </w:tc>
        <w:tc>
          <w:tcPr>
            <w:tcW w:w="1747" w:type="pct"/>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i/>
              </w:rPr>
            </w:pPr>
            <w:r w:rsidRPr="001A3583">
              <w:rPr>
                <w:rFonts w:ascii="Times New Roman" w:hAnsi="Times New Roman" w:cs="Times New Roman"/>
                <w:i/>
              </w:rPr>
              <w:t>T</w:t>
            </w:r>
            <w:r w:rsidRPr="001A3583">
              <w:rPr>
                <w:rFonts w:ascii="Times New Roman" w:hAnsi="Times New Roman" w:cs="Times New Roman"/>
                <w:i/>
                <w:vertAlign w:val="subscript"/>
              </w:rPr>
              <w:t xml:space="preserve">ap </w:t>
            </w:r>
            <w:r w:rsidRPr="001A3583">
              <w:rPr>
                <w:rFonts w:ascii="Times New Roman" w:hAnsi="Times New Roman" w:cs="Times New Roman"/>
              </w:rPr>
              <w:t>(K)</w:t>
            </w:r>
          </w:p>
        </w:tc>
        <w:tc>
          <w:tcPr>
            <w:tcW w:w="1608" w:type="pct"/>
            <w:gridSpan w:val="2"/>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r w:rsidRPr="001A3583">
              <w:rPr>
                <w:rFonts w:ascii="Times New Roman" w:hAnsi="Times New Roman" w:cs="Times New Roman"/>
                <w:u w:val="single"/>
              </w:rPr>
              <w:t>&gt;</w:t>
            </w:r>
            <w:r w:rsidRPr="001A3583">
              <w:rPr>
                <w:rFonts w:ascii="Times New Roman" w:hAnsi="Times New Roman" w:cs="Times New Roman"/>
              </w:rPr>
              <w:t xml:space="preserve"> 5</w:t>
            </w:r>
          </w:p>
        </w:tc>
      </w:tr>
      <w:tr w:rsidR="00B30F53" w:rsidRPr="001A3583" w:rsidTr="00B30F53">
        <w:tc>
          <w:tcPr>
            <w:tcW w:w="1645" w:type="pct"/>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p>
        </w:tc>
        <w:tc>
          <w:tcPr>
            <w:tcW w:w="1747" w:type="pct"/>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proofErr w:type="spellStart"/>
            <w:r w:rsidRPr="001A3583">
              <w:rPr>
                <w:rFonts w:ascii="Times New Roman" w:hAnsi="Times New Roman" w:cs="Times New Roman"/>
                <w:i/>
              </w:rPr>
              <w:t>ΔT</w:t>
            </w:r>
            <w:r w:rsidRPr="001A3583">
              <w:rPr>
                <w:rFonts w:ascii="Times New Roman" w:hAnsi="Times New Roman" w:cs="Times New Roman"/>
                <w:i/>
                <w:vertAlign w:val="subscript"/>
              </w:rPr>
              <w:t>pp,H</w:t>
            </w:r>
            <w:proofErr w:type="spellEnd"/>
            <w:r w:rsidRPr="001A3583">
              <w:rPr>
                <w:rFonts w:ascii="Times New Roman" w:hAnsi="Times New Roman" w:cs="Times New Roman"/>
              </w:rPr>
              <w:t xml:space="preserve"> (°C)</w:t>
            </w:r>
          </w:p>
        </w:tc>
        <w:tc>
          <w:tcPr>
            <w:tcW w:w="1608" w:type="pct"/>
            <w:gridSpan w:val="2"/>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r w:rsidRPr="001A3583">
              <w:rPr>
                <w:rFonts w:ascii="Times New Roman" w:hAnsi="Times New Roman" w:cs="Times New Roman"/>
              </w:rPr>
              <w:t>5</w:t>
            </w:r>
          </w:p>
        </w:tc>
      </w:tr>
      <w:tr w:rsidR="00B30F53" w:rsidRPr="001A3583" w:rsidTr="00B30F53">
        <w:tc>
          <w:tcPr>
            <w:tcW w:w="1645" w:type="pct"/>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p>
        </w:tc>
        <w:tc>
          <w:tcPr>
            <w:tcW w:w="1747" w:type="pct"/>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r w:rsidRPr="001A3583">
              <w:rPr>
                <w:rFonts w:ascii="Times New Roman" w:hAnsi="Times New Roman" w:cs="Times New Roman"/>
              </w:rPr>
              <w:t xml:space="preserve">Inlet Source Temperature, </w:t>
            </w:r>
            <w:proofErr w:type="spellStart"/>
            <w:r w:rsidRPr="001A3583">
              <w:rPr>
                <w:rFonts w:ascii="Times New Roman" w:hAnsi="Times New Roman" w:cs="Times New Roman"/>
                <w:i/>
              </w:rPr>
              <w:t>T</w:t>
            </w:r>
            <w:r w:rsidRPr="001A3583">
              <w:rPr>
                <w:rFonts w:ascii="Times New Roman" w:hAnsi="Times New Roman" w:cs="Times New Roman"/>
                <w:i/>
                <w:vertAlign w:val="subscript"/>
              </w:rPr>
              <w:t>H,i</w:t>
            </w:r>
            <w:proofErr w:type="spellEnd"/>
            <w:r w:rsidRPr="001A3583">
              <w:rPr>
                <w:rFonts w:ascii="Times New Roman" w:hAnsi="Times New Roman" w:cs="Times New Roman"/>
                <w:i/>
              </w:rPr>
              <w:t xml:space="preserve"> </w:t>
            </w:r>
            <w:r w:rsidRPr="001A3583">
              <w:rPr>
                <w:rFonts w:ascii="Times New Roman" w:hAnsi="Times New Roman" w:cs="Times New Roman"/>
              </w:rPr>
              <w:t>(°C)</w:t>
            </w:r>
          </w:p>
        </w:tc>
        <w:tc>
          <w:tcPr>
            <w:tcW w:w="1608" w:type="pct"/>
            <w:gridSpan w:val="2"/>
            <w:tcBorders>
              <w:top w:val="nil"/>
              <w:left w:val="nil"/>
              <w:bottom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r w:rsidRPr="001A3583">
              <w:rPr>
                <w:rFonts w:ascii="Times New Roman" w:hAnsi="Times New Roman" w:cs="Times New Roman"/>
              </w:rPr>
              <w:t xml:space="preserve">Per </w:t>
            </w:r>
            <w:r w:rsidRPr="00A40F56">
              <w:rPr>
                <w:rFonts w:cs="Times New Roman"/>
              </w:rPr>
              <w:fldChar w:fldCharType="begin"/>
            </w:r>
            <w:r w:rsidRPr="00A40F56">
              <w:rPr>
                <w:rFonts w:ascii="Times New Roman" w:hAnsi="Times New Roman" w:cs="Times New Roman"/>
              </w:rPr>
              <w:instrText xml:space="preserve"> REF _Ref403577359 \h  \* MERGEFORMAT </w:instrText>
            </w:r>
            <w:r w:rsidRPr="00A40F56">
              <w:rPr>
                <w:rFonts w:cs="Times New Roman"/>
              </w:rPr>
            </w:r>
            <w:r w:rsidRPr="00A40F56">
              <w:rPr>
                <w:rFonts w:cs="Times New Roman"/>
              </w:rPr>
              <w:fldChar w:fldCharType="separate"/>
            </w:r>
            <w:r w:rsidRPr="00A40F56">
              <w:rPr>
                <w:rFonts w:cs="Times New Roman"/>
              </w:rPr>
              <w:fldChar w:fldCharType="begin"/>
            </w:r>
            <w:r w:rsidRPr="00A40F56">
              <w:rPr>
                <w:rFonts w:ascii="Times New Roman" w:hAnsi="Times New Roman" w:cs="Times New Roman"/>
              </w:rPr>
              <w:instrText xml:space="preserve"> REF _Ref414014296 \h </w:instrText>
            </w:r>
            <w:r>
              <w:rPr>
                <w:rFonts w:ascii="Times New Roman" w:hAnsi="Times New Roman" w:cs="Times New Roman"/>
              </w:rPr>
              <w:instrText xml:space="preserve"> \* MERGEFORMAT </w:instrText>
            </w:r>
            <w:r w:rsidRPr="00A40F56">
              <w:rPr>
                <w:rFonts w:cs="Times New Roman"/>
              </w:rPr>
            </w:r>
            <w:r w:rsidRPr="00A40F56">
              <w:rPr>
                <w:rFonts w:cs="Times New Roman"/>
              </w:rPr>
              <w:fldChar w:fldCharType="separate"/>
            </w:r>
            <w:r w:rsidRPr="00A40F56">
              <w:rPr>
                <w:rFonts w:ascii="Times New Roman" w:hAnsi="Times New Roman" w:cs="Times New Roman"/>
              </w:rPr>
              <w:t xml:space="preserve">Figure </w:t>
            </w:r>
            <w:r w:rsidRPr="00A40F56">
              <w:rPr>
                <w:rFonts w:ascii="Times New Roman" w:hAnsi="Times New Roman" w:cs="Times New Roman"/>
                <w:noProof/>
              </w:rPr>
              <w:t>3</w:t>
            </w:r>
            <w:r w:rsidRPr="00A40F56">
              <w:rPr>
                <w:rFonts w:cs="Times New Roman"/>
              </w:rPr>
              <w:fldChar w:fldCharType="end"/>
            </w:r>
            <w:r w:rsidRPr="00A40F56">
              <w:rPr>
                <w:rFonts w:ascii="Times New Roman" w:hAnsi="Times New Roman" w:cs="Times New Roman"/>
              </w:rPr>
              <w:t xml:space="preserve"> </w:t>
            </w:r>
            <w:r w:rsidRPr="00A40F56">
              <w:rPr>
                <w:rFonts w:cs="Times New Roman"/>
              </w:rPr>
              <w:fldChar w:fldCharType="end"/>
            </w:r>
          </w:p>
        </w:tc>
      </w:tr>
      <w:tr w:rsidR="00B30F53" w:rsidRPr="001A3583" w:rsidTr="00B30F53">
        <w:tc>
          <w:tcPr>
            <w:tcW w:w="1645" w:type="pct"/>
            <w:tcBorders>
              <w:top w:val="nil"/>
              <w:left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p>
        </w:tc>
        <w:tc>
          <w:tcPr>
            <w:tcW w:w="1747" w:type="pct"/>
            <w:tcBorders>
              <w:top w:val="nil"/>
              <w:left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r w:rsidRPr="001A3583">
              <w:rPr>
                <w:rFonts w:ascii="Times New Roman" w:hAnsi="Times New Roman" w:cs="Times New Roman"/>
              </w:rPr>
              <w:t xml:space="preserve">Minimum exit Source Temperature, </w:t>
            </w:r>
            <w:proofErr w:type="spellStart"/>
            <w:r w:rsidRPr="001A3583">
              <w:rPr>
                <w:rFonts w:ascii="Times New Roman" w:hAnsi="Times New Roman" w:cs="Times New Roman"/>
                <w:i/>
              </w:rPr>
              <w:t>T</w:t>
            </w:r>
            <w:r w:rsidRPr="001A3583">
              <w:rPr>
                <w:rFonts w:ascii="Times New Roman" w:hAnsi="Times New Roman" w:cs="Times New Roman"/>
                <w:i/>
                <w:vertAlign w:val="subscript"/>
              </w:rPr>
              <w:t>H,o_min</w:t>
            </w:r>
            <w:proofErr w:type="spellEnd"/>
            <w:r w:rsidRPr="001A3583">
              <w:rPr>
                <w:rFonts w:ascii="Times New Roman" w:hAnsi="Times New Roman" w:cs="Times New Roman"/>
                <w:i/>
              </w:rPr>
              <w:t xml:space="preserve"> </w:t>
            </w:r>
            <w:r w:rsidRPr="001A3583">
              <w:rPr>
                <w:rFonts w:ascii="Times New Roman" w:hAnsi="Times New Roman" w:cs="Times New Roman"/>
              </w:rPr>
              <w:t>(°C)</w:t>
            </w:r>
          </w:p>
        </w:tc>
        <w:tc>
          <w:tcPr>
            <w:tcW w:w="1608" w:type="pct"/>
            <w:gridSpan w:val="2"/>
            <w:tcBorders>
              <w:top w:val="nil"/>
              <w:left w:val="nil"/>
              <w:right w:val="nil"/>
            </w:tcBorders>
            <w:vAlign w:val="center"/>
          </w:tcPr>
          <w:p w:rsidR="00B30F53" w:rsidRPr="001A3583" w:rsidRDefault="00B30F53" w:rsidP="00B30F53">
            <w:pPr>
              <w:pStyle w:val="Caption"/>
              <w:spacing w:after="0"/>
              <w:contextualSpacing/>
              <w:rPr>
                <w:rFonts w:ascii="Times New Roman" w:hAnsi="Times New Roman" w:cs="Times New Roman"/>
              </w:rPr>
            </w:pPr>
            <w:r w:rsidRPr="001A3583">
              <w:rPr>
                <w:rFonts w:ascii="Times New Roman" w:hAnsi="Times New Roman" w:cs="Times New Roman"/>
              </w:rPr>
              <w:t>165</w:t>
            </w:r>
          </w:p>
        </w:tc>
      </w:tr>
    </w:tbl>
    <w:p w:rsidR="005E20C3" w:rsidRPr="004850ED" w:rsidRDefault="005E20C3" w:rsidP="005E20C3">
      <w:pPr>
        <w:pStyle w:val="Tabletitle"/>
      </w:pPr>
      <w:bookmarkStart w:id="18" w:name="_Ref378590612"/>
      <w:proofErr w:type="gramStart"/>
      <w:r w:rsidRPr="004850ED">
        <w:t xml:space="preserve">Table </w:t>
      </w:r>
      <w:r w:rsidR="001C7E9D">
        <w:fldChar w:fldCharType="begin"/>
      </w:r>
      <w:r w:rsidR="001C7E9D">
        <w:instrText xml:space="preserve"> SEQ Table \* ARABIC </w:instrText>
      </w:r>
      <w:r w:rsidR="001C7E9D">
        <w:fldChar w:fldCharType="separate"/>
      </w:r>
      <w:r w:rsidR="00AA6EE9">
        <w:rPr>
          <w:noProof/>
        </w:rPr>
        <w:t>2</w:t>
      </w:r>
      <w:r w:rsidR="001C7E9D">
        <w:rPr>
          <w:noProof/>
        </w:rPr>
        <w:fldChar w:fldCharType="end"/>
      </w:r>
      <w:bookmarkEnd w:id="17"/>
      <w:bookmarkEnd w:id="18"/>
      <w:r>
        <w:t>:</w:t>
      </w:r>
      <w:r w:rsidRPr="004850ED">
        <w:t xml:space="preserve"> Operating parameters for the thermodynamic cycles.</w:t>
      </w:r>
      <w:proofErr w:type="gramEnd"/>
    </w:p>
    <w:p w:rsidR="00CD028B" w:rsidRPr="00F732C6" w:rsidRDefault="00CD028B" w:rsidP="00CD028B">
      <w:pPr>
        <w:pStyle w:val="Heading2"/>
        <w:rPr>
          <w:szCs w:val="20"/>
        </w:rPr>
      </w:pPr>
      <w:r w:rsidRPr="00F732C6">
        <w:rPr>
          <w:szCs w:val="20"/>
        </w:rPr>
        <w:t>Marine Diesel Generator</w:t>
      </w:r>
    </w:p>
    <w:p w:rsidR="00CD028B" w:rsidRPr="00F732C6" w:rsidRDefault="00CD028B" w:rsidP="00CD028B">
      <w:pPr>
        <w:pStyle w:val="Paragraph"/>
      </w:pPr>
      <w:r w:rsidRPr="00F732C6">
        <w:t>In order to measure the CO</w:t>
      </w:r>
      <w:r w:rsidRPr="00F732C6">
        <w:rPr>
          <w:vertAlign w:val="subscript"/>
        </w:rPr>
        <w:t>2</w:t>
      </w:r>
      <w:r w:rsidRPr="00F732C6">
        <w:t xml:space="preserve"> benefit of a marine WHRS connected to the vessel grid, a </w:t>
      </w:r>
      <w:r w:rsidRPr="00F732C6">
        <w:lastRenderedPageBreak/>
        <w:t xml:space="preserve">simple model of a diesel generator </w:t>
      </w:r>
      <w:r w:rsidR="005D23AB">
        <w:t>wa</w:t>
      </w:r>
      <w:r w:rsidRPr="00F732C6">
        <w:t xml:space="preserve">s used. The generator </w:t>
      </w:r>
      <w:r w:rsidR="005D23AB">
        <w:t>wa</w:t>
      </w:r>
      <w:r w:rsidRPr="00F732C6">
        <w:t xml:space="preserve">s </w:t>
      </w:r>
      <w:r>
        <w:t>a</w:t>
      </w:r>
      <w:r w:rsidRPr="00F732C6">
        <w:t xml:space="preserve"> </w:t>
      </w:r>
      <w:proofErr w:type="spellStart"/>
      <w:r w:rsidRPr="00F732C6">
        <w:t>Wärtsilä</w:t>
      </w:r>
      <w:proofErr w:type="spellEnd"/>
      <w:r w:rsidRPr="00F732C6">
        <w:t xml:space="preserve"> 16V32 </w:t>
      </w:r>
      <w:proofErr w:type="spellStart"/>
      <w:r w:rsidRPr="00F732C6">
        <w:t>genset</w:t>
      </w:r>
      <w:proofErr w:type="spellEnd"/>
      <w:r>
        <w:t xml:space="preserve"> that</w:t>
      </w:r>
      <w:r w:rsidRPr="00F732C6">
        <w:t xml:space="preserve"> works with MDO and has a fuel consumption of 176 </w:t>
      </w:r>
      <w:r w:rsidR="005A4E0D" w:rsidRPr="005A4E0D">
        <w:t>g kWh</w:t>
      </w:r>
      <w:r w:rsidR="005A4E0D" w:rsidRPr="005A4E0D">
        <w:rPr>
          <w:vertAlign w:val="superscript"/>
        </w:rPr>
        <w:t>-1</w:t>
      </w:r>
      <w:r>
        <w:t xml:space="preserve"> </w:t>
      </w:r>
      <w:r w:rsidRPr="00F732C6">
        <w:fldChar w:fldCharType="begin" w:fldLock="1"/>
      </w:r>
      <w:r w:rsidR="00BA1648">
        <w:instrText>ADDIN CSL_CITATION { "citationItems" : [ { "id" : "ITEM-1", "itemData" : { "URL" : "http://www.wartsila.com/en/engines/gensets/generating-sets", "accessed" : { "date-parts" : [ [ "2014", "9", "24" ] ] }, "author" : [ { "dropping-particle" : "", "family" : "W\u00e4rtsil\u00e4", "given" : "", "non-dropping-particle" : "", "parse-names" : false, "suffix" : "" } ], "container-title" : "W\u00e4rtsil\u00e4 32 generating set", "id" : "ITEM-1", "issued" : { "date-parts" : [ [ "2013" ] ] }, "note" : "Diesel generators commonly used in Marine environments. Each generator is used depending in the energy consumed.", "page" : "1", "title" : "W\u00e4rtsil\u00e4 Generating Sets Gensets", "type" : "webpage" }, "uris" : [ "http://www.mendeley.com/documents/?uuid=575c40c9-ecc7-4f99-b9c9-520aa21004b5" ] } ], "mendeley" : { "formattedCitation" : "(W\u00e4rtsil\u00e4 2013)", "plainTextFormattedCitation" : "(W\u00e4rtsil\u00e4 2013)", "previouslyFormattedCitation" : "(W\u00e4rtsil\u00e4 2013)" }, "properties" : { "noteIndex" : 0 }, "schema" : "https://github.com/citation-style-language/schema/raw/master/csl-citation.json" }</w:instrText>
      </w:r>
      <w:r w:rsidRPr="00F732C6">
        <w:fldChar w:fldCharType="separate"/>
      </w:r>
      <w:r w:rsidRPr="00CD028B">
        <w:rPr>
          <w:noProof/>
        </w:rPr>
        <w:t>(Wärtsilä 2013)</w:t>
      </w:r>
      <w:r w:rsidRPr="00F732C6">
        <w:fldChar w:fldCharType="end"/>
      </w:r>
      <w:r w:rsidRPr="00F732C6">
        <w:t xml:space="preserve">. </w:t>
      </w:r>
      <w:r>
        <w:t>I</w:t>
      </w:r>
      <w:r w:rsidRPr="00F732C6">
        <w:t xml:space="preserve">t </w:t>
      </w:r>
      <w:r>
        <w:t>was</w:t>
      </w:r>
      <w:r w:rsidRPr="00F732C6">
        <w:t xml:space="preserve"> assumed that the electricity generated by the WHRS will reduce the </w:t>
      </w:r>
      <w:proofErr w:type="spellStart"/>
      <w:r w:rsidRPr="00F732C6">
        <w:t>genset’s</w:t>
      </w:r>
      <w:proofErr w:type="spellEnd"/>
      <w:r w:rsidRPr="00F732C6">
        <w:t xml:space="preserve"> work load</w:t>
      </w:r>
      <w:r>
        <w:t>, hence its fuel consumption:</w:t>
      </w:r>
      <w:r w:rsidRPr="00F732C6">
        <w:t xml:space="preserve">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
        <w:gridCol w:w="7371"/>
        <w:gridCol w:w="952"/>
      </w:tblGrid>
      <w:tr w:rsidR="00CD028B" w:rsidRPr="00CD028B" w:rsidTr="00CD028B">
        <w:trPr>
          <w:jc w:val="center"/>
        </w:trPr>
        <w:tc>
          <w:tcPr>
            <w:tcW w:w="225" w:type="pct"/>
          </w:tcPr>
          <w:p w:rsidR="00CD028B" w:rsidRPr="00CD028B" w:rsidRDefault="00CD028B" w:rsidP="000C4D22">
            <w:pPr>
              <w:rPr>
                <w:rFonts w:ascii="Times New Roman" w:hAnsi="Times New Roman" w:cs="Times New Roman"/>
                <w:szCs w:val="20"/>
              </w:rPr>
            </w:pPr>
          </w:p>
        </w:tc>
        <w:tc>
          <w:tcPr>
            <w:tcW w:w="4229" w:type="pct"/>
          </w:tcPr>
          <w:p w:rsidR="00CD028B" w:rsidRPr="00CD028B" w:rsidRDefault="00CD028B" w:rsidP="000C4D22">
            <w:pPr>
              <w:jc w:val="center"/>
              <w:rPr>
                <w:rFonts w:ascii="Times New Roman" w:hAnsi="Times New Roman" w:cs="Times New Roman"/>
                <w:szCs w:val="20"/>
              </w:rPr>
            </w:pPr>
            <m:oMathPara>
              <m:oMathParaPr>
                <m:jc m:val="center"/>
              </m:oMathParaPr>
              <m:oMath>
                <m:r>
                  <w:rPr>
                    <w:rFonts w:ascii="Cambria Math" w:hAnsi="Cambria Math" w:cs="Times New Roman"/>
                    <w:szCs w:val="20"/>
                  </w:rPr>
                  <m:t>CS=</m:t>
                </m:r>
                <m:f>
                  <m:fPr>
                    <m:ctrlPr>
                      <w:rPr>
                        <w:rFonts w:ascii="Cambria Math" w:hAnsi="Cambria Math" w:cs="Times New Roman"/>
                        <w:i/>
                        <w:szCs w:val="20"/>
                      </w:rPr>
                    </m:ctrlPr>
                  </m:fPr>
                  <m:num>
                    <m:sSub>
                      <m:sSubPr>
                        <m:ctrlPr>
                          <w:rPr>
                            <w:rFonts w:ascii="Cambria Math" w:hAnsi="Cambria Math" w:cs="Times New Roman"/>
                            <w:i/>
                            <w:szCs w:val="20"/>
                          </w:rPr>
                        </m:ctrlPr>
                      </m:sSubPr>
                      <m:e>
                        <m:acc>
                          <m:accPr>
                            <m:chr m:val="̇"/>
                            <m:ctrlPr>
                              <w:rPr>
                                <w:rFonts w:ascii="Cambria Math" w:hAnsi="Cambria Math" w:cs="Times New Roman"/>
                                <w:i/>
                                <w:szCs w:val="20"/>
                              </w:rPr>
                            </m:ctrlPr>
                          </m:accPr>
                          <m:e>
                            <m:r>
                              <w:rPr>
                                <w:rFonts w:ascii="Cambria Math" w:hAnsi="Cambria Math" w:cs="Times New Roman"/>
                                <w:szCs w:val="20"/>
                              </w:rPr>
                              <m:t>W</m:t>
                            </m:r>
                          </m:e>
                        </m:acc>
                      </m:e>
                      <m:sub>
                        <m:r>
                          <w:rPr>
                            <w:rFonts w:ascii="Cambria Math" w:hAnsi="Cambria Math" w:cs="Times New Roman"/>
                            <w:szCs w:val="20"/>
                          </w:rPr>
                          <m:t>e</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SFOC</m:t>
                        </m:r>
                      </m:e>
                      <m:sub>
                        <m:r>
                          <w:rPr>
                            <w:rFonts w:ascii="Cambria Math" w:hAnsi="Cambria Math" w:cs="Times New Roman"/>
                            <w:szCs w:val="20"/>
                          </w:rPr>
                          <m:t>g</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C</m:t>
                        </m:r>
                      </m:e>
                      <m:sub>
                        <m:r>
                          <w:rPr>
                            <w:rFonts w:ascii="Cambria Math" w:hAnsi="Cambria Math" w:cs="Times New Roman"/>
                            <w:szCs w:val="20"/>
                          </w:rPr>
                          <m:t>F</m:t>
                        </m:r>
                      </m:sub>
                    </m:sSub>
                  </m:num>
                  <m:den>
                    <m:sSup>
                      <m:sSupPr>
                        <m:ctrlPr>
                          <w:rPr>
                            <w:rFonts w:ascii="Cambria Math" w:hAnsi="Cambria Math" w:cs="Times New Roman"/>
                            <w:i/>
                            <w:szCs w:val="20"/>
                          </w:rPr>
                        </m:ctrlPr>
                      </m:sSupPr>
                      <m:e>
                        <m:r>
                          <w:rPr>
                            <w:rFonts w:ascii="Cambria Math" w:hAnsi="Cambria Math" w:cs="Times New Roman"/>
                            <w:szCs w:val="20"/>
                          </w:rPr>
                          <m:t>10</m:t>
                        </m:r>
                      </m:e>
                      <m:sup>
                        <m:r>
                          <w:rPr>
                            <w:rFonts w:ascii="Cambria Math" w:hAnsi="Cambria Math" w:cs="Times New Roman"/>
                            <w:szCs w:val="20"/>
                          </w:rPr>
                          <m:t>6</m:t>
                        </m:r>
                      </m:sup>
                    </m:sSup>
                  </m:den>
                </m:f>
              </m:oMath>
            </m:oMathPara>
          </w:p>
        </w:tc>
        <w:tc>
          <w:tcPr>
            <w:tcW w:w="546" w:type="pct"/>
          </w:tcPr>
          <w:p w:rsidR="00CD028B" w:rsidRPr="00CD028B" w:rsidRDefault="00CD028B" w:rsidP="000C4D22">
            <w:pPr>
              <w:keepNext/>
              <w:jc w:val="right"/>
              <w:rPr>
                <w:rFonts w:ascii="Times New Roman" w:hAnsi="Times New Roman" w:cs="Times New Roman"/>
                <w:szCs w:val="20"/>
              </w:rPr>
            </w:pPr>
            <w:r w:rsidRPr="00CD028B">
              <w:rPr>
                <w:rFonts w:ascii="Times New Roman" w:hAnsi="Times New Roman" w:cs="Times New Roman"/>
                <w:szCs w:val="20"/>
              </w:rPr>
              <w:t xml:space="preserve">( </w:t>
            </w:r>
            <w:r w:rsidRPr="00CD028B">
              <w:rPr>
                <w:szCs w:val="20"/>
              </w:rPr>
              <w:fldChar w:fldCharType="begin"/>
            </w:r>
            <w:r w:rsidRPr="00CD028B">
              <w:rPr>
                <w:rFonts w:ascii="Times New Roman" w:hAnsi="Times New Roman" w:cs="Times New Roman"/>
                <w:szCs w:val="20"/>
              </w:rPr>
              <w:instrText xml:space="preserve"> SEQ [ \* ARABIC </w:instrText>
            </w:r>
            <w:r w:rsidRPr="00CD028B">
              <w:rPr>
                <w:szCs w:val="20"/>
              </w:rPr>
              <w:fldChar w:fldCharType="separate"/>
            </w:r>
            <w:r w:rsidR="00AA6EE9">
              <w:rPr>
                <w:rFonts w:ascii="Times New Roman" w:hAnsi="Times New Roman" w:cs="Times New Roman"/>
                <w:noProof/>
                <w:szCs w:val="20"/>
              </w:rPr>
              <w:t>15</w:t>
            </w:r>
            <w:r w:rsidRPr="00CD028B">
              <w:rPr>
                <w:szCs w:val="20"/>
              </w:rPr>
              <w:fldChar w:fldCharType="end"/>
            </w:r>
            <w:r w:rsidRPr="00CD028B">
              <w:rPr>
                <w:rFonts w:ascii="Times New Roman" w:hAnsi="Times New Roman" w:cs="Times New Roman"/>
                <w:szCs w:val="20"/>
              </w:rPr>
              <w:t xml:space="preserve"> )</w:t>
            </w:r>
          </w:p>
        </w:tc>
      </w:tr>
    </w:tbl>
    <w:p w:rsidR="00CD028B" w:rsidRPr="00F732C6" w:rsidRDefault="00CD028B" w:rsidP="00CD028B">
      <w:pPr>
        <w:pStyle w:val="Newparagraph"/>
      </w:pPr>
      <w:r w:rsidRPr="00F732C6">
        <w:t xml:space="preserve">Where </w:t>
      </w:r>
      <w:proofErr w:type="spellStart"/>
      <w:r w:rsidRPr="00F732C6">
        <w:rPr>
          <w:i/>
        </w:rPr>
        <w:t>SFOC</w:t>
      </w:r>
      <w:r w:rsidRPr="00F732C6">
        <w:rPr>
          <w:i/>
          <w:vertAlign w:val="subscript"/>
        </w:rPr>
        <w:t>g</w:t>
      </w:r>
      <w:proofErr w:type="spellEnd"/>
      <w:r w:rsidRPr="00F732C6">
        <w:rPr>
          <w:i/>
        </w:rPr>
        <w:t xml:space="preserve"> </w:t>
      </w:r>
      <w:r w:rsidRPr="00F732C6">
        <w:t xml:space="preserve">is the fuel consumption of the diesel generator in </w:t>
      </w:r>
      <w:r w:rsidR="005A4E0D" w:rsidRPr="005A4E0D">
        <w:t>g kWh</w:t>
      </w:r>
      <w:r w:rsidR="005A4E0D" w:rsidRPr="005A4E0D">
        <w:rPr>
          <w:vertAlign w:val="superscript"/>
        </w:rPr>
        <w:t>-1</w:t>
      </w:r>
      <w:r w:rsidRPr="00F732C6">
        <w:t xml:space="preserve"> and </w:t>
      </w:r>
      <w:r w:rsidRPr="00F732C6">
        <w:rPr>
          <w:i/>
        </w:rPr>
        <w:t>C</w:t>
      </w:r>
      <w:r w:rsidRPr="00F732C6">
        <w:rPr>
          <w:i/>
          <w:vertAlign w:val="subscript"/>
        </w:rPr>
        <w:t>F</w:t>
      </w:r>
      <w:r w:rsidRPr="00F732C6">
        <w:t xml:space="preserve"> </w:t>
      </w:r>
      <w:r>
        <w:t xml:space="preserve">is the </w:t>
      </w:r>
      <w:r w:rsidRPr="00F732C6">
        <w:t xml:space="preserve">carbon conversion factor </w:t>
      </w:r>
      <w:r>
        <w:t>set at</w:t>
      </w:r>
      <w:r w:rsidRPr="00F732C6">
        <w:t xml:space="preserve"> 3.206 Ton</w:t>
      </w:r>
      <w:r>
        <w:t>ne</w:t>
      </w:r>
      <w:r w:rsidRPr="00F732C6">
        <w:t xml:space="preserve"> of CO</w:t>
      </w:r>
      <w:r w:rsidRPr="00F732C6">
        <w:rPr>
          <w:vertAlign w:val="subscript"/>
        </w:rPr>
        <w:t>2</w:t>
      </w:r>
      <w:r w:rsidRPr="00F732C6">
        <w:t xml:space="preserve"> per </w:t>
      </w:r>
      <w:r>
        <w:t>t</w:t>
      </w:r>
      <w:r w:rsidRPr="00F732C6">
        <w:t>on</w:t>
      </w:r>
      <w:r>
        <w:t>ne</w:t>
      </w:r>
      <w:r w:rsidRPr="00F732C6">
        <w:t xml:space="preserve"> of MDO is used </w:t>
      </w:r>
      <w:r w:rsidRPr="00F732C6">
        <w:fldChar w:fldCharType="begin" w:fldLock="1"/>
      </w:r>
      <w:r w:rsidR="00BA1648">
        <w:instrText>ADDIN CSL_CITATION { "citationItems" : [ { "id" : "ITEM-1", "itemData" : { "abstract" : "The Marine Environment Protection Committee, at its fifty-ninth session (13 to 17 July 2009), recognized the need to develop an energy efficiency design index for new ships in order to stimulate innova tion and technical deve lopment of all elemen ts influencing the energy efficiency of a ship from its design ph ase. The Committee, being mindful that the applicability of the EEDI formula to all categories of ships and the feasibility and applicability of the technical parameters (i.e. f eff(i) and f w ) in the EEDI formula need to be further refined to improve the method of calculation of the EEDI; ag reed to circulate the In terim Guidelines on the method of calculation of the energy efficiency desi gn index for new ships, as set out in the annex.", "author" : [ { "dropping-particle" : "", "family" : "International Maritime Organization", "given" : "", "non-dropping-particle" : "", "parse-names" : false, "suffix" : "" } ], "id" : "ITEM-1", "issued" : { "date-parts" : [ [ "2009" ] ] }, "number-of-pages" : "10", "publisher" : "International Maritime Organization", "publisher-place" : "London", "title" : "MEPC.1/Circ.681 - Interim Guidelines On The Method Of Calculation Of The Energy Efficiency Design Index For New Ships", "type" : "report" }, "uris" : [ "http://www.mendeley.com/documents/?uuid=6638de15-0153-4740-9b0c-d2e818e8e33e" ] } ], "mendeley" : { "formattedCitation" : "(International Maritime Organization 2009c)", "plainTextFormattedCitation" : "(International Maritime Organization 2009c)", "previouslyFormattedCitation" : "(International Maritime Organization 2009c)" }, "properties" : { "noteIndex" : 0 }, "schema" : "https://github.com/citation-style-language/schema/raw/master/csl-citation.json" }</w:instrText>
      </w:r>
      <w:r w:rsidRPr="00F732C6">
        <w:fldChar w:fldCharType="separate"/>
      </w:r>
      <w:r w:rsidRPr="00CD028B">
        <w:rPr>
          <w:noProof/>
        </w:rPr>
        <w:t>(International Maritime Organization 2009c)</w:t>
      </w:r>
      <w:r w:rsidRPr="00F732C6">
        <w:fldChar w:fldCharType="end"/>
      </w:r>
      <w:r w:rsidRPr="00F732C6">
        <w:t xml:space="preserve">. </w:t>
      </w:r>
    </w:p>
    <w:p w:rsidR="00CD028B" w:rsidRPr="00F732C6" w:rsidRDefault="00CD028B" w:rsidP="00CD028B">
      <w:pPr>
        <w:pStyle w:val="Heading2"/>
        <w:rPr>
          <w:szCs w:val="20"/>
        </w:rPr>
      </w:pPr>
      <w:r w:rsidRPr="00F732C6">
        <w:rPr>
          <w:szCs w:val="20"/>
        </w:rPr>
        <w:t>Operating hours</w:t>
      </w:r>
    </w:p>
    <w:p w:rsidR="00CD028B" w:rsidRDefault="00CD028B" w:rsidP="00CD028B">
      <w:pPr>
        <w:pStyle w:val="Paragraph"/>
      </w:pPr>
      <w:r w:rsidRPr="00F732C6">
        <w:t xml:space="preserve">It was assumed that the WHRS </w:t>
      </w:r>
      <w:r w:rsidR="005D23AB">
        <w:t>would</w:t>
      </w:r>
      <w:r w:rsidRPr="00F732C6">
        <w:t xml:space="preserve"> be installed in a ship in operation </w:t>
      </w:r>
      <w:r w:rsidR="005D23AB">
        <w:t xml:space="preserve">for </w:t>
      </w:r>
      <w:r w:rsidRPr="00F732C6">
        <w:t xml:space="preserve">6,480 hours per year (i.e. </w:t>
      </w:r>
      <w:r w:rsidR="004F6107">
        <w:t xml:space="preserve">it is in use </w:t>
      </w:r>
      <w:r w:rsidRPr="00F732C6">
        <w:t>around 75% of the time)</w:t>
      </w:r>
      <w:r>
        <w:t xml:space="preserve"> for all its useful life, </w:t>
      </w:r>
      <w:r w:rsidRPr="00F732C6">
        <w:t xml:space="preserve">assumed </w:t>
      </w:r>
      <w:r>
        <w:t xml:space="preserve">in this paper </w:t>
      </w:r>
      <w:r w:rsidRPr="00F732C6">
        <w:t>to be 20 years. The operating profile, shown in</w:t>
      </w:r>
      <w:r>
        <w:t xml:space="preserve"> </w:t>
      </w:r>
      <w:r>
        <w:fldChar w:fldCharType="begin"/>
      </w:r>
      <w:r>
        <w:instrText xml:space="preserve"> REF _Ref414013695 \h </w:instrText>
      </w:r>
      <w:r>
        <w:fldChar w:fldCharType="separate"/>
      </w:r>
      <w:r w:rsidR="00AA6EE9">
        <w:t xml:space="preserve">Figure </w:t>
      </w:r>
      <w:r w:rsidR="00AA6EE9">
        <w:rPr>
          <w:noProof/>
        </w:rPr>
        <w:t>6</w:t>
      </w:r>
      <w:r>
        <w:fldChar w:fldCharType="end"/>
      </w:r>
      <w:r w:rsidRPr="00F732C6">
        <w:t>, is similar</w:t>
      </w:r>
      <w:r w:rsidR="00E96E81">
        <w:t xml:space="preserve"> to th</w:t>
      </w:r>
      <w:r w:rsidR="004F6107">
        <w:t>at</w:t>
      </w:r>
      <w:r w:rsidR="00E96E81">
        <w:t xml:space="preserve"> found for a 14,000 t</w:t>
      </w:r>
      <w:r w:rsidR="00BE72ED">
        <w:t xml:space="preserve">wenty-foot equivalent unit </w:t>
      </w:r>
      <w:r w:rsidRPr="00F732C6">
        <w:t xml:space="preserve">container ship </w:t>
      </w:r>
      <w:r w:rsidRPr="00F732C6">
        <w:fldChar w:fldCharType="begin" w:fldLock="1"/>
      </w:r>
      <w:r w:rsidR="00BA1648">
        <w:instrText>ADDIN CSL_CITATION { "citationItems" : [ { "id" : "ITEM-1", "itemData" : { "abstract" : "The increasing interest in emission reduction, ship operating costs reduction and the newly adapted IMO EEDI rules calls for measures that ensure optimal utilisation of the fuel used for main engines on board ships. Main engine exhaust gas energy is by far the most attractive among the waste heat sources of a ship because of the heat flow and temperature. It is possible to generate an electrical output of up to 11% of the main engine power by utilising this exhaust gas energy in a waste heat recovery system comprising both steam and power turbines, and combined with utilising scavenge air energy for exhaust boiler feed-water heating.", "author" : [ { "dropping-particle" : "", "family" : "MAN Diesel &amp; Turbo", "given" : "", "non-dropping-particle" : "", "parse-names" : false, "suffix" : "" } ], "id" : "ITEM-1", "issued" : { "date-parts" : [ [ "2012" ] ] }, "note" : "ISO ambient conditions", "number-of-pages" : "32", "publisher-place" : "Copenhagen", "title" : "Waste Heat Recovery System ( WHRS ) for Reduction of Fuel Consumption, Emission and EEDI", "type" : "report" }, "uris" : [ "http://www.mendeley.com/documents/?uuid=e83ddc05-7a3c-45ad-b0f8-ed9011b09ca2" ] } ], "mendeley" : { "formattedCitation" : "(MAN Diesel &amp; Turbo 2012)", "plainTextFormattedCitation" : "(MAN Diesel &amp; Turbo 2012)", "previouslyFormattedCitation" : "(MAN Diesel &amp; Turbo 2012)" }, "properties" : { "noteIndex" : 0 }, "schema" : "https://github.com/citation-style-language/schema/raw/master/csl-citation.json" }</w:instrText>
      </w:r>
      <w:r w:rsidRPr="00F732C6">
        <w:fldChar w:fldCharType="separate"/>
      </w:r>
      <w:r w:rsidRPr="00CD028B">
        <w:rPr>
          <w:noProof/>
        </w:rPr>
        <w:t>(MAN Diesel &amp; Turbo 2012)</w:t>
      </w:r>
      <w:r w:rsidRPr="00F732C6">
        <w:fldChar w:fldCharType="end"/>
      </w:r>
      <w:r w:rsidRPr="00F732C6">
        <w:t xml:space="preserve">. </w:t>
      </w:r>
    </w:p>
    <w:p w:rsidR="00B30F53" w:rsidRPr="00B30F53" w:rsidRDefault="00B30F53" w:rsidP="00B30F53">
      <w:pPr>
        <w:pStyle w:val="Newparagraph"/>
        <w:spacing w:line="240" w:lineRule="auto"/>
      </w:pPr>
      <w:r>
        <w:rPr>
          <w:noProof/>
        </w:rPr>
        <w:drawing>
          <wp:inline distT="0" distB="0" distL="0" distR="0">
            <wp:extent cx="4500000" cy="32774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Excel-Paint Calibri.tif"/>
                    <pic:cNvPicPr/>
                  </pic:nvPicPr>
                  <pic:blipFill>
                    <a:blip r:embed="rId13">
                      <a:extLst>
                        <a:ext uri="{28A0092B-C50C-407E-A947-70E740481C1C}">
                          <a14:useLocalDpi xmlns:a14="http://schemas.microsoft.com/office/drawing/2010/main" val="0"/>
                        </a:ext>
                      </a:extLst>
                    </a:blip>
                    <a:stretch>
                      <a:fillRect/>
                    </a:stretch>
                  </pic:blipFill>
                  <pic:spPr>
                    <a:xfrm>
                      <a:off x="0" y="0"/>
                      <a:ext cx="4500000" cy="3277444"/>
                    </a:xfrm>
                    <a:prstGeom prst="rect">
                      <a:avLst/>
                    </a:prstGeom>
                  </pic:spPr>
                </pic:pic>
              </a:graphicData>
            </a:graphic>
          </wp:inline>
        </w:drawing>
      </w:r>
    </w:p>
    <w:p w:rsidR="00CD028B" w:rsidRDefault="00CD028B" w:rsidP="00CD028B">
      <w:pPr>
        <w:pStyle w:val="Figurecaption"/>
      </w:pPr>
      <w:bookmarkStart w:id="19" w:name="_Ref387921860"/>
      <w:bookmarkStart w:id="20" w:name="_Ref414013695"/>
      <w:r>
        <w:t xml:space="preserve">Figure </w:t>
      </w:r>
      <w:bookmarkEnd w:id="19"/>
      <w:r>
        <w:fldChar w:fldCharType="begin"/>
      </w:r>
      <w:r>
        <w:instrText xml:space="preserve"> SEQ Figure \* ARABIC </w:instrText>
      </w:r>
      <w:r>
        <w:fldChar w:fldCharType="separate"/>
      </w:r>
      <w:r w:rsidR="00AA6EE9">
        <w:rPr>
          <w:noProof/>
        </w:rPr>
        <w:t>6</w:t>
      </w:r>
      <w:r>
        <w:fldChar w:fldCharType="end"/>
      </w:r>
      <w:bookmarkEnd w:id="20"/>
      <w:r>
        <w:t>: Ship's annual operating profile while at sea in percentage and hours per year.</w:t>
      </w:r>
    </w:p>
    <w:p w:rsidR="00CD028B" w:rsidRDefault="00CD028B" w:rsidP="00CD028B">
      <w:pPr>
        <w:pStyle w:val="Newparagraph"/>
      </w:pPr>
      <w:r>
        <w:lastRenderedPageBreak/>
        <w:t>The vessel’s annual CO</w:t>
      </w:r>
      <w:r w:rsidRPr="00C03BDD">
        <w:rPr>
          <w:vertAlign w:val="subscript"/>
        </w:rPr>
        <w:t>2</w:t>
      </w:r>
      <w:r>
        <w:t xml:space="preserve"> reductions are f</w:t>
      </w:r>
      <w:r w:rsidR="004F6107">
        <w:t>o</w:t>
      </w:r>
      <w:r>
        <w:t xml:space="preserve">und by multiplying, for each engine’s loading condition, the </w:t>
      </w:r>
      <w:r w:rsidRPr="00C03BDD">
        <w:rPr>
          <w:i/>
        </w:rPr>
        <w:t>CS</w:t>
      </w:r>
      <w:r>
        <w:t xml:space="preserve"> per the hours operated:  </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
        <w:gridCol w:w="7655"/>
        <w:gridCol w:w="810"/>
      </w:tblGrid>
      <w:tr w:rsidR="00CD028B" w:rsidRPr="00CD028B" w:rsidTr="00CD028B">
        <w:trPr>
          <w:jc w:val="center"/>
        </w:trPr>
        <w:tc>
          <w:tcPr>
            <w:tcW w:w="143" w:type="pct"/>
          </w:tcPr>
          <w:p w:rsidR="00CD028B" w:rsidRPr="00CD028B" w:rsidRDefault="00CD028B" w:rsidP="000C4D22">
            <w:pPr>
              <w:spacing w:after="120"/>
              <w:rPr>
                <w:rFonts w:ascii="Times New Roman" w:hAnsi="Times New Roman" w:cs="Times New Roman"/>
                <w:szCs w:val="20"/>
              </w:rPr>
            </w:pPr>
          </w:p>
        </w:tc>
        <w:tc>
          <w:tcPr>
            <w:tcW w:w="4392" w:type="pct"/>
          </w:tcPr>
          <w:p w:rsidR="00CD028B" w:rsidRPr="00CD028B" w:rsidRDefault="00CD028B" w:rsidP="000C4D22">
            <w:pPr>
              <w:jc w:val="center"/>
              <w:rPr>
                <w:rFonts w:ascii="Times New Roman" w:hAnsi="Times New Roman" w:cs="Times New Roman"/>
                <w:szCs w:val="20"/>
              </w:rPr>
            </w:pPr>
            <m:oMathPara>
              <m:oMathParaPr>
                <m:jc m:val="center"/>
              </m:oMathParaPr>
              <m:oMath>
                <m:r>
                  <w:rPr>
                    <w:rFonts w:ascii="Cambria Math" w:hAnsi="Cambria Math" w:cs="Times New Roman"/>
                    <w:szCs w:val="20"/>
                  </w:rPr>
                  <m:t>CS annual=</m:t>
                </m:r>
                <m:nary>
                  <m:naryPr>
                    <m:chr m:val="∑"/>
                    <m:limLoc m:val="undOvr"/>
                    <m:ctrlPr>
                      <w:rPr>
                        <w:rFonts w:ascii="Cambria Math" w:hAnsi="Cambria Math" w:cs="Times New Roman"/>
                        <w:i/>
                        <w:szCs w:val="20"/>
                      </w:rPr>
                    </m:ctrlPr>
                  </m:naryPr>
                  <m:sub>
                    <m:r>
                      <w:rPr>
                        <w:rFonts w:ascii="Cambria Math" w:hAnsi="Cambria Math" w:cs="Times New Roman"/>
                        <w:szCs w:val="20"/>
                      </w:rPr>
                      <m:t>i=1</m:t>
                    </m:r>
                  </m:sub>
                  <m:sup>
                    <m:r>
                      <w:rPr>
                        <w:rFonts w:ascii="Cambria Math" w:hAnsi="Cambria Math" w:cs="Times New Roman"/>
                        <w:szCs w:val="20"/>
                      </w:rPr>
                      <m:t>n</m:t>
                    </m:r>
                  </m:sup>
                  <m:e>
                    <m:sSub>
                      <m:sSubPr>
                        <m:ctrlPr>
                          <w:rPr>
                            <w:rFonts w:ascii="Cambria Math" w:hAnsi="Cambria Math" w:cs="Times New Roman"/>
                            <w:i/>
                            <w:szCs w:val="20"/>
                          </w:rPr>
                        </m:ctrlPr>
                      </m:sSubPr>
                      <m:e>
                        <m:r>
                          <w:rPr>
                            <w:rFonts w:ascii="Cambria Math" w:hAnsi="Cambria Math" w:cs="Times New Roman"/>
                            <w:szCs w:val="20"/>
                          </w:rPr>
                          <m:t>CS</m:t>
                        </m:r>
                      </m:e>
                      <m:sub>
                        <m:r>
                          <w:rPr>
                            <w:rFonts w:ascii="Cambria Math" w:hAnsi="Cambria Math" w:cs="Times New Roman"/>
                            <w:szCs w:val="20"/>
                          </w:rPr>
                          <m:t>n</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t</m:t>
                        </m:r>
                      </m:e>
                      <m:sub>
                        <m:r>
                          <w:rPr>
                            <w:rFonts w:ascii="Cambria Math" w:hAnsi="Cambria Math" w:cs="Times New Roman"/>
                            <w:szCs w:val="20"/>
                          </w:rPr>
                          <m:t>n</m:t>
                        </m:r>
                      </m:sub>
                    </m:sSub>
                  </m:e>
                </m:nary>
              </m:oMath>
            </m:oMathPara>
          </w:p>
        </w:tc>
        <w:tc>
          <w:tcPr>
            <w:tcW w:w="465" w:type="pct"/>
          </w:tcPr>
          <w:p w:rsidR="00CD028B" w:rsidRPr="00CD028B" w:rsidRDefault="00CD028B" w:rsidP="000C4D22">
            <w:pPr>
              <w:keepNext/>
              <w:jc w:val="right"/>
              <w:rPr>
                <w:rFonts w:ascii="Times New Roman" w:hAnsi="Times New Roman" w:cs="Times New Roman"/>
                <w:szCs w:val="20"/>
              </w:rPr>
            </w:pPr>
            <w:r w:rsidRPr="00CD028B">
              <w:rPr>
                <w:rFonts w:ascii="Times New Roman" w:hAnsi="Times New Roman" w:cs="Times New Roman"/>
                <w:szCs w:val="20"/>
              </w:rPr>
              <w:t>( 16 )</w:t>
            </w:r>
          </w:p>
        </w:tc>
      </w:tr>
    </w:tbl>
    <w:p w:rsidR="00CD028B" w:rsidRPr="00B56DEB" w:rsidRDefault="00CD028B" w:rsidP="00CD028B">
      <w:pPr>
        <w:pStyle w:val="Newparagraph"/>
      </w:pPr>
      <w:r>
        <w:t xml:space="preserve">Where </w:t>
      </w:r>
      <w:r w:rsidRPr="0095617C">
        <w:rPr>
          <w:i/>
        </w:rPr>
        <w:t>n</w:t>
      </w:r>
      <w:r>
        <w:t xml:space="preserve"> is the number of observations for the engine’s MCR, which for this paper is 18, and </w:t>
      </w:r>
      <w:r w:rsidRPr="0095617C">
        <w:rPr>
          <w:i/>
        </w:rPr>
        <w:t>t</w:t>
      </w:r>
      <w:r>
        <w:t xml:space="preserve"> is the time spent at each of the engine’s loading conditions as given in </w:t>
      </w:r>
      <w:r w:rsidR="00E73D1E">
        <w:fldChar w:fldCharType="begin"/>
      </w:r>
      <w:r w:rsidR="00E73D1E">
        <w:instrText xml:space="preserve"> REF _Ref414013695 \h </w:instrText>
      </w:r>
      <w:r w:rsidR="00E73D1E">
        <w:fldChar w:fldCharType="separate"/>
      </w:r>
      <w:r w:rsidR="00E73D1E">
        <w:t xml:space="preserve">Figure </w:t>
      </w:r>
      <w:r w:rsidR="00E73D1E">
        <w:rPr>
          <w:noProof/>
        </w:rPr>
        <w:t>6</w:t>
      </w:r>
      <w:r w:rsidR="00E73D1E">
        <w:fldChar w:fldCharType="end"/>
      </w:r>
      <w:r>
        <w:t xml:space="preserve">. </w:t>
      </w:r>
    </w:p>
    <w:p w:rsidR="00CD028B" w:rsidRPr="00F732C6" w:rsidRDefault="00CD028B" w:rsidP="00CD028B">
      <w:pPr>
        <w:pStyle w:val="Heading2"/>
        <w:rPr>
          <w:szCs w:val="20"/>
        </w:rPr>
      </w:pPr>
      <w:r w:rsidRPr="00F732C6">
        <w:rPr>
          <w:szCs w:val="20"/>
        </w:rPr>
        <w:t>Model Validation</w:t>
      </w:r>
    </w:p>
    <w:p w:rsidR="00CD028B" w:rsidRPr="0073739C" w:rsidRDefault="00CD028B" w:rsidP="00CD028B">
      <w:pPr>
        <w:pStyle w:val="Paragraph"/>
      </w:pPr>
      <w:r w:rsidRPr="00F732C6">
        <w:t xml:space="preserve">The code was validated against results presented by Butcher and Reddy </w:t>
      </w:r>
      <w:r>
        <w:fldChar w:fldCharType="begin" w:fldLock="1"/>
      </w:r>
      <w:r>
        <w:instrText>ADDIN CSL_CITATION { "citationItems" : [ { "id" : "ITEM-1", "itemData" : { "DOI" : "10.1016/j.ijheatmasstransfer.2006.10.047", "ISSN" : "00179310", "abstract" : "In the present paper the performance of a waste heat recovery power generation system based on second law analysis is investigated for various operating conditions. The temperature profiles across the heat recovery steam generator (HRSG), network output, second law efficiency and entropy generation number are simulated for various operating conditions. The variation in specific heat with exhaust gas composition and temperature are accounted in the analysis and results. The effect of pinch point on the performance of HRSG and on entropy generation rate and second law efficiency are also investigated. The second law efficiency of the HRSG and power generation system decreases with increasing pinch point. The first and second law efficiency of the power generation system varies with exhaust gas composition and with oxygen content in the gas. Approximating the exhaust gas as air, and the air standard analysis leads to either underestimation or overestimation of power plant performance on both first law and second law point of view. Actual gas composition and specific heat should be used to accurately predict the second law performance. The present results contribute further information on the role of gas composition, specific heat and pinch point influence on the performance of a waste heat recovery based power generation system based on first and second law of thermodynamics.", "author" : [ { "dropping-particle" : "", "family" : "Butcher", "given" : "C.J.", "non-dropping-particle" : "", "parse-names" : false, "suffix" : "" }, { "dropping-particle" : "", "family" : "Reddy", "given" : "B.V.", "non-dropping-particle" : "", "parse-names" : false, "suffix" : "" } ], "container-title" : "International Journal of Heat and Mass Transfer", "id" : "ITEM-1", "issue" : "11-12", "issued" : { "date-parts" : [ [ "2007", "6" ] ] }, "page" : "2355-2363", "title" : "Second law analysis of a waste heat recovery based power generation system", "type" : "article-journal", "volume" : "50" }, "uris" : [ "http://www.mendeley.com/documents/?uuid=232634c2-9e3b-4be2-9280-262a9fb1f051" ] } ], "mendeley" : { "formattedCitation" : "(Butcher &amp; Reddy 2007)", "manualFormatting" : "(2007)", "plainTextFormattedCitation" : "(Butcher &amp; Reddy 2007)", "previouslyFormattedCitation" : "(Butcher &amp; Reddy 2007)" }, "properties" : { "noteIndex" : 0 }, "schema" : "https://github.com/citation-style-language/schema/raw/master/csl-citation.json" }</w:instrText>
      </w:r>
      <w:r>
        <w:fldChar w:fldCharType="separate"/>
      </w:r>
      <w:r>
        <w:rPr>
          <w:noProof/>
        </w:rPr>
        <w:t>(</w:t>
      </w:r>
      <w:r w:rsidRPr="00CD028B">
        <w:rPr>
          <w:noProof/>
        </w:rPr>
        <w:t>2007)</w:t>
      </w:r>
      <w:r>
        <w:fldChar w:fldCharType="end"/>
      </w:r>
      <w:r w:rsidRPr="00F732C6">
        <w:t xml:space="preserve"> and Saavedra </w:t>
      </w:r>
      <w:r w:rsidRPr="00F732C6">
        <w:rPr>
          <w:i/>
        </w:rPr>
        <w:t>et al.</w:t>
      </w:r>
      <w:r w:rsidR="004F6107">
        <w:t xml:space="preserve"> </w:t>
      </w:r>
      <w:r>
        <w:rPr>
          <w:i/>
        </w:rPr>
        <w:fldChar w:fldCharType="begin" w:fldLock="1"/>
      </w:r>
      <w:r>
        <w:rPr>
          <w:i/>
        </w:rPr>
        <w:instrText>ADDIN CSL_CITATION { "citationItems" : [ { "id" : "ITEM-1", "itemData" : { "DOI" : "10.1243/09576509JPE998", "ISSN" : "0957-6509", "abstract" : "In this article, the authors performed the thermodynamic optimization of organic Rankine cycles (ORCs) using several working fluids and considered the effect of three heat rejec- tion media in the condenser: cooling water, ambient air, and hot water at high temperature for co- or trigeneration applications. The ORC system was modelled and optimized using the Aspen Hysys process simulator. The objective function is the maximization of turbine power output. Most natural gas compression stations use no heat recovery system. In this study, they applied the optimization procedure to the recovery of waste heat fromgas turbines used to drive natural gas compressors in natural gas pumping stations. They used operational data from an existing pumping station to illustrate the potential benefits of ORC systems for this application, taking into account also non-thermodynamic aspects such as toxicity, flammability, and investment cost return. The highest ORC turbine output powerswere obtained with aromatic hydrocarbons, then with aromatic fluorocarbons, n-hydrocarbons, and siloxanes (in that order). For the case studied here \u2013 a gas turbine of 2.6MW of mechanical power\u2013 the proposed ORC can produce around 1MWe, with a thermal efficiency of up to 24 per cent depending on the working fluid and condensing temperature.", "author" : [ { "dropping-particle" : "", "family" : "Saavedra", "given" : "I", "non-dropping-particle" : "", "parse-names" : false, "suffix" : "" }, { "dropping-particle" : "", "family" : "Bruno", "given" : "J C", "non-dropping-particle" : "", "parse-names" : false, "suffix" : "" }, { "dropping-particle" : "", "family" : "Coronas", "given" : "A", "non-dropping-particle" : "", "parse-names" : false, "suffix" : "" } ], "container-title" : "Proceedings of the Institution of Mechanical Engineers, Part A: Journal of Power and Energy", "id" : "ITEM-1", "issue" : "7", "issued" : { "date-parts" : [ [ "2010", "11", "1" ] ] }, "page" : "917-930", "title" : "Thermodynamic optimization of organic Rankine cycles at several condensing temperatures: case study of waste heat recovery in a natural gas compressor station", "type" : "article-journal", "volume" : "224" }, "uris" : [ "http://www.mendeley.com/documents/?uuid=6a76ff70-1a27-4e35-a7be-2ab671213610" ] } ], "mendeley" : { "formattedCitation" : "(Saavedra et al. 2010)", "manualFormatting" : "(2010)", "plainTextFormattedCitation" : "(Saavedra et al. 2010)", "previouslyFormattedCitation" : "(Saavedra et al. 2010)" }, "properties" : { "noteIndex" : 0 }, "schema" : "https://github.com/citation-style-language/schema/raw/master/csl-citation.json" }</w:instrText>
      </w:r>
      <w:r>
        <w:rPr>
          <w:i/>
        </w:rPr>
        <w:fldChar w:fldCharType="separate"/>
      </w:r>
      <w:r>
        <w:rPr>
          <w:noProof/>
        </w:rPr>
        <w:t>(</w:t>
      </w:r>
      <w:r w:rsidRPr="00CD028B">
        <w:rPr>
          <w:noProof/>
        </w:rPr>
        <w:t>2010)</w:t>
      </w:r>
      <w:r>
        <w:rPr>
          <w:i/>
        </w:rPr>
        <w:fldChar w:fldCharType="end"/>
      </w:r>
      <w:r w:rsidRPr="00F732C6">
        <w:t xml:space="preserve">. The validation process indicated that the WHRS model had an </w:t>
      </w:r>
      <w:r>
        <w:t>agreement to within</w:t>
      </w:r>
      <w:r w:rsidRPr="00F732C6">
        <w:t xml:space="preserve"> 1.</w:t>
      </w:r>
      <w:r>
        <w:t>4</w:t>
      </w:r>
      <w:r w:rsidRPr="00F732C6">
        <w:t xml:space="preserve">% </w:t>
      </w:r>
      <w:r>
        <w:t>of</w:t>
      </w:r>
      <w:r w:rsidRPr="00F732C6">
        <w:t xml:space="preserve"> the results </w:t>
      </w:r>
      <w:r w:rsidR="004F6107">
        <w:t>obtained</w:t>
      </w:r>
      <w:r w:rsidRPr="00F732C6">
        <w:t xml:space="preserve"> by Butcher and Reddy</w:t>
      </w:r>
      <w:r>
        <w:t xml:space="preserve"> </w:t>
      </w:r>
      <w:r>
        <w:fldChar w:fldCharType="begin" w:fldLock="1"/>
      </w:r>
      <w:r>
        <w:instrText>ADDIN CSL_CITATION { "citationItems" : [ { "id" : "ITEM-1", "itemData" : { "DOI" : "10.1016/j.ijheatmasstransfer.2006.10.047", "ISSN" : "00179310", "abstract" : "In the present paper the performance of a waste heat recovery power generation system based on second law analysis is investigated for various operating conditions. The temperature profiles across the heat recovery steam generator (HRSG), network output, second law efficiency and entropy generation number are simulated for various operating conditions. The variation in specific heat with exhaust gas composition and temperature are accounted in the analysis and results. The effect of pinch point on the performance of HRSG and on entropy generation rate and second law efficiency are also investigated. The second law efficiency of the HRSG and power generation system decreases with increasing pinch point. The first and second law efficiency of the power generation system varies with exhaust gas composition and with oxygen content in the gas. Approximating the exhaust gas as air, and the air standard analysis leads to either underestimation or overestimation of power plant performance on both first law and second law point of view. Actual gas composition and specific heat should be used to accurately predict the second law performance. The present results contribute further information on the role of gas composition, specific heat and pinch point influence on the performance of a waste heat recovery based power generation system based on first and second law of thermodynamics.", "author" : [ { "dropping-particle" : "", "family" : "Butcher", "given" : "C.J.", "non-dropping-particle" : "", "parse-names" : false, "suffix" : "" }, { "dropping-particle" : "", "family" : "Reddy", "given" : "B.V.", "non-dropping-particle" : "", "parse-names" : false, "suffix" : "" } ], "container-title" : "International Journal of Heat and Mass Transfer", "id" : "ITEM-1", "issue" : "11-12", "issued" : { "date-parts" : [ [ "2007", "6" ] ] }, "page" : "2355-2363", "title" : "Second law analysis of a waste heat recovery based power generation system", "type" : "article-journal", "volume" : "50" }, "uris" : [ "http://www.mendeley.com/documents/?uuid=232634c2-9e3b-4be2-9280-262a9fb1f051" ] } ], "mendeley" : { "formattedCitation" : "(Butcher &amp; Reddy 2007)", "manualFormatting" : "(2007)", "plainTextFormattedCitation" : "(Butcher &amp; Reddy 2007)", "previouslyFormattedCitation" : "(Butcher &amp; Reddy 2007)" }, "properties" : { "noteIndex" : 0 }, "schema" : "https://github.com/citation-style-language/schema/raw/master/csl-citation.json" }</w:instrText>
      </w:r>
      <w:r>
        <w:fldChar w:fldCharType="separate"/>
      </w:r>
      <w:r w:rsidRPr="00CD028B">
        <w:rPr>
          <w:noProof/>
        </w:rPr>
        <w:t>(2007)</w:t>
      </w:r>
      <w:r>
        <w:fldChar w:fldCharType="end"/>
      </w:r>
      <w:r w:rsidRPr="00F732C6">
        <w:t xml:space="preserve">. This difference is </w:t>
      </w:r>
      <w:r>
        <w:t>caused</w:t>
      </w:r>
      <w:r w:rsidRPr="00F732C6">
        <w:t xml:space="preserve"> mainly </w:t>
      </w:r>
      <w:r w:rsidR="004F6107">
        <w:t>by</w:t>
      </w:r>
      <w:r w:rsidRPr="00F732C6">
        <w:t xml:space="preserve"> </w:t>
      </w:r>
      <w:r>
        <w:t xml:space="preserve">visual measurement errors when reading </w:t>
      </w:r>
      <w:r w:rsidRPr="00F732C6">
        <w:t xml:space="preserve">the mass flow rates </w:t>
      </w:r>
      <w:r>
        <w:t>and</w:t>
      </w:r>
      <w:r w:rsidRPr="00F732C6">
        <w:t xml:space="preserve"> pinch point temperature </w:t>
      </w:r>
      <w:r>
        <w:t>graphs from the paper</w:t>
      </w:r>
      <w:r w:rsidR="004F6107">
        <w:t>;</w:t>
      </w:r>
      <w:r>
        <w:t xml:space="preserve"> data table</w:t>
      </w:r>
      <w:r w:rsidR="00E504BA">
        <w:t>s</w:t>
      </w:r>
      <w:r>
        <w:t xml:space="preserve"> were not available</w:t>
      </w:r>
      <w:r w:rsidRPr="00F732C6">
        <w:t xml:space="preserve">. When the model is compared against the work of Saavedra </w:t>
      </w:r>
      <w:r w:rsidRPr="004A7186">
        <w:rPr>
          <w:i/>
        </w:rPr>
        <w:t>et al</w:t>
      </w:r>
      <w:r w:rsidRPr="00CD028B">
        <w:t>.</w:t>
      </w:r>
      <w:r w:rsidRPr="00F732C6">
        <w:t xml:space="preserve"> </w:t>
      </w:r>
      <w:r>
        <w:fldChar w:fldCharType="begin" w:fldLock="1"/>
      </w:r>
      <w:r>
        <w:instrText>ADDIN CSL_CITATION { "citationItems" : [ { "id" : "ITEM-1", "itemData" : { "DOI" : "10.1243/09576509JPE998", "ISSN" : "0957-6509", "abstract" : "In this article, the authors performed the thermodynamic optimization of organic Rankine cycles (ORCs) using several working fluids and considered the effect of three heat rejec- tion media in the condenser: cooling water, ambient air, and hot water at high temperature for co- or trigeneration applications. The ORC system was modelled and optimized using the Aspen Hysys process simulator. The objective function is the maximization of turbine power output. Most natural gas compression stations use no heat recovery system. In this study, they applied the optimization procedure to the recovery of waste heat fromgas turbines used to drive natural gas compressors in natural gas pumping stations. They used operational data from an existing pumping station to illustrate the potential benefits of ORC systems for this application, taking into account also non-thermodynamic aspects such as toxicity, flammability, and investment cost return. The highest ORC turbine output powerswere obtained with aromatic hydrocarbons, then with aromatic fluorocarbons, n-hydrocarbons, and siloxanes (in that order). For the case studied here \u2013 a gas turbine of 2.6MW of mechanical power\u2013 the proposed ORC can produce around 1MWe, with a thermal efficiency of up to 24 per cent depending on the working fluid and condensing temperature.", "author" : [ { "dropping-particle" : "", "family" : "Saavedra", "given" : "I", "non-dropping-particle" : "", "parse-names" : false, "suffix" : "" }, { "dropping-particle" : "", "family" : "Bruno", "given" : "J C", "non-dropping-particle" : "", "parse-names" : false, "suffix" : "" }, { "dropping-particle" : "", "family" : "Coronas", "given" : "A", "non-dropping-particle" : "", "parse-names" : false, "suffix" : "" } ], "container-title" : "Proceedings of the Institution of Mechanical Engineers, Part A: Journal of Power and Energy", "id" : "ITEM-1", "issue" : "7", "issued" : { "date-parts" : [ [ "2010", "11", "1" ] ] }, "page" : "917-930", "title" : "Thermodynamic optimization of organic Rankine cycles at several condensing temperatures: case study of waste heat recovery in a natural gas compressor station", "type" : "article-journal", "volume" : "224" }, "uris" : [ "http://www.mendeley.com/documents/?uuid=6a76ff70-1a27-4e35-a7be-2ab671213610" ] } ], "mendeley" : { "formattedCitation" : "(Saavedra et al. 2010)", "manualFormatting" : "(2010)", "plainTextFormattedCitation" : "(Saavedra et al. 2010)", "previouslyFormattedCitation" : "(Saavedra et al. 2010)" }, "properties" : { "noteIndex" : 0 }, "schema" : "https://github.com/citation-style-language/schema/raw/master/csl-citation.json" }</w:instrText>
      </w:r>
      <w:r>
        <w:fldChar w:fldCharType="separate"/>
      </w:r>
      <w:r>
        <w:rPr>
          <w:noProof/>
        </w:rPr>
        <w:t>(</w:t>
      </w:r>
      <w:r w:rsidRPr="00CD028B">
        <w:rPr>
          <w:noProof/>
        </w:rPr>
        <w:t>2010)</w:t>
      </w:r>
      <w:r>
        <w:fldChar w:fldCharType="end"/>
      </w:r>
      <w:r w:rsidR="004F6107">
        <w:t>,</w:t>
      </w:r>
      <w:r>
        <w:rPr>
          <w:noProof/>
        </w:rPr>
        <w:t xml:space="preserve"> </w:t>
      </w:r>
      <w:r w:rsidRPr="00F732C6">
        <w:t>the difference was 0.95%</w:t>
      </w:r>
      <w:r>
        <w:t>,</w:t>
      </w:r>
      <w:r w:rsidRPr="00F732C6">
        <w:t xml:space="preserve"> </w:t>
      </w:r>
      <w:r w:rsidR="004F6107">
        <w:t>a</w:t>
      </w:r>
      <w:r w:rsidRPr="00F732C6">
        <w:t xml:space="preserve"> small difference due to</w:t>
      </w:r>
      <w:r>
        <w:t xml:space="preserve"> the </w:t>
      </w:r>
      <w:r w:rsidR="004F6107">
        <w:t>varying</w:t>
      </w:r>
      <w:r>
        <w:t xml:space="preserve"> approaches used to calculate the thermodynamic properties of the working fluids. Saavedra </w:t>
      </w:r>
      <w:r w:rsidRPr="004A7186">
        <w:rPr>
          <w:i/>
        </w:rPr>
        <w:t>et al</w:t>
      </w:r>
      <w:r>
        <w:t xml:space="preserve">. integrated the Peng-Robison </w:t>
      </w:r>
      <w:proofErr w:type="spellStart"/>
      <w:r>
        <w:t>Stryek</w:t>
      </w:r>
      <w:proofErr w:type="spellEnd"/>
      <w:r>
        <w:t xml:space="preserve"> Vera equation of state</w:t>
      </w:r>
      <w:r w:rsidR="004F6107">
        <w:t>,</w:t>
      </w:r>
      <w:r>
        <w:t xml:space="preserve"> while in this work the data was extracted from </w:t>
      </w:r>
      <w:r w:rsidRPr="0073739C">
        <w:t xml:space="preserve">NIST </w:t>
      </w:r>
      <w:proofErr w:type="spellStart"/>
      <w:r w:rsidRPr="0073739C">
        <w:t>Refprop</w:t>
      </w:r>
      <w:proofErr w:type="spellEnd"/>
      <w:r w:rsidRPr="0073739C">
        <w:t xml:space="preserve"> 9.0</w:t>
      </w:r>
      <w:r w:rsidRPr="007231C2">
        <w:t xml:space="preserve"> </w:t>
      </w:r>
    </w:p>
    <w:p w:rsidR="00CD028B" w:rsidRPr="0073739C" w:rsidRDefault="00CD028B" w:rsidP="00CD028B">
      <w:pPr>
        <w:pStyle w:val="Heading2"/>
        <w:rPr>
          <w:szCs w:val="20"/>
        </w:rPr>
      </w:pPr>
      <w:r w:rsidRPr="0073739C">
        <w:rPr>
          <w:szCs w:val="20"/>
        </w:rPr>
        <w:t>Software and databases</w:t>
      </w:r>
    </w:p>
    <w:p w:rsidR="00CD028B" w:rsidRPr="0073739C" w:rsidRDefault="00CD028B" w:rsidP="00CD028B">
      <w:pPr>
        <w:pStyle w:val="Paragraph"/>
      </w:pPr>
      <w:r w:rsidRPr="0073739C">
        <w:t>The model is programmed in Matlab</w:t>
      </w:r>
      <w:r>
        <w:t>®</w:t>
      </w:r>
      <w:r w:rsidRPr="0073739C">
        <w:t xml:space="preserve">. In particular, tools from NIST </w:t>
      </w:r>
      <w:proofErr w:type="spellStart"/>
      <w:r w:rsidRPr="0073739C">
        <w:t>Refprop</w:t>
      </w:r>
      <w:proofErr w:type="spellEnd"/>
      <w:r w:rsidRPr="0073739C">
        <w:t xml:space="preserve"> 9.0 </w:t>
      </w:r>
      <w:r w:rsidRPr="0073739C">
        <w:fldChar w:fldCharType="begin" w:fldLock="1"/>
      </w:r>
      <w:r>
        <w:instrText>ADDIN CSL_CITATION { "citationItems" : [ { "id" : "ITEM-1", "itemData" : { "author" : [ { "dropping-particle" : "", "family" : "Lemmon", "given" : "Eric W.", "non-dropping-particle" : "", "parse-names" : false, "suffix" : "" }, { "dropping-particle" : "", "family" : "Huber", "given" : "Marcia L.", "non-dropping-particle" : "", "parse-names" : false, "suffix" : "" }, { "dropping-particle" : "", "family" : "McLinden", "given" : "M.O.", "non-dropping-particle" : "", "parse-names" : false, "suffix" : "" } ], "id" : "ITEM-1", "issued" : { "date-parts" : [ [ "2010" ] ] }, "number" : "9.0", "publisher" : "National Institute of Standards and Technology", "publisher-place" : "Gaithersburg", "title" : "NIST Reference Fluid Thermodynamic and Transport Properties Database", "type" : "article" }, "uris" : [ "http://www.mendeley.com/documents/?uuid=0c5c9277-e5cd-4d3a-82ff-2805f889fd5a" ] } ], "mendeley" : { "formattedCitation" : "(Lemmon et al. 2010)", "plainTextFormattedCitation" : "(Lemmon et al. 2010)", "previouslyFormattedCitation" : "(Lemmon et al. 2010)" }, "properties" : { "noteIndex" : 0 }, "schema" : "https://github.com/citation-style-language/schema/raw/master/csl-citation.json" }</w:instrText>
      </w:r>
      <w:r w:rsidRPr="0073739C">
        <w:fldChar w:fldCharType="separate"/>
      </w:r>
      <w:r w:rsidRPr="00CD028B">
        <w:rPr>
          <w:noProof/>
        </w:rPr>
        <w:t xml:space="preserve">(Lemmon </w:t>
      </w:r>
      <w:r w:rsidRPr="004A7186">
        <w:rPr>
          <w:i/>
          <w:noProof/>
        </w:rPr>
        <w:t>et al</w:t>
      </w:r>
      <w:r w:rsidRPr="00CD028B">
        <w:rPr>
          <w:noProof/>
        </w:rPr>
        <w:t>. 2010)</w:t>
      </w:r>
      <w:r w:rsidRPr="0073739C">
        <w:fldChar w:fldCharType="end"/>
      </w:r>
      <w:r w:rsidRPr="0073739C">
        <w:t xml:space="preserve"> for the working fluids, </w:t>
      </w:r>
      <w:proofErr w:type="spellStart"/>
      <w:r w:rsidRPr="0073739C">
        <w:t>CoolProp</w:t>
      </w:r>
      <w:proofErr w:type="spellEnd"/>
      <w:r w:rsidRPr="0073739C">
        <w:t xml:space="preserve"> </w:t>
      </w:r>
      <w:r w:rsidRPr="0073739C">
        <w:fldChar w:fldCharType="begin" w:fldLock="1"/>
      </w:r>
      <w:r>
        <w:instrText>ADDIN CSL_CITATION { "citationItems" : [ { "id" : "ITEM-1", "itemData" : { "DOI" : "10.1021/ie4033999", "ISSN" : "0888-5885", "PMID" : "24623957", "abstract" : "Over the last few decades, researchers have developed a number of empirical and theoretical models for the correlation and prediction of the thermophysical properties of pure fluids and mixtures treated as pseudo-pure fluids. In this paper, a survey of all the state-of-the-art formulations of thermophysical properties is presented. The most-accurate thermodynamic properties are obtained from multiparameter Helmholtz-energy-explicit-type formulations. For the transport properties, a wider range of methods has been employed, including the extended corresponding states method. All of the thermophysical property correlations described here have been implemented into CoolProp, an open-source thermophysical property library. This library is written in C++, with wrappers available for the majority of programming languages and platforms of technical interest. As of publication, 110 pure and pseudo-pure fluids are included in the library, as well as properties of 40 incompressible fluids and humid air. The source code for the CoolProp library is included as an electronic annex.", "author" : [ { "dropping-particle" : "", "family" : "Bell", "given" : "Ian H", "non-dropping-particle" : "", "parse-names" : false, "suffix" : "" }, { "dropping-particle" : "", "family" : "Wronski", "given" : "Jorrit", "non-dropping-particle" : "", "parse-names" : false, "suffix" : "" }, { "dropping-particle" : "", "family" : "Quoilin", "given" : "Sylvain", "non-dropping-particle" : "", "parse-names" : false, "suffix" : "" }, { "dropping-particle" : "", "family" : "Lemort", "given" : "Vincent", "non-dropping-particle" : "", "parse-names" : false, "suffix" : "" } ], "container-title" : "Industrial &amp; engineering chemistry research", "id" : "ITEM-1", "issue" : "6", "issued" : { "date-parts" : [ [ "2014", "3", "12" ] ] }, "page" : "2498-2508", "publisher" : "American Chemical Society", "title" : "Pure and Pseudo-pure Fluid Thermophysical Property Evaluation and the Open-Source Thermophysical Property Library CoolProp.", "type" : "article-journal", "volume" : "53" }, "uris" : [ "http://www.mendeley.com/documents/?uuid=00edbb0a-7cf8-40d6-a560-bb39878342e1" ] } ], "mendeley" : { "formattedCitation" : "(Bell et al. 2014)", "plainTextFormattedCitation" : "(Bell et al. 2014)", "previouslyFormattedCitation" : "(Bell et al. 2014)" }, "properties" : { "noteIndex" : 0 }, "schema" : "https://github.com/citation-style-language/schema/raw/master/csl-citation.json" }</w:instrText>
      </w:r>
      <w:r w:rsidRPr="0073739C">
        <w:fldChar w:fldCharType="separate"/>
      </w:r>
      <w:r w:rsidRPr="00CD028B">
        <w:rPr>
          <w:noProof/>
        </w:rPr>
        <w:t xml:space="preserve">(Bell </w:t>
      </w:r>
      <w:r w:rsidRPr="004A7186">
        <w:rPr>
          <w:i/>
          <w:noProof/>
        </w:rPr>
        <w:t>et al</w:t>
      </w:r>
      <w:r w:rsidRPr="00CD028B">
        <w:rPr>
          <w:noProof/>
        </w:rPr>
        <w:t>. 2014)</w:t>
      </w:r>
      <w:r w:rsidRPr="0073739C">
        <w:fldChar w:fldCharType="end"/>
      </w:r>
      <w:r w:rsidRPr="0073739C">
        <w:t xml:space="preserve"> for the thermal oil and the code developed by </w:t>
      </w:r>
      <w:proofErr w:type="spellStart"/>
      <w:r w:rsidRPr="0073739C">
        <w:t>Sharqawy</w:t>
      </w:r>
      <w:proofErr w:type="spellEnd"/>
      <w:r w:rsidRPr="0073739C">
        <w:t xml:space="preserve"> and Mistry </w:t>
      </w:r>
      <w:r>
        <w:fldChar w:fldCharType="begin" w:fldLock="1"/>
      </w:r>
      <w:r w:rsidR="004A7186">
        <w:instrText>ADDIN CSL_CITATION { "citationItems" : [ { "id" : "ITEM-1", "itemData" : { "DOI" : "10.5004/dwt.2010.1079", "abstract" : "Correlations and data for the thermophysical properties of seawater are reviewed. Properties examined include density, specifi c heat capacity, thermal conductivity, dynamic viscosity, sur- face tension, vapor pressure, boiling point elevation, latent heat of vaporization, specifi c enthalpy, specifi c entropy and osmotic coeffi cient. These properties include those needed for design of thermal and membrane desalination processes. Results are presented in terms of regression equations as functions of temperature and salinity. The available correlations for each prop- erty are summarized with their range of validity and accuracy. Best-fi tted new correlations are obtained from available data for density, dynamic viscosity, surface tension, boiling point eleva- tion, specifi c enthalpy, specifi c entropy and osmotic coeffi cient after appropriate conversion of temperature and salinity scales to the most recent standards. In addition, a model for latent heat of vaporization is suggested. Comparisons are carried out among these correlations, and rec- ommendations are provided for each property, particularly over the ranges of temperature and salinity common in thermal and/or reverse osmosis seawater desalination applications.", "author" : [ { "dropping-particle" : "", "family" : "Sharqawy", "given" : "Mostafa H.", "non-dropping-particle" : "", "parse-names" : false, "suffix" : "" }, { "dropping-particle" : "", "family" : "Lienhard V", "given" : "John H.", "non-dropping-particle" : "", "parse-names" : false, "suffix" : "" }, { "dropping-particle" : "", "family" : "Zubair", "given" : "Syed M.", "non-dropping-particle" : "", "parse-names" : false, "suffix" : "" } ], "container-title" : "Desalination and Water Treatment", "id" : "ITEM-1", "issued" : { "date-parts" : [ [ "2010" ] ] }, "page" : "354-380", "title" : "Thermophysical properties of seawater: A review of existing correlations and data", "type" : "article-journal", "volume" : "16" }, "uris" : [ "http://www.mendeley.com/documents/?uuid=b48ac138-e3d4-463b-8be8-a42e7b81096b" ] } ], "mendeley" : { "formattedCitation" : "(Sharqawy et al. 2010)", "manualFormatting" : "(2010)", "plainTextFormattedCitation" : "(Sharqawy et al. 2010)", "previouslyFormattedCitation" : "(Sharqawy et al. 2010)" }, "properties" : { "noteIndex" : 0 }, "schema" : "https://github.com/citation-style-language/schema/raw/master/csl-citation.json" }</w:instrText>
      </w:r>
      <w:r>
        <w:fldChar w:fldCharType="separate"/>
      </w:r>
      <w:r w:rsidRPr="00CD028B">
        <w:rPr>
          <w:noProof/>
        </w:rPr>
        <w:t>(2010)</w:t>
      </w:r>
      <w:r>
        <w:fldChar w:fldCharType="end"/>
      </w:r>
      <w:r w:rsidRPr="0073739C">
        <w:t xml:space="preserve"> for seawater properties are used.</w:t>
      </w:r>
    </w:p>
    <w:p w:rsidR="00CD028B" w:rsidRPr="0073739C" w:rsidRDefault="00CD028B" w:rsidP="00CD028B">
      <w:pPr>
        <w:pStyle w:val="Heading1"/>
        <w:rPr>
          <w:szCs w:val="20"/>
        </w:rPr>
      </w:pPr>
      <w:r w:rsidRPr="0073739C">
        <w:rPr>
          <w:szCs w:val="20"/>
        </w:rPr>
        <w:lastRenderedPageBreak/>
        <w:t>RESULTS AND DISCUSSION</w:t>
      </w:r>
    </w:p>
    <w:p w:rsidR="00CD028B" w:rsidRPr="0073739C" w:rsidRDefault="00CD028B" w:rsidP="00CD028B">
      <w:pPr>
        <w:pStyle w:val="Heading2"/>
        <w:rPr>
          <w:szCs w:val="20"/>
        </w:rPr>
      </w:pPr>
      <w:r w:rsidRPr="0073739C">
        <w:rPr>
          <w:szCs w:val="20"/>
        </w:rPr>
        <w:t>WHRS performance at constant engine loading</w:t>
      </w:r>
    </w:p>
    <w:p w:rsidR="00CD028B" w:rsidRPr="0073739C" w:rsidRDefault="00CD028B" w:rsidP="00CD028B">
      <w:pPr>
        <w:pStyle w:val="Paragraph"/>
        <w:rPr>
          <w:noProof/>
        </w:rPr>
      </w:pPr>
      <w:r w:rsidRPr="0073739C">
        <w:t>In the first section</w:t>
      </w:r>
      <w:r w:rsidR="00FC649C">
        <w:t>,</w:t>
      </w:r>
      <w:r w:rsidRPr="0073739C">
        <w:t xml:space="preserve"> the engine loading was set at 75% MCR. The thermal efficiency and electrical power output were analysed for different working fluids.</w:t>
      </w:r>
      <w:r w:rsidRPr="0073739C">
        <w:rPr>
          <w:noProof/>
        </w:rPr>
        <w:t xml:space="preserve"> </w:t>
      </w:r>
    </w:p>
    <w:p w:rsidR="00CD028B" w:rsidRDefault="000C4D22" w:rsidP="00E96E81">
      <w:pPr>
        <w:pStyle w:val="Newparagraph"/>
      </w:pPr>
      <w:r>
        <w:fldChar w:fldCharType="begin"/>
      </w:r>
      <w:r>
        <w:instrText xml:space="preserve"> REF _Ref414014159 \h </w:instrText>
      </w:r>
      <w:r>
        <w:fldChar w:fldCharType="separate"/>
      </w:r>
      <w:r w:rsidR="00AA6EE9">
        <w:t>Figure</w:t>
      </w:r>
      <w:r w:rsidR="00AA6EE9" w:rsidRPr="0073739C">
        <w:t xml:space="preserve"> </w:t>
      </w:r>
      <w:r w:rsidR="00AA6EE9">
        <w:rPr>
          <w:noProof/>
        </w:rPr>
        <w:t>7</w:t>
      </w:r>
      <w:r>
        <w:fldChar w:fldCharType="end"/>
      </w:r>
      <w:r w:rsidR="00CD028B" w:rsidRPr="0073739C">
        <w:t xml:space="preserve"> present</w:t>
      </w:r>
      <w:r w:rsidR="00CD028B">
        <w:t>s</w:t>
      </w:r>
      <w:r w:rsidR="00CD028B" w:rsidRPr="0073739C">
        <w:t xml:space="preserve"> the net electrical power output change with respect to the </w:t>
      </w:r>
      <w:r w:rsidR="00CD028B">
        <w:t xml:space="preserve">system’s </w:t>
      </w:r>
      <w:r w:rsidR="00CD028B" w:rsidRPr="0073739C">
        <w:t>high pressure (</w:t>
      </w:r>
      <w:r w:rsidR="00CD028B" w:rsidRPr="0073739C">
        <w:rPr>
          <w:i/>
        </w:rPr>
        <w:t>P</w:t>
      </w:r>
      <w:r w:rsidR="00CD028B" w:rsidRPr="0073739C">
        <w:rPr>
          <w:i/>
          <w:vertAlign w:val="subscript"/>
        </w:rPr>
        <w:t>1</w:t>
      </w:r>
      <w:r w:rsidR="00CD028B" w:rsidRPr="0073739C">
        <w:t>). For all the working fluids</w:t>
      </w:r>
      <w:r w:rsidR="00FC649C">
        <w:t>,</w:t>
      </w:r>
      <w:r w:rsidR="00CD028B" w:rsidRPr="0073739C">
        <w:t xml:space="preserve"> </w:t>
      </w:r>
      <w:r w:rsidR="00CD028B">
        <w:t xml:space="preserve">the </w:t>
      </w:r>
      <w:r w:rsidR="00CD028B" w:rsidRPr="0073739C">
        <w:t>electrical net power output increase</w:t>
      </w:r>
      <w:r w:rsidR="00FC649C">
        <w:t>s</w:t>
      </w:r>
      <w:r w:rsidR="00CD028B" w:rsidRPr="0073739C">
        <w:t xml:space="preserve"> as </w:t>
      </w:r>
      <w:r w:rsidR="00CD028B" w:rsidRPr="0073739C">
        <w:rPr>
          <w:i/>
        </w:rPr>
        <w:t>P</w:t>
      </w:r>
      <w:r w:rsidR="00CD028B" w:rsidRPr="0073739C">
        <w:rPr>
          <w:i/>
          <w:vertAlign w:val="subscript"/>
        </w:rPr>
        <w:t>1</w:t>
      </w:r>
      <w:r w:rsidR="00CD028B" w:rsidRPr="00581C43">
        <w:t xml:space="preserve"> </w:t>
      </w:r>
      <w:r w:rsidR="00CD028B" w:rsidRPr="0073739C">
        <w:t>decreases</w:t>
      </w:r>
      <w:r w:rsidR="00CD028B">
        <w:t xml:space="preserve">. Since </w:t>
      </w:r>
      <w:r w:rsidR="00CD028B" w:rsidRPr="00771530">
        <w:rPr>
          <w:i/>
        </w:rPr>
        <w:t>T</w:t>
      </w:r>
      <w:r w:rsidR="00CD028B" w:rsidRPr="00771530">
        <w:rPr>
          <w:i/>
          <w:vertAlign w:val="subscript"/>
        </w:rPr>
        <w:t>1</w:t>
      </w:r>
      <w:r w:rsidR="00CD028B">
        <w:t xml:space="preserve"> and </w:t>
      </w:r>
      <w:proofErr w:type="spellStart"/>
      <w:r w:rsidR="00CD028B" w:rsidRPr="00771530">
        <w:rPr>
          <w:i/>
        </w:rPr>
        <w:t>T</w:t>
      </w:r>
      <w:r w:rsidR="00CD028B" w:rsidRPr="00771530">
        <w:rPr>
          <w:i/>
          <w:vertAlign w:val="subscript"/>
        </w:rPr>
        <w:t>pp_H</w:t>
      </w:r>
      <w:proofErr w:type="spellEnd"/>
      <w:r w:rsidR="00CD028B">
        <w:t xml:space="preserve"> are fixed</w:t>
      </w:r>
      <w:r w:rsidR="00FC649C">
        <w:t>,</w:t>
      </w:r>
      <w:r w:rsidR="00CD028B">
        <w:t xml:space="preserve"> as </w:t>
      </w:r>
      <w:r w:rsidR="00CD028B" w:rsidRPr="00771530">
        <w:rPr>
          <w:i/>
        </w:rPr>
        <w:t>P</w:t>
      </w:r>
      <w:r w:rsidR="00CD028B" w:rsidRPr="00771530">
        <w:rPr>
          <w:i/>
          <w:vertAlign w:val="subscript"/>
        </w:rPr>
        <w:t>1</w:t>
      </w:r>
      <w:r w:rsidR="00CD028B">
        <w:t xml:space="preserve"> increases the latent heat and </w:t>
      </w:r>
      <w:r w:rsidR="00CD028B" w:rsidRPr="00771530">
        <w:rPr>
          <w:i/>
        </w:rPr>
        <w:t>h</w:t>
      </w:r>
      <w:r w:rsidR="00CD028B" w:rsidRPr="00771530">
        <w:rPr>
          <w:i/>
          <w:vertAlign w:val="subscript"/>
        </w:rPr>
        <w:t>1</w:t>
      </w:r>
      <w:r w:rsidR="00CD028B">
        <w:t xml:space="preserve"> are reduced, </w:t>
      </w:r>
      <w:r w:rsidR="00FC649C">
        <w:t xml:space="preserve">also </w:t>
      </w:r>
      <w:r w:rsidR="00CD028B">
        <w:t xml:space="preserve">decreasing the mass flow rate and power output. The minimum and maximum pressure values are limited by the constraints given by equations (4)-(6). </w:t>
      </w:r>
      <w:r w:rsidR="00CD028B" w:rsidRPr="0073739C">
        <w:t xml:space="preserve">Benzene is the working fluid that produces </w:t>
      </w:r>
      <w:r w:rsidR="00CD028B">
        <w:t>the largest</w:t>
      </w:r>
      <w:r w:rsidR="00CD028B" w:rsidRPr="0073739C">
        <w:t xml:space="preserve"> electrical power and has the highest thermal efficiency (</w:t>
      </w:r>
      <w:r w:rsidR="00CD028B">
        <w:fldChar w:fldCharType="begin"/>
      </w:r>
      <w:r w:rsidR="00CD028B">
        <w:instrText xml:space="preserve"> REF _Ref364977374 \h  \* MERGEFORMAT </w:instrText>
      </w:r>
      <w:r w:rsidR="00CD028B">
        <w:fldChar w:fldCharType="separate"/>
      </w:r>
      <w:r w:rsidR="00AA6EE9" w:rsidRPr="000C4D22">
        <w:t xml:space="preserve">Table </w:t>
      </w:r>
      <w:r w:rsidR="00AA6EE9">
        <w:rPr>
          <w:noProof/>
        </w:rPr>
        <w:t>3</w:t>
      </w:r>
      <w:r w:rsidR="00CD028B">
        <w:fldChar w:fldCharType="end"/>
      </w:r>
      <w:r w:rsidR="00CD028B" w:rsidRPr="0073739C">
        <w:t xml:space="preserve">). Water </w:t>
      </w:r>
      <w:r w:rsidR="00FC649C">
        <w:t xml:space="preserve">was found to </w:t>
      </w:r>
      <w:r w:rsidR="00CD028B" w:rsidRPr="0073739C">
        <w:t xml:space="preserve">reject the most energy absorbed from the exhaust gas to the sink </w:t>
      </w:r>
      <w:r w:rsidR="00CD028B">
        <w:t xml:space="preserve">because the RC cannot use a </w:t>
      </w:r>
      <w:r w:rsidR="00B27FEE">
        <w:t>recuperator</w:t>
      </w:r>
      <w:r w:rsidR="00CD028B">
        <w:t xml:space="preserve"> since </w:t>
      </w:r>
      <w:r w:rsidR="00CD028B" w:rsidRPr="0073739C">
        <w:t>the expander and pump exit</w:t>
      </w:r>
      <w:r w:rsidR="00CD028B">
        <w:t xml:space="preserve"> temperatures are the same</w:t>
      </w:r>
      <w:r w:rsidR="00CD028B" w:rsidRPr="0073739C">
        <w:t xml:space="preserve">. </w:t>
      </w:r>
    </w:p>
    <w:p w:rsidR="00B30F53" w:rsidRDefault="00AA233E" w:rsidP="00E96E81">
      <w:pPr>
        <w:pStyle w:val="Newparagraph"/>
      </w:pPr>
      <w:r>
        <w:rPr>
          <w:noProof/>
        </w:rPr>
        <w:drawing>
          <wp:inline distT="0" distB="0" distL="0" distR="0" wp14:anchorId="009ECA1E" wp14:editId="6D04E7FE">
            <wp:extent cx="4500000" cy="313761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507" t="20513" r="28185" b="22452"/>
                    <a:stretch/>
                  </pic:blipFill>
                  <pic:spPr bwMode="auto">
                    <a:xfrm>
                      <a:off x="0" y="0"/>
                      <a:ext cx="4500000" cy="3137617"/>
                    </a:xfrm>
                    <a:prstGeom prst="rect">
                      <a:avLst/>
                    </a:prstGeom>
                    <a:ln>
                      <a:noFill/>
                    </a:ln>
                    <a:extLst>
                      <a:ext uri="{53640926-AAD7-44D8-BBD7-CCE9431645EC}">
                        <a14:shadowObscured xmlns:a14="http://schemas.microsoft.com/office/drawing/2010/main"/>
                      </a:ext>
                    </a:extLst>
                  </pic:spPr>
                </pic:pic>
              </a:graphicData>
            </a:graphic>
          </wp:inline>
        </w:drawing>
      </w:r>
    </w:p>
    <w:p w:rsidR="00CD028B" w:rsidRPr="000D4130" w:rsidRDefault="00CD028B" w:rsidP="000C4D22">
      <w:pPr>
        <w:pStyle w:val="Figurecaption"/>
      </w:pPr>
      <w:bookmarkStart w:id="21" w:name="_Ref377984382"/>
      <w:bookmarkStart w:id="22" w:name="_Ref414014159"/>
      <w:r>
        <w:t>Fig</w:t>
      </w:r>
      <w:r w:rsidR="000C4D22">
        <w:t>ure</w:t>
      </w:r>
      <w:r w:rsidRPr="0073739C">
        <w:t xml:space="preserve"> </w:t>
      </w:r>
      <w:bookmarkEnd w:id="21"/>
      <w:r w:rsidR="000C4D22">
        <w:fldChar w:fldCharType="begin"/>
      </w:r>
      <w:r w:rsidR="000C4D22">
        <w:instrText xml:space="preserve"> SEQ Figure \* ARABIC </w:instrText>
      </w:r>
      <w:r w:rsidR="000C4D22">
        <w:fldChar w:fldCharType="separate"/>
      </w:r>
      <w:r w:rsidR="00AA6EE9">
        <w:rPr>
          <w:noProof/>
        </w:rPr>
        <w:t>7</w:t>
      </w:r>
      <w:r w:rsidR="000C4D22">
        <w:fldChar w:fldCharType="end"/>
      </w:r>
      <w:bookmarkEnd w:id="22"/>
      <w:r>
        <w:t>:</w:t>
      </w:r>
      <w:r w:rsidRPr="0073739C">
        <w:t xml:space="preserve"> WHRS electrical net power output at 75% MCR</w:t>
      </w:r>
      <w:r>
        <w:t xml:space="preserve"> with the WHRS maximum thermal efficiencies shown</w:t>
      </w:r>
      <w:r w:rsidRPr="0073739C">
        <w:t>.</w:t>
      </w:r>
    </w:p>
    <w:p w:rsidR="000C4D22" w:rsidRDefault="000C4D22" w:rsidP="000C4D22">
      <w:pPr>
        <w:pStyle w:val="Caption"/>
      </w:pPr>
      <w:bookmarkStart w:id="23" w:name="_Ref364977374"/>
    </w:p>
    <w:tbl>
      <w:tblPr>
        <w:tblStyle w:val="TableGrid"/>
        <w:tblW w:w="2592" w:type="pct"/>
        <w:jc w:val="center"/>
        <w:tblLook w:val="04A0" w:firstRow="1" w:lastRow="0" w:firstColumn="1" w:lastColumn="0" w:noHBand="0" w:noVBand="1"/>
      </w:tblPr>
      <w:tblGrid>
        <w:gridCol w:w="1710"/>
        <w:gridCol w:w="965"/>
        <w:gridCol w:w="992"/>
        <w:gridCol w:w="851"/>
      </w:tblGrid>
      <w:tr w:rsidR="00AA233E" w:rsidRPr="00373C2C" w:rsidTr="00E533E9">
        <w:trPr>
          <w:jc w:val="center"/>
        </w:trPr>
        <w:tc>
          <w:tcPr>
            <w:tcW w:w="1892" w:type="pct"/>
            <w:tcBorders>
              <w:left w:val="nil"/>
              <w:bottom w:val="single" w:sz="4" w:space="0" w:color="auto"/>
              <w:right w:val="nil"/>
            </w:tcBorders>
            <w:vAlign w:val="center"/>
          </w:tcPr>
          <w:p w:rsidR="00AA233E" w:rsidRPr="00373C2C" w:rsidRDefault="00AA233E" w:rsidP="00E533E9">
            <w:pPr>
              <w:pStyle w:val="Caption"/>
              <w:rPr>
                <w:rFonts w:ascii="Times New Roman" w:hAnsi="Times New Roman" w:cs="Times New Roman"/>
                <w:b/>
              </w:rPr>
            </w:pPr>
            <w:r w:rsidRPr="00373C2C">
              <w:rPr>
                <w:rFonts w:ascii="Times New Roman" w:hAnsi="Times New Roman" w:cs="Times New Roman"/>
                <w:b/>
              </w:rPr>
              <w:lastRenderedPageBreak/>
              <w:t>Working Fluids</w:t>
            </w:r>
          </w:p>
        </w:tc>
        <w:tc>
          <w:tcPr>
            <w:tcW w:w="1068" w:type="pct"/>
            <w:tcBorders>
              <w:left w:val="nil"/>
              <w:bottom w:val="single" w:sz="4" w:space="0" w:color="auto"/>
              <w:right w:val="nil"/>
            </w:tcBorders>
            <w:vAlign w:val="center"/>
          </w:tcPr>
          <w:p w:rsidR="00AA233E" w:rsidRPr="00373C2C" w:rsidRDefault="001C7E9D" w:rsidP="00E533E9">
            <w:pPr>
              <w:pStyle w:val="Caption"/>
              <w:spacing w:before="200"/>
              <w:rPr>
                <w:rFonts w:ascii="Times New Roman" w:hAnsi="Times New Roman" w:cs="Times New Roman"/>
                <w:b/>
              </w:rPr>
            </w:pPr>
            <m:oMath>
              <m:sSub>
                <m:sSubPr>
                  <m:ctrlPr>
                    <w:rPr>
                      <w:rFonts w:ascii="Cambria Math" w:hAnsi="Cambria Math" w:cs="Times New Roman"/>
                      <w:b/>
                      <w:i/>
                    </w:rPr>
                  </m:ctrlPr>
                </m:sSubPr>
                <m:e>
                  <m:acc>
                    <m:accPr>
                      <m:chr m:val="̇"/>
                      <m:ctrlPr>
                        <w:rPr>
                          <w:rFonts w:ascii="Cambria Math" w:hAnsi="Cambria Math" w:cs="Times New Roman"/>
                          <w:b/>
                          <w:i/>
                        </w:rPr>
                      </m:ctrlPr>
                    </m:accPr>
                    <m:e>
                      <m:r>
                        <m:rPr>
                          <m:sty m:val="bi"/>
                        </m:rPr>
                        <w:rPr>
                          <w:rFonts w:ascii="Cambria Math" w:hAnsi="Cambria Math" w:cs="Times New Roman"/>
                        </w:rPr>
                        <m:t>W</m:t>
                      </m:r>
                    </m:e>
                  </m:acc>
                </m:e>
                <m:sub>
                  <m:r>
                    <m:rPr>
                      <m:sty m:val="bi"/>
                    </m:rPr>
                    <w:rPr>
                      <w:rFonts w:ascii="Cambria Math" w:hAnsi="Cambria Math" w:cs="Times New Roman"/>
                    </w:rPr>
                    <m:t>e</m:t>
                  </m:r>
                </m:sub>
              </m:sSub>
            </m:oMath>
            <w:r w:rsidR="00AA233E" w:rsidRPr="00373C2C">
              <w:rPr>
                <w:rFonts w:ascii="Times New Roman" w:hAnsi="Times New Roman" w:cs="Times New Roman"/>
                <w:b/>
              </w:rPr>
              <w:t xml:space="preserve"> </w:t>
            </w:r>
          </w:p>
          <w:p w:rsidR="00AA233E" w:rsidRPr="00373C2C" w:rsidRDefault="00AA233E" w:rsidP="00E533E9">
            <w:pPr>
              <w:pStyle w:val="Caption"/>
              <w:spacing w:before="200"/>
              <w:rPr>
                <w:rFonts w:ascii="Times New Roman" w:hAnsi="Times New Roman" w:cs="Times New Roman"/>
                <w:b/>
              </w:rPr>
            </w:pPr>
            <w:r w:rsidRPr="00373C2C">
              <w:rPr>
                <w:rFonts w:ascii="Times New Roman" w:hAnsi="Times New Roman" w:cs="Times New Roman"/>
                <w:b/>
              </w:rPr>
              <w:t>(</w:t>
            </w:r>
            <w:proofErr w:type="spellStart"/>
            <w:r w:rsidRPr="00373C2C">
              <w:rPr>
                <w:rFonts w:ascii="Times New Roman" w:hAnsi="Times New Roman" w:cs="Times New Roman"/>
                <w:b/>
              </w:rPr>
              <w:t>kW</w:t>
            </w:r>
            <w:r w:rsidRPr="00373C2C">
              <w:rPr>
                <w:rFonts w:ascii="Times New Roman" w:hAnsi="Times New Roman" w:cs="Times New Roman"/>
                <w:b/>
                <w:vertAlign w:val="subscript"/>
              </w:rPr>
              <w:t>e</w:t>
            </w:r>
            <w:proofErr w:type="spellEnd"/>
            <w:r w:rsidRPr="00373C2C">
              <w:rPr>
                <w:rFonts w:ascii="Times New Roman" w:hAnsi="Times New Roman" w:cs="Times New Roman"/>
                <w:b/>
              </w:rPr>
              <w:t>)</w:t>
            </w:r>
          </w:p>
        </w:tc>
        <w:tc>
          <w:tcPr>
            <w:tcW w:w="1098" w:type="pct"/>
            <w:tcBorders>
              <w:left w:val="nil"/>
              <w:bottom w:val="single" w:sz="4" w:space="0" w:color="auto"/>
              <w:right w:val="nil"/>
            </w:tcBorders>
            <w:vAlign w:val="center"/>
          </w:tcPr>
          <w:p w:rsidR="00AA233E" w:rsidRPr="00373C2C" w:rsidRDefault="00AA233E" w:rsidP="00E533E9">
            <w:pPr>
              <w:pStyle w:val="Caption"/>
              <w:spacing w:before="200"/>
              <w:rPr>
                <w:rFonts w:ascii="Times New Roman" w:hAnsi="Times New Roman" w:cs="Times New Roman"/>
                <w:b/>
                <w:i/>
              </w:rPr>
            </w:pPr>
            <w:r w:rsidRPr="00373C2C">
              <w:rPr>
                <w:rFonts w:ascii="Times New Roman" w:hAnsi="Times New Roman" w:cs="Times New Roman"/>
                <w:b/>
                <w:i/>
              </w:rPr>
              <w:t>P</w:t>
            </w:r>
          </w:p>
          <w:p w:rsidR="00AA233E" w:rsidRPr="00373C2C" w:rsidRDefault="00AA233E" w:rsidP="00E533E9">
            <w:pPr>
              <w:pStyle w:val="Caption"/>
              <w:spacing w:before="200"/>
              <w:rPr>
                <w:rFonts w:ascii="Times New Roman" w:hAnsi="Times New Roman" w:cs="Times New Roman"/>
                <w:b/>
              </w:rPr>
            </w:pPr>
            <w:r w:rsidRPr="00373C2C">
              <w:rPr>
                <w:rFonts w:ascii="Times New Roman" w:hAnsi="Times New Roman" w:cs="Times New Roman"/>
                <w:b/>
              </w:rPr>
              <w:t>(kPa)</w:t>
            </w:r>
          </w:p>
        </w:tc>
        <w:tc>
          <w:tcPr>
            <w:tcW w:w="942" w:type="pct"/>
            <w:tcBorders>
              <w:left w:val="nil"/>
              <w:bottom w:val="single" w:sz="4" w:space="0" w:color="auto"/>
              <w:right w:val="nil"/>
            </w:tcBorders>
          </w:tcPr>
          <w:p w:rsidR="00AA233E" w:rsidRPr="00373C2C" w:rsidRDefault="00AA233E" w:rsidP="00E533E9">
            <w:pPr>
              <w:pStyle w:val="Caption"/>
              <w:spacing w:before="200"/>
              <w:rPr>
                <w:rFonts w:ascii="Times New Roman" w:hAnsi="Times New Roman" w:cs="Times New Roman"/>
                <w:b/>
                <w:i/>
                <w:vertAlign w:val="subscript"/>
              </w:rPr>
            </w:pPr>
            <w:proofErr w:type="spellStart"/>
            <w:r w:rsidRPr="00373C2C">
              <w:rPr>
                <w:rFonts w:ascii="Times New Roman" w:hAnsi="Times New Roman" w:cs="Times New Roman"/>
                <w:b/>
                <w:i/>
              </w:rPr>
              <w:t>η</w:t>
            </w:r>
            <w:r w:rsidRPr="00373C2C">
              <w:rPr>
                <w:rFonts w:ascii="Times New Roman" w:hAnsi="Times New Roman" w:cs="Times New Roman"/>
                <w:b/>
                <w:i/>
                <w:vertAlign w:val="subscript"/>
              </w:rPr>
              <w:t>th</w:t>
            </w:r>
            <w:proofErr w:type="spellEnd"/>
          </w:p>
          <w:p w:rsidR="00AA233E" w:rsidRPr="00373C2C" w:rsidRDefault="00AA233E" w:rsidP="00E533E9">
            <w:pPr>
              <w:pStyle w:val="Caption"/>
              <w:spacing w:before="200"/>
              <w:rPr>
                <w:rFonts w:ascii="Times New Roman" w:hAnsi="Times New Roman" w:cs="Times New Roman"/>
                <w:b/>
              </w:rPr>
            </w:pPr>
            <w:r w:rsidRPr="00373C2C">
              <w:rPr>
                <w:rFonts w:ascii="Times New Roman" w:hAnsi="Times New Roman" w:cs="Times New Roman"/>
                <w:b/>
              </w:rPr>
              <w:t>(%)</w:t>
            </w:r>
          </w:p>
        </w:tc>
      </w:tr>
      <w:tr w:rsidR="00AA233E" w:rsidRPr="001A3583" w:rsidTr="00E533E9">
        <w:trPr>
          <w:jc w:val="center"/>
        </w:trPr>
        <w:tc>
          <w:tcPr>
            <w:tcW w:w="1892" w:type="pct"/>
            <w:tcBorders>
              <w:left w:val="nil"/>
              <w:bottom w:val="nil"/>
              <w:right w:val="nil"/>
            </w:tcBorders>
            <w:vAlign w:val="center"/>
          </w:tcPr>
          <w:p w:rsidR="00AA233E" w:rsidRPr="001A3583" w:rsidRDefault="00AA233E" w:rsidP="00E533E9">
            <w:pPr>
              <w:pStyle w:val="Caption"/>
              <w:spacing w:before="200"/>
              <w:rPr>
                <w:rFonts w:ascii="Times New Roman" w:hAnsi="Times New Roman" w:cs="Times New Roman"/>
                <w:i/>
              </w:rPr>
            </w:pPr>
            <w:r w:rsidRPr="001A3583">
              <w:rPr>
                <w:rFonts w:ascii="Times New Roman" w:hAnsi="Times New Roman" w:cs="Times New Roman"/>
                <w:i/>
              </w:rPr>
              <w:t>Water</w:t>
            </w:r>
          </w:p>
        </w:tc>
        <w:tc>
          <w:tcPr>
            <w:tcW w:w="1068" w:type="pct"/>
            <w:tcBorders>
              <w:left w:val="nil"/>
              <w:bottom w:val="nil"/>
              <w:right w:val="nil"/>
            </w:tcBorders>
          </w:tcPr>
          <w:p w:rsidR="00AA233E" w:rsidRPr="001A3583" w:rsidRDefault="00AA233E" w:rsidP="00E533E9">
            <w:pPr>
              <w:pStyle w:val="Caption"/>
              <w:spacing w:before="200"/>
              <w:rPr>
                <w:rFonts w:ascii="Times New Roman" w:hAnsi="Times New Roman" w:cs="Times New Roman"/>
              </w:rPr>
            </w:pPr>
            <w:r w:rsidRPr="001A3583">
              <w:rPr>
                <w:rFonts w:ascii="Times New Roman" w:hAnsi="Times New Roman" w:cs="Times New Roman"/>
              </w:rPr>
              <w:t>886</w:t>
            </w:r>
          </w:p>
        </w:tc>
        <w:tc>
          <w:tcPr>
            <w:tcW w:w="1098" w:type="pct"/>
            <w:tcBorders>
              <w:left w:val="nil"/>
              <w:bottom w:val="nil"/>
              <w:right w:val="nil"/>
            </w:tcBorders>
          </w:tcPr>
          <w:p w:rsidR="00AA233E" w:rsidRPr="001A3583" w:rsidRDefault="00AA233E" w:rsidP="00E533E9">
            <w:pPr>
              <w:pStyle w:val="Caption"/>
              <w:spacing w:before="200"/>
              <w:rPr>
                <w:rFonts w:ascii="Times New Roman" w:hAnsi="Times New Roman" w:cs="Times New Roman"/>
              </w:rPr>
            </w:pPr>
            <w:r w:rsidRPr="001A3583">
              <w:rPr>
                <w:rFonts w:ascii="Times New Roman" w:hAnsi="Times New Roman" w:cs="Times New Roman"/>
              </w:rPr>
              <w:t>750</w:t>
            </w:r>
          </w:p>
        </w:tc>
        <w:tc>
          <w:tcPr>
            <w:tcW w:w="942" w:type="pct"/>
            <w:tcBorders>
              <w:left w:val="nil"/>
              <w:bottom w:val="nil"/>
              <w:right w:val="nil"/>
            </w:tcBorders>
          </w:tcPr>
          <w:p w:rsidR="00AA233E" w:rsidRPr="001A3583" w:rsidRDefault="00AA233E" w:rsidP="00E533E9">
            <w:pPr>
              <w:pStyle w:val="Caption"/>
              <w:spacing w:before="200"/>
              <w:rPr>
                <w:rFonts w:ascii="Times New Roman" w:hAnsi="Times New Roman" w:cs="Times New Roman"/>
              </w:rPr>
            </w:pPr>
            <w:r w:rsidRPr="001A3583">
              <w:rPr>
                <w:rFonts w:ascii="Times New Roman" w:hAnsi="Times New Roman" w:cs="Times New Roman"/>
              </w:rPr>
              <w:t>19.0</w:t>
            </w:r>
          </w:p>
        </w:tc>
      </w:tr>
      <w:tr w:rsidR="00AA233E" w:rsidRPr="001A3583" w:rsidTr="00E533E9">
        <w:trPr>
          <w:jc w:val="center"/>
        </w:trPr>
        <w:tc>
          <w:tcPr>
            <w:tcW w:w="1892" w:type="pct"/>
            <w:tcBorders>
              <w:top w:val="nil"/>
              <w:left w:val="nil"/>
              <w:bottom w:val="nil"/>
              <w:right w:val="nil"/>
            </w:tcBorders>
            <w:vAlign w:val="center"/>
          </w:tcPr>
          <w:p w:rsidR="00AA233E" w:rsidRPr="001A3583" w:rsidRDefault="00AA233E" w:rsidP="00E533E9">
            <w:pPr>
              <w:pStyle w:val="Caption"/>
              <w:rPr>
                <w:rFonts w:ascii="Times New Roman" w:hAnsi="Times New Roman" w:cs="Times New Roman"/>
                <w:i/>
              </w:rPr>
            </w:pPr>
            <w:r w:rsidRPr="001A3583">
              <w:rPr>
                <w:rFonts w:ascii="Times New Roman" w:hAnsi="Times New Roman" w:cs="Times New Roman"/>
                <w:i/>
              </w:rPr>
              <w:t>Heptane</w:t>
            </w:r>
          </w:p>
        </w:tc>
        <w:tc>
          <w:tcPr>
            <w:tcW w:w="1068" w:type="pct"/>
            <w:tcBorders>
              <w:top w:val="nil"/>
              <w:left w:val="nil"/>
              <w:bottom w:val="nil"/>
              <w:right w:val="nil"/>
            </w:tcBorders>
          </w:tcPr>
          <w:p w:rsidR="00AA233E" w:rsidRPr="001A3583" w:rsidRDefault="00AA233E" w:rsidP="00E533E9">
            <w:pPr>
              <w:pStyle w:val="Caption"/>
              <w:rPr>
                <w:rFonts w:ascii="Times New Roman" w:hAnsi="Times New Roman" w:cs="Times New Roman"/>
              </w:rPr>
            </w:pPr>
            <w:r w:rsidRPr="001A3583">
              <w:rPr>
                <w:rFonts w:ascii="Times New Roman" w:hAnsi="Times New Roman" w:cs="Times New Roman"/>
              </w:rPr>
              <w:t>959</w:t>
            </w:r>
          </w:p>
        </w:tc>
        <w:tc>
          <w:tcPr>
            <w:tcW w:w="1098" w:type="pct"/>
            <w:tcBorders>
              <w:top w:val="nil"/>
              <w:left w:val="nil"/>
              <w:bottom w:val="nil"/>
              <w:right w:val="nil"/>
            </w:tcBorders>
          </w:tcPr>
          <w:p w:rsidR="00AA233E" w:rsidRPr="001A3583" w:rsidRDefault="00AA233E" w:rsidP="00E533E9">
            <w:pPr>
              <w:pStyle w:val="Caption"/>
              <w:rPr>
                <w:rFonts w:ascii="Times New Roman" w:hAnsi="Times New Roman" w:cs="Times New Roman"/>
              </w:rPr>
            </w:pPr>
            <w:r w:rsidRPr="001A3583">
              <w:rPr>
                <w:rFonts w:ascii="Times New Roman" w:hAnsi="Times New Roman" w:cs="Times New Roman"/>
              </w:rPr>
              <w:t>490</w:t>
            </w:r>
          </w:p>
        </w:tc>
        <w:tc>
          <w:tcPr>
            <w:tcW w:w="942" w:type="pct"/>
            <w:tcBorders>
              <w:top w:val="nil"/>
              <w:left w:val="nil"/>
              <w:bottom w:val="nil"/>
              <w:right w:val="nil"/>
            </w:tcBorders>
          </w:tcPr>
          <w:p w:rsidR="00AA233E" w:rsidRPr="001A3583" w:rsidRDefault="00AA233E" w:rsidP="00E533E9">
            <w:pPr>
              <w:pStyle w:val="Caption"/>
              <w:rPr>
                <w:rFonts w:ascii="Times New Roman" w:hAnsi="Times New Roman" w:cs="Times New Roman"/>
              </w:rPr>
            </w:pPr>
            <w:r w:rsidRPr="001A3583">
              <w:rPr>
                <w:rFonts w:ascii="Times New Roman" w:hAnsi="Times New Roman" w:cs="Times New Roman"/>
              </w:rPr>
              <w:t>20.4</w:t>
            </w:r>
          </w:p>
        </w:tc>
      </w:tr>
      <w:tr w:rsidR="00AA233E" w:rsidRPr="001A3583" w:rsidTr="00E533E9">
        <w:trPr>
          <w:jc w:val="center"/>
        </w:trPr>
        <w:tc>
          <w:tcPr>
            <w:tcW w:w="1892" w:type="pct"/>
            <w:tcBorders>
              <w:top w:val="nil"/>
              <w:left w:val="nil"/>
              <w:bottom w:val="nil"/>
              <w:right w:val="nil"/>
            </w:tcBorders>
            <w:vAlign w:val="center"/>
          </w:tcPr>
          <w:p w:rsidR="00AA233E" w:rsidRPr="001A3583" w:rsidRDefault="00AA233E" w:rsidP="00E533E9">
            <w:pPr>
              <w:pStyle w:val="Caption"/>
              <w:rPr>
                <w:rFonts w:ascii="Times New Roman" w:hAnsi="Times New Roman" w:cs="Times New Roman"/>
                <w:i/>
              </w:rPr>
            </w:pPr>
            <w:r w:rsidRPr="001A3583">
              <w:rPr>
                <w:rFonts w:ascii="Times New Roman" w:hAnsi="Times New Roman" w:cs="Times New Roman"/>
                <w:i/>
              </w:rPr>
              <w:t>Benzene</w:t>
            </w:r>
          </w:p>
        </w:tc>
        <w:tc>
          <w:tcPr>
            <w:tcW w:w="1068" w:type="pct"/>
            <w:tcBorders>
              <w:top w:val="nil"/>
              <w:left w:val="nil"/>
              <w:bottom w:val="nil"/>
              <w:right w:val="nil"/>
            </w:tcBorders>
          </w:tcPr>
          <w:p w:rsidR="00AA233E" w:rsidRPr="001A3583" w:rsidRDefault="00AA233E" w:rsidP="00E533E9">
            <w:pPr>
              <w:pStyle w:val="Caption"/>
              <w:rPr>
                <w:rFonts w:ascii="Times New Roman" w:hAnsi="Times New Roman" w:cs="Times New Roman"/>
              </w:rPr>
            </w:pPr>
            <w:r w:rsidRPr="001A3583">
              <w:rPr>
                <w:rFonts w:ascii="Times New Roman" w:hAnsi="Times New Roman" w:cs="Times New Roman"/>
              </w:rPr>
              <w:t>1,040</w:t>
            </w:r>
          </w:p>
        </w:tc>
        <w:tc>
          <w:tcPr>
            <w:tcW w:w="1098" w:type="pct"/>
            <w:tcBorders>
              <w:top w:val="nil"/>
              <w:left w:val="nil"/>
              <w:bottom w:val="nil"/>
              <w:right w:val="nil"/>
            </w:tcBorders>
          </w:tcPr>
          <w:p w:rsidR="00AA233E" w:rsidRPr="001A3583" w:rsidRDefault="00AA233E" w:rsidP="00E533E9">
            <w:pPr>
              <w:pStyle w:val="Caption"/>
              <w:rPr>
                <w:rFonts w:ascii="Times New Roman" w:hAnsi="Times New Roman" w:cs="Times New Roman"/>
              </w:rPr>
            </w:pPr>
            <w:r w:rsidRPr="001A3583">
              <w:rPr>
                <w:rFonts w:ascii="Times New Roman" w:hAnsi="Times New Roman" w:cs="Times New Roman"/>
              </w:rPr>
              <w:t>760</w:t>
            </w:r>
          </w:p>
        </w:tc>
        <w:tc>
          <w:tcPr>
            <w:tcW w:w="942" w:type="pct"/>
            <w:tcBorders>
              <w:top w:val="nil"/>
              <w:left w:val="nil"/>
              <w:bottom w:val="nil"/>
              <w:right w:val="nil"/>
            </w:tcBorders>
          </w:tcPr>
          <w:p w:rsidR="00AA233E" w:rsidRPr="001A3583" w:rsidRDefault="00AA233E" w:rsidP="00E533E9">
            <w:pPr>
              <w:pStyle w:val="Caption"/>
              <w:rPr>
                <w:rFonts w:ascii="Times New Roman" w:hAnsi="Times New Roman" w:cs="Times New Roman"/>
              </w:rPr>
            </w:pPr>
            <w:r w:rsidRPr="001A3583">
              <w:rPr>
                <w:rFonts w:ascii="Times New Roman" w:hAnsi="Times New Roman" w:cs="Times New Roman"/>
              </w:rPr>
              <w:t>22.1</w:t>
            </w:r>
          </w:p>
        </w:tc>
      </w:tr>
      <w:tr w:rsidR="00AA233E" w:rsidRPr="001A3583" w:rsidTr="00E533E9">
        <w:trPr>
          <w:jc w:val="center"/>
        </w:trPr>
        <w:tc>
          <w:tcPr>
            <w:tcW w:w="1892" w:type="pct"/>
            <w:tcBorders>
              <w:top w:val="nil"/>
              <w:left w:val="nil"/>
              <w:bottom w:val="nil"/>
              <w:right w:val="nil"/>
            </w:tcBorders>
            <w:vAlign w:val="center"/>
          </w:tcPr>
          <w:p w:rsidR="00AA233E" w:rsidRPr="001A3583" w:rsidRDefault="00AA233E" w:rsidP="00E533E9">
            <w:pPr>
              <w:pStyle w:val="Caption"/>
              <w:rPr>
                <w:rFonts w:ascii="Times New Roman" w:hAnsi="Times New Roman" w:cs="Times New Roman"/>
                <w:i/>
              </w:rPr>
            </w:pPr>
            <w:r w:rsidRPr="001A3583">
              <w:rPr>
                <w:rFonts w:ascii="Times New Roman" w:hAnsi="Times New Roman" w:cs="Times New Roman"/>
                <w:i/>
              </w:rPr>
              <w:t>Toluene</w:t>
            </w:r>
          </w:p>
        </w:tc>
        <w:tc>
          <w:tcPr>
            <w:tcW w:w="1068" w:type="pct"/>
            <w:tcBorders>
              <w:top w:val="nil"/>
              <w:left w:val="nil"/>
              <w:bottom w:val="nil"/>
              <w:right w:val="nil"/>
            </w:tcBorders>
          </w:tcPr>
          <w:p w:rsidR="00AA233E" w:rsidRPr="001A3583" w:rsidRDefault="00AA233E" w:rsidP="00E533E9">
            <w:pPr>
              <w:pStyle w:val="Caption"/>
              <w:rPr>
                <w:rFonts w:ascii="Times New Roman" w:hAnsi="Times New Roman" w:cs="Times New Roman"/>
              </w:rPr>
            </w:pPr>
            <w:r w:rsidRPr="001A3583">
              <w:rPr>
                <w:rFonts w:ascii="Times New Roman" w:hAnsi="Times New Roman" w:cs="Times New Roman"/>
              </w:rPr>
              <w:t>869</w:t>
            </w:r>
          </w:p>
        </w:tc>
        <w:tc>
          <w:tcPr>
            <w:tcW w:w="1098" w:type="pct"/>
            <w:tcBorders>
              <w:top w:val="nil"/>
              <w:left w:val="nil"/>
              <w:bottom w:val="nil"/>
              <w:right w:val="nil"/>
            </w:tcBorders>
          </w:tcPr>
          <w:p w:rsidR="00AA233E" w:rsidRPr="001A3583" w:rsidRDefault="00AA233E" w:rsidP="00E533E9">
            <w:pPr>
              <w:pStyle w:val="Caption"/>
              <w:rPr>
                <w:rFonts w:ascii="Times New Roman" w:hAnsi="Times New Roman" w:cs="Times New Roman"/>
              </w:rPr>
            </w:pPr>
            <w:r w:rsidRPr="001A3583">
              <w:rPr>
                <w:rFonts w:ascii="Times New Roman" w:hAnsi="Times New Roman" w:cs="Times New Roman"/>
              </w:rPr>
              <w:t>350</w:t>
            </w:r>
          </w:p>
        </w:tc>
        <w:tc>
          <w:tcPr>
            <w:tcW w:w="942" w:type="pct"/>
            <w:tcBorders>
              <w:top w:val="nil"/>
              <w:left w:val="nil"/>
              <w:bottom w:val="nil"/>
              <w:right w:val="nil"/>
            </w:tcBorders>
          </w:tcPr>
          <w:p w:rsidR="00AA233E" w:rsidRPr="001A3583" w:rsidRDefault="00AA233E" w:rsidP="00E533E9">
            <w:pPr>
              <w:pStyle w:val="Caption"/>
              <w:rPr>
                <w:rFonts w:ascii="Times New Roman" w:hAnsi="Times New Roman" w:cs="Times New Roman"/>
              </w:rPr>
            </w:pPr>
            <w:r w:rsidRPr="001A3583">
              <w:rPr>
                <w:rFonts w:ascii="Times New Roman" w:hAnsi="Times New Roman" w:cs="Times New Roman"/>
              </w:rPr>
              <w:t>18.7</w:t>
            </w:r>
          </w:p>
        </w:tc>
      </w:tr>
      <w:tr w:rsidR="00AA233E" w:rsidRPr="001A3583" w:rsidTr="00E533E9">
        <w:trPr>
          <w:jc w:val="center"/>
        </w:trPr>
        <w:tc>
          <w:tcPr>
            <w:tcW w:w="1892" w:type="pct"/>
            <w:tcBorders>
              <w:top w:val="nil"/>
              <w:left w:val="nil"/>
              <w:right w:val="nil"/>
            </w:tcBorders>
            <w:vAlign w:val="center"/>
          </w:tcPr>
          <w:p w:rsidR="00AA233E" w:rsidRPr="001A3583" w:rsidRDefault="00AA233E" w:rsidP="00E533E9">
            <w:pPr>
              <w:pStyle w:val="Caption"/>
              <w:rPr>
                <w:rFonts w:ascii="Times New Roman" w:hAnsi="Times New Roman" w:cs="Times New Roman"/>
              </w:rPr>
            </w:pPr>
            <w:r w:rsidRPr="001A3583">
              <w:rPr>
                <w:rFonts w:ascii="Times New Roman" w:hAnsi="Times New Roman" w:cs="Times New Roman"/>
                <w:i/>
              </w:rPr>
              <w:t>MM</w:t>
            </w:r>
          </w:p>
        </w:tc>
        <w:tc>
          <w:tcPr>
            <w:tcW w:w="1068" w:type="pct"/>
            <w:tcBorders>
              <w:top w:val="nil"/>
              <w:left w:val="nil"/>
              <w:right w:val="nil"/>
            </w:tcBorders>
          </w:tcPr>
          <w:p w:rsidR="00AA233E" w:rsidRPr="001A3583" w:rsidRDefault="00AA233E" w:rsidP="00E533E9">
            <w:pPr>
              <w:pStyle w:val="Caption"/>
              <w:rPr>
                <w:rFonts w:ascii="Times New Roman" w:hAnsi="Times New Roman" w:cs="Times New Roman"/>
              </w:rPr>
            </w:pPr>
            <w:r w:rsidRPr="001A3583">
              <w:rPr>
                <w:rFonts w:ascii="Times New Roman" w:hAnsi="Times New Roman" w:cs="Times New Roman"/>
              </w:rPr>
              <w:t>918</w:t>
            </w:r>
          </w:p>
        </w:tc>
        <w:tc>
          <w:tcPr>
            <w:tcW w:w="1098" w:type="pct"/>
            <w:tcBorders>
              <w:top w:val="nil"/>
              <w:left w:val="nil"/>
              <w:right w:val="nil"/>
            </w:tcBorders>
          </w:tcPr>
          <w:p w:rsidR="00AA233E" w:rsidRPr="001A3583" w:rsidRDefault="00AA233E" w:rsidP="00E533E9">
            <w:pPr>
              <w:pStyle w:val="Caption"/>
              <w:rPr>
                <w:rFonts w:ascii="Times New Roman" w:hAnsi="Times New Roman" w:cs="Times New Roman"/>
              </w:rPr>
            </w:pPr>
            <w:r w:rsidRPr="001A3583">
              <w:rPr>
                <w:rFonts w:ascii="Times New Roman" w:hAnsi="Times New Roman" w:cs="Times New Roman"/>
              </w:rPr>
              <w:t>480</w:t>
            </w:r>
          </w:p>
        </w:tc>
        <w:tc>
          <w:tcPr>
            <w:tcW w:w="942" w:type="pct"/>
            <w:tcBorders>
              <w:top w:val="nil"/>
              <w:left w:val="nil"/>
              <w:right w:val="nil"/>
            </w:tcBorders>
          </w:tcPr>
          <w:p w:rsidR="00AA233E" w:rsidRPr="001A3583" w:rsidRDefault="00AA233E" w:rsidP="00E533E9">
            <w:pPr>
              <w:pStyle w:val="Caption"/>
              <w:rPr>
                <w:rFonts w:ascii="Times New Roman" w:hAnsi="Times New Roman" w:cs="Times New Roman"/>
              </w:rPr>
            </w:pPr>
            <w:r w:rsidRPr="001A3583">
              <w:rPr>
                <w:rFonts w:ascii="Times New Roman" w:hAnsi="Times New Roman" w:cs="Times New Roman"/>
              </w:rPr>
              <w:t>19.8</w:t>
            </w:r>
          </w:p>
        </w:tc>
      </w:tr>
    </w:tbl>
    <w:p w:rsidR="00CD028B" w:rsidRPr="000C4D22" w:rsidRDefault="00CD028B" w:rsidP="000C4D22">
      <w:pPr>
        <w:pStyle w:val="Tabletitle"/>
      </w:pPr>
      <w:proofErr w:type="gramStart"/>
      <w:r w:rsidRPr="000C4D22">
        <w:t xml:space="preserve">Table </w:t>
      </w:r>
      <w:r w:rsidR="001C7E9D">
        <w:fldChar w:fldCharType="begin"/>
      </w:r>
      <w:r w:rsidR="001C7E9D">
        <w:instrText xml:space="preserve"> SEQ Table \* ARABIC </w:instrText>
      </w:r>
      <w:r w:rsidR="001C7E9D">
        <w:fldChar w:fldCharType="separate"/>
      </w:r>
      <w:r w:rsidR="00AA6EE9">
        <w:rPr>
          <w:noProof/>
        </w:rPr>
        <w:t>3</w:t>
      </w:r>
      <w:r w:rsidR="001C7E9D">
        <w:rPr>
          <w:noProof/>
        </w:rPr>
        <w:fldChar w:fldCharType="end"/>
      </w:r>
      <w:bookmarkEnd w:id="23"/>
      <w:r w:rsidRPr="000C4D22">
        <w:t>: Data at the maximum net electric power output for different working fluids.</w:t>
      </w:r>
      <w:proofErr w:type="gramEnd"/>
    </w:p>
    <w:p w:rsidR="00CD028B" w:rsidRDefault="00CD028B" w:rsidP="000C4D22">
      <w:pPr>
        <w:pStyle w:val="Newparagraph"/>
      </w:pPr>
      <w:r w:rsidRPr="0073739C">
        <w:t xml:space="preserve">In </w:t>
      </w:r>
      <w:r w:rsidR="000C4D22">
        <w:fldChar w:fldCharType="begin"/>
      </w:r>
      <w:r w:rsidR="000C4D22">
        <w:instrText xml:space="preserve"> REF _Ref414014215 \h </w:instrText>
      </w:r>
      <w:r w:rsidR="000C4D22">
        <w:fldChar w:fldCharType="separate"/>
      </w:r>
      <w:r w:rsidR="00AA6EE9">
        <w:t>Figure</w:t>
      </w:r>
      <w:r w:rsidR="00AA6EE9" w:rsidRPr="0073739C">
        <w:t xml:space="preserve"> </w:t>
      </w:r>
      <w:r w:rsidR="00AA6EE9">
        <w:rPr>
          <w:noProof/>
        </w:rPr>
        <w:t>8</w:t>
      </w:r>
      <w:r w:rsidR="000C4D22">
        <w:fldChar w:fldCharType="end"/>
      </w:r>
      <w:r w:rsidRPr="0073739C">
        <w:t xml:space="preserve"> it is </w:t>
      </w:r>
      <w:r w:rsidR="00FC649C">
        <w:t>shown</w:t>
      </w:r>
      <w:r w:rsidRPr="0073739C">
        <w:t xml:space="preserve"> that all working fluids increased their thermal efficiency as the high pressure increase</w:t>
      </w:r>
      <w:r w:rsidR="000C4D22">
        <w:t>d. This behaviour is caused by e</w:t>
      </w:r>
      <w:r w:rsidRPr="0073739C">
        <w:t>quation (1</w:t>
      </w:r>
      <w:r>
        <w:t>3</w:t>
      </w:r>
      <w:r w:rsidRPr="0073739C">
        <w:t>) which measures thermal efficiency with respect to the heat absorbed, and not by the total heat available at the exhaust gas. As the pressure increases, so does the saturation temperature, reducing the heat absorbed by the cycles. So</w:t>
      </w:r>
      <w:r w:rsidR="008623DF">
        <w:t>,</w:t>
      </w:r>
      <w:r w:rsidRPr="0073739C">
        <w:t xml:space="preserve"> </w:t>
      </w:r>
      <w:r w:rsidR="008623DF">
        <w:t>al</w:t>
      </w:r>
      <w:r w:rsidRPr="0073739C">
        <w:t xml:space="preserve">though the thermal efficiency increases, the total power output declines as seen in </w:t>
      </w:r>
      <w:r w:rsidR="000C4D22">
        <w:fldChar w:fldCharType="begin"/>
      </w:r>
      <w:r w:rsidR="000C4D22">
        <w:instrText xml:space="preserve"> REF _Ref414014159 \h </w:instrText>
      </w:r>
      <w:r w:rsidR="000C4D22">
        <w:fldChar w:fldCharType="separate"/>
      </w:r>
      <w:r w:rsidR="00AA6EE9">
        <w:t>Figure</w:t>
      </w:r>
      <w:r w:rsidR="00AA6EE9" w:rsidRPr="0073739C">
        <w:t xml:space="preserve"> </w:t>
      </w:r>
      <w:r w:rsidR="00AA6EE9">
        <w:rPr>
          <w:noProof/>
        </w:rPr>
        <w:t>7</w:t>
      </w:r>
      <w:r w:rsidR="000C4D22">
        <w:fldChar w:fldCharType="end"/>
      </w:r>
      <w:r w:rsidRPr="0073739C">
        <w:t xml:space="preserve">. </w:t>
      </w:r>
      <w:r w:rsidRPr="001E0A4E">
        <w:t>At low pressures, the saturation point is reached at lower temperatures</w:t>
      </w:r>
      <w:r w:rsidR="008623DF">
        <w:t>,</w:t>
      </w:r>
      <w:r w:rsidRPr="001E0A4E">
        <w:t xml:space="preserve"> allowing the working fluid to absorb more heat from the waste heat source</w:t>
      </w:r>
      <w:r>
        <w:t>. The</w:t>
      </w:r>
      <w:r w:rsidRPr="0073739C">
        <w:t xml:space="preserve"> power demand from the pumps </w:t>
      </w:r>
      <w:r w:rsidR="008623DF">
        <w:t>begin</w:t>
      </w:r>
      <w:r w:rsidRPr="0073739C">
        <w:t xml:space="preserve"> to dominate as the pressure increase</w:t>
      </w:r>
      <w:r>
        <w:t>s</w:t>
      </w:r>
      <w:r w:rsidR="008623DF">
        <w:t>,</w:t>
      </w:r>
      <w:r w:rsidRPr="0073739C">
        <w:t xml:space="preserve"> causing a</w:t>
      </w:r>
      <w:r>
        <w:t xml:space="preserve"> reduction in the</w:t>
      </w:r>
      <w:r w:rsidRPr="0073739C">
        <w:t xml:space="preserve"> thermal efficiency </w:t>
      </w:r>
      <w:r>
        <w:t xml:space="preserve">gradient. </w:t>
      </w:r>
      <w:r w:rsidRPr="0073739C">
        <w:t xml:space="preserve">The behaviour of the WHRS thermal efficiency, as measured in this work, is also discussed by </w:t>
      </w:r>
      <w:r w:rsidRPr="0073739C">
        <w:rPr>
          <w:noProof/>
        </w:rPr>
        <w:t xml:space="preserve">Liu </w:t>
      </w:r>
      <w:r w:rsidRPr="004A7186">
        <w:rPr>
          <w:i/>
          <w:noProof/>
        </w:rPr>
        <w:t>et al</w:t>
      </w:r>
      <w:r w:rsidRPr="000C4D22">
        <w:rPr>
          <w:noProof/>
        </w:rPr>
        <w:t>.</w:t>
      </w:r>
      <w:r w:rsidRPr="0073739C">
        <w:t xml:space="preserve"> </w:t>
      </w:r>
      <w:r>
        <w:fldChar w:fldCharType="begin" w:fldLock="1"/>
      </w:r>
      <w:r w:rsidR="000C4D22">
        <w:instrText>ADDIN CSL_CITATION { "citationItems" : [ { "id" : "ITEM-1", "itemData" : { "DOI" : "10.1016/j.energy.2004.01.004", "ISBN" : "8863582025", "ISSN" : "03605442", "abstract" : "This study presents an analysis of the performance of organic Rankine cycle (ORC) subjected to the influence of working fluids. The effects of various working fluids on the thermal efficiency and on the total heat-recovery efficiency have been investigated. It is found that the presence of hydrogen bond in certain molecules such as water, ammonia, and ethanol may result in wet fluid conditions due to larger vaporizing enthalpy, and is regarded as inappropriate for ORC systems. The calculated results reveal that the thermal efficiency for various working fluids is a weak function of the critical temperature. The maximum value of the total heat-recovery efficiency occurs at the appropriate evaporating temperature between the inlet temperature of waste heat and the condensing temperature. In addition, the maximum value of total heat-recovery efficiency increases with the increase of the inlet temperature of the waste heat source and decreases it by using working fluids having lower critical temperature. Analytical results using a constant waste heat temperature or based on thermal efficiency may result in considerable devi- ation of system design relative to the varying temperature conditions of the actual waste heat recovery and is regarded as inappropriate.", "author" : [ { "dropping-particle" : "", "family" : "Liu", "given" : "Bo-Tau", "non-dropping-particle" : "", "parse-names" : false, "suffix" : "" }, { "dropping-particle" : "", "family" : "Chien", "given" : "Kuo-Hsiang", "non-dropping-particle" : "", "parse-names" : false, "suffix" : "" }, { "dropping-particle" : "", "family" : "Wang", "given" : "Chi-Chuan", "non-dropping-particle" : "", "parse-names" : false, "suffix" : "" } ], "container-title" : "Energy", "id" : "ITEM-1", "issue" : "8", "issued" : { "date-parts" : [ [ "2004", "6" ] ] }, "page" : "1207-1217", "title" : "Effect of working fluids on organic Rankine cycle for waste heat recovery", "type" : "article-journal", "volume" : "29" }, "uris" : [ "http://www.mendeley.com/documents/?uuid=ab020046-c5f7-45dc-9050-90bafad4f22a" ] } ], "mendeley" : { "formattedCitation" : "(Liu et al. 2004)", "manualFormatting" : "(2004)", "plainTextFormattedCitation" : "(Liu et al. 2004)", "previouslyFormattedCitation" : "(Liu et al. 2004)" }, "properties" : { "noteIndex" : 0 }, "schema" : "https://github.com/citation-style-language/schema/raw/master/csl-citation.json" }</w:instrText>
      </w:r>
      <w:r>
        <w:fldChar w:fldCharType="separate"/>
      </w:r>
      <w:r w:rsidR="000C4D22">
        <w:rPr>
          <w:noProof/>
        </w:rPr>
        <w:t>(</w:t>
      </w:r>
      <w:r w:rsidR="000C4D22" w:rsidRPr="000C4D22">
        <w:rPr>
          <w:noProof/>
        </w:rPr>
        <w:t>2004)</w:t>
      </w:r>
      <w:r>
        <w:fldChar w:fldCharType="end"/>
      </w:r>
      <w:r w:rsidRPr="0073739C">
        <w:t xml:space="preserve"> but instead of using the pressure as independent variable they use</w:t>
      </w:r>
      <w:r w:rsidR="008623DF">
        <w:t>d</w:t>
      </w:r>
      <w:r w:rsidRPr="0073739C">
        <w:t xml:space="preserve"> the saturation temperature. Benzene delivered a maximum thermal efficiency of 22.</w:t>
      </w:r>
      <w:r>
        <w:t>1</w:t>
      </w:r>
      <w:r w:rsidRPr="0073739C">
        <w:t xml:space="preserve">% while </w:t>
      </w:r>
      <w:r>
        <w:t>toluene achieved</w:t>
      </w:r>
      <w:r w:rsidRPr="0073739C">
        <w:t xml:space="preserve"> the lowest at </w:t>
      </w:r>
      <w:r>
        <w:t>18</w:t>
      </w:r>
      <w:r w:rsidRPr="0073739C">
        <w:t>.</w:t>
      </w:r>
      <w:r>
        <w:t>7</w:t>
      </w:r>
      <w:r w:rsidRPr="0073739C">
        <w:t xml:space="preserve">%. </w:t>
      </w:r>
    </w:p>
    <w:p w:rsidR="00AA233E" w:rsidRDefault="00AA233E" w:rsidP="00AA233E">
      <w:pPr>
        <w:pStyle w:val="Newparagraph"/>
        <w:spacing w:line="240" w:lineRule="auto"/>
      </w:pPr>
      <w:r>
        <w:rPr>
          <w:noProof/>
        </w:rPr>
        <w:lastRenderedPageBreak/>
        <w:drawing>
          <wp:inline distT="0" distB="0" distL="0" distR="0" wp14:anchorId="289386D9" wp14:editId="75C83A9F">
            <wp:extent cx="4264761" cy="3445459"/>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6184" t="29769" r="37097" b="30382"/>
                    <a:stretch/>
                  </pic:blipFill>
                  <pic:spPr bwMode="auto">
                    <a:xfrm>
                      <a:off x="0" y="0"/>
                      <a:ext cx="4265853" cy="3446341"/>
                    </a:xfrm>
                    <a:prstGeom prst="rect">
                      <a:avLst/>
                    </a:prstGeom>
                    <a:ln>
                      <a:noFill/>
                    </a:ln>
                    <a:extLst>
                      <a:ext uri="{53640926-AAD7-44D8-BBD7-CCE9431645EC}">
                        <a14:shadowObscured xmlns:a14="http://schemas.microsoft.com/office/drawing/2010/main"/>
                      </a:ext>
                    </a:extLst>
                  </pic:spPr>
                </pic:pic>
              </a:graphicData>
            </a:graphic>
          </wp:inline>
        </w:drawing>
      </w:r>
    </w:p>
    <w:p w:rsidR="00CD028B" w:rsidRPr="0073739C" w:rsidRDefault="00CD028B" w:rsidP="000C4D22">
      <w:pPr>
        <w:pStyle w:val="Figurecaption"/>
      </w:pPr>
      <w:bookmarkStart w:id="24" w:name="_Ref365038175"/>
      <w:bookmarkStart w:id="25" w:name="_Ref414014215"/>
      <w:r>
        <w:t>Fig</w:t>
      </w:r>
      <w:r w:rsidR="000C4D22">
        <w:t>ure</w:t>
      </w:r>
      <w:r w:rsidRPr="0073739C">
        <w:t xml:space="preserve"> </w:t>
      </w:r>
      <w:bookmarkEnd w:id="24"/>
      <w:r w:rsidR="000C4D22">
        <w:fldChar w:fldCharType="begin"/>
      </w:r>
      <w:r w:rsidR="000C4D22">
        <w:instrText xml:space="preserve"> SEQ Figure \* ARABIC </w:instrText>
      </w:r>
      <w:r w:rsidR="000C4D22">
        <w:fldChar w:fldCharType="separate"/>
      </w:r>
      <w:r w:rsidR="00AA6EE9">
        <w:rPr>
          <w:noProof/>
        </w:rPr>
        <w:t>8</w:t>
      </w:r>
      <w:r w:rsidR="000C4D22">
        <w:fldChar w:fldCharType="end"/>
      </w:r>
      <w:bookmarkEnd w:id="25"/>
      <w:r>
        <w:t>:</w:t>
      </w:r>
      <w:r w:rsidRPr="0073739C">
        <w:t xml:space="preserve"> Thermal efficiency achieved by the working fluids at 75% MCR.</w:t>
      </w:r>
    </w:p>
    <w:p w:rsidR="00CD028B" w:rsidRPr="0073739C" w:rsidRDefault="00CD028B" w:rsidP="000C4D22">
      <w:pPr>
        <w:pStyle w:val="Newparagraph"/>
      </w:pPr>
      <w:r>
        <w:t xml:space="preserve">The ORC operational lines seen in </w:t>
      </w:r>
      <w:r w:rsidR="000C4D22">
        <w:fldChar w:fldCharType="begin"/>
      </w:r>
      <w:r w:rsidR="000C4D22">
        <w:instrText xml:space="preserve"> REF _Ref414014215 \h </w:instrText>
      </w:r>
      <w:r w:rsidR="000C4D22">
        <w:fldChar w:fldCharType="separate"/>
      </w:r>
      <w:r w:rsidR="00AA6EE9">
        <w:t>Figure</w:t>
      </w:r>
      <w:r w:rsidR="00AA6EE9" w:rsidRPr="0073739C">
        <w:t xml:space="preserve"> </w:t>
      </w:r>
      <w:r w:rsidR="00AA6EE9">
        <w:rPr>
          <w:noProof/>
        </w:rPr>
        <w:t>8</w:t>
      </w:r>
      <w:r w:rsidR="000C4D22">
        <w:fldChar w:fldCharType="end"/>
      </w:r>
      <w:r>
        <w:t xml:space="preserve"> are shorter than th</w:t>
      </w:r>
      <w:r w:rsidR="008623DF">
        <w:t>os</w:t>
      </w:r>
      <w:r>
        <w:t xml:space="preserve">e for the water system. This is caused by the thermal oil’s temperature gradient between the heat exchanger’s entrance and exit. The restrictions affected designs with higher </w:t>
      </w:r>
      <w:r w:rsidRPr="007231C2">
        <w:rPr>
          <w:i/>
        </w:rPr>
        <w:t>P</w:t>
      </w:r>
      <w:r w:rsidRPr="007231C2">
        <w:rPr>
          <w:i/>
          <w:vertAlign w:val="subscript"/>
        </w:rPr>
        <w:t>1</w:t>
      </w:r>
      <w:r>
        <w:t xml:space="preserve"> which tend to have higher thermal efficiencies.   </w:t>
      </w:r>
    </w:p>
    <w:p w:rsidR="00CD028B" w:rsidRPr="0073739C" w:rsidRDefault="00CD028B" w:rsidP="00CD028B">
      <w:pPr>
        <w:pStyle w:val="Heading2"/>
        <w:rPr>
          <w:szCs w:val="20"/>
        </w:rPr>
      </w:pPr>
      <w:r w:rsidRPr="0073739C">
        <w:rPr>
          <w:szCs w:val="20"/>
        </w:rPr>
        <w:t>WHRS performance at different engine loadings</w:t>
      </w:r>
    </w:p>
    <w:p w:rsidR="00CD028B" w:rsidRPr="0073739C" w:rsidRDefault="00CD028B" w:rsidP="000C4D22">
      <w:pPr>
        <w:pStyle w:val="Paragraph"/>
      </w:pPr>
      <w:r w:rsidRPr="0073739C">
        <w:t>This section presents the results obtained when the operating conditions of the ship</w:t>
      </w:r>
      <w:r>
        <w:t>’s</w:t>
      </w:r>
      <w:r w:rsidRPr="0073739C">
        <w:t xml:space="preserve"> engine were changed, as shown in</w:t>
      </w:r>
      <w:r>
        <w:t xml:space="preserve"> </w:t>
      </w:r>
      <w:r w:rsidR="000C4D22">
        <w:fldChar w:fldCharType="begin"/>
      </w:r>
      <w:r w:rsidR="000C4D22">
        <w:instrText xml:space="preserve"> REF _Ref414014296 \h </w:instrText>
      </w:r>
      <w:r w:rsidR="000C4D22">
        <w:fldChar w:fldCharType="separate"/>
      </w:r>
      <w:r w:rsidR="00AA6EE9">
        <w:t xml:space="preserve">Figure </w:t>
      </w:r>
      <w:r w:rsidR="00AA6EE9">
        <w:rPr>
          <w:noProof/>
        </w:rPr>
        <w:t>3</w:t>
      </w:r>
      <w:r w:rsidR="000C4D22">
        <w:fldChar w:fldCharType="end"/>
      </w:r>
      <w:r w:rsidRPr="0073739C">
        <w:t xml:space="preserve">. The values </w:t>
      </w:r>
      <w:r>
        <w:t>used are</w:t>
      </w:r>
      <w:r w:rsidRPr="0073739C">
        <w:t xml:space="preserve"> at the maximum electric net power output obtained for every engine load and working fluid.</w:t>
      </w:r>
    </w:p>
    <w:p w:rsidR="00CD028B" w:rsidRPr="000D4130" w:rsidRDefault="00AA233E" w:rsidP="00AA233E">
      <w:pPr>
        <w:keepNext/>
        <w:autoSpaceDE w:val="0"/>
        <w:autoSpaceDN w:val="0"/>
        <w:adjustRightInd w:val="0"/>
        <w:spacing w:line="240" w:lineRule="auto"/>
        <w:jc w:val="center"/>
      </w:pPr>
      <w:r>
        <w:rPr>
          <w:noProof/>
        </w:rPr>
        <w:lastRenderedPageBreak/>
        <w:drawing>
          <wp:inline distT="0" distB="0" distL="0" distR="0" wp14:anchorId="55BE3025" wp14:editId="376E1DFE">
            <wp:extent cx="4433011" cy="3562502"/>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5903" t="29269" r="36992" b="30519"/>
                    <a:stretch/>
                  </pic:blipFill>
                  <pic:spPr bwMode="auto">
                    <a:xfrm>
                      <a:off x="0" y="0"/>
                      <a:ext cx="4434146" cy="3563414"/>
                    </a:xfrm>
                    <a:prstGeom prst="rect">
                      <a:avLst/>
                    </a:prstGeom>
                    <a:ln>
                      <a:noFill/>
                    </a:ln>
                    <a:extLst>
                      <a:ext uri="{53640926-AAD7-44D8-BBD7-CCE9431645EC}">
                        <a14:shadowObscured xmlns:a14="http://schemas.microsoft.com/office/drawing/2010/main"/>
                      </a:ext>
                    </a:extLst>
                  </pic:spPr>
                </pic:pic>
              </a:graphicData>
            </a:graphic>
          </wp:inline>
        </w:drawing>
      </w:r>
    </w:p>
    <w:p w:rsidR="00CD028B" w:rsidRDefault="00CD028B" w:rsidP="000C4D22">
      <w:pPr>
        <w:pStyle w:val="Figurecaption"/>
      </w:pPr>
      <w:bookmarkStart w:id="26" w:name="_Ref364990561"/>
      <w:bookmarkStart w:id="27" w:name="_Ref414014343"/>
      <w:r>
        <w:t>Fig</w:t>
      </w:r>
      <w:r w:rsidR="000C4D22">
        <w:t>ure</w:t>
      </w:r>
      <w:r w:rsidRPr="0073739C">
        <w:t xml:space="preserve"> </w:t>
      </w:r>
      <w:bookmarkEnd w:id="26"/>
      <w:r w:rsidR="000C4D22">
        <w:fldChar w:fldCharType="begin"/>
      </w:r>
      <w:r w:rsidR="000C4D22">
        <w:instrText xml:space="preserve"> SEQ Figure \* ARABIC </w:instrText>
      </w:r>
      <w:r w:rsidR="000C4D22">
        <w:fldChar w:fldCharType="separate"/>
      </w:r>
      <w:r w:rsidR="00AA6EE9">
        <w:rPr>
          <w:noProof/>
        </w:rPr>
        <w:t>9</w:t>
      </w:r>
      <w:r w:rsidR="000C4D22">
        <w:fldChar w:fldCharType="end"/>
      </w:r>
      <w:bookmarkEnd w:id="27"/>
      <w:r>
        <w:t>:</w:t>
      </w:r>
      <w:r w:rsidRPr="0073739C">
        <w:t xml:space="preserve"> Maximum net electric power output at different engine loadings.</w:t>
      </w:r>
    </w:p>
    <w:p w:rsidR="00CD028B" w:rsidRDefault="00CD028B" w:rsidP="000C4D22">
      <w:pPr>
        <w:pStyle w:val="Newparagraph"/>
      </w:pPr>
      <w:r w:rsidRPr="0073739C">
        <w:t xml:space="preserve">As can be seen in </w:t>
      </w:r>
      <w:r w:rsidR="000C4D22">
        <w:fldChar w:fldCharType="begin"/>
      </w:r>
      <w:r w:rsidR="000C4D22">
        <w:instrText xml:space="preserve"> REF _Ref414014343 \h </w:instrText>
      </w:r>
      <w:r w:rsidR="000C4D22">
        <w:fldChar w:fldCharType="separate"/>
      </w:r>
      <w:r w:rsidR="00AA6EE9">
        <w:t>Figure</w:t>
      </w:r>
      <w:r w:rsidR="00AA6EE9" w:rsidRPr="0073739C">
        <w:t xml:space="preserve"> </w:t>
      </w:r>
      <w:r w:rsidR="00AA6EE9">
        <w:rPr>
          <w:noProof/>
        </w:rPr>
        <w:t>9</w:t>
      </w:r>
      <w:r w:rsidR="000C4D22">
        <w:fldChar w:fldCharType="end"/>
      </w:r>
      <w:r w:rsidRPr="0073739C">
        <w:t xml:space="preserve">, the electric power output tends to increase with the engine loading. After the 75% region, a higher growth in net power output for all the working fluids is observed. </w:t>
      </w:r>
      <w:r w:rsidR="008623DF">
        <w:t>T</w:t>
      </w:r>
      <w:r>
        <w:t xml:space="preserve">here is </w:t>
      </w:r>
      <w:r w:rsidR="008623DF">
        <w:t xml:space="preserve">also a </w:t>
      </w:r>
      <w:r>
        <w:t xml:space="preserve">rapid increase in power output after the 30% MCR when the turbos start to operate. </w:t>
      </w:r>
      <w:r w:rsidRPr="0073739C">
        <w:t xml:space="preserve">There are mainly two reasons for </w:t>
      </w:r>
      <w:r w:rsidR="008623DF">
        <w:t>this</w:t>
      </w:r>
      <w:r w:rsidRPr="0073739C">
        <w:t>: a) the exhaust mass flow rate is increasing with the engine loading</w:t>
      </w:r>
      <w:r w:rsidR="006A7375">
        <w:t>,</w:t>
      </w:r>
      <w:r w:rsidRPr="0073739C">
        <w:t xml:space="preserve"> deriving more waste heat to absorb</w:t>
      </w:r>
      <w:r w:rsidR="006A7375">
        <w:t>,</w:t>
      </w:r>
      <w:r w:rsidRPr="0073739C">
        <w:t xml:space="preserve"> and b) the exhaust gas temperature increase </w:t>
      </w:r>
      <w:r>
        <w:t xml:space="preserve">requires a higher </w:t>
      </w:r>
      <w:r w:rsidRPr="007231C2">
        <w:rPr>
          <w:i/>
        </w:rPr>
        <w:t>P</w:t>
      </w:r>
      <w:r w:rsidRPr="007231C2">
        <w:rPr>
          <w:i/>
          <w:vertAlign w:val="subscript"/>
        </w:rPr>
        <w:t>1</w:t>
      </w:r>
      <w:r>
        <w:t xml:space="preserve"> which translate</w:t>
      </w:r>
      <w:r w:rsidR="006A7375">
        <w:t>s</w:t>
      </w:r>
      <w:r>
        <w:t xml:space="preserve"> into a larger energy drop </w:t>
      </w:r>
      <w:r w:rsidR="006A7375">
        <w:t>with</w:t>
      </w:r>
      <w:r>
        <w:t>in the expander</w:t>
      </w:r>
      <w:r w:rsidRPr="0073739C">
        <w:t xml:space="preserve">. </w:t>
      </w:r>
    </w:p>
    <w:p w:rsidR="00CD028B" w:rsidRDefault="00CD028B" w:rsidP="000C4D22">
      <w:pPr>
        <w:pStyle w:val="Newparagraph"/>
      </w:pPr>
      <w:r w:rsidRPr="0073739C">
        <w:t>The maximum CO</w:t>
      </w:r>
      <w:r w:rsidRPr="0073739C">
        <w:rPr>
          <w:vertAlign w:val="subscript"/>
        </w:rPr>
        <w:t>2</w:t>
      </w:r>
      <w:r w:rsidRPr="0073739C">
        <w:t xml:space="preserve"> emission reduction per hour is achieved by benzene at 100% MCR with </w:t>
      </w:r>
      <w:r>
        <w:t>1.4</w:t>
      </w:r>
      <w:r w:rsidRPr="0073739C">
        <w:t xml:space="preserve"> </w:t>
      </w:r>
      <w:r>
        <w:t>tonne</w:t>
      </w:r>
      <w:r w:rsidRPr="0073739C">
        <w:t>s of CO</w:t>
      </w:r>
      <w:r w:rsidRPr="0073739C">
        <w:rPr>
          <w:vertAlign w:val="subscript"/>
        </w:rPr>
        <w:t>2</w:t>
      </w:r>
      <w:r w:rsidRPr="0073739C">
        <w:t xml:space="preserve">. A RC WHRS </w:t>
      </w:r>
      <w:r w:rsidR="00F022BE">
        <w:t>in</w:t>
      </w:r>
      <w:r w:rsidRPr="0073739C">
        <w:t xml:space="preserve"> the same engine loading saved </w:t>
      </w:r>
      <w:r>
        <w:t>1.2</w:t>
      </w:r>
      <w:r w:rsidRPr="0073739C">
        <w:t xml:space="preserve"> </w:t>
      </w:r>
      <w:r>
        <w:t>tonne</w:t>
      </w:r>
      <w:r w:rsidRPr="0073739C">
        <w:t>s of CO</w:t>
      </w:r>
      <w:r w:rsidRPr="0073739C">
        <w:rPr>
          <w:vertAlign w:val="subscript"/>
        </w:rPr>
        <w:t>2</w:t>
      </w:r>
      <w:r w:rsidRPr="0073739C">
        <w:t xml:space="preserve">. </w:t>
      </w:r>
      <w:r>
        <w:t>This</w:t>
      </w:r>
      <w:r w:rsidRPr="0073739C">
        <w:t xml:space="preserve"> represent</w:t>
      </w:r>
      <w:r>
        <w:t>s</w:t>
      </w:r>
      <w:r w:rsidRPr="0073739C">
        <w:t xml:space="preserve"> </w:t>
      </w:r>
      <w:r>
        <w:t>reductions</w:t>
      </w:r>
      <w:r w:rsidRPr="0073739C">
        <w:t xml:space="preserve"> of </w:t>
      </w:r>
      <w:r>
        <w:t>3.1</w:t>
      </w:r>
      <w:r w:rsidRPr="0073739C">
        <w:t>% for benzene</w:t>
      </w:r>
      <w:r>
        <w:t xml:space="preserve"> and</w:t>
      </w:r>
      <w:r w:rsidRPr="0073739C">
        <w:t xml:space="preserve"> </w:t>
      </w:r>
      <w:r>
        <w:t>2.6</w:t>
      </w:r>
      <w:r w:rsidRPr="0073739C">
        <w:t>% for water</w:t>
      </w:r>
      <w:r>
        <w:t xml:space="preserve"> when compared to the engine</w:t>
      </w:r>
      <w:r w:rsidR="00F022BE">
        <w:t>’s</w:t>
      </w:r>
      <w:r>
        <w:t xml:space="preserve"> own fuel consumption given at almost 14 tonnes of MDO per hour</w:t>
      </w:r>
      <w:r w:rsidRPr="0073739C">
        <w:t xml:space="preserve">. The biggest marine ORC benefit </w:t>
      </w:r>
      <w:r>
        <w:t>compared to a water</w:t>
      </w:r>
      <w:r w:rsidR="00F022BE">
        <w:t>-</w:t>
      </w:r>
      <w:r>
        <w:t xml:space="preserve">based RC </w:t>
      </w:r>
      <w:r w:rsidRPr="0073739C">
        <w:t xml:space="preserve">is found at high </w:t>
      </w:r>
      <w:r>
        <w:t>engine loading</w:t>
      </w:r>
      <w:r w:rsidRPr="0073739C">
        <w:t xml:space="preserve">, while at low </w:t>
      </w:r>
      <w:r>
        <w:t>load they have similar performance</w:t>
      </w:r>
      <w:r w:rsidR="00E504BA">
        <w:t>s</w:t>
      </w:r>
      <w:r>
        <w:t xml:space="preserve">. </w:t>
      </w:r>
    </w:p>
    <w:p w:rsidR="00CD028B" w:rsidRDefault="00CD028B" w:rsidP="00CD028B">
      <w:pPr>
        <w:rPr>
          <w:szCs w:val="20"/>
        </w:rPr>
      </w:pPr>
      <w:r w:rsidRPr="0073739C">
        <w:rPr>
          <w:szCs w:val="20"/>
        </w:rPr>
        <w:lastRenderedPageBreak/>
        <w:t xml:space="preserve">The thermal efficiencies for the different marine WHRS </w:t>
      </w:r>
      <w:r>
        <w:rPr>
          <w:szCs w:val="20"/>
        </w:rPr>
        <w:t xml:space="preserve">are not only </w:t>
      </w:r>
      <w:r w:rsidRPr="0073739C">
        <w:rPr>
          <w:szCs w:val="20"/>
        </w:rPr>
        <w:t>strong</w:t>
      </w:r>
      <w:r>
        <w:rPr>
          <w:szCs w:val="20"/>
        </w:rPr>
        <w:t>ly</w:t>
      </w:r>
      <w:r w:rsidRPr="0073739C">
        <w:rPr>
          <w:szCs w:val="20"/>
        </w:rPr>
        <w:t xml:space="preserve"> influence</w:t>
      </w:r>
      <w:r>
        <w:rPr>
          <w:szCs w:val="20"/>
        </w:rPr>
        <w:t>d</w:t>
      </w:r>
      <w:r w:rsidRPr="0073739C">
        <w:rPr>
          <w:szCs w:val="20"/>
        </w:rPr>
        <w:t xml:space="preserve"> </w:t>
      </w:r>
      <w:r>
        <w:rPr>
          <w:szCs w:val="20"/>
        </w:rPr>
        <w:t xml:space="preserve">by </w:t>
      </w:r>
      <w:r w:rsidRPr="0073739C">
        <w:rPr>
          <w:szCs w:val="20"/>
        </w:rPr>
        <w:t>the heat quality of the vessel’s exhaust gas</w:t>
      </w:r>
      <w:r w:rsidR="00F022BE">
        <w:rPr>
          <w:szCs w:val="20"/>
        </w:rPr>
        <w:t>,</w:t>
      </w:r>
      <w:r>
        <w:rPr>
          <w:szCs w:val="20"/>
        </w:rPr>
        <w:t xml:space="preserve"> but also by heat availability</w:t>
      </w:r>
      <w:r w:rsidRPr="0073739C">
        <w:rPr>
          <w:szCs w:val="20"/>
        </w:rPr>
        <w:t>. From</w:t>
      </w:r>
      <w:r>
        <w:rPr>
          <w:szCs w:val="20"/>
        </w:rPr>
        <w:t xml:space="preserve"> </w:t>
      </w:r>
      <w:r w:rsidR="000C4D22">
        <w:fldChar w:fldCharType="begin"/>
      </w:r>
      <w:r w:rsidR="000C4D22">
        <w:rPr>
          <w:szCs w:val="20"/>
        </w:rPr>
        <w:instrText xml:space="preserve"> REF _Ref414014296 \h </w:instrText>
      </w:r>
      <w:r w:rsidR="000C4D22">
        <w:fldChar w:fldCharType="separate"/>
      </w:r>
      <w:r w:rsidR="00AA6EE9">
        <w:t xml:space="preserve">Figure </w:t>
      </w:r>
      <w:r w:rsidR="00AA6EE9">
        <w:rPr>
          <w:noProof/>
        </w:rPr>
        <w:t>3</w:t>
      </w:r>
      <w:r w:rsidR="000C4D22">
        <w:fldChar w:fldCharType="end"/>
      </w:r>
      <w:r>
        <w:rPr>
          <w:szCs w:val="20"/>
        </w:rPr>
        <w:t xml:space="preserve"> </w:t>
      </w:r>
      <w:r w:rsidRPr="0073739C">
        <w:rPr>
          <w:szCs w:val="20"/>
        </w:rPr>
        <w:t>it is seen that at 35% MCR</w:t>
      </w:r>
      <w:r w:rsidR="00F022BE">
        <w:rPr>
          <w:szCs w:val="20"/>
        </w:rPr>
        <w:t>,</w:t>
      </w:r>
      <w:r w:rsidRPr="0073739C">
        <w:rPr>
          <w:szCs w:val="20"/>
        </w:rPr>
        <w:t xml:space="preserve"> there is a temperature rise of more than </w:t>
      </w:r>
      <w:r>
        <w:rPr>
          <w:szCs w:val="20"/>
        </w:rPr>
        <w:t xml:space="preserve">42°C </w:t>
      </w:r>
      <w:r w:rsidRPr="0073739C">
        <w:rPr>
          <w:szCs w:val="20"/>
        </w:rPr>
        <w:t xml:space="preserve">in the exhaust gas temperature compared to the </w:t>
      </w:r>
      <w:r>
        <w:rPr>
          <w:szCs w:val="20"/>
        </w:rPr>
        <w:t>30</w:t>
      </w:r>
      <w:r w:rsidRPr="0073739C">
        <w:rPr>
          <w:szCs w:val="20"/>
        </w:rPr>
        <w:t>% MCR</w:t>
      </w:r>
      <w:r>
        <w:rPr>
          <w:szCs w:val="20"/>
        </w:rPr>
        <w:t xml:space="preserve"> due to the turbo operation, and the highest temperature of the engine profile</w:t>
      </w:r>
      <w:r w:rsidRPr="0073739C">
        <w:rPr>
          <w:szCs w:val="20"/>
        </w:rPr>
        <w:t>.</w:t>
      </w:r>
      <w:r>
        <w:rPr>
          <w:szCs w:val="20"/>
        </w:rPr>
        <w:t xml:space="preserve"> At this point</w:t>
      </w:r>
      <w:r w:rsidRPr="0073739C">
        <w:rPr>
          <w:szCs w:val="20"/>
        </w:rPr>
        <w:t xml:space="preserve"> all five working fluids have </w:t>
      </w:r>
      <w:r>
        <w:rPr>
          <w:szCs w:val="20"/>
        </w:rPr>
        <w:t xml:space="preserve">their maximum </w:t>
      </w:r>
      <w:r w:rsidRPr="0073739C">
        <w:rPr>
          <w:szCs w:val="20"/>
        </w:rPr>
        <w:t xml:space="preserve">thermal efficiency </w:t>
      </w:r>
      <w:r w:rsidR="000C4D22">
        <w:rPr>
          <w:szCs w:val="20"/>
        </w:rPr>
        <w:t>(s</w:t>
      </w:r>
      <w:r>
        <w:rPr>
          <w:szCs w:val="20"/>
        </w:rPr>
        <w:t xml:space="preserve">ee </w:t>
      </w:r>
      <w:r w:rsidR="000C4D22">
        <w:fldChar w:fldCharType="begin"/>
      </w:r>
      <w:r w:rsidR="000C4D22">
        <w:rPr>
          <w:szCs w:val="20"/>
        </w:rPr>
        <w:instrText xml:space="preserve"> REF _Ref414014433 \h </w:instrText>
      </w:r>
      <w:r w:rsidR="000C4D22">
        <w:fldChar w:fldCharType="separate"/>
      </w:r>
      <w:r w:rsidR="00AA6EE9">
        <w:t>Figure</w:t>
      </w:r>
      <w:r w:rsidR="00AA6EE9" w:rsidRPr="004D7E62">
        <w:t xml:space="preserve"> </w:t>
      </w:r>
      <w:r w:rsidR="00AA6EE9">
        <w:rPr>
          <w:noProof/>
        </w:rPr>
        <w:t>10</w:t>
      </w:r>
      <w:r w:rsidR="000C4D22">
        <w:fldChar w:fldCharType="end"/>
      </w:r>
      <w:r>
        <w:rPr>
          <w:szCs w:val="20"/>
        </w:rPr>
        <w:t>) with benzene at 23.60% and water being the lowest at 19.5%</w:t>
      </w:r>
      <w:r w:rsidRPr="0073739C">
        <w:rPr>
          <w:szCs w:val="20"/>
        </w:rPr>
        <w:t>. Beyond this point</w:t>
      </w:r>
      <w:r w:rsidR="00F022BE">
        <w:rPr>
          <w:szCs w:val="20"/>
        </w:rPr>
        <w:t>,</w:t>
      </w:r>
      <w:r w:rsidRPr="0073739C">
        <w:rPr>
          <w:szCs w:val="20"/>
        </w:rPr>
        <w:t xml:space="preserve"> the temperature and thermal efficiency find their </w:t>
      </w:r>
      <w:r>
        <w:rPr>
          <w:szCs w:val="20"/>
        </w:rPr>
        <w:t>highest</w:t>
      </w:r>
      <w:r w:rsidRPr="0073739C">
        <w:rPr>
          <w:szCs w:val="20"/>
        </w:rPr>
        <w:t xml:space="preserve"> points at 100% MCR.</w:t>
      </w:r>
      <w:r>
        <w:rPr>
          <w:szCs w:val="20"/>
        </w:rPr>
        <w:t xml:space="preserve"> Interestingly, even though the exhaust gas temperature at 100% MCR is 22</w:t>
      </w:r>
      <w:r>
        <w:rPr>
          <w:rFonts w:ascii="Calibri" w:hAnsi="Calibri"/>
          <w:szCs w:val="20"/>
        </w:rPr>
        <w:t>˚</w:t>
      </w:r>
      <w:r>
        <w:rPr>
          <w:szCs w:val="20"/>
        </w:rPr>
        <w:t>C lower than at 35%</w:t>
      </w:r>
      <w:r w:rsidR="00F022BE">
        <w:rPr>
          <w:szCs w:val="20"/>
        </w:rPr>
        <w:t>,</w:t>
      </w:r>
      <w:r>
        <w:rPr>
          <w:szCs w:val="20"/>
        </w:rPr>
        <w:t xml:space="preserve"> the working fluids’ thermal efficiencies for benzene WHRS at 35% and 100% MCR are very similar at 23.64% and 23.60% respectively. The reason behind this is that the system has at these points the same </w:t>
      </w:r>
      <w:r w:rsidRPr="007231C2">
        <w:rPr>
          <w:i/>
          <w:szCs w:val="20"/>
        </w:rPr>
        <w:t>P</w:t>
      </w:r>
      <w:r w:rsidRPr="007231C2">
        <w:rPr>
          <w:i/>
          <w:szCs w:val="20"/>
          <w:vertAlign w:val="subscript"/>
        </w:rPr>
        <w:t>1</w:t>
      </w:r>
      <w:r>
        <w:rPr>
          <w:szCs w:val="20"/>
        </w:rPr>
        <w:t xml:space="preserve">, but for the 100% MCR case </w:t>
      </w:r>
      <w:r w:rsidRPr="00E47773">
        <w:rPr>
          <w:i/>
          <w:szCs w:val="20"/>
        </w:rPr>
        <w:t>T</w:t>
      </w:r>
      <w:r w:rsidRPr="00E47773">
        <w:rPr>
          <w:i/>
          <w:szCs w:val="20"/>
          <w:vertAlign w:val="subscript"/>
        </w:rPr>
        <w:t>1</w:t>
      </w:r>
      <w:r>
        <w:rPr>
          <w:szCs w:val="20"/>
        </w:rPr>
        <w:t xml:space="preserve"> is lower due to cooler </w:t>
      </w:r>
      <w:r w:rsidR="00F022BE">
        <w:rPr>
          <w:szCs w:val="20"/>
        </w:rPr>
        <w:t xml:space="preserve">temperature of </w:t>
      </w:r>
      <w:r>
        <w:rPr>
          <w:szCs w:val="20"/>
        </w:rPr>
        <w:t xml:space="preserve">exhaust gas/thermal oil. This reduces the enthalpy change between the evaporator and superheater (see </w:t>
      </w:r>
      <w:r w:rsidR="000C4D22">
        <w:rPr>
          <w:szCs w:val="20"/>
        </w:rPr>
        <w:fldChar w:fldCharType="begin"/>
      </w:r>
      <w:r w:rsidR="000C4D22">
        <w:rPr>
          <w:szCs w:val="20"/>
        </w:rPr>
        <w:instrText xml:space="preserve"> REF _Ref414012408 \h </w:instrText>
      </w:r>
      <w:r w:rsidR="000C4D22">
        <w:rPr>
          <w:szCs w:val="20"/>
        </w:rPr>
      </w:r>
      <w:r w:rsidR="000C4D22">
        <w:rPr>
          <w:szCs w:val="20"/>
        </w:rPr>
        <w:fldChar w:fldCharType="separate"/>
      </w:r>
      <w:r w:rsidR="00AA6EE9">
        <w:t>Figure</w:t>
      </w:r>
      <w:r w:rsidR="00AA6EE9" w:rsidRPr="006D1D9E">
        <w:t xml:space="preserve"> </w:t>
      </w:r>
      <w:r w:rsidR="00AA6EE9">
        <w:rPr>
          <w:noProof/>
        </w:rPr>
        <w:t>5</w:t>
      </w:r>
      <w:r w:rsidR="000C4D22">
        <w:rPr>
          <w:szCs w:val="20"/>
        </w:rPr>
        <w:fldChar w:fldCharType="end"/>
      </w:r>
      <w:r w:rsidR="000C4D22">
        <w:rPr>
          <w:szCs w:val="20"/>
        </w:rPr>
        <w:t>), and per e</w:t>
      </w:r>
      <w:r>
        <w:rPr>
          <w:szCs w:val="20"/>
        </w:rPr>
        <w:t xml:space="preserve">quation (13) the thermal efficiency increases. </w:t>
      </w:r>
    </w:p>
    <w:p w:rsidR="00AA233E" w:rsidRPr="008D0A37" w:rsidRDefault="00AA233E" w:rsidP="00AA233E">
      <w:pPr>
        <w:jc w:val="center"/>
      </w:pPr>
      <w:r>
        <w:rPr>
          <w:noProof/>
        </w:rPr>
        <w:drawing>
          <wp:inline distT="0" distB="0" distL="0" distR="0" wp14:anchorId="444427AB" wp14:editId="337A6B81">
            <wp:extent cx="4500000" cy="3178127"/>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8455" t="21263" r="28185" b="22201"/>
                    <a:stretch/>
                  </pic:blipFill>
                  <pic:spPr bwMode="auto">
                    <a:xfrm>
                      <a:off x="0" y="0"/>
                      <a:ext cx="4500000" cy="3178127"/>
                    </a:xfrm>
                    <a:prstGeom prst="rect">
                      <a:avLst/>
                    </a:prstGeom>
                    <a:ln>
                      <a:noFill/>
                    </a:ln>
                    <a:extLst>
                      <a:ext uri="{53640926-AAD7-44D8-BBD7-CCE9431645EC}">
                        <a14:shadowObscured xmlns:a14="http://schemas.microsoft.com/office/drawing/2010/main"/>
                      </a:ext>
                    </a:extLst>
                  </pic:spPr>
                </pic:pic>
              </a:graphicData>
            </a:graphic>
          </wp:inline>
        </w:drawing>
      </w:r>
    </w:p>
    <w:p w:rsidR="00CD028B" w:rsidRPr="004D7E62" w:rsidRDefault="00CD028B" w:rsidP="000C4D22">
      <w:pPr>
        <w:pStyle w:val="Figurecaption"/>
      </w:pPr>
      <w:bookmarkStart w:id="28" w:name="_Ref377997507"/>
      <w:bookmarkStart w:id="29" w:name="_Ref414014433"/>
      <w:r>
        <w:t>Fig</w:t>
      </w:r>
      <w:r w:rsidR="000C4D22">
        <w:t>ure</w:t>
      </w:r>
      <w:r w:rsidRPr="004D7E62">
        <w:t xml:space="preserve"> </w:t>
      </w:r>
      <w:bookmarkEnd w:id="28"/>
      <w:r w:rsidR="000C4D22">
        <w:fldChar w:fldCharType="begin"/>
      </w:r>
      <w:r w:rsidR="000C4D22">
        <w:instrText xml:space="preserve"> SEQ Figure \* ARABIC </w:instrText>
      </w:r>
      <w:r w:rsidR="000C4D22">
        <w:fldChar w:fldCharType="separate"/>
      </w:r>
      <w:r w:rsidR="00AA6EE9">
        <w:rPr>
          <w:noProof/>
        </w:rPr>
        <w:t>10</w:t>
      </w:r>
      <w:r w:rsidR="000C4D22">
        <w:fldChar w:fldCharType="end"/>
      </w:r>
      <w:bookmarkEnd w:id="29"/>
      <w:r>
        <w:t>:</w:t>
      </w:r>
      <w:r w:rsidR="00E504BA">
        <w:t xml:space="preserve"> Working fluids’ thermal efficiencies</w:t>
      </w:r>
      <w:r w:rsidRPr="004D7E62">
        <w:t xml:space="preserve"> at the maximum net electric power output for different </w:t>
      </w:r>
      <w:r>
        <w:t>engine loadings</w:t>
      </w:r>
      <w:r w:rsidRPr="004D7E62">
        <w:t>.</w:t>
      </w:r>
    </w:p>
    <w:p w:rsidR="00CD028B" w:rsidRDefault="00CD028B" w:rsidP="00CD028B">
      <w:pPr>
        <w:pStyle w:val="Heading2"/>
      </w:pPr>
      <w:r>
        <w:lastRenderedPageBreak/>
        <w:t>Mass flow rate and an approximation to sizing</w:t>
      </w:r>
    </w:p>
    <w:p w:rsidR="00CD028B" w:rsidRDefault="000C4D22" w:rsidP="000C4D22">
      <w:pPr>
        <w:pStyle w:val="Paragraph"/>
      </w:pPr>
      <w:r>
        <w:fldChar w:fldCharType="begin"/>
      </w:r>
      <w:r>
        <w:instrText xml:space="preserve"> REF _Ref414014506 \h </w:instrText>
      </w:r>
      <w:r>
        <w:fldChar w:fldCharType="separate"/>
      </w:r>
      <w:r w:rsidR="00AA6EE9">
        <w:t>Figure</w:t>
      </w:r>
      <w:r w:rsidR="00AA6EE9" w:rsidRPr="004D7E62">
        <w:t xml:space="preserve"> </w:t>
      </w:r>
      <w:r w:rsidR="00AA6EE9">
        <w:rPr>
          <w:noProof/>
        </w:rPr>
        <w:t>11</w:t>
      </w:r>
      <w:r>
        <w:fldChar w:fldCharType="end"/>
      </w:r>
      <w:r w:rsidR="00CD028B" w:rsidRPr="004D7E62">
        <w:t xml:space="preserve"> shows the large difference between organic fluids and water with respect to the</w:t>
      </w:r>
      <w:r w:rsidR="00CD028B">
        <w:t>ir</w:t>
      </w:r>
      <w:r w:rsidR="00CD028B" w:rsidRPr="004D7E62">
        <w:t xml:space="preserve"> mass flow rate. </w:t>
      </w:r>
      <w:r w:rsidR="00F022BE">
        <w:t>O</w:t>
      </w:r>
      <w:r w:rsidR="00CD028B" w:rsidRPr="004D7E62">
        <w:t>rganic fluids have a low latent heat and require a small amount of energy to vapori</w:t>
      </w:r>
      <w:r w:rsidR="00F022BE">
        <w:t>s</w:t>
      </w:r>
      <w:r w:rsidR="00CD028B" w:rsidRPr="004D7E62">
        <w:t xml:space="preserve">e, forcing larger mass flow rates to absorb the waste heat available </w:t>
      </w:r>
      <w:r w:rsidR="00CD028B" w:rsidRPr="004D7E62">
        <w:fldChar w:fldCharType="begin" w:fldLock="1"/>
      </w:r>
      <w:r>
        <w:instrText>ADDIN CSL_CITATION { "citationItems" : [ { "id" : "ITEM-1", "itemData" : { "DOI" : "10.1016/j.rser.2010.07.006", "ISSN" : "13640321", "abstract" : "This paper presents a review of the organic Rankine cycle and supercritical Rankine cycle for the conversion of low-grade heat into electrical power, as well as selection criteria of potential working fluids, screening of 35 working fluids for the two cycles and analyses of the influence of fluid properties on cycle performance. The thermodynamic and physical properties, stability, environmental impacts, safety and compatibility, and availability and cost are among the important considerations when selecting a working fluid. The paper discusses the types of workingfluids, influence of latent heat, density and specific heat, and the effectiveness of superheating. A discussion of the 35 screened working fluids is also presented.", "author" : [ { "dropping-particle" : "", "family" : "Chen", "given" : "Huijuan", "non-dropping-particle" : "", "parse-names" : false, "suffix" : "" }, { "dropping-particle" : "", "family" : "Goswami", "given" : "D. Yogi", "non-dropping-particle" : "", "parse-names" : false, "suffix" : "" }, { "dropping-particle" : "", "family" : "Stefanakos", "given" : "Elias K.", "non-dropping-particle" : "", "parse-names" : false, "suffix" : "" } ], "container-title" : "Renewable and Sustainable Energy Reviews", "id" : "ITEM-1", "issue" : "9", "issued" : { "date-parts" : [ [ "2010", "12" ] ] }, "page" : "3059-3067", "publisher" : "Elsevier Ltd", "title" : "A review of thermodynamic cycles and working fluids for the conversion of low-grade heat", "type" : "article-journal", "volume" : "14" }, "uris" : [ "http://www.mendeley.com/documents/?uuid=29515918-5559-4b4f-9a54-f597cbd4e95a" ] }, { "id" : "ITEM-2", "itemData" : { "DOI" : "10.1016/1359-4311(95)00044-5", "ISSN" : "13594311", "abstract" : "Working fluids used in organic Rankine cycle (ORC) recovery systems with small turbines create problems since the flows are supersonic and consequently special attention is necessary in this respect in the flow study. After a preliminary survey on the ambient compatibility and thermophysical capability of the novel or unconventional fluids, the non-steady flows of some gases and organic vapours are investigated in tests using equipment annexed to a supersonic wind tunnel operating on the \u2018blowdown\u2019 principle. A calculation method is suggested and some equations developed to obtain the outflow parameters. The available wind tunnel reference data confirm the results. For more accurate calculations of non-steady outflow of some vapours, analytically derived values of compressibility factors are given, with which the complete phenomena can be simulated and the flow parameters calculated by the adjusted perfect gas flow equations.", "author" : [ { "dropping-particle" : "", "family" : "Maizza", "given" : "V.", "non-dropping-particle" : "", "parse-names" : false, "suffix" : "" }, { "dropping-particle" : "", "family" : "Maizza", "given" : "A.", "non-dropping-particle" : "", "parse-names" : false, "suffix" : "" } ], "container-title" : "Applied Thermal Engineering", "id" : "ITEM-2", "issue" : "7", "issued" : { "date-parts" : [ [ "1996", "7" ] ] }, "note" : "Verifying some data, but not sure if this journal can help right now (11/2012)", "page" : "579-590", "title" : "Working fluids in non-steady flows for waste energy recovery systems", "type" : "article-journal", "volume" : "16" }, "uris" : [ "http://www.mendeley.com/documents/?uuid=b06e6f0a-4315-44df-93ac-d8175970d661" ] } ], "mendeley" : { "formattedCitation" : "(Maizza &amp; Maizza 1996; Chen et al. 2010)", "plainTextFormattedCitation" : "(Maizza &amp; Maizza 1996; Chen et al. 2010)", "previouslyFormattedCitation" : "(Maizza &amp; Maizza 1996; Chen et al. 2010)" }, "properties" : { "noteIndex" : 0 }, "schema" : "https://github.com/citation-style-language/schema/raw/master/csl-citation.json" }</w:instrText>
      </w:r>
      <w:r w:rsidR="00CD028B" w:rsidRPr="004D7E62">
        <w:fldChar w:fldCharType="separate"/>
      </w:r>
      <w:r w:rsidRPr="000C4D22">
        <w:rPr>
          <w:noProof/>
        </w:rPr>
        <w:t xml:space="preserve">(Maizza &amp; Maizza 1996; Chen </w:t>
      </w:r>
      <w:r w:rsidRPr="004A7186">
        <w:rPr>
          <w:i/>
          <w:noProof/>
        </w:rPr>
        <w:t>et al</w:t>
      </w:r>
      <w:r w:rsidRPr="000C4D22">
        <w:rPr>
          <w:noProof/>
        </w:rPr>
        <w:t>. 2010)</w:t>
      </w:r>
      <w:r w:rsidR="00CD028B" w:rsidRPr="004D7E62">
        <w:fldChar w:fldCharType="end"/>
      </w:r>
      <w:r w:rsidR="00CD028B" w:rsidRPr="004D7E62">
        <w:t xml:space="preserve">. In all scenarios, water had the lowest mass flow rate, </w:t>
      </w:r>
      <w:r w:rsidR="00CD028B">
        <w:t>while</w:t>
      </w:r>
      <w:r w:rsidR="00CD028B" w:rsidRPr="004D7E62">
        <w:t xml:space="preserve"> MM </w:t>
      </w:r>
      <w:r w:rsidR="00F022BE">
        <w:t>showed</w:t>
      </w:r>
      <w:r w:rsidR="00CD028B" w:rsidRPr="004D7E62">
        <w:t xml:space="preserve"> the largest </w:t>
      </w:r>
      <w:r w:rsidR="00F022BE">
        <w:t xml:space="preserve">- </w:t>
      </w:r>
      <w:r w:rsidR="00CD028B" w:rsidRPr="004D7E62">
        <w:t xml:space="preserve">more than </w:t>
      </w:r>
      <w:r w:rsidR="00CD028B">
        <w:t>seven</w:t>
      </w:r>
      <w:r w:rsidR="00CD028B" w:rsidRPr="004D7E62">
        <w:t xml:space="preserve"> times larger than water at 100% MCR.</w:t>
      </w:r>
      <w:r w:rsidR="00CD028B">
        <w:t xml:space="preserve"> </w:t>
      </w:r>
    </w:p>
    <w:p w:rsidR="00AA233E" w:rsidRPr="00AA233E" w:rsidRDefault="00832AE7" w:rsidP="00832AE7">
      <w:pPr>
        <w:pStyle w:val="Newparagraph"/>
        <w:spacing w:line="240" w:lineRule="auto"/>
      </w:pPr>
      <w:r>
        <w:rPr>
          <w:noProof/>
        </w:rPr>
        <w:drawing>
          <wp:inline distT="0" distB="0" distL="0" distR="0" wp14:anchorId="6A516EFE" wp14:editId="36A7FC3E">
            <wp:extent cx="4500000" cy="3519801"/>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6179" t="29769" r="36450" b="30707"/>
                    <a:stretch/>
                  </pic:blipFill>
                  <pic:spPr bwMode="auto">
                    <a:xfrm>
                      <a:off x="0" y="0"/>
                      <a:ext cx="4500000" cy="3519801"/>
                    </a:xfrm>
                    <a:prstGeom prst="rect">
                      <a:avLst/>
                    </a:prstGeom>
                    <a:ln>
                      <a:noFill/>
                    </a:ln>
                    <a:extLst>
                      <a:ext uri="{53640926-AAD7-44D8-BBD7-CCE9431645EC}">
                        <a14:shadowObscured xmlns:a14="http://schemas.microsoft.com/office/drawing/2010/main"/>
                      </a:ext>
                    </a:extLst>
                  </pic:spPr>
                </pic:pic>
              </a:graphicData>
            </a:graphic>
          </wp:inline>
        </w:drawing>
      </w:r>
    </w:p>
    <w:p w:rsidR="00CD028B" w:rsidRDefault="00CD028B" w:rsidP="00CD028B">
      <w:pPr>
        <w:pStyle w:val="Figurecaption"/>
      </w:pPr>
      <w:bookmarkStart w:id="30" w:name="_Ref378085147"/>
      <w:bookmarkStart w:id="31" w:name="_Ref414014506"/>
      <w:bookmarkStart w:id="32" w:name="_Ref378156024"/>
      <w:r>
        <w:t>Fig</w:t>
      </w:r>
      <w:r w:rsidR="000C4D22">
        <w:t>ure</w:t>
      </w:r>
      <w:r w:rsidRPr="004D7E62">
        <w:t xml:space="preserve"> </w:t>
      </w:r>
      <w:bookmarkEnd w:id="30"/>
      <w:r w:rsidR="000C4D22">
        <w:fldChar w:fldCharType="begin"/>
      </w:r>
      <w:r w:rsidR="000C4D22">
        <w:instrText xml:space="preserve"> SEQ Figure \* ARABIC </w:instrText>
      </w:r>
      <w:r w:rsidR="000C4D22">
        <w:fldChar w:fldCharType="separate"/>
      </w:r>
      <w:r w:rsidR="00295597">
        <w:rPr>
          <w:noProof/>
        </w:rPr>
        <w:t>11</w:t>
      </w:r>
      <w:r w:rsidR="000C4D22">
        <w:fldChar w:fldCharType="end"/>
      </w:r>
      <w:bookmarkEnd w:id="31"/>
      <w:r>
        <w:t>:</w:t>
      </w:r>
      <w:r w:rsidRPr="004D7E62">
        <w:t xml:space="preserve"> Comparison </w:t>
      </w:r>
      <w:r>
        <w:t xml:space="preserve">of the working fluid’s mass flow rate for different Diesel engine loads. </w:t>
      </w:r>
      <w:bookmarkEnd w:id="32"/>
    </w:p>
    <w:p w:rsidR="00CD028B" w:rsidRDefault="00CD028B" w:rsidP="000C4D22">
      <w:pPr>
        <w:pStyle w:val="Newparagraph"/>
      </w:pPr>
      <w:r>
        <w:t>With the systems’ mass flow rate</w:t>
      </w:r>
      <w:r w:rsidR="00F022BE">
        <w:t>,</w:t>
      </w:r>
      <w:r>
        <w:t xml:space="preserve"> the amount of working fluid required could be calculated</w:t>
      </w:r>
      <w:r w:rsidR="00F022BE">
        <w:t>.</w:t>
      </w:r>
      <w:r>
        <w:t xml:space="preserve"> </w:t>
      </w:r>
      <w:r w:rsidR="00F022BE">
        <w:t>This</w:t>
      </w:r>
      <w:r>
        <w:t xml:space="preserve"> </w:t>
      </w:r>
      <w:r w:rsidR="00F022BE">
        <w:t>c</w:t>
      </w:r>
      <w:r>
        <w:t xml:space="preserve">ould </w:t>
      </w:r>
      <w:r w:rsidR="00F022BE">
        <w:t>be</w:t>
      </w:r>
      <w:r>
        <w:t xml:space="preserve"> an important </w:t>
      </w:r>
      <w:r w:rsidR="00F022BE">
        <w:t>factor</w:t>
      </w:r>
      <w:r>
        <w:t xml:space="preserve"> </w:t>
      </w:r>
      <w:r w:rsidR="00F022BE">
        <w:t>i</w:t>
      </w:r>
      <w:r>
        <w:t xml:space="preserve">n the total system’s weight </w:t>
      </w:r>
      <w:r w:rsidR="004A7186">
        <w:t>on-board</w:t>
      </w:r>
      <w:r>
        <w:t xml:space="preserve">, but also defines the tank size. The volumetric flow rate, on the other hand, can give the first indication of size of other WHRS equipment such as heat exchangers and pipes. The working fluid density changes along the WHRS circuit where the lowest density is seen after the expansion process (point 2 in </w:t>
      </w:r>
      <w:r w:rsidR="000C4D22">
        <w:fldChar w:fldCharType="begin"/>
      </w:r>
      <w:r w:rsidR="000C4D22">
        <w:instrText xml:space="preserve"> REF _Ref414012537 \h </w:instrText>
      </w:r>
      <w:r w:rsidR="000C4D22">
        <w:fldChar w:fldCharType="separate"/>
      </w:r>
      <w:r w:rsidR="00AA6EE9">
        <w:t>Figure</w:t>
      </w:r>
      <w:r w:rsidR="00AA6EE9" w:rsidRPr="006D1D9E">
        <w:t xml:space="preserve"> </w:t>
      </w:r>
      <w:r w:rsidR="00AA6EE9">
        <w:rPr>
          <w:noProof/>
        </w:rPr>
        <w:t>4</w:t>
      </w:r>
      <w:r w:rsidR="000C4D22">
        <w:fldChar w:fldCharType="end"/>
      </w:r>
      <w:r>
        <w:t xml:space="preserve">) and the highest after the pump (point 4 </w:t>
      </w:r>
      <w:r>
        <w:lastRenderedPageBreak/>
        <w:t xml:space="preserve">in </w:t>
      </w:r>
      <w:r w:rsidR="000C4D22">
        <w:fldChar w:fldCharType="begin"/>
      </w:r>
      <w:r w:rsidR="000C4D22">
        <w:instrText xml:space="preserve"> REF _Ref414012537 \h </w:instrText>
      </w:r>
      <w:r w:rsidR="000C4D22">
        <w:fldChar w:fldCharType="separate"/>
      </w:r>
      <w:r w:rsidR="00AA6EE9">
        <w:t>Figure</w:t>
      </w:r>
      <w:r w:rsidR="00AA6EE9" w:rsidRPr="006D1D9E">
        <w:t xml:space="preserve"> </w:t>
      </w:r>
      <w:r w:rsidR="00AA6EE9">
        <w:rPr>
          <w:noProof/>
        </w:rPr>
        <w:t>4</w:t>
      </w:r>
      <w:r w:rsidR="000C4D22">
        <w:fldChar w:fldCharType="end"/>
      </w:r>
      <w:r>
        <w:t xml:space="preserve">). </w:t>
      </w:r>
      <w:r w:rsidRPr="0056247D">
        <w:fldChar w:fldCharType="begin"/>
      </w:r>
      <w:r w:rsidRPr="0056247D">
        <w:instrText xml:space="preserve"> REF _Ref410227958 \h  \* MERGEFORMAT </w:instrText>
      </w:r>
      <w:r w:rsidRPr="0056247D">
        <w:fldChar w:fldCharType="separate"/>
      </w:r>
      <w:r w:rsidR="00AA6EE9">
        <w:t>Table 4</w:t>
      </w:r>
      <w:r w:rsidRPr="0056247D">
        <w:fldChar w:fldCharType="end"/>
      </w:r>
      <w:r w:rsidRPr="0056247D">
        <w:t xml:space="preserve"> shows that after the turbine</w:t>
      </w:r>
      <w:r w:rsidR="00B85CC2">
        <w:t>,</w:t>
      </w:r>
      <w:r w:rsidRPr="0056247D">
        <w:t xml:space="preserve"> the organic vapours are denser than water,</w:t>
      </w:r>
      <w:r w:rsidR="00787F34" w:rsidRPr="0056247D">
        <w:t xml:space="preserve"> meaning that the volume flow rate for organic fluids is much closer to </w:t>
      </w:r>
      <w:r w:rsidR="00B85CC2">
        <w:t xml:space="preserve">that of </w:t>
      </w:r>
      <w:r w:rsidR="00787F34" w:rsidRPr="0056247D">
        <w:t>water. For example</w:t>
      </w:r>
      <w:r w:rsidR="00B85CC2">
        <w:t>,</w:t>
      </w:r>
      <w:r w:rsidR="00787F34" w:rsidRPr="0056247D">
        <w:t xml:space="preserve"> the </w:t>
      </w:r>
      <w:r w:rsidR="0056247D" w:rsidRPr="0056247D">
        <w:t>MM</w:t>
      </w:r>
      <w:r w:rsidR="00787F34" w:rsidRPr="0056247D">
        <w:t>’s mass flow rate is more than seven times larger than water</w:t>
      </w:r>
      <w:r w:rsidR="0056247D" w:rsidRPr="0056247D">
        <w:t xml:space="preserve">, while </w:t>
      </w:r>
      <w:r w:rsidR="00B85CC2">
        <w:t>in</w:t>
      </w:r>
      <w:r w:rsidR="0056247D" w:rsidRPr="0056247D">
        <w:t xml:space="preserve"> comparing the volumetric flow rate at point 2</w:t>
      </w:r>
      <w:r w:rsidR="00B85CC2">
        <w:t>,</w:t>
      </w:r>
      <w:r w:rsidR="0056247D" w:rsidRPr="0056247D">
        <w:t xml:space="preserve"> </w:t>
      </w:r>
      <w:r w:rsidR="00E504BA">
        <w:t>the</w:t>
      </w:r>
      <w:r w:rsidR="0056247D" w:rsidRPr="0056247D">
        <w:t xml:space="preserve"> difference is reduced to around 30%.</w:t>
      </w:r>
      <w:r>
        <w:t xml:space="preserve"> For the high pressure side</w:t>
      </w:r>
      <w:r w:rsidR="00B85CC2">
        <w:t>,</w:t>
      </w:r>
      <w:r>
        <w:t xml:space="preserve"> the roles are reversed</w:t>
      </w:r>
      <w:r w:rsidR="00B85CC2">
        <w:t>:</w:t>
      </w:r>
      <w:r>
        <w:t xml:space="preserve"> now water is denser than the organic fluids </w:t>
      </w:r>
      <w:r w:rsidR="00B85CC2">
        <w:t>and,</w:t>
      </w:r>
      <w:r>
        <w:t xml:space="preserve"> </w:t>
      </w:r>
      <w:r w:rsidR="00B85CC2">
        <w:t>in</w:t>
      </w:r>
      <w:r>
        <w:t xml:space="preserve"> converting to volumetric flow rate</w:t>
      </w:r>
      <w:r w:rsidR="00B85CC2">
        <w:t>,</w:t>
      </w:r>
      <w:r>
        <w:t xml:space="preserve"> the difference is </w:t>
      </w:r>
      <w:r w:rsidR="00B85CC2">
        <w:t xml:space="preserve">shown to be </w:t>
      </w:r>
      <w:r>
        <w:t xml:space="preserve">even larger than in the case of the mass flow rate. </w:t>
      </w:r>
      <w:r w:rsidR="0056247D">
        <w:t>Using the same fluids as before</w:t>
      </w:r>
      <w:r w:rsidR="00B85CC2">
        <w:t>,</w:t>
      </w:r>
      <w:r>
        <w:t xml:space="preserve"> the difference between MM’s volumetric flow rate is above nine times</w:t>
      </w:r>
      <w:r w:rsidR="0056247D">
        <w:t xml:space="preserve"> what the RC requires</w:t>
      </w:r>
      <w:r>
        <w:t xml:space="preserve">. </w:t>
      </w:r>
    </w:p>
    <w:p w:rsidR="00CD028B" w:rsidRDefault="00CD028B" w:rsidP="00CD028B">
      <w:r>
        <w:t>While the scope of the paper does not include the study of heat exchangers, costs and piping</w:t>
      </w:r>
      <w:r w:rsidR="00B85CC2">
        <w:t>,</w:t>
      </w:r>
      <w:r>
        <w:t xml:space="preserve"> some basic comparison can be </w:t>
      </w:r>
      <w:r w:rsidR="00B85CC2">
        <w:t>made</w:t>
      </w:r>
      <w:r>
        <w:t xml:space="preserve"> in order to give a deeper understanding of how the volume flow rate affects the sizing and pressure losses of the different WHRS. With the numbers given in </w:t>
      </w:r>
      <w:r>
        <w:rPr>
          <w:szCs w:val="20"/>
        </w:rPr>
        <w:fldChar w:fldCharType="begin"/>
      </w:r>
      <w:r>
        <w:rPr>
          <w:szCs w:val="20"/>
        </w:rPr>
        <w:instrText xml:space="preserve"> REF _Ref410227958 \h  \* MERGEFORMAT </w:instrText>
      </w:r>
      <w:r>
        <w:rPr>
          <w:szCs w:val="20"/>
        </w:rPr>
      </w:r>
      <w:r>
        <w:rPr>
          <w:szCs w:val="20"/>
        </w:rPr>
        <w:fldChar w:fldCharType="separate"/>
      </w:r>
      <w:r w:rsidR="00AA6EE9" w:rsidRPr="00AA6EE9">
        <w:rPr>
          <w:szCs w:val="20"/>
        </w:rPr>
        <w:t>Table 4</w:t>
      </w:r>
      <w:r>
        <w:rPr>
          <w:szCs w:val="20"/>
        </w:rPr>
        <w:fldChar w:fldCharType="end"/>
      </w:r>
      <w:r w:rsidR="00B85CC2">
        <w:rPr>
          <w:szCs w:val="20"/>
        </w:rPr>
        <w:t>,</w:t>
      </w:r>
      <w:r>
        <w:rPr>
          <w:szCs w:val="20"/>
        </w:rPr>
        <w:t xml:space="preserve"> t</w:t>
      </w:r>
      <w:r>
        <w:t>he RC system brings the most compact plant without sacrificing performance. The ORC systems could have the same equipment size as a RC plant – if the working fluid velocity falls inside the recommended limits</w:t>
      </w:r>
      <w:r>
        <w:rPr>
          <w:rStyle w:val="FootnoteReference"/>
        </w:rPr>
        <w:footnoteReference w:id="8"/>
      </w:r>
      <w:r>
        <w:t xml:space="preserve">- but with a substantial increase in fluid velocity, especially after the pump. An increase in velocity would bring a larger pressure drop which in turn will reduce the plant’s power output </w:t>
      </w:r>
      <w:r>
        <w:fldChar w:fldCharType="begin" w:fldLock="1"/>
      </w:r>
      <w:r w:rsidR="00BA1648">
        <w:instrText>ADDIN CSL_CITATION { "citationItems" : [ { "id" : "ITEM-1", "itemData" : { "ISBN" : "0471321710", "author" : [ { "dropping-particle" : "", "family" : "Shah", "given" : "Ramesh K.", "non-dropping-particle" : "", "parse-names" : false, "suffix" : "" }, { "dropping-particle" : "", "family" : "Sekulic", "given" : "Du\u0161an P.", "non-dropping-particle" : "", "parse-names" : false, "suffix" : "" } ], "edition" : "1st", "id" : "ITEM-1", "issued" : { "date-parts" : [ [ "2003" ] ] }, "number-of-pages" : "972", "publisher" : "John Wiley &amp; Sons, Inc.", "publisher-place" : "New Jersey", "title" : "Fundamentals Of Heat Exchanger Design", "type" : "book" }, "uris" : [ "http://www.mendeley.com/documents/?uuid=127c4c32-d3f2-4c9d-bb17-38ba7512fe3a" ] }, { "id" : "ITEM-2", "itemData" : { "ISBN" : "978-0-7506-6538-4", "abstract" : "The transfer of heat to and from process fluids is an essential part of most chemical processes. The most commonly used type of heat-transfer equipment is the ubiquitous shell and tube heat exchanger; the design of which is the main subject of this chapter. The fundamentals of heat-transfer theory are covered in Volume 1, Chapter 9; and in many other textbooks: Holman (2002), Ozisik (1985), Rohsenow et al. (1998), Kreith and Bohn (2000), and Incropera and Dewitt (2001). Several useful books have been published on the design of heat exchange equipment. These should be consulted for fuller details of the construction of equipment and design methods than can be given in this book. A selection of the more useful texts is listed in the bibliography at the end of this chapter. The compilation edited by Schl\u00a8under (1983ff), see also the edition by Hewitt (1990), is probably the most comprehensive work on heat exchanger design methods available in the open literature. The book by Saunders (1988) is recommended as a good source of information on heat exchanger design, especially for shell-and-tube exchangers. As with distillation, work on the development of reliable design methods for heat exchangers has been dominated in recent years by commercial research organisations: Heat Transfer Research Inc. (HTRI) in the United States and Heat Transfer and Fluid Flow Service (HTFS) in the United Kingdom. HTFS was developed by the United Kingdom Atomic Energy Authority and the National Physical Laboratory, but is now available from Aspentech, see Chapter 4, Table 4.1. Their methods are of a proprietary nature and are not therefore available in the open literature. They will, however, be available to design engineers in the major operating and contracting companies, whose companies subscribe to these organisations.", "author" : [ { "dropping-particle" : "", "family" : "Sinnott", "given" : "R.K.", "non-dropping-particle" : "", "parse-names" : false, "suffix" : "" } ], "chapter-number" : "12", "container-title" : "Coulson and Richardson's Chemical Engineering Volume 6 - Chemical Engineering Design", "edition" : "4th", "id" : "ITEM-2", "issued" : { "date-parts" : [ [ "2005" ] ] }, "page" : "634-793", "publisher" : "Elsevier", "publisher-place" : "Oxford", "title" : "Heat-transfer Equipment", "type" : "chapter" }, "uris" : [ "http://www.mendeley.com/documents/?uuid=d51c312a-7f97-4fd4-875f-b4d60262ba2d" ] } ], "mendeley" : { "formattedCitation" : "(Shah &amp; Sekulic 2003; Sinnott 2005)", "plainTextFormattedCitation" : "(Shah &amp; Sekulic 2003; Sinnott 2005)", "previouslyFormattedCitation" : "(Shah &amp; Sekulic 2003; Sinnott 2005)" }, "properties" : { "noteIndex" : 0 }, "schema" : "https://github.com/citation-style-language/schema/raw/master/csl-citation.json" }</w:instrText>
      </w:r>
      <w:r>
        <w:fldChar w:fldCharType="separate"/>
      </w:r>
      <w:r w:rsidR="000C4D22" w:rsidRPr="000C4D22">
        <w:rPr>
          <w:noProof/>
        </w:rPr>
        <w:t>(Shah &amp; Sekulic 2003; Sinnott 2005)</w:t>
      </w:r>
      <w:r>
        <w:fldChar w:fldCharType="end"/>
      </w:r>
      <w:r>
        <w:t>. If the fluid velocity is maintained equal for the different systems</w:t>
      </w:r>
      <w:r w:rsidR="0015710B">
        <w:t>,</w:t>
      </w:r>
      <w:r>
        <w:t xml:space="preserve"> the WHRS with largest volumetric flow rate will </w:t>
      </w:r>
      <w:r w:rsidR="0015710B">
        <w:t>require</w:t>
      </w:r>
      <w:r>
        <w:t xml:space="preserve"> larger pipe diameters and cross</w:t>
      </w:r>
      <w:r w:rsidR="0015710B">
        <w:t>-</w:t>
      </w:r>
      <w:r>
        <w:t>sectional areas for the heat exchangers, having an impact on plant mass, volume and cost.</w:t>
      </w:r>
    </w:p>
    <w:p w:rsidR="00832AE7" w:rsidRDefault="00832AE7" w:rsidP="000C4D22">
      <w:pPr>
        <w:pStyle w:val="Tabletitle"/>
      </w:pPr>
      <w:bookmarkStart w:id="33" w:name="_Ref410227958"/>
    </w:p>
    <w:tbl>
      <w:tblPr>
        <w:tblStyle w:val="TableGrid"/>
        <w:tblW w:w="3781" w:type="pct"/>
        <w:jc w:val="center"/>
        <w:tblLook w:val="04A0" w:firstRow="1" w:lastRow="0" w:firstColumn="1" w:lastColumn="0" w:noHBand="0" w:noVBand="1"/>
      </w:tblPr>
      <w:tblGrid>
        <w:gridCol w:w="1462"/>
        <w:gridCol w:w="1041"/>
        <w:gridCol w:w="821"/>
        <w:gridCol w:w="891"/>
        <w:gridCol w:w="1004"/>
        <w:gridCol w:w="96"/>
        <w:gridCol w:w="1275"/>
      </w:tblGrid>
      <w:tr w:rsidR="00832AE7" w:rsidRPr="008D078E" w:rsidTr="00E533E9">
        <w:trPr>
          <w:trHeight w:val="296"/>
          <w:jc w:val="center"/>
        </w:trPr>
        <w:tc>
          <w:tcPr>
            <w:tcW w:w="1109" w:type="pct"/>
            <w:vMerge w:val="restart"/>
            <w:tcBorders>
              <w:left w:val="nil"/>
              <w:right w:val="nil"/>
            </w:tcBorders>
            <w:vAlign w:val="center"/>
          </w:tcPr>
          <w:p w:rsidR="00832AE7" w:rsidRPr="008D078E" w:rsidRDefault="00832AE7" w:rsidP="00E533E9">
            <w:pPr>
              <w:autoSpaceDE w:val="0"/>
              <w:autoSpaceDN w:val="0"/>
              <w:adjustRightInd w:val="0"/>
              <w:jc w:val="center"/>
              <w:rPr>
                <w:rFonts w:ascii="Times New Roman" w:hAnsi="Times New Roman" w:cs="Times New Roman"/>
                <w:b/>
                <w:sz w:val="18"/>
                <w:szCs w:val="18"/>
              </w:rPr>
            </w:pPr>
            <w:r w:rsidRPr="008D078E">
              <w:rPr>
                <w:rFonts w:ascii="Times New Roman" w:hAnsi="Times New Roman" w:cs="Times New Roman"/>
                <w:b/>
                <w:sz w:val="18"/>
                <w:szCs w:val="18"/>
              </w:rPr>
              <w:lastRenderedPageBreak/>
              <w:t>Working Fluids</w:t>
            </w:r>
          </w:p>
        </w:tc>
        <w:tc>
          <w:tcPr>
            <w:tcW w:w="790" w:type="pct"/>
            <w:vMerge w:val="restart"/>
            <w:tcBorders>
              <w:left w:val="nil"/>
              <w:right w:val="nil"/>
            </w:tcBorders>
            <w:vAlign w:val="center"/>
          </w:tcPr>
          <w:p w:rsidR="00832AE7" w:rsidRPr="008D078E" w:rsidRDefault="001C7E9D" w:rsidP="00E533E9">
            <w:pPr>
              <w:autoSpaceDE w:val="0"/>
              <w:autoSpaceDN w:val="0"/>
              <w:adjustRightInd w:val="0"/>
              <w:jc w:val="center"/>
              <w:rPr>
                <w:rFonts w:ascii="Times New Roman" w:hAnsi="Times New Roman" w:cs="Times New Roman"/>
                <w:b/>
                <w:sz w:val="18"/>
                <w:szCs w:val="18"/>
              </w:rPr>
            </w:pPr>
            <m:oMathPara>
              <m:oMath>
                <m:acc>
                  <m:accPr>
                    <m:chr m:val="̇"/>
                    <m:ctrlPr>
                      <w:rPr>
                        <w:rFonts w:ascii="Cambria Math" w:hAnsi="Cambria Math" w:cs="Times New Roman"/>
                        <w:b/>
                        <w:i/>
                        <w:sz w:val="18"/>
                        <w:szCs w:val="18"/>
                      </w:rPr>
                    </m:ctrlPr>
                  </m:accPr>
                  <m:e>
                    <m:r>
                      <m:rPr>
                        <m:sty m:val="bi"/>
                      </m:rPr>
                      <w:rPr>
                        <w:rFonts w:ascii="Cambria Math" w:hAnsi="Cambria Math" w:cs="Times New Roman"/>
                        <w:sz w:val="18"/>
                        <w:szCs w:val="18"/>
                      </w:rPr>
                      <m:t>m</m:t>
                    </m:r>
                  </m:e>
                </m:acc>
              </m:oMath>
            </m:oMathPara>
          </w:p>
          <w:p w:rsidR="00832AE7" w:rsidRPr="008D078E" w:rsidRDefault="00832AE7" w:rsidP="00E533E9">
            <w:pPr>
              <w:autoSpaceDE w:val="0"/>
              <w:autoSpaceDN w:val="0"/>
              <w:adjustRightInd w:val="0"/>
              <w:jc w:val="center"/>
              <w:rPr>
                <w:rFonts w:ascii="Times New Roman" w:hAnsi="Times New Roman" w:cs="Times New Roman"/>
                <w:b/>
                <w:sz w:val="18"/>
                <w:szCs w:val="18"/>
              </w:rPr>
            </w:pPr>
            <w:r w:rsidRPr="008D078E">
              <w:rPr>
                <w:rFonts w:ascii="Times New Roman" w:hAnsi="Times New Roman" w:cs="Times New Roman"/>
                <w:b/>
                <w:sz w:val="18"/>
                <w:szCs w:val="18"/>
              </w:rPr>
              <w:t>(</w:t>
            </w:r>
            <w:r w:rsidRPr="005A4E0D">
              <w:rPr>
                <w:rFonts w:ascii="Times New Roman" w:hAnsi="Times New Roman" w:cs="Times New Roman"/>
                <w:b/>
                <w:sz w:val="18"/>
                <w:szCs w:val="18"/>
              </w:rPr>
              <w:t>kg s</w:t>
            </w:r>
            <w:r w:rsidRPr="005A4E0D">
              <w:rPr>
                <w:rFonts w:ascii="Times New Roman" w:hAnsi="Times New Roman" w:cs="Times New Roman"/>
                <w:b/>
                <w:sz w:val="18"/>
                <w:szCs w:val="18"/>
                <w:vertAlign w:val="superscript"/>
              </w:rPr>
              <w:t>-1</w:t>
            </w:r>
            <w:r w:rsidRPr="008D078E">
              <w:rPr>
                <w:rFonts w:ascii="Times New Roman" w:hAnsi="Times New Roman" w:cs="Times New Roman"/>
                <w:b/>
                <w:sz w:val="18"/>
                <w:szCs w:val="18"/>
              </w:rPr>
              <w:t>)</w:t>
            </w:r>
          </w:p>
        </w:tc>
        <w:tc>
          <w:tcPr>
            <w:tcW w:w="1299" w:type="pct"/>
            <w:gridSpan w:val="2"/>
            <w:tcBorders>
              <w:left w:val="nil"/>
              <w:bottom w:val="single" w:sz="4" w:space="0" w:color="auto"/>
              <w:right w:val="single" w:sz="12" w:space="0" w:color="auto"/>
            </w:tcBorders>
            <w:vAlign w:val="center"/>
          </w:tcPr>
          <w:p w:rsidR="00832AE7" w:rsidRPr="008D078E" w:rsidRDefault="00832AE7" w:rsidP="00E533E9">
            <w:pPr>
              <w:autoSpaceDE w:val="0"/>
              <w:autoSpaceDN w:val="0"/>
              <w:adjustRightInd w:val="0"/>
              <w:jc w:val="center"/>
              <w:rPr>
                <w:rFonts w:ascii="Times New Roman" w:hAnsi="Times New Roman" w:cs="Times New Roman"/>
                <w:b/>
                <w:i/>
                <w:sz w:val="18"/>
                <w:szCs w:val="18"/>
              </w:rPr>
            </w:pPr>
            <w:r w:rsidRPr="008D078E">
              <w:rPr>
                <w:rFonts w:ascii="Times New Roman" w:hAnsi="Times New Roman" w:cs="Times New Roman"/>
                <w:b/>
                <w:i/>
                <w:sz w:val="18"/>
                <w:szCs w:val="18"/>
              </w:rPr>
              <w:t>2</w:t>
            </w:r>
          </w:p>
        </w:tc>
        <w:tc>
          <w:tcPr>
            <w:tcW w:w="1801" w:type="pct"/>
            <w:gridSpan w:val="3"/>
            <w:tcBorders>
              <w:left w:val="single" w:sz="12" w:space="0" w:color="auto"/>
              <w:bottom w:val="single" w:sz="4" w:space="0" w:color="auto"/>
              <w:right w:val="nil"/>
            </w:tcBorders>
            <w:vAlign w:val="center"/>
          </w:tcPr>
          <w:p w:rsidR="00832AE7" w:rsidRPr="008D078E" w:rsidRDefault="00832AE7" w:rsidP="00E533E9">
            <w:pPr>
              <w:autoSpaceDE w:val="0"/>
              <w:autoSpaceDN w:val="0"/>
              <w:adjustRightInd w:val="0"/>
              <w:jc w:val="center"/>
              <w:rPr>
                <w:rFonts w:ascii="Times New Roman" w:hAnsi="Times New Roman" w:cs="Times New Roman"/>
                <w:b/>
                <w:i/>
                <w:sz w:val="18"/>
                <w:szCs w:val="18"/>
                <w:vertAlign w:val="subscript"/>
              </w:rPr>
            </w:pPr>
            <w:r w:rsidRPr="008D078E">
              <w:rPr>
                <w:rFonts w:ascii="Times New Roman" w:hAnsi="Times New Roman" w:cs="Times New Roman"/>
                <w:b/>
                <w:i/>
                <w:sz w:val="18"/>
                <w:szCs w:val="18"/>
              </w:rPr>
              <w:t>4</w:t>
            </w:r>
          </w:p>
        </w:tc>
      </w:tr>
      <w:tr w:rsidR="00832AE7" w:rsidRPr="008D078E" w:rsidTr="00E533E9">
        <w:trPr>
          <w:trHeight w:val="295"/>
          <w:jc w:val="center"/>
        </w:trPr>
        <w:tc>
          <w:tcPr>
            <w:tcW w:w="1109" w:type="pct"/>
            <w:vMerge/>
            <w:tcBorders>
              <w:left w:val="nil"/>
              <w:bottom w:val="single" w:sz="4" w:space="0" w:color="auto"/>
              <w:right w:val="nil"/>
            </w:tcBorders>
            <w:vAlign w:val="center"/>
          </w:tcPr>
          <w:p w:rsidR="00832AE7" w:rsidRPr="008D078E" w:rsidRDefault="00832AE7" w:rsidP="00E533E9">
            <w:pPr>
              <w:autoSpaceDE w:val="0"/>
              <w:autoSpaceDN w:val="0"/>
              <w:adjustRightInd w:val="0"/>
              <w:jc w:val="center"/>
              <w:rPr>
                <w:rFonts w:ascii="Times New Roman" w:hAnsi="Times New Roman" w:cs="Times New Roman"/>
                <w:b/>
                <w:sz w:val="18"/>
                <w:szCs w:val="18"/>
              </w:rPr>
            </w:pPr>
          </w:p>
        </w:tc>
        <w:tc>
          <w:tcPr>
            <w:tcW w:w="790" w:type="pct"/>
            <w:vMerge/>
            <w:tcBorders>
              <w:left w:val="nil"/>
              <w:bottom w:val="single" w:sz="4" w:space="0" w:color="auto"/>
              <w:right w:val="nil"/>
            </w:tcBorders>
            <w:vAlign w:val="center"/>
          </w:tcPr>
          <w:p w:rsidR="00832AE7" w:rsidRPr="008D078E" w:rsidRDefault="00832AE7" w:rsidP="00E533E9">
            <w:pPr>
              <w:autoSpaceDE w:val="0"/>
              <w:autoSpaceDN w:val="0"/>
              <w:adjustRightInd w:val="0"/>
              <w:jc w:val="center"/>
              <w:rPr>
                <w:rFonts w:ascii="Times New Roman" w:eastAsia="Times New Roman" w:hAnsi="Times New Roman" w:cs="Times New Roman"/>
                <w:b/>
                <w:sz w:val="18"/>
                <w:szCs w:val="18"/>
              </w:rPr>
            </w:pPr>
          </w:p>
        </w:tc>
        <w:tc>
          <w:tcPr>
            <w:tcW w:w="623" w:type="pct"/>
            <w:tcBorders>
              <w:left w:val="nil"/>
              <w:bottom w:val="single" w:sz="4" w:space="0" w:color="auto"/>
              <w:right w:val="nil"/>
            </w:tcBorders>
            <w:vAlign w:val="center"/>
          </w:tcPr>
          <w:p w:rsidR="00832AE7" w:rsidRPr="008D078E" w:rsidRDefault="00832AE7" w:rsidP="00E533E9">
            <w:pPr>
              <w:autoSpaceDE w:val="0"/>
              <w:autoSpaceDN w:val="0"/>
              <w:adjustRightInd w:val="0"/>
              <w:jc w:val="center"/>
              <w:rPr>
                <w:rFonts w:ascii="Times New Roman" w:hAnsi="Times New Roman" w:cs="Times New Roman"/>
                <w:b/>
                <w:i/>
                <w:sz w:val="18"/>
                <w:szCs w:val="18"/>
              </w:rPr>
            </w:pPr>
            <w:r w:rsidRPr="008D078E">
              <w:rPr>
                <w:rFonts w:ascii="Times New Roman" w:hAnsi="Times New Roman" w:cs="Times New Roman"/>
                <w:b/>
                <w:i/>
                <w:sz w:val="18"/>
                <w:szCs w:val="18"/>
              </w:rPr>
              <w:t>ρ</w:t>
            </w:r>
          </w:p>
          <w:p w:rsidR="00832AE7" w:rsidRPr="008D078E" w:rsidRDefault="00832AE7" w:rsidP="00E533E9">
            <w:pPr>
              <w:autoSpaceDE w:val="0"/>
              <w:autoSpaceDN w:val="0"/>
              <w:adjustRightInd w:val="0"/>
              <w:jc w:val="center"/>
              <w:rPr>
                <w:rFonts w:ascii="Times New Roman" w:hAnsi="Times New Roman" w:cs="Times New Roman"/>
                <w:b/>
                <w:sz w:val="18"/>
                <w:szCs w:val="18"/>
              </w:rPr>
            </w:pPr>
            <w:r>
              <w:rPr>
                <w:rFonts w:ascii="Times New Roman" w:hAnsi="Times New Roman" w:cs="Times New Roman"/>
                <w:b/>
                <w:sz w:val="18"/>
                <w:szCs w:val="18"/>
              </w:rPr>
              <w:t xml:space="preserve">(kg </w:t>
            </w:r>
            <w:r w:rsidRPr="008D078E">
              <w:rPr>
                <w:rFonts w:ascii="Times New Roman" w:hAnsi="Times New Roman" w:cs="Times New Roman"/>
                <w:b/>
                <w:sz w:val="18"/>
                <w:szCs w:val="18"/>
              </w:rPr>
              <w:t>m</w:t>
            </w:r>
            <w:r>
              <w:rPr>
                <w:rFonts w:ascii="Times New Roman" w:hAnsi="Times New Roman" w:cs="Times New Roman"/>
                <w:b/>
                <w:sz w:val="18"/>
                <w:szCs w:val="18"/>
                <w:vertAlign w:val="superscript"/>
              </w:rPr>
              <w:t>-3</w:t>
            </w:r>
            <w:r w:rsidRPr="008D078E">
              <w:rPr>
                <w:rFonts w:ascii="Times New Roman" w:hAnsi="Times New Roman" w:cs="Times New Roman"/>
                <w:b/>
                <w:sz w:val="18"/>
                <w:szCs w:val="18"/>
              </w:rPr>
              <w:t>)</w:t>
            </w:r>
          </w:p>
        </w:tc>
        <w:tc>
          <w:tcPr>
            <w:tcW w:w="676" w:type="pct"/>
            <w:tcBorders>
              <w:left w:val="nil"/>
              <w:bottom w:val="single" w:sz="4" w:space="0" w:color="auto"/>
              <w:right w:val="single" w:sz="12" w:space="0" w:color="auto"/>
            </w:tcBorders>
            <w:vAlign w:val="center"/>
          </w:tcPr>
          <w:p w:rsidR="00832AE7" w:rsidRPr="008D078E" w:rsidRDefault="001C7E9D" w:rsidP="00E533E9">
            <w:pPr>
              <w:autoSpaceDE w:val="0"/>
              <w:autoSpaceDN w:val="0"/>
              <w:adjustRightInd w:val="0"/>
              <w:jc w:val="center"/>
              <w:rPr>
                <w:rFonts w:ascii="Times New Roman" w:hAnsi="Times New Roman" w:cs="Times New Roman"/>
                <w:b/>
                <w:i/>
                <w:sz w:val="18"/>
                <w:szCs w:val="18"/>
              </w:rPr>
            </w:pPr>
            <m:oMathPara>
              <m:oMath>
                <m:acc>
                  <m:accPr>
                    <m:chr m:val="̇"/>
                    <m:ctrlPr>
                      <w:rPr>
                        <w:rFonts w:ascii="Cambria Math" w:hAnsi="Cambria Math" w:cs="Times New Roman"/>
                        <w:b/>
                        <w:i/>
                        <w:sz w:val="18"/>
                        <w:szCs w:val="18"/>
                      </w:rPr>
                    </m:ctrlPr>
                  </m:accPr>
                  <m:e>
                    <m:r>
                      <m:rPr>
                        <m:sty m:val="bi"/>
                      </m:rPr>
                      <w:rPr>
                        <w:rFonts w:ascii="Cambria Math" w:hAnsi="Cambria Math" w:cs="Times New Roman"/>
                        <w:sz w:val="18"/>
                        <w:szCs w:val="18"/>
                      </w:rPr>
                      <m:t>V</m:t>
                    </m:r>
                  </m:e>
                </m:acc>
              </m:oMath>
            </m:oMathPara>
          </w:p>
          <w:p w:rsidR="00832AE7" w:rsidRPr="008D078E" w:rsidRDefault="00832AE7" w:rsidP="00E533E9">
            <w:pPr>
              <w:autoSpaceDE w:val="0"/>
              <w:autoSpaceDN w:val="0"/>
              <w:adjustRightInd w:val="0"/>
              <w:jc w:val="center"/>
              <w:rPr>
                <w:rFonts w:ascii="Times New Roman" w:hAnsi="Times New Roman" w:cs="Times New Roman"/>
                <w:b/>
                <w:sz w:val="18"/>
                <w:szCs w:val="18"/>
              </w:rPr>
            </w:pPr>
            <w:r w:rsidRPr="008D078E">
              <w:rPr>
                <w:rFonts w:ascii="Times New Roman" w:hAnsi="Times New Roman" w:cs="Times New Roman"/>
                <w:b/>
                <w:sz w:val="18"/>
                <w:szCs w:val="18"/>
              </w:rPr>
              <w:t>(m</w:t>
            </w:r>
            <w:r w:rsidRPr="008D078E">
              <w:rPr>
                <w:rFonts w:ascii="Times New Roman" w:hAnsi="Times New Roman" w:cs="Times New Roman"/>
                <w:b/>
                <w:sz w:val="18"/>
                <w:szCs w:val="18"/>
                <w:vertAlign w:val="superscript"/>
              </w:rPr>
              <w:t>3</w:t>
            </w:r>
            <w:r>
              <w:rPr>
                <w:rFonts w:ascii="Times New Roman" w:hAnsi="Times New Roman" w:cs="Times New Roman"/>
                <w:b/>
                <w:sz w:val="18"/>
                <w:szCs w:val="18"/>
              </w:rPr>
              <w:t xml:space="preserve"> </w:t>
            </w:r>
            <w:r w:rsidRPr="008D078E">
              <w:rPr>
                <w:rFonts w:ascii="Times New Roman" w:hAnsi="Times New Roman" w:cs="Times New Roman"/>
                <w:b/>
                <w:sz w:val="18"/>
                <w:szCs w:val="18"/>
              </w:rPr>
              <w:t>s</w:t>
            </w:r>
            <w:r>
              <w:rPr>
                <w:rFonts w:ascii="Times New Roman" w:hAnsi="Times New Roman" w:cs="Times New Roman"/>
                <w:b/>
                <w:sz w:val="18"/>
                <w:szCs w:val="18"/>
                <w:vertAlign w:val="superscript"/>
              </w:rPr>
              <w:t>-1</w:t>
            </w:r>
            <w:r w:rsidRPr="008D078E">
              <w:rPr>
                <w:rFonts w:ascii="Times New Roman" w:hAnsi="Times New Roman" w:cs="Times New Roman"/>
                <w:b/>
                <w:sz w:val="18"/>
                <w:szCs w:val="18"/>
              </w:rPr>
              <w:t>)</w:t>
            </w:r>
          </w:p>
        </w:tc>
        <w:tc>
          <w:tcPr>
            <w:tcW w:w="835" w:type="pct"/>
            <w:gridSpan w:val="2"/>
            <w:tcBorders>
              <w:left w:val="single" w:sz="12" w:space="0" w:color="auto"/>
              <w:bottom w:val="single" w:sz="4" w:space="0" w:color="auto"/>
              <w:right w:val="nil"/>
            </w:tcBorders>
            <w:vAlign w:val="center"/>
          </w:tcPr>
          <w:p w:rsidR="00832AE7" w:rsidRPr="008D078E" w:rsidRDefault="00832AE7" w:rsidP="00E533E9">
            <w:pPr>
              <w:autoSpaceDE w:val="0"/>
              <w:autoSpaceDN w:val="0"/>
              <w:adjustRightInd w:val="0"/>
              <w:jc w:val="center"/>
              <w:rPr>
                <w:rFonts w:ascii="Times New Roman" w:hAnsi="Times New Roman" w:cs="Times New Roman"/>
                <w:b/>
                <w:i/>
                <w:sz w:val="18"/>
                <w:szCs w:val="18"/>
              </w:rPr>
            </w:pPr>
            <w:r w:rsidRPr="008D078E">
              <w:rPr>
                <w:rFonts w:ascii="Times New Roman" w:hAnsi="Times New Roman" w:cs="Times New Roman"/>
                <w:b/>
                <w:i/>
                <w:sz w:val="18"/>
                <w:szCs w:val="18"/>
              </w:rPr>
              <w:t>ρ</w:t>
            </w:r>
          </w:p>
          <w:p w:rsidR="00832AE7" w:rsidRPr="008D078E" w:rsidRDefault="00832AE7" w:rsidP="00E533E9">
            <w:pPr>
              <w:autoSpaceDE w:val="0"/>
              <w:autoSpaceDN w:val="0"/>
              <w:adjustRightInd w:val="0"/>
              <w:jc w:val="center"/>
              <w:rPr>
                <w:rFonts w:ascii="Times New Roman" w:hAnsi="Times New Roman" w:cs="Times New Roman"/>
                <w:b/>
                <w:sz w:val="18"/>
                <w:szCs w:val="18"/>
              </w:rPr>
            </w:pPr>
            <w:r w:rsidRPr="008D078E">
              <w:rPr>
                <w:rFonts w:ascii="Times New Roman" w:hAnsi="Times New Roman" w:cs="Times New Roman"/>
                <w:b/>
                <w:sz w:val="18"/>
                <w:szCs w:val="18"/>
              </w:rPr>
              <w:t>(</w:t>
            </w:r>
            <w:r>
              <w:rPr>
                <w:rFonts w:ascii="Times New Roman" w:hAnsi="Times New Roman" w:cs="Times New Roman"/>
                <w:b/>
                <w:sz w:val="18"/>
                <w:szCs w:val="18"/>
              </w:rPr>
              <w:t xml:space="preserve">kg </w:t>
            </w:r>
            <w:r w:rsidRPr="008D078E">
              <w:rPr>
                <w:rFonts w:ascii="Times New Roman" w:hAnsi="Times New Roman" w:cs="Times New Roman"/>
                <w:b/>
                <w:sz w:val="18"/>
                <w:szCs w:val="18"/>
              </w:rPr>
              <w:t>m</w:t>
            </w:r>
            <w:r>
              <w:rPr>
                <w:rFonts w:ascii="Times New Roman" w:hAnsi="Times New Roman" w:cs="Times New Roman"/>
                <w:b/>
                <w:sz w:val="18"/>
                <w:szCs w:val="18"/>
                <w:vertAlign w:val="superscript"/>
              </w:rPr>
              <w:t>-3</w:t>
            </w:r>
            <w:r w:rsidRPr="008D078E">
              <w:rPr>
                <w:rFonts w:ascii="Times New Roman" w:hAnsi="Times New Roman" w:cs="Times New Roman"/>
                <w:b/>
                <w:sz w:val="18"/>
                <w:szCs w:val="18"/>
              </w:rPr>
              <w:t>)</w:t>
            </w:r>
          </w:p>
        </w:tc>
        <w:tc>
          <w:tcPr>
            <w:tcW w:w="967" w:type="pct"/>
            <w:tcBorders>
              <w:left w:val="nil"/>
              <w:bottom w:val="single" w:sz="4" w:space="0" w:color="auto"/>
              <w:right w:val="nil"/>
            </w:tcBorders>
            <w:vAlign w:val="center"/>
          </w:tcPr>
          <w:p w:rsidR="00832AE7" w:rsidRPr="008D078E" w:rsidRDefault="001C7E9D" w:rsidP="00E533E9">
            <w:pPr>
              <w:autoSpaceDE w:val="0"/>
              <w:autoSpaceDN w:val="0"/>
              <w:adjustRightInd w:val="0"/>
              <w:jc w:val="center"/>
              <w:rPr>
                <w:rFonts w:ascii="Times New Roman" w:hAnsi="Times New Roman" w:cs="Times New Roman"/>
                <w:b/>
                <w:i/>
                <w:sz w:val="18"/>
                <w:szCs w:val="18"/>
              </w:rPr>
            </w:pPr>
            <m:oMathPara>
              <m:oMath>
                <m:acc>
                  <m:accPr>
                    <m:chr m:val="̇"/>
                    <m:ctrlPr>
                      <w:rPr>
                        <w:rFonts w:ascii="Cambria Math" w:hAnsi="Cambria Math" w:cs="Times New Roman"/>
                        <w:b/>
                        <w:i/>
                        <w:sz w:val="18"/>
                        <w:szCs w:val="18"/>
                      </w:rPr>
                    </m:ctrlPr>
                  </m:accPr>
                  <m:e>
                    <m:r>
                      <m:rPr>
                        <m:sty m:val="bi"/>
                      </m:rPr>
                      <w:rPr>
                        <w:rFonts w:ascii="Cambria Math" w:hAnsi="Cambria Math" w:cs="Times New Roman"/>
                        <w:sz w:val="18"/>
                        <w:szCs w:val="18"/>
                      </w:rPr>
                      <m:t>V</m:t>
                    </m:r>
                  </m:e>
                </m:acc>
              </m:oMath>
            </m:oMathPara>
          </w:p>
          <w:p w:rsidR="00832AE7" w:rsidRPr="008D078E" w:rsidRDefault="00832AE7" w:rsidP="00E533E9">
            <w:pPr>
              <w:autoSpaceDE w:val="0"/>
              <w:autoSpaceDN w:val="0"/>
              <w:adjustRightInd w:val="0"/>
              <w:jc w:val="center"/>
              <w:rPr>
                <w:rFonts w:ascii="Times New Roman" w:hAnsi="Times New Roman" w:cs="Times New Roman"/>
                <w:b/>
                <w:sz w:val="18"/>
                <w:szCs w:val="18"/>
              </w:rPr>
            </w:pPr>
            <w:r w:rsidRPr="008D078E">
              <w:rPr>
                <w:rFonts w:ascii="Times New Roman" w:hAnsi="Times New Roman" w:cs="Times New Roman"/>
                <w:b/>
                <w:sz w:val="18"/>
                <w:szCs w:val="18"/>
              </w:rPr>
              <w:t>(x10</w:t>
            </w:r>
            <w:r w:rsidRPr="008D078E">
              <w:rPr>
                <w:rFonts w:ascii="Times New Roman" w:hAnsi="Times New Roman" w:cs="Times New Roman"/>
                <w:b/>
                <w:sz w:val="18"/>
                <w:szCs w:val="18"/>
                <w:vertAlign w:val="superscript"/>
              </w:rPr>
              <w:t>-3</w:t>
            </w:r>
            <w:r w:rsidRPr="008D078E">
              <w:rPr>
                <w:rFonts w:ascii="Times New Roman" w:hAnsi="Times New Roman" w:cs="Times New Roman"/>
                <w:b/>
                <w:sz w:val="18"/>
                <w:szCs w:val="18"/>
              </w:rPr>
              <w:t xml:space="preserve"> m</w:t>
            </w:r>
            <w:r w:rsidRPr="008D078E">
              <w:rPr>
                <w:rFonts w:ascii="Times New Roman" w:hAnsi="Times New Roman" w:cs="Times New Roman"/>
                <w:b/>
                <w:sz w:val="18"/>
                <w:szCs w:val="18"/>
                <w:vertAlign w:val="superscript"/>
              </w:rPr>
              <w:t>3</w:t>
            </w:r>
            <w:r>
              <w:rPr>
                <w:rFonts w:ascii="Times New Roman" w:hAnsi="Times New Roman" w:cs="Times New Roman"/>
                <w:b/>
                <w:sz w:val="18"/>
                <w:szCs w:val="18"/>
              </w:rPr>
              <w:t xml:space="preserve"> </w:t>
            </w:r>
            <w:r w:rsidRPr="008D078E">
              <w:rPr>
                <w:rFonts w:ascii="Times New Roman" w:hAnsi="Times New Roman" w:cs="Times New Roman"/>
                <w:b/>
                <w:sz w:val="18"/>
                <w:szCs w:val="18"/>
              </w:rPr>
              <w:t>s</w:t>
            </w:r>
            <w:r>
              <w:rPr>
                <w:rFonts w:ascii="Times New Roman" w:hAnsi="Times New Roman" w:cs="Times New Roman"/>
                <w:b/>
                <w:sz w:val="18"/>
                <w:szCs w:val="18"/>
                <w:vertAlign w:val="superscript"/>
              </w:rPr>
              <w:t>-1</w:t>
            </w:r>
            <w:r w:rsidRPr="008D078E">
              <w:rPr>
                <w:rFonts w:ascii="Times New Roman" w:hAnsi="Times New Roman" w:cs="Times New Roman"/>
                <w:b/>
                <w:sz w:val="18"/>
                <w:szCs w:val="18"/>
              </w:rPr>
              <w:t>)</w:t>
            </w:r>
          </w:p>
        </w:tc>
      </w:tr>
      <w:tr w:rsidR="00832AE7" w:rsidRPr="008D078E" w:rsidTr="00E533E9">
        <w:trPr>
          <w:jc w:val="center"/>
        </w:trPr>
        <w:tc>
          <w:tcPr>
            <w:tcW w:w="1109" w:type="pct"/>
            <w:tcBorders>
              <w:left w:val="nil"/>
              <w:bottom w:val="nil"/>
              <w:right w:val="nil"/>
            </w:tcBorders>
            <w:vAlign w:val="center"/>
          </w:tcPr>
          <w:p w:rsidR="00832AE7" w:rsidRPr="008D078E" w:rsidRDefault="00832AE7" w:rsidP="00E533E9">
            <w:pPr>
              <w:autoSpaceDE w:val="0"/>
              <w:autoSpaceDN w:val="0"/>
              <w:adjustRightInd w:val="0"/>
              <w:spacing w:before="200"/>
              <w:jc w:val="center"/>
              <w:rPr>
                <w:rFonts w:ascii="Times New Roman" w:hAnsi="Times New Roman" w:cs="Times New Roman"/>
                <w:i/>
                <w:sz w:val="18"/>
                <w:szCs w:val="18"/>
              </w:rPr>
            </w:pPr>
            <w:r w:rsidRPr="008D078E">
              <w:rPr>
                <w:rFonts w:ascii="Times New Roman" w:hAnsi="Times New Roman" w:cs="Times New Roman"/>
                <w:i/>
                <w:sz w:val="18"/>
                <w:szCs w:val="18"/>
              </w:rPr>
              <w:t>Water</w:t>
            </w:r>
          </w:p>
        </w:tc>
        <w:tc>
          <w:tcPr>
            <w:tcW w:w="790" w:type="pct"/>
            <w:tcBorders>
              <w:left w:val="nil"/>
              <w:bottom w:val="nil"/>
              <w:right w:val="nil"/>
            </w:tcBorders>
          </w:tcPr>
          <w:p w:rsidR="00832AE7" w:rsidRPr="008D078E" w:rsidRDefault="00832AE7" w:rsidP="00E533E9">
            <w:pPr>
              <w:autoSpaceDE w:val="0"/>
              <w:autoSpaceDN w:val="0"/>
              <w:adjustRightInd w:val="0"/>
              <w:spacing w:before="200"/>
              <w:jc w:val="center"/>
              <w:rPr>
                <w:rFonts w:ascii="Times New Roman" w:hAnsi="Times New Roman" w:cs="Times New Roman"/>
                <w:sz w:val="18"/>
                <w:szCs w:val="18"/>
              </w:rPr>
            </w:pPr>
            <w:r w:rsidRPr="008D078E">
              <w:rPr>
                <w:rFonts w:ascii="Times New Roman" w:hAnsi="Times New Roman" w:cs="Times New Roman"/>
                <w:sz w:val="18"/>
                <w:szCs w:val="18"/>
              </w:rPr>
              <w:t>4.4</w:t>
            </w:r>
          </w:p>
        </w:tc>
        <w:tc>
          <w:tcPr>
            <w:tcW w:w="623" w:type="pct"/>
            <w:tcBorders>
              <w:left w:val="nil"/>
              <w:bottom w:val="nil"/>
              <w:right w:val="nil"/>
            </w:tcBorders>
          </w:tcPr>
          <w:p w:rsidR="00832AE7" w:rsidRPr="008D078E" w:rsidRDefault="00832AE7" w:rsidP="00E533E9">
            <w:pPr>
              <w:autoSpaceDE w:val="0"/>
              <w:autoSpaceDN w:val="0"/>
              <w:adjustRightInd w:val="0"/>
              <w:spacing w:before="200"/>
              <w:jc w:val="center"/>
              <w:rPr>
                <w:rFonts w:ascii="Times New Roman" w:hAnsi="Times New Roman" w:cs="Times New Roman"/>
                <w:sz w:val="18"/>
                <w:szCs w:val="18"/>
              </w:rPr>
            </w:pPr>
            <w:r w:rsidRPr="008D078E">
              <w:rPr>
                <w:rFonts w:ascii="Times New Roman" w:hAnsi="Times New Roman" w:cs="Times New Roman"/>
                <w:sz w:val="18"/>
                <w:szCs w:val="18"/>
              </w:rPr>
              <w:t>0.07</w:t>
            </w:r>
          </w:p>
        </w:tc>
        <w:tc>
          <w:tcPr>
            <w:tcW w:w="676" w:type="pct"/>
            <w:tcBorders>
              <w:left w:val="nil"/>
              <w:bottom w:val="nil"/>
              <w:right w:val="single" w:sz="12" w:space="0" w:color="auto"/>
            </w:tcBorders>
          </w:tcPr>
          <w:p w:rsidR="00832AE7" w:rsidRPr="008D078E" w:rsidRDefault="00832AE7" w:rsidP="00E533E9">
            <w:pPr>
              <w:autoSpaceDE w:val="0"/>
              <w:autoSpaceDN w:val="0"/>
              <w:adjustRightInd w:val="0"/>
              <w:spacing w:before="200"/>
              <w:jc w:val="center"/>
              <w:rPr>
                <w:rFonts w:ascii="Times New Roman" w:hAnsi="Times New Roman" w:cs="Times New Roman"/>
                <w:sz w:val="18"/>
                <w:szCs w:val="18"/>
              </w:rPr>
            </w:pPr>
            <w:r w:rsidRPr="008D078E">
              <w:rPr>
                <w:rFonts w:ascii="Times New Roman" w:hAnsi="Times New Roman" w:cs="Times New Roman"/>
                <w:sz w:val="18"/>
                <w:szCs w:val="18"/>
              </w:rPr>
              <w:t>63.9</w:t>
            </w:r>
          </w:p>
        </w:tc>
        <w:tc>
          <w:tcPr>
            <w:tcW w:w="762" w:type="pct"/>
            <w:tcBorders>
              <w:left w:val="single" w:sz="12" w:space="0" w:color="auto"/>
              <w:bottom w:val="nil"/>
              <w:right w:val="nil"/>
            </w:tcBorders>
          </w:tcPr>
          <w:p w:rsidR="00832AE7" w:rsidRPr="008D078E" w:rsidRDefault="00832AE7" w:rsidP="00E533E9">
            <w:pPr>
              <w:autoSpaceDE w:val="0"/>
              <w:autoSpaceDN w:val="0"/>
              <w:adjustRightInd w:val="0"/>
              <w:spacing w:before="200"/>
              <w:jc w:val="center"/>
              <w:rPr>
                <w:rFonts w:ascii="Times New Roman" w:hAnsi="Times New Roman" w:cs="Times New Roman"/>
                <w:sz w:val="18"/>
                <w:szCs w:val="18"/>
              </w:rPr>
            </w:pPr>
            <w:r w:rsidRPr="008D078E">
              <w:rPr>
                <w:rFonts w:ascii="Times New Roman" w:hAnsi="Times New Roman" w:cs="Times New Roman"/>
                <w:sz w:val="18"/>
                <w:szCs w:val="18"/>
              </w:rPr>
              <w:t>990.16</w:t>
            </w:r>
          </w:p>
        </w:tc>
        <w:tc>
          <w:tcPr>
            <w:tcW w:w="1040" w:type="pct"/>
            <w:gridSpan w:val="2"/>
            <w:tcBorders>
              <w:left w:val="nil"/>
              <w:bottom w:val="nil"/>
              <w:right w:val="nil"/>
            </w:tcBorders>
          </w:tcPr>
          <w:p w:rsidR="00832AE7" w:rsidRPr="008D078E" w:rsidRDefault="00832AE7" w:rsidP="00E533E9">
            <w:pPr>
              <w:autoSpaceDE w:val="0"/>
              <w:autoSpaceDN w:val="0"/>
              <w:adjustRightInd w:val="0"/>
              <w:spacing w:before="200"/>
              <w:ind w:left="24"/>
              <w:jc w:val="center"/>
              <w:rPr>
                <w:rFonts w:ascii="Times New Roman" w:hAnsi="Times New Roman" w:cs="Times New Roman"/>
                <w:sz w:val="18"/>
                <w:szCs w:val="18"/>
              </w:rPr>
            </w:pPr>
            <w:r w:rsidRPr="008D078E">
              <w:rPr>
                <w:rFonts w:ascii="Times New Roman" w:hAnsi="Times New Roman" w:cs="Times New Roman"/>
                <w:sz w:val="18"/>
                <w:szCs w:val="18"/>
              </w:rPr>
              <w:t>0.4</w:t>
            </w:r>
          </w:p>
        </w:tc>
      </w:tr>
      <w:tr w:rsidR="00832AE7" w:rsidRPr="008D078E" w:rsidTr="00E533E9">
        <w:trPr>
          <w:jc w:val="center"/>
        </w:trPr>
        <w:tc>
          <w:tcPr>
            <w:tcW w:w="1109" w:type="pct"/>
            <w:tcBorders>
              <w:top w:val="nil"/>
              <w:left w:val="nil"/>
              <w:bottom w:val="nil"/>
              <w:right w:val="nil"/>
            </w:tcBorders>
            <w:vAlign w:val="center"/>
          </w:tcPr>
          <w:p w:rsidR="00832AE7" w:rsidRPr="008D078E" w:rsidRDefault="00832AE7" w:rsidP="00E533E9">
            <w:pPr>
              <w:autoSpaceDE w:val="0"/>
              <w:autoSpaceDN w:val="0"/>
              <w:adjustRightInd w:val="0"/>
              <w:jc w:val="center"/>
              <w:rPr>
                <w:rFonts w:ascii="Times New Roman" w:hAnsi="Times New Roman" w:cs="Times New Roman"/>
                <w:i/>
                <w:sz w:val="18"/>
                <w:szCs w:val="18"/>
              </w:rPr>
            </w:pPr>
            <w:r w:rsidRPr="008D078E">
              <w:rPr>
                <w:rFonts w:ascii="Times New Roman" w:hAnsi="Times New Roman" w:cs="Times New Roman"/>
                <w:i/>
                <w:sz w:val="18"/>
                <w:szCs w:val="18"/>
              </w:rPr>
              <w:t>Heptane</w:t>
            </w:r>
          </w:p>
        </w:tc>
        <w:tc>
          <w:tcPr>
            <w:tcW w:w="790" w:type="pct"/>
            <w:tcBorders>
              <w:top w:val="nil"/>
              <w:left w:val="nil"/>
              <w:bottom w:val="nil"/>
              <w:right w:val="nil"/>
            </w:tcBorders>
          </w:tcPr>
          <w:p w:rsidR="00832AE7" w:rsidRPr="008D078E" w:rsidRDefault="00832AE7" w:rsidP="00E533E9">
            <w:pPr>
              <w:autoSpaceDE w:val="0"/>
              <w:autoSpaceDN w:val="0"/>
              <w:adjustRightInd w:val="0"/>
              <w:jc w:val="center"/>
              <w:rPr>
                <w:rFonts w:ascii="Times New Roman" w:hAnsi="Times New Roman" w:cs="Times New Roman"/>
                <w:sz w:val="18"/>
                <w:szCs w:val="18"/>
              </w:rPr>
            </w:pPr>
            <w:r w:rsidRPr="008D078E">
              <w:rPr>
                <w:rFonts w:ascii="Times New Roman" w:hAnsi="Times New Roman" w:cs="Times New Roman"/>
                <w:sz w:val="18"/>
                <w:szCs w:val="18"/>
              </w:rPr>
              <w:t>24.2</w:t>
            </w:r>
          </w:p>
        </w:tc>
        <w:tc>
          <w:tcPr>
            <w:tcW w:w="623" w:type="pct"/>
            <w:tcBorders>
              <w:top w:val="nil"/>
              <w:left w:val="nil"/>
              <w:bottom w:val="nil"/>
              <w:right w:val="nil"/>
            </w:tcBorders>
          </w:tcPr>
          <w:p w:rsidR="00832AE7" w:rsidRPr="008D078E" w:rsidRDefault="00832AE7" w:rsidP="00E533E9">
            <w:pPr>
              <w:autoSpaceDE w:val="0"/>
              <w:autoSpaceDN w:val="0"/>
              <w:adjustRightInd w:val="0"/>
              <w:jc w:val="center"/>
              <w:rPr>
                <w:rFonts w:ascii="Times New Roman" w:hAnsi="Times New Roman" w:cs="Times New Roman"/>
                <w:sz w:val="18"/>
                <w:szCs w:val="18"/>
              </w:rPr>
            </w:pPr>
            <w:r w:rsidRPr="008D078E">
              <w:rPr>
                <w:rFonts w:ascii="Times New Roman" w:hAnsi="Times New Roman" w:cs="Times New Roman"/>
                <w:sz w:val="18"/>
                <w:szCs w:val="18"/>
              </w:rPr>
              <w:t>0.29</w:t>
            </w:r>
          </w:p>
        </w:tc>
        <w:tc>
          <w:tcPr>
            <w:tcW w:w="676" w:type="pct"/>
            <w:tcBorders>
              <w:top w:val="nil"/>
              <w:left w:val="nil"/>
              <w:bottom w:val="nil"/>
              <w:right w:val="single" w:sz="12" w:space="0" w:color="auto"/>
            </w:tcBorders>
          </w:tcPr>
          <w:p w:rsidR="00832AE7" w:rsidRPr="008D078E" w:rsidRDefault="00832AE7" w:rsidP="00E533E9">
            <w:pPr>
              <w:autoSpaceDE w:val="0"/>
              <w:autoSpaceDN w:val="0"/>
              <w:adjustRightInd w:val="0"/>
              <w:jc w:val="center"/>
              <w:rPr>
                <w:rFonts w:ascii="Times New Roman" w:hAnsi="Times New Roman" w:cs="Times New Roman"/>
                <w:sz w:val="18"/>
                <w:szCs w:val="18"/>
              </w:rPr>
            </w:pPr>
            <w:r w:rsidRPr="008D078E">
              <w:rPr>
                <w:rFonts w:ascii="Times New Roman" w:hAnsi="Times New Roman" w:cs="Times New Roman"/>
                <w:sz w:val="18"/>
                <w:szCs w:val="18"/>
              </w:rPr>
              <w:t>84.5</w:t>
            </w:r>
          </w:p>
        </w:tc>
        <w:tc>
          <w:tcPr>
            <w:tcW w:w="762" w:type="pct"/>
            <w:tcBorders>
              <w:top w:val="nil"/>
              <w:left w:val="single" w:sz="12" w:space="0" w:color="auto"/>
              <w:bottom w:val="nil"/>
              <w:right w:val="nil"/>
            </w:tcBorders>
          </w:tcPr>
          <w:p w:rsidR="00832AE7" w:rsidRPr="008D078E" w:rsidRDefault="00832AE7" w:rsidP="00E533E9">
            <w:pPr>
              <w:autoSpaceDE w:val="0"/>
              <w:autoSpaceDN w:val="0"/>
              <w:adjustRightInd w:val="0"/>
              <w:jc w:val="center"/>
              <w:rPr>
                <w:rFonts w:ascii="Times New Roman" w:hAnsi="Times New Roman" w:cs="Times New Roman"/>
                <w:sz w:val="18"/>
                <w:szCs w:val="18"/>
              </w:rPr>
            </w:pPr>
            <w:r w:rsidRPr="008D078E">
              <w:rPr>
                <w:rFonts w:ascii="Times New Roman" w:hAnsi="Times New Roman" w:cs="Times New Roman"/>
                <w:sz w:val="18"/>
                <w:szCs w:val="18"/>
              </w:rPr>
              <w:t>671.04</w:t>
            </w:r>
          </w:p>
        </w:tc>
        <w:tc>
          <w:tcPr>
            <w:tcW w:w="1040" w:type="pct"/>
            <w:gridSpan w:val="2"/>
            <w:tcBorders>
              <w:top w:val="nil"/>
              <w:left w:val="nil"/>
              <w:bottom w:val="nil"/>
              <w:right w:val="nil"/>
            </w:tcBorders>
          </w:tcPr>
          <w:p w:rsidR="00832AE7" w:rsidRPr="008D078E" w:rsidRDefault="00832AE7" w:rsidP="00E533E9">
            <w:pPr>
              <w:autoSpaceDE w:val="0"/>
              <w:autoSpaceDN w:val="0"/>
              <w:adjustRightInd w:val="0"/>
              <w:ind w:left="24"/>
              <w:jc w:val="center"/>
              <w:rPr>
                <w:rFonts w:ascii="Times New Roman" w:hAnsi="Times New Roman" w:cs="Times New Roman"/>
                <w:sz w:val="18"/>
                <w:szCs w:val="18"/>
              </w:rPr>
            </w:pPr>
            <w:r w:rsidRPr="008D078E">
              <w:rPr>
                <w:rFonts w:ascii="Times New Roman" w:hAnsi="Times New Roman" w:cs="Times New Roman"/>
                <w:sz w:val="18"/>
                <w:szCs w:val="18"/>
              </w:rPr>
              <w:t>3.6</w:t>
            </w:r>
          </w:p>
        </w:tc>
      </w:tr>
      <w:tr w:rsidR="00832AE7" w:rsidRPr="008D078E" w:rsidTr="00E533E9">
        <w:trPr>
          <w:jc w:val="center"/>
        </w:trPr>
        <w:tc>
          <w:tcPr>
            <w:tcW w:w="1109" w:type="pct"/>
            <w:tcBorders>
              <w:top w:val="nil"/>
              <w:left w:val="nil"/>
              <w:bottom w:val="nil"/>
              <w:right w:val="nil"/>
            </w:tcBorders>
            <w:vAlign w:val="center"/>
          </w:tcPr>
          <w:p w:rsidR="00832AE7" w:rsidRPr="008D078E" w:rsidRDefault="00832AE7" w:rsidP="00E533E9">
            <w:pPr>
              <w:autoSpaceDE w:val="0"/>
              <w:autoSpaceDN w:val="0"/>
              <w:adjustRightInd w:val="0"/>
              <w:jc w:val="center"/>
              <w:rPr>
                <w:rFonts w:ascii="Times New Roman" w:hAnsi="Times New Roman" w:cs="Times New Roman"/>
                <w:i/>
                <w:sz w:val="18"/>
                <w:szCs w:val="18"/>
              </w:rPr>
            </w:pPr>
            <w:r w:rsidRPr="008D078E">
              <w:rPr>
                <w:rFonts w:ascii="Times New Roman" w:hAnsi="Times New Roman" w:cs="Times New Roman"/>
                <w:i/>
                <w:sz w:val="18"/>
                <w:szCs w:val="18"/>
              </w:rPr>
              <w:t>Benzene</w:t>
            </w:r>
          </w:p>
        </w:tc>
        <w:tc>
          <w:tcPr>
            <w:tcW w:w="790" w:type="pct"/>
            <w:tcBorders>
              <w:top w:val="nil"/>
              <w:left w:val="nil"/>
              <w:bottom w:val="nil"/>
              <w:right w:val="nil"/>
            </w:tcBorders>
          </w:tcPr>
          <w:p w:rsidR="00832AE7" w:rsidRPr="008D078E" w:rsidRDefault="00832AE7" w:rsidP="00E533E9">
            <w:pPr>
              <w:autoSpaceDE w:val="0"/>
              <w:autoSpaceDN w:val="0"/>
              <w:adjustRightInd w:val="0"/>
              <w:jc w:val="center"/>
              <w:rPr>
                <w:rFonts w:ascii="Times New Roman" w:hAnsi="Times New Roman" w:cs="Times New Roman"/>
                <w:sz w:val="18"/>
                <w:szCs w:val="18"/>
              </w:rPr>
            </w:pPr>
            <w:r w:rsidRPr="008D078E">
              <w:rPr>
                <w:rFonts w:ascii="Times New Roman" w:hAnsi="Times New Roman" w:cs="Times New Roman"/>
                <w:sz w:val="18"/>
                <w:szCs w:val="18"/>
              </w:rPr>
              <w:t>19.9</w:t>
            </w:r>
          </w:p>
        </w:tc>
        <w:tc>
          <w:tcPr>
            <w:tcW w:w="623" w:type="pct"/>
            <w:tcBorders>
              <w:top w:val="nil"/>
              <w:left w:val="nil"/>
              <w:bottom w:val="nil"/>
              <w:right w:val="nil"/>
            </w:tcBorders>
          </w:tcPr>
          <w:p w:rsidR="00832AE7" w:rsidRPr="008D078E" w:rsidRDefault="00832AE7" w:rsidP="00E533E9">
            <w:pPr>
              <w:autoSpaceDE w:val="0"/>
              <w:autoSpaceDN w:val="0"/>
              <w:adjustRightInd w:val="0"/>
              <w:jc w:val="center"/>
              <w:rPr>
                <w:rFonts w:ascii="Times New Roman" w:hAnsi="Times New Roman" w:cs="Times New Roman"/>
                <w:sz w:val="18"/>
                <w:szCs w:val="18"/>
              </w:rPr>
            </w:pPr>
            <w:r w:rsidRPr="008D078E">
              <w:rPr>
                <w:rFonts w:ascii="Times New Roman" w:hAnsi="Times New Roman" w:cs="Times New Roman"/>
                <w:sz w:val="18"/>
                <w:szCs w:val="18"/>
              </w:rPr>
              <w:t>0.25</w:t>
            </w:r>
          </w:p>
        </w:tc>
        <w:tc>
          <w:tcPr>
            <w:tcW w:w="676" w:type="pct"/>
            <w:tcBorders>
              <w:top w:val="nil"/>
              <w:left w:val="nil"/>
              <w:bottom w:val="nil"/>
              <w:right w:val="single" w:sz="12" w:space="0" w:color="auto"/>
            </w:tcBorders>
          </w:tcPr>
          <w:p w:rsidR="00832AE7" w:rsidRPr="008D078E" w:rsidRDefault="00832AE7" w:rsidP="00E533E9">
            <w:pPr>
              <w:autoSpaceDE w:val="0"/>
              <w:autoSpaceDN w:val="0"/>
              <w:adjustRightInd w:val="0"/>
              <w:jc w:val="center"/>
              <w:rPr>
                <w:rFonts w:ascii="Times New Roman" w:hAnsi="Times New Roman" w:cs="Times New Roman"/>
                <w:sz w:val="18"/>
                <w:szCs w:val="18"/>
              </w:rPr>
            </w:pPr>
            <w:r w:rsidRPr="008D078E">
              <w:rPr>
                <w:rFonts w:ascii="Times New Roman" w:hAnsi="Times New Roman" w:cs="Times New Roman"/>
                <w:sz w:val="18"/>
                <w:szCs w:val="18"/>
              </w:rPr>
              <w:t>78.1</w:t>
            </w:r>
          </w:p>
        </w:tc>
        <w:tc>
          <w:tcPr>
            <w:tcW w:w="762" w:type="pct"/>
            <w:tcBorders>
              <w:top w:val="nil"/>
              <w:left w:val="single" w:sz="12" w:space="0" w:color="auto"/>
              <w:bottom w:val="nil"/>
              <w:right w:val="nil"/>
            </w:tcBorders>
          </w:tcPr>
          <w:p w:rsidR="00832AE7" w:rsidRPr="008D078E" w:rsidRDefault="00832AE7" w:rsidP="00E533E9">
            <w:pPr>
              <w:autoSpaceDE w:val="0"/>
              <w:autoSpaceDN w:val="0"/>
              <w:adjustRightInd w:val="0"/>
              <w:jc w:val="center"/>
              <w:rPr>
                <w:rFonts w:ascii="Times New Roman" w:hAnsi="Times New Roman" w:cs="Times New Roman"/>
                <w:sz w:val="18"/>
                <w:szCs w:val="18"/>
              </w:rPr>
            </w:pPr>
            <w:r w:rsidRPr="008D078E">
              <w:rPr>
                <w:rFonts w:ascii="Times New Roman" w:hAnsi="Times New Roman" w:cs="Times New Roman"/>
                <w:sz w:val="18"/>
                <w:szCs w:val="18"/>
              </w:rPr>
              <w:t>879.13</w:t>
            </w:r>
          </w:p>
        </w:tc>
        <w:tc>
          <w:tcPr>
            <w:tcW w:w="1040" w:type="pct"/>
            <w:gridSpan w:val="2"/>
            <w:tcBorders>
              <w:top w:val="nil"/>
              <w:left w:val="nil"/>
              <w:bottom w:val="nil"/>
              <w:right w:val="nil"/>
            </w:tcBorders>
          </w:tcPr>
          <w:p w:rsidR="00832AE7" w:rsidRPr="008D078E" w:rsidRDefault="00832AE7" w:rsidP="00E533E9">
            <w:pPr>
              <w:autoSpaceDE w:val="0"/>
              <w:autoSpaceDN w:val="0"/>
              <w:adjustRightInd w:val="0"/>
              <w:ind w:left="24"/>
              <w:jc w:val="center"/>
              <w:rPr>
                <w:rFonts w:ascii="Times New Roman" w:hAnsi="Times New Roman" w:cs="Times New Roman"/>
                <w:sz w:val="18"/>
                <w:szCs w:val="18"/>
              </w:rPr>
            </w:pPr>
            <w:r w:rsidRPr="008D078E">
              <w:rPr>
                <w:rFonts w:ascii="Times New Roman" w:hAnsi="Times New Roman" w:cs="Times New Roman"/>
                <w:sz w:val="18"/>
                <w:szCs w:val="18"/>
              </w:rPr>
              <w:t>2.3</w:t>
            </w:r>
          </w:p>
        </w:tc>
      </w:tr>
      <w:tr w:rsidR="00832AE7" w:rsidRPr="008D078E" w:rsidTr="00E533E9">
        <w:trPr>
          <w:jc w:val="center"/>
        </w:trPr>
        <w:tc>
          <w:tcPr>
            <w:tcW w:w="1109" w:type="pct"/>
            <w:tcBorders>
              <w:top w:val="nil"/>
              <w:left w:val="nil"/>
              <w:bottom w:val="nil"/>
              <w:right w:val="nil"/>
            </w:tcBorders>
            <w:vAlign w:val="center"/>
          </w:tcPr>
          <w:p w:rsidR="00832AE7" w:rsidRPr="008D078E" w:rsidRDefault="00832AE7" w:rsidP="00E533E9">
            <w:pPr>
              <w:autoSpaceDE w:val="0"/>
              <w:autoSpaceDN w:val="0"/>
              <w:adjustRightInd w:val="0"/>
              <w:jc w:val="center"/>
              <w:rPr>
                <w:rFonts w:ascii="Times New Roman" w:hAnsi="Times New Roman" w:cs="Times New Roman"/>
                <w:i/>
                <w:sz w:val="18"/>
                <w:szCs w:val="18"/>
              </w:rPr>
            </w:pPr>
            <w:r w:rsidRPr="008D078E">
              <w:rPr>
                <w:rFonts w:ascii="Times New Roman" w:hAnsi="Times New Roman" w:cs="Times New Roman"/>
                <w:i/>
                <w:sz w:val="18"/>
                <w:szCs w:val="18"/>
              </w:rPr>
              <w:t>Toluene</w:t>
            </w:r>
          </w:p>
        </w:tc>
        <w:tc>
          <w:tcPr>
            <w:tcW w:w="790" w:type="pct"/>
            <w:tcBorders>
              <w:top w:val="nil"/>
              <w:left w:val="nil"/>
              <w:bottom w:val="nil"/>
              <w:right w:val="nil"/>
            </w:tcBorders>
          </w:tcPr>
          <w:p w:rsidR="00832AE7" w:rsidRPr="008D078E" w:rsidRDefault="00832AE7" w:rsidP="00E533E9">
            <w:pPr>
              <w:autoSpaceDE w:val="0"/>
              <w:autoSpaceDN w:val="0"/>
              <w:adjustRightInd w:val="0"/>
              <w:jc w:val="center"/>
              <w:rPr>
                <w:rFonts w:ascii="Times New Roman" w:hAnsi="Times New Roman" w:cs="Times New Roman"/>
                <w:sz w:val="18"/>
                <w:szCs w:val="18"/>
              </w:rPr>
            </w:pPr>
            <w:r w:rsidRPr="008D078E">
              <w:rPr>
                <w:rFonts w:ascii="Times New Roman" w:hAnsi="Times New Roman" w:cs="Times New Roman"/>
                <w:sz w:val="18"/>
                <w:szCs w:val="18"/>
              </w:rPr>
              <w:t>22.6</w:t>
            </w:r>
          </w:p>
        </w:tc>
        <w:tc>
          <w:tcPr>
            <w:tcW w:w="623" w:type="pct"/>
            <w:tcBorders>
              <w:top w:val="nil"/>
              <w:left w:val="nil"/>
              <w:bottom w:val="nil"/>
              <w:right w:val="nil"/>
            </w:tcBorders>
          </w:tcPr>
          <w:p w:rsidR="00832AE7" w:rsidRPr="008D078E" w:rsidRDefault="00832AE7" w:rsidP="00E533E9">
            <w:pPr>
              <w:autoSpaceDE w:val="0"/>
              <w:autoSpaceDN w:val="0"/>
              <w:adjustRightInd w:val="0"/>
              <w:jc w:val="center"/>
              <w:rPr>
                <w:rFonts w:ascii="Times New Roman" w:hAnsi="Times New Roman" w:cs="Times New Roman"/>
                <w:sz w:val="18"/>
                <w:szCs w:val="18"/>
              </w:rPr>
            </w:pPr>
            <w:r w:rsidRPr="008D078E">
              <w:rPr>
                <w:rFonts w:ascii="Times New Roman" w:hAnsi="Times New Roman" w:cs="Times New Roman"/>
                <w:sz w:val="18"/>
                <w:szCs w:val="18"/>
              </w:rPr>
              <w:t>0.27</w:t>
            </w:r>
          </w:p>
        </w:tc>
        <w:tc>
          <w:tcPr>
            <w:tcW w:w="676" w:type="pct"/>
            <w:tcBorders>
              <w:top w:val="nil"/>
              <w:left w:val="nil"/>
              <w:bottom w:val="nil"/>
              <w:right w:val="single" w:sz="12" w:space="0" w:color="auto"/>
            </w:tcBorders>
          </w:tcPr>
          <w:p w:rsidR="00832AE7" w:rsidRPr="008D078E" w:rsidRDefault="00832AE7" w:rsidP="00E533E9">
            <w:pPr>
              <w:autoSpaceDE w:val="0"/>
              <w:autoSpaceDN w:val="0"/>
              <w:adjustRightInd w:val="0"/>
              <w:jc w:val="center"/>
              <w:rPr>
                <w:rFonts w:ascii="Times New Roman" w:hAnsi="Times New Roman" w:cs="Times New Roman"/>
                <w:sz w:val="18"/>
                <w:szCs w:val="18"/>
              </w:rPr>
            </w:pPr>
            <w:r w:rsidRPr="008D078E">
              <w:rPr>
                <w:rFonts w:ascii="Times New Roman" w:hAnsi="Times New Roman" w:cs="Times New Roman"/>
                <w:sz w:val="18"/>
                <w:szCs w:val="18"/>
              </w:rPr>
              <w:t>82.7</w:t>
            </w:r>
          </w:p>
        </w:tc>
        <w:tc>
          <w:tcPr>
            <w:tcW w:w="762" w:type="pct"/>
            <w:tcBorders>
              <w:top w:val="nil"/>
              <w:left w:val="single" w:sz="12" w:space="0" w:color="auto"/>
              <w:bottom w:val="nil"/>
              <w:right w:val="nil"/>
            </w:tcBorders>
          </w:tcPr>
          <w:p w:rsidR="00832AE7" w:rsidRPr="008D078E" w:rsidRDefault="00832AE7" w:rsidP="00E533E9">
            <w:pPr>
              <w:autoSpaceDE w:val="0"/>
              <w:autoSpaceDN w:val="0"/>
              <w:adjustRightInd w:val="0"/>
              <w:jc w:val="center"/>
              <w:rPr>
                <w:rFonts w:ascii="Times New Roman" w:hAnsi="Times New Roman" w:cs="Times New Roman"/>
                <w:sz w:val="18"/>
                <w:szCs w:val="18"/>
              </w:rPr>
            </w:pPr>
            <w:r w:rsidRPr="008D078E">
              <w:rPr>
                <w:rFonts w:ascii="Times New Roman" w:hAnsi="Times New Roman" w:cs="Times New Roman"/>
                <w:sz w:val="18"/>
                <w:szCs w:val="18"/>
              </w:rPr>
              <w:t>843.34</w:t>
            </w:r>
          </w:p>
        </w:tc>
        <w:tc>
          <w:tcPr>
            <w:tcW w:w="1040" w:type="pct"/>
            <w:gridSpan w:val="2"/>
            <w:tcBorders>
              <w:top w:val="nil"/>
              <w:left w:val="nil"/>
              <w:bottom w:val="nil"/>
              <w:right w:val="nil"/>
            </w:tcBorders>
          </w:tcPr>
          <w:p w:rsidR="00832AE7" w:rsidRPr="008D078E" w:rsidRDefault="00832AE7" w:rsidP="00E533E9">
            <w:pPr>
              <w:autoSpaceDE w:val="0"/>
              <w:autoSpaceDN w:val="0"/>
              <w:adjustRightInd w:val="0"/>
              <w:ind w:left="24"/>
              <w:jc w:val="center"/>
              <w:rPr>
                <w:rFonts w:ascii="Times New Roman" w:hAnsi="Times New Roman" w:cs="Times New Roman"/>
                <w:sz w:val="18"/>
                <w:szCs w:val="18"/>
              </w:rPr>
            </w:pPr>
            <w:r w:rsidRPr="008D078E">
              <w:rPr>
                <w:rFonts w:ascii="Times New Roman" w:hAnsi="Times New Roman" w:cs="Times New Roman"/>
                <w:sz w:val="18"/>
                <w:szCs w:val="18"/>
              </w:rPr>
              <w:t>2.7</w:t>
            </w:r>
          </w:p>
        </w:tc>
      </w:tr>
      <w:tr w:rsidR="00832AE7" w:rsidRPr="008D078E" w:rsidTr="00E533E9">
        <w:trPr>
          <w:jc w:val="center"/>
        </w:trPr>
        <w:tc>
          <w:tcPr>
            <w:tcW w:w="1109" w:type="pct"/>
            <w:tcBorders>
              <w:top w:val="nil"/>
              <w:left w:val="nil"/>
              <w:right w:val="nil"/>
            </w:tcBorders>
            <w:vAlign w:val="center"/>
          </w:tcPr>
          <w:p w:rsidR="00832AE7" w:rsidRPr="008D078E" w:rsidRDefault="00832AE7" w:rsidP="00E533E9">
            <w:pPr>
              <w:autoSpaceDE w:val="0"/>
              <w:autoSpaceDN w:val="0"/>
              <w:adjustRightInd w:val="0"/>
              <w:jc w:val="center"/>
              <w:rPr>
                <w:rFonts w:ascii="Times New Roman" w:hAnsi="Times New Roman" w:cs="Times New Roman"/>
                <w:sz w:val="18"/>
                <w:szCs w:val="18"/>
              </w:rPr>
            </w:pPr>
            <w:r w:rsidRPr="008D078E">
              <w:rPr>
                <w:rFonts w:ascii="Times New Roman" w:hAnsi="Times New Roman" w:cs="Times New Roman"/>
                <w:i/>
                <w:sz w:val="18"/>
                <w:szCs w:val="18"/>
              </w:rPr>
              <w:t>MM</w:t>
            </w:r>
          </w:p>
        </w:tc>
        <w:tc>
          <w:tcPr>
            <w:tcW w:w="790" w:type="pct"/>
            <w:tcBorders>
              <w:top w:val="nil"/>
              <w:left w:val="nil"/>
              <w:right w:val="nil"/>
            </w:tcBorders>
          </w:tcPr>
          <w:p w:rsidR="00832AE7" w:rsidRPr="008D078E" w:rsidRDefault="00832AE7" w:rsidP="00E533E9">
            <w:pPr>
              <w:autoSpaceDE w:val="0"/>
              <w:autoSpaceDN w:val="0"/>
              <w:adjustRightInd w:val="0"/>
              <w:jc w:val="center"/>
              <w:rPr>
                <w:rFonts w:ascii="Times New Roman" w:hAnsi="Times New Roman" w:cs="Times New Roman"/>
                <w:sz w:val="18"/>
                <w:szCs w:val="18"/>
              </w:rPr>
            </w:pPr>
            <w:r w:rsidRPr="008D078E">
              <w:rPr>
                <w:rFonts w:ascii="Times New Roman" w:hAnsi="Times New Roman" w:cs="Times New Roman"/>
                <w:sz w:val="18"/>
                <w:szCs w:val="18"/>
              </w:rPr>
              <w:t>37.8</w:t>
            </w:r>
          </w:p>
        </w:tc>
        <w:tc>
          <w:tcPr>
            <w:tcW w:w="623" w:type="pct"/>
            <w:tcBorders>
              <w:top w:val="nil"/>
              <w:left w:val="nil"/>
              <w:right w:val="nil"/>
            </w:tcBorders>
          </w:tcPr>
          <w:p w:rsidR="00832AE7" w:rsidRPr="008D078E" w:rsidRDefault="00832AE7" w:rsidP="00E533E9">
            <w:pPr>
              <w:autoSpaceDE w:val="0"/>
              <w:autoSpaceDN w:val="0"/>
              <w:adjustRightInd w:val="0"/>
              <w:jc w:val="center"/>
              <w:rPr>
                <w:rFonts w:ascii="Times New Roman" w:hAnsi="Times New Roman" w:cs="Times New Roman"/>
                <w:sz w:val="18"/>
                <w:szCs w:val="18"/>
              </w:rPr>
            </w:pPr>
            <w:r w:rsidRPr="008D078E">
              <w:rPr>
                <w:rFonts w:ascii="Times New Roman" w:hAnsi="Times New Roman" w:cs="Times New Roman"/>
                <w:sz w:val="18"/>
                <w:szCs w:val="18"/>
              </w:rPr>
              <w:t>0.45</w:t>
            </w:r>
          </w:p>
        </w:tc>
        <w:tc>
          <w:tcPr>
            <w:tcW w:w="676" w:type="pct"/>
            <w:tcBorders>
              <w:top w:val="nil"/>
              <w:left w:val="nil"/>
              <w:right w:val="single" w:sz="12" w:space="0" w:color="auto"/>
            </w:tcBorders>
          </w:tcPr>
          <w:p w:rsidR="00832AE7" w:rsidRPr="008D078E" w:rsidRDefault="00832AE7" w:rsidP="00E533E9">
            <w:pPr>
              <w:autoSpaceDE w:val="0"/>
              <w:autoSpaceDN w:val="0"/>
              <w:adjustRightInd w:val="0"/>
              <w:jc w:val="center"/>
              <w:rPr>
                <w:rFonts w:ascii="Times New Roman" w:hAnsi="Times New Roman" w:cs="Times New Roman"/>
                <w:sz w:val="18"/>
                <w:szCs w:val="18"/>
              </w:rPr>
            </w:pPr>
            <w:r w:rsidRPr="008D078E">
              <w:rPr>
                <w:rFonts w:ascii="Times New Roman" w:hAnsi="Times New Roman" w:cs="Times New Roman"/>
                <w:sz w:val="18"/>
                <w:szCs w:val="18"/>
              </w:rPr>
              <w:t>83.7</w:t>
            </w:r>
          </w:p>
        </w:tc>
        <w:tc>
          <w:tcPr>
            <w:tcW w:w="762" w:type="pct"/>
            <w:tcBorders>
              <w:top w:val="nil"/>
              <w:left w:val="single" w:sz="12" w:space="0" w:color="auto"/>
              <w:right w:val="nil"/>
            </w:tcBorders>
          </w:tcPr>
          <w:p w:rsidR="00832AE7" w:rsidRPr="008D078E" w:rsidRDefault="00832AE7" w:rsidP="00E533E9">
            <w:pPr>
              <w:autoSpaceDE w:val="0"/>
              <w:autoSpaceDN w:val="0"/>
              <w:adjustRightInd w:val="0"/>
              <w:jc w:val="center"/>
              <w:rPr>
                <w:rFonts w:ascii="Times New Roman" w:hAnsi="Times New Roman" w:cs="Times New Roman"/>
                <w:sz w:val="18"/>
                <w:szCs w:val="18"/>
              </w:rPr>
            </w:pPr>
            <w:r w:rsidRPr="008D078E">
              <w:rPr>
                <w:rFonts w:ascii="Times New Roman" w:hAnsi="Times New Roman" w:cs="Times New Roman"/>
                <w:sz w:val="18"/>
                <w:szCs w:val="18"/>
              </w:rPr>
              <w:t>747.70</w:t>
            </w:r>
          </w:p>
        </w:tc>
        <w:tc>
          <w:tcPr>
            <w:tcW w:w="1040" w:type="pct"/>
            <w:gridSpan w:val="2"/>
            <w:tcBorders>
              <w:top w:val="nil"/>
              <w:left w:val="nil"/>
              <w:right w:val="nil"/>
            </w:tcBorders>
          </w:tcPr>
          <w:p w:rsidR="00832AE7" w:rsidRPr="008D078E" w:rsidRDefault="00832AE7" w:rsidP="00E533E9">
            <w:pPr>
              <w:autoSpaceDE w:val="0"/>
              <w:autoSpaceDN w:val="0"/>
              <w:adjustRightInd w:val="0"/>
              <w:ind w:left="24"/>
              <w:jc w:val="center"/>
              <w:rPr>
                <w:rFonts w:ascii="Times New Roman" w:hAnsi="Times New Roman" w:cs="Times New Roman"/>
                <w:sz w:val="18"/>
                <w:szCs w:val="18"/>
              </w:rPr>
            </w:pPr>
            <w:r w:rsidRPr="008D078E">
              <w:rPr>
                <w:rFonts w:ascii="Times New Roman" w:hAnsi="Times New Roman" w:cs="Times New Roman"/>
                <w:sz w:val="18"/>
                <w:szCs w:val="18"/>
              </w:rPr>
              <w:t>5.1</w:t>
            </w:r>
          </w:p>
        </w:tc>
      </w:tr>
    </w:tbl>
    <w:p w:rsidR="00CD028B" w:rsidRDefault="00CD028B" w:rsidP="000C4D22">
      <w:pPr>
        <w:pStyle w:val="Tabletitle"/>
      </w:pPr>
      <w:proofErr w:type="gramStart"/>
      <w:r>
        <w:t xml:space="preserve">Table </w:t>
      </w:r>
      <w:r w:rsidR="001C7E9D">
        <w:fldChar w:fldCharType="begin"/>
      </w:r>
      <w:r w:rsidR="001C7E9D">
        <w:instrText xml:space="preserve"> SEQ Table \* ARABIC </w:instrText>
      </w:r>
      <w:r w:rsidR="001C7E9D">
        <w:fldChar w:fldCharType="separate"/>
      </w:r>
      <w:r w:rsidR="00AA6EE9">
        <w:rPr>
          <w:noProof/>
        </w:rPr>
        <w:t>4</w:t>
      </w:r>
      <w:r w:rsidR="001C7E9D">
        <w:rPr>
          <w:noProof/>
        </w:rPr>
        <w:fldChar w:fldCharType="end"/>
      </w:r>
      <w:bookmarkEnd w:id="33"/>
      <w:r>
        <w:t>: WHRS' mass flow rate at 100% MCR</w:t>
      </w:r>
      <w:r w:rsidR="0015710B">
        <w:t>.</w:t>
      </w:r>
      <w:proofErr w:type="gramEnd"/>
      <w:r>
        <w:t xml:space="preserve"> </w:t>
      </w:r>
      <w:r w:rsidR="0015710B">
        <w:t>T</w:t>
      </w:r>
      <w:r>
        <w:t>he table also shows the different system densities and volumetric flow rates after the turbine (point 2) and the pump (point 4).</w:t>
      </w:r>
    </w:p>
    <w:p w:rsidR="00CD028B" w:rsidRDefault="00CD028B" w:rsidP="00CD028B">
      <w:pPr>
        <w:pStyle w:val="Heading2"/>
      </w:pPr>
      <w:r>
        <w:t>Safety on</w:t>
      </w:r>
      <w:r w:rsidR="00916003">
        <w:t>-</w:t>
      </w:r>
      <w:r>
        <w:t>board</w:t>
      </w:r>
    </w:p>
    <w:p w:rsidR="00CD028B" w:rsidRDefault="00CD028B" w:rsidP="000C4D22">
      <w:pPr>
        <w:pStyle w:val="Paragraph"/>
      </w:pPr>
      <w:r>
        <w:t xml:space="preserve">Having </w:t>
      </w:r>
      <w:r w:rsidR="00916003">
        <w:t>on-board</w:t>
      </w:r>
      <w:r>
        <w:t xml:space="preserve"> flammable fluids </w:t>
      </w:r>
      <w:r w:rsidR="0015710B">
        <w:t xml:space="preserve">such </w:t>
      </w:r>
      <w:r>
        <w:t xml:space="preserve">as the organic fluids shown in </w:t>
      </w:r>
      <w:r>
        <w:fldChar w:fldCharType="begin"/>
      </w:r>
      <w:r>
        <w:instrText xml:space="preserve"> REF _Ref364977374 \h </w:instrText>
      </w:r>
      <w:r>
        <w:fldChar w:fldCharType="separate"/>
      </w:r>
      <w:r w:rsidR="00AA6EE9" w:rsidRPr="000C4D22">
        <w:t xml:space="preserve">Table </w:t>
      </w:r>
      <w:r w:rsidR="00AA6EE9">
        <w:rPr>
          <w:noProof/>
        </w:rPr>
        <w:t>3</w:t>
      </w:r>
      <w:r>
        <w:fldChar w:fldCharType="end"/>
      </w:r>
      <w:r>
        <w:t xml:space="preserve"> presents a major hazard which </w:t>
      </w:r>
      <w:r w:rsidR="0015710B">
        <w:t>must</w:t>
      </w:r>
      <w:r>
        <w:t xml:space="preserve"> be assessed and the vessel design </w:t>
      </w:r>
      <w:r w:rsidRPr="005F7ECE">
        <w:t>adapt</w:t>
      </w:r>
      <w:r>
        <w:t>ed</w:t>
      </w:r>
      <w:r w:rsidRPr="005F7ECE">
        <w:t xml:space="preserve"> </w:t>
      </w:r>
      <w:r>
        <w:t>to provide the highest safety level possible. As mentioned before</w:t>
      </w:r>
      <w:r w:rsidR="0015710B">
        <w:t>,</w:t>
      </w:r>
      <w:r>
        <w:t xml:space="preserve"> SOLAS prohibits the presence of low flash point fluids inside the engine room, meaning an ORC WHRS</w:t>
      </w:r>
      <w:r w:rsidRPr="008935AB">
        <w:t xml:space="preserve"> </w:t>
      </w:r>
      <w:r w:rsidR="0015710B">
        <w:t>must</w:t>
      </w:r>
      <w:r>
        <w:t xml:space="preserve"> be located in a separate compartment. Other important safety measures for highly flammable fluids can be drawn from the IGF</w:t>
      </w:r>
      <w:r>
        <w:rPr>
          <w:rStyle w:val="FootnoteReference"/>
          <w:szCs w:val="20"/>
        </w:rPr>
        <w:footnoteReference w:id="9"/>
      </w:r>
      <w:r>
        <w:t xml:space="preserve"> draft since LNG flash point is around -188</w:t>
      </w:r>
      <w:r>
        <w:rPr>
          <w:rFonts w:ascii="Calibri" w:hAnsi="Calibri"/>
        </w:rPr>
        <w:t>˚</w:t>
      </w:r>
      <w:r>
        <w:t xml:space="preserve">C </w:t>
      </w:r>
      <w:r>
        <w:fldChar w:fldCharType="begin" w:fldLock="1"/>
      </w:r>
      <w:r w:rsidR="000C4D22">
        <w:instrText>ADDIN CSL_CITATION { "citationItems" : [ { "id" : "ITEM-1", "itemData" : { "DOI" : "10.1016/j.energy.2013.05.002", "ISSN" : "03605442", "abstract" : "Today, most merchant vessels use Heavy Fuel Oils (HFOs) for ship propulsion. These fuels are cost effective but they produce significant amounts of noxious emissions. In order to comply with International Maritime Organization (IMO) rules, Liquefied Natural Gas (LNG) is becoming an interesting option for merchant ships. The aim of the research presented in this paper is to analyse the economic upturn that can result from the use of LNG as fuel for merchant ships and to assess the effects of its utilization in terms of environmental impact. In the first part of the study, a statistical analysis of maritime traffic is carried out in order to identify which merchant ship types could most benefit from using LNG as fuel for ship propulsion. Traffic data of world ships related to the months of May 2008, 2009 and 2010 are analysed. Roll-on/Roll-off vessels (RoRo) and tanker ships spend most of their sailing time in Emission Control Areas (ECA) consequently appear to be the best candidates for LNG use. In particular, the use of LNG is most profitable for tanker ships in the range of 10,000\u201360,000\u00a0DWT (deadweight). In the second part of the study, operational costs and pollutant emission reduction, following LNG implementation, are calculated for a 33,000\u00a0DWT tanker ship. Results show that LNG leads to a reduction of 35% of operational costs and 25% of CO2 emissions. The possibility of improving energy efficiency on board is analysed considering that combustion gases, produced by LNG, are cleaner, thus simplifying the introduction of exhaust gas heat recovery. Two options are considered: simple heat recovery and heat recovery to drive a turbine (ORC). The results show that it is possible to achieve a reduction in fuel consumption of up to 15%.", "author" : [ { "dropping-particle" : "", "family" : "Burel", "given" : "Fabio", "non-dropping-particle" : "", "parse-names" : false, "suffix" : "" }, { "dropping-particle" : "", "family" : "Taccani", "given" : "Rodolfo", "non-dropping-particle" : "", "parse-names" : false, "suffix" : "" }, { "dropping-particle" : "", "family" : "Zuliani", "given" : "Nicola", "non-dropping-particle" : "", "parse-names" : false, "suffix" : "" } ], "container-title" : "Energy", "id" : "ITEM-1", "issued" : { "date-parts" : [ [ "2013", "8" ] ] }, "page" : "412-420", "title" : "Improving sustainability of maritime transport through utilization of Liquefied Natural Gas (LNG) for propulsion", "type" : "article-journal", "volume" : "57" }, "uris" : [ "http://www.mendeley.com/documents/?uuid=fb74bfde-7a24-4ee5-81b7-7775a43fea3f" ] } ], "mendeley" : { "formattedCitation" : "(Burel et al. 2013)", "plainTextFormattedCitation" : "(Burel et al. 2013)", "previouslyFormattedCitation" : "(Burel et al. 2013)" }, "properties" : { "noteIndex" : 0 }, "schema" : "https://github.com/citation-style-language/schema/raw/master/csl-citation.json" }</w:instrText>
      </w:r>
      <w:r>
        <w:fldChar w:fldCharType="separate"/>
      </w:r>
      <w:r w:rsidR="000C4D22" w:rsidRPr="000C4D22">
        <w:rPr>
          <w:noProof/>
        </w:rPr>
        <w:t xml:space="preserve">(Burel </w:t>
      </w:r>
      <w:r w:rsidR="000C4D22" w:rsidRPr="00916003">
        <w:rPr>
          <w:i/>
          <w:noProof/>
        </w:rPr>
        <w:t>et al</w:t>
      </w:r>
      <w:r w:rsidR="000C4D22" w:rsidRPr="000C4D22">
        <w:rPr>
          <w:noProof/>
        </w:rPr>
        <w:t>. 2013)</w:t>
      </w:r>
      <w:r>
        <w:fldChar w:fldCharType="end"/>
      </w:r>
      <w:r>
        <w:t>, much lower than the organic fluids used in this paper. The IGF recommends the use of double</w:t>
      </w:r>
      <w:r w:rsidR="002A0373">
        <w:t>-</w:t>
      </w:r>
      <w:r>
        <w:t>walled piping, ventilation for the enclosed space to the atmosphere, gas detection and firefighting systems according to the fluid used. Equally important are personnel training, risk management (e.g. Enclosed Space Management system</w:t>
      </w:r>
      <w:r w:rsidR="002A0373">
        <w:t>,</w:t>
      </w:r>
      <w:r>
        <w:t xml:space="preserve"> </w:t>
      </w:r>
      <w:r w:rsidR="002A0373">
        <w:t>see</w:t>
      </w:r>
      <w:r>
        <w:fldChar w:fldCharType="begin" w:fldLock="1"/>
      </w:r>
      <w:r w:rsidR="006A79DB">
        <w:instrText>ADDIN CSL_CITATION { "citationItems" : [ { "id" : "ITEM-1", "itemData" : { "abstract" : "The safety of persons entering and working in enclosed spaces at sea is always of critical importance; it therefore follows that any new concepts relating to the subject merit discussion. Two such new concepts, relating to training and management have been developed", "author" : [ { "dropping-particle" : "", "family" : "Allan", "given" : "Adam", "non-dropping-particle" : "", "parse-names" : false, "suffix" : "" } ], "container-title" : "Alert", "id" : "ITEM-1", "issued" : { "date-parts" : [ [ "2015", "1" ] ] }, "page" : "6", "publisher-place" : "London", "title" : "Enclosed Spaces - management and training", "type" : "article-magazine" }, "uris" : [ "http://www.mendeley.com/documents/?uuid=949fa32c-9c7f-41c2-9f6b-eafea67ec21b" ] } ], "mendeley" : { "formattedCitation" : "(Allan 2015)", "manualFormatting" : " Allan 2015)", "plainTextFormattedCitation" : "(Allan 2015)", "previouslyFormattedCitation" : "(Allan 2015)" }, "properties" : { "noteIndex" : 0 }, "schema" : "https://github.com/citation-style-language/schema/raw/master/csl-citation.json" }</w:instrText>
      </w:r>
      <w:r>
        <w:fldChar w:fldCharType="separate"/>
      </w:r>
      <w:r w:rsidR="002A0373">
        <w:rPr>
          <w:noProof/>
        </w:rPr>
        <w:t xml:space="preserve"> </w:t>
      </w:r>
      <w:r w:rsidR="000C4D22" w:rsidRPr="000C4D22">
        <w:rPr>
          <w:noProof/>
        </w:rPr>
        <w:t>Allan 2015)</w:t>
      </w:r>
      <w:r>
        <w:fldChar w:fldCharType="end"/>
      </w:r>
      <w:r>
        <w:t xml:space="preserve"> and assessments, and safety procedures in case of fire or leakages</w:t>
      </w:r>
      <w:r w:rsidR="00420665">
        <w:t xml:space="preserve"> </w:t>
      </w:r>
      <w:r w:rsidR="00420665">
        <w:fldChar w:fldCharType="begin" w:fldLock="1"/>
      </w:r>
      <w:r w:rsidR="00BA1648">
        <w:instrText>ADDIN CSL_CITATION { "citationItems" : [ { "id" : "ITEM-1", "itemData" : { "abstract" : "Current Marine Policies and regulations greatly favour the use of efficiency enhancing technologies such as the Organic Rankine Cycle (ORC) waste heat recovery systems (WHRS), through the entry into force of International Maritime Organisation (IMO) Energy Efficiency Design Index (EEDI). However, safety regulations such as IMO Safety Of Life At Sea (SOLAS), International Gas Code and Classification Societies still consider the use of highly flammable organic fluids on board ships as hazardous and undesirable, requiring special Administration approval. The benefits of organic fluids in emerging technologies will likely increase their usefulness on board in the near future. Furthermore, current ship safety systems and integrated platform management systems greatly reduce the risks associated with their low flash point making them acceptable for marine use given specific design considerations. This paper studies the case of an Aframax tanker navigating the route North Sea \u2013 Naantali, Finland using a slow speed diesel engine. A code with a multi-objective optimization approach generated explicitly for this purpose produces different optimal WHRS designs for the vessel\u2019s operating profile. The WHRS is installed after the turbo compressors in the exhaust gas system, where it absorbs part of the available waste heat and converts it to electricity using a generator. This results in a reduction in fuel consumption, hence decreasing the emission of greenhouse gases. The different optimal designs are compared with a steam WHRS to show the strengths and weaknesses of using an ORC WHRS on board. The ORC technology is at its early stages of development in the marine field, it is important that safety policies follow the evolution of the technology and its associated safety equipment. This paper will serve to recognize the specific safety considerations associated with the ORC and highlight the advantages of carrying organic fluids on board as a solution to increasing CO2 emission restrictions and other environmental concerns.", "author" : [ { "dropping-particle" : "", "family" : "Su\u00e1rez de la Fuente", "given" : "Santiago", "non-dropping-particle" : "", "parse-names" : false, "suffix" : "" }, { "dropping-particle" : "", "family" : "Roberge", "given" : "David", "non-dropping-particle" : "", "parse-names" : false, "suffix" : "" }, { "dropping-particle" : "", "family" : "Greig", "given" : "Alistair R.", "non-dropping-particle" : "", "parse-names" : false, "suffix" : "" } ], "container-title" : "Marine Policy", "id" : "ITEM-1", "issued" : { "date-parts" : [ [ "2015" ] ] }, "page" : "21", "title" : "Safety and CO2 emissions: Implications of using organic fluids in a ship\u2019s waste heat recovery system", "type" : "article-journal" }, "uris" : [ "http://www.mendeley.com/documents/?uuid=353612b0-02d8-4bee-aa17-1f5ef9309830" ] } ], "mendeley" : { "formattedCitation" : "(Su\u00e1rez de la Fuente et al. 2015)", "plainTextFormattedCitation" : "(Su\u00e1rez de la Fuente et al. 2015)", "previouslyFormattedCitation" : "(Su\u00e1rez de la Fuente et al. 2015)" }, "properties" : { "noteIndex" : 0 }, "schema" : "https://github.com/citation-style-language/schema/raw/master/csl-citation.json" }</w:instrText>
      </w:r>
      <w:r w:rsidR="00420665">
        <w:fldChar w:fldCharType="separate"/>
      </w:r>
      <w:r w:rsidR="00BA1648" w:rsidRPr="00BA1648">
        <w:rPr>
          <w:noProof/>
        </w:rPr>
        <w:t xml:space="preserve">(Suárez de la Fuente </w:t>
      </w:r>
      <w:r w:rsidR="00BA1648" w:rsidRPr="00916003">
        <w:rPr>
          <w:i/>
          <w:noProof/>
        </w:rPr>
        <w:t>et al</w:t>
      </w:r>
      <w:r w:rsidR="00BA1648" w:rsidRPr="00BA1648">
        <w:rPr>
          <w:noProof/>
        </w:rPr>
        <w:t>. 2015)</w:t>
      </w:r>
      <w:r w:rsidR="00420665">
        <w:fldChar w:fldCharType="end"/>
      </w:r>
      <w:r>
        <w:t>.</w:t>
      </w:r>
    </w:p>
    <w:p w:rsidR="00CD028B" w:rsidRDefault="00CD028B" w:rsidP="000C4D22">
      <w:pPr>
        <w:pStyle w:val="Newparagraph"/>
      </w:pPr>
      <w:r>
        <w:lastRenderedPageBreak/>
        <w:t xml:space="preserve">The safety requirements for the marine ORC WHRS selected will increase the initial and maintenance cost, but performance may </w:t>
      </w:r>
      <w:r w:rsidR="002A0373">
        <w:t xml:space="preserve">also </w:t>
      </w:r>
      <w:r>
        <w:t>be affected. For example</w:t>
      </w:r>
      <w:r w:rsidR="00E504BA">
        <w:t>,</w:t>
      </w:r>
      <w:r>
        <w:t xml:space="preserve"> depending where the ORC compartment </w:t>
      </w:r>
      <w:r w:rsidR="002A0373">
        <w:t>is</w:t>
      </w:r>
      <w:r>
        <w:t xml:space="preserve"> installed there will be an increase in pump power, for both seawater and working fluid, due to </w:t>
      </w:r>
      <w:r w:rsidR="002A0373">
        <w:t xml:space="preserve">the existence of </w:t>
      </w:r>
      <w:r>
        <w:t>a larger distance to the heat source and sink. The minimi</w:t>
      </w:r>
      <w:r w:rsidR="002A0373">
        <w:t>s</w:t>
      </w:r>
      <w:r>
        <w:t>ation of cost and performance loss due to safety requirements should be assessed at the early stages of vessel design.</w:t>
      </w:r>
    </w:p>
    <w:p w:rsidR="00CD028B" w:rsidRPr="004D7E62" w:rsidRDefault="00CD028B" w:rsidP="00CD028B">
      <w:pPr>
        <w:pStyle w:val="Heading2"/>
        <w:rPr>
          <w:szCs w:val="20"/>
        </w:rPr>
      </w:pPr>
      <w:r w:rsidRPr="004D7E62">
        <w:rPr>
          <w:szCs w:val="20"/>
        </w:rPr>
        <w:t>Short and long term marine WHRS benefits</w:t>
      </w:r>
    </w:p>
    <w:p w:rsidR="00E96E81" w:rsidRDefault="00CD028B" w:rsidP="00AA6EE9">
      <w:pPr>
        <w:pStyle w:val="Paragraph"/>
      </w:pPr>
      <w:r w:rsidRPr="004D7E62">
        <w:t xml:space="preserve">Using </w:t>
      </w:r>
      <w:r>
        <w:t>a</w:t>
      </w:r>
      <w:r w:rsidRPr="004D7E62">
        <w:t xml:space="preserve"> container ship operating profile </w:t>
      </w:r>
      <w:r>
        <w:t>(</w:t>
      </w:r>
      <w:r w:rsidR="000C4D22">
        <w:fldChar w:fldCharType="begin"/>
      </w:r>
      <w:r w:rsidR="000C4D22">
        <w:instrText xml:space="preserve"> REF _Ref414013695 \h </w:instrText>
      </w:r>
      <w:r w:rsidR="000C4D22">
        <w:fldChar w:fldCharType="separate"/>
      </w:r>
      <w:r w:rsidR="00AA6EE9">
        <w:t xml:space="preserve">Figure </w:t>
      </w:r>
      <w:r w:rsidR="00AA6EE9">
        <w:rPr>
          <w:noProof/>
        </w:rPr>
        <w:t>6</w:t>
      </w:r>
      <w:r w:rsidR="000C4D22">
        <w:fldChar w:fldCharType="end"/>
      </w:r>
      <w:r w:rsidRPr="00221A43">
        <w:t>),</w:t>
      </w:r>
      <w:r w:rsidRPr="004D7E62">
        <w:t xml:space="preserve"> it is possible to assess the environmental benefit</w:t>
      </w:r>
      <w:r>
        <w:t>s</w:t>
      </w:r>
      <w:r w:rsidRPr="004D7E62">
        <w:t xml:space="preserve"> of installing a marine WHRS. </w:t>
      </w:r>
      <w:r w:rsidRPr="00F05179">
        <w:t xml:space="preserve">The </w:t>
      </w:r>
      <w:r>
        <w:t>overall advantage</w:t>
      </w:r>
      <w:r w:rsidRPr="00F05179">
        <w:t xml:space="preserve"> of installing</w:t>
      </w:r>
      <w:r>
        <w:t xml:space="preserve"> a marine WHRS is a vessel with reduced fuel consumption and </w:t>
      </w:r>
      <w:r w:rsidRPr="006314D7">
        <w:t>GHG emissions</w:t>
      </w:r>
      <w:r>
        <w:t>.</w:t>
      </w:r>
      <w:r w:rsidRPr="00F05179">
        <w:t xml:space="preserve"> </w:t>
      </w:r>
    </w:p>
    <w:p w:rsidR="000C4D22" w:rsidRDefault="00E96E81" w:rsidP="000C4D22">
      <w:pPr>
        <w:pStyle w:val="Newparagraph"/>
      </w:pPr>
      <w:r>
        <w:fldChar w:fldCharType="begin"/>
      </w:r>
      <w:r>
        <w:instrText xml:space="preserve"> REF _Ref414014944 \h </w:instrText>
      </w:r>
      <w:r>
        <w:fldChar w:fldCharType="separate"/>
      </w:r>
      <w:r>
        <w:t xml:space="preserve">Figure </w:t>
      </w:r>
      <w:r>
        <w:rPr>
          <w:noProof/>
        </w:rPr>
        <w:t>12</w:t>
      </w:r>
      <w:r>
        <w:fldChar w:fldCharType="end"/>
      </w:r>
      <w:r>
        <w:t xml:space="preserve"> </w:t>
      </w:r>
      <w:proofErr w:type="gramStart"/>
      <w:r w:rsidR="00CD028B" w:rsidRPr="004D7E62">
        <w:t>shows</w:t>
      </w:r>
      <w:proofErr w:type="gramEnd"/>
      <w:r w:rsidR="00CD028B" w:rsidRPr="004D7E62">
        <w:t xml:space="preserve"> </w:t>
      </w:r>
      <w:r w:rsidR="00CD028B">
        <w:t xml:space="preserve">that </w:t>
      </w:r>
      <w:r w:rsidR="00CD028B" w:rsidRPr="004D7E62">
        <w:t>the vessel operator will reduce CO</w:t>
      </w:r>
      <w:r w:rsidR="00CD028B" w:rsidRPr="004D7E62">
        <w:rPr>
          <w:vertAlign w:val="subscript"/>
        </w:rPr>
        <w:t>2</w:t>
      </w:r>
      <w:r w:rsidR="00CD028B" w:rsidRPr="004D7E62">
        <w:t xml:space="preserve"> and other GHG emissions which</w:t>
      </w:r>
      <w:r w:rsidR="00CD028B">
        <w:t>,</w:t>
      </w:r>
      <w:r w:rsidR="00CD028B" w:rsidRPr="004D7E62">
        <w:t xml:space="preserve"> with the potential future introduction of carbon taxes to shipping</w:t>
      </w:r>
      <w:r w:rsidR="00CD028B">
        <w:t>,</w:t>
      </w:r>
      <w:r w:rsidR="00CD028B" w:rsidRPr="004D7E62">
        <w:t xml:space="preserve"> could also be financially beneficial. </w:t>
      </w:r>
      <w:r w:rsidR="00CD028B">
        <w:t>A</w:t>
      </w:r>
      <w:r w:rsidR="00CD028B" w:rsidRPr="004D7E62">
        <w:t xml:space="preserve"> marine WHRS </w:t>
      </w:r>
      <w:r w:rsidR="00CD028B">
        <w:t>could</w:t>
      </w:r>
      <w:r w:rsidR="00CD028B" w:rsidRPr="004D7E62">
        <w:t xml:space="preserve"> bring, at </w:t>
      </w:r>
      <w:r w:rsidR="000A08E8">
        <w:t>the minimum</w:t>
      </w:r>
      <w:r w:rsidR="00CD028B" w:rsidRPr="004D7E62">
        <w:t xml:space="preserve">, savings in the range of </w:t>
      </w:r>
      <w:r w:rsidR="00CD028B">
        <w:t>3,300 tonne</w:t>
      </w:r>
      <w:r w:rsidR="000A08E8">
        <w:t>s</w:t>
      </w:r>
      <w:r w:rsidR="00CD028B">
        <w:t xml:space="preserve"> of CO</w:t>
      </w:r>
      <w:r w:rsidR="00CD028B" w:rsidRPr="00570D77">
        <w:rPr>
          <w:vertAlign w:val="subscript"/>
        </w:rPr>
        <w:t>2</w:t>
      </w:r>
      <w:r w:rsidR="00CD028B" w:rsidRPr="004D7E62">
        <w:t xml:space="preserve"> per year and </w:t>
      </w:r>
      <w:r w:rsidR="00CD028B">
        <w:t>around 65,</w:t>
      </w:r>
      <w:r w:rsidR="008D5BC7">
        <w:t>5</w:t>
      </w:r>
      <w:r w:rsidR="00CD028B">
        <w:t>00 tonne of CO</w:t>
      </w:r>
      <w:r w:rsidR="00CD028B" w:rsidRPr="003508F7">
        <w:rPr>
          <w:vertAlign w:val="subscript"/>
        </w:rPr>
        <w:t>2</w:t>
      </w:r>
      <w:r w:rsidR="00CD028B">
        <w:t xml:space="preserve"> in </w:t>
      </w:r>
      <w:r w:rsidR="00CD028B" w:rsidRPr="004D7E62">
        <w:t xml:space="preserve">the ship’s operational life. </w:t>
      </w:r>
    </w:p>
    <w:p w:rsidR="000C4D22" w:rsidRDefault="000C4D22" w:rsidP="000C4D22">
      <w:pPr>
        <w:pStyle w:val="Newparagraph"/>
      </w:pPr>
      <w:r>
        <w:fldChar w:fldCharType="begin"/>
      </w:r>
      <w:r>
        <w:instrText xml:space="preserve"> REF _Ref414014944 \h  \* MERGEFORMAT </w:instrText>
      </w:r>
      <w:r>
        <w:fldChar w:fldCharType="separate"/>
      </w:r>
      <w:r w:rsidR="00AA6EE9">
        <w:t xml:space="preserve">Figure </w:t>
      </w:r>
      <w:r w:rsidR="00AA6EE9">
        <w:rPr>
          <w:noProof/>
        </w:rPr>
        <w:t>12</w:t>
      </w:r>
      <w:r>
        <w:fldChar w:fldCharType="end"/>
      </w:r>
      <w:r>
        <w:t xml:space="preserve"> </w:t>
      </w:r>
      <w:r w:rsidRPr="0064686D">
        <w:t>also demonstrates the advantage of using an ORC WHRS: benzene WHRS has an advantage of more than 16% over the traditional RC which will translate over the vessel’s lifetime to a reduction in fuel worth 11,000 tonnes of CO</w:t>
      </w:r>
      <w:r w:rsidRPr="00420665">
        <w:rPr>
          <w:vertAlign w:val="subscript"/>
        </w:rPr>
        <w:t>2</w:t>
      </w:r>
      <w:r w:rsidRPr="0064686D">
        <w:t xml:space="preserve"> when compared to the RC. The</w:t>
      </w:r>
      <w:r w:rsidRPr="000C4D22">
        <w:t xml:space="preserve"> </w:t>
      </w:r>
      <w:r w:rsidRPr="004D7E62">
        <w:t>CO</w:t>
      </w:r>
      <w:r w:rsidRPr="004D7E62">
        <w:rPr>
          <w:vertAlign w:val="subscript"/>
        </w:rPr>
        <w:t>2</w:t>
      </w:r>
      <w:r w:rsidRPr="004D7E62">
        <w:t xml:space="preserve"> reductions for </w:t>
      </w:r>
      <w:r>
        <w:t>water</w:t>
      </w:r>
      <w:r w:rsidRPr="004D7E62">
        <w:t xml:space="preserve"> and toluene are almost identical.</w:t>
      </w:r>
    </w:p>
    <w:p w:rsidR="00CD028B" w:rsidRDefault="00CD028B" w:rsidP="000C4D22">
      <w:pPr>
        <w:pStyle w:val="Newparagraph"/>
      </w:pPr>
      <w:r>
        <w:t>I</w:t>
      </w:r>
      <w:r w:rsidRPr="004D7E62">
        <w:t xml:space="preserve">t is important to </w:t>
      </w:r>
      <w:r>
        <w:t>compare</w:t>
      </w:r>
      <w:r w:rsidRPr="004D7E62">
        <w:t xml:space="preserve"> system complexities and characteristics in order to distinguish which system is better. As seen in </w:t>
      </w:r>
      <w:r w:rsidR="00295597">
        <w:fldChar w:fldCharType="begin"/>
      </w:r>
      <w:r w:rsidR="00295597">
        <w:instrText xml:space="preserve"> REF _Ref414014506 \h </w:instrText>
      </w:r>
      <w:r w:rsidR="00295597">
        <w:fldChar w:fldCharType="separate"/>
      </w:r>
      <w:r w:rsidR="00295597">
        <w:t>Figure</w:t>
      </w:r>
      <w:r w:rsidR="00295597" w:rsidRPr="004D7E62">
        <w:t xml:space="preserve"> </w:t>
      </w:r>
      <w:r w:rsidR="00295597">
        <w:rPr>
          <w:noProof/>
        </w:rPr>
        <w:t>11</w:t>
      </w:r>
      <w:r w:rsidR="00295597">
        <w:fldChar w:fldCharType="end"/>
      </w:r>
      <w:r>
        <w:fldChar w:fldCharType="begin"/>
      </w:r>
      <w:r>
        <w:instrText xml:space="preserve"> REF _Ref378085147 \h  \* MERGEFORMAT </w:instrText>
      </w:r>
      <w:r>
        <w:fldChar w:fldCharType="end"/>
      </w:r>
      <w:r w:rsidRPr="004D7E62">
        <w:t xml:space="preserve">, </w:t>
      </w:r>
      <w:r>
        <w:t>toluene</w:t>
      </w:r>
      <w:r w:rsidRPr="004D7E62">
        <w:t xml:space="preserve"> </w:t>
      </w:r>
      <w:r>
        <w:t>has the largest mass flow rate</w:t>
      </w:r>
      <w:r w:rsidRPr="004D7E62">
        <w:t xml:space="preserve"> which implies </w:t>
      </w:r>
      <w:r>
        <w:t xml:space="preserve">from the previous section </w:t>
      </w:r>
      <w:r w:rsidRPr="004D7E62">
        <w:t>that the WHRS will require more space inside the vessel</w:t>
      </w:r>
      <w:r w:rsidR="00CF7209">
        <w:t>.</w:t>
      </w:r>
      <w:r w:rsidRPr="004D7E62">
        <w:t xml:space="preserve"> </w:t>
      </w:r>
      <w:r w:rsidR="00CF7209">
        <w:t>F</w:t>
      </w:r>
      <w:r w:rsidRPr="004D7E62">
        <w:t>or some ship types which are weight</w:t>
      </w:r>
      <w:r w:rsidR="00CF7209">
        <w:t>-</w:t>
      </w:r>
      <w:r w:rsidRPr="004D7E62">
        <w:t>driven, such as bulk carriers, this may not be an issue.</w:t>
      </w:r>
      <w:r>
        <w:t xml:space="preserve"> On the other hand</w:t>
      </w:r>
      <w:r w:rsidR="00CF7209">
        <w:t>,</w:t>
      </w:r>
      <w:r>
        <w:t xml:space="preserve"> a toluene expander would be </w:t>
      </w:r>
      <w:r>
        <w:lastRenderedPageBreak/>
        <w:t xml:space="preserve">simpler than one designed for water since toluene is a dry fluid, not requiring stages </w:t>
      </w:r>
      <w:r w:rsidR="00CF7209">
        <w:t xml:space="preserve">in order </w:t>
      </w:r>
      <w:r>
        <w:t>to avoid condensation inside the expander.</w:t>
      </w:r>
    </w:p>
    <w:p w:rsidR="00832AE7" w:rsidRDefault="00832AE7" w:rsidP="00832AE7">
      <w:pPr>
        <w:pStyle w:val="Newparagraph"/>
        <w:spacing w:line="240" w:lineRule="auto"/>
      </w:pPr>
      <w:r>
        <w:rPr>
          <w:noProof/>
        </w:rPr>
        <w:drawing>
          <wp:inline distT="0" distB="0" distL="0" distR="0">
            <wp:extent cx="4500000" cy="3387363"/>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 Infogram - no font type given.tif"/>
                    <pic:cNvPicPr/>
                  </pic:nvPicPr>
                  <pic:blipFill>
                    <a:blip r:embed="rId19">
                      <a:extLst>
                        <a:ext uri="{28A0092B-C50C-407E-A947-70E740481C1C}">
                          <a14:useLocalDpi xmlns:a14="http://schemas.microsoft.com/office/drawing/2010/main" val="0"/>
                        </a:ext>
                      </a:extLst>
                    </a:blip>
                    <a:stretch>
                      <a:fillRect/>
                    </a:stretch>
                  </pic:blipFill>
                  <pic:spPr>
                    <a:xfrm>
                      <a:off x="0" y="0"/>
                      <a:ext cx="4500000" cy="3387363"/>
                    </a:xfrm>
                    <a:prstGeom prst="rect">
                      <a:avLst/>
                    </a:prstGeom>
                  </pic:spPr>
                </pic:pic>
              </a:graphicData>
            </a:graphic>
          </wp:inline>
        </w:drawing>
      </w:r>
    </w:p>
    <w:p w:rsidR="000C4D22" w:rsidRDefault="000C4D22" w:rsidP="000C4D22">
      <w:pPr>
        <w:pStyle w:val="Figurecaption"/>
      </w:pPr>
      <w:bookmarkStart w:id="34" w:name="_Ref414014944"/>
      <w:bookmarkStart w:id="35" w:name="_Ref387921511"/>
      <w:r>
        <w:t xml:space="preserve">Figure </w:t>
      </w:r>
      <w:r w:rsidR="001C7E9D">
        <w:fldChar w:fldCharType="begin"/>
      </w:r>
      <w:r w:rsidR="001C7E9D">
        <w:instrText xml:space="preserve"> SEQ Figure \* ARABIC </w:instrText>
      </w:r>
      <w:r w:rsidR="001C7E9D">
        <w:fldChar w:fldCharType="separate"/>
      </w:r>
      <w:r w:rsidR="00AA6EE9">
        <w:rPr>
          <w:noProof/>
        </w:rPr>
        <w:t>12</w:t>
      </w:r>
      <w:r w:rsidR="001C7E9D">
        <w:rPr>
          <w:noProof/>
        </w:rPr>
        <w:fldChar w:fldCharType="end"/>
      </w:r>
      <w:bookmarkEnd w:id="34"/>
      <w:r>
        <w:t xml:space="preserve">: </w:t>
      </w:r>
      <w:r w:rsidRPr="000C4D22">
        <w:t>CO</w:t>
      </w:r>
      <w:r w:rsidRPr="000C4D22">
        <w:rPr>
          <w:vertAlign w:val="subscript"/>
        </w:rPr>
        <w:t>2</w:t>
      </w:r>
      <w:r w:rsidRPr="000C4D22">
        <w:t xml:space="preserve"> emission reductions achieved by the WHRS under different operating conditions in one year.</w:t>
      </w:r>
    </w:p>
    <w:bookmarkEnd w:id="35"/>
    <w:p w:rsidR="00BA1648" w:rsidRDefault="00CD028B" w:rsidP="000C4D22">
      <w:pPr>
        <w:pStyle w:val="Newparagraph"/>
      </w:pPr>
      <w:r w:rsidRPr="004D7E62">
        <w:t>These results can be seen as over</w:t>
      </w:r>
      <w:r w:rsidR="00CF7209">
        <w:t>-</w:t>
      </w:r>
      <w:r w:rsidRPr="004D7E62">
        <w:t xml:space="preserve">optimistic due to the assumption of having an adaptable WHRS. But they do follow the trend seen in the work of </w:t>
      </w:r>
      <w:bookmarkStart w:id="36" w:name="OLE_LINK1"/>
      <w:bookmarkStart w:id="37" w:name="OLE_LINK2"/>
      <w:bookmarkStart w:id="38" w:name="OLE_LINK3"/>
      <w:r w:rsidRPr="004D7E62">
        <w:rPr>
          <w:noProof/>
        </w:rPr>
        <w:t xml:space="preserve">Alvik </w:t>
      </w:r>
      <w:r w:rsidRPr="00916003">
        <w:rPr>
          <w:i/>
          <w:noProof/>
        </w:rPr>
        <w:t>et al</w:t>
      </w:r>
      <w:r w:rsidRPr="007D4E2D">
        <w:rPr>
          <w:noProof/>
        </w:rPr>
        <w:t>.</w:t>
      </w:r>
      <w:r w:rsidRPr="004D7E62">
        <w:t xml:space="preserve"> </w:t>
      </w:r>
      <w:r>
        <w:fldChar w:fldCharType="begin" w:fldLock="1"/>
      </w:r>
      <w:r w:rsidR="00916003">
        <w:instrText>ADDIN CSL_CITATION { "citationItems" : [ { "id" : "ITEM-1", "itemData" : { "abstract" : "In June 2009 DNV issued the fi rst Pathway to Low Carbon Shipping which demonstrated the potential to reduce the CO2 emission of the existing fl eet by 15% in a cost effi cient manner. In this second Pathway all the identifi ed measures are included. While there is no single measure which could make it all happen, the aggregated effect of all the measures is signifi cant. This will ensure an industry that operates in a more energy effi cient manner and also accepts its share of the common responsibility to reduce CO2 emissions.", "author" : [ { "dropping-particle" : "", "family" : "Alvik", "given" : "S.", "non-dropping-particle" : "", "parse-names" : false, "suffix" : "" }, { "dropping-particle" : "", "family" : "Eide", "given" : "M.S.", "non-dropping-particle" : "", "parse-names" : false, "suffix" : "" }, { "dropping-particle" : "", "family" : "Endresen", "given" : "\u00d8.", "non-dropping-particle" : "", "parse-names" : false, "suffix" : "" }, { "dropping-particle" : "", "family" : "Hoffmann", "given" : "P.", "non-dropping-particle" : "", "parse-names" : false, "suffix" : "" }, { "dropping-particle" : "", "family" : "Longva", "given" : "T.", "non-dropping-particle" : "", "parse-names" : false, "suffix" : "" } ], "id" : "ITEM-1", "issue" : "February", "issued" : { "date-parts" : [ [ "2010" ] ] }, "number-of-pages" : "8", "publisher-place" : "H\u00f8vik", "title" : "Pathways to low carbon shipping . Abatement potential towards 2030.", "type" : "report" }, "uris" : [ "http://www.mendeley.com/documents/?uuid=54fa4afb-e728-437e-b709-3ad3ba9d635e" ] } ], "mendeley" : { "formattedCitation" : "(Alvik et al. 2010)", "manualFormatting" : "(2010)", "plainTextFormattedCitation" : "(Alvik et al. 2010)", "previouslyFormattedCitation" : "(Alvik et al. 2010)" }, "properties" : { "noteIndex" : 0 }, "schema" : "https://github.com/citation-style-language/schema/raw/master/csl-citation.json" }</w:instrText>
      </w:r>
      <w:r>
        <w:fldChar w:fldCharType="separate"/>
      </w:r>
      <w:r w:rsidR="00295597">
        <w:rPr>
          <w:noProof/>
        </w:rPr>
        <w:t>(</w:t>
      </w:r>
      <w:r w:rsidR="000C4D22" w:rsidRPr="000C4D22">
        <w:rPr>
          <w:noProof/>
        </w:rPr>
        <w:t>2010)</w:t>
      </w:r>
      <w:r>
        <w:fldChar w:fldCharType="end"/>
      </w:r>
      <w:bookmarkEnd w:id="36"/>
      <w:bookmarkEnd w:id="37"/>
      <w:bookmarkEnd w:id="38"/>
      <w:r w:rsidRPr="004D7E62">
        <w:t>, achieving high CO</w:t>
      </w:r>
      <w:r w:rsidRPr="004D7E62">
        <w:rPr>
          <w:vertAlign w:val="subscript"/>
        </w:rPr>
        <w:t>2</w:t>
      </w:r>
      <w:r w:rsidRPr="004D7E62">
        <w:t xml:space="preserve"> emission reductions which is in line with shipping industry’s green objectives. </w:t>
      </w:r>
      <w:r w:rsidR="00CE5CE1">
        <w:rPr>
          <w:noProof/>
        </w:rPr>
        <w:t>One of the main c</w:t>
      </w:r>
      <w:r w:rsidR="003F6D13">
        <w:rPr>
          <w:noProof/>
        </w:rPr>
        <w:t>a</w:t>
      </w:r>
      <w:r w:rsidR="00CE5CE1">
        <w:rPr>
          <w:noProof/>
        </w:rPr>
        <w:t xml:space="preserve">veats of installing an WHRS is the initial cost. </w:t>
      </w:r>
      <w:r w:rsidR="00BA1648" w:rsidRPr="00BA1648">
        <w:rPr>
          <w:noProof/>
        </w:rPr>
        <w:t xml:space="preserve">Quoilin </w:t>
      </w:r>
      <w:r w:rsidR="00BA1648" w:rsidRPr="00916003">
        <w:rPr>
          <w:i/>
          <w:noProof/>
        </w:rPr>
        <w:t>et al</w:t>
      </w:r>
      <w:r w:rsidR="00BA1648" w:rsidRPr="00BA1648">
        <w:rPr>
          <w:noProof/>
        </w:rPr>
        <w:t>.</w:t>
      </w:r>
      <w:r w:rsidR="00BA1648">
        <w:rPr>
          <w:noProof/>
        </w:rPr>
        <w:t xml:space="preserve"> </w:t>
      </w:r>
      <w:r w:rsidR="00BA1648">
        <w:fldChar w:fldCharType="begin" w:fldLock="1"/>
      </w:r>
      <w:r w:rsidR="00BA1648">
        <w:instrText>ADDIN CSL_CITATION { "citationItems" : [ { "id" : "ITEM-1", "itemData" : { "DOI" : "10.1016/j.rser.2013.01.028", "ISSN" : "13640321", "abstract" : "New heat conversion technologies need to be developed and improved to take advantage of the necessary increase in the supply of renewable energy. The Organic Rankine Cycle is well suited for these applications, mainly because of its ability to recover low-grade heat and the possibility to be implemented in decentralized lower-capacity power plants. In this paper, an overview of the different ORC applications is presented. A market review is proposed including cost figures for several commercial ORC modules and manufacturers. An in-depth analysis of the technical challenges related to the technology, such as working fluid selection and expansion machine issues is then reported. Technological constraints and optimization methods are extensively described and discussed. Finally, the current trends in research and development for the next generation of Organic Rankine Cycles are presented.", "author" : [ { "dropping-particle" : "", "family" : "Quoilin", "given" : "Sylvain", "non-dropping-particle" : "", "parse-names" : false, "suffix" : "" }, { "dropping-particle" : "Van Den", "family" : "Broek", "given" : "Martijn", "non-dropping-particle" : "", "parse-names" : false, "suffix" : "" }, { "dropping-particle" : "", "family" : "Declaye", "given" : "S\u00e9bastien", "non-dropping-particle" : "", "parse-names" : false, "suffix" : "" }, { "dropping-particle" : "", "family" : "Dewallef", "given" : "Pierre", "non-dropping-particle" : "", "parse-names" : false, "suffix" : "" }, { "dropping-particle" : "", "family" : "Lemort", "given" : "Vincent", "non-dropping-particle" : "", "parse-names" : false, "suffix" : "" } ], "container-title" : "Renewable and Sustainable Energy Reviews", "id" : "ITEM-1", "issue" : "null", "issued" : { "date-parts" : [ [ "2013", "6" ] ] }, "page" : "168-186", "title" : "Techno-economic survey of Organic Rankine Cycle (ORC) systems", "type" : "article-journal", "volume" : "22" }, "uris" : [ "http://www.mendeley.com/documents/?uuid=fa09438a-744c-46a0-b5e4-8e461be01bf3" ] } ], "mendeley" : { "formattedCitation" : "(Quoilin et al. 2013)", "manualFormatting" : "(2013)", "plainTextFormattedCitation" : "(Quoilin et al. 2013)", "previouslyFormattedCitation" : "(Quoilin et al. 2013)" }, "properties" : { "noteIndex" : 0 }, "schema" : "https://github.com/citation-style-language/schema/raw/master/csl-citation.json" }</w:instrText>
      </w:r>
      <w:r w:rsidR="00BA1648">
        <w:fldChar w:fldCharType="separate"/>
      </w:r>
      <w:r w:rsidR="00BA1648" w:rsidRPr="00BA1648">
        <w:rPr>
          <w:noProof/>
        </w:rPr>
        <w:t>(2013)</w:t>
      </w:r>
      <w:r w:rsidR="00BA1648">
        <w:fldChar w:fldCharType="end"/>
      </w:r>
      <w:r w:rsidR="00BA1648">
        <w:t xml:space="preserve"> show that the cost of an ORC WHRS module of the size proposed in </w:t>
      </w:r>
      <w:r w:rsidR="00AF3033">
        <w:t>this paper should be less than £1,640</w:t>
      </w:r>
      <w:r w:rsidR="00BA1648">
        <w:t xml:space="preserve"> per </w:t>
      </w:r>
      <w:proofErr w:type="spellStart"/>
      <w:r w:rsidR="00BA1648">
        <w:t>kW</w:t>
      </w:r>
      <w:r w:rsidR="00AF3033" w:rsidRPr="00AF3033">
        <w:rPr>
          <w:vertAlign w:val="subscript"/>
        </w:rPr>
        <w:t>e</w:t>
      </w:r>
      <w:proofErr w:type="spellEnd"/>
      <w:r w:rsidR="00AF3033">
        <w:rPr>
          <w:rStyle w:val="FootnoteReference"/>
        </w:rPr>
        <w:footnoteReference w:id="10"/>
      </w:r>
      <w:r w:rsidR="00AF3033">
        <w:t xml:space="preserve">, </w:t>
      </w:r>
      <w:r w:rsidR="00BA1648">
        <w:t xml:space="preserve">while for an RC WHRS the cost can range </w:t>
      </w:r>
      <w:r w:rsidR="00AF3033">
        <w:t xml:space="preserve">between £688 </w:t>
      </w:r>
      <w:r w:rsidR="00C815A2">
        <w:t>and</w:t>
      </w:r>
      <w:r w:rsidR="00AF3033">
        <w:t xml:space="preserve"> £862 per </w:t>
      </w:r>
      <w:proofErr w:type="spellStart"/>
      <w:r w:rsidR="00AF3033">
        <w:t>kW</w:t>
      </w:r>
      <w:r w:rsidR="00AF3033" w:rsidRPr="00AF3033">
        <w:rPr>
          <w:vertAlign w:val="subscript"/>
        </w:rPr>
        <w:t>e</w:t>
      </w:r>
      <w:proofErr w:type="spellEnd"/>
      <w:r w:rsidR="00AF3033">
        <w:t xml:space="preserve"> </w:t>
      </w:r>
      <w:r w:rsidR="00AF3033">
        <w:fldChar w:fldCharType="begin" w:fldLock="1"/>
      </w:r>
      <w:r w:rsidR="00CE5CE1">
        <w:instrText>ADDIN CSL_CITATION { "citationItems" : [ { "id" : "ITEM-1", "itemData" : { "abstract" : "The U.S. industrial sector accounts for about one\u00adthird of the total energy consumed in the United States and is responsible for about one\u00adthird of fossil\u00adfuel\u00adrelated greenhouse gas emissions. It is estimated that somewhere between 20 to 50% of industrial energy input is lost as waste heat in the form of hot exhaust gases, cooling water, and heat lost from hot equipment surfaces and heated products. As the industrial sector continues efforts to improve its energy efficiency, recovering waste heat losses provides an attractive opportunity for an emission\u00adfree and less\u00adcostly energy resource. Numerous technologies and variations/combinations of technologies are commercially available for waste heat recovery. Many industrial facilities have upgraded or are improving their energy productivity by installing these technologies. However, heat recovery is not economical or even possible in many cases. This study was initiated in order to evaluate RD&amp;D needs for improving waste heat recovery technologies. A bottom\u00adup approach is used to evaluate waste heat quantity, quality, recovery practices, and technology barriers in some of the largest energy\u00adconsuming units in U.S. manufacturing. The results from this investigation serve as a basis for understanding the state of waste heat recovery and providing recommendations for RD&amp;D to advance waste heat recovery technologies. Technology needs are identified in two broad areas: 1) extending the range of existing technologies to enhance their economic feasibility and recovery efficiency, and 2) exploring new methods for waste heat recovery, especially for unconventional waste heat sources.", "author" : [ { "dropping-particle" : "", "family" : "BCS Incorporated", "given" : "", "non-dropping-particle" : "", "parse-names" : false, "suffix" : "" } ], "id" : "ITEM-1", "issued" : { "date-parts" : [ [ "2008" ] ] }, "note" : "http://www1.eere.energy.gov/manufacturing/intensiveprocesses/pdfs/waste_heat_recovery.pdf", "number-of-pages" : "112", "publisher-place" : "Laurel", "title" : "Waste Heat Recovery: Technology and Opportunities in U.S. Industry", "type" : "report" }, "uris" : [ "http://www.mendeley.com/documents/?uuid=f3d232a0-a954-48ac-82be-d7efdb0f55b3" ] } ], "mendeley" : { "formattedCitation" : "(BCS Incorporated 2008)", "plainTextFormattedCitation" : "(BCS Incorporated 2008)", "previouslyFormattedCitation" : "(BCS Incorporated 2008)" }, "properties" : { "noteIndex" : 0 }, "schema" : "https://github.com/citation-style-language/schema/raw/master/csl-citation.json" }</w:instrText>
      </w:r>
      <w:r w:rsidR="00AF3033">
        <w:fldChar w:fldCharType="separate"/>
      </w:r>
      <w:r w:rsidR="00AF3033" w:rsidRPr="00AF3033">
        <w:rPr>
          <w:noProof/>
        </w:rPr>
        <w:t>(BCS Incorporated 2008)</w:t>
      </w:r>
      <w:r w:rsidR="00AF3033">
        <w:fldChar w:fldCharType="end"/>
      </w:r>
      <w:r w:rsidR="00AF3033">
        <w:t>.</w:t>
      </w:r>
      <w:r w:rsidR="00BA1648">
        <w:t xml:space="preserve"> </w:t>
      </w:r>
      <w:r w:rsidR="00CE5CE1">
        <w:t xml:space="preserve">However, the WHRS payback period can be less than </w:t>
      </w:r>
      <w:r w:rsidR="00C815A2">
        <w:t>three</w:t>
      </w:r>
      <w:r w:rsidR="00CE5CE1">
        <w:t xml:space="preserve"> years for any of the cycles tested </w:t>
      </w:r>
      <w:r w:rsidR="00CE5CE1">
        <w:fldChar w:fldCharType="begin" w:fldLock="1"/>
      </w:r>
      <w:r w:rsidR="00CE5CE1">
        <w:instrText>ADDIN CSL_CITATION { "citationItems" : [ { "id" : "ITEM-1", "itemData" : { "abstract" : "Current Marine Policies and regulations greatly favour the use of efficiency enhancing technologies such as the Organic Rankine Cycle (ORC) waste heat recovery systems (WHRS), through the entry into force of International Maritime Organisation (IMO) Energy Efficiency Design Index (EEDI). However, safety regulations such as IMO Safety Of Life At Sea (SOLAS), International Gas Code and Classification Societies still consider the use of highly flammable organic fluids on board ships as hazardous and undesirable, requiring special Administration approval. The benefits of organic fluids in emerging technologies will likely increase their usefulness on board in the near future. Furthermore, current ship safety systems and integrated platform management systems greatly reduce the risks associated with their low flash point making them acceptable for marine use given specific design considerations. This paper studies the case of an Aframax tanker navigating the route North Sea \u2013 Naantali, Finland using a slow speed diesel engine. A code with a multi-objective optimization approach generated explicitly for this purpose produces different optimal WHRS designs for the vessel\u2019s operating profile. The WHRS is installed after the turbo compressors in the exhaust gas system, where it absorbs part of the available waste heat and converts it to electricity using a generator. This results in a reduction in fuel consumption, hence decreasing the emission of greenhouse gases. The different optimal designs are compared with a steam WHRS to show the strengths and weaknesses of using an ORC WHRS on board. The ORC technology is at its early stages of development in the marine field, it is important that safety policies follow the evolution of the technology and its associated safety equipment. This paper will serve to recognize the specific safety considerations associated with the ORC and highlight the advantages of carrying organic fluids on board as a solution to increasing CO2 emission restrictions and other environmental concerns.", "author" : [ { "dropping-particle" : "", "family" : "Su\u00e1rez de la Fuente", "given" : "Santiago", "non-dropping-particle" : "", "parse-names" : false, "suffix" : "" }, { "dropping-particle" : "", "family" : "Roberge", "given" : "David", "non-dropping-particle" : "", "parse-names" : false, "suffix" : "" }, { "dropping-particle" : "", "family" : "Greig", "given" : "Alistair R.", "non-dropping-particle" : "", "parse-names" : false, "suffix" : "" } ], "container-title" : "Marine Policy", "id" : "ITEM-1", "issued" : { "date-parts" : [ [ "2015" ] ] }, "page" : "21", "title" : "Safety and CO2 emissions: Implications of using organic fluids in a ship\u2019s waste heat recovery system", "type" : "article-journal" }, "uris" : [ "http://www.mendeley.com/documents/?uuid=353612b0-02d8-4bee-aa17-1f5ef9309830" ] } ], "mendeley" : { "formattedCitation" : "(Su\u00e1rez de la Fuente et al. 2015)", "plainTextFormattedCitation" : "(Su\u00e1rez de la Fuente et al. 2015)", "previouslyFormattedCitation" : "(Su\u00e1rez de la Fuente et al. 2015)" }, "properties" : { "noteIndex" : 0 }, "schema" : "https://github.com/citation-style-language/schema/raw/master/csl-citation.json" }</w:instrText>
      </w:r>
      <w:r w:rsidR="00CE5CE1">
        <w:fldChar w:fldCharType="separate"/>
      </w:r>
      <w:r w:rsidR="00CE5CE1" w:rsidRPr="00CE5CE1">
        <w:rPr>
          <w:noProof/>
        </w:rPr>
        <w:t xml:space="preserve">(Suárez de la </w:t>
      </w:r>
      <w:r w:rsidR="00CE5CE1" w:rsidRPr="00CE5CE1">
        <w:rPr>
          <w:noProof/>
        </w:rPr>
        <w:lastRenderedPageBreak/>
        <w:t xml:space="preserve">Fuente </w:t>
      </w:r>
      <w:r w:rsidR="00CE5CE1" w:rsidRPr="00916003">
        <w:rPr>
          <w:i/>
          <w:noProof/>
        </w:rPr>
        <w:t>et al</w:t>
      </w:r>
      <w:r w:rsidR="00CE5CE1" w:rsidRPr="00CE5CE1">
        <w:rPr>
          <w:noProof/>
        </w:rPr>
        <w:t>. 2015)</w:t>
      </w:r>
      <w:r w:rsidR="00CE5CE1">
        <w:fldChar w:fldCharType="end"/>
      </w:r>
      <w:r w:rsidR="00CE5CE1">
        <w:t>. Thus, the installation of a WHRS is an economically</w:t>
      </w:r>
      <w:r w:rsidR="00C815A2">
        <w:t>-</w:t>
      </w:r>
      <w:r w:rsidR="00CE5CE1">
        <w:t xml:space="preserve">viable green technology. </w:t>
      </w:r>
    </w:p>
    <w:p w:rsidR="00CD028B" w:rsidRPr="004D7E62" w:rsidRDefault="00BA1648" w:rsidP="000C4D22">
      <w:pPr>
        <w:pStyle w:val="Newparagraph"/>
      </w:pPr>
      <w:r>
        <w:t>Finally</w:t>
      </w:r>
      <w:r w:rsidR="00CD028B" w:rsidRPr="004D7E62">
        <w:t xml:space="preserve">, this study has demonstrated that under </w:t>
      </w:r>
      <w:r w:rsidR="00CD028B">
        <w:t xml:space="preserve">the </w:t>
      </w:r>
      <w:r w:rsidR="00CD028B" w:rsidRPr="004D7E62">
        <w:t>same operating conditions and restrictions</w:t>
      </w:r>
      <w:r w:rsidR="00C815A2">
        <w:t>,</w:t>
      </w:r>
      <w:r w:rsidR="00CD028B" w:rsidRPr="004D7E62">
        <w:t xml:space="preserve"> ORC WHRS can reduce fuel consumption and environmentally harmful gases </w:t>
      </w:r>
      <w:r w:rsidR="00CD028B">
        <w:t xml:space="preserve">to a greater extent </w:t>
      </w:r>
      <w:r w:rsidR="00CD028B" w:rsidRPr="004D7E62">
        <w:t>than the traditional water</w:t>
      </w:r>
      <w:r w:rsidR="00C815A2">
        <w:t>-</w:t>
      </w:r>
      <w:r w:rsidR="00CD028B" w:rsidRPr="004D7E62">
        <w:t xml:space="preserve">based RC. This behaviour is </w:t>
      </w:r>
      <w:r w:rsidR="00C815A2">
        <w:t xml:space="preserve">also </w:t>
      </w:r>
      <w:r w:rsidR="00CD028B" w:rsidRPr="004D7E62">
        <w:t xml:space="preserve">seen in the work of Saavedra </w:t>
      </w:r>
      <w:r w:rsidR="00CD028B" w:rsidRPr="00916003">
        <w:rPr>
          <w:i/>
        </w:rPr>
        <w:t>et al</w:t>
      </w:r>
      <w:r w:rsidR="00CD028B" w:rsidRPr="004D7E62">
        <w:rPr>
          <w:i/>
        </w:rPr>
        <w:t xml:space="preserve">. </w:t>
      </w:r>
      <w:r w:rsidR="00CD028B">
        <w:rPr>
          <w:i/>
        </w:rPr>
        <w:fldChar w:fldCharType="begin" w:fldLock="1"/>
      </w:r>
      <w:r w:rsidR="00295597">
        <w:rPr>
          <w:i/>
        </w:rPr>
        <w:instrText>ADDIN CSL_CITATION { "citationItems" : [ { "id" : "ITEM-1", "itemData" : { "DOI" : "10.1243/09576509JPE998", "ISSN" : "0957-6509", "abstract" : "In this article, the authors performed the thermodynamic optimization of organic Rankine cycles (ORCs) using several working fluids and considered the effect of three heat rejec- tion media in the condenser: cooling water, ambient air, and hot water at high temperature for co- or trigeneration applications. The ORC system was modelled and optimized using the Aspen Hysys process simulator. The objective function is the maximization of turbine power output. Most natural gas compression stations use no heat recovery system. In this study, they applied the optimization procedure to the recovery of waste heat fromgas turbines used to drive natural gas compressors in natural gas pumping stations. They used operational data from an existing pumping station to illustrate the potential benefits of ORC systems for this application, taking into account also non-thermodynamic aspects such as toxicity, flammability, and investment cost return. The highest ORC turbine output powerswere obtained with aromatic hydrocarbons, then with aromatic fluorocarbons, n-hydrocarbons, and siloxanes (in that order). For the case studied here \u2013 a gas turbine of 2.6MW of mechanical power\u2013 the proposed ORC can produce around 1MWe, with a thermal efficiency of up to 24 per cent depending on the working fluid and condensing temperature.", "author" : [ { "dropping-particle" : "", "family" : "Saavedra", "given" : "I", "non-dropping-particle" : "", "parse-names" : false, "suffix" : "" }, { "dropping-particle" : "", "family" : "Bruno", "given" : "J C", "non-dropping-particle" : "", "parse-names" : false, "suffix" : "" }, { "dropping-particle" : "", "family" : "Coronas", "given" : "A", "non-dropping-particle" : "", "parse-names" : false, "suffix" : "" } ], "container-title" : "Proceedings of the Institution of Mechanical Engineers, Part A: Journal of Power and Energy", "id" : "ITEM-1", "issue" : "7", "issued" : { "date-parts" : [ [ "2010", "11", "1" ] ] }, "page" : "917-930", "title" : "Thermodynamic optimization of organic Rankine cycles at several condensing temperatures: case study of waste heat recovery in a natural gas compressor station", "type" : "article-journal", "volume" : "224" }, "uris" : [ "http://www.mendeley.com/documents/?uuid=6a76ff70-1a27-4e35-a7be-2ab671213610" ] } ], "mendeley" : { "formattedCitation" : "(Saavedra et al. 2010)", "manualFormatting" : "(2010)", "plainTextFormattedCitation" : "(Saavedra et al. 2010)", "previouslyFormattedCitation" : "(Saavedra et al. 2010)" }, "properties" : { "noteIndex" : 0 }, "schema" : "https://github.com/citation-style-language/schema/raw/master/csl-citation.json" }</w:instrText>
      </w:r>
      <w:r w:rsidR="00CD028B">
        <w:rPr>
          <w:i/>
        </w:rPr>
        <w:fldChar w:fldCharType="separate"/>
      </w:r>
      <w:r w:rsidR="000C4D22" w:rsidRPr="000C4D22">
        <w:rPr>
          <w:noProof/>
        </w:rPr>
        <w:t>(2010)</w:t>
      </w:r>
      <w:r w:rsidR="00CD028B">
        <w:rPr>
          <w:i/>
        </w:rPr>
        <w:fldChar w:fldCharType="end"/>
      </w:r>
      <w:r w:rsidR="00CD028B" w:rsidRPr="004D7E62">
        <w:t>.</w:t>
      </w:r>
    </w:p>
    <w:p w:rsidR="00CD028B" w:rsidRPr="004D7E62" w:rsidRDefault="00CD028B" w:rsidP="00CD028B">
      <w:pPr>
        <w:pStyle w:val="Heading1"/>
        <w:rPr>
          <w:szCs w:val="20"/>
        </w:rPr>
      </w:pPr>
      <w:r w:rsidRPr="004D7E62">
        <w:rPr>
          <w:szCs w:val="20"/>
        </w:rPr>
        <w:t xml:space="preserve">CONCLUSIONS  </w:t>
      </w:r>
    </w:p>
    <w:p w:rsidR="00CD028B" w:rsidRPr="004D7E62" w:rsidRDefault="00CD028B" w:rsidP="00E0790D">
      <w:pPr>
        <w:pStyle w:val="Paragraph"/>
      </w:pPr>
      <w:r w:rsidRPr="004D7E62">
        <w:t xml:space="preserve">This </w:t>
      </w:r>
      <w:r>
        <w:t>paper</w:t>
      </w:r>
      <w:r w:rsidRPr="004D7E62">
        <w:t xml:space="preserve"> has </w:t>
      </w:r>
      <w:r>
        <w:t xml:space="preserve">compared the performance of </w:t>
      </w:r>
      <w:r w:rsidRPr="004D7E62">
        <w:t xml:space="preserve">a WHRS </w:t>
      </w:r>
      <w:r>
        <w:t xml:space="preserve">based on the RC using five different working fluids, </w:t>
      </w:r>
      <w:r w:rsidRPr="004D7E62">
        <w:t>water and four organic fluids with the aim of achieving the highest CO</w:t>
      </w:r>
      <w:r w:rsidRPr="004D7E62">
        <w:rPr>
          <w:vertAlign w:val="subscript"/>
        </w:rPr>
        <w:t>2</w:t>
      </w:r>
      <w:r w:rsidRPr="004D7E62">
        <w:t xml:space="preserve"> emission reduction </w:t>
      </w:r>
      <w:r>
        <w:t>by covering part of the vessel’s electrical demand</w:t>
      </w:r>
      <w:r w:rsidR="00C815A2">
        <w:t xml:space="preserve"> </w:t>
      </w:r>
      <w:r>
        <w:t>- normally supplied by a diesel generator</w:t>
      </w:r>
      <w:r w:rsidR="00E504BA">
        <w:t xml:space="preserve"> </w:t>
      </w:r>
      <w:r>
        <w:t>- while also supplying the vessel’s steam requirement</w:t>
      </w:r>
      <w:r w:rsidRPr="004D7E62">
        <w:t xml:space="preserve">. </w:t>
      </w:r>
    </w:p>
    <w:p w:rsidR="00CD028B" w:rsidRDefault="00CD028B" w:rsidP="00E0790D">
      <w:pPr>
        <w:pStyle w:val="Newparagraph"/>
      </w:pPr>
      <w:r w:rsidRPr="004D7E62">
        <w:t>The authors first present</w:t>
      </w:r>
      <w:r w:rsidR="001A7107">
        <w:t>ed</w:t>
      </w:r>
      <w:r w:rsidRPr="004D7E62">
        <w:t xml:space="preserve"> </w:t>
      </w:r>
      <w:r w:rsidR="001A7107">
        <w:t xml:space="preserve">the </w:t>
      </w:r>
      <w:r w:rsidRPr="004D7E62">
        <w:t xml:space="preserve">results obtained by modifying the high pressure level of different WHRS for the vessel’s slow speed diesel main engine at 75% MCR. It was possible to distinguish </w:t>
      </w:r>
      <w:r>
        <w:t>that</w:t>
      </w:r>
      <w:r w:rsidRPr="004D7E62">
        <w:t xml:space="preserve"> </w:t>
      </w:r>
      <w:r>
        <w:t>an</w:t>
      </w:r>
      <w:r w:rsidRPr="004D7E62">
        <w:t xml:space="preserve"> ORC </w:t>
      </w:r>
      <w:r>
        <w:t>WHRS</w:t>
      </w:r>
      <w:r w:rsidR="00E504BA">
        <w:t xml:space="preserve"> </w:t>
      </w:r>
      <w:r>
        <w:t xml:space="preserve">- except </w:t>
      </w:r>
      <w:r w:rsidR="001A7107">
        <w:t>in</w:t>
      </w:r>
      <w:r>
        <w:t xml:space="preserve"> the case of Toluene</w:t>
      </w:r>
      <w:r w:rsidR="00E504BA">
        <w:t xml:space="preserve"> </w:t>
      </w:r>
      <w:r>
        <w:t>- could offer a larger</w:t>
      </w:r>
      <w:r w:rsidRPr="004D7E62">
        <w:t xml:space="preserve"> power output at higher thermal efficiency</w:t>
      </w:r>
      <w:r>
        <w:t xml:space="preserve"> than a RC WHRS. The results also showed that the maximum power output did not occur when the WHRS was operating at its maximum thermal efficiency.</w:t>
      </w:r>
    </w:p>
    <w:p w:rsidR="00CD028B" w:rsidRDefault="00CD028B" w:rsidP="002E50D1">
      <w:pPr>
        <w:pStyle w:val="Newparagraph"/>
      </w:pPr>
      <w:r w:rsidRPr="004D7E62">
        <w:t>In the second part of the simulations</w:t>
      </w:r>
      <w:r w:rsidR="001A7107">
        <w:t>,</w:t>
      </w:r>
      <w:r w:rsidRPr="004D7E62">
        <w:t xml:space="preserve"> the objective was to find how the RC and ORC WHRS behaved under different ship engine loading conditions</w:t>
      </w:r>
      <w:r>
        <w:t xml:space="preserve"> without fixing the WHRS design</w:t>
      </w:r>
      <w:r w:rsidRPr="004D7E62">
        <w:t xml:space="preserve">. It was seen that the best performance of the ship’s WHRS was located in the higher engine loading region (i.e. above 75% MCR); this is caused by the amount and quality of the waste </w:t>
      </w:r>
      <w:r w:rsidR="00E0790D">
        <w:t>heat in the engine exhaust gas.</w:t>
      </w:r>
      <w:r>
        <w:t xml:space="preserve"> Moreover, it was observed that</w:t>
      </w:r>
      <w:r w:rsidRPr="004D7E62">
        <w:t xml:space="preserve"> an ORC WHRS could save up to a maximum of around </w:t>
      </w:r>
      <w:r>
        <w:t>77</w:t>
      </w:r>
      <w:r w:rsidRPr="004D7E62">
        <w:t>,</w:t>
      </w:r>
      <w:r w:rsidR="00113E05">
        <w:t>3</w:t>
      </w:r>
      <w:r w:rsidRPr="004D7E62">
        <w:t xml:space="preserve">00 </w:t>
      </w:r>
      <w:r>
        <w:t>tonne</w:t>
      </w:r>
      <w:r w:rsidRPr="004D7E62">
        <w:t>s of CO</w:t>
      </w:r>
      <w:r w:rsidRPr="004D7E62">
        <w:rPr>
          <w:vertAlign w:val="subscript"/>
        </w:rPr>
        <w:t>2</w:t>
      </w:r>
      <w:r>
        <w:rPr>
          <w:vertAlign w:val="subscript"/>
        </w:rPr>
        <w:t xml:space="preserve"> </w:t>
      </w:r>
      <w:r>
        <w:t>in the ship’s operating life, a</w:t>
      </w:r>
      <w:r w:rsidRPr="004D7E62">
        <w:t xml:space="preserve"> </w:t>
      </w:r>
      <w:r>
        <w:t>16.7</w:t>
      </w:r>
      <w:r w:rsidRPr="004D7E62">
        <w:t xml:space="preserve">% improvement over what can </w:t>
      </w:r>
      <w:r w:rsidR="001A7107">
        <w:t xml:space="preserve">be </w:t>
      </w:r>
      <w:r w:rsidRPr="004D7E62">
        <w:t>deliver</w:t>
      </w:r>
      <w:r w:rsidR="001A7107">
        <w:t>ed by water</w:t>
      </w:r>
      <w:r w:rsidR="00875BA5">
        <w:t xml:space="preserve"> based </w:t>
      </w:r>
      <w:r w:rsidR="00875BA5">
        <w:lastRenderedPageBreak/>
        <w:t>RC</w:t>
      </w:r>
      <w:r w:rsidRPr="004D7E62">
        <w:t>.</w:t>
      </w:r>
      <w:r w:rsidR="002E50D1">
        <w:t xml:space="preserve"> </w:t>
      </w:r>
      <w:r w:rsidRPr="004D7E62">
        <w:t>Furthermore, it was demonstrated that an ORC WHRS</w:t>
      </w:r>
      <w:r>
        <w:t xml:space="preserve"> (except for toluene) </w:t>
      </w:r>
      <w:r w:rsidRPr="004D7E62">
        <w:t>can outperform the traditional water RC WHRS over the full range of the ship’s loading conditions. Still</w:t>
      </w:r>
      <w:r w:rsidR="001A7107">
        <w:t>,</w:t>
      </w:r>
      <w:r w:rsidRPr="004D7E62">
        <w:t xml:space="preserve"> it is important to consider that the</w:t>
      </w:r>
      <w:r>
        <w:t xml:space="preserve"> </w:t>
      </w:r>
      <w:r w:rsidRPr="004D7E62">
        <w:t>large mass flow rates</w:t>
      </w:r>
      <w:r>
        <w:rPr>
          <w:szCs w:val="18"/>
        </w:rPr>
        <w:t xml:space="preserve"> </w:t>
      </w:r>
      <w:r w:rsidR="001A7107">
        <w:rPr>
          <w:szCs w:val="18"/>
        </w:rPr>
        <w:t xml:space="preserve">of </w:t>
      </w:r>
      <w:r w:rsidR="001A7107">
        <w:t>organic fluids</w:t>
      </w:r>
      <w:r w:rsidR="001A7107" w:rsidRPr="004D7E62">
        <w:t xml:space="preserve"> </w:t>
      </w:r>
      <w:r w:rsidRPr="004D7E62">
        <w:t xml:space="preserve">will require more space inside the ship, and </w:t>
      </w:r>
      <w:r w:rsidR="001A7107">
        <w:t>in addition</w:t>
      </w:r>
      <w:r w:rsidRPr="004D7E62">
        <w:t xml:space="preserve"> there will be an installation cost increase due to the flammable and toxic characteristics of </w:t>
      </w:r>
      <w:r w:rsidR="001A7107">
        <w:t>such</w:t>
      </w:r>
      <w:r w:rsidRPr="004D7E62">
        <w:t xml:space="preserve"> fluids</w:t>
      </w:r>
      <w:r w:rsidRPr="00170DA0">
        <w:rPr>
          <w:szCs w:val="18"/>
        </w:rPr>
        <w:t>.</w:t>
      </w:r>
    </w:p>
    <w:p w:rsidR="003E33C9" w:rsidRDefault="003E33C9" w:rsidP="00916003">
      <w:pPr>
        <w:pStyle w:val="Heading1"/>
        <w:tabs>
          <w:tab w:val="center" w:pos="3966"/>
        </w:tabs>
      </w:pPr>
      <w:r>
        <w:t>References</w:t>
      </w:r>
    </w:p>
    <w:p w:rsidR="00916003" w:rsidRPr="00916003" w:rsidRDefault="003E33C9" w:rsidP="008A5ECC">
      <w:pPr>
        <w:pStyle w:val="References"/>
        <w:divId w:val="1573732318"/>
        <w:rPr>
          <w:noProof/>
        </w:rPr>
      </w:pPr>
      <w:r>
        <w:fldChar w:fldCharType="begin" w:fldLock="1"/>
      </w:r>
      <w:r>
        <w:instrText xml:space="preserve">ADDIN Mendeley Bibliography CSL_BIBLIOGRAPHY </w:instrText>
      </w:r>
      <w:r>
        <w:fldChar w:fldCharType="separate"/>
      </w:r>
      <w:r w:rsidR="00916003" w:rsidRPr="00916003">
        <w:rPr>
          <w:noProof/>
        </w:rPr>
        <w:t>Allan A. 2015. Enclosed Spaces - management and training. Alert.:6.</w:t>
      </w:r>
    </w:p>
    <w:p w:rsidR="00916003" w:rsidRPr="00916003" w:rsidRDefault="00916003" w:rsidP="008A5ECC">
      <w:pPr>
        <w:pStyle w:val="References"/>
        <w:divId w:val="1573732318"/>
        <w:rPr>
          <w:noProof/>
        </w:rPr>
      </w:pPr>
      <w:r w:rsidRPr="00916003">
        <w:rPr>
          <w:noProof/>
        </w:rPr>
        <w:t>Alvik S, Eide MS, Endresen Ø, Hoffmann P, Longva T. 2010. Pathways to low carbon shipping . Abatement potential towards 2030. Høvik.</w:t>
      </w:r>
    </w:p>
    <w:p w:rsidR="00916003" w:rsidRPr="00916003" w:rsidRDefault="00916003" w:rsidP="008A5ECC">
      <w:pPr>
        <w:pStyle w:val="References"/>
        <w:divId w:val="1573732318"/>
        <w:rPr>
          <w:noProof/>
        </w:rPr>
      </w:pPr>
      <w:r w:rsidRPr="00916003">
        <w:rPr>
          <w:noProof/>
        </w:rPr>
        <w:t>Appleby WG, Avery WH, Meerbott WK. 1947. Kinetics and Mechanism of the Thermal Decomposition of n-Heptane. Journal of the American Chemical Society. 69:2279–2285.</w:t>
      </w:r>
    </w:p>
    <w:p w:rsidR="00916003" w:rsidRPr="00916003" w:rsidRDefault="00916003" w:rsidP="008A5ECC">
      <w:pPr>
        <w:pStyle w:val="References"/>
        <w:divId w:val="1573732318"/>
        <w:rPr>
          <w:noProof/>
        </w:rPr>
      </w:pPr>
      <w:r w:rsidRPr="00916003">
        <w:rPr>
          <w:noProof/>
        </w:rPr>
        <w:t>Balaji R, Yaakob O. 2012. An analysis of shipboard waste heat availability for ballast water treatment. Journal of Marine Engineering and Technology. 11:15–29.</w:t>
      </w:r>
    </w:p>
    <w:p w:rsidR="00916003" w:rsidRPr="00916003" w:rsidRDefault="00916003" w:rsidP="008A5ECC">
      <w:pPr>
        <w:pStyle w:val="References"/>
        <w:divId w:val="1573732318"/>
        <w:rPr>
          <w:noProof/>
        </w:rPr>
      </w:pPr>
      <w:r w:rsidRPr="00916003">
        <w:rPr>
          <w:noProof/>
        </w:rPr>
        <w:t>BCS Incorporated. 2008. Waste Heat Recovery: Technology and Opportunities in U.S. Industry. Laurel.</w:t>
      </w:r>
    </w:p>
    <w:p w:rsidR="00916003" w:rsidRPr="00916003" w:rsidRDefault="00916003" w:rsidP="008A5ECC">
      <w:pPr>
        <w:pStyle w:val="References"/>
        <w:divId w:val="1573732318"/>
        <w:rPr>
          <w:noProof/>
        </w:rPr>
      </w:pPr>
      <w:r w:rsidRPr="00916003">
        <w:rPr>
          <w:noProof/>
        </w:rPr>
        <w:t>Bell IH, Wronski J, Quoilin S, Lemort V. 2014. Pure and Pseudo-pure Fluid Thermophysical Property Evaluation and the Open-Source Thermophysical Property Library CoolProp. Industrial &amp; engineering chemistry research. 53:2498–2508.</w:t>
      </w:r>
    </w:p>
    <w:p w:rsidR="00916003" w:rsidRPr="00916003" w:rsidRDefault="00916003" w:rsidP="008A5ECC">
      <w:pPr>
        <w:pStyle w:val="References"/>
        <w:divId w:val="1573732318"/>
        <w:rPr>
          <w:noProof/>
        </w:rPr>
      </w:pPr>
      <w:r w:rsidRPr="00916003">
        <w:rPr>
          <w:noProof/>
        </w:rPr>
        <w:t>Benvenuto G, Campora U, Trucco A. 2014. Comparison of ship plants layouts for power propulsion systems with energy recovery. In: 12th International Naval Engineering Conference and Exhibition. Amsterdam: Institute of Marine Engineering, Science and Technology; p. 329–340.</w:t>
      </w:r>
    </w:p>
    <w:p w:rsidR="00916003" w:rsidRPr="00916003" w:rsidRDefault="00916003" w:rsidP="008A5ECC">
      <w:pPr>
        <w:pStyle w:val="References"/>
        <w:divId w:val="1573732318"/>
        <w:rPr>
          <w:noProof/>
        </w:rPr>
      </w:pPr>
      <w:r w:rsidRPr="00875BA5">
        <w:rPr>
          <w:noProof/>
          <w:lang w:val="es-MX"/>
        </w:rPr>
        <w:t xml:space="preserve">Bilgen E, Ducarroir M, Foex M, Sibieude F, Trombe F. 1977. </w:t>
      </w:r>
      <w:r w:rsidRPr="00916003">
        <w:rPr>
          <w:noProof/>
        </w:rPr>
        <w:t>Use of solar energy for direct and two-step water decomposition cycles. International Journal of Hydrogen Energy. 2:251–257.</w:t>
      </w:r>
    </w:p>
    <w:p w:rsidR="00916003" w:rsidRPr="00916003" w:rsidRDefault="00916003" w:rsidP="008A5ECC">
      <w:pPr>
        <w:pStyle w:val="References"/>
        <w:divId w:val="1573732318"/>
        <w:rPr>
          <w:noProof/>
        </w:rPr>
      </w:pPr>
      <w:r w:rsidRPr="00916003">
        <w:rPr>
          <w:noProof/>
        </w:rPr>
        <w:t>Board of Governors of the Federal Reserve System. 2015. Foreign Exchange Rates - H.10 [Internet]. [cited 2015 May 23]:1. Available from: http://www.federalreserve.gov/releases/h10/current/</w:t>
      </w:r>
    </w:p>
    <w:p w:rsidR="00916003" w:rsidRPr="00916003" w:rsidRDefault="00916003" w:rsidP="008A5ECC">
      <w:pPr>
        <w:pStyle w:val="References"/>
        <w:divId w:val="1573732318"/>
        <w:rPr>
          <w:noProof/>
        </w:rPr>
      </w:pPr>
      <w:r w:rsidRPr="00916003">
        <w:rPr>
          <w:noProof/>
        </w:rPr>
        <w:lastRenderedPageBreak/>
        <w:t>Boretti A. 2012. Transient operation of internal combustion engines with Rankine waste heat recovery systems. Applied Thermal Engineering. 48:18–23.</w:t>
      </w:r>
    </w:p>
    <w:p w:rsidR="00916003" w:rsidRPr="00916003" w:rsidRDefault="00916003" w:rsidP="008A5ECC">
      <w:pPr>
        <w:pStyle w:val="References"/>
        <w:divId w:val="1573732318"/>
        <w:rPr>
          <w:noProof/>
        </w:rPr>
      </w:pPr>
      <w:r w:rsidRPr="00916003">
        <w:rPr>
          <w:noProof/>
        </w:rPr>
        <w:t>Brioukov MG, Park J, Lin MC. 1999. Kinetic modeling of benzene decomposition near 1000 K: The effects of toluene impurity. International Journal of Chemical Kinetics. 31:577–582.</w:t>
      </w:r>
    </w:p>
    <w:p w:rsidR="00916003" w:rsidRPr="00916003" w:rsidRDefault="00916003" w:rsidP="008A5ECC">
      <w:pPr>
        <w:pStyle w:val="References"/>
        <w:divId w:val="1573732318"/>
        <w:rPr>
          <w:noProof/>
        </w:rPr>
      </w:pPr>
      <w:r w:rsidRPr="00916003">
        <w:rPr>
          <w:noProof/>
        </w:rPr>
        <w:t>Bronicki LY. 2000. Organic Rankine Cycle Power Plant For Waste Heat Recovery. :6.</w:t>
      </w:r>
    </w:p>
    <w:p w:rsidR="00916003" w:rsidRPr="00916003" w:rsidRDefault="00916003" w:rsidP="008A5ECC">
      <w:pPr>
        <w:pStyle w:val="References"/>
        <w:divId w:val="1573732318"/>
        <w:rPr>
          <w:noProof/>
        </w:rPr>
      </w:pPr>
      <w:r w:rsidRPr="00916003">
        <w:rPr>
          <w:noProof/>
        </w:rPr>
        <w:t>Bronicki LY. 2010. Organic Rankine Cycle Power Plant For Waste Heat. Ormat Technologies Inc [Internet]. [cited 2012 Aug 23]:5. Available from: http://www.ormat.com/research/papers/organic-rankine-cycle-power-plant-waste-heat-recovery</w:t>
      </w:r>
    </w:p>
    <w:p w:rsidR="00916003" w:rsidRPr="00916003" w:rsidRDefault="00916003" w:rsidP="008A5ECC">
      <w:pPr>
        <w:pStyle w:val="References"/>
        <w:divId w:val="1573732318"/>
        <w:rPr>
          <w:noProof/>
        </w:rPr>
      </w:pPr>
      <w:r w:rsidRPr="00916003">
        <w:rPr>
          <w:noProof/>
        </w:rPr>
        <w:t>Bunker Index. 2015. Bunker Index. Prices [Internet]. [cited 2014 Dec 5]:1. Available from: http://www.bunkerindex.com/prices/bixfree.php?priceindex_id=4#Description</w:t>
      </w:r>
    </w:p>
    <w:p w:rsidR="00916003" w:rsidRPr="00916003" w:rsidRDefault="00916003" w:rsidP="008A5ECC">
      <w:pPr>
        <w:pStyle w:val="References"/>
        <w:divId w:val="1573732318"/>
        <w:rPr>
          <w:noProof/>
        </w:rPr>
      </w:pPr>
      <w:r w:rsidRPr="00916003">
        <w:rPr>
          <w:noProof/>
        </w:rPr>
        <w:t>Burel F, Taccani R, Zuliani N. 2013. Improving sustainability of maritime transport through utilization of Liquefied Natural Gas (LNG) for propulsion. Energy. 57:412–420.</w:t>
      </w:r>
    </w:p>
    <w:p w:rsidR="00916003" w:rsidRPr="00916003" w:rsidRDefault="00916003" w:rsidP="008A5ECC">
      <w:pPr>
        <w:pStyle w:val="References"/>
        <w:divId w:val="1573732318"/>
        <w:rPr>
          <w:noProof/>
        </w:rPr>
      </w:pPr>
      <w:r w:rsidRPr="00916003">
        <w:rPr>
          <w:noProof/>
        </w:rPr>
        <w:t>Butcher CJ, Reddy BV. 2007. Second law analysis of a waste heat recovery based power generation system. International Journal of Heat and Mass Transfer. 50:2355–2363.</w:t>
      </w:r>
    </w:p>
    <w:p w:rsidR="00916003" w:rsidRPr="00916003" w:rsidRDefault="00916003" w:rsidP="008A5ECC">
      <w:pPr>
        <w:pStyle w:val="References"/>
        <w:divId w:val="1573732318"/>
        <w:rPr>
          <w:noProof/>
        </w:rPr>
      </w:pPr>
      <w:r w:rsidRPr="00916003">
        <w:rPr>
          <w:noProof/>
        </w:rPr>
        <w:t>Chen H, Goswami DY, Stefanakos EK. 2010. A review of thermodynamic cycles and working fluids for the conversion of low-grade heat. Renewable and Sustainable Energy Reviews. 14:3059–3067.</w:t>
      </w:r>
    </w:p>
    <w:p w:rsidR="00916003" w:rsidRPr="00916003" w:rsidRDefault="00916003" w:rsidP="008A5ECC">
      <w:pPr>
        <w:pStyle w:val="References"/>
        <w:divId w:val="1573732318"/>
        <w:rPr>
          <w:noProof/>
        </w:rPr>
      </w:pPr>
      <w:r w:rsidRPr="00916003">
        <w:rPr>
          <w:noProof/>
        </w:rPr>
        <w:t>Cunningham P. 2002. Waste Heat/Cogen Opportunities in the Cement Industry. Cogeneration &amp; Distributed Generation Journal. 17:31–51.</w:t>
      </w:r>
    </w:p>
    <w:p w:rsidR="00916003" w:rsidRPr="00916003" w:rsidRDefault="00916003" w:rsidP="008A5ECC">
      <w:pPr>
        <w:pStyle w:val="References"/>
        <w:divId w:val="1573732318"/>
        <w:rPr>
          <w:noProof/>
        </w:rPr>
      </w:pPr>
      <w:r w:rsidRPr="00916003">
        <w:rPr>
          <w:noProof/>
        </w:rPr>
        <w:t>Dharmalingam P, Kumar JN, Suryanarayanan R, Kumar SS. 2004. Waste Heat Recovery. In: The National Certification Examination for Energy Managers and Energy Auditors. 2nd ed. New Delhi: Bureau of Energy Efficiency; p. 1–18.</w:t>
      </w:r>
    </w:p>
    <w:p w:rsidR="00916003" w:rsidRPr="00916003" w:rsidRDefault="00916003" w:rsidP="008A5ECC">
      <w:pPr>
        <w:pStyle w:val="References"/>
        <w:divId w:val="1573732318"/>
        <w:rPr>
          <w:noProof/>
        </w:rPr>
      </w:pPr>
      <w:r w:rsidRPr="00916003">
        <w:rPr>
          <w:noProof/>
        </w:rPr>
        <w:t>Dimopoulos GG, Georgopoulou CA, Stefanatos IC, Zymaris AS, Kakalis NMP. 2014. A general-purpose process modelling framework for marine energy systems. Energy Conversion and Management. 86:325–339.</w:t>
      </w:r>
    </w:p>
    <w:p w:rsidR="00916003" w:rsidRPr="00916003" w:rsidRDefault="00916003" w:rsidP="008A5ECC">
      <w:pPr>
        <w:pStyle w:val="References"/>
        <w:divId w:val="1573732318"/>
        <w:rPr>
          <w:noProof/>
        </w:rPr>
      </w:pPr>
      <w:r w:rsidRPr="00916003">
        <w:rPr>
          <w:noProof/>
        </w:rPr>
        <w:t>Dinanno LR, Dibella FA, Koplow MD. 1983. An RC-1 Organic Rankine Bottoming Cycle for an Adiabatic Diesel Engine. Cleveland.</w:t>
      </w:r>
    </w:p>
    <w:p w:rsidR="00916003" w:rsidRPr="00916003" w:rsidRDefault="00916003" w:rsidP="008A5ECC">
      <w:pPr>
        <w:pStyle w:val="References"/>
        <w:divId w:val="1573732318"/>
        <w:rPr>
          <w:noProof/>
        </w:rPr>
      </w:pPr>
      <w:r w:rsidRPr="00916003">
        <w:rPr>
          <w:noProof/>
        </w:rPr>
        <w:t>DiPippo R. 2004. Second Law assessment of binary plants generating power from low-temperature geothermal fluids. Geothermics. 33:565–586.</w:t>
      </w:r>
    </w:p>
    <w:p w:rsidR="00916003" w:rsidRPr="00916003" w:rsidRDefault="00916003" w:rsidP="008A5ECC">
      <w:pPr>
        <w:pStyle w:val="References"/>
        <w:divId w:val="1573732318"/>
        <w:rPr>
          <w:noProof/>
        </w:rPr>
      </w:pPr>
      <w:r w:rsidRPr="00916003">
        <w:rPr>
          <w:noProof/>
        </w:rPr>
        <w:lastRenderedPageBreak/>
        <w:t>Dolz V, Novella R, García A, Sánchez J. 2012. HD Diesel engine equipped with a bottoming Rankine cycle as a waste heat recovery system. Part 1: Study and analysis of the waste heat energy. Applied Thermal Engineering. 36:269–278.</w:t>
      </w:r>
    </w:p>
    <w:p w:rsidR="00916003" w:rsidRPr="00916003" w:rsidRDefault="00916003" w:rsidP="008A5ECC">
      <w:pPr>
        <w:pStyle w:val="References"/>
        <w:divId w:val="1573732318"/>
        <w:rPr>
          <w:noProof/>
        </w:rPr>
      </w:pPr>
      <w:r w:rsidRPr="00916003">
        <w:rPr>
          <w:noProof/>
        </w:rPr>
        <w:t>Environment Agency. 2011. Technical Guidance Note: Monitoring VOCs in Stack Gas Emissions. Rotherham.</w:t>
      </w:r>
    </w:p>
    <w:p w:rsidR="00916003" w:rsidRPr="00916003" w:rsidRDefault="00916003" w:rsidP="008A5ECC">
      <w:pPr>
        <w:pStyle w:val="References"/>
        <w:divId w:val="1573732318"/>
        <w:rPr>
          <w:noProof/>
        </w:rPr>
      </w:pPr>
      <w:r w:rsidRPr="00916003">
        <w:rPr>
          <w:noProof/>
        </w:rPr>
        <w:t>Environmental Protection Agency. 2013. Global Warming Potentials and Ozone Depletion Potentials of Some Ozone-Depleting Substances and Alternatives Listed by the SNAP Program. Ozone Layer Protection [Internet]. [cited 2013 Dec 18]:1. Available from: http://www.epa.gov/ozone/snap/subsgwps.html</w:t>
      </w:r>
    </w:p>
    <w:p w:rsidR="00916003" w:rsidRPr="00916003" w:rsidRDefault="00916003" w:rsidP="008A5ECC">
      <w:pPr>
        <w:pStyle w:val="References"/>
        <w:divId w:val="1573732318"/>
        <w:rPr>
          <w:noProof/>
        </w:rPr>
      </w:pPr>
      <w:r w:rsidRPr="00916003">
        <w:rPr>
          <w:noProof/>
        </w:rPr>
        <w:t>European Central Bank. 2013. Pound sterling (GBP). Exchange Rates [Internet]. [cited 2015 Jun 15]:1. Available from: http://www.ecb.int/stats/exchange/eurofxref/html/eurofxref-graph-gbp.en.html</w:t>
      </w:r>
    </w:p>
    <w:p w:rsidR="00916003" w:rsidRPr="00916003" w:rsidRDefault="00916003" w:rsidP="008A5ECC">
      <w:pPr>
        <w:pStyle w:val="References"/>
        <w:divId w:val="1573732318"/>
        <w:rPr>
          <w:noProof/>
        </w:rPr>
      </w:pPr>
      <w:r w:rsidRPr="00916003">
        <w:rPr>
          <w:noProof/>
        </w:rPr>
        <w:t>European Committee for Standardization. 2013. EN590:2013: Automotive fuels. Diesel. Requirements and test methods. :22.</w:t>
      </w:r>
    </w:p>
    <w:p w:rsidR="00916003" w:rsidRPr="00916003" w:rsidRDefault="00916003" w:rsidP="008A5ECC">
      <w:pPr>
        <w:pStyle w:val="References"/>
        <w:divId w:val="1573732318"/>
        <w:rPr>
          <w:noProof/>
        </w:rPr>
      </w:pPr>
      <w:r w:rsidRPr="00916003">
        <w:rPr>
          <w:noProof/>
        </w:rPr>
        <w:t>Feng L, Gao W, Qin H, Xie B. 2010. Heat Recovery from Internal Combustion Engine with Rankine Cycle. In: 2010 Asia-Pacific Power and Energy Engineering Conference. Chengdu: IEEE; p. 1–4.</w:t>
      </w:r>
    </w:p>
    <w:p w:rsidR="00916003" w:rsidRPr="00916003" w:rsidRDefault="00916003" w:rsidP="008A5ECC">
      <w:pPr>
        <w:pStyle w:val="References"/>
        <w:divId w:val="1573732318"/>
        <w:rPr>
          <w:noProof/>
        </w:rPr>
      </w:pPr>
      <w:r w:rsidRPr="00916003">
        <w:rPr>
          <w:noProof/>
        </w:rPr>
        <w:t>Fischer J. 2011. Comparison of trilateral cycles and organic Rankine cycles. Energy. 36:6208–6219.</w:t>
      </w:r>
    </w:p>
    <w:p w:rsidR="00025818" w:rsidRPr="00CE5CE1" w:rsidRDefault="00025818" w:rsidP="008A5ECC">
      <w:pPr>
        <w:pStyle w:val="References"/>
        <w:divId w:val="1573732318"/>
        <w:rPr>
          <w:noProof/>
        </w:rPr>
      </w:pPr>
      <w:r w:rsidRPr="008D245F">
        <w:rPr>
          <w:color w:val="000000"/>
          <w:shd w:val="clear" w:color="auto" w:fill="D5E2D4"/>
        </w:rPr>
        <w:t>Forster, P., V. Ramaswamy, P. Artaxo, T. Berntsen, R. Betts, D.W. Fahey, J. Haywood, J. Lean, D.C. Lowe, G. Myhre, J. Nganga, R. Prinn, G. Raga, M. Schulz and R. Van Dorland, 2007: Changes in Atmospheric Constituents and in Radiative Forcing. In: Climate Change 2007: The Physical Science Basis. Contribution of Working Group I to the Fourth Assessment Report of the Intergovernmental Panel on Climate Change [Solomon, S., D. Qin, M. Manning, Z. Chen, M. Marquis, K.B. Averyt, M.Tignor and H.L. Miller (eds.)]. Cambridge University Press, Cambridge, United Kingdom and New York, NY, USA, p. 129-234</w:t>
      </w:r>
      <w:r>
        <w:rPr>
          <w:rFonts w:ascii="Arial" w:hAnsi="Arial" w:cs="Arial"/>
          <w:color w:val="000000"/>
          <w:sz w:val="18"/>
          <w:szCs w:val="18"/>
          <w:shd w:val="clear" w:color="auto" w:fill="D5E2D4"/>
        </w:rPr>
        <w:t>.</w:t>
      </w:r>
      <w:r w:rsidRPr="00CE5CE1">
        <w:rPr>
          <w:noProof/>
        </w:rPr>
        <w:t xml:space="preserve"> </w:t>
      </w:r>
    </w:p>
    <w:p w:rsidR="00916003" w:rsidRPr="00916003" w:rsidRDefault="00916003" w:rsidP="008A5ECC">
      <w:pPr>
        <w:pStyle w:val="References"/>
        <w:divId w:val="1573732318"/>
        <w:rPr>
          <w:noProof/>
        </w:rPr>
      </w:pPr>
      <w:r w:rsidRPr="00916003">
        <w:rPr>
          <w:noProof/>
        </w:rPr>
        <w:t>Hatchman JC. 1991. Steam cycles for waste heat recovery: A case study. Research and Development Journal. 7:32–38.</w:t>
      </w:r>
    </w:p>
    <w:p w:rsidR="00916003" w:rsidRPr="00916003" w:rsidRDefault="00916003" w:rsidP="008A5ECC">
      <w:pPr>
        <w:pStyle w:val="References"/>
        <w:divId w:val="1573732318"/>
        <w:rPr>
          <w:noProof/>
        </w:rPr>
      </w:pPr>
      <w:r w:rsidRPr="00916003">
        <w:rPr>
          <w:noProof/>
        </w:rPr>
        <w:t>Heberle F, Weith T, Preißinger M, Brüggemann D. 2013. Experimental Investigations of Heat Transfer Characteristics and Thermal Stability of Siloxanes. :35.</w:t>
      </w:r>
    </w:p>
    <w:p w:rsidR="00916003" w:rsidRPr="00916003" w:rsidRDefault="00916003" w:rsidP="008A5ECC">
      <w:pPr>
        <w:pStyle w:val="References"/>
        <w:divId w:val="1573732318"/>
        <w:rPr>
          <w:noProof/>
        </w:rPr>
      </w:pPr>
      <w:r w:rsidRPr="00916003">
        <w:rPr>
          <w:noProof/>
        </w:rPr>
        <w:t>Hesselgreaves JE. 2001. Compact Heat Exchangers. 1st ed. Oxford: Pergamon.</w:t>
      </w:r>
    </w:p>
    <w:p w:rsidR="00916003" w:rsidRPr="00916003" w:rsidRDefault="00916003" w:rsidP="008A5ECC">
      <w:pPr>
        <w:pStyle w:val="References"/>
        <w:divId w:val="1573732318"/>
        <w:rPr>
          <w:noProof/>
        </w:rPr>
      </w:pPr>
      <w:r w:rsidRPr="00916003">
        <w:rPr>
          <w:noProof/>
        </w:rPr>
        <w:t xml:space="preserve">Hnat G, Patten JSS, Bartone LMM, Cutting JCC, Hnat JG. 1982. Industrial Heat Recovery With Organic Rankine Cycles. In: Proceedings from the Fourth </w:t>
      </w:r>
      <w:r w:rsidRPr="00916003">
        <w:rPr>
          <w:noProof/>
        </w:rPr>
        <w:lastRenderedPageBreak/>
        <w:t>Industrial Energy Technology Conference. Houston: Energy Systems Laboratory of the Texas A&amp;M University System; p. 524–532.</w:t>
      </w:r>
    </w:p>
    <w:p w:rsidR="00916003" w:rsidRPr="00916003" w:rsidRDefault="00916003" w:rsidP="008A5ECC">
      <w:pPr>
        <w:pStyle w:val="References"/>
        <w:divId w:val="1573732318"/>
        <w:rPr>
          <w:noProof/>
        </w:rPr>
      </w:pPr>
      <w:r w:rsidRPr="00916003">
        <w:rPr>
          <w:noProof/>
        </w:rPr>
        <w:t>Huijbregts WMM, Leferink RGI. 2004. Latest advances in the understanding of acid dewpoint corrosion: corrosion and stress corrosion cracking in combustion gas condensates. Anti-Corrosion Methods and Materials. 51:173–188.</w:t>
      </w:r>
    </w:p>
    <w:p w:rsidR="00916003" w:rsidRPr="00916003" w:rsidRDefault="00916003" w:rsidP="008A5ECC">
      <w:pPr>
        <w:pStyle w:val="References"/>
        <w:divId w:val="1573732318"/>
        <w:rPr>
          <w:noProof/>
        </w:rPr>
      </w:pPr>
      <w:r w:rsidRPr="00916003">
        <w:rPr>
          <w:noProof/>
        </w:rPr>
        <w:t>International Energy Agency. 2009. Transport, Energy and CO2. Paris: International Energy Agency (IEA).</w:t>
      </w:r>
    </w:p>
    <w:p w:rsidR="00916003" w:rsidRPr="00916003" w:rsidRDefault="00916003" w:rsidP="008A5ECC">
      <w:pPr>
        <w:pStyle w:val="References"/>
        <w:divId w:val="1573732318"/>
        <w:rPr>
          <w:noProof/>
        </w:rPr>
      </w:pPr>
      <w:r w:rsidRPr="00916003">
        <w:rPr>
          <w:noProof/>
        </w:rPr>
        <w:t>International Maritime Organization. 2009a. MEPC 59/Inf. 10. [place unknown].</w:t>
      </w:r>
    </w:p>
    <w:p w:rsidR="00916003" w:rsidRPr="00916003" w:rsidRDefault="00916003" w:rsidP="008A5ECC">
      <w:pPr>
        <w:pStyle w:val="References"/>
        <w:divId w:val="1573732318"/>
        <w:rPr>
          <w:noProof/>
        </w:rPr>
      </w:pPr>
      <w:r w:rsidRPr="00916003">
        <w:rPr>
          <w:noProof/>
        </w:rPr>
        <w:t>International Maritime Organization. 2009b. SOLAS, Consolidated Edition 2009. 5th ed. London: IMO Publishing.</w:t>
      </w:r>
    </w:p>
    <w:p w:rsidR="00916003" w:rsidRPr="00916003" w:rsidRDefault="00916003" w:rsidP="008A5ECC">
      <w:pPr>
        <w:pStyle w:val="References"/>
        <w:divId w:val="1573732318"/>
        <w:rPr>
          <w:noProof/>
        </w:rPr>
      </w:pPr>
      <w:r w:rsidRPr="00916003">
        <w:rPr>
          <w:noProof/>
        </w:rPr>
        <w:t>International Maritime Organization. 2009c. MEPC.1/Circ.681 - Interim Guidelines On The Method Of Calculation Of The Energy Efficiency Design Index For New Ships. London: International Maritime Organization.</w:t>
      </w:r>
    </w:p>
    <w:p w:rsidR="00916003" w:rsidRPr="00916003" w:rsidRDefault="00916003" w:rsidP="008A5ECC">
      <w:pPr>
        <w:pStyle w:val="References"/>
        <w:divId w:val="1573732318"/>
        <w:rPr>
          <w:noProof/>
        </w:rPr>
      </w:pPr>
      <w:r w:rsidRPr="00916003">
        <w:rPr>
          <w:noProof/>
        </w:rPr>
        <w:t>International Maritime Organization. 2013. Sulphur oxides (SOx) – Regulation 14. Air Pollution and GHG Emissions [Internet]. [cited 2013 Apr 24]:1. Available from: http://www.imo.org/ourwork/environment/pollutionprevention/airpollution/pages/sulphur-oxides-(sox)-–-regulation-14.aspx</w:t>
      </w:r>
    </w:p>
    <w:p w:rsidR="00916003" w:rsidRPr="00916003" w:rsidRDefault="00916003" w:rsidP="008A5ECC">
      <w:pPr>
        <w:pStyle w:val="References"/>
        <w:divId w:val="1573732318"/>
        <w:rPr>
          <w:noProof/>
        </w:rPr>
      </w:pPr>
      <w:r w:rsidRPr="00875BA5">
        <w:rPr>
          <w:noProof/>
          <w:lang w:val="es-MX"/>
        </w:rPr>
        <w:t xml:space="preserve">Larsen U, Haglind F, Oskar S. 2013. </w:t>
      </w:r>
      <w:r w:rsidRPr="00916003">
        <w:rPr>
          <w:noProof/>
        </w:rPr>
        <w:t>A comparison of advanced heat recovery power cycles in a combined cycle for large ships. In: The 26th International Conference on Efficiency, Cost, Optimization, Simulation and Environmental Impact of Energy Systems. Guilin: Chinese Society of Engineering Thermophysics; p. 13.</w:t>
      </w:r>
    </w:p>
    <w:p w:rsidR="00916003" w:rsidRPr="00916003" w:rsidRDefault="00916003" w:rsidP="008A5ECC">
      <w:pPr>
        <w:pStyle w:val="References"/>
        <w:divId w:val="1573732318"/>
        <w:rPr>
          <w:noProof/>
        </w:rPr>
      </w:pPr>
      <w:r w:rsidRPr="00916003">
        <w:rPr>
          <w:noProof/>
        </w:rPr>
        <w:t>Larsen U, Pierobon L, Haglind F, Gabrielii C. 2013. Design and optimisation of organic Rankine cycles for waste heat recovery in marine applications using the principles of natural selection. Energy. 55:803–812.</w:t>
      </w:r>
    </w:p>
    <w:p w:rsidR="00916003" w:rsidRPr="00916003" w:rsidRDefault="00916003" w:rsidP="008A5ECC">
      <w:pPr>
        <w:pStyle w:val="References"/>
        <w:divId w:val="1573732318"/>
        <w:rPr>
          <w:noProof/>
        </w:rPr>
      </w:pPr>
      <w:r w:rsidRPr="00916003">
        <w:rPr>
          <w:noProof/>
        </w:rPr>
        <w:t>Lee D, Lee HK. 2013. Optimization of Organic Rankine Cycle to Recover Waste Heat of Marine Diesel Engine. In: ASME ORC 2013. Rotterdam; p. 1.</w:t>
      </w:r>
    </w:p>
    <w:p w:rsidR="00916003" w:rsidRPr="00916003" w:rsidRDefault="00916003" w:rsidP="008A5ECC">
      <w:pPr>
        <w:pStyle w:val="References"/>
        <w:divId w:val="1573732318"/>
        <w:rPr>
          <w:noProof/>
        </w:rPr>
      </w:pPr>
      <w:r w:rsidRPr="00916003">
        <w:rPr>
          <w:noProof/>
        </w:rPr>
        <w:t>Lemmon EW, Huber ML, McLinden MO. 2010. NIST Reference Fluid Thermodynamic and Transport Properties Database.</w:t>
      </w:r>
    </w:p>
    <w:p w:rsidR="00916003" w:rsidRPr="00916003" w:rsidRDefault="00916003" w:rsidP="008A5ECC">
      <w:pPr>
        <w:pStyle w:val="References"/>
        <w:divId w:val="1573732318"/>
        <w:rPr>
          <w:noProof/>
        </w:rPr>
      </w:pPr>
      <w:r w:rsidRPr="00916003">
        <w:rPr>
          <w:noProof/>
        </w:rPr>
        <w:t>Liu B-T, Chien K-H, Wang C-C. 2004. Effect of working fluids on organic Rankine cycle for waste heat recovery. Energy. 29:1207–1217.</w:t>
      </w:r>
    </w:p>
    <w:p w:rsidR="00916003" w:rsidRPr="00916003" w:rsidRDefault="00916003" w:rsidP="008A5ECC">
      <w:pPr>
        <w:pStyle w:val="References"/>
        <w:divId w:val="1573732318"/>
        <w:rPr>
          <w:noProof/>
        </w:rPr>
      </w:pPr>
      <w:r w:rsidRPr="00916003">
        <w:rPr>
          <w:noProof/>
        </w:rPr>
        <w:t>Livanos GA, Theotokatos G, Pagonis D-N. 2014. Techno-economic investigation of alternative propulsion plants for Ferries and RoRo ships. Energy Conversion and Management. 79:640–651.</w:t>
      </w:r>
    </w:p>
    <w:p w:rsidR="00916003" w:rsidRPr="00916003" w:rsidRDefault="00916003" w:rsidP="008A5ECC">
      <w:pPr>
        <w:pStyle w:val="References"/>
        <w:divId w:val="1573732318"/>
        <w:rPr>
          <w:noProof/>
        </w:rPr>
      </w:pPr>
      <w:r w:rsidRPr="00916003">
        <w:rPr>
          <w:noProof/>
        </w:rPr>
        <w:lastRenderedPageBreak/>
        <w:t>Maizza V, Maizza A. 1996. Working fluids in non-steady flows for waste energy recovery systems. Applied Thermal Engineering. 16:579–590.</w:t>
      </w:r>
    </w:p>
    <w:p w:rsidR="00916003" w:rsidRPr="00916003" w:rsidRDefault="00916003" w:rsidP="008A5ECC">
      <w:pPr>
        <w:pStyle w:val="References"/>
        <w:divId w:val="1573732318"/>
        <w:rPr>
          <w:noProof/>
        </w:rPr>
      </w:pPr>
      <w:r w:rsidRPr="00916003">
        <w:rPr>
          <w:noProof/>
        </w:rPr>
        <w:t>MAN Diesel &amp; Turbo. 2009. Soot Deposits and Fires in Exhaust gas Boilers. Copenhagen.</w:t>
      </w:r>
    </w:p>
    <w:p w:rsidR="00916003" w:rsidRPr="00916003" w:rsidRDefault="00916003" w:rsidP="008A5ECC">
      <w:pPr>
        <w:pStyle w:val="References"/>
        <w:divId w:val="1573732318"/>
        <w:rPr>
          <w:noProof/>
        </w:rPr>
      </w:pPr>
      <w:r w:rsidRPr="00916003">
        <w:rPr>
          <w:noProof/>
        </w:rPr>
        <w:t>MAN Diesel &amp; Turbo. 2012. Waste Heat Recovery System ( WHRS ) for Reduction of Fuel Consumption, Emission and EEDI. Copenhagen.</w:t>
      </w:r>
    </w:p>
    <w:p w:rsidR="00916003" w:rsidRPr="00916003" w:rsidRDefault="00916003" w:rsidP="008A5ECC">
      <w:pPr>
        <w:pStyle w:val="References"/>
        <w:divId w:val="1573732318"/>
        <w:rPr>
          <w:noProof/>
        </w:rPr>
      </w:pPr>
      <w:r w:rsidRPr="00916003">
        <w:rPr>
          <w:noProof/>
        </w:rPr>
        <w:t>MAN Diesel &amp; Turbo. 2014. Engine room and performance data for 12G95ME-C9.5-TII with part load engine control tuning (ECT) tuning. :9.</w:t>
      </w:r>
    </w:p>
    <w:p w:rsidR="00916003" w:rsidRPr="00916003" w:rsidRDefault="00916003" w:rsidP="008A5ECC">
      <w:pPr>
        <w:pStyle w:val="References"/>
        <w:divId w:val="1573732318"/>
        <w:rPr>
          <w:noProof/>
        </w:rPr>
      </w:pPr>
      <w:r w:rsidRPr="00916003">
        <w:rPr>
          <w:noProof/>
        </w:rPr>
        <w:t>Marine Engineers Review. 2014. Calentix converts heat to power. Marine Engineers Review.:10.</w:t>
      </w:r>
    </w:p>
    <w:p w:rsidR="00916003" w:rsidRPr="00916003" w:rsidRDefault="00916003" w:rsidP="008A5ECC">
      <w:pPr>
        <w:pStyle w:val="References"/>
        <w:divId w:val="1573732318"/>
        <w:rPr>
          <w:noProof/>
        </w:rPr>
      </w:pPr>
      <w:r w:rsidRPr="00916003">
        <w:rPr>
          <w:noProof/>
        </w:rPr>
        <w:t>Mlcak HA. 2004. An Introduction to the Kalina Cycle. In: Kielasa, L.; Weed GE, editor. The International Joint Power Generation Conference. New York: ASME International; p. 1–11.</w:t>
      </w:r>
    </w:p>
    <w:p w:rsidR="00916003" w:rsidRPr="00916003" w:rsidRDefault="00916003" w:rsidP="008A5ECC">
      <w:pPr>
        <w:pStyle w:val="References"/>
        <w:divId w:val="1573732318"/>
        <w:rPr>
          <w:noProof/>
        </w:rPr>
      </w:pPr>
      <w:r w:rsidRPr="00916003">
        <w:rPr>
          <w:noProof/>
        </w:rPr>
        <w:t>Moore J, Grimes R, Walsh E, O’Donovan A. 2014. Modelling the thermodynamic performance of a concentrated solar power plant with a novel modular air-cooled condenser. Energy. 69:378–391.</w:t>
      </w:r>
    </w:p>
    <w:p w:rsidR="00916003" w:rsidRPr="00916003" w:rsidRDefault="00916003" w:rsidP="008A5ECC">
      <w:pPr>
        <w:pStyle w:val="References"/>
        <w:divId w:val="1573732318"/>
        <w:rPr>
          <w:noProof/>
        </w:rPr>
      </w:pPr>
      <w:r w:rsidRPr="00916003">
        <w:rPr>
          <w:noProof/>
        </w:rPr>
        <w:t>Myhre G, Shindell D, Bréon F-M, Collins W, Fuglestvedt J, Huang J, Koch D, Lamarque J-F, Lee D, Mendoza B, et al. 2013. 2013: Anthropogenic and Natural Radiative Forcing. In: Stocker TF., Qin D., Plattner G-K, Tignor M;, Allen SK., Boschung J., Nauels A., Xia Y., Bex V., Midgley PM., editors. Climate Change 2013: The Physical Science Basis Contribution of Working Group I to the Fifth Assessment Report of the Intergovernmental Panel on Climate Change. 1st ed. Cambridge and New York: Cambridge University Press; p. 659–740.</w:t>
      </w:r>
    </w:p>
    <w:p w:rsidR="00916003" w:rsidRPr="00916003" w:rsidRDefault="00916003" w:rsidP="008A5ECC">
      <w:pPr>
        <w:pStyle w:val="References"/>
        <w:divId w:val="1573732318"/>
        <w:rPr>
          <w:noProof/>
        </w:rPr>
      </w:pPr>
      <w:r w:rsidRPr="00916003">
        <w:rPr>
          <w:noProof/>
        </w:rPr>
        <w:t>Nielsen RF, Haglind F, Larsen U. 2014. Design and modeling of an advanced marine machinery system including waste heat recovery and removal of sulphur oxides. Energy Conversion and Management.</w:t>
      </w:r>
    </w:p>
    <w:p w:rsidR="00916003" w:rsidRPr="00916003" w:rsidRDefault="00916003" w:rsidP="008A5ECC">
      <w:pPr>
        <w:pStyle w:val="References"/>
        <w:divId w:val="1573732318"/>
        <w:rPr>
          <w:noProof/>
        </w:rPr>
      </w:pPr>
      <w:r w:rsidRPr="00916003">
        <w:rPr>
          <w:noProof/>
        </w:rPr>
        <w:t>Öhman H, Lundqvist P. 2013. Comparison and analysis of performance using Low Temperature Power Cycles. Applied Thermal Engineering. 52:160–169.</w:t>
      </w:r>
    </w:p>
    <w:p w:rsidR="00916003" w:rsidRPr="00916003" w:rsidRDefault="00916003" w:rsidP="008A5ECC">
      <w:pPr>
        <w:pStyle w:val="References"/>
        <w:divId w:val="1573732318"/>
        <w:rPr>
          <w:noProof/>
        </w:rPr>
      </w:pPr>
      <w:r w:rsidRPr="00916003">
        <w:rPr>
          <w:noProof/>
        </w:rPr>
        <w:t>Opcon Energy Systems AB. 2012a. Data Sheet OPB-ORC-750M. :11.</w:t>
      </w:r>
    </w:p>
    <w:p w:rsidR="00916003" w:rsidRPr="00916003" w:rsidRDefault="00916003" w:rsidP="008A5ECC">
      <w:pPr>
        <w:pStyle w:val="References"/>
        <w:divId w:val="1573732318"/>
        <w:rPr>
          <w:noProof/>
        </w:rPr>
      </w:pPr>
      <w:r w:rsidRPr="00916003">
        <w:rPr>
          <w:noProof/>
        </w:rPr>
        <w:t>Opcon Energy Systems AB. 2012b. Commissioning and testing of first reference installation of Opcon technology for ships. :2.</w:t>
      </w:r>
    </w:p>
    <w:p w:rsidR="00916003" w:rsidRPr="00916003" w:rsidRDefault="00916003" w:rsidP="008A5ECC">
      <w:pPr>
        <w:pStyle w:val="References"/>
        <w:divId w:val="1573732318"/>
        <w:rPr>
          <w:noProof/>
        </w:rPr>
      </w:pPr>
      <w:r w:rsidRPr="00916003">
        <w:rPr>
          <w:noProof/>
        </w:rPr>
        <w:t>Quoilin S, Broek M Van Den, Declaye S, Dewallef P, Lemort V. 2013. Techno-economic survey of Organic Rankine Cycle (ORC) systems. Renewable and Sustainable Energy Reviews. 22:168–186.</w:t>
      </w:r>
    </w:p>
    <w:p w:rsidR="00916003" w:rsidRPr="00916003" w:rsidRDefault="00916003" w:rsidP="008A5ECC">
      <w:pPr>
        <w:pStyle w:val="References"/>
        <w:divId w:val="1573732318"/>
        <w:rPr>
          <w:noProof/>
        </w:rPr>
      </w:pPr>
      <w:r w:rsidRPr="00916003">
        <w:rPr>
          <w:noProof/>
        </w:rPr>
        <w:lastRenderedPageBreak/>
        <w:t>Rayner NA, Brohan P, Parker DE, Folland CK, Kennedy JJ, Vanicek M, Ansell TJ, Tett SFB. 2006. Improved analyses of changes and uncertainties in sea surface temperature measured in situ since the mid-nineteenth century: the HadSST2 data set. Journal of Climate. 19:446–469.</w:t>
      </w:r>
    </w:p>
    <w:p w:rsidR="00916003" w:rsidRPr="00916003" w:rsidRDefault="00916003" w:rsidP="008A5ECC">
      <w:pPr>
        <w:pStyle w:val="References"/>
        <w:divId w:val="1573732318"/>
        <w:rPr>
          <w:noProof/>
        </w:rPr>
      </w:pPr>
      <w:r w:rsidRPr="00916003">
        <w:rPr>
          <w:noProof/>
        </w:rPr>
        <w:t>Rayner NA. 2003. Global analyses of sea surface temperature, sea ice, and night marine air temperature since the late nineteenth century. Journal of Geophysical Research. 108:4407.</w:t>
      </w:r>
    </w:p>
    <w:p w:rsidR="00916003" w:rsidRPr="00916003" w:rsidRDefault="00916003" w:rsidP="008A5ECC">
      <w:pPr>
        <w:pStyle w:val="References"/>
        <w:divId w:val="1573732318"/>
        <w:rPr>
          <w:noProof/>
        </w:rPr>
      </w:pPr>
      <w:r w:rsidRPr="00916003">
        <w:rPr>
          <w:noProof/>
        </w:rPr>
        <w:t>Ringler, J., Seifert M, Guyotot V, Hübner W. 2009. Rankine Cycle for Waste Heat Recovery of IC Engines. SAE Int J Engines. 1:67–76.</w:t>
      </w:r>
    </w:p>
    <w:p w:rsidR="00916003" w:rsidRPr="00916003" w:rsidRDefault="00916003" w:rsidP="008A5ECC">
      <w:pPr>
        <w:pStyle w:val="References"/>
        <w:divId w:val="1573732318"/>
        <w:rPr>
          <w:noProof/>
        </w:rPr>
      </w:pPr>
      <w:r w:rsidRPr="00916003">
        <w:rPr>
          <w:noProof/>
        </w:rPr>
        <w:t>Rodriguez C, Smith R. 2007. Optimization of Operating Conditions for Mitigating Fouling in Heat Exchanger Networks. Chemical Engineering Research and Design. 85:839–851.</w:t>
      </w:r>
    </w:p>
    <w:p w:rsidR="00916003" w:rsidRPr="00916003" w:rsidRDefault="00916003" w:rsidP="008A5ECC">
      <w:pPr>
        <w:pStyle w:val="References"/>
        <w:divId w:val="1573732318"/>
        <w:rPr>
          <w:noProof/>
        </w:rPr>
      </w:pPr>
      <w:r w:rsidRPr="00916003">
        <w:rPr>
          <w:noProof/>
        </w:rPr>
        <w:t>Saavedra I, Bruno JC, Coronas A. 2010. Thermodynamic optimization of organic Rankine cycles at several condensing temperatures: case study of waste heat recovery in a natural gas compressor station. Proceedings of the Institution of Mechanical Engineers, Part A: Journal of Power and Energy. 224:917–930.</w:t>
      </w:r>
    </w:p>
    <w:p w:rsidR="00916003" w:rsidRPr="00916003" w:rsidRDefault="00916003" w:rsidP="008A5ECC">
      <w:pPr>
        <w:pStyle w:val="References"/>
        <w:divId w:val="1573732318"/>
        <w:rPr>
          <w:noProof/>
        </w:rPr>
      </w:pPr>
      <w:r w:rsidRPr="00916003">
        <w:rPr>
          <w:noProof/>
        </w:rPr>
        <w:t>Sakalis G, Frangopoulos CA. 2014. Towards synthesis and design optimization of steam bottoming Rankine cycles with different ship propulsion engines. In: 27 th International Conference on Efficiency, Cost, Optimization, Simulation and Environmental Impact of Energy Systems. Turku; p. 14.</w:t>
      </w:r>
    </w:p>
    <w:p w:rsidR="00916003" w:rsidRPr="00916003" w:rsidRDefault="00916003" w:rsidP="008A5ECC">
      <w:pPr>
        <w:pStyle w:val="References"/>
        <w:divId w:val="1573732318"/>
        <w:rPr>
          <w:noProof/>
        </w:rPr>
      </w:pPr>
      <w:r w:rsidRPr="00916003">
        <w:rPr>
          <w:noProof/>
        </w:rPr>
        <w:t>Schmid H. 2004. Waste Heat Recovery (WHR): Fuel Savings With Less Emissions. In: Green Ship Technology Conference. London; p. 10.</w:t>
      </w:r>
    </w:p>
    <w:p w:rsidR="00916003" w:rsidRPr="00916003" w:rsidRDefault="00916003" w:rsidP="008A5ECC">
      <w:pPr>
        <w:pStyle w:val="References"/>
        <w:divId w:val="1573732318"/>
        <w:rPr>
          <w:noProof/>
        </w:rPr>
      </w:pPr>
      <w:r w:rsidRPr="00916003">
        <w:rPr>
          <w:noProof/>
        </w:rPr>
        <w:t>Shah RK, Sekulic DP. 2003. Fundamentals Of Heat Exchanger Design. 1st ed. New Jersey: John Wiley &amp; Sons, Inc.</w:t>
      </w:r>
    </w:p>
    <w:p w:rsidR="00916003" w:rsidRPr="00916003" w:rsidRDefault="00916003" w:rsidP="008A5ECC">
      <w:pPr>
        <w:pStyle w:val="References"/>
        <w:divId w:val="1573732318"/>
        <w:rPr>
          <w:noProof/>
        </w:rPr>
      </w:pPr>
      <w:r w:rsidRPr="00916003">
        <w:rPr>
          <w:noProof/>
        </w:rPr>
        <w:t>Sharqawy MH, Lienhard V JH, Zubair SM. 2010. Thermophysical properties of seawater: A review of existing correlations and data. Desalination and Water Treatment. 16:354–380.</w:t>
      </w:r>
    </w:p>
    <w:p w:rsidR="00916003" w:rsidRPr="00916003" w:rsidRDefault="00916003" w:rsidP="008A5ECC">
      <w:pPr>
        <w:pStyle w:val="References"/>
        <w:divId w:val="1573732318"/>
        <w:rPr>
          <w:noProof/>
        </w:rPr>
      </w:pPr>
      <w:r w:rsidRPr="00916003">
        <w:rPr>
          <w:noProof/>
        </w:rPr>
        <w:t>Shen C, Cirone C, Yang L, Jiang Y, Wang X. 2014. Characteristics of fouling development in shell-and-tube heat exchanger: Effects of velocity and installation location. International Journal of Heat and Mass Transfer. 77:439–448.</w:t>
      </w:r>
    </w:p>
    <w:p w:rsidR="00916003" w:rsidRPr="00916003" w:rsidRDefault="00916003" w:rsidP="008A5ECC">
      <w:pPr>
        <w:pStyle w:val="References"/>
        <w:divId w:val="1573732318"/>
        <w:rPr>
          <w:noProof/>
        </w:rPr>
      </w:pPr>
      <w:r w:rsidRPr="00916003">
        <w:rPr>
          <w:noProof/>
        </w:rPr>
        <w:t>Sinnott RK. 2005. Heat-transfer Equipment. In: Coulson and Richardson’s Chemical Engineering Volume 6 - Chemical Engineering Design. 4th ed. Oxford: Elsevier; p. 634–793.</w:t>
      </w:r>
    </w:p>
    <w:p w:rsidR="00916003" w:rsidRPr="00916003" w:rsidRDefault="00916003" w:rsidP="008A5ECC">
      <w:pPr>
        <w:pStyle w:val="References"/>
        <w:divId w:val="1573732318"/>
        <w:rPr>
          <w:noProof/>
        </w:rPr>
      </w:pPr>
      <w:r w:rsidRPr="00916003">
        <w:rPr>
          <w:noProof/>
        </w:rPr>
        <w:lastRenderedPageBreak/>
        <w:t>Solutia Inc. 1999. Therminol VP-1: Vapor Phase/Liquid Phase Heat Transfer Fluid. :11.</w:t>
      </w:r>
    </w:p>
    <w:p w:rsidR="00916003" w:rsidRPr="00916003" w:rsidRDefault="00916003" w:rsidP="008A5ECC">
      <w:pPr>
        <w:pStyle w:val="References"/>
        <w:divId w:val="1573732318"/>
        <w:rPr>
          <w:noProof/>
        </w:rPr>
      </w:pPr>
      <w:r w:rsidRPr="00875BA5">
        <w:rPr>
          <w:noProof/>
          <w:lang w:val="es-MX"/>
        </w:rPr>
        <w:t xml:space="preserve">Suárez de la Fuente S, Roberge D, Greig AR. 2015. </w:t>
      </w:r>
      <w:r w:rsidRPr="00916003">
        <w:rPr>
          <w:noProof/>
        </w:rPr>
        <w:t>Safety and CO</w:t>
      </w:r>
      <w:r w:rsidRPr="00E100C9">
        <w:rPr>
          <w:noProof/>
          <w:vertAlign w:val="subscript"/>
        </w:rPr>
        <w:t>2</w:t>
      </w:r>
      <w:r w:rsidRPr="00916003">
        <w:rPr>
          <w:noProof/>
        </w:rPr>
        <w:t xml:space="preserve"> emissions: Implications of using organic fluids in a ship’s waste heat recovery system. Marine Policy</w:t>
      </w:r>
      <w:r w:rsidR="00E100C9">
        <w:rPr>
          <w:noProof/>
        </w:rPr>
        <w:t xml:space="preserve"> (under revision)</w:t>
      </w:r>
      <w:r w:rsidRPr="00916003">
        <w:rPr>
          <w:noProof/>
        </w:rPr>
        <w:t>.</w:t>
      </w:r>
    </w:p>
    <w:p w:rsidR="00916003" w:rsidRPr="00916003" w:rsidRDefault="00916003" w:rsidP="008A5ECC">
      <w:pPr>
        <w:pStyle w:val="References"/>
        <w:divId w:val="1573732318"/>
        <w:rPr>
          <w:noProof/>
        </w:rPr>
      </w:pPr>
      <w:r w:rsidRPr="00916003">
        <w:rPr>
          <w:noProof/>
        </w:rPr>
        <w:t>Sun KN, Wan Alwi SR, Manan ZA. 2013. Heat exchanger network cost optimization considering multiple utilities and different types of heat exchangers. Computers &amp; Chemical Engineering. 49:194–204.</w:t>
      </w:r>
    </w:p>
    <w:p w:rsidR="00916003" w:rsidRPr="00916003" w:rsidRDefault="00916003" w:rsidP="008A5ECC">
      <w:pPr>
        <w:pStyle w:val="References"/>
        <w:divId w:val="1573732318"/>
        <w:rPr>
          <w:noProof/>
        </w:rPr>
      </w:pPr>
      <w:r w:rsidRPr="00916003">
        <w:rPr>
          <w:noProof/>
        </w:rPr>
        <w:t>Tchanche BF, Lambrinos G, Frangoudakis A, Papadakis G. 2011. Low-grade heat conversion into power using organic Rankine cycles – A review of various applications. Renewable and Sustainable Energy Reviews. 15:3963–3979.</w:t>
      </w:r>
    </w:p>
    <w:p w:rsidR="00916003" w:rsidRPr="00916003" w:rsidRDefault="00916003" w:rsidP="008A5ECC">
      <w:pPr>
        <w:pStyle w:val="References"/>
        <w:divId w:val="1573732318"/>
        <w:rPr>
          <w:noProof/>
        </w:rPr>
      </w:pPr>
      <w:r w:rsidRPr="00916003">
        <w:rPr>
          <w:noProof/>
        </w:rPr>
        <w:t>Theotokatos G, Livanos G. 2012. Techno-economical analysis of single pressure exhaust gas waste heat recovery systems in marine propulsion plants. Proceedings of the Institution of Mechanical Engineers Part M: Journal of Engineering for the Maritime Environment. 227:83–97.</w:t>
      </w:r>
    </w:p>
    <w:p w:rsidR="00916003" w:rsidRPr="00916003" w:rsidRDefault="00916003" w:rsidP="008A5ECC">
      <w:pPr>
        <w:pStyle w:val="References"/>
        <w:divId w:val="1573732318"/>
        <w:rPr>
          <w:noProof/>
        </w:rPr>
      </w:pPr>
      <w:r w:rsidRPr="00916003">
        <w:rPr>
          <w:noProof/>
        </w:rPr>
        <w:t>Tien W-K, Yeh R-H, Hong J-M. 2007. Theoretical analysis of cogeneration system for ships. Energy Conversion and Management. 48:1965–1974.</w:t>
      </w:r>
    </w:p>
    <w:p w:rsidR="00916003" w:rsidRPr="00916003" w:rsidRDefault="00916003" w:rsidP="008A5ECC">
      <w:pPr>
        <w:pStyle w:val="References"/>
        <w:divId w:val="1573732318"/>
        <w:rPr>
          <w:noProof/>
        </w:rPr>
      </w:pPr>
      <w:r w:rsidRPr="00916003">
        <w:rPr>
          <w:noProof/>
        </w:rPr>
        <w:t>Tranter. 2011. Plate Heat Exchangers | Tranter. :12.</w:t>
      </w:r>
    </w:p>
    <w:p w:rsidR="00916003" w:rsidRPr="00916003" w:rsidRDefault="00916003" w:rsidP="008A5ECC">
      <w:pPr>
        <w:pStyle w:val="References"/>
        <w:divId w:val="1573732318"/>
        <w:rPr>
          <w:noProof/>
        </w:rPr>
      </w:pPr>
      <w:r w:rsidRPr="00916003">
        <w:rPr>
          <w:noProof/>
        </w:rPr>
        <w:t>Vélez F, Segovia JJ, Martín MC, Antolín G, Chejne F, Quijano A. 2012. A technical, economical and market review of organic Rankine cycles for the conversion of low-grade heat for power generation. Renewable and Sustainable Energy Reviews. 16:4175–4189.</w:t>
      </w:r>
    </w:p>
    <w:p w:rsidR="00916003" w:rsidRPr="00916003" w:rsidRDefault="00916003" w:rsidP="008A5ECC">
      <w:pPr>
        <w:pStyle w:val="References"/>
        <w:divId w:val="1573732318"/>
        <w:rPr>
          <w:noProof/>
        </w:rPr>
      </w:pPr>
      <w:r w:rsidRPr="00916003">
        <w:rPr>
          <w:noProof/>
        </w:rPr>
        <w:t>Wärtsilä. 2013. Wärtsilä Generating Sets Gensets. Wärtsilä 32 generating set [Internet]. [cited 2014 Sep 24]:1. Available from: http://www.wartsila.com/en/engines/gensets/generating-sets</w:t>
      </w:r>
    </w:p>
    <w:p w:rsidR="00916003" w:rsidRPr="00916003" w:rsidRDefault="00916003" w:rsidP="008A5ECC">
      <w:pPr>
        <w:pStyle w:val="References"/>
        <w:divId w:val="1573732318"/>
        <w:rPr>
          <w:noProof/>
        </w:rPr>
      </w:pPr>
      <w:r w:rsidRPr="00916003">
        <w:rPr>
          <w:noProof/>
        </w:rPr>
        <w:t>Weerasinghe WMSR, Stobart RK, Hounsham SM. 2010. Thermal efficiency improvement in high output diesel engines a comparison of a Rankine cycle with turbo-compounding. Applied Thermal Engineering. 30:2253–2256.</w:t>
      </w:r>
    </w:p>
    <w:p w:rsidR="00916003" w:rsidRPr="00916003" w:rsidRDefault="00916003" w:rsidP="008A5ECC">
      <w:pPr>
        <w:pStyle w:val="References"/>
        <w:divId w:val="1573732318"/>
        <w:rPr>
          <w:noProof/>
        </w:rPr>
      </w:pPr>
      <w:r w:rsidRPr="00916003">
        <w:rPr>
          <w:noProof/>
        </w:rPr>
        <w:t>Woodyard D. 2009. Pounder’s Marine Diesel Engines and Gas Turbines. 9th ed. Oxford: Butterworth-Heinemann.</w:t>
      </w:r>
    </w:p>
    <w:p w:rsidR="00916003" w:rsidRPr="00916003" w:rsidRDefault="00916003" w:rsidP="008A5ECC">
      <w:pPr>
        <w:pStyle w:val="References"/>
        <w:divId w:val="1573732318"/>
        <w:rPr>
          <w:noProof/>
        </w:rPr>
      </w:pPr>
      <w:r w:rsidRPr="00916003">
        <w:rPr>
          <w:noProof/>
        </w:rPr>
        <w:t>Woud HK, Stapersma D. 2012. Design of Propulsion and Electric Power Generation Systems. 1st ed. London: IMarEST.</w:t>
      </w:r>
    </w:p>
    <w:p w:rsidR="00916003" w:rsidRPr="00916003" w:rsidRDefault="00916003" w:rsidP="008A5ECC">
      <w:pPr>
        <w:pStyle w:val="References"/>
        <w:divId w:val="1573732318"/>
        <w:rPr>
          <w:noProof/>
        </w:rPr>
      </w:pPr>
      <w:r w:rsidRPr="00916003">
        <w:rPr>
          <w:noProof/>
        </w:rPr>
        <w:t>Yaws CL. 1997. Handbook of Chemical Compounds Data for Process Safety. 1st ed. Houston: Gulf Publishing Company.</w:t>
      </w:r>
    </w:p>
    <w:p w:rsidR="00916003" w:rsidRPr="00916003" w:rsidRDefault="00916003" w:rsidP="008A5ECC">
      <w:pPr>
        <w:pStyle w:val="References"/>
        <w:divId w:val="1573732318"/>
        <w:rPr>
          <w:noProof/>
        </w:rPr>
      </w:pPr>
      <w:r w:rsidRPr="00916003">
        <w:rPr>
          <w:noProof/>
        </w:rPr>
        <w:lastRenderedPageBreak/>
        <w:t>Yue GQ, Dong SW, Zheng Q, Li JR. 2012. Design of Marine Diesel Engine Waste Heat Recovery System with Organic Rankine Cycle. In: Chang G, editor. Applied Mechanics and Materials. Vol. 148-149. [place unknown]; p. 1264–1270.</w:t>
      </w:r>
    </w:p>
    <w:p w:rsidR="00916003" w:rsidRPr="00916003" w:rsidRDefault="00916003" w:rsidP="008A5ECC">
      <w:pPr>
        <w:pStyle w:val="References"/>
        <w:divId w:val="1573732318"/>
        <w:rPr>
          <w:noProof/>
        </w:rPr>
      </w:pPr>
      <w:r w:rsidRPr="00916003">
        <w:rPr>
          <w:noProof/>
        </w:rPr>
        <w:t xml:space="preserve">Zhang X, He M, Zhang Y. 2012. A review of research on the Kalina cycle. Renewable and Sustainable Energy Reviews. 16:5309–5318. </w:t>
      </w:r>
    </w:p>
    <w:p w:rsidR="00420665" w:rsidRDefault="003E33C9" w:rsidP="008A5ECC">
      <w:pPr>
        <w:pStyle w:val="References"/>
        <w:divId w:val="955521062"/>
        <w:sectPr w:rsidR="00420665" w:rsidSect="00074B81">
          <w:pgSz w:w="11901" w:h="16840" w:code="9"/>
          <w:pgMar w:top="1418" w:right="1701" w:bottom="1418" w:left="1701" w:header="709" w:footer="709" w:gutter="0"/>
          <w:cols w:space="708"/>
          <w:docGrid w:linePitch="360"/>
        </w:sectPr>
      </w:pPr>
      <w:r>
        <w:fldChar w:fldCharType="end"/>
      </w:r>
    </w:p>
    <w:p w:rsidR="00E0790D" w:rsidRPr="00694314" w:rsidRDefault="00066B63" w:rsidP="00420665">
      <w:pPr>
        <w:pStyle w:val="Heading1"/>
        <w:divId w:val="1830512952"/>
      </w:pPr>
      <w:r w:rsidRPr="00694314">
        <w:lastRenderedPageBreak/>
        <w:t>Nomenclature</w:t>
      </w:r>
    </w:p>
    <w:tbl>
      <w:tblPr>
        <w:tblW w:w="4969" w:type="pct"/>
        <w:tblInd w:w="157" w:type="dxa"/>
        <w:tblLayout w:type="fixed"/>
        <w:tblCellMar>
          <w:left w:w="0" w:type="dxa"/>
          <w:right w:w="0" w:type="dxa"/>
        </w:tblCellMar>
        <w:tblLook w:val="04A0" w:firstRow="1" w:lastRow="0" w:firstColumn="1" w:lastColumn="0" w:noHBand="0" w:noVBand="1"/>
      </w:tblPr>
      <w:tblGrid>
        <w:gridCol w:w="131"/>
        <w:gridCol w:w="544"/>
        <w:gridCol w:w="127"/>
        <w:gridCol w:w="24"/>
        <w:gridCol w:w="2277"/>
        <w:gridCol w:w="129"/>
        <w:gridCol w:w="146"/>
        <w:gridCol w:w="1158"/>
        <w:gridCol w:w="1048"/>
        <w:gridCol w:w="124"/>
        <w:gridCol w:w="17"/>
        <w:gridCol w:w="1861"/>
        <w:gridCol w:w="19"/>
        <w:gridCol w:w="144"/>
        <w:gridCol w:w="142"/>
        <w:gridCol w:w="571"/>
        <w:gridCol w:w="14"/>
      </w:tblGrid>
      <w:tr w:rsidR="00BE72ED" w:rsidRPr="000D4130" w:rsidTr="00BE72ED">
        <w:trPr>
          <w:gridAfter w:val="1"/>
          <w:divId w:val="1501965819"/>
          <w:wAfter w:w="8" w:type="pct"/>
          <w:trHeight w:val="284"/>
        </w:trPr>
        <w:tc>
          <w:tcPr>
            <w:tcW w:w="398" w:type="pct"/>
            <w:gridSpan w:val="2"/>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center"/>
            <w:hideMark/>
          </w:tcPr>
          <w:p w:rsidR="00E0790D" w:rsidRPr="00694314" w:rsidRDefault="00E0790D" w:rsidP="0084609C">
            <w:pPr>
              <w:spacing w:before="120"/>
              <w:jc w:val="center"/>
              <w:rPr>
                <w:b/>
                <w:bCs/>
                <w:color w:val="000000"/>
                <w:sz w:val="18"/>
                <w:szCs w:val="18"/>
              </w:rPr>
            </w:pPr>
            <w:r w:rsidRPr="00694314">
              <w:rPr>
                <w:b/>
                <w:bCs/>
                <w:color w:val="000000"/>
                <w:sz w:val="18"/>
                <w:szCs w:val="18"/>
              </w:rPr>
              <w:t>Symbol</w:t>
            </w:r>
          </w:p>
        </w:tc>
        <w:tc>
          <w:tcPr>
            <w:tcW w:w="1508" w:type="pct"/>
            <w:gridSpan w:val="4"/>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center"/>
            <w:hideMark/>
          </w:tcPr>
          <w:p w:rsidR="00E0790D" w:rsidRPr="00694314" w:rsidRDefault="00E0790D" w:rsidP="0084609C">
            <w:pPr>
              <w:spacing w:before="120"/>
              <w:jc w:val="center"/>
              <w:rPr>
                <w:b/>
                <w:bCs/>
                <w:color w:val="000000"/>
                <w:sz w:val="18"/>
                <w:szCs w:val="18"/>
              </w:rPr>
            </w:pPr>
            <w:r w:rsidRPr="00694314">
              <w:rPr>
                <w:b/>
                <w:bCs/>
                <w:color w:val="000000"/>
                <w:sz w:val="18"/>
                <w:szCs w:val="18"/>
              </w:rPr>
              <w:t>Name</w:t>
            </w:r>
          </w:p>
        </w:tc>
        <w:tc>
          <w:tcPr>
            <w:tcW w:w="769" w:type="pct"/>
            <w:gridSpan w:val="2"/>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center"/>
            <w:hideMark/>
          </w:tcPr>
          <w:p w:rsidR="00E0790D" w:rsidRPr="00694314" w:rsidRDefault="00E0790D" w:rsidP="0084609C">
            <w:pPr>
              <w:spacing w:before="120"/>
              <w:jc w:val="center"/>
              <w:rPr>
                <w:b/>
                <w:bCs/>
                <w:color w:val="000000"/>
                <w:sz w:val="18"/>
                <w:szCs w:val="18"/>
              </w:rPr>
            </w:pPr>
            <w:r w:rsidRPr="00694314">
              <w:rPr>
                <w:b/>
                <w:bCs/>
                <w:color w:val="000000"/>
                <w:sz w:val="18"/>
                <w:szCs w:val="18"/>
              </w:rPr>
              <w:t>Units</w:t>
            </w:r>
          </w:p>
        </w:tc>
        <w:tc>
          <w:tcPr>
            <w:tcW w:w="618" w:type="pct"/>
            <w:tcBorders>
              <w:top w:val="single" w:sz="4" w:space="0" w:color="auto"/>
              <w:left w:val="single" w:sz="4" w:space="0" w:color="auto"/>
              <w:bottom w:val="single" w:sz="4" w:space="0" w:color="auto"/>
              <w:right w:val="nil"/>
            </w:tcBorders>
            <w:shd w:val="clear" w:color="000000" w:fill="FFFFFF"/>
            <w:tcMar>
              <w:top w:w="15" w:type="dxa"/>
              <w:left w:w="15" w:type="dxa"/>
              <w:bottom w:w="0" w:type="dxa"/>
              <w:right w:w="15" w:type="dxa"/>
            </w:tcMar>
            <w:vAlign w:val="center"/>
            <w:hideMark/>
          </w:tcPr>
          <w:p w:rsidR="00E0790D" w:rsidRPr="00694314" w:rsidRDefault="00E0790D" w:rsidP="0084609C">
            <w:pPr>
              <w:spacing w:before="120"/>
              <w:jc w:val="center"/>
              <w:rPr>
                <w:b/>
                <w:bCs/>
                <w:color w:val="000000"/>
                <w:sz w:val="18"/>
                <w:szCs w:val="18"/>
              </w:rPr>
            </w:pPr>
            <w:r w:rsidRPr="00694314">
              <w:rPr>
                <w:b/>
                <w:bCs/>
                <w:color w:val="000000"/>
                <w:sz w:val="18"/>
                <w:szCs w:val="18"/>
              </w:rPr>
              <w:t>Symbol</w:t>
            </w:r>
          </w:p>
        </w:tc>
        <w:tc>
          <w:tcPr>
            <w:tcW w:w="1277" w:type="pct"/>
            <w:gridSpan w:val="5"/>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center"/>
            <w:hideMark/>
          </w:tcPr>
          <w:p w:rsidR="00E0790D" w:rsidRPr="00694314" w:rsidRDefault="00E0790D" w:rsidP="0084609C">
            <w:pPr>
              <w:spacing w:before="120"/>
              <w:jc w:val="center"/>
              <w:rPr>
                <w:b/>
                <w:bCs/>
                <w:color w:val="000000"/>
                <w:sz w:val="18"/>
                <w:szCs w:val="18"/>
              </w:rPr>
            </w:pPr>
            <w:r w:rsidRPr="00694314">
              <w:rPr>
                <w:b/>
                <w:bCs/>
                <w:color w:val="000000"/>
                <w:sz w:val="18"/>
                <w:szCs w:val="18"/>
              </w:rPr>
              <w:t>Name</w:t>
            </w:r>
          </w:p>
        </w:tc>
        <w:tc>
          <w:tcPr>
            <w:tcW w:w="421" w:type="pct"/>
            <w:gridSpan w:val="2"/>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center"/>
            <w:hideMark/>
          </w:tcPr>
          <w:p w:rsidR="00E0790D" w:rsidRPr="00694314" w:rsidRDefault="00E0790D" w:rsidP="0084609C">
            <w:pPr>
              <w:spacing w:before="120"/>
              <w:jc w:val="center"/>
              <w:rPr>
                <w:b/>
                <w:bCs/>
                <w:color w:val="000000"/>
                <w:sz w:val="18"/>
                <w:szCs w:val="18"/>
              </w:rPr>
            </w:pPr>
            <w:r w:rsidRPr="00694314">
              <w:rPr>
                <w:b/>
                <w:bCs/>
                <w:color w:val="000000"/>
                <w:sz w:val="18"/>
                <w:szCs w:val="18"/>
              </w:rPr>
              <w:t>Units</w:t>
            </w:r>
          </w:p>
        </w:tc>
      </w:tr>
      <w:tr w:rsidR="00BE72ED" w:rsidRPr="000D4130" w:rsidTr="00BE72ED">
        <w:trPr>
          <w:gridAfter w:val="1"/>
          <w:divId w:val="1501965819"/>
          <w:wAfter w:w="8" w:type="pct"/>
          <w:trHeight w:val="284"/>
        </w:trPr>
        <w:tc>
          <w:tcPr>
            <w:tcW w:w="398" w:type="pct"/>
            <w:gridSpan w:val="2"/>
            <w:tcBorders>
              <w:top w:val="nil"/>
              <w:left w:val="nil"/>
              <w:bottom w:val="nil"/>
              <w:right w:val="nil"/>
            </w:tcBorders>
            <w:shd w:val="clear" w:color="000000" w:fill="FFFFFF"/>
            <w:noWrap/>
            <w:tcMar>
              <w:top w:w="15" w:type="dxa"/>
              <w:left w:w="15" w:type="dxa"/>
              <w:bottom w:w="0" w:type="dxa"/>
              <w:right w:w="15" w:type="dxa"/>
            </w:tcMar>
            <w:vAlign w:val="center"/>
          </w:tcPr>
          <w:p w:rsidR="005A4E0D" w:rsidRPr="00694314" w:rsidRDefault="005A4E0D" w:rsidP="00BE72ED">
            <w:pPr>
              <w:ind w:hanging="194"/>
              <w:jc w:val="center"/>
              <w:rPr>
                <w:i/>
                <w:color w:val="000000"/>
                <w:sz w:val="18"/>
                <w:szCs w:val="18"/>
              </w:rPr>
            </w:pPr>
            <w:r w:rsidRPr="00694314">
              <w:rPr>
                <w:i/>
                <w:color w:val="000000"/>
                <w:sz w:val="18"/>
                <w:szCs w:val="18"/>
              </w:rPr>
              <w:t>CS</w:t>
            </w:r>
          </w:p>
        </w:tc>
        <w:tc>
          <w:tcPr>
            <w:tcW w:w="1508" w:type="pct"/>
            <w:gridSpan w:val="4"/>
            <w:tcBorders>
              <w:top w:val="nil"/>
              <w:left w:val="nil"/>
              <w:bottom w:val="nil"/>
              <w:right w:val="nil"/>
            </w:tcBorders>
            <w:shd w:val="clear" w:color="000000" w:fill="FFFFFF"/>
            <w:noWrap/>
            <w:tcMar>
              <w:top w:w="15" w:type="dxa"/>
              <w:left w:w="15" w:type="dxa"/>
              <w:bottom w:w="0" w:type="dxa"/>
              <w:right w:w="15" w:type="dxa"/>
            </w:tcMar>
            <w:vAlign w:val="center"/>
          </w:tcPr>
          <w:p w:rsidR="005A4E0D" w:rsidRPr="00694314" w:rsidRDefault="005A4E0D" w:rsidP="00BE72ED">
            <w:pPr>
              <w:ind w:right="176" w:firstLine="128"/>
              <w:jc w:val="center"/>
              <w:rPr>
                <w:color w:val="000000"/>
                <w:sz w:val="18"/>
                <w:szCs w:val="18"/>
              </w:rPr>
            </w:pPr>
            <w:r w:rsidRPr="00694314">
              <w:rPr>
                <w:color w:val="000000"/>
                <w:sz w:val="18"/>
                <w:szCs w:val="18"/>
              </w:rPr>
              <w:t>Carbon Savings</w:t>
            </w:r>
          </w:p>
        </w:tc>
        <w:tc>
          <w:tcPr>
            <w:tcW w:w="769" w:type="pct"/>
            <w:gridSpan w:val="2"/>
            <w:tcBorders>
              <w:top w:val="nil"/>
              <w:left w:val="nil"/>
              <w:bottom w:val="nil"/>
              <w:right w:val="nil"/>
            </w:tcBorders>
            <w:shd w:val="clear" w:color="000000" w:fill="FFFFFF"/>
            <w:noWrap/>
            <w:tcMar>
              <w:top w:w="15" w:type="dxa"/>
              <w:left w:w="15" w:type="dxa"/>
              <w:bottom w:w="0" w:type="dxa"/>
              <w:right w:w="15" w:type="dxa"/>
            </w:tcMar>
            <w:vAlign w:val="center"/>
          </w:tcPr>
          <w:p w:rsidR="005A4E0D" w:rsidRPr="005A4E0D" w:rsidRDefault="005A4E0D" w:rsidP="00BE72ED">
            <w:pPr>
              <w:jc w:val="center"/>
              <w:rPr>
                <w:color w:val="000000"/>
                <w:sz w:val="16"/>
                <w:szCs w:val="16"/>
                <w:vertAlign w:val="superscript"/>
              </w:rPr>
            </w:pPr>
            <w:r w:rsidRPr="00694314">
              <w:rPr>
                <w:color w:val="000000"/>
                <w:sz w:val="16"/>
                <w:szCs w:val="16"/>
              </w:rPr>
              <w:t>Tonne of CO</w:t>
            </w:r>
            <w:r w:rsidRPr="00694314">
              <w:rPr>
                <w:color w:val="000000"/>
                <w:sz w:val="16"/>
                <w:szCs w:val="16"/>
                <w:vertAlign w:val="subscript"/>
              </w:rPr>
              <w:t>2</w:t>
            </w:r>
            <w:r>
              <w:rPr>
                <w:color w:val="000000"/>
                <w:sz w:val="16"/>
                <w:szCs w:val="16"/>
              </w:rPr>
              <w:t xml:space="preserve"> h</w:t>
            </w:r>
            <w:r>
              <w:rPr>
                <w:color w:val="000000"/>
                <w:sz w:val="16"/>
                <w:szCs w:val="16"/>
                <w:vertAlign w:val="superscript"/>
              </w:rPr>
              <w:t>-1</w:t>
            </w:r>
          </w:p>
        </w:tc>
        <w:tc>
          <w:tcPr>
            <w:tcW w:w="618" w:type="pct"/>
            <w:tcBorders>
              <w:top w:val="single" w:sz="4" w:space="0" w:color="auto"/>
              <w:left w:val="single" w:sz="4" w:space="0" w:color="auto"/>
              <w:right w:val="nil"/>
            </w:tcBorders>
            <w:shd w:val="clear" w:color="000000" w:fill="FFFFFF"/>
            <w:noWrap/>
            <w:tcMar>
              <w:top w:w="15" w:type="dxa"/>
              <w:left w:w="15" w:type="dxa"/>
              <w:bottom w:w="0" w:type="dxa"/>
              <w:right w:w="15" w:type="dxa"/>
            </w:tcMar>
            <w:vAlign w:val="center"/>
          </w:tcPr>
          <w:p w:rsidR="005A4E0D" w:rsidRPr="00694314" w:rsidRDefault="005A4E0D" w:rsidP="00BE72ED">
            <w:pPr>
              <w:jc w:val="center"/>
              <w:rPr>
                <w:i/>
                <w:color w:val="000000"/>
                <w:sz w:val="18"/>
                <w:szCs w:val="18"/>
              </w:rPr>
            </w:pPr>
            <w:r>
              <w:rPr>
                <w:i/>
                <w:color w:val="000000"/>
                <w:sz w:val="18"/>
                <w:szCs w:val="18"/>
              </w:rPr>
              <w:t>t</w:t>
            </w:r>
          </w:p>
        </w:tc>
        <w:tc>
          <w:tcPr>
            <w:tcW w:w="1277" w:type="pct"/>
            <w:gridSpan w:val="5"/>
            <w:tcBorders>
              <w:top w:val="single" w:sz="4" w:space="0" w:color="auto"/>
              <w:left w:val="nil"/>
              <w:right w:val="nil"/>
            </w:tcBorders>
            <w:shd w:val="clear" w:color="000000" w:fill="FFFFFF"/>
            <w:noWrap/>
            <w:tcMar>
              <w:top w:w="15" w:type="dxa"/>
              <w:left w:w="15" w:type="dxa"/>
              <w:bottom w:w="0" w:type="dxa"/>
              <w:right w:w="15" w:type="dxa"/>
            </w:tcMar>
            <w:vAlign w:val="center"/>
          </w:tcPr>
          <w:p w:rsidR="005A4E0D" w:rsidRPr="00694314" w:rsidRDefault="005A4E0D" w:rsidP="00BE72ED">
            <w:pPr>
              <w:jc w:val="center"/>
              <w:rPr>
                <w:color w:val="000000"/>
                <w:sz w:val="18"/>
                <w:szCs w:val="18"/>
              </w:rPr>
            </w:pPr>
            <w:r>
              <w:rPr>
                <w:color w:val="000000"/>
                <w:sz w:val="18"/>
                <w:szCs w:val="18"/>
              </w:rPr>
              <w:t>Time</w:t>
            </w:r>
          </w:p>
        </w:tc>
        <w:tc>
          <w:tcPr>
            <w:tcW w:w="421" w:type="pct"/>
            <w:gridSpan w:val="2"/>
            <w:tcBorders>
              <w:top w:val="single" w:sz="4" w:space="0" w:color="auto"/>
              <w:left w:val="nil"/>
              <w:right w:val="nil"/>
            </w:tcBorders>
            <w:shd w:val="clear" w:color="000000" w:fill="FFFFFF"/>
            <w:noWrap/>
            <w:tcMar>
              <w:top w:w="15" w:type="dxa"/>
              <w:left w:w="15" w:type="dxa"/>
              <w:bottom w:w="0" w:type="dxa"/>
              <w:right w:w="15" w:type="dxa"/>
            </w:tcMar>
            <w:vAlign w:val="center"/>
          </w:tcPr>
          <w:p w:rsidR="005A4E0D" w:rsidRPr="00694314" w:rsidRDefault="00A40F56" w:rsidP="00BE72ED">
            <w:pPr>
              <w:jc w:val="center"/>
              <w:rPr>
                <w:color w:val="000000"/>
                <w:sz w:val="18"/>
                <w:szCs w:val="18"/>
              </w:rPr>
            </w:pPr>
            <w:r>
              <w:rPr>
                <w:color w:val="000000"/>
                <w:sz w:val="18"/>
                <w:szCs w:val="18"/>
              </w:rPr>
              <w:t>h</w:t>
            </w:r>
          </w:p>
        </w:tc>
      </w:tr>
      <w:tr w:rsidR="00BE72ED" w:rsidRPr="000D4130" w:rsidTr="00BE72ED">
        <w:trPr>
          <w:gridAfter w:val="1"/>
          <w:divId w:val="1501965819"/>
          <w:wAfter w:w="8" w:type="pct"/>
          <w:trHeight w:val="284"/>
        </w:trPr>
        <w:tc>
          <w:tcPr>
            <w:tcW w:w="398" w:type="pct"/>
            <w:gridSpan w:val="2"/>
            <w:tcBorders>
              <w:top w:val="nil"/>
              <w:left w:val="nil"/>
              <w:bottom w:val="nil"/>
              <w:right w:val="nil"/>
            </w:tcBorders>
            <w:shd w:val="clear" w:color="000000" w:fill="FFFFFF"/>
            <w:noWrap/>
            <w:tcMar>
              <w:top w:w="15" w:type="dxa"/>
              <w:left w:w="15" w:type="dxa"/>
              <w:bottom w:w="0" w:type="dxa"/>
              <w:right w:w="15" w:type="dxa"/>
            </w:tcMar>
            <w:vAlign w:val="center"/>
          </w:tcPr>
          <w:p w:rsidR="005A4E0D" w:rsidRPr="00694314" w:rsidRDefault="005A4E0D" w:rsidP="00BE72ED">
            <w:pPr>
              <w:ind w:hanging="194"/>
              <w:jc w:val="center"/>
              <w:rPr>
                <w:i/>
                <w:color w:val="000000"/>
                <w:sz w:val="18"/>
                <w:szCs w:val="18"/>
              </w:rPr>
            </w:pPr>
            <w:r w:rsidRPr="00694314">
              <w:rPr>
                <w:i/>
                <w:color w:val="000000"/>
                <w:sz w:val="18"/>
                <w:szCs w:val="18"/>
              </w:rPr>
              <w:t>C</w:t>
            </w:r>
            <w:r w:rsidRPr="00694314">
              <w:rPr>
                <w:i/>
                <w:color w:val="000000"/>
                <w:sz w:val="18"/>
                <w:szCs w:val="18"/>
                <w:vertAlign w:val="subscript"/>
              </w:rPr>
              <w:t>F</w:t>
            </w:r>
          </w:p>
        </w:tc>
        <w:tc>
          <w:tcPr>
            <w:tcW w:w="1508" w:type="pct"/>
            <w:gridSpan w:val="4"/>
            <w:tcBorders>
              <w:top w:val="nil"/>
              <w:left w:val="nil"/>
              <w:bottom w:val="nil"/>
              <w:right w:val="nil"/>
            </w:tcBorders>
            <w:shd w:val="clear" w:color="000000" w:fill="FFFFFF"/>
            <w:noWrap/>
            <w:tcMar>
              <w:top w:w="15" w:type="dxa"/>
              <w:left w:w="15" w:type="dxa"/>
              <w:bottom w:w="0" w:type="dxa"/>
              <w:right w:w="15" w:type="dxa"/>
            </w:tcMar>
            <w:vAlign w:val="center"/>
          </w:tcPr>
          <w:p w:rsidR="005A4E0D" w:rsidRPr="00694314" w:rsidRDefault="005A4E0D" w:rsidP="00BE72ED">
            <w:pPr>
              <w:ind w:hanging="156"/>
              <w:jc w:val="center"/>
              <w:rPr>
                <w:color w:val="000000"/>
                <w:sz w:val="18"/>
                <w:szCs w:val="18"/>
              </w:rPr>
            </w:pPr>
            <w:r>
              <w:rPr>
                <w:color w:val="000000"/>
                <w:sz w:val="18"/>
                <w:szCs w:val="18"/>
              </w:rPr>
              <w:t xml:space="preserve">  </w:t>
            </w:r>
            <w:r w:rsidRPr="00694314">
              <w:rPr>
                <w:color w:val="000000"/>
                <w:sz w:val="18"/>
                <w:szCs w:val="18"/>
              </w:rPr>
              <w:t>Carbon Factor</w:t>
            </w:r>
          </w:p>
        </w:tc>
        <w:tc>
          <w:tcPr>
            <w:tcW w:w="769" w:type="pct"/>
            <w:gridSpan w:val="2"/>
            <w:tcBorders>
              <w:top w:val="nil"/>
              <w:left w:val="nil"/>
              <w:bottom w:val="nil"/>
              <w:right w:val="nil"/>
            </w:tcBorders>
            <w:shd w:val="clear" w:color="000000" w:fill="FFFFFF"/>
            <w:noWrap/>
            <w:tcMar>
              <w:top w:w="15" w:type="dxa"/>
              <w:left w:w="15" w:type="dxa"/>
              <w:bottom w:w="0" w:type="dxa"/>
              <w:right w:w="15" w:type="dxa"/>
            </w:tcMar>
            <w:vAlign w:val="center"/>
          </w:tcPr>
          <w:p w:rsidR="005A4E0D" w:rsidRPr="00694314" w:rsidRDefault="005A4E0D" w:rsidP="00BE72ED">
            <w:pPr>
              <w:jc w:val="center"/>
              <w:rPr>
                <w:color w:val="000000"/>
                <w:sz w:val="18"/>
                <w:szCs w:val="18"/>
              </w:rPr>
            </w:pPr>
            <w:r w:rsidRPr="00694314">
              <w:rPr>
                <w:color w:val="000000"/>
                <w:sz w:val="18"/>
                <w:szCs w:val="18"/>
              </w:rPr>
              <w:t>-</w:t>
            </w:r>
          </w:p>
        </w:tc>
        <w:tc>
          <w:tcPr>
            <w:tcW w:w="618" w:type="pct"/>
            <w:tcBorders>
              <w:left w:val="single" w:sz="4" w:space="0" w:color="auto"/>
              <w:right w:val="nil"/>
            </w:tcBorders>
            <w:shd w:val="clear" w:color="000000" w:fill="FFFFFF"/>
            <w:noWrap/>
            <w:tcMar>
              <w:top w:w="15" w:type="dxa"/>
              <w:left w:w="15" w:type="dxa"/>
              <w:bottom w:w="0" w:type="dxa"/>
              <w:right w:w="15" w:type="dxa"/>
            </w:tcMar>
            <w:vAlign w:val="center"/>
          </w:tcPr>
          <w:p w:rsidR="005A4E0D" w:rsidRPr="00694314" w:rsidRDefault="005A4E0D" w:rsidP="00BE72ED">
            <w:pPr>
              <w:jc w:val="center"/>
              <w:rPr>
                <w:i/>
                <w:color w:val="000000"/>
                <w:sz w:val="18"/>
                <w:szCs w:val="18"/>
              </w:rPr>
            </w:pPr>
            <w:r w:rsidRPr="00694314">
              <w:rPr>
                <w:i/>
                <w:color w:val="000000"/>
                <w:sz w:val="18"/>
                <w:szCs w:val="18"/>
              </w:rPr>
              <w:t>T</w:t>
            </w:r>
          </w:p>
        </w:tc>
        <w:tc>
          <w:tcPr>
            <w:tcW w:w="1277" w:type="pct"/>
            <w:gridSpan w:val="5"/>
            <w:tcBorders>
              <w:left w:val="nil"/>
              <w:right w:val="nil"/>
            </w:tcBorders>
            <w:shd w:val="clear" w:color="000000" w:fill="FFFFFF"/>
            <w:noWrap/>
            <w:tcMar>
              <w:top w:w="15" w:type="dxa"/>
              <w:left w:w="15" w:type="dxa"/>
              <w:bottom w:w="0" w:type="dxa"/>
              <w:right w:w="15" w:type="dxa"/>
            </w:tcMar>
            <w:vAlign w:val="center"/>
          </w:tcPr>
          <w:p w:rsidR="005A4E0D" w:rsidRPr="00694314" w:rsidRDefault="005A4E0D" w:rsidP="00BE72ED">
            <w:pPr>
              <w:jc w:val="center"/>
              <w:rPr>
                <w:color w:val="000000"/>
                <w:sz w:val="18"/>
                <w:szCs w:val="18"/>
              </w:rPr>
            </w:pPr>
            <w:r w:rsidRPr="00694314">
              <w:rPr>
                <w:color w:val="000000"/>
                <w:sz w:val="18"/>
                <w:szCs w:val="18"/>
              </w:rPr>
              <w:t>Temperature</w:t>
            </w:r>
          </w:p>
        </w:tc>
        <w:tc>
          <w:tcPr>
            <w:tcW w:w="421" w:type="pct"/>
            <w:gridSpan w:val="2"/>
            <w:tcBorders>
              <w:left w:val="nil"/>
              <w:right w:val="nil"/>
            </w:tcBorders>
            <w:shd w:val="clear" w:color="000000" w:fill="FFFFFF"/>
            <w:noWrap/>
            <w:tcMar>
              <w:top w:w="15" w:type="dxa"/>
              <w:left w:w="15" w:type="dxa"/>
              <w:bottom w:w="0" w:type="dxa"/>
              <w:right w:w="15" w:type="dxa"/>
            </w:tcMar>
            <w:vAlign w:val="center"/>
          </w:tcPr>
          <w:p w:rsidR="005A4E0D" w:rsidRPr="00694314" w:rsidRDefault="005A4E0D" w:rsidP="00BE72ED">
            <w:pPr>
              <w:jc w:val="center"/>
              <w:rPr>
                <w:color w:val="000000"/>
                <w:sz w:val="18"/>
                <w:szCs w:val="18"/>
              </w:rPr>
            </w:pPr>
            <w:r w:rsidRPr="00694314">
              <w:rPr>
                <w:color w:val="000000"/>
                <w:sz w:val="18"/>
                <w:szCs w:val="18"/>
              </w:rPr>
              <w:t>K</w:t>
            </w:r>
          </w:p>
        </w:tc>
      </w:tr>
      <w:tr w:rsidR="00BE72ED" w:rsidRPr="000D4130" w:rsidTr="00BE72ED">
        <w:trPr>
          <w:gridAfter w:val="1"/>
          <w:divId w:val="1501965819"/>
          <w:wAfter w:w="8" w:type="pct"/>
          <w:trHeight w:val="284"/>
        </w:trPr>
        <w:tc>
          <w:tcPr>
            <w:tcW w:w="398" w:type="pct"/>
            <w:gridSpan w:val="2"/>
            <w:tcBorders>
              <w:top w:val="nil"/>
              <w:left w:val="nil"/>
              <w:bottom w:val="nil"/>
              <w:right w:val="nil"/>
            </w:tcBorders>
            <w:shd w:val="clear" w:color="000000" w:fill="FFFFFF"/>
            <w:noWrap/>
            <w:tcMar>
              <w:top w:w="15" w:type="dxa"/>
              <w:left w:w="15" w:type="dxa"/>
              <w:bottom w:w="0" w:type="dxa"/>
              <w:right w:w="15" w:type="dxa"/>
            </w:tcMar>
            <w:vAlign w:val="center"/>
          </w:tcPr>
          <w:p w:rsidR="005A4E0D" w:rsidRPr="00694314" w:rsidRDefault="005A4E0D" w:rsidP="00BE72ED">
            <w:pPr>
              <w:ind w:hanging="194"/>
              <w:jc w:val="center"/>
              <w:rPr>
                <w:i/>
                <w:color w:val="000000"/>
                <w:sz w:val="18"/>
                <w:szCs w:val="18"/>
                <w:vertAlign w:val="subscript"/>
              </w:rPr>
            </w:pPr>
            <w:r w:rsidRPr="00694314">
              <w:rPr>
                <w:i/>
                <w:color w:val="000000"/>
                <w:sz w:val="18"/>
                <w:szCs w:val="18"/>
              </w:rPr>
              <w:t>C</w:t>
            </w:r>
            <w:r w:rsidRPr="00694314">
              <w:rPr>
                <w:i/>
                <w:color w:val="000000"/>
                <w:sz w:val="18"/>
                <w:szCs w:val="18"/>
                <w:vertAlign w:val="subscript"/>
              </w:rPr>
              <w:t>p</w:t>
            </w:r>
          </w:p>
        </w:tc>
        <w:tc>
          <w:tcPr>
            <w:tcW w:w="1508" w:type="pct"/>
            <w:gridSpan w:val="4"/>
            <w:tcBorders>
              <w:top w:val="nil"/>
              <w:left w:val="nil"/>
              <w:bottom w:val="nil"/>
              <w:right w:val="nil"/>
            </w:tcBorders>
            <w:shd w:val="clear" w:color="000000" w:fill="FFFFFF"/>
            <w:noWrap/>
            <w:tcMar>
              <w:top w:w="15" w:type="dxa"/>
              <w:left w:w="15" w:type="dxa"/>
              <w:bottom w:w="0" w:type="dxa"/>
              <w:right w:w="15" w:type="dxa"/>
            </w:tcMar>
            <w:vAlign w:val="center"/>
          </w:tcPr>
          <w:p w:rsidR="005A4E0D" w:rsidRPr="00694314" w:rsidRDefault="005A4E0D" w:rsidP="00BE72ED">
            <w:pPr>
              <w:ind w:hanging="359"/>
              <w:jc w:val="center"/>
              <w:rPr>
                <w:color w:val="000000"/>
                <w:sz w:val="18"/>
                <w:szCs w:val="18"/>
              </w:rPr>
            </w:pPr>
            <w:r>
              <w:rPr>
                <w:color w:val="000000"/>
                <w:sz w:val="18"/>
                <w:szCs w:val="18"/>
              </w:rPr>
              <w:t xml:space="preserve">       </w:t>
            </w:r>
            <w:r w:rsidRPr="00694314">
              <w:rPr>
                <w:color w:val="000000"/>
                <w:sz w:val="18"/>
                <w:szCs w:val="18"/>
              </w:rPr>
              <w:t>Specific heat</w:t>
            </w:r>
          </w:p>
        </w:tc>
        <w:tc>
          <w:tcPr>
            <w:tcW w:w="769" w:type="pct"/>
            <w:gridSpan w:val="2"/>
            <w:tcBorders>
              <w:top w:val="nil"/>
              <w:left w:val="nil"/>
              <w:bottom w:val="nil"/>
              <w:right w:val="nil"/>
            </w:tcBorders>
            <w:shd w:val="clear" w:color="000000" w:fill="FFFFFF"/>
            <w:noWrap/>
            <w:tcMar>
              <w:top w:w="15" w:type="dxa"/>
              <w:left w:w="15" w:type="dxa"/>
              <w:bottom w:w="0" w:type="dxa"/>
              <w:right w:w="15" w:type="dxa"/>
            </w:tcMar>
            <w:vAlign w:val="center"/>
          </w:tcPr>
          <w:p w:rsidR="005A4E0D" w:rsidRPr="005A4E0D" w:rsidRDefault="005A4E0D" w:rsidP="005A4E0D">
            <w:pPr>
              <w:jc w:val="center"/>
              <w:rPr>
                <w:color w:val="000000"/>
                <w:sz w:val="18"/>
                <w:szCs w:val="18"/>
                <w:vertAlign w:val="superscript"/>
              </w:rPr>
            </w:pPr>
            <w:r>
              <w:rPr>
                <w:color w:val="000000"/>
                <w:sz w:val="18"/>
                <w:szCs w:val="18"/>
              </w:rPr>
              <w:t xml:space="preserve">kJ </w:t>
            </w:r>
            <w:r w:rsidRPr="00694314">
              <w:rPr>
                <w:color w:val="000000"/>
                <w:sz w:val="18"/>
                <w:szCs w:val="18"/>
              </w:rPr>
              <w:t>kg</w:t>
            </w:r>
            <w:r>
              <w:rPr>
                <w:color w:val="000000"/>
                <w:sz w:val="18"/>
                <w:szCs w:val="18"/>
                <w:vertAlign w:val="superscript"/>
              </w:rPr>
              <w:t>-1</w:t>
            </w:r>
            <w:r>
              <w:rPr>
                <w:color w:val="000000"/>
                <w:sz w:val="18"/>
                <w:szCs w:val="18"/>
              </w:rPr>
              <w:t xml:space="preserve"> </w:t>
            </w:r>
            <w:r w:rsidRPr="00694314">
              <w:rPr>
                <w:color w:val="000000"/>
                <w:sz w:val="18"/>
                <w:szCs w:val="18"/>
              </w:rPr>
              <w:t>K</w:t>
            </w:r>
            <w:r>
              <w:rPr>
                <w:color w:val="000000"/>
                <w:sz w:val="18"/>
                <w:szCs w:val="18"/>
                <w:vertAlign w:val="superscript"/>
              </w:rPr>
              <w:t>-1</w:t>
            </w:r>
          </w:p>
        </w:tc>
        <w:tc>
          <w:tcPr>
            <w:tcW w:w="618" w:type="pct"/>
            <w:tcBorders>
              <w:left w:val="single" w:sz="4" w:space="0" w:color="auto"/>
              <w:right w:val="nil"/>
            </w:tcBorders>
            <w:shd w:val="clear" w:color="000000" w:fill="FFFFFF"/>
            <w:noWrap/>
            <w:tcMar>
              <w:top w:w="15" w:type="dxa"/>
              <w:left w:w="15" w:type="dxa"/>
              <w:bottom w:w="0" w:type="dxa"/>
              <w:right w:w="15" w:type="dxa"/>
            </w:tcMar>
            <w:vAlign w:val="center"/>
          </w:tcPr>
          <w:p w:rsidR="005A4E0D" w:rsidRPr="00694314" w:rsidRDefault="001C7E9D" w:rsidP="005A4E0D">
            <w:pPr>
              <w:jc w:val="center"/>
              <w:rPr>
                <w:i/>
                <w:color w:val="000000"/>
                <w:sz w:val="18"/>
                <w:szCs w:val="18"/>
              </w:rPr>
            </w:pPr>
            <m:oMathPara>
              <m:oMath>
                <m:acc>
                  <m:accPr>
                    <m:chr m:val="̇"/>
                    <m:ctrlPr>
                      <w:rPr>
                        <w:rFonts w:ascii="Cambria Math" w:hAnsi="Cambria Math"/>
                        <w:i/>
                        <w:color w:val="000000"/>
                        <w:sz w:val="18"/>
                        <w:szCs w:val="18"/>
                      </w:rPr>
                    </m:ctrlPr>
                  </m:accPr>
                  <m:e>
                    <m:r>
                      <w:rPr>
                        <w:rFonts w:ascii="Cambria Math" w:hAnsi="Cambria Math"/>
                        <w:color w:val="000000"/>
                        <w:sz w:val="18"/>
                        <w:szCs w:val="18"/>
                      </w:rPr>
                      <m:t>v</m:t>
                    </m:r>
                  </m:e>
                </m:acc>
              </m:oMath>
            </m:oMathPara>
          </w:p>
        </w:tc>
        <w:tc>
          <w:tcPr>
            <w:tcW w:w="1277" w:type="pct"/>
            <w:gridSpan w:val="5"/>
            <w:tcBorders>
              <w:left w:val="nil"/>
              <w:right w:val="nil"/>
            </w:tcBorders>
            <w:shd w:val="clear" w:color="000000" w:fill="FFFFFF"/>
            <w:noWrap/>
            <w:tcMar>
              <w:top w:w="15" w:type="dxa"/>
              <w:left w:w="15" w:type="dxa"/>
              <w:bottom w:w="0" w:type="dxa"/>
              <w:right w:w="15" w:type="dxa"/>
            </w:tcMar>
            <w:vAlign w:val="center"/>
          </w:tcPr>
          <w:p w:rsidR="005A4E0D" w:rsidRPr="00694314" w:rsidRDefault="005A4E0D" w:rsidP="00BE72ED">
            <w:pPr>
              <w:jc w:val="center"/>
              <w:rPr>
                <w:color w:val="000000"/>
                <w:sz w:val="18"/>
                <w:szCs w:val="18"/>
              </w:rPr>
            </w:pPr>
            <w:r>
              <w:rPr>
                <w:color w:val="000000"/>
                <w:sz w:val="18"/>
                <w:szCs w:val="18"/>
              </w:rPr>
              <w:t>Volume flow rate</w:t>
            </w:r>
          </w:p>
        </w:tc>
        <w:tc>
          <w:tcPr>
            <w:tcW w:w="421" w:type="pct"/>
            <w:gridSpan w:val="2"/>
            <w:tcBorders>
              <w:left w:val="nil"/>
              <w:right w:val="nil"/>
            </w:tcBorders>
            <w:shd w:val="clear" w:color="000000" w:fill="FFFFFF"/>
            <w:noWrap/>
            <w:tcMar>
              <w:top w:w="15" w:type="dxa"/>
              <w:left w:w="15" w:type="dxa"/>
              <w:bottom w:w="0" w:type="dxa"/>
              <w:right w:w="15" w:type="dxa"/>
            </w:tcMar>
            <w:vAlign w:val="center"/>
          </w:tcPr>
          <w:p w:rsidR="005A4E0D" w:rsidRPr="005A4E0D" w:rsidRDefault="005A4E0D" w:rsidP="00BE72ED">
            <w:pPr>
              <w:jc w:val="center"/>
              <w:rPr>
                <w:color w:val="000000"/>
                <w:sz w:val="18"/>
                <w:szCs w:val="18"/>
              </w:rPr>
            </w:pPr>
            <w:r w:rsidRPr="005A4E0D">
              <w:rPr>
                <w:sz w:val="18"/>
                <w:szCs w:val="18"/>
              </w:rPr>
              <w:t>m</w:t>
            </w:r>
            <w:r w:rsidRPr="005A4E0D">
              <w:rPr>
                <w:sz w:val="18"/>
                <w:szCs w:val="18"/>
                <w:vertAlign w:val="superscript"/>
              </w:rPr>
              <w:t>3</w:t>
            </w:r>
            <w:r w:rsidRPr="005A4E0D">
              <w:rPr>
                <w:sz w:val="18"/>
                <w:szCs w:val="18"/>
              </w:rPr>
              <w:t xml:space="preserve"> s</w:t>
            </w:r>
            <w:r w:rsidRPr="005A4E0D">
              <w:rPr>
                <w:sz w:val="18"/>
                <w:szCs w:val="18"/>
                <w:vertAlign w:val="superscript"/>
              </w:rPr>
              <w:t>-1</w:t>
            </w:r>
          </w:p>
        </w:tc>
      </w:tr>
      <w:tr w:rsidR="00BE72ED" w:rsidRPr="000D4130" w:rsidTr="00BE72ED">
        <w:trPr>
          <w:gridAfter w:val="1"/>
          <w:divId w:val="1501965819"/>
          <w:wAfter w:w="8" w:type="pct"/>
          <w:trHeight w:val="284"/>
        </w:trPr>
        <w:tc>
          <w:tcPr>
            <w:tcW w:w="398" w:type="pct"/>
            <w:gridSpan w:val="2"/>
            <w:tcBorders>
              <w:top w:val="nil"/>
              <w:left w:val="nil"/>
              <w:bottom w:val="nil"/>
              <w:right w:val="nil"/>
            </w:tcBorders>
            <w:shd w:val="clear" w:color="000000" w:fill="FFFFFF"/>
            <w:noWrap/>
            <w:tcMar>
              <w:top w:w="15" w:type="dxa"/>
              <w:left w:w="15" w:type="dxa"/>
              <w:bottom w:w="0" w:type="dxa"/>
              <w:right w:w="15" w:type="dxa"/>
            </w:tcMar>
            <w:vAlign w:val="center"/>
          </w:tcPr>
          <w:p w:rsidR="005A4E0D" w:rsidRPr="00F63609" w:rsidRDefault="005A4E0D" w:rsidP="00BE72ED">
            <w:pPr>
              <w:ind w:hanging="197"/>
              <w:jc w:val="center"/>
              <w:rPr>
                <w:bCs/>
                <w:i/>
                <w:color w:val="000000"/>
                <w:sz w:val="18"/>
                <w:szCs w:val="18"/>
              </w:rPr>
            </w:pPr>
            <w:r w:rsidRPr="00F63609">
              <w:rPr>
                <w:bCs/>
                <w:i/>
                <w:color w:val="000000"/>
                <w:sz w:val="18"/>
                <w:szCs w:val="18"/>
              </w:rPr>
              <w:t>h</w:t>
            </w:r>
          </w:p>
        </w:tc>
        <w:tc>
          <w:tcPr>
            <w:tcW w:w="1508" w:type="pct"/>
            <w:gridSpan w:val="4"/>
            <w:tcBorders>
              <w:top w:val="nil"/>
              <w:left w:val="nil"/>
              <w:bottom w:val="nil"/>
              <w:right w:val="nil"/>
            </w:tcBorders>
            <w:shd w:val="clear" w:color="000000" w:fill="FFFFFF"/>
            <w:noWrap/>
            <w:tcMar>
              <w:top w:w="15" w:type="dxa"/>
              <w:left w:w="15" w:type="dxa"/>
              <w:bottom w:w="0" w:type="dxa"/>
              <w:right w:w="15" w:type="dxa"/>
            </w:tcMar>
            <w:vAlign w:val="center"/>
          </w:tcPr>
          <w:p w:rsidR="005A4E0D" w:rsidRPr="00F63609" w:rsidRDefault="005A4E0D" w:rsidP="00BE72ED">
            <w:pPr>
              <w:jc w:val="center"/>
              <w:rPr>
                <w:bCs/>
                <w:color w:val="000000"/>
                <w:sz w:val="18"/>
                <w:szCs w:val="18"/>
              </w:rPr>
            </w:pPr>
            <w:r w:rsidRPr="00F63609">
              <w:rPr>
                <w:bCs/>
                <w:color w:val="000000"/>
                <w:sz w:val="18"/>
                <w:szCs w:val="18"/>
              </w:rPr>
              <w:t xml:space="preserve">Enthalpy </w:t>
            </w:r>
          </w:p>
        </w:tc>
        <w:tc>
          <w:tcPr>
            <w:tcW w:w="769" w:type="pct"/>
            <w:gridSpan w:val="2"/>
            <w:tcBorders>
              <w:top w:val="nil"/>
              <w:left w:val="nil"/>
              <w:bottom w:val="nil"/>
              <w:right w:val="single" w:sz="4" w:space="0" w:color="auto"/>
            </w:tcBorders>
            <w:shd w:val="clear" w:color="000000" w:fill="FFFFFF"/>
            <w:noWrap/>
            <w:tcMar>
              <w:top w:w="15" w:type="dxa"/>
              <w:left w:w="15" w:type="dxa"/>
              <w:bottom w:w="0" w:type="dxa"/>
              <w:right w:w="15" w:type="dxa"/>
            </w:tcMar>
            <w:vAlign w:val="center"/>
          </w:tcPr>
          <w:p w:rsidR="005A4E0D" w:rsidRPr="005A4E0D" w:rsidRDefault="005A4E0D" w:rsidP="00BE72ED">
            <w:pPr>
              <w:jc w:val="center"/>
              <w:rPr>
                <w:bCs/>
                <w:color w:val="000000"/>
                <w:sz w:val="18"/>
                <w:szCs w:val="18"/>
                <w:vertAlign w:val="superscript"/>
              </w:rPr>
            </w:pPr>
            <w:r>
              <w:rPr>
                <w:bCs/>
                <w:color w:val="000000"/>
                <w:sz w:val="18"/>
                <w:szCs w:val="18"/>
              </w:rPr>
              <w:t xml:space="preserve">kJ </w:t>
            </w:r>
            <w:r w:rsidRPr="00F63609">
              <w:rPr>
                <w:bCs/>
                <w:color w:val="000000"/>
                <w:sz w:val="18"/>
                <w:szCs w:val="18"/>
              </w:rPr>
              <w:t>kg</w:t>
            </w:r>
            <w:r>
              <w:rPr>
                <w:bCs/>
                <w:color w:val="000000"/>
                <w:sz w:val="18"/>
                <w:szCs w:val="18"/>
                <w:vertAlign w:val="superscript"/>
              </w:rPr>
              <w:t>-1</w:t>
            </w:r>
          </w:p>
        </w:tc>
        <w:tc>
          <w:tcPr>
            <w:tcW w:w="618" w:type="pct"/>
            <w:tcBorders>
              <w:left w:val="single" w:sz="4" w:space="0" w:color="auto"/>
              <w:bottom w:val="single" w:sz="4" w:space="0" w:color="auto"/>
            </w:tcBorders>
            <w:noWrap/>
            <w:tcMar>
              <w:top w:w="15" w:type="dxa"/>
              <w:left w:w="15" w:type="dxa"/>
              <w:bottom w:w="0" w:type="dxa"/>
              <w:right w:w="15" w:type="dxa"/>
            </w:tcMar>
            <w:vAlign w:val="center"/>
          </w:tcPr>
          <w:p w:rsidR="005A4E0D" w:rsidRPr="00694314" w:rsidRDefault="001C7E9D" w:rsidP="00BE72ED">
            <w:pPr>
              <w:jc w:val="center"/>
              <w:rPr>
                <w:i/>
                <w:color w:val="000000"/>
                <w:sz w:val="18"/>
                <w:szCs w:val="18"/>
              </w:rPr>
            </w:pPr>
            <m:oMathPara>
              <m:oMath>
                <m:acc>
                  <m:accPr>
                    <m:chr m:val="̇"/>
                    <m:ctrlPr>
                      <w:rPr>
                        <w:rFonts w:ascii="Cambria Math" w:hAnsi="Cambria Math"/>
                        <w:i/>
                        <w:color w:val="000000"/>
                        <w:sz w:val="18"/>
                        <w:szCs w:val="18"/>
                      </w:rPr>
                    </m:ctrlPr>
                  </m:accPr>
                  <m:e>
                    <m:r>
                      <w:rPr>
                        <w:rFonts w:ascii="Cambria Math" w:hAnsi="Cambria Math"/>
                        <w:color w:val="000000"/>
                        <w:sz w:val="18"/>
                        <w:szCs w:val="18"/>
                      </w:rPr>
                      <m:t>W</m:t>
                    </m:r>
                  </m:e>
                </m:acc>
              </m:oMath>
            </m:oMathPara>
          </w:p>
        </w:tc>
        <w:tc>
          <w:tcPr>
            <w:tcW w:w="1277" w:type="pct"/>
            <w:gridSpan w:val="5"/>
            <w:tcBorders>
              <w:bottom w:val="single" w:sz="4" w:space="0" w:color="auto"/>
            </w:tcBorders>
            <w:noWrap/>
            <w:tcMar>
              <w:top w:w="15" w:type="dxa"/>
              <w:left w:w="15" w:type="dxa"/>
              <w:bottom w:w="0" w:type="dxa"/>
              <w:right w:w="15" w:type="dxa"/>
            </w:tcMar>
            <w:vAlign w:val="center"/>
          </w:tcPr>
          <w:p w:rsidR="005A4E0D" w:rsidRPr="00694314" w:rsidRDefault="005A4E0D" w:rsidP="00BE72ED">
            <w:pPr>
              <w:jc w:val="center"/>
              <w:rPr>
                <w:color w:val="000000"/>
                <w:sz w:val="18"/>
                <w:szCs w:val="18"/>
              </w:rPr>
            </w:pPr>
            <w:r w:rsidRPr="00694314">
              <w:rPr>
                <w:color w:val="000000"/>
                <w:sz w:val="18"/>
                <w:szCs w:val="18"/>
              </w:rPr>
              <w:t>Power</w:t>
            </w:r>
          </w:p>
        </w:tc>
        <w:tc>
          <w:tcPr>
            <w:tcW w:w="421" w:type="pct"/>
            <w:gridSpan w:val="2"/>
            <w:tcBorders>
              <w:bottom w:val="single" w:sz="4" w:space="0" w:color="auto"/>
            </w:tcBorders>
            <w:noWrap/>
            <w:tcMar>
              <w:top w:w="15" w:type="dxa"/>
              <w:left w:w="15" w:type="dxa"/>
              <w:bottom w:w="0" w:type="dxa"/>
              <w:right w:w="15" w:type="dxa"/>
            </w:tcMar>
            <w:vAlign w:val="center"/>
          </w:tcPr>
          <w:p w:rsidR="005A4E0D" w:rsidRPr="00694314" w:rsidRDefault="005A4E0D" w:rsidP="00BE72ED">
            <w:pPr>
              <w:jc w:val="center"/>
              <w:rPr>
                <w:color w:val="000000"/>
                <w:sz w:val="18"/>
                <w:szCs w:val="18"/>
              </w:rPr>
            </w:pPr>
            <w:r w:rsidRPr="00694314">
              <w:rPr>
                <w:color w:val="000000"/>
                <w:sz w:val="18"/>
                <w:szCs w:val="18"/>
              </w:rPr>
              <w:t>kW</w:t>
            </w:r>
          </w:p>
        </w:tc>
      </w:tr>
      <w:tr w:rsidR="00BE72ED" w:rsidRPr="000D4130" w:rsidTr="00BE72ED">
        <w:tblPrEx>
          <w:tblCellMar>
            <w:left w:w="108" w:type="dxa"/>
            <w:right w:w="108" w:type="dxa"/>
          </w:tblCellMar>
        </w:tblPrEx>
        <w:trPr>
          <w:gridBefore w:val="1"/>
          <w:divId w:val="1501965819"/>
          <w:wBefore w:w="77" w:type="pct"/>
          <w:trHeight w:val="284"/>
        </w:trPr>
        <w:tc>
          <w:tcPr>
            <w:tcW w:w="396" w:type="pct"/>
            <w:gridSpan w:val="2"/>
            <w:tcBorders>
              <w:top w:val="nil"/>
              <w:left w:val="nil"/>
              <w:bottom w:val="nil"/>
              <w:right w:val="nil"/>
            </w:tcBorders>
            <w:shd w:val="clear" w:color="000000" w:fill="FFFFFF"/>
            <w:noWrap/>
            <w:vAlign w:val="center"/>
          </w:tcPr>
          <w:p w:rsidR="005A4E0D" w:rsidRPr="00694314" w:rsidRDefault="001C7E9D" w:rsidP="00BE72ED">
            <w:pPr>
              <w:ind w:left="-520" w:firstLine="426"/>
              <w:jc w:val="center"/>
              <w:rPr>
                <w:i/>
                <w:color w:val="000000"/>
                <w:sz w:val="18"/>
                <w:szCs w:val="18"/>
              </w:rPr>
            </w:pPr>
            <m:oMathPara>
              <m:oMath>
                <m:acc>
                  <m:accPr>
                    <m:chr m:val="̇"/>
                    <m:ctrlPr>
                      <w:rPr>
                        <w:rFonts w:ascii="Cambria Math" w:hAnsi="Cambria Math"/>
                        <w:i/>
                        <w:color w:val="000000"/>
                        <w:sz w:val="18"/>
                        <w:szCs w:val="18"/>
                      </w:rPr>
                    </m:ctrlPr>
                  </m:accPr>
                  <m:e>
                    <m:r>
                      <w:rPr>
                        <w:rFonts w:ascii="Cambria Math" w:hAnsi="Cambria Math"/>
                        <w:color w:val="000000"/>
                        <w:sz w:val="18"/>
                        <w:szCs w:val="18"/>
                      </w:rPr>
                      <m:t>m</m:t>
                    </m:r>
                  </m:e>
                </m:acc>
              </m:oMath>
            </m:oMathPara>
          </w:p>
        </w:tc>
        <w:tc>
          <w:tcPr>
            <w:tcW w:w="1357" w:type="pct"/>
            <w:gridSpan w:val="2"/>
            <w:tcBorders>
              <w:top w:val="nil"/>
              <w:left w:val="nil"/>
              <w:bottom w:val="nil"/>
              <w:right w:val="nil"/>
            </w:tcBorders>
            <w:shd w:val="clear" w:color="000000" w:fill="FFFFFF"/>
            <w:noWrap/>
            <w:vAlign w:val="center"/>
          </w:tcPr>
          <w:p w:rsidR="005A4E0D" w:rsidRPr="00694314" w:rsidRDefault="005A4E0D" w:rsidP="00BE72ED">
            <w:pPr>
              <w:jc w:val="center"/>
              <w:rPr>
                <w:color w:val="000000"/>
                <w:sz w:val="18"/>
                <w:szCs w:val="18"/>
              </w:rPr>
            </w:pPr>
            <w:r w:rsidRPr="00694314">
              <w:rPr>
                <w:color w:val="000000"/>
                <w:sz w:val="18"/>
                <w:szCs w:val="18"/>
              </w:rPr>
              <w:t>Mass flow rate</w:t>
            </w:r>
          </w:p>
        </w:tc>
        <w:tc>
          <w:tcPr>
            <w:tcW w:w="845" w:type="pct"/>
            <w:gridSpan w:val="3"/>
            <w:tcBorders>
              <w:top w:val="nil"/>
              <w:left w:val="nil"/>
              <w:bottom w:val="nil"/>
              <w:right w:val="single" w:sz="4" w:space="0" w:color="auto"/>
            </w:tcBorders>
            <w:shd w:val="clear" w:color="000000" w:fill="FFFFFF"/>
            <w:noWrap/>
            <w:vAlign w:val="center"/>
          </w:tcPr>
          <w:p w:rsidR="005A4E0D" w:rsidRPr="005A4E0D" w:rsidRDefault="005A4E0D" w:rsidP="00BE72ED">
            <w:pPr>
              <w:jc w:val="center"/>
              <w:rPr>
                <w:color w:val="000000"/>
                <w:sz w:val="18"/>
                <w:szCs w:val="18"/>
                <w:vertAlign w:val="superscript"/>
              </w:rPr>
            </w:pPr>
            <w:r>
              <w:rPr>
                <w:color w:val="000000"/>
                <w:sz w:val="18"/>
                <w:szCs w:val="18"/>
              </w:rPr>
              <w:t xml:space="preserve">kg </w:t>
            </w:r>
            <w:r w:rsidRPr="00694314">
              <w:rPr>
                <w:color w:val="000000"/>
                <w:sz w:val="18"/>
                <w:szCs w:val="18"/>
              </w:rPr>
              <w:t>s</w:t>
            </w:r>
            <w:r>
              <w:rPr>
                <w:color w:val="000000"/>
                <w:sz w:val="18"/>
                <w:szCs w:val="18"/>
                <w:vertAlign w:val="superscript"/>
              </w:rPr>
              <w:t>-1</w:t>
            </w:r>
          </w:p>
        </w:tc>
        <w:tc>
          <w:tcPr>
            <w:tcW w:w="618" w:type="pct"/>
            <w:tcBorders>
              <w:bottom w:val="single" w:sz="4" w:space="0" w:color="auto"/>
            </w:tcBorders>
            <w:vAlign w:val="center"/>
          </w:tcPr>
          <w:p w:rsidR="005A4E0D" w:rsidRPr="00694314" w:rsidRDefault="005A4E0D" w:rsidP="0084609C">
            <w:pPr>
              <w:spacing w:before="120"/>
              <w:jc w:val="center"/>
              <w:rPr>
                <w:i/>
                <w:color w:val="000000"/>
                <w:sz w:val="18"/>
                <w:szCs w:val="18"/>
              </w:rPr>
            </w:pPr>
            <w:r w:rsidRPr="00694314">
              <w:rPr>
                <w:b/>
                <w:bCs/>
                <w:color w:val="000000"/>
                <w:sz w:val="18"/>
                <w:szCs w:val="18"/>
              </w:rPr>
              <w:t>Greek Symbol </w:t>
            </w:r>
          </w:p>
        </w:tc>
        <w:tc>
          <w:tcPr>
            <w:tcW w:w="1192" w:type="pct"/>
            <w:gridSpan w:val="4"/>
            <w:tcBorders>
              <w:bottom w:val="single" w:sz="4" w:space="0" w:color="auto"/>
            </w:tcBorders>
            <w:vAlign w:val="center"/>
          </w:tcPr>
          <w:p w:rsidR="005A4E0D" w:rsidRPr="00694314" w:rsidRDefault="005A4E0D" w:rsidP="0084609C">
            <w:pPr>
              <w:spacing w:before="120"/>
              <w:jc w:val="center"/>
              <w:rPr>
                <w:color w:val="000000"/>
                <w:sz w:val="18"/>
                <w:szCs w:val="18"/>
              </w:rPr>
            </w:pPr>
            <w:r w:rsidRPr="00694314">
              <w:rPr>
                <w:b/>
                <w:bCs/>
                <w:color w:val="000000"/>
                <w:sz w:val="18"/>
                <w:szCs w:val="18"/>
              </w:rPr>
              <w:t>Name</w:t>
            </w:r>
          </w:p>
        </w:tc>
        <w:tc>
          <w:tcPr>
            <w:tcW w:w="514" w:type="pct"/>
            <w:gridSpan w:val="4"/>
            <w:tcBorders>
              <w:bottom w:val="single" w:sz="4" w:space="0" w:color="auto"/>
            </w:tcBorders>
            <w:vAlign w:val="center"/>
          </w:tcPr>
          <w:p w:rsidR="005A4E0D" w:rsidRPr="00694314" w:rsidRDefault="005A4E0D" w:rsidP="0084609C">
            <w:pPr>
              <w:spacing w:before="120"/>
              <w:jc w:val="center"/>
              <w:rPr>
                <w:color w:val="000000"/>
                <w:sz w:val="18"/>
                <w:szCs w:val="18"/>
              </w:rPr>
            </w:pPr>
            <w:r w:rsidRPr="00694314">
              <w:rPr>
                <w:b/>
                <w:bCs/>
                <w:color w:val="000000"/>
                <w:sz w:val="18"/>
                <w:szCs w:val="18"/>
              </w:rPr>
              <w:t>Units</w:t>
            </w:r>
          </w:p>
        </w:tc>
      </w:tr>
      <w:tr w:rsidR="00BE72ED" w:rsidRPr="000D4130" w:rsidTr="00BE72ED">
        <w:tblPrEx>
          <w:tblCellMar>
            <w:left w:w="108" w:type="dxa"/>
            <w:right w:w="108" w:type="dxa"/>
          </w:tblCellMar>
        </w:tblPrEx>
        <w:trPr>
          <w:gridBefore w:val="1"/>
          <w:gridAfter w:val="1"/>
          <w:divId w:val="1501965819"/>
          <w:wBefore w:w="77" w:type="pct"/>
          <w:wAfter w:w="8" w:type="pct"/>
          <w:trHeight w:val="284"/>
        </w:trPr>
        <w:tc>
          <w:tcPr>
            <w:tcW w:w="396" w:type="pct"/>
            <w:gridSpan w:val="2"/>
            <w:tcBorders>
              <w:top w:val="nil"/>
              <w:left w:val="nil"/>
              <w:bottom w:val="nil"/>
              <w:right w:val="nil"/>
            </w:tcBorders>
            <w:shd w:val="clear" w:color="000000" w:fill="FFFFFF"/>
            <w:noWrap/>
            <w:vAlign w:val="center"/>
          </w:tcPr>
          <w:p w:rsidR="005A4E0D" w:rsidRPr="00694314" w:rsidRDefault="005A4E0D" w:rsidP="00BE72ED">
            <w:pPr>
              <w:ind w:left="-520"/>
              <w:jc w:val="center"/>
              <w:rPr>
                <w:i/>
                <w:color w:val="000000"/>
                <w:sz w:val="18"/>
                <w:szCs w:val="18"/>
              </w:rPr>
            </w:pPr>
            <w:r w:rsidRPr="00694314">
              <w:rPr>
                <w:i/>
                <w:color w:val="000000"/>
                <w:sz w:val="18"/>
                <w:szCs w:val="18"/>
              </w:rPr>
              <w:t>P</w:t>
            </w:r>
          </w:p>
        </w:tc>
        <w:tc>
          <w:tcPr>
            <w:tcW w:w="1357" w:type="pct"/>
            <w:gridSpan w:val="2"/>
            <w:tcBorders>
              <w:top w:val="nil"/>
              <w:left w:val="nil"/>
              <w:bottom w:val="nil"/>
              <w:right w:val="nil"/>
            </w:tcBorders>
            <w:shd w:val="clear" w:color="000000" w:fill="FFFFFF"/>
            <w:noWrap/>
            <w:vAlign w:val="center"/>
          </w:tcPr>
          <w:p w:rsidR="005A4E0D" w:rsidRPr="00694314" w:rsidRDefault="005A4E0D" w:rsidP="00BE72ED">
            <w:pPr>
              <w:jc w:val="center"/>
              <w:rPr>
                <w:color w:val="000000"/>
                <w:sz w:val="18"/>
                <w:szCs w:val="18"/>
              </w:rPr>
            </w:pPr>
            <w:r w:rsidRPr="00694314">
              <w:rPr>
                <w:color w:val="000000"/>
                <w:sz w:val="18"/>
                <w:szCs w:val="18"/>
              </w:rPr>
              <w:t>Pressure</w:t>
            </w:r>
          </w:p>
        </w:tc>
        <w:tc>
          <w:tcPr>
            <w:tcW w:w="845" w:type="pct"/>
            <w:gridSpan w:val="3"/>
            <w:tcBorders>
              <w:top w:val="nil"/>
              <w:left w:val="nil"/>
              <w:bottom w:val="nil"/>
              <w:right w:val="single" w:sz="4" w:space="0" w:color="auto"/>
            </w:tcBorders>
            <w:shd w:val="clear" w:color="000000" w:fill="FFFFFF"/>
            <w:noWrap/>
            <w:vAlign w:val="center"/>
          </w:tcPr>
          <w:p w:rsidR="005A4E0D" w:rsidRPr="00694314" w:rsidRDefault="00BE72ED" w:rsidP="00BE72ED">
            <w:pPr>
              <w:rPr>
                <w:color w:val="000000"/>
                <w:sz w:val="18"/>
                <w:szCs w:val="18"/>
                <w:vertAlign w:val="superscript"/>
              </w:rPr>
            </w:pPr>
            <w:r>
              <w:rPr>
                <w:color w:val="000000"/>
                <w:sz w:val="18"/>
                <w:szCs w:val="18"/>
              </w:rPr>
              <w:t xml:space="preserve">         </w:t>
            </w:r>
            <w:r w:rsidR="005A4E0D" w:rsidRPr="00694314">
              <w:rPr>
                <w:color w:val="000000"/>
                <w:sz w:val="18"/>
                <w:szCs w:val="18"/>
              </w:rPr>
              <w:t>kPa</w:t>
            </w:r>
          </w:p>
        </w:tc>
        <w:tc>
          <w:tcPr>
            <w:tcW w:w="691" w:type="pct"/>
            <w:gridSpan w:val="2"/>
            <w:tcBorders>
              <w:top w:val="single" w:sz="4" w:space="0" w:color="auto"/>
              <w:left w:val="single" w:sz="4" w:space="0" w:color="auto"/>
              <w:bottom w:val="nil"/>
              <w:right w:val="nil"/>
            </w:tcBorders>
            <w:shd w:val="clear" w:color="000000" w:fill="FFFFFF"/>
            <w:vAlign w:val="center"/>
          </w:tcPr>
          <w:p w:rsidR="005A4E0D" w:rsidRPr="00694314" w:rsidRDefault="005A4E0D" w:rsidP="0084609C">
            <w:pPr>
              <w:tabs>
                <w:tab w:val="left" w:pos="166"/>
                <w:tab w:val="left" w:pos="1192"/>
              </w:tabs>
              <w:ind w:right="176"/>
              <w:jc w:val="center"/>
              <w:rPr>
                <w:i/>
                <w:color w:val="000000"/>
                <w:sz w:val="18"/>
                <w:szCs w:val="18"/>
              </w:rPr>
            </w:pPr>
            <w:r w:rsidRPr="00694314">
              <w:rPr>
                <w:i/>
                <w:color w:val="000000"/>
                <w:sz w:val="18"/>
                <w:szCs w:val="18"/>
              </w:rPr>
              <w:t>ε</w:t>
            </w:r>
          </w:p>
        </w:tc>
        <w:tc>
          <w:tcPr>
            <w:tcW w:w="1108" w:type="pct"/>
            <w:gridSpan w:val="2"/>
            <w:tcBorders>
              <w:top w:val="single" w:sz="4" w:space="0" w:color="auto"/>
              <w:left w:val="nil"/>
              <w:bottom w:val="nil"/>
              <w:right w:val="nil"/>
            </w:tcBorders>
            <w:shd w:val="clear" w:color="000000" w:fill="FFFFFF"/>
            <w:vAlign w:val="center"/>
          </w:tcPr>
          <w:p w:rsidR="005A4E0D" w:rsidRPr="00694314" w:rsidRDefault="005A4E0D" w:rsidP="0084609C">
            <w:pPr>
              <w:jc w:val="center"/>
              <w:rPr>
                <w:color w:val="000000"/>
                <w:sz w:val="18"/>
                <w:szCs w:val="18"/>
              </w:rPr>
            </w:pPr>
            <w:r w:rsidRPr="00694314">
              <w:rPr>
                <w:color w:val="000000"/>
                <w:sz w:val="18"/>
                <w:szCs w:val="18"/>
              </w:rPr>
              <w:t>Ratio of mechanical power returned</w:t>
            </w:r>
          </w:p>
        </w:tc>
        <w:tc>
          <w:tcPr>
            <w:tcW w:w="517" w:type="pct"/>
            <w:gridSpan w:val="4"/>
            <w:tcBorders>
              <w:top w:val="single" w:sz="4" w:space="0" w:color="auto"/>
              <w:left w:val="nil"/>
              <w:bottom w:val="nil"/>
              <w:right w:val="nil"/>
            </w:tcBorders>
            <w:shd w:val="clear" w:color="000000" w:fill="FFFFFF"/>
            <w:vAlign w:val="center"/>
          </w:tcPr>
          <w:p w:rsidR="005A4E0D" w:rsidRPr="00694314" w:rsidRDefault="005A4E0D" w:rsidP="0084609C">
            <w:pPr>
              <w:jc w:val="center"/>
              <w:rPr>
                <w:color w:val="000000"/>
                <w:sz w:val="18"/>
                <w:szCs w:val="18"/>
              </w:rPr>
            </w:pPr>
            <w:r w:rsidRPr="00694314">
              <w:rPr>
                <w:color w:val="000000"/>
                <w:sz w:val="18"/>
                <w:szCs w:val="18"/>
              </w:rPr>
              <w:t>-</w:t>
            </w:r>
          </w:p>
        </w:tc>
      </w:tr>
      <w:tr w:rsidR="005A4E0D" w:rsidRPr="000D4130" w:rsidTr="00BE72ED">
        <w:trPr>
          <w:divId w:val="1501965819"/>
          <w:trHeight w:val="284"/>
        </w:trPr>
        <w:tc>
          <w:tcPr>
            <w:tcW w:w="487" w:type="pct"/>
            <w:gridSpan w:val="4"/>
            <w:tcBorders>
              <w:top w:val="nil"/>
              <w:left w:val="nil"/>
              <w:right w:val="nil"/>
            </w:tcBorders>
            <w:shd w:val="clear" w:color="000000" w:fill="FFFFFF"/>
            <w:noWrap/>
            <w:tcMar>
              <w:top w:w="15" w:type="dxa"/>
              <w:left w:w="15" w:type="dxa"/>
              <w:bottom w:w="0" w:type="dxa"/>
              <w:right w:w="15" w:type="dxa"/>
            </w:tcMar>
            <w:vAlign w:val="center"/>
          </w:tcPr>
          <w:p w:rsidR="005A4E0D" w:rsidRPr="00694314" w:rsidRDefault="001C7E9D" w:rsidP="00BE72ED">
            <w:pPr>
              <w:ind w:left="-441"/>
              <w:jc w:val="center"/>
              <w:rPr>
                <w:i/>
                <w:color w:val="000000"/>
                <w:sz w:val="18"/>
                <w:szCs w:val="18"/>
              </w:rPr>
            </w:pPr>
            <m:oMathPara>
              <m:oMath>
                <m:acc>
                  <m:accPr>
                    <m:chr m:val="̇"/>
                    <m:ctrlPr>
                      <w:rPr>
                        <w:rFonts w:ascii="Cambria Math" w:hAnsi="Cambria Math"/>
                        <w:i/>
                        <w:color w:val="000000"/>
                        <w:sz w:val="18"/>
                        <w:szCs w:val="18"/>
                      </w:rPr>
                    </m:ctrlPr>
                  </m:accPr>
                  <m:e>
                    <m:r>
                      <w:rPr>
                        <w:rFonts w:ascii="Cambria Math" w:hAnsi="Cambria Math"/>
                        <w:color w:val="000000"/>
                        <w:sz w:val="18"/>
                        <w:szCs w:val="18"/>
                      </w:rPr>
                      <m:t>Q</m:t>
                    </m:r>
                  </m:e>
                </m:acc>
              </m:oMath>
            </m:oMathPara>
          </w:p>
        </w:tc>
        <w:tc>
          <w:tcPr>
            <w:tcW w:w="1505" w:type="pct"/>
            <w:gridSpan w:val="3"/>
            <w:tcBorders>
              <w:top w:val="nil"/>
              <w:left w:val="nil"/>
              <w:right w:val="nil"/>
            </w:tcBorders>
            <w:shd w:val="clear" w:color="000000" w:fill="FFFFFF"/>
            <w:noWrap/>
            <w:tcMar>
              <w:top w:w="15" w:type="dxa"/>
              <w:left w:w="15" w:type="dxa"/>
              <w:bottom w:w="0" w:type="dxa"/>
              <w:right w:w="15" w:type="dxa"/>
            </w:tcMar>
            <w:vAlign w:val="center"/>
          </w:tcPr>
          <w:p w:rsidR="005A4E0D" w:rsidRPr="00694314" w:rsidRDefault="005A4E0D" w:rsidP="00BE72ED">
            <w:pPr>
              <w:jc w:val="center"/>
              <w:rPr>
                <w:color w:val="000000"/>
                <w:sz w:val="18"/>
                <w:szCs w:val="18"/>
              </w:rPr>
            </w:pPr>
            <w:r w:rsidRPr="00694314">
              <w:rPr>
                <w:color w:val="000000"/>
                <w:sz w:val="18"/>
                <w:szCs w:val="18"/>
              </w:rPr>
              <w:t>Heat transfer rate</w:t>
            </w:r>
          </w:p>
        </w:tc>
        <w:tc>
          <w:tcPr>
            <w:tcW w:w="683" w:type="pct"/>
            <w:tcBorders>
              <w:top w:val="nil"/>
              <w:left w:val="nil"/>
              <w:right w:val="nil"/>
            </w:tcBorders>
            <w:shd w:val="clear" w:color="000000" w:fill="FFFFFF"/>
            <w:noWrap/>
            <w:tcMar>
              <w:top w:w="15" w:type="dxa"/>
              <w:left w:w="15" w:type="dxa"/>
              <w:bottom w:w="0" w:type="dxa"/>
              <w:right w:w="15" w:type="dxa"/>
            </w:tcMar>
            <w:vAlign w:val="center"/>
          </w:tcPr>
          <w:p w:rsidR="005A4E0D" w:rsidRPr="00694314" w:rsidRDefault="005A4E0D" w:rsidP="00BE72ED">
            <w:pPr>
              <w:rPr>
                <w:color w:val="000000"/>
                <w:sz w:val="18"/>
                <w:szCs w:val="18"/>
              </w:rPr>
            </w:pPr>
            <w:r>
              <w:rPr>
                <w:color w:val="000000"/>
                <w:sz w:val="18"/>
                <w:szCs w:val="18"/>
              </w:rPr>
              <w:t xml:space="preserve">    </w:t>
            </w:r>
            <w:r w:rsidRPr="00694314">
              <w:rPr>
                <w:color w:val="000000"/>
                <w:sz w:val="18"/>
                <w:szCs w:val="18"/>
              </w:rPr>
              <w:t>kW</w:t>
            </w:r>
          </w:p>
        </w:tc>
        <w:tc>
          <w:tcPr>
            <w:tcW w:w="701" w:type="pct"/>
            <w:gridSpan w:val="3"/>
            <w:tcBorders>
              <w:top w:val="nil"/>
              <w:left w:val="single" w:sz="4" w:space="0" w:color="auto"/>
              <w:right w:val="nil"/>
            </w:tcBorders>
            <w:shd w:val="clear" w:color="000000" w:fill="FFFFFF"/>
            <w:noWrap/>
            <w:tcMar>
              <w:top w:w="15" w:type="dxa"/>
              <w:left w:w="15" w:type="dxa"/>
              <w:bottom w:w="0" w:type="dxa"/>
              <w:right w:w="15" w:type="dxa"/>
            </w:tcMar>
            <w:vAlign w:val="bottom"/>
          </w:tcPr>
          <w:p w:rsidR="005A4E0D" w:rsidRPr="00694314" w:rsidRDefault="00BE72ED" w:rsidP="005A4E0D">
            <w:pPr>
              <w:rPr>
                <w:i/>
                <w:color w:val="000000"/>
                <w:sz w:val="18"/>
                <w:szCs w:val="18"/>
              </w:rPr>
            </w:pPr>
            <w:r>
              <w:rPr>
                <w:rFonts w:ascii="Calibri" w:hAnsi="Calibri"/>
                <w:i/>
                <w:color w:val="000000"/>
                <w:sz w:val="18"/>
                <w:szCs w:val="18"/>
              </w:rPr>
              <w:t xml:space="preserve">          </w:t>
            </w:r>
            <w:r w:rsidR="005A4E0D">
              <w:rPr>
                <w:rFonts w:ascii="Calibri" w:hAnsi="Calibri"/>
                <w:i/>
                <w:color w:val="000000"/>
                <w:sz w:val="18"/>
                <w:szCs w:val="18"/>
              </w:rPr>
              <w:t>ρ</w:t>
            </w:r>
          </w:p>
        </w:tc>
        <w:tc>
          <w:tcPr>
            <w:tcW w:w="1278" w:type="pct"/>
            <w:gridSpan w:val="4"/>
            <w:tcBorders>
              <w:top w:val="nil"/>
              <w:left w:val="nil"/>
              <w:right w:val="nil"/>
            </w:tcBorders>
            <w:shd w:val="clear" w:color="000000" w:fill="FFFFFF"/>
            <w:noWrap/>
            <w:tcMar>
              <w:top w:w="15" w:type="dxa"/>
              <w:left w:w="15" w:type="dxa"/>
              <w:bottom w:w="0" w:type="dxa"/>
              <w:right w:w="15" w:type="dxa"/>
            </w:tcMar>
            <w:vAlign w:val="bottom"/>
          </w:tcPr>
          <w:p w:rsidR="005A4E0D" w:rsidRPr="00694314" w:rsidRDefault="005A4E0D" w:rsidP="005A4E0D">
            <w:pPr>
              <w:ind w:right="562"/>
              <w:jc w:val="center"/>
              <w:rPr>
                <w:color w:val="000000"/>
                <w:sz w:val="18"/>
                <w:szCs w:val="18"/>
              </w:rPr>
            </w:pPr>
            <w:r>
              <w:rPr>
                <w:color w:val="000000"/>
                <w:sz w:val="18"/>
                <w:szCs w:val="18"/>
              </w:rPr>
              <w:t>Density</w:t>
            </w:r>
          </w:p>
        </w:tc>
        <w:tc>
          <w:tcPr>
            <w:tcW w:w="345" w:type="pct"/>
            <w:gridSpan w:val="2"/>
            <w:tcBorders>
              <w:top w:val="nil"/>
              <w:left w:val="nil"/>
              <w:right w:val="nil"/>
            </w:tcBorders>
            <w:shd w:val="clear" w:color="000000" w:fill="FFFFFF"/>
            <w:noWrap/>
            <w:tcMar>
              <w:top w:w="15" w:type="dxa"/>
              <w:left w:w="15" w:type="dxa"/>
              <w:bottom w:w="0" w:type="dxa"/>
              <w:right w:w="15" w:type="dxa"/>
            </w:tcMar>
            <w:vAlign w:val="bottom"/>
          </w:tcPr>
          <w:p w:rsidR="005A4E0D" w:rsidRPr="005A4E0D" w:rsidRDefault="005A4E0D" w:rsidP="005A4E0D">
            <w:pPr>
              <w:rPr>
                <w:color w:val="000000"/>
                <w:sz w:val="18"/>
                <w:szCs w:val="18"/>
              </w:rPr>
            </w:pPr>
            <w:r w:rsidRPr="005A4E0D">
              <w:rPr>
                <w:sz w:val="18"/>
                <w:szCs w:val="18"/>
              </w:rPr>
              <w:t>kg m</w:t>
            </w:r>
            <w:r w:rsidRPr="005A4E0D">
              <w:rPr>
                <w:sz w:val="18"/>
                <w:szCs w:val="18"/>
                <w:vertAlign w:val="superscript"/>
              </w:rPr>
              <w:t>-3</w:t>
            </w:r>
          </w:p>
        </w:tc>
      </w:tr>
      <w:tr w:rsidR="00BE72ED" w:rsidRPr="000D4130" w:rsidTr="00BE72ED">
        <w:trPr>
          <w:divId w:val="1501965819"/>
          <w:trHeight w:val="284"/>
        </w:trPr>
        <w:tc>
          <w:tcPr>
            <w:tcW w:w="487" w:type="pct"/>
            <w:gridSpan w:val="4"/>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5A4E0D" w:rsidRPr="00694314" w:rsidRDefault="005A4E0D" w:rsidP="00BE72ED">
            <w:pPr>
              <w:jc w:val="center"/>
              <w:rPr>
                <w:i/>
                <w:color w:val="000000"/>
                <w:sz w:val="18"/>
                <w:szCs w:val="18"/>
              </w:rPr>
            </w:pPr>
            <w:r w:rsidRPr="00694314">
              <w:rPr>
                <w:i/>
                <w:color w:val="000000"/>
                <w:sz w:val="18"/>
                <w:szCs w:val="18"/>
              </w:rPr>
              <w:t>SFOC</w:t>
            </w:r>
          </w:p>
        </w:tc>
        <w:tc>
          <w:tcPr>
            <w:tcW w:w="1505" w:type="pct"/>
            <w:gridSpan w:val="3"/>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5A4E0D" w:rsidRDefault="005A4E0D" w:rsidP="00BE72ED">
            <w:pPr>
              <w:jc w:val="center"/>
              <w:rPr>
                <w:color w:val="000000"/>
                <w:sz w:val="18"/>
                <w:szCs w:val="18"/>
              </w:rPr>
            </w:pPr>
            <w:r w:rsidRPr="00694314">
              <w:rPr>
                <w:color w:val="000000"/>
                <w:sz w:val="18"/>
                <w:szCs w:val="18"/>
              </w:rPr>
              <w:t xml:space="preserve">Specific Fuel </w:t>
            </w:r>
          </w:p>
          <w:p w:rsidR="005A4E0D" w:rsidRPr="00694314" w:rsidRDefault="005A4E0D" w:rsidP="00BE72ED">
            <w:pPr>
              <w:jc w:val="center"/>
              <w:rPr>
                <w:color w:val="000000"/>
                <w:sz w:val="18"/>
                <w:szCs w:val="18"/>
              </w:rPr>
            </w:pPr>
            <w:r w:rsidRPr="00694314">
              <w:rPr>
                <w:color w:val="000000"/>
                <w:sz w:val="18"/>
                <w:szCs w:val="18"/>
              </w:rPr>
              <w:t xml:space="preserve">Oil Consumption </w:t>
            </w:r>
          </w:p>
        </w:tc>
        <w:tc>
          <w:tcPr>
            <w:tcW w:w="683" w:type="pct"/>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5A4E0D" w:rsidRPr="005A4E0D" w:rsidRDefault="005A4E0D" w:rsidP="00BE72ED">
            <w:pPr>
              <w:rPr>
                <w:color w:val="000000"/>
                <w:sz w:val="18"/>
                <w:szCs w:val="18"/>
                <w:vertAlign w:val="superscript"/>
              </w:rPr>
            </w:pPr>
            <w:r>
              <w:rPr>
                <w:color w:val="000000"/>
                <w:sz w:val="18"/>
                <w:szCs w:val="18"/>
              </w:rPr>
              <w:t xml:space="preserve">g </w:t>
            </w:r>
            <w:r w:rsidRPr="00694314">
              <w:rPr>
                <w:color w:val="000000"/>
                <w:sz w:val="18"/>
                <w:szCs w:val="18"/>
              </w:rPr>
              <w:t>kWh</w:t>
            </w:r>
            <w:r>
              <w:rPr>
                <w:color w:val="000000"/>
                <w:sz w:val="18"/>
                <w:szCs w:val="18"/>
                <w:vertAlign w:val="superscript"/>
              </w:rPr>
              <w:t>-1</w:t>
            </w:r>
          </w:p>
        </w:tc>
        <w:tc>
          <w:tcPr>
            <w:tcW w:w="701" w:type="pct"/>
            <w:gridSpan w:val="3"/>
            <w:tcBorders>
              <w:top w:val="nil"/>
              <w:left w:val="single" w:sz="4" w:space="0" w:color="auto"/>
              <w:bottom w:val="single" w:sz="4" w:space="0" w:color="auto"/>
              <w:right w:val="nil"/>
            </w:tcBorders>
            <w:shd w:val="clear" w:color="000000" w:fill="FFFFFF"/>
            <w:noWrap/>
            <w:tcMar>
              <w:top w:w="15" w:type="dxa"/>
              <w:left w:w="15" w:type="dxa"/>
              <w:bottom w:w="0" w:type="dxa"/>
              <w:right w:w="15" w:type="dxa"/>
            </w:tcMar>
            <w:vAlign w:val="center"/>
          </w:tcPr>
          <w:p w:rsidR="005A4E0D" w:rsidRPr="00694314" w:rsidRDefault="00BE72ED" w:rsidP="005A4E0D">
            <w:pPr>
              <w:rPr>
                <w:i/>
                <w:color w:val="000000"/>
                <w:sz w:val="18"/>
                <w:szCs w:val="18"/>
              </w:rPr>
            </w:pPr>
            <w:r>
              <w:rPr>
                <w:i/>
                <w:color w:val="000000"/>
                <w:sz w:val="18"/>
                <w:szCs w:val="18"/>
              </w:rPr>
              <w:t xml:space="preserve">        </w:t>
            </w:r>
            <w:r w:rsidR="005A4E0D">
              <w:rPr>
                <w:i/>
                <w:color w:val="000000"/>
                <w:sz w:val="18"/>
                <w:szCs w:val="18"/>
              </w:rPr>
              <w:t xml:space="preserve"> </w:t>
            </w:r>
            <w:r w:rsidR="005A4E0D" w:rsidRPr="00694314">
              <w:rPr>
                <w:i/>
                <w:color w:val="000000"/>
                <w:sz w:val="18"/>
                <w:szCs w:val="18"/>
              </w:rPr>
              <w:t>η</w:t>
            </w:r>
          </w:p>
        </w:tc>
        <w:tc>
          <w:tcPr>
            <w:tcW w:w="1278" w:type="pct"/>
            <w:gridSpan w:val="4"/>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5A4E0D" w:rsidRPr="00694314" w:rsidRDefault="005A4E0D" w:rsidP="005A4E0D">
            <w:pPr>
              <w:ind w:right="562"/>
              <w:jc w:val="center"/>
              <w:rPr>
                <w:color w:val="000000"/>
                <w:sz w:val="18"/>
                <w:szCs w:val="18"/>
              </w:rPr>
            </w:pPr>
            <w:r w:rsidRPr="00694314">
              <w:rPr>
                <w:color w:val="000000"/>
                <w:sz w:val="18"/>
                <w:szCs w:val="18"/>
              </w:rPr>
              <w:t>Efficiency</w:t>
            </w:r>
          </w:p>
        </w:tc>
        <w:tc>
          <w:tcPr>
            <w:tcW w:w="345" w:type="pct"/>
            <w:gridSpan w:val="2"/>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5A4E0D" w:rsidRPr="00694314" w:rsidRDefault="005A4E0D" w:rsidP="005A4E0D">
            <w:pPr>
              <w:jc w:val="center"/>
              <w:rPr>
                <w:color w:val="000000"/>
                <w:sz w:val="18"/>
                <w:szCs w:val="18"/>
              </w:rPr>
            </w:pPr>
            <w:r w:rsidRPr="00694314">
              <w:rPr>
                <w:color w:val="000000"/>
                <w:sz w:val="18"/>
                <w:szCs w:val="18"/>
              </w:rPr>
              <w:t>%</w:t>
            </w:r>
          </w:p>
        </w:tc>
      </w:tr>
    </w:tbl>
    <w:p w:rsidR="00BE72ED" w:rsidRDefault="00BE72ED" w:rsidP="00E0790D">
      <w:pPr>
        <w:divId w:val="1501965819"/>
      </w:pPr>
    </w:p>
    <w:p w:rsidR="00BE72ED" w:rsidRDefault="00BE72ED" w:rsidP="00E0790D">
      <w:pPr>
        <w:divId w:val="1501965819"/>
      </w:pPr>
    </w:p>
    <w:p w:rsidR="00BE72ED" w:rsidRDefault="00BE72ED" w:rsidP="00E0790D">
      <w:pPr>
        <w:divId w:val="1501965819"/>
      </w:pPr>
    </w:p>
    <w:p w:rsidR="00BE72ED" w:rsidRDefault="00BE72ED" w:rsidP="00E0790D">
      <w:pPr>
        <w:divId w:val="1501965819"/>
      </w:pPr>
    </w:p>
    <w:p w:rsidR="00BE72ED" w:rsidRDefault="00BE72ED" w:rsidP="00E0790D">
      <w:pPr>
        <w:divId w:val="1501965819"/>
      </w:pPr>
    </w:p>
    <w:p w:rsidR="00BE72ED" w:rsidRDefault="00BE72ED" w:rsidP="00E0790D">
      <w:pPr>
        <w:divId w:val="1501965819"/>
      </w:pPr>
    </w:p>
    <w:p w:rsidR="00BE72ED" w:rsidRDefault="00BE72ED" w:rsidP="00E0790D">
      <w:pPr>
        <w:divId w:val="1501965819"/>
      </w:pPr>
    </w:p>
    <w:p w:rsidR="00BE72ED" w:rsidRDefault="00BE72ED" w:rsidP="00E0790D">
      <w:pPr>
        <w:divId w:val="1501965819"/>
      </w:pPr>
    </w:p>
    <w:p w:rsidR="006564D2" w:rsidRDefault="006564D2" w:rsidP="00E0790D">
      <w:pPr>
        <w:divId w:val="1501965819"/>
      </w:pPr>
    </w:p>
    <w:p w:rsidR="00BE72ED" w:rsidRDefault="00BE72ED" w:rsidP="00E0790D">
      <w:pPr>
        <w:divId w:val="1501965819"/>
      </w:pPr>
    </w:p>
    <w:p w:rsidR="00BE72ED" w:rsidRDefault="00BE72ED" w:rsidP="00E0790D">
      <w:pPr>
        <w:divId w:val="1501965819"/>
      </w:pPr>
    </w:p>
    <w:p w:rsidR="00BE72ED" w:rsidRDefault="00BE72ED" w:rsidP="00E0790D">
      <w:pPr>
        <w:divId w:val="1501965819"/>
      </w:pPr>
    </w:p>
    <w:p w:rsidR="00BE72ED" w:rsidRDefault="00BE72ED" w:rsidP="00E0790D">
      <w:pPr>
        <w:divId w:val="1501965819"/>
      </w:pPr>
    </w:p>
    <w:p w:rsidR="00BE72ED" w:rsidRDefault="00BE72ED" w:rsidP="00E0790D">
      <w:pPr>
        <w:divId w:val="1501965819"/>
      </w:pPr>
    </w:p>
    <w:tbl>
      <w:tblPr>
        <w:tblW w:w="4636" w:type="pct"/>
        <w:jc w:val="center"/>
        <w:tblInd w:w="250" w:type="dxa"/>
        <w:tblLayout w:type="fixed"/>
        <w:tblLook w:val="04A0" w:firstRow="1" w:lastRow="0" w:firstColumn="1" w:lastColumn="0" w:noHBand="0" w:noVBand="1"/>
      </w:tblPr>
      <w:tblGrid>
        <w:gridCol w:w="1536"/>
        <w:gridCol w:w="166"/>
        <w:gridCol w:w="2644"/>
        <w:gridCol w:w="1590"/>
        <w:gridCol w:w="249"/>
        <w:gridCol w:w="1896"/>
      </w:tblGrid>
      <w:tr w:rsidR="00BE72ED" w:rsidRPr="00694314" w:rsidTr="00BE72ED">
        <w:trPr>
          <w:divId w:val="1501965819"/>
          <w:trHeight w:val="624"/>
          <w:jc w:val="center"/>
        </w:trPr>
        <w:tc>
          <w:tcPr>
            <w:tcW w:w="1053" w:type="pct"/>
            <w:gridSpan w:val="2"/>
            <w:tcBorders>
              <w:top w:val="single" w:sz="4" w:space="0" w:color="auto"/>
              <w:bottom w:val="single" w:sz="4" w:space="0" w:color="auto"/>
              <w:right w:val="nil"/>
            </w:tcBorders>
            <w:shd w:val="clear" w:color="000000" w:fill="FFFFFF"/>
            <w:vAlign w:val="center"/>
          </w:tcPr>
          <w:p w:rsidR="00BE72ED" w:rsidRPr="00694314" w:rsidRDefault="00BE72ED" w:rsidP="00BE72ED">
            <w:pPr>
              <w:spacing w:before="120"/>
              <w:jc w:val="center"/>
              <w:rPr>
                <w:b/>
                <w:bCs/>
                <w:color w:val="000000"/>
                <w:sz w:val="18"/>
                <w:szCs w:val="18"/>
              </w:rPr>
            </w:pPr>
            <w:r w:rsidRPr="00694314">
              <w:rPr>
                <w:b/>
                <w:bCs/>
                <w:color w:val="000000"/>
                <w:sz w:val="18"/>
                <w:szCs w:val="18"/>
              </w:rPr>
              <w:lastRenderedPageBreak/>
              <w:t>Subscripts and superscripts</w:t>
            </w:r>
          </w:p>
        </w:tc>
        <w:tc>
          <w:tcPr>
            <w:tcW w:w="1636" w:type="pct"/>
            <w:tcBorders>
              <w:top w:val="single" w:sz="4" w:space="0" w:color="auto"/>
              <w:bottom w:val="single" w:sz="4" w:space="0" w:color="auto"/>
              <w:right w:val="single" w:sz="4" w:space="0" w:color="auto"/>
            </w:tcBorders>
            <w:shd w:val="clear" w:color="000000" w:fill="FFFFFF"/>
            <w:vAlign w:val="center"/>
          </w:tcPr>
          <w:p w:rsidR="00BE72ED" w:rsidRPr="00694314" w:rsidRDefault="00BE72ED" w:rsidP="00BE72ED">
            <w:pPr>
              <w:spacing w:before="120"/>
              <w:jc w:val="center"/>
              <w:rPr>
                <w:b/>
                <w:bCs/>
                <w:color w:val="000000"/>
                <w:sz w:val="18"/>
                <w:szCs w:val="18"/>
              </w:rPr>
            </w:pPr>
            <w:r w:rsidRPr="00694314">
              <w:rPr>
                <w:b/>
                <w:bCs/>
                <w:color w:val="000000"/>
                <w:sz w:val="18"/>
                <w:szCs w:val="18"/>
              </w:rPr>
              <w:t>Name</w:t>
            </w:r>
          </w:p>
        </w:tc>
        <w:tc>
          <w:tcPr>
            <w:tcW w:w="984" w:type="pct"/>
            <w:tcBorders>
              <w:top w:val="single" w:sz="4" w:space="0" w:color="auto"/>
              <w:left w:val="single" w:sz="4" w:space="0" w:color="auto"/>
              <w:bottom w:val="single" w:sz="4" w:space="0" w:color="auto"/>
              <w:right w:val="nil"/>
            </w:tcBorders>
            <w:shd w:val="clear" w:color="000000" w:fill="FFFFFF"/>
            <w:vAlign w:val="center"/>
          </w:tcPr>
          <w:p w:rsidR="00BE72ED" w:rsidRPr="00694314" w:rsidRDefault="00BE72ED" w:rsidP="00BE72ED">
            <w:pPr>
              <w:spacing w:before="120"/>
              <w:jc w:val="center"/>
              <w:rPr>
                <w:b/>
                <w:bCs/>
                <w:color w:val="000000"/>
                <w:sz w:val="18"/>
                <w:szCs w:val="18"/>
              </w:rPr>
            </w:pPr>
            <w:r w:rsidRPr="00694314">
              <w:rPr>
                <w:b/>
                <w:bCs/>
                <w:color w:val="000000"/>
                <w:sz w:val="18"/>
                <w:szCs w:val="18"/>
              </w:rPr>
              <w:t>Subscripts and superscripts</w:t>
            </w:r>
          </w:p>
        </w:tc>
        <w:tc>
          <w:tcPr>
            <w:tcW w:w="1327" w:type="pct"/>
            <w:gridSpan w:val="2"/>
            <w:tcBorders>
              <w:top w:val="single" w:sz="4" w:space="0" w:color="auto"/>
              <w:bottom w:val="single" w:sz="4" w:space="0" w:color="auto"/>
              <w:right w:val="nil"/>
            </w:tcBorders>
            <w:shd w:val="clear" w:color="000000" w:fill="FFFFFF"/>
            <w:vAlign w:val="center"/>
            <w:hideMark/>
          </w:tcPr>
          <w:p w:rsidR="00BE72ED" w:rsidRPr="00694314" w:rsidRDefault="00BE72ED" w:rsidP="00BE72ED">
            <w:pPr>
              <w:spacing w:before="120"/>
              <w:jc w:val="center"/>
              <w:rPr>
                <w:b/>
                <w:bCs/>
                <w:color w:val="000000"/>
                <w:sz w:val="18"/>
                <w:szCs w:val="18"/>
              </w:rPr>
            </w:pPr>
            <w:r w:rsidRPr="00694314">
              <w:rPr>
                <w:b/>
                <w:bCs/>
                <w:color w:val="000000"/>
                <w:sz w:val="18"/>
                <w:szCs w:val="18"/>
              </w:rPr>
              <w:t>Name</w:t>
            </w:r>
          </w:p>
        </w:tc>
      </w:tr>
      <w:tr w:rsidR="00BE72ED" w:rsidRPr="00694314" w:rsidTr="00BE72ED">
        <w:trPr>
          <w:divId w:val="1501965819"/>
          <w:trHeight w:val="284"/>
          <w:jc w:val="center"/>
        </w:trPr>
        <w:tc>
          <w:tcPr>
            <w:tcW w:w="950" w:type="pct"/>
            <w:tcBorders>
              <w:top w:val="nil"/>
              <w:bottom w:val="nil"/>
              <w:right w:val="nil"/>
            </w:tcBorders>
            <w:shd w:val="clear" w:color="000000" w:fill="FFFFFF"/>
            <w:vAlign w:val="center"/>
          </w:tcPr>
          <w:p w:rsidR="00BE72ED" w:rsidRPr="00694314" w:rsidRDefault="00BE72ED" w:rsidP="00BE72ED">
            <w:pPr>
              <w:spacing w:before="200"/>
              <w:jc w:val="center"/>
              <w:rPr>
                <w:i/>
                <w:color w:val="000000"/>
                <w:sz w:val="18"/>
                <w:szCs w:val="18"/>
              </w:rPr>
            </w:pPr>
            <w:proofErr w:type="spellStart"/>
            <w:r>
              <w:rPr>
                <w:i/>
                <w:color w:val="000000"/>
                <w:sz w:val="18"/>
                <w:szCs w:val="18"/>
              </w:rPr>
              <w:t>a,b</w:t>
            </w:r>
            <w:proofErr w:type="spellEnd"/>
          </w:p>
        </w:tc>
        <w:tc>
          <w:tcPr>
            <w:tcW w:w="1739" w:type="pct"/>
            <w:gridSpan w:val="2"/>
            <w:tcBorders>
              <w:top w:val="nil"/>
              <w:bottom w:val="nil"/>
              <w:right w:val="single" w:sz="4" w:space="0" w:color="auto"/>
            </w:tcBorders>
            <w:shd w:val="clear" w:color="000000" w:fill="FFFFFF"/>
            <w:vAlign w:val="center"/>
          </w:tcPr>
          <w:p w:rsidR="00BE72ED" w:rsidRPr="00694314" w:rsidRDefault="00BE72ED" w:rsidP="00BE72ED">
            <w:pPr>
              <w:spacing w:before="200"/>
              <w:jc w:val="center"/>
              <w:rPr>
                <w:color w:val="000000"/>
                <w:sz w:val="18"/>
                <w:szCs w:val="18"/>
              </w:rPr>
            </w:pPr>
            <w:r>
              <w:rPr>
                <w:color w:val="000000"/>
                <w:sz w:val="18"/>
                <w:szCs w:val="18"/>
              </w:rPr>
              <w:t>Thermal oil circuit section</w:t>
            </w:r>
          </w:p>
        </w:tc>
        <w:tc>
          <w:tcPr>
            <w:tcW w:w="1138" w:type="pct"/>
            <w:gridSpan w:val="2"/>
            <w:tcBorders>
              <w:top w:val="single" w:sz="4" w:space="0" w:color="auto"/>
              <w:left w:val="single" w:sz="4" w:space="0" w:color="auto"/>
            </w:tcBorders>
            <w:shd w:val="clear" w:color="000000" w:fill="FFFFFF"/>
            <w:vAlign w:val="center"/>
          </w:tcPr>
          <w:p w:rsidR="00BE72ED" w:rsidRPr="00694314" w:rsidRDefault="00BE72ED" w:rsidP="00BE72ED">
            <w:pPr>
              <w:spacing w:before="200"/>
              <w:jc w:val="center"/>
              <w:rPr>
                <w:i/>
                <w:color w:val="000000"/>
                <w:sz w:val="18"/>
                <w:szCs w:val="18"/>
              </w:rPr>
            </w:pPr>
            <w:r w:rsidRPr="00694314">
              <w:rPr>
                <w:i/>
                <w:color w:val="000000"/>
                <w:sz w:val="18"/>
                <w:szCs w:val="18"/>
              </w:rPr>
              <w:t>o</w:t>
            </w:r>
          </w:p>
        </w:tc>
        <w:tc>
          <w:tcPr>
            <w:tcW w:w="1173" w:type="pct"/>
            <w:tcBorders>
              <w:top w:val="single" w:sz="4" w:space="0" w:color="auto"/>
            </w:tcBorders>
            <w:shd w:val="clear" w:color="000000" w:fill="FFFFFF"/>
            <w:noWrap/>
            <w:vAlign w:val="center"/>
          </w:tcPr>
          <w:p w:rsidR="00BE72ED" w:rsidRPr="00694314" w:rsidRDefault="00BE72ED" w:rsidP="00BE72ED">
            <w:pPr>
              <w:spacing w:before="200"/>
              <w:jc w:val="center"/>
              <w:rPr>
                <w:color w:val="000000"/>
                <w:sz w:val="18"/>
                <w:szCs w:val="18"/>
              </w:rPr>
            </w:pPr>
            <w:r w:rsidRPr="00694314">
              <w:rPr>
                <w:color w:val="000000"/>
                <w:sz w:val="18"/>
                <w:szCs w:val="18"/>
              </w:rPr>
              <w:t>Outlet/Out</w:t>
            </w:r>
          </w:p>
        </w:tc>
      </w:tr>
      <w:tr w:rsidR="00BE72ED" w:rsidRPr="00694314" w:rsidTr="00BE72ED">
        <w:trPr>
          <w:divId w:val="1501965819"/>
          <w:trHeight w:val="284"/>
          <w:jc w:val="center"/>
        </w:trPr>
        <w:tc>
          <w:tcPr>
            <w:tcW w:w="950" w:type="pct"/>
            <w:tcBorders>
              <w:top w:val="nil"/>
              <w:bottom w:val="nil"/>
              <w:right w:val="nil"/>
            </w:tcBorders>
            <w:shd w:val="clear" w:color="000000" w:fill="FFFFFF"/>
            <w:vAlign w:val="center"/>
          </w:tcPr>
          <w:p w:rsidR="00BE72ED" w:rsidRPr="00694314" w:rsidRDefault="00BE72ED" w:rsidP="00BE72ED">
            <w:pPr>
              <w:jc w:val="center"/>
              <w:rPr>
                <w:i/>
                <w:color w:val="000000"/>
                <w:sz w:val="18"/>
                <w:szCs w:val="18"/>
              </w:rPr>
            </w:pPr>
            <w:proofErr w:type="spellStart"/>
            <w:r>
              <w:rPr>
                <w:i/>
                <w:color w:val="000000"/>
                <w:sz w:val="18"/>
                <w:szCs w:val="18"/>
              </w:rPr>
              <w:t>ap</w:t>
            </w:r>
            <w:proofErr w:type="spellEnd"/>
          </w:p>
        </w:tc>
        <w:tc>
          <w:tcPr>
            <w:tcW w:w="1739" w:type="pct"/>
            <w:gridSpan w:val="2"/>
            <w:tcBorders>
              <w:top w:val="nil"/>
              <w:bottom w:val="nil"/>
              <w:right w:val="single" w:sz="4" w:space="0" w:color="auto"/>
            </w:tcBorders>
            <w:shd w:val="clear" w:color="000000" w:fill="FFFFFF"/>
            <w:vAlign w:val="center"/>
          </w:tcPr>
          <w:p w:rsidR="00BE72ED" w:rsidRPr="00694314" w:rsidRDefault="00BE72ED" w:rsidP="00BE72ED">
            <w:pPr>
              <w:jc w:val="center"/>
              <w:rPr>
                <w:color w:val="000000"/>
                <w:sz w:val="18"/>
                <w:szCs w:val="18"/>
              </w:rPr>
            </w:pPr>
            <w:r>
              <w:rPr>
                <w:color w:val="000000"/>
                <w:sz w:val="18"/>
                <w:szCs w:val="18"/>
              </w:rPr>
              <w:t>Approach</w:t>
            </w:r>
          </w:p>
        </w:tc>
        <w:tc>
          <w:tcPr>
            <w:tcW w:w="1138" w:type="pct"/>
            <w:gridSpan w:val="2"/>
            <w:tcBorders>
              <w:left w:val="single" w:sz="4" w:space="0" w:color="auto"/>
            </w:tcBorders>
            <w:shd w:val="clear" w:color="000000" w:fill="FFFFFF"/>
            <w:vAlign w:val="center"/>
          </w:tcPr>
          <w:p w:rsidR="00BE72ED" w:rsidRPr="00694314" w:rsidRDefault="00BE72ED" w:rsidP="00BE72ED">
            <w:pPr>
              <w:jc w:val="center"/>
              <w:rPr>
                <w:i/>
                <w:iCs/>
                <w:color w:val="000000"/>
                <w:sz w:val="18"/>
                <w:szCs w:val="18"/>
              </w:rPr>
            </w:pPr>
            <w:r w:rsidRPr="00694314">
              <w:rPr>
                <w:i/>
                <w:color w:val="000000"/>
                <w:sz w:val="18"/>
                <w:szCs w:val="18"/>
              </w:rPr>
              <w:t>min</w:t>
            </w:r>
          </w:p>
        </w:tc>
        <w:tc>
          <w:tcPr>
            <w:tcW w:w="1173" w:type="pct"/>
            <w:shd w:val="clear" w:color="000000" w:fill="FFFFFF"/>
            <w:noWrap/>
            <w:vAlign w:val="center"/>
          </w:tcPr>
          <w:p w:rsidR="00BE72ED" w:rsidRPr="00694314" w:rsidRDefault="00BE72ED" w:rsidP="00BE72ED">
            <w:pPr>
              <w:jc w:val="center"/>
              <w:rPr>
                <w:color w:val="000000"/>
                <w:sz w:val="18"/>
                <w:szCs w:val="18"/>
              </w:rPr>
            </w:pPr>
            <w:r w:rsidRPr="00694314">
              <w:rPr>
                <w:color w:val="000000"/>
                <w:sz w:val="18"/>
                <w:szCs w:val="18"/>
              </w:rPr>
              <w:t>Minimum</w:t>
            </w:r>
          </w:p>
        </w:tc>
      </w:tr>
      <w:tr w:rsidR="00BE72ED" w:rsidRPr="00694314" w:rsidTr="00BE72ED">
        <w:trPr>
          <w:divId w:val="1501965819"/>
          <w:trHeight w:val="284"/>
          <w:jc w:val="center"/>
        </w:trPr>
        <w:tc>
          <w:tcPr>
            <w:tcW w:w="950" w:type="pct"/>
            <w:tcBorders>
              <w:top w:val="nil"/>
              <w:bottom w:val="nil"/>
              <w:right w:val="nil"/>
            </w:tcBorders>
            <w:shd w:val="clear" w:color="000000" w:fill="FFFFFF"/>
            <w:vAlign w:val="center"/>
          </w:tcPr>
          <w:p w:rsidR="00BE72ED" w:rsidRPr="00694314" w:rsidRDefault="00BE72ED" w:rsidP="00BE72ED">
            <w:pPr>
              <w:jc w:val="center"/>
              <w:rPr>
                <w:i/>
                <w:color w:val="000000"/>
                <w:sz w:val="18"/>
                <w:szCs w:val="18"/>
              </w:rPr>
            </w:pPr>
            <w:r w:rsidRPr="00694314">
              <w:rPr>
                <w:i/>
                <w:color w:val="000000"/>
                <w:sz w:val="18"/>
                <w:szCs w:val="18"/>
              </w:rPr>
              <w:t>C</w:t>
            </w:r>
          </w:p>
        </w:tc>
        <w:tc>
          <w:tcPr>
            <w:tcW w:w="1739" w:type="pct"/>
            <w:gridSpan w:val="2"/>
            <w:tcBorders>
              <w:top w:val="nil"/>
              <w:bottom w:val="nil"/>
              <w:right w:val="single" w:sz="4" w:space="0" w:color="auto"/>
            </w:tcBorders>
            <w:shd w:val="clear" w:color="000000" w:fill="FFFFFF"/>
            <w:vAlign w:val="center"/>
          </w:tcPr>
          <w:p w:rsidR="00BE72ED" w:rsidRPr="00694314" w:rsidRDefault="00BE72ED" w:rsidP="00BE72ED">
            <w:pPr>
              <w:jc w:val="center"/>
              <w:rPr>
                <w:color w:val="000000"/>
                <w:sz w:val="18"/>
                <w:szCs w:val="18"/>
              </w:rPr>
            </w:pPr>
            <w:r w:rsidRPr="00694314">
              <w:rPr>
                <w:color w:val="000000"/>
                <w:sz w:val="18"/>
                <w:szCs w:val="18"/>
              </w:rPr>
              <w:t>Sink</w:t>
            </w:r>
          </w:p>
        </w:tc>
        <w:tc>
          <w:tcPr>
            <w:tcW w:w="1138" w:type="pct"/>
            <w:gridSpan w:val="2"/>
            <w:tcBorders>
              <w:left w:val="single" w:sz="4" w:space="0" w:color="auto"/>
            </w:tcBorders>
            <w:shd w:val="clear" w:color="000000" w:fill="FFFFFF"/>
            <w:vAlign w:val="center"/>
          </w:tcPr>
          <w:p w:rsidR="00BE72ED" w:rsidRPr="00694314" w:rsidRDefault="00BE72ED" w:rsidP="00BE72ED">
            <w:pPr>
              <w:jc w:val="center"/>
              <w:rPr>
                <w:i/>
                <w:iCs/>
                <w:color w:val="000000"/>
                <w:sz w:val="18"/>
                <w:szCs w:val="18"/>
              </w:rPr>
            </w:pPr>
            <w:r>
              <w:rPr>
                <w:i/>
                <w:iCs/>
                <w:color w:val="000000"/>
                <w:sz w:val="18"/>
                <w:szCs w:val="18"/>
              </w:rPr>
              <w:t>n</w:t>
            </w:r>
          </w:p>
        </w:tc>
        <w:tc>
          <w:tcPr>
            <w:tcW w:w="1173" w:type="pct"/>
            <w:shd w:val="clear" w:color="000000" w:fill="FFFFFF"/>
            <w:noWrap/>
            <w:vAlign w:val="center"/>
          </w:tcPr>
          <w:p w:rsidR="00BE72ED" w:rsidRPr="00694314" w:rsidRDefault="00BE72ED" w:rsidP="00BE72ED">
            <w:pPr>
              <w:jc w:val="center"/>
              <w:rPr>
                <w:color w:val="000000"/>
                <w:sz w:val="18"/>
                <w:szCs w:val="18"/>
              </w:rPr>
            </w:pPr>
            <w:r>
              <w:rPr>
                <w:color w:val="000000"/>
                <w:sz w:val="18"/>
                <w:szCs w:val="18"/>
              </w:rPr>
              <w:t>Observations</w:t>
            </w:r>
          </w:p>
        </w:tc>
      </w:tr>
      <w:tr w:rsidR="00BE72ED" w:rsidRPr="00694314" w:rsidTr="00BE72ED">
        <w:trPr>
          <w:divId w:val="1501965819"/>
          <w:trHeight w:val="284"/>
          <w:jc w:val="center"/>
        </w:trPr>
        <w:tc>
          <w:tcPr>
            <w:tcW w:w="950" w:type="pct"/>
            <w:tcBorders>
              <w:top w:val="nil"/>
              <w:bottom w:val="nil"/>
              <w:right w:val="nil"/>
            </w:tcBorders>
            <w:shd w:val="clear" w:color="000000" w:fill="FFFFFF"/>
            <w:vAlign w:val="center"/>
          </w:tcPr>
          <w:p w:rsidR="00BE72ED" w:rsidRPr="00694314" w:rsidRDefault="00BE72ED" w:rsidP="00BE72ED">
            <w:pPr>
              <w:jc w:val="center"/>
              <w:rPr>
                <w:i/>
                <w:color w:val="000000"/>
                <w:sz w:val="18"/>
                <w:szCs w:val="18"/>
              </w:rPr>
            </w:pPr>
            <w:r w:rsidRPr="00694314">
              <w:rPr>
                <w:i/>
                <w:iCs/>
                <w:color w:val="000000"/>
                <w:sz w:val="18"/>
                <w:szCs w:val="18"/>
              </w:rPr>
              <w:t>co</w:t>
            </w:r>
          </w:p>
        </w:tc>
        <w:tc>
          <w:tcPr>
            <w:tcW w:w="1739" w:type="pct"/>
            <w:gridSpan w:val="2"/>
            <w:tcBorders>
              <w:top w:val="nil"/>
              <w:bottom w:val="nil"/>
              <w:right w:val="single" w:sz="4" w:space="0" w:color="auto"/>
            </w:tcBorders>
            <w:shd w:val="clear" w:color="000000" w:fill="FFFFFF"/>
            <w:vAlign w:val="center"/>
          </w:tcPr>
          <w:p w:rsidR="00BE72ED" w:rsidRPr="00694314" w:rsidRDefault="00BE72ED" w:rsidP="00BE72ED">
            <w:pPr>
              <w:jc w:val="center"/>
              <w:rPr>
                <w:color w:val="000000"/>
                <w:sz w:val="18"/>
                <w:szCs w:val="18"/>
              </w:rPr>
            </w:pPr>
            <w:r w:rsidRPr="00694314">
              <w:rPr>
                <w:color w:val="000000"/>
                <w:sz w:val="18"/>
                <w:szCs w:val="18"/>
              </w:rPr>
              <w:t>Condenser</w:t>
            </w:r>
          </w:p>
        </w:tc>
        <w:tc>
          <w:tcPr>
            <w:tcW w:w="1138" w:type="pct"/>
            <w:gridSpan w:val="2"/>
            <w:tcBorders>
              <w:left w:val="single" w:sz="4" w:space="0" w:color="auto"/>
            </w:tcBorders>
            <w:shd w:val="clear" w:color="000000" w:fill="FFFFFF"/>
            <w:vAlign w:val="center"/>
          </w:tcPr>
          <w:p w:rsidR="00BE72ED" w:rsidRPr="00694314" w:rsidRDefault="00BE72ED" w:rsidP="00BE72ED">
            <w:pPr>
              <w:jc w:val="center"/>
              <w:rPr>
                <w:i/>
                <w:iCs/>
                <w:color w:val="000000"/>
                <w:sz w:val="18"/>
                <w:szCs w:val="18"/>
              </w:rPr>
            </w:pPr>
            <w:r w:rsidRPr="00694314">
              <w:rPr>
                <w:i/>
                <w:iCs/>
                <w:color w:val="000000"/>
                <w:sz w:val="18"/>
                <w:szCs w:val="18"/>
              </w:rPr>
              <w:t>p</w:t>
            </w:r>
          </w:p>
        </w:tc>
        <w:tc>
          <w:tcPr>
            <w:tcW w:w="1173" w:type="pct"/>
            <w:shd w:val="clear" w:color="000000" w:fill="FFFFFF"/>
            <w:noWrap/>
            <w:vAlign w:val="center"/>
          </w:tcPr>
          <w:p w:rsidR="00BE72ED" w:rsidRPr="00694314" w:rsidRDefault="00BE72ED" w:rsidP="00BE72ED">
            <w:pPr>
              <w:jc w:val="center"/>
              <w:rPr>
                <w:color w:val="000000"/>
                <w:sz w:val="18"/>
                <w:szCs w:val="18"/>
              </w:rPr>
            </w:pPr>
            <w:r w:rsidRPr="00694314">
              <w:rPr>
                <w:color w:val="000000"/>
                <w:sz w:val="18"/>
                <w:szCs w:val="18"/>
              </w:rPr>
              <w:t>Pump</w:t>
            </w:r>
          </w:p>
        </w:tc>
      </w:tr>
      <w:tr w:rsidR="00BE72ED" w:rsidRPr="00694314" w:rsidTr="00BE72ED">
        <w:trPr>
          <w:divId w:val="1501965819"/>
          <w:trHeight w:val="284"/>
          <w:jc w:val="center"/>
        </w:trPr>
        <w:tc>
          <w:tcPr>
            <w:tcW w:w="950" w:type="pct"/>
            <w:tcBorders>
              <w:top w:val="nil"/>
              <w:bottom w:val="nil"/>
              <w:right w:val="nil"/>
            </w:tcBorders>
            <w:shd w:val="clear" w:color="000000" w:fill="FFFFFF"/>
            <w:vAlign w:val="center"/>
          </w:tcPr>
          <w:p w:rsidR="00BE72ED" w:rsidRPr="00694314" w:rsidRDefault="00BE72ED" w:rsidP="00BE72ED">
            <w:pPr>
              <w:jc w:val="center"/>
              <w:rPr>
                <w:i/>
                <w:color w:val="000000"/>
                <w:sz w:val="18"/>
                <w:szCs w:val="18"/>
              </w:rPr>
            </w:pPr>
            <w:r w:rsidRPr="00694314">
              <w:rPr>
                <w:i/>
                <w:iCs/>
                <w:color w:val="000000"/>
                <w:sz w:val="18"/>
                <w:szCs w:val="18"/>
              </w:rPr>
              <w:t>c</w:t>
            </w:r>
          </w:p>
        </w:tc>
        <w:tc>
          <w:tcPr>
            <w:tcW w:w="1739" w:type="pct"/>
            <w:gridSpan w:val="2"/>
            <w:tcBorders>
              <w:top w:val="nil"/>
              <w:bottom w:val="nil"/>
              <w:right w:val="single" w:sz="4" w:space="0" w:color="auto"/>
            </w:tcBorders>
            <w:shd w:val="clear" w:color="000000" w:fill="FFFFFF"/>
            <w:vAlign w:val="center"/>
          </w:tcPr>
          <w:p w:rsidR="00BE72ED" w:rsidRPr="00694314" w:rsidRDefault="00BE72ED" w:rsidP="00BE72ED">
            <w:pPr>
              <w:jc w:val="center"/>
              <w:rPr>
                <w:color w:val="000000"/>
                <w:sz w:val="18"/>
                <w:szCs w:val="18"/>
              </w:rPr>
            </w:pPr>
            <w:r w:rsidRPr="00694314">
              <w:rPr>
                <w:color w:val="000000"/>
                <w:sz w:val="18"/>
                <w:szCs w:val="18"/>
              </w:rPr>
              <w:t>Critical</w:t>
            </w:r>
          </w:p>
        </w:tc>
        <w:tc>
          <w:tcPr>
            <w:tcW w:w="1138" w:type="pct"/>
            <w:gridSpan w:val="2"/>
            <w:tcBorders>
              <w:left w:val="single" w:sz="4" w:space="0" w:color="auto"/>
            </w:tcBorders>
            <w:shd w:val="clear" w:color="000000" w:fill="FFFFFF"/>
            <w:vAlign w:val="center"/>
          </w:tcPr>
          <w:p w:rsidR="00BE72ED" w:rsidRPr="00694314" w:rsidRDefault="00BE72ED" w:rsidP="00BE72ED">
            <w:pPr>
              <w:jc w:val="center"/>
              <w:rPr>
                <w:i/>
                <w:iCs/>
                <w:color w:val="000000"/>
                <w:sz w:val="18"/>
                <w:szCs w:val="18"/>
              </w:rPr>
            </w:pPr>
            <w:r w:rsidRPr="00694314">
              <w:rPr>
                <w:i/>
                <w:iCs/>
                <w:color w:val="000000"/>
                <w:sz w:val="18"/>
                <w:szCs w:val="18"/>
              </w:rPr>
              <w:t>pp</w:t>
            </w:r>
          </w:p>
        </w:tc>
        <w:tc>
          <w:tcPr>
            <w:tcW w:w="1173" w:type="pct"/>
            <w:shd w:val="clear" w:color="000000" w:fill="FFFFFF"/>
            <w:noWrap/>
            <w:vAlign w:val="center"/>
          </w:tcPr>
          <w:p w:rsidR="00BE72ED" w:rsidRPr="00694314" w:rsidRDefault="00BE72ED" w:rsidP="00BE72ED">
            <w:pPr>
              <w:jc w:val="center"/>
              <w:rPr>
                <w:color w:val="000000"/>
                <w:sz w:val="18"/>
                <w:szCs w:val="18"/>
              </w:rPr>
            </w:pPr>
            <w:r w:rsidRPr="00694314">
              <w:rPr>
                <w:color w:val="000000"/>
                <w:sz w:val="18"/>
                <w:szCs w:val="18"/>
              </w:rPr>
              <w:t>Pinch Point</w:t>
            </w:r>
          </w:p>
        </w:tc>
      </w:tr>
      <w:tr w:rsidR="00BE72ED" w:rsidRPr="00694314" w:rsidTr="00BE72ED">
        <w:trPr>
          <w:divId w:val="1501965819"/>
          <w:trHeight w:val="284"/>
          <w:jc w:val="center"/>
        </w:trPr>
        <w:tc>
          <w:tcPr>
            <w:tcW w:w="950" w:type="pct"/>
            <w:tcBorders>
              <w:top w:val="nil"/>
              <w:bottom w:val="nil"/>
              <w:right w:val="nil"/>
            </w:tcBorders>
            <w:shd w:val="clear" w:color="000000" w:fill="FFFFFF"/>
            <w:vAlign w:val="center"/>
          </w:tcPr>
          <w:p w:rsidR="00BE72ED" w:rsidRPr="00694314" w:rsidRDefault="00BE72ED" w:rsidP="00BE72ED">
            <w:pPr>
              <w:jc w:val="center"/>
              <w:rPr>
                <w:i/>
                <w:color w:val="000000"/>
                <w:sz w:val="18"/>
                <w:szCs w:val="18"/>
              </w:rPr>
            </w:pPr>
            <w:r w:rsidRPr="00694314">
              <w:rPr>
                <w:i/>
                <w:iCs/>
                <w:color w:val="000000"/>
                <w:sz w:val="18"/>
                <w:szCs w:val="18"/>
              </w:rPr>
              <w:t>e</w:t>
            </w:r>
          </w:p>
        </w:tc>
        <w:tc>
          <w:tcPr>
            <w:tcW w:w="1739" w:type="pct"/>
            <w:gridSpan w:val="2"/>
            <w:tcBorders>
              <w:top w:val="nil"/>
              <w:bottom w:val="nil"/>
              <w:right w:val="single" w:sz="4" w:space="0" w:color="auto"/>
            </w:tcBorders>
            <w:shd w:val="clear" w:color="000000" w:fill="FFFFFF"/>
            <w:vAlign w:val="center"/>
          </w:tcPr>
          <w:p w:rsidR="00BE72ED" w:rsidRPr="00694314" w:rsidRDefault="00BE72ED" w:rsidP="00BE72ED">
            <w:pPr>
              <w:jc w:val="center"/>
              <w:rPr>
                <w:color w:val="000000"/>
                <w:sz w:val="18"/>
                <w:szCs w:val="18"/>
              </w:rPr>
            </w:pPr>
            <w:r w:rsidRPr="00694314">
              <w:rPr>
                <w:color w:val="000000"/>
                <w:sz w:val="18"/>
                <w:szCs w:val="18"/>
              </w:rPr>
              <w:t>Electrical</w:t>
            </w:r>
          </w:p>
        </w:tc>
        <w:tc>
          <w:tcPr>
            <w:tcW w:w="1138" w:type="pct"/>
            <w:gridSpan w:val="2"/>
            <w:tcBorders>
              <w:left w:val="single" w:sz="4" w:space="0" w:color="auto"/>
            </w:tcBorders>
            <w:shd w:val="clear" w:color="000000" w:fill="FFFFFF"/>
            <w:vAlign w:val="center"/>
          </w:tcPr>
          <w:p w:rsidR="00BE72ED" w:rsidRPr="00694314" w:rsidRDefault="00BE72ED" w:rsidP="00BE72ED">
            <w:pPr>
              <w:jc w:val="center"/>
              <w:rPr>
                <w:i/>
                <w:iCs/>
                <w:color w:val="000000"/>
                <w:sz w:val="18"/>
                <w:szCs w:val="18"/>
              </w:rPr>
            </w:pPr>
            <w:r w:rsidRPr="00694314">
              <w:rPr>
                <w:i/>
                <w:color w:val="000000"/>
                <w:sz w:val="18"/>
                <w:szCs w:val="18"/>
              </w:rPr>
              <w:t>r</w:t>
            </w:r>
          </w:p>
        </w:tc>
        <w:tc>
          <w:tcPr>
            <w:tcW w:w="1173" w:type="pct"/>
            <w:shd w:val="clear" w:color="000000" w:fill="FFFFFF"/>
            <w:noWrap/>
            <w:vAlign w:val="center"/>
          </w:tcPr>
          <w:p w:rsidR="00BE72ED" w:rsidRPr="00694314" w:rsidRDefault="00B27FEE" w:rsidP="00BE72ED">
            <w:pPr>
              <w:jc w:val="center"/>
              <w:rPr>
                <w:color w:val="000000"/>
                <w:sz w:val="18"/>
                <w:szCs w:val="18"/>
              </w:rPr>
            </w:pPr>
            <w:r>
              <w:rPr>
                <w:color w:val="000000"/>
                <w:sz w:val="18"/>
                <w:szCs w:val="18"/>
              </w:rPr>
              <w:t>Recuperator</w:t>
            </w:r>
          </w:p>
        </w:tc>
      </w:tr>
      <w:tr w:rsidR="00BE72ED" w:rsidRPr="00694314" w:rsidTr="00BE72ED">
        <w:trPr>
          <w:divId w:val="1501965819"/>
          <w:trHeight w:val="284"/>
          <w:jc w:val="center"/>
        </w:trPr>
        <w:tc>
          <w:tcPr>
            <w:tcW w:w="950" w:type="pct"/>
            <w:tcBorders>
              <w:top w:val="nil"/>
              <w:bottom w:val="nil"/>
              <w:right w:val="nil"/>
            </w:tcBorders>
            <w:shd w:val="clear" w:color="000000" w:fill="FFFFFF"/>
            <w:vAlign w:val="center"/>
          </w:tcPr>
          <w:p w:rsidR="00BE72ED" w:rsidRPr="00694314" w:rsidRDefault="00BE72ED" w:rsidP="00BE72ED">
            <w:pPr>
              <w:jc w:val="center"/>
              <w:rPr>
                <w:i/>
                <w:iCs/>
                <w:color w:val="000000"/>
                <w:sz w:val="18"/>
                <w:szCs w:val="18"/>
              </w:rPr>
            </w:pPr>
            <w:proofErr w:type="spellStart"/>
            <w:r w:rsidRPr="00694314">
              <w:rPr>
                <w:i/>
                <w:color w:val="000000"/>
                <w:sz w:val="18"/>
                <w:szCs w:val="18"/>
              </w:rPr>
              <w:t>eq</w:t>
            </w:r>
            <w:proofErr w:type="spellEnd"/>
          </w:p>
        </w:tc>
        <w:tc>
          <w:tcPr>
            <w:tcW w:w="1739" w:type="pct"/>
            <w:gridSpan w:val="2"/>
            <w:tcBorders>
              <w:top w:val="nil"/>
              <w:bottom w:val="nil"/>
              <w:right w:val="single" w:sz="4" w:space="0" w:color="auto"/>
            </w:tcBorders>
            <w:shd w:val="clear" w:color="000000" w:fill="FFFFFF"/>
            <w:vAlign w:val="center"/>
          </w:tcPr>
          <w:p w:rsidR="00BE72ED" w:rsidRPr="00694314" w:rsidRDefault="00BE72ED" w:rsidP="00BE72ED">
            <w:pPr>
              <w:jc w:val="center"/>
              <w:rPr>
                <w:color w:val="000000"/>
                <w:sz w:val="18"/>
                <w:szCs w:val="18"/>
              </w:rPr>
            </w:pPr>
            <w:r w:rsidRPr="00694314">
              <w:rPr>
                <w:color w:val="000000"/>
                <w:sz w:val="18"/>
                <w:szCs w:val="18"/>
              </w:rPr>
              <w:t>equipment</w:t>
            </w:r>
          </w:p>
        </w:tc>
        <w:tc>
          <w:tcPr>
            <w:tcW w:w="1138" w:type="pct"/>
            <w:gridSpan w:val="2"/>
            <w:tcBorders>
              <w:left w:val="single" w:sz="4" w:space="0" w:color="auto"/>
            </w:tcBorders>
            <w:shd w:val="clear" w:color="000000" w:fill="FFFFFF"/>
            <w:vAlign w:val="center"/>
          </w:tcPr>
          <w:p w:rsidR="00BE72ED" w:rsidRPr="00694314" w:rsidRDefault="00BE72ED" w:rsidP="00BE72ED">
            <w:pPr>
              <w:jc w:val="center"/>
              <w:rPr>
                <w:i/>
                <w:iCs/>
                <w:color w:val="000000"/>
                <w:sz w:val="18"/>
                <w:szCs w:val="18"/>
              </w:rPr>
            </w:pPr>
            <w:proofErr w:type="spellStart"/>
            <w:r w:rsidRPr="00694314">
              <w:rPr>
                <w:i/>
                <w:color w:val="000000"/>
                <w:sz w:val="18"/>
                <w:szCs w:val="18"/>
              </w:rPr>
              <w:t>rvap</w:t>
            </w:r>
            <w:proofErr w:type="spellEnd"/>
          </w:p>
        </w:tc>
        <w:tc>
          <w:tcPr>
            <w:tcW w:w="1173" w:type="pct"/>
            <w:shd w:val="clear" w:color="000000" w:fill="FFFFFF"/>
            <w:noWrap/>
            <w:vAlign w:val="center"/>
          </w:tcPr>
          <w:p w:rsidR="00BE72ED" w:rsidRPr="00694314" w:rsidRDefault="00BE72ED" w:rsidP="00BE72ED">
            <w:pPr>
              <w:jc w:val="center"/>
              <w:rPr>
                <w:color w:val="000000"/>
                <w:sz w:val="18"/>
                <w:szCs w:val="18"/>
              </w:rPr>
            </w:pPr>
            <w:r w:rsidRPr="00694314">
              <w:rPr>
                <w:color w:val="000000"/>
                <w:sz w:val="18"/>
                <w:szCs w:val="18"/>
              </w:rPr>
              <w:t>Reduced saturated</w:t>
            </w:r>
          </w:p>
          <w:p w:rsidR="00BE72ED" w:rsidRPr="00694314" w:rsidRDefault="00BE72ED" w:rsidP="00BE72ED">
            <w:pPr>
              <w:jc w:val="center"/>
              <w:rPr>
                <w:color w:val="000000"/>
                <w:sz w:val="18"/>
                <w:szCs w:val="18"/>
              </w:rPr>
            </w:pPr>
            <w:r w:rsidRPr="00694314">
              <w:rPr>
                <w:color w:val="000000"/>
                <w:sz w:val="18"/>
                <w:szCs w:val="18"/>
              </w:rPr>
              <w:t>vapour point</w:t>
            </w:r>
          </w:p>
        </w:tc>
      </w:tr>
      <w:tr w:rsidR="00BE72ED" w:rsidRPr="00694314" w:rsidTr="00BE72ED">
        <w:trPr>
          <w:divId w:val="1501965819"/>
          <w:trHeight w:val="284"/>
          <w:jc w:val="center"/>
        </w:trPr>
        <w:tc>
          <w:tcPr>
            <w:tcW w:w="950" w:type="pct"/>
            <w:tcBorders>
              <w:top w:val="nil"/>
              <w:bottom w:val="nil"/>
              <w:right w:val="nil"/>
            </w:tcBorders>
            <w:shd w:val="clear" w:color="000000" w:fill="FFFFFF"/>
            <w:vAlign w:val="center"/>
          </w:tcPr>
          <w:p w:rsidR="00BE72ED" w:rsidRPr="00694314" w:rsidRDefault="00BE72ED" w:rsidP="00BE72ED">
            <w:pPr>
              <w:jc w:val="center"/>
              <w:rPr>
                <w:i/>
                <w:color w:val="000000"/>
                <w:sz w:val="18"/>
                <w:szCs w:val="18"/>
              </w:rPr>
            </w:pPr>
            <w:proofErr w:type="spellStart"/>
            <w:r w:rsidRPr="00694314">
              <w:rPr>
                <w:i/>
                <w:color w:val="000000"/>
                <w:sz w:val="18"/>
                <w:szCs w:val="18"/>
              </w:rPr>
              <w:t>ev</w:t>
            </w:r>
            <w:proofErr w:type="spellEnd"/>
          </w:p>
        </w:tc>
        <w:tc>
          <w:tcPr>
            <w:tcW w:w="1739" w:type="pct"/>
            <w:gridSpan w:val="2"/>
            <w:tcBorders>
              <w:top w:val="nil"/>
              <w:bottom w:val="nil"/>
              <w:right w:val="single" w:sz="4" w:space="0" w:color="auto"/>
            </w:tcBorders>
            <w:shd w:val="clear" w:color="000000" w:fill="FFFFFF"/>
            <w:vAlign w:val="center"/>
          </w:tcPr>
          <w:p w:rsidR="00BE72ED" w:rsidRPr="00694314" w:rsidRDefault="00BE72ED" w:rsidP="00BE72ED">
            <w:pPr>
              <w:jc w:val="center"/>
              <w:rPr>
                <w:color w:val="000000"/>
                <w:sz w:val="18"/>
                <w:szCs w:val="18"/>
              </w:rPr>
            </w:pPr>
            <w:r w:rsidRPr="00694314">
              <w:rPr>
                <w:color w:val="000000"/>
                <w:sz w:val="18"/>
                <w:szCs w:val="18"/>
              </w:rPr>
              <w:t>evaporator</w:t>
            </w:r>
          </w:p>
        </w:tc>
        <w:tc>
          <w:tcPr>
            <w:tcW w:w="1138" w:type="pct"/>
            <w:gridSpan w:val="2"/>
            <w:tcBorders>
              <w:left w:val="single" w:sz="4" w:space="0" w:color="auto"/>
            </w:tcBorders>
            <w:shd w:val="clear" w:color="000000" w:fill="FFFFFF"/>
            <w:vAlign w:val="center"/>
          </w:tcPr>
          <w:p w:rsidR="00BE72ED" w:rsidRPr="00694314" w:rsidRDefault="00BE72ED" w:rsidP="00BE72ED">
            <w:pPr>
              <w:contextualSpacing/>
              <w:jc w:val="center"/>
              <w:rPr>
                <w:color w:val="000000"/>
                <w:sz w:val="18"/>
                <w:szCs w:val="18"/>
              </w:rPr>
            </w:pPr>
            <w:r w:rsidRPr="00694314">
              <w:rPr>
                <w:i/>
                <w:iCs/>
                <w:color w:val="000000"/>
                <w:sz w:val="18"/>
                <w:szCs w:val="18"/>
              </w:rPr>
              <w:t>S</w:t>
            </w:r>
          </w:p>
        </w:tc>
        <w:tc>
          <w:tcPr>
            <w:tcW w:w="1173" w:type="pct"/>
            <w:shd w:val="clear" w:color="000000" w:fill="FFFFFF"/>
            <w:noWrap/>
            <w:vAlign w:val="center"/>
          </w:tcPr>
          <w:p w:rsidR="00BE72ED" w:rsidRPr="00694314" w:rsidRDefault="00BE72ED" w:rsidP="00BE72ED">
            <w:pPr>
              <w:contextualSpacing/>
              <w:jc w:val="center"/>
              <w:rPr>
                <w:color w:val="000000"/>
                <w:sz w:val="18"/>
                <w:szCs w:val="18"/>
              </w:rPr>
            </w:pPr>
            <w:r w:rsidRPr="00694314">
              <w:rPr>
                <w:color w:val="000000"/>
                <w:sz w:val="18"/>
                <w:szCs w:val="18"/>
              </w:rPr>
              <w:t>Seawater</w:t>
            </w:r>
            <w:r>
              <w:rPr>
                <w:color w:val="000000"/>
                <w:sz w:val="18"/>
                <w:szCs w:val="18"/>
              </w:rPr>
              <w:t>/Sink</w:t>
            </w:r>
          </w:p>
        </w:tc>
      </w:tr>
      <w:tr w:rsidR="00BE72ED" w:rsidRPr="00694314" w:rsidTr="00BE72ED">
        <w:trPr>
          <w:divId w:val="1501965819"/>
          <w:trHeight w:val="284"/>
          <w:jc w:val="center"/>
        </w:trPr>
        <w:tc>
          <w:tcPr>
            <w:tcW w:w="950" w:type="pct"/>
            <w:tcBorders>
              <w:top w:val="nil"/>
              <w:bottom w:val="nil"/>
              <w:right w:val="nil"/>
            </w:tcBorders>
            <w:shd w:val="clear" w:color="000000" w:fill="FFFFFF"/>
            <w:vAlign w:val="center"/>
          </w:tcPr>
          <w:p w:rsidR="00BE72ED" w:rsidRPr="00694314" w:rsidRDefault="00BE72ED" w:rsidP="00BE72ED">
            <w:pPr>
              <w:jc w:val="center"/>
              <w:rPr>
                <w:i/>
                <w:iCs/>
                <w:color w:val="000000"/>
                <w:sz w:val="18"/>
                <w:szCs w:val="18"/>
              </w:rPr>
            </w:pPr>
            <w:proofErr w:type="spellStart"/>
            <w:r w:rsidRPr="00694314">
              <w:rPr>
                <w:i/>
                <w:iCs/>
                <w:color w:val="000000"/>
                <w:sz w:val="18"/>
                <w:szCs w:val="18"/>
              </w:rPr>
              <w:t>exp</w:t>
            </w:r>
            <w:proofErr w:type="spellEnd"/>
          </w:p>
        </w:tc>
        <w:tc>
          <w:tcPr>
            <w:tcW w:w="1739" w:type="pct"/>
            <w:gridSpan w:val="2"/>
            <w:tcBorders>
              <w:top w:val="nil"/>
              <w:bottom w:val="nil"/>
              <w:right w:val="single" w:sz="4" w:space="0" w:color="auto"/>
            </w:tcBorders>
            <w:shd w:val="clear" w:color="000000" w:fill="FFFFFF"/>
            <w:vAlign w:val="center"/>
          </w:tcPr>
          <w:p w:rsidR="00BE72ED" w:rsidRPr="00694314" w:rsidRDefault="00BE72ED" w:rsidP="00BE72ED">
            <w:pPr>
              <w:jc w:val="center"/>
              <w:rPr>
                <w:color w:val="000000"/>
                <w:sz w:val="18"/>
                <w:szCs w:val="18"/>
              </w:rPr>
            </w:pPr>
            <w:r w:rsidRPr="00694314">
              <w:rPr>
                <w:color w:val="000000"/>
                <w:sz w:val="18"/>
                <w:szCs w:val="18"/>
              </w:rPr>
              <w:t>Expander</w:t>
            </w:r>
          </w:p>
        </w:tc>
        <w:tc>
          <w:tcPr>
            <w:tcW w:w="1138" w:type="pct"/>
            <w:gridSpan w:val="2"/>
            <w:tcBorders>
              <w:left w:val="single" w:sz="4" w:space="0" w:color="auto"/>
            </w:tcBorders>
            <w:shd w:val="clear" w:color="000000" w:fill="FFFFFF"/>
            <w:vAlign w:val="center"/>
          </w:tcPr>
          <w:p w:rsidR="00BE72ED" w:rsidRPr="00694314" w:rsidRDefault="00BE72ED" w:rsidP="00BE72ED">
            <w:pPr>
              <w:jc w:val="center"/>
              <w:rPr>
                <w:i/>
                <w:color w:val="000000"/>
                <w:sz w:val="18"/>
                <w:szCs w:val="18"/>
              </w:rPr>
            </w:pPr>
            <w:r w:rsidRPr="00694314">
              <w:rPr>
                <w:i/>
                <w:iCs/>
                <w:color w:val="000000"/>
                <w:sz w:val="18"/>
                <w:szCs w:val="18"/>
              </w:rPr>
              <w:t>Sat</w:t>
            </w:r>
          </w:p>
        </w:tc>
        <w:tc>
          <w:tcPr>
            <w:tcW w:w="1173" w:type="pct"/>
            <w:shd w:val="clear" w:color="000000" w:fill="FFFFFF"/>
            <w:noWrap/>
            <w:vAlign w:val="center"/>
          </w:tcPr>
          <w:p w:rsidR="00BE72ED" w:rsidRPr="00694314" w:rsidRDefault="00BE72ED" w:rsidP="00BE72ED">
            <w:pPr>
              <w:jc w:val="center"/>
              <w:rPr>
                <w:color w:val="000000"/>
                <w:sz w:val="18"/>
                <w:szCs w:val="18"/>
              </w:rPr>
            </w:pPr>
            <w:r w:rsidRPr="00694314">
              <w:rPr>
                <w:color w:val="000000"/>
                <w:sz w:val="18"/>
                <w:szCs w:val="18"/>
              </w:rPr>
              <w:t>Saturation</w:t>
            </w:r>
          </w:p>
        </w:tc>
      </w:tr>
      <w:tr w:rsidR="00BE72ED" w:rsidRPr="00694314" w:rsidTr="00BE72ED">
        <w:trPr>
          <w:divId w:val="1501965819"/>
          <w:trHeight w:val="284"/>
          <w:jc w:val="center"/>
        </w:trPr>
        <w:tc>
          <w:tcPr>
            <w:tcW w:w="950" w:type="pct"/>
            <w:tcBorders>
              <w:top w:val="nil"/>
              <w:bottom w:val="nil"/>
              <w:right w:val="nil"/>
            </w:tcBorders>
            <w:shd w:val="clear" w:color="000000" w:fill="FFFFFF"/>
            <w:vAlign w:val="center"/>
          </w:tcPr>
          <w:p w:rsidR="00BE72ED" w:rsidRPr="00694314" w:rsidRDefault="00BE72ED" w:rsidP="00BE72ED">
            <w:pPr>
              <w:jc w:val="center"/>
              <w:rPr>
                <w:i/>
                <w:iCs/>
                <w:color w:val="000000"/>
                <w:sz w:val="18"/>
                <w:szCs w:val="18"/>
              </w:rPr>
            </w:pPr>
            <w:r w:rsidRPr="00694314">
              <w:rPr>
                <w:i/>
                <w:iCs/>
                <w:color w:val="000000"/>
                <w:sz w:val="18"/>
                <w:szCs w:val="18"/>
              </w:rPr>
              <w:t>g</w:t>
            </w:r>
          </w:p>
        </w:tc>
        <w:tc>
          <w:tcPr>
            <w:tcW w:w="1739" w:type="pct"/>
            <w:gridSpan w:val="2"/>
            <w:tcBorders>
              <w:top w:val="nil"/>
              <w:bottom w:val="nil"/>
              <w:right w:val="single" w:sz="4" w:space="0" w:color="auto"/>
            </w:tcBorders>
            <w:shd w:val="clear" w:color="000000" w:fill="FFFFFF"/>
            <w:vAlign w:val="center"/>
          </w:tcPr>
          <w:p w:rsidR="00BE72ED" w:rsidRPr="00694314" w:rsidRDefault="00BE72ED" w:rsidP="00BE72ED">
            <w:pPr>
              <w:jc w:val="center"/>
              <w:rPr>
                <w:color w:val="000000"/>
                <w:sz w:val="18"/>
                <w:szCs w:val="18"/>
              </w:rPr>
            </w:pPr>
            <w:r w:rsidRPr="00694314">
              <w:rPr>
                <w:color w:val="000000"/>
                <w:sz w:val="18"/>
                <w:szCs w:val="18"/>
              </w:rPr>
              <w:t>Generator</w:t>
            </w:r>
          </w:p>
        </w:tc>
        <w:tc>
          <w:tcPr>
            <w:tcW w:w="1138" w:type="pct"/>
            <w:gridSpan w:val="2"/>
            <w:tcBorders>
              <w:left w:val="single" w:sz="4" w:space="0" w:color="auto"/>
            </w:tcBorders>
            <w:shd w:val="clear" w:color="000000" w:fill="FFFFFF"/>
            <w:vAlign w:val="center"/>
          </w:tcPr>
          <w:p w:rsidR="00BE72ED" w:rsidRPr="00694314" w:rsidRDefault="00BE72ED" w:rsidP="00BE72ED">
            <w:pPr>
              <w:jc w:val="center"/>
              <w:rPr>
                <w:i/>
                <w:color w:val="000000"/>
                <w:sz w:val="18"/>
                <w:szCs w:val="18"/>
              </w:rPr>
            </w:pPr>
            <w:proofErr w:type="spellStart"/>
            <w:r w:rsidRPr="00694314">
              <w:rPr>
                <w:i/>
                <w:iCs/>
                <w:color w:val="000000"/>
                <w:sz w:val="18"/>
                <w:szCs w:val="18"/>
              </w:rPr>
              <w:t>sc</w:t>
            </w:r>
            <w:proofErr w:type="spellEnd"/>
          </w:p>
        </w:tc>
        <w:tc>
          <w:tcPr>
            <w:tcW w:w="1173" w:type="pct"/>
            <w:shd w:val="clear" w:color="000000" w:fill="FFFFFF"/>
            <w:noWrap/>
            <w:vAlign w:val="center"/>
          </w:tcPr>
          <w:p w:rsidR="00BE72ED" w:rsidRPr="00694314" w:rsidRDefault="00BE72ED" w:rsidP="00BE72ED">
            <w:pPr>
              <w:jc w:val="center"/>
              <w:rPr>
                <w:color w:val="000000"/>
                <w:sz w:val="18"/>
                <w:szCs w:val="18"/>
              </w:rPr>
            </w:pPr>
            <w:proofErr w:type="spellStart"/>
            <w:r w:rsidRPr="00694314">
              <w:rPr>
                <w:color w:val="000000"/>
                <w:sz w:val="18"/>
                <w:szCs w:val="18"/>
              </w:rPr>
              <w:t>Subcooler</w:t>
            </w:r>
            <w:proofErr w:type="spellEnd"/>
          </w:p>
        </w:tc>
      </w:tr>
      <w:tr w:rsidR="00BE72ED" w:rsidRPr="00694314" w:rsidTr="00BE72ED">
        <w:trPr>
          <w:divId w:val="1501965819"/>
          <w:trHeight w:val="284"/>
          <w:jc w:val="center"/>
        </w:trPr>
        <w:tc>
          <w:tcPr>
            <w:tcW w:w="950" w:type="pct"/>
            <w:tcBorders>
              <w:top w:val="nil"/>
              <w:bottom w:val="nil"/>
              <w:right w:val="nil"/>
            </w:tcBorders>
            <w:shd w:val="clear" w:color="000000" w:fill="FFFFFF"/>
            <w:vAlign w:val="center"/>
          </w:tcPr>
          <w:p w:rsidR="00BE72ED" w:rsidRPr="00694314" w:rsidRDefault="00BE72ED" w:rsidP="00BE72ED">
            <w:pPr>
              <w:jc w:val="center"/>
              <w:rPr>
                <w:i/>
                <w:iCs/>
                <w:color w:val="000000"/>
                <w:sz w:val="18"/>
                <w:szCs w:val="18"/>
              </w:rPr>
            </w:pPr>
            <w:r w:rsidRPr="00694314">
              <w:rPr>
                <w:i/>
                <w:color w:val="000000"/>
                <w:sz w:val="18"/>
                <w:szCs w:val="18"/>
              </w:rPr>
              <w:t>gen</w:t>
            </w:r>
          </w:p>
        </w:tc>
        <w:tc>
          <w:tcPr>
            <w:tcW w:w="1739" w:type="pct"/>
            <w:gridSpan w:val="2"/>
            <w:tcBorders>
              <w:top w:val="nil"/>
              <w:bottom w:val="nil"/>
              <w:right w:val="single" w:sz="4" w:space="0" w:color="auto"/>
            </w:tcBorders>
            <w:shd w:val="clear" w:color="000000" w:fill="FFFFFF"/>
            <w:vAlign w:val="center"/>
          </w:tcPr>
          <w:p w:rsidR="00BE72ED" w:rsidRPr="00694314" w:rsidRDefault="00BE72ED" w:rsidP="00BE72ED">
            <w:pPr>
              <w:jc w:val="center"/>
              <w:rPr>
                <w:color w:val="000000"/>
                <w:sz w:val="18"/>
                <w:szCs w:val="18"/>
              </w:rPr>
            </w:pPr>
            <w:r w:rsidRPr="00694314">
              <w:rPr>
                <w:color w:val="000000"/>
                <w:sz w:val="18"/>
                <w:szCs w:val="18"/>
              </w:rPr>
              <w:t>Generated</w:t>
            </w:r>
          </w:p>
        </w:tc>
        <w:tc>
          <w:tcPr>
            <w:tcW w:w="1138" w:type="pct"/>
            <w:gridSpan w:val="2"/>
            <w:tcBorders>
              <w:left w:val="single" w:sz="4" w:space="0" w:color="auto"/>
            </w:tcBorders>
            <w:shd w:val="clear" w:color="000000" w:fill="FFFFFF"/>
            <w:vAlign w:val="center"/>
          </w:tcPr>
          <w:p w:rsidR="00BE72ED" w:rsidRPr="00694314" w:rsidRDefault="00BE72ED" w:rsidP="00BE72ED">
            <w:pPr>
              <w:jc w:val="center"/>
              <w:rPr>
                <w:i/>
                <w:iCs/>
                <w:color w:val="000000"/>
                <w:sz w:val="18"/>
                <w:szCs w:val="18"/>
              </w:rPr>
            </w:pPr>
            <w:proofErr w:type="spellStart"/>
            <w:r w:rsidRPr="00694314">
              <w:rPr>
                <w:i/>
                <w:color w:val="000000"/>
                <w:sz w:val="18"/>
                <w:szCs w:val="18"/>
              </w:rPr>
              <w:t>sh</w:t>
            </w:r>
            <w:proofErr w:type="spellEnd"/>
          </w:p>
        </w:tc>
        <w:tc>
          <w:tcPr>
            <w:tcW w:w="1173" w:type="pct"/>
            <w:shd w:val="clear" w:color="000000" w:fill="FFFFFF"/>
            <w:noWrap/>
            <w:vAlign w:val="center"/>
          </w:tcPr>
          <w:p w:rsidR="00BE72ED" w:rsidRPr="00694314" w:rsidRDefault="00BE72ED" w:rsidP="00BE72ED">
            <w:pPr>
              <w:jc w:val="center"/>
              <w:rPr>
                <w:i/>
                <w:iCs/>
                <w:color w:val="000000"/>
                <w:sz w:val="18"/>
                <w:szCs w:val="18"/>
              </w:rPr>
            </w:pPr>
            <w:r w:rsidRPr="00694314">
              <w:rPr>
                <w:color w:val="000000"/>
                <w:sz w:val="18"/>
                <w:szCs w:val="18"/>
              </w:rPr>
              <w:t>Superheater</w:t>
            </w:r>
          </w:p>
        </w:tc>
      </w:tr>
      <w:tr w:rsidR="00BE72ED" w:rsidRPr="00694314" w:rsidTr="00BE72ED">
        <w:trPr>
          <w:divId w:val="1501965819"/>
          <w:trHeight w:val="284"/>
          <w:jc w:val="center"/>
        </w:trPr>
        <w:tc>
          <w:tcPr>
            <w:tcW w:w="950" w:type="pct"/>
            <w:tcBorders>
              <w:top w:val="nil"/>
              <w:bottom w:val="nil"/>
              <w:right w:val="nil"/>
            </w:tcBorders>
            <w:shd w:val="clear" w:color="000000" w:fill="FFFFFF"/>
            <w:vAlign w:val="center"/>
          </w:tcPr>
          <w:p w:rsidR="00BE72ED" w:rsidRPr="00694314" w:rsidRDefault="00BE72ED" w:rsidP="00BE72ED">
            <w:pPr>
              <w:jc w:val="center"/>
              <w:rPr>
                <w:i/>
                <w:iCs/>
                <w:color w:val="000000"/>
                <w:sz w:val="18"/>
                <w:szCs w:val="18"/>
              </w:rPr>
            </w:pPr>
            <w:r w:rsidRPr="00694314">
              <w:rPr>
                <w:i/>
                <w:color w:val="000000"/>
                <w:sz w:val="18"/>
                <w:szCs w:val="18"/>
              </w:rPr>
              <w:t>H</w:t>
            </w:r>
          </w:p>
        </w:tc>
        <w:tc>
          <w:tcPr>
            <w:tcW w:w="1739" w:type="pct"/>
            <w:gridSpan w:val="2"/>
            <w:tcBorders>
              <w:top w:val="nil"/>
              <w:bottom w:val="nil"/>
              <w:right w:val="single" w:sz="4" w:space="0" w:color="auto"/>
            </w:tcBorders>
            <w:shd w:val="clear" w:color="000000" w:fill="FFFFFF"/>
            <w:vAlign w:val="center"/>
          </w:tcPr>
          <w:p w:rsidR="00BE72ED" w:rsidRPr="00694314" w:rsidRDefault="00BE72ED" w:rsidP="00BE72ED">
            <w:pPr>
              <w:jc w:val="center"/>
              <w:rPr>
                <w:color w:val="000000"/>
                <w:sz w:val="18"/>
                <w:szCs w:val="18"/>
              </w:rPr>
            </w:pPr>
            <w:r w:rsidRPr="00694314">
              <w:rPr>
                <w:color w:val="000000"/>
                <w:sz w:val="18"/>
                <w:szCs w:val="18"/>
              </w:rPr>
              <w:t>Source</w:t>
            </w:r>
          </w:p>
        </w:tc>
        <w:tc>
          <w:tcPr>
            <w:tcW w:w="1138" w:type="pct"/>
            <w:gridSpan w:val="2"/>
            <w:tcBorders>
              <w:left w:val="single" w:sz="4" w:space="0" w:color="auto"/>
            </w:tcBorders>
            <w:shd w:val="clear" w:color="000000" w:fill="FFFFFF"/>
            <w:vAlign w:val="center"/>
          </w:tcPr>
          <w:p w:rsidR="00BE72ED" w:rsidRPr="00694314" w:rsidRDefault="00BE72ED" w:rsidP="00BE72ED">
            <w:pPr>
              <w:jc w:val="center"/>
              <w:rPr>
                <w:i/>
                <w:color w:val="000000"/>
                <w:sz w:val="18"/>
                <w:szCs w:val="18"/>
              </w:rPr>
            </w:pPr>
            <w:r w:rsidRPr="00694314">
              <w:rPr>
                <w:i/>
                <w:iCs/>
                <w:color w:val="000000"/>
                <w:sz w:val="18"/>
                <w:szCs w:val="18"/>
              </w:rPr>
              <w:t>t</w:t>
            </w:r>
          </w:p>
        </w:tc>
        <w:tc>
          <w:tcPr>
            <w:tcW w:w="1173" w:type="pct"/>
            <w:shd w:val="clear" w:color="000000" w:fill="FFFFFF"/>
            <w:noWrap/>
            <w:vAlign w:val="center"/>
          </w:tcPr>
          <w:p w:rsidR="00BE72ED" w:rsidRPr="00694314" w:rsidRDefault="00BE72ED" w:rsidP="00BE72ED">
            <w:pPr>
              <w:jc w:val="center"/>
              <w:rPr>
                <w:color w:val="000000"/>
                <w:sz w:val="18"/>
                <w:szCs w:val="18"/>
              </w:rPr>
            </w:pPr>
            <w:r w:rsidRPr="00694314">
              <w:rPr>
                <w:color w:val="000000"/>
                <w:sz w:val="18"/>
                <w:szCs w:val="18"/>
              </w:rPr>
              <w:t>Net</w:t>
            </w:r>
          </w:p>
        </w:tc>
      </w:tr>
      <w:tr w:rsidR="00BE72ED" w:rsidRPr="00694314" w:rsidTr="00BE72ED">
        <w:trPr>
          <w:divId w:val="1501965819"/>
          <w:trHeight w:val="284"/>
          <w:jc w:val="center"/>
        </w:trPr>
        <w:tc>
          <w:tcPr>
            <w:tcW w:w="950" w:type="pct"/>
            <w:tcBorders>
              <w:top w:val="nil"/>
              <w:bottom w:val="nil"/>
              <w:right w:val="nil"/>
            </w:tcBorders>
            <w:shd w:val="clear" w:color="000000" w:fill="FFFFFF"/>
            <w:vAlign w:val="center"/>
          </w:tcPr>
          <w:p w:rsidR="00BE72ED" w:rsidRPr="00694314" w:rsidRDefault="00BE72ED" w:rsidP="00BE72ED">
            <w:pPr>
              <w:jc w:val="center"/>
              <w:rPr>
                <w:i/>
                <w:iCs/>
                <w:color w:val="000000"/>
                <w:sz w:val="18"/>
                <w:szCs w:val="18"/>
              </w:rPr>
            </w:pPr>
            <w:r w:rsidRPr="00694314">
              <w:rPr>
                <w:i/>
                <w:color w:val="000000"/>
                <w:sz w:val="18"/>
                <w:szCs w:val="18"/>
              </w:rPr>
              <w:t>h</w:t>
            </w:r>
          </w:p>
        </w:tc>
        <w:tc>
          <w:tcPr>
            <w:tcW w:w="1739" w:type="pct"/>
            <w:gridSpan w:val="2"/>
            <w:tcBorders>
              <w:top w:val="nil"/>
              <w:bottom w:val="nil"/>
              <w:right w:val="single" w:sz="4" w:space="0" w:color="auto"/>
            </w:tcBorders>
            <w:shd w:val="clear" w:color="000000" w:fill="FFFFFF"/>
            <w:vAlign w:val="center"/>
          </w:tcPr>
          <w:p w:rsidR="00BE72ED" w:rsidRPr="00694314" w:rsidRDefault="00BE72ED" w:rsidP="00BE72ED">
            <w:pPr>
              <w:jc w:val="center"/>
              <w:rPr>
                <w:color w:val="000000"/>
                <w:sz w:val="18"/>
                <w:szCs w:val="18"/>
              </w:rPr>
            </w:pPr>
            <w:r w:rsidRPr="00694314">
              <w:rPr>
                <w:color w:val="000000"/>
                <w:sz w:val="18"/>
                <w:szCs w:val="18"/>
              </w:rPr>
              <w:t>High pressure</w:t>
            </w:r>
          </w:p>
        </w:tc>
        <w:tc>
          <w:tcPr>
            <w:tcW w:w="1138" w:type="pct"/>
            <w:gridSpan w:val="2"/>
            <w:tcBorders>
              <w:left w:val="single" w:sz="4" w:space="0" w:color="auto"/>
            </w:tcBorders>
            <w:shd w:val="clear" w:color="000000" w:fill="FFFFFF"/>
            <w:vAlign w:val="center"/>
          </w:tcPr>
          <w:p w:rsidR="00BE72ED" w:rsidRPr="00694314" w:rsidRDefault="00BE72ED" w:rsidP="00BE72ED">
            <w:pPr>
              <w:jc w:val="center"/>
              <w:rPr>
                <w:i/>
                <w:color w:val="000000"/>
                <w:sz w:val="18"/>
                <w:szCs w:val="18"/>
              </w:rPr>
            </w:pPr>
            <w:proofErr w:type="spellStart"/>
            <w:r w:rsidRPr="00694314">
              <w:rPr>
                <w:i/>
                <w:iCs/>
                <w:color w:val="000000"/>
                <w:sz w:val="18"/>
                <w:szCs w:val="18"/>
              </w:rPr>
              <w:t>th</w:t>
            </w:r>
            <w:proofErr w:type="spellEnd"/>
          </w:p>
        </w:tc>
        <w:tc>
          <w:tcPr>
            <w:tcW w:w="1173" w:type="pct"/>
            <w:shd w:val="clear" w:color="000000" w:fill="FFFFFF"/>
            <w:noWrap/>
            <w:vAlign w:val="center"/>
          </w:tcPr>
          <w:p w:rsidR="00BE72ED" w:rsidRPr="00694314" w:rsidRDefault="00BE72ED" w:rsidP="00BE72ED">
            <w:pPr>
              <w:jc w:val="center"/>
              <w:rPr>
                <w:color w:val="000000"/>
                <w:sz w:val="18"/>
                <w:szCs w:val="18"/>
              </w:rPr>
            </w:pPr>
            <w:r w:rsidRPr="00694314">
              <w:rPr>
                <w:color w:val="000000"/>
                <w:sz w:val="18"/>
                <w:szCs w:val="18"/>
              </w:rPr>
              <w:t>Thermal</w:t>
            </w:r>
          </w:p>
        </w:tc>
      </w:tr>
      <w:tr w:rsidR="00BE72ED" w:rsidRPr="00694314" w:rsidTr="00BE72ED">
        <w:trPr>
          <w:divId w:val="1501965819"/>
          <w:trHeight w:val="284"/>
          <w:jc w:val="center"/>
        </w:trPr>
        <w:tc>
          <w:tcPr>
            <w:tcW w:w="950" w:type="pct"/>
            <w:tcBorders>
              <w:top w:val="nil"/>
              <w:right w:val="nil"/>
            </w:tcBorders>
            <w:shd w:val="clear" w:color="000000" w:fill="FFFFFF"/>
            <w:vAlign w:val="center"/>
          </w:tcPr>
          <w:p w:rsidR="00BE72ED" w:rsidRPr="00694314" w:rsidRDefault="00BE72ED" w:rsidP="00BE72ED">
            <w:pPr>
              <w:jc w:val="center"/>
              <w:rPr>
                <w:i/>
                <w:iCs/>
                <w:color w:val="000000"/>
                <w:sz w:val="18"/>
                <w:szCs w:val="18"/>
              </w:rPr>
            </w:pPr>
            <w:r w:rsidRPr="00694314">
              <w:rPr>
                <w:i/>
                <w:color w:val="000000"/>
                <w:sz w:val="18"/>
                <w:szCs w:val="18"/>
              </w:rPr>
              <w:t>ha</w:t>
            </w:r>
          </w:p>
        </w:tc>
        <w:tc>
          <w:tcPr>
            <w:tcW w:w="1739" w:type="pct"/>
            <w:gridSpan w:val="2"/>
            <w:tcBorders>
              <w:top w:val="nil"/>
              <w:right w:val="single" w:sz="4" w:space="0" w:color="auto"/>
            </w:tcBorders>
            <w:shd w:val="clear" w:color="000000" w:fill="FFFFFF"/>
            <w:vAlign w:val="center"/>
          </w:tcPr>
          <w:p w:rsidR="00BE72ED" w:rsidRPr="00694314" w:rsidRDefault="00BE72ED" w:rsidP="00BE72ED">
            <w:pPr>
              <w:jc w:val="center"/>
              <w:rPr>
                <w:color w:val="000000"/>
                <w:sz w:val="18"/>
                <w:szCs w:val="18"/>
              </w:rPr>
            </w:pPr>
            <w:r w:rsidRPr="00694314">
              <w:rPr>
                <w:color w:val="000000"/>
                <w:sz w:val="18"/>
                <w:szCs w:val="18"/>
              </w:rPr>
              <w:t>Heat absorbed</w:t>
            </w:r>
          </w:p>
        </w:tc>
        <w:tc>
          <w:tcPr>
            <w:tcW w:w="1138" w:type="pct"/>
            <w:gridSpan w:val="2"/>
            <w:tcBorders>
              <w:left w:val="single" w:sz="4" w:space="0" w:color="auto"/>
            </w:tcBorders>
            <w:shd w:val="clear" w:color="000000" w:fill="FFFFFF"/>
            <w:vAlign w:val="center"/>
          </w:tcPr>
          <w:p w:rsidR="00BE72ED" w:rsidRPr="00694314" w:rsidRDefault="00BE72ED" w:rsidP="00BE72ED">
            <w:pPr>
              <w:jc w:val="center"/>
              <w:rPr>
                <w:i/>
                <w:color w:val="000000"/>
                <w:sz w:val="18"/>
                <w:szCs w:val="18"/>
              </w:rPr>
            </w:pPr>
            <w:r w:rsidRPr="00694314">
              <w:rPr>
                <w:i/>
                <w:iCs/>
                <w:color w:val="000000"/>
                <w:sz w:val="18"/>
                <w:szCs w:val="18"/>
              </w:rPr>
              <w:t>v</w:t>
            </w:r>
          </w:p>
        </w:tc>
        <w:tc>
          <w:tcPr>
            <w:tcW w:w="1173" w:type="pct"/>
            <w:shd w:val="clear" w:color="000000" w:fill="FFFFFF"/>
            <w:noWrap/>
            <w:vAlign w:val="center"/>
          </w:tcPr>
          <w:p w:rsidR="00BE72ED" w:rsidRPr="00694314" w:rsidRDefault="00BE72ED" w:rsidP="00BE72ED">
            <w:pPr>
              <w:jc w:val="center"/>
              <w:rPr>
                <w:color w:val="000000"/>
                <w:sz w:val="18"/>
                <w:szCs w:val="18"/>
              </w:rPr>
            </w:pPr>
            <w:r w:rsidRPr="00694314">
              <w:rPr>
                <w:color w:val="000000"/>
                <w:sz w:val="18"/>
                <w:szCs w:val="18"/>
              </w:rPr>
              <w:t>Vessel</w:t>
            </w:r>
          </w:p>
        </w:tc>
      </w:tr>
      <w:tr w:rsidR="00BE72ED" w:rsidRPr="00694314" w:rsidTr="00BE72ED">
        <w:trPr>
          <w:divId w:val="1501965819"/>
          <w:trHeight w:val="284"/>
          <w:jc w:val="center"/>
        </w:trPr>
        <w:tc>
          <w:tcPr>
            <w:tcW w:w="950" w:type="pct"/>
            <w:tcBorders>
              <w:top w:val="nil"/>
              <w:right w:val="nil"/>
            </w:tcBorders>
            <w:shd w:val="clear" w:color="000000" w:fill="FFFFFF"/>
            <w:vAlign w:val="center"/>
          </w:tcPr>
          <w:p w:rsidR="00BE72ED" w:rsidRPr="00694314" w:rsidRDefault="00BE72ED" w:rsidP="00BE72ED">
            <w:pPr>
              <w:jc w:val="center"/>
              <w:rPr>
                <w:i/>
                <w:iCs/>
                <w:color w:val="000000"/>
                <w:sz w:val="18"/>
                <w:szCs w:val="18"/>
              </w:rPr>
            </w:pPr>
            <w:proofErr w:type="spellStart"/>
            <w:r w:rsidRPr="00694314">
              <w:rPr>
                <w:i/>
                <w:color w:val="000000"/>
                <w:sz w:val="18"/>
                <w:szCs w:val="18"/>
              </w:rPr>
              <w:t>i</w:t>
            </w:r>
            <w:proofErr w:type="spellEnd"/>
          </w:p>
        </w:tc>
        <w:tc>
          <w:tcPr>
            <w:tcW w:w="1739" w:type="pct"/>
            <w:gridSpan w:val="2"/>
            <w:tcBorders>
              <w:top w:val="nil"/>
              <w:right w:val="single" w:sz="4" w:space="0" w:color="auto"/>
            </w:tcBorders>
            <w:shd w:val="clear" w:color="000000" w:fill="FFFFFF"/>
            <w:vAlign w:val="center"/>
          </w:tcPr>
          <w:p w:rsidR="00BE72ED" w:rsidRPr="00694314" w:rsidRDefault="00BE72ED" w:rsidP="00BE72ED">
            <w:pPr>
              <w:jc w:val="center"/>
              <w:rPr>
                <w:color w:val="000000"/>
                <w:sz w:val="18"/>
                <w:szCs w:val="18"/>
              </w:rPr>
            </w:pPr>
            <w:r w:rsidRPr="00694314">
              <w:rPr>
                <w:color w:val="000000"/>
                <w:sz w:val="18"/>
                <w:szCs w:val="18"/>
              </w:rPr>
              <w:t>Inlet/In</w:t>
            </w:r>
          </w:p>
        </w:tc>
        <w:tc>
          <w:tcPr>
            <w:tcW w:w="1138" w:type="pct"/>
            <w:gridSpan w:val="2"/>
            <w:tcBorders>
              <w:left w:val="single" w:sz="4" w:space="0" w:color="auto"/>
            </w:tcBorders>
            <w:shd w:val="clear" w:color="000000" w:fill="FFFFFF"/>
            <w:vAlign w:val="center"/>
          </w:tcPr>
          <w:p w:rsidR="00BE72ED" w:rsidRPr="00694314" w:rsidRDefault="00BE72ED" w:rsidP="00BE72ED">
            <w:pPr>
              <w:jc w:val="center"/>
              <w:rPr>
                <w:i/>
                <w:color w:val="000000"/>
                <w:sz w:val="18"/>
                <w:szCs w:val="18"/>
              </w:rPr>
            </w:pPr>
            <w:proofErr w:type="spellStart"/>
            <w:r>
              <w:rPr>
                <w:i/>
                <w:color w:val="000000"/>
                <w:sz w:val="18"/>
                <w:szCs w:val="18"/>
              </w:rPr>
              <w:t>wf</w:t>
            </w:r>
            <w:proofErr w:type="spellEnd"/>
          </w:p>
        </w:tc>
        <w:tc>
          <w:tcPr>
            <w:tcW w:w="1173" w:type="pct"/>
            <w:shd w:val="clear" w:color="000000" w:fill="FFFFFF"/>
            <w:noWrap/>
            <w:vAlign w:val="center"/>
          </w:tcPr>
          <w:p w:rsidR="00BE72ED" w:rsidRPr="00694314" w:rsidRDefault="00BE72ED" w:rsidP="00BE72ED">
            <w:pPr>
              <w:jc w:val="center"/>
              <w:rPr>
                <w:color w:val="000000"/>
                <w:sz w:val="18"/>
                <w:szCs w:val="18"/>
              </w:rPr>
            </w:pPr>
            <w:r>
              <w:rPr>
                <w:color w:val="000000"/>
                <w:sz w:val="18"/>
                <w:szCs w:val="18"/>
              </w:rPr>
              <w:t>Working fluid</w:t>
            </w:r>
          </w:p>
        </w:tc>
      </w:tr>
      <w:tr w:rsidR="00BE72ED" w:rsidRPr="00694314" w:rsidTr="00BE72ED">
        <w:trPr>
          <w:divId w:val="1501965819"/>
          <w:trHeight w:val="284"/>
          <w:jc w:val="center"/>
        </w:trPr>
        <w:tc>
          <w:tcPr>
            <w:tcW w:w="950" w:type="pct"/>
            <w:tcBorders>
              <w:top w:val="nil"/>
              <w:bottom w:val="single" w:sz="4" w:space="0" w:color="auto"/>
              <w:right w:val="nil"/>
            </w:tcBorders>
            <w:shd w:val="clear" w:color="000000" w:fill="FFFFFF"/>
            <w:vAlign w:val="center"/>
          </w:tcPr>
          <w:p w:rsidR="00BE72ED" w:rsidRPr="00694314" w:rsidRDefault="00BE72ED" w:rsidP="00BE72ED">
            <w:pPr>
              <w:jc w:val="center"/>
              <w:rPr>
                <w:i/>
                <w:color w:val="000000"/>
                <w:sz w:val="18"/>
                <w:szCs w:val="18"/>
              </w:rPr>
            </w:pPr>
            <w:r w:rsidRPr="00694314">
              <w:rPr>
                <w:i/>
                <w:color w:val="000000"/>
                <w:sz w:val="18"/>
                <w:szCs w:val="18"/>
              </w:rPr>
              <w:t>l</w:t>
            </w:r>
          </w:p>
        </w:tc>
        <w:tc>
          <w:tcPr>
            <w:tcW w:w="1739" w:type="pct"/>
            <w:gridSpan w:val="2"/>
            <w:tcBorders>
              <w:top w:val="nil"/>
              <w:bottom w:val="single" w:sz="4" w:space="0" w:color="auto"/>
              <w:right w:val="single" w:sz="4" w:space="0" w:color="auto"/>
            </w:tcBorders>
            <w:shd w:val="clear" w:color="000000" w:fill="FFFFFF"/>
            <w:vAlign w:val="center"/>
          </w:tcPr>
          <w:p w:rsidR="00BE72ED" w:rsidRPr="00694314" w:rsidRDefault="00BE72ED" w:rsidP="00BE72ED">
            <w:pPr>
              <w:jc w:val="center"/>
              <w:rPr>
                <w:color w:val="000000"/>
                <w:sz w:val="18"/>
                <w:szCs w:val="18"/>
              </w:rPr>
            </w:pPr>
            <w:r w:rsidRPr="00694314">
              <w:rPr>
                <w:color w:val="000000"/>
                <w:sz w:val="18"/>
                <w:szCs w:val="18"/>
              </w:rPr>
              <w:t>Low pressure</w:t>
            </w:r>
          </w:p>
        </w:tc>
        <w:tc>
          <w:tcPr>
            <w:tcW w:w="1138" w:type="pct"/>
            <w:gridSpan w:val="2"/>
            <w:tcBorders>
              <w:left w:val="single" w:sz="4" w:space="0" w:color="auto"/>
              <w:bottom w:val="single" w:sz="4" w:space="0" w:color="auto"/>
            </w:tcBorders>
            <w:shd w:val="clear" w:color="000000" w:fill="FFFFFF"/>
            <w:vAlign w:val="center"/>
          </w:tcPr>
          <w:p w:rsidR="00BE72ED" w:rsidRPr="00694314" w:rsidRDefault="00BE72ED" w:rsidP="00BE72ED">
            <w:pPr>
              <w:jc w:val="center"/>
              <w:rPr>
                <w:i/>
                <w:color w:val="000000"/>
                <w:sz w:val="18"/>
                <w:szCs w:val="18"/>
              </w:rPr>
            </w:pPr>
          </w:p>
        </w:tc>
        <w:tc>
          <w:tcPr>
            <w:tcW w:w="1173" w:type="pct"/>
            <w:tcBorders>
              <w:bottom w:val="single" w:sz="4" w:space="0" w:color="auto"/>
            </w:tcBorders>
            <w:shd w:val="clear" w:color="000000" w:fill="FFFFFF"/>
            <w:noWrap/>
            <w:vAlign w:val="center"/>
          </w:tcPr>
          <w:p w:rsidR="00BE72ED" w:rsidRPr="00694314" w:rsidRDefault="00BE72ED" w:rsidP="00BE72ED">
            <w:pPr>
              <w:jc w:val="center"/>
              <w:rPr>
                <w:color w:val="000000"/>
                <w:sz w:val="18"/>
                <w:szCs w:val="18"/>
              </w:rPr>
            </w:pPr>
          </w:p>
        </w:tc>
      </w:tr>
    </w:tbl>
    <w:p w:rsidR="008D078E" w:rsidRDefault="008D078E" w:rsidP="00E0790D">
      <w:pPr>
        <w:divId w:val="1501965819"/>
      </w:pPr>
    </w:p>
    <w:sectPr w:rsidR="008D078E" w:rsidSect="00074B81">
      <w:footnotePr>
        <w:numFmt w:val="chicago"/>
      </w:footnotePr>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E9D" w:rsidRDefault="001C7E9D" w:rsidP="00AF2C92">
      <w:r>
        <w:separator/>
      </w:r>
    </w:p>
  </w:endnote>
  <w:endnote w:type="continuationSeparator" w:id="0">
    <w:p w:rsidR="001C7E9D" w:rsidRDefault="001C7E9D"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E9D" w:rsidRDefault="001C7E9D" w:rsidP="00AF2C92">
      <w:r>
        <w:separator/>
      </w:r>
    </w:p>
  </w:footnote>
  <w:footnote w:type="continuationSeparator" w:id="0">
    <w:p w:rsidR="001C7E9D" w:rsidRDefault="001C7E9D" w:rsidP="00AF2C92">
      <w:r>
        <w:continuationSeparator/>
      </w:r>
    </w:p>
  </w:footnote>
  <w:footnote w:id="1">
    <w:p w:rsidR="00B30F53" w:rsidRPr="003143E1" w:rsidRDefault="00B30F53" w:rsidP="00D854F1">
      <w:pPr>
        <w:pStyle w:val="Footnotes"/>
      </w:pPr>
      <w:r>
        <w:rPr>
          <w:rStyle w:val="FootnoteReference"/>
        </w:rPr>
        <w:footnoteRef/>
      </w:r>
      <w:r>
        <w:t xml:space="preserve"> </w:t>
      </w:r>
      <w:proofErr w:type="gramStart"/>
      <w:r w:rsidRPr="003143E1">
        <w:t xml:space="preserve">Average price for a </w:t>
      </w:r>
      <w:r>
        <w:t>tonne</w:t>
      </w:r>
      <w:r w:rsidRPr="003143E1">
        <w:t xml:space="preserve"> of MDO between July</w:t>
      </w:r>
      <w:r>
        <w:t xml:space="preserve"> 2013 and October</w:t>
      </w:r>
      <w:r w:rsidRPr="003143E1">
        <w:t xml:space="preserve"> 201</w:t>
      </w:r>
      <w:r>
        <w:t>4.</w:t>
      </w:r>
      <w:proofErr w:type="gramEnd"/>
    </w:p>
  </w:footnote>
  <w:footnote w:id="2">
    <w:p w:rsidR="00B30F53" w:rsidRDefault="00B30F53" w:rsidP="00B30F53">
      <w:pPr>
        <w:pStyle w:val="Footnotes"/>
      </w:pPr>
      <w:r>
        <w:rPr>
          <w:rStyle w:val="FootnoteReference"/>
        </w:rPr>
        <w:footnoteRef/>
      </w:r>
      <w:r>
        <w:t xml:space="preserve"> </w:t>
      </w:r>
      <w:r w:rsidRPr="00621CE0">
        <w:rPr>
          <w:noProof/>
        </w:rPr>
        <w:t>For Toluene</w:t>
      </w:r>
      <w:r>
        <w:rPr>
          <w:noProof/>
        </w:rPr>
        <w:t>:</w:t>
      </w:r>
      <w:r>
        <w:t xml:space="preserve"> </w:t>
      </w:r>
      <w:r w:rsidRPr="00621CE0">
        <w:fldChar w:fldCharType="begin" w:fldLock="1"/>
      </w:r>
      <w:r>
        <w:instrText>ADDIN CSL_CITATION { "citationItems" : [ { "id" : "ITEM-1", "itemData" : { "ISBN" : "978 0521 88009-1", "abstract" : "Radiative forcing (RF)[1] is a concept used for quantitative comparisons of the strength of different human and natural agents in causing climate change. Climate model studies since the Working Group I Third Assessment Report (TAR; IPCC, 2001) give medium confidence that the equilibrium global mean temperature response to a given RF is approximately the same (to within 25%) for most drivers of climate change. For the first time, the combined RF for all anthropogenic agents is derived. Estimates are also made for the first time of the separate RF components associated with the emissions of each agent. The combined anthropogenic RF is estimated to be +1.6 [\u20131.0, +0.8][2] W m\u20132, indicating that, since 1750, it is extremely likely[3] that humans have exerted a substantial warming influence on climate. This RF estimate is likely to be at least five times greater than that due to solar irradiance changes. For the period 1950 to 2005, it is exceptionally unlikely that the combined natural RF (solar irradiance plus volcanic aerosol) has had a warming influence comparable to that of the combined anthropogenic RF. Increasing concentrations of the long-lived greenhouse gases (carbon dioxide (CO2), methane (CH4), nitrous oxide (N2O), halocarbons and sulphur hexafluoride (SF6); hereinafter LLGHGs) have led to a combined RF of +2.63 [\u00b10.26] W m\u20132. Their RF has a high level of scientific understanding.[4] The 9% increase in this RF since the TAR is the result of concentration changes since 1998. \u2014 The global mean concentration of CO2 in 2005 was 379 ppm, leading to an RF of +1.66 [\u00b10.17] W m\u20132. Past emissions of fossil fuels and cement production have likely contributed about three-quarters of the current RF, with the remainder caused by land use changes. For the 1995 to 2005 decade, the growth rate of CO2 in the atmosphere was 1.9 ppm yr\u20131 and the CO2 RF increased by 20%: this is the largest change observed or inferred for any decade in at least the last 200 years. From 1999 to 2005, global emissions from fossil fuel and cement production increased at a rate of roughly 3% yr\u20131. \u2014 The global mean concentration of CH4 in 2005 was 1,774 ppb, contributing an RF of +0.48 [\u00b10.05] W m\u20132. Over the past two decades, CH4 growth rates in the atmosphere have generally decreased. The cause of this is not well understood. However, this decrease and the negligible long-term change in its main sink (the hydroxyl radical OH) imply that total CH4 emissions are not increasing. \u2014 The Mo\u2026", "author" : [ { "dropping-particle" : "", "family" : "Forster", "given" : "P.", "non-dropping-particle" : "", "parse-names" : false, "suffix" : "" }, { "dropping-particle" : "", "family" : "Ramaswamy", "given" : "V.", "non-dropping-particle" : "", "parse-names" : false, "suffix" : "" }, { "dropping-particle" : "", "family" : "Artaxo", "given" : "P.", "non-dropping-particle" : "", "parse-names" : false, "suffix" : "" }, { "dropping-particle" : "", "family" : "Berntsen", "given" : "T.", "non-dropping-particle" : "", "parse-names" : false, "suffix" : "" }, { "dropping-particle" : "", "family" : "Betts", "given" : "R.", "non-dropping-particle" : "", "parse-names" : false, "suffix" : "" }, { "dropping-particle" : "", "family" : "Fahey", "given" : "D.W.", "non-dropping-particle" : "", "parse-names" : false, "suffix" : "" }, { "dropping-particle" : "", "family" : "Haywood", "given" : "J.", "non-dropping-particle" : "", "parse-names" : false, "suffix" : "" }, { "dropping-particle" : "", "family" : "Lean", "given" : "J.", "non-dropping-particle" : "", "parse-names" : false, "suffix" : "" }, { "dropping-particle" : "", "family" : "Lowe", "given" : "D.C.", "non-dropping-particle" : "", "parse-names" : false, "suffix" : "" }, { "dropping-particle" : "", "family" : "Myhre", "given" : "G.", "non-dropping-particle" : "", "parse-names" : false, "suffix" : "" }, { "dropping-particle" : "", "family" : "Nganga", "given" : "J.", "non-dropping-particle" : "", "parse-names" : false, "suffix" : "" }, { "dropping-particle" : "", "family" : "Prinn", "given" : "R.", "non-dropping-particle" : "", "parse-names" : false, "suffix" : "" }, { "dropping-particle" : "", "family" : "Raga", "given" : "G.", "non-dropping-particle" : "", "parse-names" : false, "suffix" : "" }, { "dropping-particle" : "", "family" : "Schulz", "given" : "M.", "non-dropping-particle" : "", "parse-names" : false, "suffix" : "" }, { "dropping-particle" : "Van", "family" : "Dorland", "given" : "R.", "non-dropping-particle" : "", "parse-names" : false, "suffix" : "" } ], "chapter-number" : "2", "container-title" : "Climate Change 2007: The Physical Science Basis. Contribution of Working Group I to the Fourth Assessment Report of the Intergovernmental Panel on Climate Change", "edition" : "First", "editor" : [ { "dropping-particle" : "", "family" : "Solomon", "given" : "S.", "non-dropping-particle" : "", "parse-names" : false, "suffix" : "" }, { "dropping-particle" : "", "family" : "Qin", "given" : "D.", "non-dropping-particle" : "", "parse-names" : false, "suffix" : "" }, { "dropping-particle" : "", "family" : "Manning", "given" : "M.", "non-dropping-particle" : "", "parse-names" : false, "suffix" : "" }, { "dropping-particle" : "", "family" : "Chen", "given" : "Z.", "non-dropping-particle" : "", "parse-names" : false, "suffix" : "" }, { "dropping-particle" : "", "family" : "Marquis", "given" : "M.", "non-dropping-particle" : "", "parse-names" : false, "suffix" : "" }, { "dropping-particle" : "", "family" : "Averyt", "given" : "K.B.", "non-dropping-particle" : "", "parse-names" : false, "suffix" : "" }, { "dropping-particle" : "", "family" : "M.Tignor", "given" : "", "non-dropping-particle" : "", "parse-names" : false, "suffix" : "" }, { "dropping-particle" : "", "family" : "Miller", "given" : "H.L.", "non-dropping-particle" : "", "parse-names" : false, "suffix" : "" } ], "id" : "ITEM-1", "issued" : { "date-parts" : [ [ "2007" ] ] }, "page" : "129-234", "publisher" : "Cambridge University Press", "publisher-place" : "Cambridge", "title" : "2007: Changes in Atmospheric Constituents and in Radiative Forcing", "type" : "chapter" }, "uris" : [ "http://www.mendeley.com/documents/?uuid=328782c7-89f9-4275-8072-5a6e4641a6d4" ] } ], "mendeley" : { "formattedCitation" : "(Forster et al. 2007)", "plainTextFormattedCitation" : "(Forster et al. 2007)", "previouslyFormattedCitation" : "(Forster et al. 2007)" }, "properties" : { "noteIndex" : 0 }, "schema" : "https://github.com/citation-style-language/schema/raw/master/csl-citation.json" }</w:instrText>
      </w:r>
      <w:r w:rsidRPr="00621CE0">
        <w:fldChar w:fldCharType="separate"/>
      </w:r>
      <w:r w:rsidRPr="002B7B65">
        <w:rPr>
          <w:noProof/>
        </w:rPr>
        <w:t xml:space="preserve">(Forster </w:t>
      </w:r>
      <w:r w:rsidRPr="00916003">
        <w:rPr>
          <w:i/>
          <w:noProof/>
        </w:rPr>
        <w:t>et al</w:t>
      </w:r>
      <w:r w:rsidRPr="002B7B65">
        <w:rPr>
          <w:noProof/>
        </w:rPr>
        <w:t>. 2007)</w:t>
      </w:r>
      <w:r w:rsidRPr="00621CE0">
        <w:fldChar w:fldCharType="end"/>
      </w:r>
      <w:r>
        <w:t xml:space="preserve">; </w:t>
      </w:r>
      <w:r w:rsidRPr="002F580A">
        <w:t>for</w:t>
      </w:r>
      <w:r>
        <w:t xml:space="preserve"> Heptane: </w:t>
      </w:r>
      <w:r>
        <w:fldChar w:fldCharType="begin" w:fldLock="1"/>
      </w:r>
      <w:r>
        <w:instrText>ADDIN CSL_CITATION { "citationItems" : [ { "id" : "ITEM-1", "itemData" : { "URL" : "http://www.epa.gov/ozone/snap/subsgwps.html", "accessed" : { "date-parts" : [ [ "2013", "12", "18" ] ] }, "author" : [ { "dropping-particle" : "", "family" : "Environmental Protection Agency", "given" : "", "non-dropping-particle" : "", "parse-names" : false, "suffix" : "" } ], "container-title" : "Ozone Layer Protection", "id" : "ITEM-1", "issued" : { "date-parts" : [ [ "2013" ] ] }, "language" : "en", "note" : "GWP Heptane", "page" : "1", "title" : "Global Warming Potentials and Ozone Depletion Potentials of Some Ozone-Depleting Substances and Alternatives Listed by the SNAP Program", "type" : "webpage" }, "uris" : [ "http://www.mendeley.com/documents/?uuid=8dc0a8ea-a88c-4a84-8758-7b4df2266fcb" ] } ], "mendeley" : { "formattedCitation" : "(Environmental Protection Agency 2013)", "plainTextFormattedCitation" : "(Environmental Protection Agency 2013)", "previouslyFormattedCitation" : "(Environmental Protection Agency 2013)" }, "properties" : { "noteIndex" : 0 }, "schema" : "https://github.com/citation-style-language/schema/raw/master/csl-citation.json" }</w:instrText>
      </w:r>
      <w:r>
        <w:fldChar w:fldCharType="separate"/>
      </w:r>
      <w:r w:rsidRPr="002B7B65">
        <w:rPr>
          <w:noProof/>
        </w:rPr>
        <w:t>(Environmental Protection Agency 2013)</w:t>
      </w:r>
      <w:r>
        <w:fldChar w:fldCharType="end"/>
      </w:r>
      <w:r>
        <w:t xml:space="preserve"> ; and for MM: </w:t>
      </w:r>
      <w:r>
        <w:fldChar w:fldCharType="begin" w:fldLock="1"/>
      </w:r>
      <w:r>
        <w:instrText>ADDIN CSL_CITATION { "citationItems" : [ { "id" : "ITEM-1", "itemData" : { "abstract" : "This Technical Guidance Note (TGN) is one of a series providing guidance to our staff, monitoring contractors, industry and other parties interested in emissions and regulatory monitoring. This note provides information on the samp ling, monitoring and measuring of volatile organic compounds (VOCs) to air from industrial processes. This TGN does not cover methods for mon itoring VOCs in ambient air. These are covered in a separate TGN, M8 Monitoring Ambient Air .", "author" : [ { "dropping-particle" : "", "family" : "Environment Agency", "given" : "", "non-dropping-particle" : "", "parse-names" : false, "suffix" : "" } ], "id" : "ITEM-1", "issued" : { "date-parts" : [ [ "2011" ] ] }, "note" : "GWP of MM, lower than 10", "number-of-pages" : "37", "publisher-place" : "Rotherham", "title" : "Technical Guidance Note: Monitoring VOCs in Stack Gas Emissions", "type" : "report" }, "uris" : [ "http://www.mendeley.com/documents/?uuid=44b4be32-fbc4-4a6d-8f6b-ee50e40b1109" ] } ], "mendeley" : { "formattedCitation" : "(Environment Agency 2011)", "plainTextFormattedCitation" : "(Environment Agency 2011)", "previouslyFormattedCitation" : "(Environment Agency 2011)" }, "properties" : { "noteIndex" : 0 }, "schema" : "https://github.com/citation-style-language/schema/raw/master/csl-citation.json" }</w:instrText>
      </w:r>
      <w:r>
        <w:fldChar w:fldCharType="separate"/>
      </w:r>
      <w:r w:rsidRPr="002B7B65">
        <w:rPr>
          <w:noProof/>
        </w:rPr>
        <w:t>(Environment Agency 2011)</w:t>
      </w:r>
      <w:r>
        <w:fldChar w:fldCharType="end"/>
      </w:r>
      <w:r>
        <w:t>.</w:t>
      </w:r>
    </w:p>
  </w:footnote>
  <w:footnote w:id="3">
    <w:p w:rsidR="00B30F53" w:rsidRDefault="00B30F53" w:rsidP="00B30F53">
      <w:pPr>
        <w:pStyle w:val="Footnotes"/>
      </w:pPr>
      <w:r>
        <w:rPr>
          <w:rStyle w:val="FootnoteReference"/>
        </w:rPr>
        <w:footnoteRef/>
      </w:r>
      <w:r>
        <w:t xml:space="preserve"> Taken from </w:t>
      </w:r>
      <w:r>
        <w:fldChar w:fldCharType="begin" w:fldLock="1"/>
      </w:r>
      <w:r>
        <w:instrText>ADDIN CSL_CITATION { "citationItems" : [ { "id" : "ITEM-1", "itemData" : { "DOI" : "10.1016/j.energy.2014.03.028", "ISSN" : "03605442", "abstract" : "This paper aims at developing a novel air-cooled condenser for concentrated solar power plants. The condenser offers two significant advantages over the existing state-of-the-art. Firstly, it can be installed in a modular format where pre-assembled condenser modules reduce installation costs. Secondly, instead of using large fixed speed fans, smaller speed controlled fans are incorporated into the individual modules. This facility allows the operating point of the condenser to change and continuously maximise plant efficiency. A thorough experimental analysis was performed on a number of prototype condenser designs. This analysis investigated the validly and accuracy of correlations from literature in predicting the thermal and aerodynamic characteristics of different designs. These measurements were used to develop a thermodynamic model to predict the performance of a 50\u00a0MW CSP (Concentrated Solar Power) plant with various condenser designs installed. In order to compare different designs with respect to the specific plant capital cost, a techno-economic analysis was performed which identified the optimum size of each condenser. The results show that a single row plate finned tube design, a four row, and a two row circular finned tube design are all similar in terms of their techno-economic performance and offer significant savings over other designs.", "author" : [ { "dropping-particle" : "", "family" : "Moore", "given" : "J.", "non-dropping-particle" : "", "parse-names" : false, "suffix" : "" }, { "dropping-particle" : "", "family" : "Grimes", "given" : "R.", "non-dropping-particle" : "", "parse-names" : false, "suffix" : "" }, { "dropping-particle" : "", "family" : "Walsh", "given" : "E.", "non-dropping-particle" : "", "parse-names" : false, "suffix" : "" }, { "dropping-particle" : "", "family" : "O'Donovan", "given" : "A.", "non-dropping-particle" : "", "parse-names" : false, "suffix" : "" } ], "container-title" : "Energy", "id" : "ITEM-1", "issued" : { "date-parts" : [ [ "2014", "5" ] ] }, "page" : "378-391", "title" : "Modelling the thermodynamic performance of a concentrated solar power plant with a novel modular air-cooled condenser", "type" : "article-journal", "volume" : "69" }, "uris" : [ "http://www.mendeley.com/documents/?uuid=968b4b5c-e8d2-4150-9f89-b4806881080a" ] } ], "mendeley" : { "formattedCitation" : "(Moore et al. 2014)", "plainTextFormattedCitation" : "(Moore et al. 2014)", "previouslyFormattedCitation" : "(Moore et al. 2014)" }, "properties" : { "noteIndex" : 0 }, "schema" : "https://github.com/citation-style-language/schema/raw/master/csl-citation.json" }</w:instrText>
      </w:r>
      <w:r>
        <w:fldChar w:fldCharType="separate"/>
      </w:r>
      <w:r w:rsidRPr="002B7B65">
        <w:rPr>
          <w:noProof/>
        </w:rPr>
        <w:t xml:space="preserve">(Moore </w:t>
      </w:r>
      <w:r w:rsidRPr="00916003">
        <w:rPr>
          <w:i/>
          <w:noProof/>
        </w:rPr>
        <w:t>et al</w:t>
      </w:r>
      <w:r w:rsidRPr="002B7B65">
        <w:rPr>
          <w:noProof/>
        </w:rPr>
        <w:t>. 2014)</w:t>
      </w:r>
      <w:r>
        <w:fldChar w:fldCharType="end"/>
      </w:r>
      <w:r>
        <w:t xml:space="preserve"> at 101,325 Pa.</w:t>
      </w:r>
    </w:p>
  </w:footnote>
  <w:footnote w:id="4">
    <w:p w:rsidR="00B30F53" w:rsidRDefault="00B30F53" w:rsidP="00B30F53">
      <w:pPr>
        <w:pStyle w:val="Footnotes"/>
      </w:pPr>
      <w:r>
        <w:rPr>
          <w:rStyle w:val="FootnoteReference"/>
        </w:rPr>
        <w:footnoteRef/>
      </w:r>
      <w:r>
        <w:t xml:space="preserve"> </w:t>
      </w:r>
      <w:r w:rsidRPr="00D4131C">
        <w:rPr>
          <w:noProof/>
        </w:rPr>
        <w:t xml:space="preserve">Taken from </w:t>
      </w:r>
      <w:r w:rsidRPr="00D4131C">
        <w:rPr>
          <w:noProof/>
        </w:rPr>
        <w:fldChar w:fldCharType="begin" w:fldLock="1"/>
      </w:r>
      <w:r>
        <w:rPr>
          <w:noProof/>
        </w:rPr>
        <w:instrText>ADDIN CSL_CITATION { "citationItems" : [ { "id" : "ITEM-1", "itemData" : { "ISBN" : "0884153819", "abstract" : "Comprehensive safety and health-related data for hydrocarbons and organic chemicals and selected data for inorganic chemicals are provided in convenient tabular format supplemented by graphs and examples.", "author" : [ { "dropping-particle" : "", "family" : "Yaws", "given" : "Carl L.", "non-dropping-particle" : "", "parse-names" : false, "suffix" : "" } ], "edition" : "1st", "id" : "ITEM-1", "issued" : { "date-parts" : [ [ "1997" ] ] }, "number-of-pages" : "232", "publisher" : "Gulf Publishing Company", "publisher-place" : "Houston", "title" : "Handbook of Chemical Compounds Data for Process Safety", "type" : "book" }, "uris" : [ "http://www.mendeley.com/documents/?uuid=9cd18cd1-bce5-4217-9b92-6a16f68bc821" ] } ], "mendeley" : { "formattedCitation" : "(Yaws 1997)", "plainTextFormattedCitation" : "(Yaws 1997)", "previouslyFormattedCitation" : "(Yaws 1997)" }, "properties" : { "noteIndex" : 0 }, "schema" : "https://github.com/citation-style-language/schema/raw/master/csl-citation.json" }</w:instrText>
      </w:r>
      <w:r w:rsidRPr="00D4131C">
        <w:rPr>
          <w:noProof/>
        </w:rPr>
        <w:fldChar w:fldCharType="separate"/>
      </w:r>
      <w:r w:rsidRPr="002B7B65">
        <w:rPr>
          <w:noProof/>
        </w:rPr>
        <w:t>(Yaws 1997)</w:t>
      </w:r>
      <w:r w:rsidRPr="00D4131C">
        <w:rPr>
          <w:noProof/>
        </w:rPr>
        <w:fldChar w:fldCharType="end"/>
      </w:r>
      <w:r>
        <w:rPr>
          <w:noProof/>
        </w:rPr>
        <w:t>.</w:t>
      </w:r>
    </w:p>
  </w:footnote>
  <w:footnote w:id="5">
    <w:p w:rsidR="00B30F53" w:rsidRDefault="00B30F53" w:rsidP="00B30F53">
      <w:pPr>
        <w:pStyle w:val="Footnotes"/>
      </w:pPr>
      <w:r>
        <w:rPr>
          <w:rStyle w:val="FootnoteReference"/>
        </w:rPr>
        <w:footnoteRef/>
      </w:r>
      <w:r>
        <w:t xml:space="preserve"> </w:t>
      </w:r>
      <w:r w:rsidRPr="00D4131C">
        <w:t>F</w:t>
      </w:r>
      <w:r>
        <w:t xml:space="preserve">or Water: </w:t>
      </w:r>
      <w:r>
        <w:fldChar w:fldCharType="begin" w:fldLock="1"/>
      </w:r>
      <w:r>
        <w:instrText>ADDIN CSL_CITATION { "citationItems" : [ { "id" : "ITEM-1", "itemData" : { "abstract" : "In this study, the feasibility of using concentrated solar energy at high temperatures to decompose water is experimentally demonstrated. The preliminary studies show that direct decomposition of water at 2000\u20132500\u00b0C is possible and the main development should be directed to reactor design and the separation of product gases. On the other hand, it is shown that two step thermochemical cycles for hydrogen production are feasible when the reactions are carried out at appropriate high temperatures in a solar furnace. The thermal decomposition of zinc oxide, suitable for such a two step cycle, is studied in detail.", "author" : [ { "dropping-particle" : "", "family" : "Bilgen", "given" : "E.", "non-dropping-particle" : "", "parse-names" : false, "suffix" : "" }, { "dropping-particle" : "", "family" : "Ducarroir", "given" : "M.", "non-dropping-particle" : "", "parse-names" : false, "suffix" : "" }, { "dropping-particle" : "", "family" : "Foex", "given" : "M.", "non-dropping-particle" : "", "parse-names" : false, "suffix" : "" }, { "dropping-particle" : "", "family" : "Sibieude", "given" : "F.", "non-dropping-particle" : "", "parse-names" : false, "suffix" : "" }, { "dropping-particle" : "", "family" : "Trombe", "given" : "F.", "non-dropping-particle" : "", "parse-names" : false, "suffix" : "" } ], "container-title" : "International Journal of Hydrogen Energy", "id" : "ITEM-1", "issue" : "3", "issued" : { "date-parts" : [ [ "1977" ] ] }, "page" : "251-257", "title" : "Use of solar energy for direct and two-step water decomposition cycles", "type" : "article-journal", "volume" : "2" }, "uris" : [ "http://www.mendeley.com/documents/?uuid=e71dfee2-ea35-4c46-8b10-8b85d9ea2e1d" ] } ], "mendeley" : { "formattedCitation" : "(Bilgen et al. 1977)", "plainTextFormattedCitation" : "(Bilgen et al. 1977)", "previouslyFormattedCitation" : "(Bilgen et al. 1977)" }, "properties" : { "noteIndex" : 0 }, "schema" : "https://github.com/citation-style-language/schema/raw/master/csl-citation.json" }</w:instrText>
      </w:r>
      <w:r>
        <w:fldChar w:fldCharType="separate"/>
      </w:r>
      <w:r w:rsidRPr="002B7B65">
        <w:rPr>
          <w:noProof/>
        </w:rPr>
        <w:t xml:space="preserve">(Bilgen </w:t>
      </w:r>
      <w:r w:rsidRPr="00916003">
        <w:rPr>
          <w:i/>
          <w:noProof/>
        </w:rPr>
        <w:t>et al</w:t>
      </w:r>
      <w:r w:rsidRPr="002B7B65">
        <w:rPr>
          <w:noProof/>
        </w:rPr>
        <w:t>. 1977)</w:t>
      </w:r>
      <w:r>
        <w:fldChar w:fldCharType="end"/>
      </w:r>
      <w:r>
        <w:t>, f</w:t>
      </w:r>
      <w:r w:rsidRPr="00D4131C">
        <w:t>or Benzen</w:t>
      </w:r>
      <w:r>
        <w:t xml:space="preserve">e: </w:t>
      </w:r>
      <w:r>
        <w:fldChar w:fldCharType="begin" w:fldLock="1"/>
      </w:r>
      <w:r>
        <w:instrText>ADDIN CSL_CITATION { "citationItems" : [ { "id" : "ITEM-1", "itemData" : { "DOI" : "10.1002/(SICI)1097-4601(1999)31:8&lt;577::AID-KIN7&gt;3.0.CO;2-K", "ISSN" : "0538-8066", "abstract" : "Kinetic data of Brooks et al. [3] on the decomposition of C6H6 near 1000 K have been analyzed by computer modeling. The observed overall 3/2-order kinetics could be accounted for by a mechanism composed of 4 key reactions involving H atoms and C6H5 radicals using recently acquired rate constants. However, the appearance of CH4 and the enhanced H2 yields could only be explained by invoking the reactions of \u223c0.1% of toluene present in the system as reported by the authors. Overall, the decomposition reaction is dominated by the unimolecular dissociation of C6H6 followed by the short chain process, H + C6H6 = C6H5 + H2 and C6H5 + C6H6 = C12H10 + H, which result in the dehydrogenation of C6H6, producing C12H10 + H2. In order to account for the yield of H2 quantitatively, the displacement reaction, C6H5CH2 + C6H6 = CH2(C6H5)2 + H, was invoked and modeled to have the approximate rate constant, 8.4 \u00d7 1011 exp(\u221211800/T) cm3 mol\u22121 s\u22121.", "author" : [ { "dropping-particle" : "", "family" : "Brioukov", "given" : "M. G.", "non-dropping-particle" : "", "parse-names" : false, "suffix" : "" }, { "dropping-particle" : "", "family" : "Park", "given" : "J.", "non-dropping-particle" : "", "parse-names" : false, "suffix" : "" }, { "dropping-particle" : "", "family" : "Lin", "given" : "M. C.", "non-dropping-particle" : "", "parse-names" : false, "suffix" : "" } ], "container-title" : "International Journal of Chemical Kinetics", "id" : "ITEM-1", "issue" : "8", "issued" : { "date-parts" : [ [ "1999" ] ] }, "note" : "Decomposition temperatures, taken as the average: 1033 K.", "page" : "577-582", "title" : "Kinetic modeling of benzene decomposition near 1000 K: The effects of toluene impurity", "type" : "article-journal", "volume" : "31" }, "uris" : [ "http://www.mendeley.com/documents/?uuid=bc5a08be-c96b-4770-a829-bcbf635cc20b" ] } ], "mendeley" : { "formattedCitation" : "(Brioukov et al. 1999)", "plainTextFormattedCitation" : "(Brioukov et al. 1999)", "previouslyFormattedCitation" : "(Brioukov et al. 1999)" }, "properties" : { "noteIndex" : 0 }, "schema" : "https://github.com/citation-style-language/schema/raw/master/csl-citation.json" }</w:instrText>
      </w:r>
      <w:r>
        <w:fldChar w:fldCharType="separate"/>
      </w:r>
      <w:r w:rsidRPr="002B7B65">
        <w:rPr>
          <w:noProof/>
        </w:rPr>
        <w:t xml:space="preserve">(Brioukov </w:t>
      </w:r>
      <w:r w:rsidRPr="00916003">
        <w:rPr>
          <w:i/>
          <w:noProof/>
        </w:rPr>
        <w:t>et al</w:t>
      </w:r>
      <w:r w:rsidRPr="002B7B65">
        <w:rPr>
          <w:noProof/>
        </w:rPr>
        <w:t>. 1999)</w:t>
      </w:r>
      <w:r>
        <w:fldChar w:fldCharType="end"/>
      </w:r>
      <w:r>
        <w:t xml:space="preserve">, for Toluene: </w:t>
      </w:r>
      <w:r>
        <w:fldChar w:fldCharType="begin" w:fldLock="1"/>
      </w:r>
      <w:r>
        <w:instrText>ADDIN CSL_CITATION { "citationItems" : [ { "id" : "ITEM-1", "itemData" : { "abstract" : "Rising energy costs are encouraging energy intensive industries to investigate alternative means of waste heat recovery from process streams. The use of organic fluids in Rankine cycles offers improved potential for economical cogeneration from waste heat at lower temperatures than can be provided using more conventional steam systems. This paper reviews a variety of organic Rank ine cycles developed for industrial waste heat recovery. The status of industrial experience is reported where data are available. Several examples of industrial cogeneration applications are presented with an assessment of their technical and economic limitations.", "author" : [ { "dropping-particle" : "", "family" : "Hnat", "given" : "G.", "non-dropping-particle" : "", "parse-names" : false, "suffix" : "" }, { "dropping-particle" : "", "family" : "Patten", "given" : "J.S. S.", "non-dropping-particle" : "", "parse-names" : false, "suffix" : "" }, { "dropping-particle" : "", "family" : "Bartone", "given" : "L.M. M.", "non-dropping-particle" : "", "parse-names" : false, "suffix" : "" }, { "dropping-particle" : "", "family" : "Cutting", "given" : "J.C. C.", "non-dropping-particle" : "", "parse-names" : false, "suffix" : "" }, { "dropping-particle" : "", "family" : "Hnat", "given" : "J. G.", "non-dropping-particle" : "", "parse-names" : false, "suffix" : "" } ], "container-title" : "Proceedings from the Fourth Industrial Energy Technology Conference", "id" : "ITEM-1", "issued" : { "date-parts" : [ [ "1982" ] ] }, "note" : "From Duplicate 1 ( ", "page" : "524-532", "publisher" : "Energy Systems Laboratory of the Texas A&amp;M University System", "publisher-place" : "Houston", "title" : "Industrial Heat Recovery With Organic Rankine Cycles", "type" : "paper-conference" }, "uris" : [ "http://www.mendeley.com/documents/?uuid=21bb8aa1-becd-4821-bccf-a4278f4033ba" ] } ], "mendeley" : { "formattedCitation" : "(Hnat et al. 1982)", "plainTextFormattedCitation" : "(Hnat et al. 1982)", "previouslyFormattedCitation" : "(Hnat et al. 1982)" }, "properties" : { "noteIndex" : 0 }, "schema" : "https://github.com/citation-style-language/schema/raw/master/csl-citation.json" }</w:instrText>
      </w:r>
      <w:r>
        <w:fldChar w:fldCharType="separate"/>
      </w:r>
      <w:r w:rsidRPr="002B7B65">
        <w:rPr>
          <w:noProof/>
        </w:rPr>
        <w:t xml:space="preserve">(Hnat </w:t>
      </w:r>
      <w:r w:rsidRPr="00916003">
        <w:rPr>
          <w:i/>
          <w:noProof/>
        </w:rPr>
        <w:t>et al</w:t>
      </w:r>
      <w:r w:rsidRPr="002B7B65">
        <w:rPr>
          <w:noProof/>
        </w:rPr>
        <w:t>. 1982)</w:t>
      </w:r>
      <w:r>
        <w:fldChar w:fldCharType="end"/>
      </w:r>
      <w:r>
        <w:t>, for heptane:</w:t>
      </w:r>
      <w:r>
        <w:fldChar w:fldCharType="begin" w:fldLock="1"/>
      </w:r>
      <w:r>
        <w:instrText>ADDIN CSL_CITATION { "citationItems" : [ { "id" : "ITEM-1", "itemData" : { "ISSN" : "00027863", "abstract" : "The thermal decomposition of n-heptane has been studied by a flow method in the temperature range 550 to 630\u00b0 at pressures of 1 and 8.7 atmospheres. Complete analysis of the reaction product has been made by use of a method of multiisothermal distillation for determination of the gaseous product, combined with olefin analysis of the liquid product. In agreement with the predictions of the Rice theory and experimental observations of Dintses, only traces are found of saturated products having more carbon atoms than propane. The important simplifications in the analytical requirements for kinetic studies of higher hydrocarbons that this fact permits is emphasized. The composition and concentration of the decomposition products are in excellent agreement with the Rice theory as amended by Rice and Kossiakoff. The rate of the decomposition is of the modified first order type where inhibition by products causes the first order rate constant to decrease with increase of conversion. The activation energy, calculated from the temperature variation of the first order rate, is 65,000 cal.", "author" : [ { "dropping-particle" : "", "family" : "Appleby", "given" : "W.G.", "non-dropping-particle" : "", "parse-names" : false, "suffix" : "" }, { "dropping-particle" : "", "family" : "Avery", "given" : "W.H.", "non-dropping-particle" : "", "parse-names" : false, "suffix" : "" }, { "dropping-particle" : "", "family" : "Meerbott", "given" : "W.K.", "non-dropping-particle" : "", "parse-names" : false, "suffix" : "" } ], "container-title" : "Journal of the American Chemical Society", "id" : "ITEM-1", "issue" : "2", "issued" : { "date-parts" : [ [ "1947" ] ] }, "page" : "2279-2285", "title" : "Kinetics and Mechanism of the Thermal Decomposition of n-Heptane", "type" : "article-journal", "volume" : "69" }, "uris" : [ "http://www.mendeley.com/documents/?uuid=084ce90e-c299-4cf3-863a-6f170f2a8dd4" ] } ], "mendeley" : { "formattedCitation" : "(Appleby et al. 1947)", "plainTextFormattedCitation" : "(Appleby et al. 1947)", "previouslyFormattedCitation" : "(Appleby et al. 1947)" }, "properties" : { "noteIndex" : 0 }, "schema" : "https://github.com/citation-style-language/schema/raw/master/csl-citation.json" }</w:instrText>
      </w:r>
      <w:r>
        <w:fldChar w:fldCharType="separate"/>
      </w:r>
      <w:r w:rsidRPr="002B7B65">
        <w:rPr>
          <w:noProof/>
        </w:rPr>
        <w:t xml:space="preserve">(Appleby </w:t>
      </w:r>
      <w:r w:rsidRPr="00916003">
        <w:rPr>
          <w:i/>
          <w:noProof/>
        </w:rPr>
        <w:t>et al</w:t>
      </w:r>
      <w:r w:rsidRPr="002B7B65">
        <w:rPr>
          <w:noProof/>
        </w:rPr>
        <w:t>. 1947)</w:t>
      </w:r>
      <w:r>
        <w:fldChar w:fldCharType="end"/>
      </w:r>
      <w:r>
        <w:t xml:space="preserve"> , and for MM: </w:t>
      </w:r>
      <w:r>
        <w:fldChar w:fldCharType="begin" w:fldLock="1"/>
      </w:r>
      <w:r>
        <w:instrText>ADDIN CSL_CITATION { "citationItems" : [ { "id" : "ITEM-1", "itemData" : { "abstract" : "Presentation for the ASME ORC 2013 conference at Rotterdam. Siloxanes are potential working fluids for ORC power systems. \u2022 Advantages: long-term experiences, low toxicity and GWP = 0. \u2022 Mainly used as ORC working fluids for high-temperature heat sources like biomass-fired power plants or waste heat recovery units.", "author" : [ { "dropping-particle" : "", "family" : "Heberle", "given" : "Florian", "non-dropping-particle" : "", "parse-names" : false, "suffix" : "" }, { "dropping-particle" : "", "family" : "Weith", "given" : "Theresa", "non-dropping-particle" : "", "parse-names" : false, "suffix" : "" }, { "dropping-particle" : "", "family" : "Prei\u00dfinger", "given" : "Markus", "non-dropping-particle" : "", "parse-names" : false, "suffix" : "" }, { "dropping-particle" : "", "family" : "Br\u00fcggemann", "given" : "Dieter", "non-dropping-particle" : "", "parse-names" : false, "suffix" : "" } ], "id" : "ITEM-1", "issued" : { "date-parts" : [ [ "2013" ] ] }, "page" : "35", "publisher" : "ASME", "publisher-place" : "Rotterdam", "title" : "Experimental Investigations of Heat Transfer Characteristics and Thermal Stability of Siloxanes", "type" : "article" }, "uris" : [ "http://www.mendeley.com/documents/?uuid=50bc736f-c123-430b-8179-74aa48e95ca8" ] } ], "mendeley" : { "formattedCitation" : "(Heberle et al. 2013)", "plainTextFormattedCitation" : "(Heberle et al. 2013)", "previouslyFormattedCitation" : "(Heberle et al. 2013)" }, "properties" : { "noteIndex" : 0 }, "schema" : "https://github.com/citation-style-language/schema/raw/master/csl-citation.json" }</w:instrText>
      </w:r>
      <w:r>
        <w:fldChar w:fldCharType="separate"/>
      </w:r>
      <w:r w:rsidRPr="002B7B65">
        <w:rPr>
          <w:noProof/>
        </w:rPr>
        <w:t xml:space="preserve">(Heberle </w:t>
      </w:r>
      <w:r w:rsidRPr="00916003">
        <w:rPr>
          <w:i/>
          <w:noProof/>
        </w:rPr>
        <w:t>et al</w:t>
      </w:r>
      <w:r w:rsidRPr="002B7B65">
        <w:rPr>
          <w:noProof/>
        </w:rPr>
        <w:t>. 2013)</w:t>
      </w:r>
      <w:r>
        <w:fldChar w:fldCharType="end"/>
      </w:r>
      <w:r>
        <w:t>.</w:t>
      </w:r>
    </w:p>
  </w:footnote>
  <w:footnote w:id="6">
    <w:p w:rsidR="00B30F53" w:rsidRDefault="00B30F53" w:rsidP="00B30F53">
      <w:pPr>
        <w:pStyle w:val="Footnotes"/>
      </w:pPr>
      <w:r>
        <w:rPr>
          <w:rStyle w:val="FootnoteReference"/>
        </w:rPr>
        <w:footnoteRef/>
      </w:r>
      <w:r>
        <w:t xml:space="preserve"> </w:t>
      </w:r>
      <w:r w:rsidRPr="00D4131C">
        <w:rPr>
          <w:noProof/>
        </w:rPr>
        <w:t xml:space="preserve">Taken from </w:t>
      </w:r>
      <w:r w:rsidRPr="00D4131C">
        <w:rPr>
          <w:noProof/>
        </w:rPr>
        <w:fldChar w:fldCharType="begin" w:fldLock="1"/>
      </w:r>
      <w:r>
        <w:rPr>
          <w:noProof/>
        </w:rPr>
        <w:instrText>ADDIN CSL_CITATION { "citationItems" : [ { "id" : "ITEM-1", "itemData" : { "ISBN" : "0884153819", "abstract" : "Comprehensive safety and health-related data for hydrocarbons and organic chemicals and selected data for inorganic chemicals are provided in convenient tabular format supplemented by graphs and examples.", "author" : [ { "dropping-particle" : "", "family" : "Yaws", "given" : "Carl L.", "non-dropping-particle" : "", "parse-names" : false, "suffix" : "" } ], "edition" : "1st", "id" : "ITEM-1", "issued" : { "date-parts" : [ [ "1997" ] ] }, "number-of-pages" : "232", "publisher" : "Gulf Publishing Company", "publisher-place" : "Houston", "title" : "Handbook of Chemical Compounds Data for Process Safety", "type" : "book" }, "uris" : [ "http://www.mendeley.com/documents/?uuid=9cd18cd1-bce5-4217-9b92-6a16f68bc821" ] } ], "mendeley" : { "formattedCitation" : "(Yaws 1997)", "plainTextFormattedCitation" : "(Yaws 1997)", "previouslyFormattedCitation" : "(Yaws 1997)" }, "properties" : { "noteIndex" : 0 }, "schema" : "https://github.com/citation-style-language/schema/raw/master/csl-citation.json" }</w:instrText>
      </w:r>
      <w:r w:rsidRPr="00D4131C">
        <w:rPr>
          <w:noProof/>
        </w:rPr>
        <w:fldChar w:fldCharType="separate"/>
      </w:r>
      <w:r w:rsidRPr="002B7B65">
        <w:rPr>
          <w:noProof/>
        </w:rPr>
        <w:t>(Yaws 1997)</w:t>
      </w:r>
      <w:r w:rsidRPr="00D4131C">
        <w:rPr>
          <w:noProof/>
        </w:rPr>
        <w:fldChar w:fldCharType="end"/>
      </w:r>
      <w:r>
        <w:rPr>
          <w:noProof/>
        </w:rPr>
        <w:t>.</w:t>
      </w:r>
    </w:p>
  </w:footnote>
  <w:footnote w:id="7">
    <w:p w:rsidR="00B30F53" w:rsidRPr="0098417A" w:rsidRDefault="00B30F53" w:rsidP="00B30F53">
      <w:pPr>
        <w:pStyle w:val="Footnotes"/>
        <w:rPr>
          <w:noProof/>
        </w:rPr>
      </w:pPr>
      <w:r>
        <w:rPr>
          <w:rStyle w:val="FootnoteReference"/>
        </w:rPr>
        <w:footnoteRef/>
      </w:r>
      <w:r>
        <w:t xml:space="preserve"> </w:t>
      </w:r>
      <w:r w:rsidRPr="0098417A">
        <w:rPr>
          <w:noProof/>
        </w:rPr>
        <w:t xml:space="preserve">Critical points were obtained from </w:t>
      </w:r>
      <w:r w:rsidRPr="0098417A">
        <w:rPr>
          <w:noProof/>
        </w:rPr>
        <w:fldChar w:fldCharType="begin" w:fldLock="1"/>
      </w:r>
      <w:r>
        <w:rPr>
          <w:noProof/>
        </w:rPr>
        <w:instrText>ADDIN CSL_CITATION { "citationItems" : [ { "id" : "ITEM-1", "itemData" : { "author" : [ { "dropping-particle" : "", "family" : "Lemmon", "given" : "Eric W.", "non-dropping-particle" : "", "parse-names" : false, "suffix" : "" }, { "dropping-particle" : "", "family" : "Huber", "given" : "Marcia L.", "non-dropping-particle" : "", "parse-names" : false, "suffix" : "" }, { "dropping-particle" : "", "family" : "McLinden", "given" : "M.O.", "non-dropping-particle" : "", "parse-names" : false, "suffix" : "" } ], "id" : "ITEM-1", "issued" : { "date-parts" : [ [ "2010" ] ] }, "number" : "9.0", "publisher" : "National Institute of Standards and Technology", "publisher-place" : "Gaithersburg", "title" : "NIST Reference Fluid Thermodynamic and Transport Properties Database", "type" : "article" }, "uris" : [ "http://www.mendeley.com/documents/?uuid=0c5c9277-e5cd-4d3a-82ff-2805f889fd5a" ] } ], "mendeley" : { "formattedCitation" : "(Lemmon et al. 2010)", "plainTextFormattedCitation" : "(Lemmon et al. 2010)", "previouslyFormattedCitation" : "(Lemmon et al. 2010)" }, "properties" : { "noteIndex" : 0 }, "schema" : "https://github.com/citation-style-language/schema/raw/master/csl-citation.json" }</w:instrText>
      </w:r>
      <w:r w:rsidRPr="0098417A">
        <w:rPr>
          <w:noProof/>
        </w:rPr>
        <w:fldChar w:fldCharType="separate"/>
      </w:r>
      <w:r w:rsidRPr="002B7B65">
        <w:rPr>
          <w:noProof/>
        </w:rPr>
        <w:t xml:space="preserve">(Lemmon </w:t>
      </w:r>
      <w:r w:rsidRPr="00916003">
        <w:rPr>
          <w:i/>
          <w:noProof/>
        </w:rPr>
        <w:t>et al</w:t>
      </w:r>
      <w:r w:rsidRPr="002B7B65">
        <w:rPr>
          <w:noProof/>
        </w:rPr>
        <w:t>. 2010)</w:t>
      </w:r>
      <w:r w:rsidRPr="0098417A">
        <w:rPr>
          <w:noProof/>
        </w:rPr>
        <w:fldChar w:fldCharType="end"/>
      </w:r>
      <w:r>
        <w:rPr>
          <w:noProof/>
        </w:rPr>
        <w:t>.</w:t>
      </w:r>
    </w:p>
  </w:footnote>
  <w:footnote w:id="8">
    <w:p w:rsidR="00B30F53" w:rsidRDefault="00B30F53" w:rsidP="00916003">
      <w:pPr>
        <w:pStyle w:val="Footnotes"/>
        <w:ind w:left="0" w:firstLine="0"/>
      </w:pPr>
      <w:r>
        <w:rPr>
          <w:rStyle w:val="FootnoteReference"/>
        </w:rPr>
        <w:footnoteRef/>
      </w:r>
      <w:r>
        <w:t xml:space="preserve"> The fluid’s velocity limits have the purpose of restricting fouling and corrosion, while also avoiding stagnant flows, inside the heat exchangers </w:t>
      </w:r>
      <w:r>
        <w:fldChar w:fldCharType="begin" w:fldLock="1"/>
      </w:r>
      <w:r>
        <w:instrText>ADDIN CSL_CITATION { "citationItems" : [ { "id" : "ITEM-1", "itemData" : { "ISBN" : "0471321710", "author" : [ { "dropping-particle" : "", "family" : "Shah", "given" : "Ramesh K.", "non-dropping-particle" : "", "parse-names" : false, "suffix" : "" }, { "dropping-particle" : "", "family" : "Sekulic", "given" : "Du\u0161an P.", "non-dropping-particle" : "", "parse-names" : false, "suffix" : "" } ], "edition" : "1st", "id" : "ITEM-1", "issued" : { "date-parts" : [ [ "2003" ] ] }, "number-of-pages" : "972", "publisher" : "John Wiley &amp; Sons, Inc.", "publisher-place" : "New Jersey", "title" : "Fundamentals Of Heat Exchanger Design", "type" : "book" }, "uris" : [ "http://www.mendeley.com/documents/?uuid=127c4c32-d3f2-4c9d-bb17-38ba7512fe3a" ] }, { "id" : "ITEM-2", "itemData" : { "ISBN" : "978-0-7506-6538-4", "abstract" : "The transfer of heat to and from process fluids is an essential part of most chemical processes. The most commonly used type of heat-transfer equipment is the ubiquitous shell and tube heat exchanger; the design of which is the main subject of this chapter. The fundamentals of heat-transfer theory are covered in Volume 1, Chapter 9; and in many other textbooks: Holman (2002), Ozisik (1985), Rohsenow et al. (1998), Kreith and Bohn (2000), and Incropera and Dewitt (2001). Several useful books have been published on the design of heat exchange equipment. These should be consulted for fuller details of the construction of equipment and design methods than can be given in this book. A selection of the more useful texts is listed in the bibliography at the end of this chapter. The compilation edited by Schl\u00a8under (1983ff), see also the edition by Hewitt (1990), is probably the most comprehensive work on heat exchanger design methods available in the open literature. The book by Saunders (1988) is recommended as a good source of information on heat exchanger design, especially for shell-and-tube exchangers. As with distillation, work on the development of reliable design methods for heat exchangers has been dominated in recent years by commercial research organisations: Heat Transfer Research Inc. (HTRI) in the United States and Heat Transfer and Fluid Flow Service (HTFS) in the United Kingdom. HTFS was developed by the United Kingdom Atomic Energy Authority and the National Physical Laboratory, but is now available from Aspentech, see Chapter 4, Table 4.1. Their methods are of a proprietary nature and are not therefore available in the open literature. They will, however, be available to design engineers in the major operating and contracting companies, whose companies subscribe to these organisations.", "author" : [ { "dropping-particle" : "", "family" : "Sinnott", "given" : "R.K.", "non-dropping-particle" : "", "parse-names" : false, "suffix" : "" } ], "chapter-number" : "12", "container-title" : "Coulson and Richardson's Chemical Engineering Volume 6 - Chemical Engineering Design", "edition" : "4th", "id" : "ITEM-2", "issued" : { "date-parts" : [ [ "2005" ] ] }, "page" : "634-793", "publisher" : "Elsevier", "publisher-place" : "Oxford", "title" : "Heat-transfer Equipment", "type" : "chapter" }, "uris" : [ "http://www.mendeley.com/documents/?uuid=d51c312a-7f97-4fd4-875f-b4d60262ba2d" ] }, { "id" : "ITEM-3", "itemData" : { "ISBN" : "0080428398", "author" : [ { "dropping-particle" : "", "family" : "Hesselgreaves", "given" : "J.E.", "non-dropping-particle" : "", "parse-names" : false, "suffix" : "" } ], "edition" : "1st", "id" : "ITEM-3", "issued" : { "date-parts" : [ [ "2001" ] ] }, "number-of-pages" : "398", "publisher" : "Pergamon", "publisher-place" : "Oxford", "title" : "Compact Heat Exchangers", "type" : "book" }, "uris" : [ "http://www.mendeley.com/documents/?uuid=6c07451b-ed48-487e-bb63-bdebe9c64684" ] }, { "id" : "ITEM-4", "itemData" : { "DOI" : "10.1205/cherd06046", "ISSN" : "02638762", "abstract" : "This paper presents a new approach for mitigating fouling in existing heat exchanger networks. It is based on the recognition that operating variables, such as wall temperature and flow velocity, may have a significant effect on fouling deposition rate. The approach combines the optimization of operating conditions with the optimal management of cleaning actions in a comprehensive mitigation strategy. The application of the method is demonstrated with a case study of a refinery crude oil preheat train. Compared with the existing strategy to mitigate fouling by managing cleaning, the proposed approach leads to higher energy savings, lower operational costs and fewer disturbances to the background process.", "author" : [ { "dropping-particle" : "", "family" : "Rodriguez", "given" : "C.", "non-dropping-particle" : "", "parse-names" : false, "suffix" : "" }, { "dropping-particle" : "", "family" : "Smith", "given" : "R.", "non-dropping-particle" : "", "parse-names" : false, "suffix" : "" } ], "container-title" : "Chemical Engineering Research and Design", "id" : "ITEM-4", "issue" : "6", "issued" : { "date-parts" : [ [ "2007", "1" ] ] }, "page" : "839-851", "title" : "Optimization of Operating Conditions for Mitigating Fouling in Heat Exchanger Networks", "type" : "article-journal", "volume" : "85" }, "uris" : [ "http://www.mendeley.com/documents/?uuid=52017b35-0799-4b0f-b62f-e5fe468353dd" ] }, { "id" : "ITEM-5", "itemData" : { "DOI" : "10.1016/j.ijheatmasstransfer.2014.05.031", "ISSN" : "00179310", "abstract" : "The purpose of this study was to investigate the effects of wastewater velocity and installation location of a shell-and-tube heat exchanger on particle fouling deposited within the heat exchanger. Three long-term fouling tests with the heat exchanger installed at the shoot-outlet of a pump with varied wastewater flow rates (low, medium, and high), and one test with the heat exchanger installed at the suction-inlet of a pump at a constant (medium) flow rate were conducted. Variation of the heat transfer coefficient and fouling resistance was measured for each test and a sample of the accumulated foulant was collected at the end of each test to determine its particle size distribution. The particle size distribution of the foulant collected from each test case was analyzed and compared to the size distribution of particles in the wastewater. Results suggested that the diameters of particles deposited on the tube surfaces were mainly in the range of 1.5\u201388\u03bcm. The average particle diameter of fouling was 40.8\u03bcm at a velocity of 0.31m/s (low), 24.4\u03bcm at a velocity of 0.46m/s (medium), and 18.6\u03bcm at a velocity of 0.69m/s (high). Asymptotic fouling resistances were 1.1\u00d710\u22123, 0.59\u00d710\u22123, and 0.22\u00d710\u22123m2K/W respectively for the low, medium and high velocities. In addition, negative fouling resistances were observed at the beginning of fouling development with low and medium wastewater velocities. Results also showed that both the asymptotic fouling resistances and the average particle diameter of fouling obtained with the heat exchanger installed at the suction-inlet of pump were larger than that with heat exchanger installed at the shoot-outlet. On average, 71% (by mass) of fouling consisted of ash ingredient.", "author" : [ { "dropping-particle" : "", "family" : "Shen", "given" : "Chao", "non-dropping-particle" : "", "parse-names" : false, "suffix" : "" }, { "dropping-particle" : "", "family" : "Cirone", "given" : "Chris", "non-dropping-particle" : "", "parse-names" : false, "suffix" : "" }, { "dropping-particle" : "", "family" : "Yang", "given" : "Liangcheng", "non-dropping-particle" : "", "parse-names" : false, "suffix" : "" }, { "dropping-particle" : "", "family" : "Jiang", "given" : "Yiqiang", "non-dropping-particle" : "", "parse-names" : false, "suffix" : "" }, { "dropping-particle" : "", "family" : "Wang", "given" : "Xinlei", "non-dropping-particle" : "", "parse-names" : false, "suffix" : "" } ], "container-title" : "International Journal of Heat and Mass Transfer", "id" : "ITEM-5", "issued" : { "date-parts" : [ [ "2014", "10" ] ] }, "page" : "439-448", "title" : "Characteristics of fouling development in shell-and-tube heat exchanger: Effects of velocity and installation location", "type" : "article-journal", "volume" : "77" }, "uris" : [ "http://www.mendeley.com/documents/?uuid=3562be44-063b-4f73-a5aa-c7c2231d33f2" ] } ], "mendeley" : { "formattedCitation" : "(Hesselgreaves 2001; Shah &amp; Sekulic 2003; Sinnott 2005; Rodriguez &amp; Smith 2007; Shen et al. 2014)", "plainTextFormattedCitation" : "(Hesselgreaves 2001; Shah &amp; Sekulic 2003; Sinnott 2005; Rodriguez &amp; Smith 2007; Shen et al. 2014)", "previouslyFormattedCitation" : "(Hesselgreaves 2001; Shah &amp; Sekulic 2003; Sinnott 2005; Rodriguez &amp; Smith 2007; Shen et al. 2014)" }, "properties" : { "noteIndex" : 0 }, "schema" : "https://github.com/citation-style-language/schema/raw/master/csl-citation.json" }</w:instrText>
      </w:r>
      <w:r>
        <w:fldChar w:fldCharType="separate"/>
      </w:r>
      <w:r w:rsidRPr="000C4D22">
        <w:rPr>
          <w:noProof/>
        </w:rPr>
        <w:t xml:space="preserve">(Hesselgreaves 2001; Shah &amp; Sekulic 2003; Sinnott 2005; Rodriguez &amp; Smith 2007; Shen </w:t>
      </w:r>
      <w:r w:rsidRPr="00916003">
        <w:rPr>
          <w:i/>
          <w:noProof/>
        </w:rPr>
        <w:t>et al</w:t>
      </w:r>
      <w:r w:rsidRPr="000C4D22">
        <w:rPr>
          <w:noProof/>
        </w:rPr>
        <w:t>. 2014)</w:t>
      </w:r>
      <w:r>
        <w:fldChar w:fldCharType="end"/>
      </w:r>
      <w:r>
        <w:t xml:space="preserve">. </w:t>
      </w:r>
    </w:p>
  </w:footnote>
  <w:footnote w:id="9">
    <w:p w:rsidR="00B30F53" w:rsidRDefault="00B30F53" w:rsidP="00420665">
      <w:pPr>
        <w:pStyle w:val="Footnotes"/>
      </w:pPr>
      <w:r>
        <w:rPr>
          <w:rStyle w:val="FootnoteReference"/>
        </w:rPr>
        <w:footnoteRef/>
      </w:r>
      <w:r>
        <w:t xml:space="preserve"> </w:t>
      </w:r>
      <w:r w:rsidRPr="00525473">
        <w:rPr>
          <w:noProof/>
        </w:rPr>
        <w:t xml:space="preserve">International Code of Safety for </w:t>
      </w:r>
      <w:r>
        <w:rPr>
          <w:noProof/>
        </w:rPr>
        <w:t>Ships using Gases or other Low F</w:t>
      </w:r>
      <w:r w:rsidRPr="00525473">
        <w:rPr>
          <w:noProof/>
        </w:rPr>
        <w:t>lashpoint Fuels</w:t>
      </w:r>
      <w:r>
        <w:rPr>
          <w:noProof/>
        </w:rPr>
        <w:t>.</w:t>
      </w:r>
    </w:p>
  </w:footnote>
  <w:footnote w:id="10">
    <w:p w:rsidR="00B30F53" w:rsidRDefault="00B30F53" w:rsidP="00916003">
      <w:pPr>
        <w:pStyle w:val="Footnotes"/>
        <w:ind w:left="0" w:firstLine="0"/>
      </w:pPr>
      <w:r>
        <w:rPr>
          <w:rStyle w:val="FootnoteReference"/>
        </w:rPr>
        <w:footnoteRef/>
      </w:r>
      <w:r>
        <w:t xml:space="preserve"> </w:t>
      </w:r>
      <w:bookmarkStart w:id="39" w:name="OLE_LINK4"/>
      <w:bookmarkStart w:id="40" w:name="OLE_LINK5"/>
      <w:r w:rsidRPr="001A7107">
        <w:t xml:space="preserve">An exchange rate of €1.37 to £1; and $1.53 to £1 was used </w:t>
      </w:r>
      <w:r w:rsidRPr="001A7107">
        <w:fldChar w:fldCharType="begin" w:fldLock="1"/>
      </w:r>
      <w:r>
        <w:instrText>ADDIN CSL_CITATION { "citationItems" : [ { "id" : "ITEM-1", "itemData" : { "URL" : "http://www.ecb.int/stats/exchange/eurofxref/html/eurofxref-graph-gbp.en.html", "abstract" : "Currency exchange of the euro and the sterling pound.", "accessed" : { "date-parts" : [ [ "2015", "6", "15" ] ] }, "author" : [ { "dropping-particle" : "", "family" : "European Central Bank", "given" : "", "non-dropping-particle" : "", "parse-names" : false, "suffix" : "" } ], "container-title" : "Exchange Rates", "id" : "ITEM-1", "issued" : { "date-parts" : [ [ "2013" ] ] }, "page" : "1", "title" : "Pound sterling (GBP)", "type" : "webpage" }, "uris" : [ "http://www.mendeley.com/documents/?uuid=ba692a55-ce96-4c86-a40d-d8bf327f77ec" ] }, { "id" : "ITEM-2", "itemData" : { "URL" : "http://www.federalreserve.gov/releases/h10/current/", "abstract" : "United States of America Federal Reserve web page where it can be found the exchange rates of the american dollar respect other currencies.", "accessed" : { "date-parts" : [ [ "2015", "5", "23" ] ] }, "author" : [ { "dropping-particle" : "", "family" : "Board of Governors of the Federal Reserve System", "given" : "", "non-dropping-particle" : "", "parse-names" : false, "suffix" : "" } ], "id" : "ITEM-2", "issued" : { "date-parts" : [ [ "2015" ] ] }, "page" : "1", "title" : "Foreign Exchange Rates - H.10", "type" : "webpage" }, "uris" : [ "http://www.mendeley.com/documents/?uuid=d6d11c21-a9a0-4a20-9c94-527fa6b3f8bf" ] } ], "mendeley" : { "formattedCitation" : "(European Central Bank 2013; Board of Governors of the Federal Reserve System 2015)", "plainTextFormattedCitation" : "(European Central Bank 2013; Board of Governors of the Federal Reserve System 2015)", "previouslyFormattedCitation" : "(European Central Bank 2013; Board of Governors of the Federal Reserve System 2015)" }, "properties" : { "noteIndex" : 0 }, "schema" : "https://github.com/citation-style-language/schema/raw/master/csl-citation.json" }</w:instrText>
      </w:r>
      <w:r w:rsidRPr="001A7107">
        <w:fldChar w:fldCharType="separate"/>
      </w:r>
      <w:r w:rsidRPr="001A7107">
        <w:rPr>
          <w:noProof/>
        </w:rPr>
        <w:t>(European Central Bank 2013; Board of Governors of the Federal Reserve System 2015)</w:t>
      </w:r>
      <w:r w:rsidRPr="001A7107">
        <w:fldChar w:fldCharType="end"/>
      </w:r>
      <w:r w:rsidRPr="001A7107">
        <w:t>.</w:t>
      </w:r>
      <w:bookmarkEnd w:id="39"/>
      <w:bookmarkEnd w:id="40"/>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1FECAFE"/>
    <w:lvl w:ilvl="0">
      <w:start w:val="1"/>
      <w:numFmt w:val="decimal"/>
      <w:lvlText w:val="%1."/>
      <w:lvlJc w:val="left"/>
      <w:pPr>
        <w:tabs>
          <w:tab w:val="num" w:pos="1492"/>
        </w:tabs>
        <w:ind w:left="1492" w:hanging="360"/>
      </w:pPr>
    </w:lvl>
  </w:abstractNum>
  <w:abstractNum w:abstractNumId="2">
    <w:nsid w:val="FFFFFF7D"/>
    <w:multiLevelType w:val="singleLevel"/>
    <w:tmpl w:val="7C74E2DA"/>
    <w:lvl w:ilvl="0">
      <w:start w:val="1"/>
      <w:numFmt w:val="decimal"/>
      <w:lvlText w:val="%1."/>
      <w:lvlJc w:val="left"/>
      <w:pPr>
        <w:tabs>
          <w:tab w:val="num" w:pos="1209"/>
        </w:tabs>
        <w:ind w:left="1209" w:hanging="360"/>
      </w:pPr>
    </w:lvl>
  </w:abstractNum>
  <w:abstractNum w:abstractNumId="3">
    <w:nsid w:val="FFFFFF7E"/>
    <w:multiLevelType w:val="singleLevel"/>
    <w:tmpl w:val="E8F228EA"/>
    <w:lvl w:ilvl="0">
      <w:start w:val="1"/>
      <w:numFmt w:val="decimal"/>
      <w:lvlText w:val="%1."/>
      <w:lvlJc w:val="left"/>
      <w:pPr>
        <w:tabs>
          <w:tab w:val="num" w:pos="926"/>
        </w:tabs>
        <w:ind w:left="926" w:hanging="360"/>
      </w:pPr>
    </w:lvl>
  </w:abstractNum>
  <w:abstractNum w:abstractNumId="4">
    <w:nsid w:val="FFFFFF7F"/>
    <w:multiLevelType w:val="singleLevel"/>
    <w:tmpl w:val="A274B1E8"/>
    <w:lvl w:ilvl="0">
      <w:start w:val="1"/>
      <w:numFmt w:val="decimal"/>
      <w:lvlText w:val="%1."/>
      <w:lvlJc w:val="left"/>
      <w:pPr>
        <w:tabs>
          <w:tab w:val="num" w:pos="643"/>
        </w:tabs>
        <w:ind w:left="643" w:hanging="360"/>
      </w:pPr>
    </w:lvl>
  </w:abstractNum>
  <w:abstractNum w:abstractNumId="5">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472E25E"/>
    <w:lvl w:ilvl="0">
      <w:start w:val="1"/>
      <w:numFmt w:val="decimal"/>
      <w:lvlText w:val="%1."/>
      <w:lvlJc w:val="left"/>
      <w:pPr>
        <w:tabs>
          <w:tab w:val="num" w:pos="360"/>
        </w:tabs>
        <w:ind w:left="360" w:hanging="360"/>
      </w:pPr>
    </w:lvl>
  </w:abstractNum>
  <w:abstractNum w:abstractNumId="1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54CC67CD"/>
    <w:multiLevelType w:val="hybridMultilevel"/>
    <w:tmpl w:val="E6CE33A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0"/>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7"/>
  </w:num>
  <w:num w:numId="14">
    <w:abstractNumId w:val="21"/>
  </w:num>
  <w:num w:numId="15">
    <w:abstractNumId w:val="14"/>
  </w:num>
  <w:num w:numId="16">
    <w:abstractNumId w:val="16"/>
  </w:num>
  <w:num w:numId="17">
    <w:abstractNumId w:val="11"/>
  </w:num>
  <w:num w:numId="18">
    <w:abstractNumId w:val="0"/>
  </w:num>
  <w:num w:numId="19">
    <w:abstractNumId w:val="12"/>
  </w:num>
  <w:num w:numId="20">
    <w:abstractNumId w:val="21"/>
  </w:num>
  <w:num w:numId="21">
    <w:abstractNumId w:val="21"/>
  </w:num>
  <w:num w:numId="22">
    <w:abstractNumId w:val="21"/>
  </w:num>
  <w:num w:numId="23">
    <w:abstractNumId w:val="21"/>
  </w:num>
  <w:num w:numId="24">
    <w:abstractNumId w:val="17"/>
  </w:num>
  <w:num w:numId="25">
    <w:abstractNumId w:val="18"/>
  </w:num>
  <w:num w:numId="26">
    <w:abstractNumId w:val="22"/>
  </w:num>
  <w:num w:numId="27">
    <w:abstractNumId w:val="23"/>
  </w:num>
  <w:num w:numId="28">
    <w:abstractNumId w:val="21"/>
  </w:num>
  <w:num w:numId="29">
    <w:abstractNumId w:val="13"/>
  </w:num>
  <w:num w:numId="30">
    <w:abstractNumId w:val="24"/>
  </w:num>
  <w:num w:numId="3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Full" w:cryptAlgorithmClass="hash" w:cryptAlgorithmType="typeAny" w:cryptAlgorithmSid="4" w:cryptSpinCount="100000" w:hash="gCHCOnivrataLZpmB4B2ZEy6rBY=" w:salt="UaVITz0H+D2y6gPjpMLfZQ=="/>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8CC"/>
    <w:rsid w:val="00001899"/>
    <w:rsid w:val="000049AD"/>
    <w:rsid w:val="0000681B"/>
    <w:rsid w:val="000130DC"/>
    <w:rsid w:val="000133C0"/>
    <w:rsid w:val="00014C4E"/>
    <w:rsid w:val="000158F7"/>
    <w:rsid w:val="00017107"/>
    <w:rsid w:val="000202E2"/>
    <w:rsid w:val="000223C3"/>
    <w:rsid w:val="00022441"/>
    <w:rsid w:val="0002261E"/>
    <w:rsid w:val="00024839"/>
    <w:rsid w:val="00025818"/>
    <w:rsid w:val="00026871"/>
    <w:rsid w:val="00037A98"/>
    <w:rsid w:val="000427FB"/>
    <w:rsid w:val="0004455E"/>
    <w:rsid w:val="000479E9"/>
    <w:rsid w:val="00047CB5"/>
    <w:rsid w:val="00051FAA"/>
    <w:rsid w:val="000572A9"/>
    <w:rsid w:val="00061325"/>
    <w:rsid w:val="00066B63"/>
    <w:rsid w:val="000733AC"/>
    <w:rsid w:val="00073405"/>
    <w:rsid w:val="00074B81"/>
    <w:rsid w:val="00074D22"/>
    <w:rsid w:val="00075081"/>
    <w:rsid w:val="0007528A"/>
    <w:rsid w:val="000811AB"/>
    <w:rsid w:val="00083C5F"/>
    <w:rsid w:val="0009172C"/>
    <w:rsid w:val="000930EC"/>
    <w:rsid w:val="00095E61"/>
    <w:rsid w:val="000966C1"/>
    <w:rsid w:val="000970AC"/>
    <w:rsid w:val="000A08E8"/>
    <w:rsid w:val="000A1167"/>
    <w:rsid w:val="000A4428"/>
    <w:rsid w:val="000A6D40"/>
    <w:rsid w:val="000A7BC3"/>
    <w:rsid w:val="000B1661"/>
    <w:rsid w:val="000B1F0B"/>
    <w:rsid w:val="000B2E88"/>
    <w:rsid w:val="000B4603"/>
    <w:rsid w:val="000C09BE"/>
    <w:rsid w:val="000C1380"/>
    <w:rsid w:val="000C211F"/>
    <w:rsid w:val="000C4D22"/>
    <w:rsid w:val="000C554F"/>
    <w:rsid w:val="000D0DC5"/>
    <w:rsid w:val="000D15FF"/>
    <w:rsid w:val="000D28DF"/>
    <w:rsid w:val="000D488B"/>
    <w:rsid w:val="000D68DF"/>
    <w:rsid w:val="000E138D"/>
    <w:rsid w:val="000E187A"/>
    <w:rsid w:val="000E2D61"/>
    <w:rsid w:val="000E450E"/>
    <w:rsid w:val="000E6259"/>
    <w:rsid w:val="000F4677"/>
    <w:rsid w:val="000F5BE0"/>
    <w:rsid w:val="000F715A"/>
    <w:rsid w:val="00100587"/>
    <w:rsid w:val="001024DC"/>
    <w:rsid w:val="0010284E"/>
    <w:rsid w:val="00103122"/>
    <w:rsid w:val="0010336A"/>
    <w:rsid w:val="001050F1"/>
    <w:rsid w:val="00105AEA"/>
    <w:rsid w:val="00106DAF"/>
    <w:rsid w:val="00113E05"/>
    <w:rsid w:val="00114ABE"/>
    <w:rsid w:val="00116023"/>
    <w:rsid w:val="00134A51"/>
    <w:rsid w:val="00140727"/>
    <w:rsid w:val="00151B9A"/>
    <w:rsid w:val="0015710B"/>
    <w:rsid w:val="00160628"/>
    <w:rsid w:val="00161344"/>
    <w:rsid w:val="00162195"/>
    <w:rsid w:val="0016322A"/>
    <w:rsid w:val="00165A21"/>
    <w:rsid w:val="001705CE"/>
    <w:rsid w:val="0017714B"/>
    <w:rsid w:val="001804DF"/>
    <w:rsid w:val="00181BDC"/>
    <w:rsid w:val="00181DB0"/>
    <w:rsid w:val="001829E3"/>
    <w:rsid w:val="001924C0"/>
    <w:rsid w:val="00194E37"/>
    <w:rsid w:val="001953D6"/>
    <w:rsid w:val="0019731E"/>
    <w:rsid w:val="001A09FE"/>
    <w:rsid w:val="001A3583"/>
    <w:rsid w:val="001A67C9"/>
    <w:rsid w:val="001A69DE"/>
    <w:rsid w:val="001A7107"/>
    <w:rsid w:val="001A713C"/>
    <w:rsid w:val="001B1C7C"/>
    <w:rsid w:val="001B398F"/>
    <w:rsid w:val="001B46C6"/>
    <w:rsid w:val="001B4B48"/>
    <w:rsid w:val="001B4D1F"/>
    <w:rsid w:val="001B7681"/>
    <w:rsid w:val="001B7CAE"/>
    <w:rsid w:val="001C0772"/>
    <w:rsid w:val="001C0D4F"/>
    <w:rsid w:val="001C1BA3"/>
    <w:rsid w:val="001C1DEC"/>
    <w:rsid w:val="001C5736"/>
    <w:rsid w:val="001C7E9D"/>
    <w:rsid w:val="001D647F"/>
    <w:rsid w:val="001D6857"/>
    <w:rsid w:val="001E0572"/>
    <w:rsid w:val="001E0A67"/>
    <w:rsid w:val="001E1028"/>
    <w:rsid w:val="001E14E2"/>
    <w:rsid w:val="001E2D06"/>
    <w:rsid w:val="001E6302"/>
    <w:rsid w:val="001E7DCB"/>
    <w:rsid w:val="001F3411"/>
    <w:rsid w:val="001F4287"/>
    <w:rsid w:val="001F4DBA"/>
    <w:rsid w:val="0020415E"/>
    <w:rsid w:val="00204FF4"/>
    <w:rsid w:val="0021056E"/>
    <w:rsid w:val="0021075D"/>
    <w:rsid w:val="0021165A"/>
    <w:rsid w:val="00211BC9"/>
    <w:rsid w:val="0021620C"/>
    <w:rsid w:val="00216E78"/>
    <w:rsid w:val="00217275"/>
    <w:rsid w:val="002177AF"/>
    <w:rsid w:val="00236F4B"/>
    <w:rsid w:val="002375EF"/>
    <w:rsid w:val="00242B0D"/>
    <w:rsid w:val="002467C6"/>
    <w:rsid w:val="0024692A"/>
    <w:rsid w:val="00252BBA"/>
    <w:rsid w:val="00253123"/>
    <w:rsid w:val="00264001"/>
    <w:rsid w:val="00266354"/>
    <w:rsid w:val="00267A18"/>
    <w:rsid w:val="00273462"/>
    <w:rsid w:val="0027395B"/>
    <w:rsid w:val="00275854"/>
    <w:rsid w:val="00283B41"/>
    <w:rsid w:val="00285F28"/>
    <w:rsid w:val="00286398"/>
    <w:rsid w:val="00295597"/>
    <w:rsid w:val="002A0021"/>
    <w:rsid w:val="002A0373"/>
    <w:rsid w:val="002A3C42"/>
    <w:rsid w:val="002A5D75"/>
    <w:rsid w:val="002B1B1A"/>
    <w:rsid w:val="002B7228"/>
    <w:rsid w:val="002B7B65"/>
    <w:rsid w:val="002C53EE"/>
    <w:rsid w:val="002D24F7"/>
    <w:rsid w:val="002D2799"/>
    <w:rsid w:val="002D2CD7"/>
    <w:rsid w:val="002D4DDC"/>
    <w:rsid w:val="002D4F75"/>
    <w:rsid w:val="002D6493"/>
    <w:rsid w:val="002D7AB6"/>
    <w:rsid w:val="002E06D0"/>
    <w:rsid w:val="002E3C27"/>
    <w:rsid w:val="002E403A"/>
    <w:rsid w:val="002E50D1"/>
    <w:rsid w:val="002E7F3A"/>
    <w:rsid w:val="002F4D16"/>
    <w:rsid w:val="002F4EDB"/>
    <w:rsid w:val="002F580A"/>
    <w:rsid w:val="002F6054"/>
    <w:rsid w:val="003030AB"/>
    <w:rsid w:val="00304DAE"/>
    <w:rsid w:val="00310013"/>
    <w:rsid w:val="00310E13"/>
    <w:rsid w:val="00315360"/>
    <w:rsid w:val="00315713"/>
    <w:rsid w:val="0031686C"/>
    <w:rsid w:val="00316FE0"/>
    <w:rsid w:val="003204D2"/>
    <w:rsid w:val="0032605E"/>
    <w:rsid w:val="003275D1"/>
    <w:rsid w:val="00330B2A"/>
    <w:rsid w:val="00331E17"/>
    <w:rsid w:val="00333063"/>
    <w:rsid w:val="003408E3"/>
    <w:rsid w:val="00343480"/>
    <w:rsid w:val="00345E89"/>
    <w:rsid w:val="003522A1"/>
    <w:rsid w:val="0035254B"/>
    <w:rsid w:val="00353555"/>
    <w:rsid w:val="00354B2D"/>
    <w:rsid w:val="003565D4"/>
    <w:rsid w:val="003607FB"/>
    <w:rsid w:val="00360FD5"/>
    <w:rsid w:val="0036340D"/>
    <w:rsid w:val="003634A5"/>
    <w:rsid w:val="00365466"/>
    <w:rsid w:val="00366868"/>
    <w:rsid w:val="00367506"/>
    <w:rsid w:val="00370085"/>
    <w:rsid w:val="00373C2C"/>
    <w:rsid w:val="003744A7"/>
    <w:rsid w:val="00376235"/>
    <w:rsid w:val="00381FB6"/>
    <w:rsid w:val="003836D3"/>
    <w:rsid w:val="00383A52"/>
    <w:rsid w:val="00391652"/>
    <w:rsid w:val="0039507F"/>
    <w:rsid w:val="003A1260"/>
    <w:rsid w:val="003A295F"/>
    <w:rsid w:val="003A41DD"/>
    <w:rsid w:val="003A7033"/>
    <w:rsid w:val="003A7F35"/>
    <w:rsid w:val="003B47FE"/>
    <w:rsid w:val="003B5673"/>
    <w:rsid w:val="003B5F85"/>
    <w:rsid w:val="003B6287"/>
    <w:rsid w:val="003B62C9"/>
    <w:rsid w:val="003B7F4D"/>
    <w:rsid w:val="003C7176"/>
    <w:rsid w:val="003D0929"/>
    <w:rsid w:val="003D1400"/>
    <w:rsid w:val="003D4729"/>
    <w:rsid w:val="003D7DD6"/>
    <w:rsid w:val="003E33C9"/>
    <w:rsid w:val="003E5AAF"/>
    <w:rsid w:val="003E600D"/>
    <w:rsid w:val="003E64DF"/>
    <w:rsid w:val="003E6A5D"/>
    <w:rsid w:val="003F193A"/>
    <w:rsid w:val="003F41D9"/>
    <w:rsid w:val="003F4207"/>
    <w:rsid w:val="003F5C46"/>
    <w:rsid w:val="003F6D13"/>
    <w:rsid w:val="003F7CBB"/>
    <w:rsid w:val="003F7D34"/>
    <w:rsid w:val="00412C8E"/>
    <w:rsid w:val="0041518D"/>
    <w:rsid w:val="00420665"/>
    <w:rsid w:val="0042221D"/>
    <w:rsid w:val="00424DD3"/>
    <w:rsid w:val="004269C5"/>
    <w:rsid w:val="004353BC"/>
    <w:rsid w:val="00435939"/>
    <w:rsid w:val="00436AFE"/>
    <w:rsid w:val="00437CC7"/>
    <w:rsid w:val="00442B9C"/>
    <w:rsid w:val="00445EFA"/>
    <w:rsid w:val="0044738A"/>
    <w:rsid w:val="004473D3"/>
    <w:rsid w:val="00452231"/>
    <w:rsid w:val="00454C96"/>
    <w:rsid w:val="00460C13"/>
    <w:rsid w:val="00463228"/>
    <w:rsid w:val="00463782"/>
    <w:rsid w:val="004667E0"/>
    <w:rsid w:val="0046760E"/>
    <w:rsid w:val="00470E10"/>
    <w:rsid w:val="00471D3C"/>
    <w:rsid w:val="00477A97"/>
    <w:rsid w:val="00481343"/>
    <w:rsid w:val="00483148"/>
    <w:rsid w:val="0048549E"/>
    <w:rsid w:val="00493347"/>
    <w:rsid w:val="00496092"/>
    <w:rsid w:val="004A08DB"/>
    <w:rsid w:val="004A25D0"/>
    <w:rsid w:val="004A37E8"/>
    <w:rsid w:val="004A7186"/>
    <w:rsid w:val="004A7549"/>
    <w:rsid w:val="004B09D4"/>
    <w:rsid w:val="004B309D"/>
    <w:rsid w:val="004B330A"/>
    <w:rsid w:val="004B6106"/>
    <w:rsid w:val="004B7C8E"/>
    <w:rsid w:val="004C3D3C"/>
    <w:rsid w:val="004D0EDC"/>
    <w:rsid w:val="004D1220"/>
    <w:rsid w:val="004D14B3"/>
    <w:rsid w:val="004D1529"/>
    <w:rsid w:val="004D2253"/>
    <w:rsid w:val="004D5514"/>
    <w:rsid w:val="004D56C3"/>
    <w:rsid w:val="004E0338"/>
    <w:rsid w:val="004E4FF3"/>
    <w:rsid w:val="004E56A8"/>
    <w:rsid w:val="004F3B55"/>
    <w:rsid w:val="004F4E46"/>
    <w:rsid w:val="004F6107"/>
    <w:rsid w:val="004F6B7D"/>
    <w:rsid w:val="005015F6"/>
    <w:rsid w:val="00502FEE"/>
    <w:rsid w:val="005030C4"/>
    <w:rsid w:val="005031C5"/>
    <w:rsid w:val="00504FDC"/>
    <w:rsid w:val="005120CC"/>
    <w:rsid w:val="00512B7B"/>
    <w:rsid w:val="00514EA1"/>
    <w:rsid w:val="0051798B"/>
    <w:rsid w:val="00521F5A"/>
    <w:rsid w:val="00525E06"/>
    <w:rsid w:val="00526454"/>
    <w:rsid w:val="00531823"/>
    <w:rsid w:val="00534ECC"/>
    <w:rsid w:val="0053720D"/>
    <w:rsid w:val="005372AF"/>
    <w:rsid w:val="00540EF5"/>
    <w:rsid w:val="00541BF3"/>
    <w:rsid w:val="00541CD3"/>
    <w:rsid w:val="005476FA"/>
    <w:rsid w:val="0055595E"/>
    <w:rsid w:val="00557988"/>
    <w:rsid w:val="0056247D"/>
    <w:rsid w:val="00562C49"/>
    <w:rsid w:val="00562DEF"/>
    <w:rsid w:val="0056321A"/>
    <w:rsid w:val="00563A35"/>
    <w:rsid w:val="00566596"/>
    <w:rsid w:val="005741E9"/>
    <w:rsid w:val="005748CF"/>
    <w:rsid w:val="00584270"/>
    <w:rsid w:val="00584738"/>
    <w:rsid w:val="005920B0"/>
    <w:rsid w:val="0059380D"/>
    <w:rsid w:val="00595A8F"/>
    <w:rsid w:val="005977C2"/>
    <w:rsid w:val="00597BF2"/>
    <w:rsid w:val="005A4E0D"/>
    <w:rsid w:val="005B134E"/>
    <w:rsid w:val="005B2039"/>
    <w:rsid w:val="005B344F"/>
    <w:rsid w:val="005B3FBA"/>
    <w:rsid w:val="005B4A1D"/>
    <w:rsid w:val="005B674D"/>
    <w:rsid w:val="005C0CBE"/>
    <w:rsid w:val="005C1FCF"/>
    <w:rsid w:val="005C6C7C"/>
    <w:rsid w:val="005D1885"/>
    <w:rsid w:val="005D23AB"/>
    <w:rsid w:val="005D4A38"/>
    <w:rsid w:val="005E20C3"/>
    <w:rsid w:val="005E2EEA"/>
    <w:rsid w:val="005E3708"/>
    <w:rsid w:val="005E3CCD"/>
    <w:rsid w:val="005E3D6B"/>
    <w:rsid w:val="005E5B55"/>
    <w:rsid w:val="005E5E4A"/>
    <w:rsid w:val="005E693D"/>
    <w:rsid w:val="005E75BF"/>
    <w:rsid w:val="005F57BA"/>
    <w:rsid w:val="005F61E6"/>
    <w:rsid w:val="005F6C45"/>
    <w:rsid w:val="00605A69"/>
    <w:rsid w:val="00606C54"/>
    <w:rsid w:val="00614375"/>
    <w:rsid w:val="00615B0A"/>
    <w:rsid w:val="006168CF"/>
    <w:rsid w:val="0062011B"/>
    <w:rsid w:val="00626DE0"/>
    <w:rsid w:val="00630901"/>
    <w:rsid w:val="00631F8E"/>
    <w:rsid w:val="00636EE9"/>
    <w:rsid w:val="00640950"/>
    <w:rsid w:val="00641AE7"/>
    <w:rsid w:val="00642629"/>
    <w:rsid w:val="00646973"/>
    <w:rsid w:val="00650A40"/>
    <w:rsid w:val="0065293D"/>
    <w:rsid w:val="00653EFC"/>
    <w:rsid w:val="00654021"/>
    <w:rsid w:val="006564D2"/>
    <w:rsid w:val="00661045"/>
    <w:rsid w:val="00666DA8"/>
    <w:rsid w:val="00670D52"/>
    <w:rsid w:val="00671057"/>
    <w:rsid w:val="00675AAF"/>
    <w:rsid w:val="006778CC"/>
    <w:rsid w:val="0068031A"/>
    <w:rsid w:val="00681B2F"/>
    <w:rsid w:val="0068335F"/>
    <w:rsid w:val="00684662"/>
    <w:rsid w:val="00687217"/>
    <w:rsid w:val="00693302"/>
    <w:rsid w:val="0069640B"/>
    <w:rsid w:val="006A1B83"/>
    <w:rsid w:val="006A21CD"/>
    <w:rsid w:val="006A5918"/>
    <w:rsid w:val="006A68BF"/>
    <w:rsid w:val="006A7375"/>
    <w:rsid w:val="006A79DB"/>
    <w:rsid w:val="006B21B2"/>
    <w:rsid w:val="006B4A4A"/>
    <w:rsid w:val="006C19B2"/>
    <w:rsid w:val="006C5BB8"/>
    <w:rsid w:val="006C6936"/>
    <w:rsid w:val="006C7B01"/>
    <w:rsid w:val="006D0FE8"/>
    <w:rsid w:val="006D4B2B"/>
    <w:rsid w:val="006D4F3C"/>
    <w:rsid w:val="006D5C66"/>
    <w:rsid w:val="006E1B3C"/>
    <w:rsid w:val="006E23FB"/>
    <w:rsid w:val="006E325A"/>
    <w:rsid w:val="006E33EC"/>
    <w:rsid w:val="006E3802"/>
    <w:rsid w:val="006E6528"/>
    <w:rsid w:val="006E6C02"/>
    <w:rsid w:val="006F231A"/>
    <w:rsid w:val="006F2DEB"/>
    <w:rsid w:val="006F6B55"/>
    <w:rsid w:val="006F788D"/>
    <w:rsid w:val="006F78E1"/>
    <w:rsid w:val="00701072"/>
    <w:rsid w:val="00702054"/>
    <w:rsid w:val="007035A4"/>
    <w:rsid w:val="00711799"/>
    <w:rsid w:val="00712B78"/>
    <w:rsid w:val="0071393B"/>
    <w:rsid w:val="00713EE2"/>
    <w:rsid w:val="007177FC"/>
    <w:rsid w:val="00720C5E"/>
    <w:rsid w:val="00721701"/>
    <w:rsid w:val="00731835"/>
    <w:rsid w:val="007341F8"/>
    <w:rsid w:val="00734372"/>
    <w:rsid w:val="00734EB8"/>
    <w:rsid w:val="00735F8B"/>
    <w:rsid w:val="00742763"/>
    <w:rsid w:val="00742D1F"/>
    <w:rsid w:val="00743EBA"/>
    <w:rsid w:val="00744C8E"/>
    <w:rsid w:val="0074707E"/>
    <w:rsid w:val="007516DC"/>
    <w:rsid w:val="00752E58"/>
    <w:rsid w:val="00754B80"/>
    <w:rsid w:val="00761918"/>
    <w:rsid w:val="00762044"/>
    <w:rsid w:val="00762F03"/>
    <w:rsid w:val="0076413B"/>
    <w:rsid w:val="007648AE"/>
    <w:rsid w:val="00764BF8"/>
    <w:rsid w:val="0076514D"/>
    <w:rsid w:val="00773D59"/>
    <w:rsid w:val="00781003"/>
    <w:rsid w:val="00787F34"/>
    <w:rsid w:val="007911FD"/>
    <w:rsid w:val="00793930"/>
    <w:rsid w:val="00793DD1"/>
    <w:rsid w:val="00794FEC"/>
    <w:rsid w:val="007A003E"/>
    <w:rsid w:val="007A1965"/>
    <w:rsid w:val="007A2ED1"/>
    <w:rsid w:val="007A4BE6"/>
    <w:rsid w:val="007A68F7"/>
    <w:rsid w:val="007B0DC6"/>
    <w:rsid w:val="007B1094"/>
    <w:rsid w:val="007B1762"/>
    <w:rsid w:val="007B3320"/>
    <w:rsid w:val="007C301F"/>
    <w:rsid w:val="007C4540"/>
    <w:rsid w:val="007C65AF"/>
    <w:rsid w:val="007D135D"/>
    <w:rsid w:val="007D730F"/>
    <w:rsid w:val="007D7CD8"/>
    <w:rsid w:val="007E3AA7"/>
    <w:rsid w:val="007F737D"/>
    <w:rsid w:val="0080308E"/>
    <w:rsid w:val="00805303"/>
    <w:rsid w:val="00806705"/>
    <w:rsid w:val="00806738"/>
    <w:rsid w:val="0081349B"/>
    <w:rsid w:val="00816EA2"/>
    <w:rsid w:val="008216D5"/>
    <w:rsid w:val="008249CE"/>
    <w:rsid w:val="00831A50"/>
    <w:rsid w:val="00831B3C"/>
    <w:rsid w:val="00831C89"/>
    <w:rsid w:val="00832114"/>
    <w:rsid w:val="00832AE7"/>
    <w:rsid w:val="00834C46"/>
    <w:rsid w:val="0084093E"/>
    <w:rsid w:val="00841CE1"/>
    <w:rsid w:val="0084609C"/>
    <w:rsid w:val="008473D8"/>
    <w:rsid w:val="008528DC"/>
    <w:rsid w:val="00852B8C"/>
    <w:rsid w:val="00854981"/>
    <w:rsid w:val="008623DF"/>
    <w:rsid w:val="00862EAC"/>
    <w:rsid w:val="00864B2E"/>
    <w:rsid w:val="00865963"/>
    <w:rsid w:val="00871C1D"/>
    <w:rsid w:val="008741BB"/>
    <w:rsid w:val="0087450E"/>
    <w:rsid w:val="00875A82"/>
    <w:rsid w:val="00875BA5"/>
    <w:rsid w:val="00876CA3"/>
    <w:rsid w:val="008772FE"/>
    <w:rsid w:val="008775F1"/>
    <w:rsid w:val="008821AE"/>
    <w:rsid w:val="00883D3A"/>
    <w:rsid w:val="008854F7"/>
    <w:rsid w:val="00885A9D"/>
    <w:rsid w:val="008929D2"/>
    <w:rsid w:val="00893636"/>
    <w:rsid w:val="00893B94"/>
    <w:rsid w:val="00895A39"/>
    <w:rsid w:val="00896E9D"/>
    <w:rsid w:val="00896F11"/>
    <w:rsid w:val="008A1049"/>
    <w:rsid w:val="008A1C98"/>
    <w:rsid w:val="008A322D"/>
    <w:rsid w:val="008A4D72"/>
    <w:rsid w:val="008A5ECC"/>
    <w:rsid w:val="008A6285"/>
    <w:rsid w:val="008A63B2"/>
    <w:rsid w:val="008B345D"/>
    <w:rsid w:val="008C074F"/>
    <w:rsid w:val="008C1FC2"/>
    <w:rsid w:val="008C2980"/>
    <w:rsid w:val="008C4DD6"/>
    <w:rsid w:val="008C5AFB"/>
    <w:rsid w:val="008D078E"/>
    <w:rsid w:val="008D07FB"/>
    <w:rsid w:val="008D0C02"/>
    <w:rsid w:val="008D0FCF"/>
    <w:rsid w:val="008D357D"/>
    <w:rsid w:val="008D435A"/>
    <w:rsid w:val="008D5BC7"/>
    <w:rsid w:val="008D6DF6"/>
    <w:rsid w:val="008D6E61"/>
    <w:rsid w:val="008E387B"/>
    <w:rsid w:val="008E6087"/>
    <w:rsid w:val="008E6A27"/>
    <w:rsid w:val="008E758D"/>
    <w:rsid w:val="008F10A7"/>
    <w:rsid w:val="008F1BCF"/>
    <w:rsid w:val="008F714D"/>
    <w:rsid w:val="008F755D"/>
    <w:rsid w:val="008F7A39"/>
    <w:rsid w:val="009021E8"/>
    <w:rsid w:val="00904677"/>
    <w:rsid w:val="00905EE2"/>
    <w:rsid w:val="00911440"/>
    <w:rsid w:val="00911712"/>
    <w:rsid w:val="00911B27"/>
    <w:rsid w:val="00916003"/>
    <w:rsid w:val="009170BE"/>
    <w:rsid w:val="00920B55"/>
    <w:rsid w:val="009262C9"/>
    <w:rsid w:val="00930EB9"/>
    <w:rsid w:val="00933DC7"/>
    <w:rsid w:val="009418F4"/>
    <w:rsid w:val="00942BBC"/>
    <w:rsid w:val="00944180"/>
    <w:rsid w:val="00944AA0"/>
    <w:rsid w:val="00947DA2"/>
    <w:rsid w:val="00951177"/>
    <w:rsid w:val="009673E8"/>
    <w:rsid w:val="00974DB8"/>
    <w:rsid w:val="00976F2C"/>
    <w:rsid w:val="00980661"/>
    <w:rsid w:val="0098093B"/>
    <w:rsid w:val="009876D4"/>
    <w:rsid w:val="009914A5"/>
    <w:rsid w:val="0099548E"/>
    <w:rsid w:val="00996456"/>
    <w:rsid w:val="00996A12"/>
    <w:rsid w:val="00997B0F"/>
    <w:rsid w:val="009A1CAD"/>
    <w:rsid w:val="009A298C"/>
    <w:rsid w:val="009A3440"/>
    <w:rsid w:val="009A5832"/>
    <w:rsid w:val="009A6838"/>
    <w:rsid w:val="009A6D1E"/>
    <w:rsid w:val="009B24B5"/>
    <w:rsid w:val="009B4DB7"/>
    <w:rsid w:val="009B4EBC"/>
    <w:rsid w:val="009B5ABB"/>
    <w:rsid w:val="009B73CE"/>
    <w:rsid w:val="009C2461"/>
    <w:rsid w:val="009C6FE2"/>
    <w:rsid w:val="009C7674"/>
    <w:rsid w:val="009D004A"/>
    <w:rsid w:val="009D5880"/>
    <w:rsid w:val="009E1FD4"/>
    <w:rsid w:val="009E3B07"/>
    <w:rsid w:val="009E51D1"/>
    <w:rsid w:val="009E5531"/>
    <w:rsid w:val="009F171E"/>
    <w:rsid w:val="009F3D2F"/>
    <w:rsid w:val="009F7052"/>
    <w:rsid w:val="00A02668"/>
    <w:rsid w:val="00A02801"/>
    <w:rsid w:val="00A06A39"/>
    <w:rsid w:val="00A07F58"/>
    <w:rsid w:val="00A131CB"/>
    <w:rsid w:val="00A14847"/>
    <w:rsid w:val="00A16D6D"/>
    <w:rsid w:val="00A21383"/>
    <w:rsid w:val="00A2199F"/>
    <w:rsid w:val="00A21B31"/>
    <w:rsid w:val="00A2360E"/>
    <w:rsid w:val="00A26E0C"/>
    <w:rsid w:val="00A32FCB"/>
    <w:rsid w:val="00A34C25"/>
    <w:rsid w:val="00A3507D"/>
    <w:rsid w:val="00A3717A"/>
    <w:rsid w:val="00A4088C"/>
    <w:rsid w:val="00A40F56"/>
    <w:rsid w:val="00A4456B"/>
    <w:rsid w:val="00A448D4"/>
    <w:rsid w:val="00A452E0"/>
    <w:rsid w:val="00A51EA5"/>
    <w:rsid w:val="00A53742"/>
    <w:rsid w:val="00A557A1"/>
    <w:rsid w:val="00A63059"/>
    <w:rsid w:val="00A63AE3"/>
    <w:rsid w:val="00A651A4"/>
    <w:rsid w:val="00A71361"/>
    <w:rsid w:val="00A74176"/>
    <w:rsid w:val="00A746E2"/>
    <w:rsid w:val="00A74D78"/>
    <w:rsid w:val="00A81FF2"/>
    <w:rsid w:val="00A83904"/>
    <w:rsid w:val="00A90A79"/>
    <w:rsid w:val="00A948BD"/>
    <w:rsid w:val="00A96B30"/>
    <w:rsid w:val="00AA233E"/>
    <w:rsid w:val="00AA59B5"/>
    <w:rsid w:val="00AA6EE9"/>
    <w:rsid w:val="00AA7777"/>
    <w:rsid w:val="00AA7B84"/>
    <w:rsid w:val="00AC0B4C"/>
    <w:rsid w:val="00AC1164"/>
    <w:rsid w:val="00AC2296"/>
    <w:rsid w:val="00AC2754"/>
    <w:rsid w:val="00AC48B0"/>
    <w:rsid w:val="00AC4ACD"/>
    <w:rsid w:val="00AC5DFB"/>
    <w:rsid w:val="00AD13DC"/>
    <w:rsid w:val="00AD6DE2"/>
    <w:rsid w:val="00AE0A40"/>
    <w:rsid w:val="00AE1ED4"/>
    <w:rsid w:val="00AE21E1"/>
    <w:rsid w:val="00AE2662"/>
    <w:rsid w:val="00AE2F8D"/>
    <w:rsid w:val="00AE3BAE"/>
    <w:rsid w:val="00AE5077"/>
    <w:rsid w:val="00AE6A21"/>
    <w:rsid w:val="00AF1C8F"/>
    <w:rsid w:val="00AF2B68"/>
    <w:rsid w:val="00AF2C92"/>
    <w:rsid w:val="00AF3033"/>
    <w:rsid w:val="00AF3EC1"/>
    <w:rsid w:val="00AF5025"/>
    <w:rsid w:val="00AF519F"/>
    <w:rsid w:val="00AF5387"/>
    <w:rsid w:val="00AF55F5"/>
    <w:rsid w:val="00AF7E86"/>
    <w:rsid w:val="00B024B9"/>
    <w:rsid w:val="00B077FA"/>
    <w:rsid w:val="00B127D7"/>
    <w:rsid w:val="00B13B0C"/>
    <w:rsid w:val="00B1453A"/>
    <w:rsid w:val="00B20F82"/>
    <w:rsid w:val="00B25BD5"/>
    <w:rsid w:val="00B27FEE"/>
    <w:rsid w:val="00B306B8"/>
    <w:rsid w:val="00B30F53"/>
    <w:rsid w:val="00B34079"/>
    <w:rsid w:val="00B3793A"/>
    <w:rsid w:val="00B401BA"/>
    <w:rsid w:val="00B407E4"/>
    <w:rsid w:val="00B425B6"/>
    <w:rsid w:val="00B42A72"/>
    <w:rsid w:val="00B441AE"/>
    <w:rsid w:val="00B45A65"/>
    <w:rsid w:val="00B45F33"/>
    <w:rsid w:val="00B46D50"/>
    <w:rsid w:val="00B53170"/>
    <w:rsid w:val="00B548B9"/>
    <w:rsid w:val="00B56DBE"/>
    <w:rsid w:val="00B60B73"/>
    <w:rsid w:val="00B62999"/>
    <w:rsid w:val="00B63BE3"/>
    <w:rsid w:val="00B64370"/>
    <w:rsid w:val="00B64885"/>
    <w:rsid w:val="00B66810"/>
    <w:rsid w:val="00B72BE3"/>
    <w:rsid w:val="00B73B80"/>
    <w:rsid w:val="00B770C7"/>
    <w:rsid w:val="00B80F26"/>
    <w:rsid w:val="00B822BD"/>
    <w:rsid w:val="00B842F4"/>
    <w:rsid w:val="00B84A82"/>
    <w:rsid w:val="00B85CC2"/>
    <w:rsid w:val="00B91A7B"/>
    <w:rsid w:val="00B929DD"/>
    <w:rsid w:val="00B93AF6"/>
    <w:rsid w:val="00B95405"/>
    <w:rsid w:val="00B963F1"/>
    <w:rsid w:val="00BA020A"/>
    <w:rsid w:val="00BA1648"/>
    <w:rsid w:val="00BB025A"/>
    <w:rsid w:val="00BB02A4"/>
    <w:rsid w:val="00BB1270"/>
    <w:rsid w:val="00BB1E44"/>
    <w:rsid w:val="00BB5267"/>
    <w:rsid w:val="00BB52B8"/>
    <w:rsid w:val="00BB59D8"/>
    <w:rsid w:val="00BB7E69"/>
    <w:rsid w:val="00BC0E51"/>
    <w:rsid w:val="00BC3C1F"/>
    <w:rsid w:val="00BC7CE7"/>
    <w:rsid w:val="00BD295E"/>
    <w:rsid w:val="00BD4664"/>
    <w:rsid w:val="00BE1193"/>
    <w:rsid w:val="00BE72C0"/>
    <w:rsid w:val="00BE72ED"/>
    <w:rsid w:val="00BF4849"/>
    <w:rsid w:val="00BF4EA7"/>
    <w:rsid w:val="00C00EDB"/>
    <w:rsid w:val="00C02863"/>
    <w:rsid w:val="00C0383A"/>
    <w:rsid w:val="00C067FF"/>
    <w:rsid w:val="00C11409"/>
    <w:rsid w:val="00C12862"/>
    <w:rsid w:val="00C13D28"/>
    <w:rsid w:val="00C14585"/>
    <w:rsid w:val="00C165A0"/>
    <w:rsid w:val="00C216CE"/>
    <w:rsid w:val="00C2184F"/>
    <w:rsid w:val="00C22A78"/>
    <w:rsid w:val="00C23C7E"/>
    <w:rsid w:val="00C246C5"/>
    <w:rsid w:val="00C25A82"/>
    <w:rsid w:val="00C30A2A"/>
    <w:rsid w:val="00C3314D"/>
    <w:rsid w:val="00C33993"/>
    <w:rsid w:val="00C4069E"/>
    <w:rsid w:val="00C41ADC"/>
    <w:rsid w:val="00C44149"/>
    <w:rsid w:val="00C44410"/>
    <w:rsid w:val="00C44A15"/>
    <w:rsid w:val="00C4630A"/>
    <w:rsid w:val="00C523F0"/>
    <w:rsid w:val="00C526D2"/>
    <w:rsid w:val="00C53A91"/>
    <w:rsid w:val="00C5794E"/>
    <w:rsid w:val="00C60527"/>
    <w:rsid w:val="00C60968"/>
    <w:rsid w:val="00C63D39"/>
    <w:rsid w:val="00C63EDD"/>
    <w:rsid w:val="00C65B36"/>
    <w:rsid w:val="00C7292E"/>
    <w:rsid w:val="00C74E88"/>
    <w:rsid w:val="00C80924"/>
    <w:rsid w:val="00C815A2"/>
    <w:rsid w:val="00C8286B"/>
    <w:rsid w:val="00C947F8"/>
    <w:rsid w:val="00C9515F"/>
    <w:rsid w:val="00C963C5"/>
    <w:rsid w:val="00CA030C"/>
    <w:rsid w:val="00CA1F41"/>
    <w:rsid w:val="00CA32EE"/>
    <w:rsid w:val="00CA5771"/>
    <w:rsid w:val="00CA6A1A"/>
    <w:rsid w:val="00CC1E75"/>
    <w:rsid w:val="00CC2E0E"/>
    <w:rsid w:val="00CC361C"/>
    <w:rsid w:val="00CC474B"/>
    <w:rsid w:val="00CC658C"/>
    <w:rsid w:val="00CC67BF"/>
    <w:rsid w:val="00CD028B"/>
    <w:rsid w:val="00CD0843"/>
    <w:rsid w:val="00CD4E31"/>
    <w:rsid w:val="00CD5A78"/>
    <w:rsid w:val="00CD7345"/>
    <w:rsid w:val="00CE372E"/>
    <w:rsid w:val="00CE5CE1"/>
    <w:rsid w:val="00CF0A1B"/>
    <w:rsid w:val="00CF19F6"/>
    <w:rsid w:val="00CF2F4F"/>
    <w:rsid w:val="00CF536D"/>
    <w:rsid w:val="00CF7209"/>
    <w:rsid w:val="00D02E9D"/>
    <w:rsid w:val="00D06F8C"/>
    <w:rsid w:val="00D10CB8"/>
    <w:rsid w:val="00D12806"/>
    <w:rsid w:val="00D12D44"/>
    <w:rsid w:val="00D15018"/>
    <w:rsid w:val="00D158AC"/>
    <w:rsid w:val="00D1694C"/>
    <w:rsid w:val="00D20F5E"/>
    <w:rsid w:val="00D23B76"/>
    <w:rsid w:val="00D24B4A"/>
    <w:rsid w:val="00D3628B"/>
    <w:rsid w:val="00D379A3"/>
    <w:rsid w:val="00D45FF3"/>
    <w:rsid w:val="00D512CF"/>
    <w:rsid w:val="00D528B9"/>
    <w:rsid w:val="00D53186"/>
    <w:rsid w:val="00D5487D"/>
    <w:rsid w:val="00D60140"/>
    <w:rsid w:val="00D6024A"/>
    <w:rsid w:val="00D608B5"/>
    <w:rsid w:val="00D64739"/>
    <w:rsid w:val="00D71F99"/>
    <w:rsid w:val="00D73CA4"/>
    <w:rsid w:val="00D73D71"/>
    <w:rsid w:val="00D74396"/>
    <w:rsid w:val="00D80284"/>
    <w:rsid w:val="00D81F71"/>
    <w:rsid w:val="00D854F1"/>
    <w:rsid w:val="00D8642D"/>
    <w:rsid w:val="00D90A5E"/>
    <w:rsid w:val="00D91A68"/>
    <w:rsid w:val="00D95A68"/>
    <w:rsid w:val="00DA17C7"/>
    <w:rsid w:val="00DA6A9A"/>
    <w:rsid w:val="00DB1EFD"/>
    <w:rsid w:val="00DB3EAF"/>
    <w:rsid w:val="00DB46C6"/>
    <w:rsid w:val="00DB78C6"/>
    <w:rsid w:val="00DC3203"/>
    <w:rsid w:val="00DC3C99"/>
    <w:rsid w:val="00DC52F5"/>
    <w:rsid w:val="00DC5FD0"/>
    <w:rsid w:val="00DD0354"/>
    <w:rsid w:val="00DD27D7"/>
    <w:rsid w:val="00DD458C"/>
    <w:rsid w:val="00DD72E9"/>
    <w:rsid w:val="00DD7605"/>
    <w:rsid w:val="00DE2020"/>
    <w:rsid w:val="00DE3476"/>
    <w:rsid w:val="00DE729B"/>
    <w:rsid w:val="00DE7BEA"/>
    <w:rsid w:val="00DF5B84"/>
    <w:rsid w:val="00DF6D5B"/>
    <w:rsid w:val="00DF771B"/>
    <w:rsid w:val="00DF7EE2"/>
    <w:rsid w:val="00E01BAA"/>
    <w:rsid w:val="00E0282A"/>
    <w:rsid w:val="00E02F9B"/>
    <w:rsid w:val="00E061B6"/>
    <w:rsid w:val="00E0790D"/>
    <w:rsid w:val="00E07E14"/>
    <w:rsid w:val="00E100C9"/>
    <w:rsid w:val="00E149B6"/>
    <w:rsid w:val="00E14A87"/>
    <w:rsid w:val="00E14F94"/>
    <w:rsid w:val="00E17336"/>
    <w:rsid w:val="00E17D15"/>
    <w:rsid w:val="00E22B95"/>
    <w:rsid w:val="00E30331"/>
    <w:rsid w:val="00E30BB8"/>
    <w:rsid w:val="00E31F9C"/>
    <w:rsid w:val="00E3575D"/>
    <w:rsid w:val="00E40488"/>
    <w:rsid w:val="00E45109"/>
    <w:rsid w:val="00E50367"/>
    <w:rsid w:val="00E504BA"/>
    <w:rsid w:val="00E51ABA"/>
    <w:rsid w:val="00E524CB"/>
    <w:rsid w:val="00E64964"/>
    <w:rsid w:val="00E65456"/>
    <w:rsid w:val="00E65A91"/>
    <w:rsid w:val="00E66188"/>
    <w:rsid w:val="00E664FB"/>
    <w:rsid w:val="00E672F0"/>
    <w:rsid w:val="00E70373"/>
    <w:rsid w:val="00E72E40"/>
    <w:rsid w:val="00E73665"/>
    <w:rsid w:val="00E73999"/>
    <w:rsid w:val="00E73BDC"/>
    <w:rsid w:val="00E73D1E"/>
    <w:rsid w:val="00E73E9E"/>
    <w:rsid w:val="00E80D34"/>
    <w:rsid w:val="00E81660"/>
    <w:rsid w:val="00E854FE"/>
    <w:rsid w:val="00E906CC"/>
    <w:rsid w:val="00E939A0"/>
    <w:rsid w:val="00E96E81"/>
    <w:rsid w:val="00E97E4E"/>
    <w:rsid w:val="00EA1CC2"/>
    <w:rsid w:val="00EA2D76"/>
    <w:rsid w:val="00EA4644"/>
    <w:rsid w:val="00EA758A"/>
    <w:rsid w:val="00EB096F"/>
    <w:rsid w:val="00EB199F"/>
    <w:rsid w:val="00EB27C4"/>
    <w:rsid w:val="00EB5387"/>
    <w:rsid w:val="00EB5C10"/>
    <w:rsid w:val="00EB7322"/>
    <w:rsid w:val="00EC0FE9"/>
    <w:rsid w:val="00EC198B"/>
    <w:rsid w:val="00EC426D"/>
    <w:rsid w:val="00EC571B"/>
    <w:rsid w:val="00EC57D7"/>
    <w:rsid w:val="00EC6385"/>
    <w:rsid w:val="00ED1DE9"/>
    <w:rsid w:val="00ED23D4"/>
    <w:rsid w:val="00ED5E0B"/>
    <w:rsid w:val="00EE37B6"/>
    <w:rsid w:val="00EE51D9"/>
    <w:rsid w:val="00EF0F45"/>
    <w:rsid w:val="00EF7463"/>
    <w:rsid w:val="00EF7971"/>
    <w:rsid w:val="00F002EF"/>
    <w:rsid w:val="00F01EE9"/>
    <w:rsid w:val="00F022BE"/>
    <w:rsid w:val="00F04900"/>
    <w:rsid w:val="00F065A4"/>
    <w:rsid w:val="00F07218"/>
    <w:rsid w:val="00F126B9"/>
    <w:rsid w:val="00F12715"/>
    <w:rsid w:val="00F144D5"/>
    <w:rsid w:val="00F146F0"/>
    <w:rsid w:val="00F14AFF"/>
    <w:rsid w:val="00F15039"/>
    <w:rsid w:val="00F20FF3"/>
    <w:rsid w:val="00F2190B"/>
    <w:rsid w:val="00F228B5"/>
    <w:rsid w:val="00F2389C"/>
    <w:rsid w:val="00F25C67"/>
    <w:rsid w:val="00F269A8"/>
    <w:rsid w:val="00F30DFF"/>
    <w:rsid w:val="00F32B80"/>
    <w:rsid w:val="00F340EB"/>
    <w:rsid w:val="00F35285"/>
    <w:rsid w:val="00F43B9D"/>
    <w:rsid w:val="00F44D5E"/>
    <w:rsid w:val="00F53A35"/>
    <w:rsid w:val="00F55A3D"/>
    <w:rsid w:val="00F5744B"/>
    <w:rsid w:val="00F61209"/>
    <w:rsid w:val="00F6259E"/>
    <w:rsid w:val="00F65894"/>
    <w:rsid w:val="00F65DD4"/>
    <w:rsid w:val="00F672B2"/>
    <w:rsid w:val="00F83973"/>
    <w:rsid w:val="00F87FA3"/>
    <w:rsid w:val="00F93D8C"/>
    <w:rsid w:val="00FA3102"/>
    <w:rsid w:val="00FA48D4"/>
    <w:rsid w:val="00FA54FA"/>
    <w:rsid w:val="00FA6D39"/>
    <w:rsid w:val="00FB227E"/>
    <w:rsid w:val="00FB3D61"/>
    <w:rsid w:val="00FB44CE"/>
    <w:rsid w:val="00FB5009"/>
    <w:rsid w:val="00FB76AB"/>
    <w:rsid w:val="00FC649C"/>
    <w:rsid w:val="00FD03FE"/>
    <w:rsid w:val="00FD126E"/>
    <w:rsid w:val="00FD3C36"/>
    <w:rsid w:val="00FD4D81"/>
    <w:rsid w:val="00FD7498"/>
    <w:rsid w:val="00FD7FB3"/>
    <w:rsid w:val="00FE10FD"/>
    <w:rsid w:val="00FE4713"/>
    <w:rsid w:val="00FF1F44"/>
    <w:rsid w:val="00FF225E"/>
    <w:rsid w:val="00FF268A"/>
    <w:rsid w:val="00FF672C"/>
    <w:rsid w:val="00FF6C35"/>
    <w:rsid w:val="00FF6C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annotation text" w:uiPriority="99"/>
    <w:lsdException w:name="caption" w:uiPriority="35" w:qFormat="1"/>
    <w:lsdException w:name="annotation reference" w:uiPriority="99"/>
    <w:lsdException w:name="Hyperlink" w:uiPriority="99"/>
    <w:lsdException w:name="Normal (Web)" w:uiPriority="99"/>
    <w:lsdException w:name="Table Grid" w:uiPriority="59"/>
    <w:lsdException w:name="List Paragraph" w:uiPriority="34" w:qFormat="1"/>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customStyle="1" w:styleId="gt-baf-back">
    <w:name w:val="gt-baf-back"/>
    <w:basedOn w:val="DefaultParagraphFont"/>
    <w:rsid w:val="002177AF"/>
  </w:style>
  <w:style w:type="paragraph" w:styleId="NormalWeb">
    <w:name w:val="Normal (Web)"/>
    <w:basedOn w:val="Normal"/>
    <w:uiPriority w:val="99"/>
    <w:unhideWhenUsed/>
    <w:rsid w:val="003E33C9"/>
    <w:pPr>
      <w:spacing w:before="100" w:beforeAutospacing="1" w:after="100" w:afterAutospacing="1" w:line="240" w:lineRule="auto"/>
    </w:pPr>
    <w:rPr>
      <w:rFonts w:eastAsiaTheme="minorEastAsia"/>
    </w:rPr>
  </w:style>
  <w:style w:type="paragraph" w:styleId="Caption">
    <w:name w:val="caption"/>
    <w:aliases w:val="Table"/>
    <w:basedOn w:val="Normal"/>
    <w:next w:val="Normal"/>
    <w:uiPriority w:val="35"/>
    <w:unhideWhenUsed/>
    <w:qFormat/>
    <w:rsid w:val="00073405"/>
    <w:pPr>
      <w:spacing w:after="200" w:line="240" w:lineRule="auto"/>
      <w:jc w:val="both"/>
    </w:pPr>
    <w:rPr>
      <w:rFonts w:eastAsiaTheme="minorEastAsia" w:cstheme="minorBidi"/>
      <w:bCs/>
      <w:sz w:val="18"/>
      <w:szCs w:val="18"/>
      <w:lang w:eastAsia="en-US"/>
    </w:rPr>
  </w:style>
  <w:style w:type="paragraph" w:styleId="ListParagraph">
    <w:name w:val="List Paragraph"/>
    <w:basedOn w:val="Normal"/>
    <w:uiPriority w:val="34"/>
    <w:qFormat/>
    <w:rsid w:val="005E20C3"/>
    <w:pPr>
      <w:spacing w:line="240" w:lineRule="auto"/>
      <w:ind w:left="720" w:firstLine="720"/>
      <w:contextualSpacing/>
      <w:jc w:val="both"/>
    </w:pPr>
    <w:rPr>
      <w:rFonts w:eastAsiaTheme="minorEastAsia" w:cstheme="minorBidi"/>
      <w:sz w:val="20"/>
      <w:lang w:eastAsia="en-US"/>
    </w:rPr>
  </w:style>
  <w:style w:type="table" w:styleId="TableGrid">
    <w:name w:val="Table Grid"/>
    <w:basedOn w:val="TableNormal"/>
    <w:uiPriority w:val="59"/>
    <w:rsid w:val="005E20C3"/>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E20C3"/>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5E20C3"/>
    <w:rPr>
      <w:rFonts w:ascii="Tahoma" w:hAnsi="Tahoma" w:cs="Tahoma"/>
      <w:sz w:val="16"/>
      <w:szCs w:val="16"/>
    </w:rPr>
  </w:style>
  <w:style w:type="character" w:styleId="CommentReference">
    <w:name w:val="annotation reference"/>
    <w:basedOn w:val="DefaultParagraphFont"/>
    <w:uiPriority w:val="99"/>
    <w:unhideWhenUsed/>
    <w:rsid w:val="00CD028B"/>
    <w:rPr>
      <w:sz w:val="16"/>
      <w:szCs w:val="16"/>
    </w:rPr>
  </w:style>
  <w:style w:type="paragraph" w:styleId="CommentText">
    <w:name w:val="annotation text"/>
    <w:basedOn w:val="Normal"/>
    <w:link w:val="CommentTextChar"/>
    <w:uiPriority w:val="99"/>
    <w:unhideWhenUsed/>
    <w:rsid w:val="00CD028B"/>
    <w:pPr>
      <w:spacing w:line="240" w:lineRule="auto"/>
      <w:ind w:firstLine="720"/>
      <w:jc w:val="both"/>
    </w:pPr>
    <w:rPr>
      <w:rFonts w:eastAsiaTheme="minorEastAsia" w:cstheme="minorBidi"/>
      <w:sz w:val="20"/>
      <w:szCs w:val="20"/>
      <w:lang w:eastAsia="en-US"/>
    </w:rPr>
  </w:style>
  <w:style w:type="character" w:customStyle="1" w:styleId="CommentTextChar">
    <w:name w:val="Comment Text Char"/>
    <w:basedOn w:val="DefaultParagraphFont"/>
    <w:link w:val="CommentText"/>
    <w:uiPriority w:val="99"/>
    <w:rsid w:val="00CD028B"/>
    <w:rPr>
      <w:rFonts w:eastAsiaTheme="minorEastAsia" w:cstheme="minorBidi"/>
      <w:lang w:eastAsia="en-US"/>
    </w:rPr>
  </w:style>
  <w:style w:type="paragraph" w:styleId="CommentSubject">
    <w:name w:val="annotation subject"/>
    <w:basedOn w:val="CommentText"/>
    <w:next w:val="CommentText"/>
    <w:link w:val="CommentSubjectChar"/>
    <w:rsid w:val="000C211F"/>
    <w:pPr>
      <w:ind w:firstLine="0"/>
      <w:jc w:val="left"/>
    </w:pPr>
    <w:rPr>
      <w:rFonts w:eastAsia="Times New Roman" w:cs="Times New Roman"/>
      <w:b/>
      <w:bCs/>
      <w:lang w:eastAsia="en-GB"/>
    </w:rPr>
  </w:style>
  <w:style w:type="character" w:customStyle="1" w:styleId="CommentSubjectChar">
    <w:name w:val="Comment Subject Char"/>
    <w:basedOn w:val="CommentTextChar"/>
    <w:link w:val="CommentSubject"/>
    <w:rsid w:val="000C211F"/>
    <w:rPr>
      <w:rFonts w:eastAsiaTheme="minorEastAsia" w:cstheme="minorBidi"/>
      <w:b/>
      <w:bCs/>
      <w:lang w:eastAsia="en-US"/>
    </w:rPr>
  </w:style>
  <w:style w:type="character" w:styleId="Hyperlink">
    <w:name w:val="Hyperlink"/>
    <w:basedOn w:val="DefaultParagraphFont"/>
    <w:uiPriority w:val="99"/>
    <w:unhideWhenUsed/>
    <w:rsid w:val="00FF6C3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annotation text" w:uiPriority="99"/>
    <w:lsdException w:name="caption" w:uiPriority="35" w:qFormat="1"/>
    <w:lsdException w:name="annotation reference" w:uiPriority="99"/>
    <w:lsdException w:name="Hyperlink" w:uiPriority="99"/>
    <w:lsdException w:name="Normal (Web)" w:uiPriority="99"/>
    <w:lsdException w:name="Table Grid" w:uiPriority="59"/>
    <w:lsdException w:name="List Paragraph" w:uiPriority="34" w:qFormat="1"/>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customStyle="1" w:styleId="gt-baf-back">
    <w:name w:val="gt-baf-back"/>
    <w:basedOn w:val="DefaultParagraphFont"/>
    <w:rsid w:val="002177AF"/>
  </w:style>
  <w:style w:type="paragraph" w:styleId="NormalWeb">
    <w:name w:val="Normal (Web)"/>
    <w:basedOn w:val="Normal"/>
    <w:uiPriority w:val="99"/>
    <w:unhideWhenUsed/>
    <w:rsid w:val="003E33C9"/>
    <w:pPr>
      <w:spacing w:before="100" w:beforeAutospacing="1" w:after="100" w:afterAutospacing="1" w:line="240" w:lineRule="auto"/>
    </w:pPr>
    <w:rPr>
      <w:rFonts w:eastAsiaTheme="minorEastAsia"/>
    </w:rPr>
  </w:style>
  <w:style w:type="paragraph" w:styleId="Caption">
    <w:name w:val="caption"/>
    <w:aliases w:val="Table"/>
    <w:basedOn w:val="Normal"/>
    <w:next w:val="Normal"/>
    <w:uiPriority w:val="35"/>
    <w:unhideWhenUsed/>
    <w:qFormat/>
    <w:rsid w:val="00073405"/>
    <w:pPr>
      <w:spacing w:after="200" w:line="240" w:lineRule="auto"/>
      <w:jc w:val="both"/>
    </w:pPr>
    <w:rPr>
      <w:rFonts w:eastAsiaTheme="minorEastAsia" w:cstheme="minorBidi"/>
      <w:bCs/>
      <w:sz w:val="18"/>
      <w:szCs w:val="18"/>
      <w:lang w:eastAsia="en-US"/>
    </w:rPr>
  </w:style>
  <w:style w:type="paragraph" w:styleId="ListParagraph">
    <w:name w:val="List Paragraph"/>
    <w:basedOn w:val="Normal"/>
    <w:uiPriority w:val="34"/>
    <w:qFormat/>
    <w:rsid w:val="005E20C3"/>
    <w:pPr>
      <w:spacing w:line="240" w:lineRule="auto"/>
      <w:ind w:left="720" w:firstLine="720"/>
      <w:contextualSpacing/>
      <w:jc w:val="both"/>
    </w:pPr>
    <w:rPr>
      <w:rFonts w:eastAsiaTheme="minorEastAsia" w:cstheme="minorBidi"/>
      <w:sz w:val="20"/>
      <w:lang w:eastAsia="en-US"/>
    </w:rPr>
  </w:style>
  <w:style w:type="table" w:styleId="TableGrid">
    <w:name w:val="Table Grid"/>
    <w:basedOn w:val="TableNormal"/>
    <w:uiPriority w:val="59"/>
    <w:rsid w:val="005E20C3"/>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E20C3"/>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5E20C3"/>
    <w:rPr>
      <w:rFonts w:ascii="Tahoma" w:hAnsi="Tahoma" w:cs="Tahoma"/>
      <w:sz w:val="16"/>
      <w:szCs w:val="16"/>
    </w:rPr>
  </w:style>
  <w:style w:type="character" w:styleId="CommentReference">
    <w:name w:val="annotation reference"/>
    <w:basedOn w:val="DefaultParagraphFont"/>
    <w:uiPriority w:val="99"/>
    <w:unhideWhenUsed/>
    <w:rsid w:val="00CD028B"/>
    <w:rPr>
      <w:sz w:val="16"/>
      <w:szCs w:val="16"/>
    </w:rPr>
  </w:style>
  <w:style w:type="paragraph" w:styleId="CommentText">
    <w:name w:val="annotation text"/>
    <w:basedOn w:val="Normal"/>
    <w:link w:val="CommentTextChar"/>
    <w:uiPriority w:val="99"/>
    <w:unhideWhenUsed/>
    <w:rsid w:val="00CD028B"/>
    <w:pPr>
      <w:spacing w:line="240" w:lineRule="auto"/>
      <w:ind w:firstLine="720"/>
      <w:jc w:val="both"/>
    </w:pPr>
    <w:rPr>
      <w:rFonts w:eastAsiaTheme="minorEastAsia" w:cstheme="minorBidi"/>
      <w:sz w:val="20"/>
      <w:szCs w:val="20"/>
      <w:lang w:eastAsia="en-US"/>
    </w:rPr>
  </w:style>
  <w:style w:type="character" w:customStyle="1" w:styleId="CommentTextChar">
    <w:name w:val="Comment Text Char"/>
    <w:basedOn w:val="DefaultParagraphFont"/>
    <w:link w:val="CommentText"/>
    <w:uiPriority w:val="99"/>
    <w:rsid w:val="00CD028B"/>
    <w:rPr>
      <w:rFonts w:eastAsiaTheme="minorEastAsia" w:cstheme="minorBidi"/>
      <w:lang w:eastAsia="en-US"/>
    </w:rPr>
  </w:style>
  <w:style w:type="paragraph" w:styleId="CommentSubject">
    <w:name w:val="annotation subject"/>
    <w:basedOn w:val="CommentText"/>
    <w:next w:val="CommentText"/>
    <w:link w:val="CommentSubjectChar"/>
    <w:rsid w:val="000C211F"/>
    <w:pPr>
      <w:ind w:firstLine="0"/>
      <w:jc w:val="left"/>
    </w:pPr>
    <w:rPr>
      <w:rFonts w:eastAsia="Times New Roman" w:cs="Times New Roman"/>
      <w:b/>
      <w:bCs/>
      <w:lang w:eastAsia="en-GB"/>
    </w:rPr>
  </w:style>
  <w:style w:type="character" w:customStyle="1" w:styleId="CommentSubjectChar">
    <w:name w:val="Comment Subject Char"/>
    <w:basedOn w:val="CommentTextChar"/>
    <w:link w:val="CommentSubject"/>
    <w:rsid w:val="000C211F"/>
    <w:rPr>
      <w:rFonts w:eastAsiaTheme="minorEastAsia" w:cstheme="minorBidi"/>
      <w:b/>
      <w:bCs/>
      <w:lang w:eastAsia="en-US"/>
    </w:rPr>
  </w:style>
  <w:style w:type="character" w:styleId="Hyperlink">
    <w:name w:val="Hyperlink"/>
    <w:basedOn w:val="DefaultParagraphFont"/>
    <w:uiPriority w:val="99"/>
    <w:unhideWhenUsed/>
    <w:rsid w:val="00FF6C3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470662">
      <w:bodyDiv w:val="1"/>
      <w:marLeft w:val="0"/>
      <w:marRight w:val="0"/>
      <w:marTop w:val="0"/>
      <w:marBottom w:val="0"/>
      <w:divBdr>
        <w:top w:val="none" w:sz="0" w:space="0" w:color="auto"/>
        <w:left w:val="none" w:sz="0" w:space="0" w:color="auto"/>
        <w:bottom w:val="none" w:sz="0" w:space="0" w:color="auto"/>
        <w:right w:val="none" w:sz="0" w:space="0" w:color="auto"/>
      </w:divBdr>
    </w:div>
    <w:div w:id="406389812">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1223061770">
      <w:bodyDiv w:val="1"/>
      <w:marLeft w:val="0"/>
      <w:marRight w:val="0"/>
      <w:marTop w:val="0"/>
      <w:marBottom w:val="0"/>
      <w:divBdr>
        <w:top w:val="none" w:sz="0" w:space="0" w:color="auto"/>
        <w:left w:val="none" w:sz="0" w:space="0" w:color="auto"/>
        <w:bottom w:val="none" w:sz="0" w:space="0" w:color="auto"/>
        <w:right w:val="none" w:sz="0" w:space="0" w:color="auto"/>
      </w:divBdr>
      <w:divsChild>
        <w:div w:id="1803961451">
          <w:marLeft w:val="0"/>
          <w:marRight w:val="0"/>
          <w:marTop w:val="0"/>
          <w:marBottom w:val="0"/>
          <w:divBdr>
            <w:top w:val="none" w:sz="0" w:space="0" w:color="auto"/>
            <w:left w:val="none" w:sz="0" w:space="0" w:color="auto"/>
            <w:bottom w:val="none" w:sz="0" w:space="0" w:color="auto"/>
            <w:right w:val="none" w:sz="0" w:space="0" w:color="auto"/>
          </w:divBdr>
          <w:divsChild>
            <w:div w:id="1642420915">
              <w:marLeft w:val="0"/>
              <w:marRight w:val="0"/>
              <w:marTop w:val="0"/>
              <w:marBottom w:val="0"/>
              <w:divBdr>
                <w:top w:val="none" w:sz="0" w:space="0" w:color="auto"/>
                <w:left w:val="none" w:sz="0" w:space="0" w:color="auto"/>
                <w:bottom w:val="none" w:sz="0" w:space="0" w:color="auto"/>
                <w:right w:val="none" w:sz="0" w:space="0" w:color="auto"/>
              </w:divBdr>
              <w:divsChild>
                <w:div w:id="1888300752">
                  <w:marLeft w:val="0"/>
                  <w:marRight w:val="0"/>
                  <w:marTop w:val="0"/>
                  <w:marBottom w:val="0"/>
                  <w:divBdr>
                    <w:top w:val="none" w:sz="0" w:space="0" w:color="auto"/>
                    <w:left w:val="none" w:sz="0" w:space="0" w:color="auto"/>
                    <w:bottom w:val="none" w:sz="0" w:space="0" w:color="auto"/>
                    <w:right w:val="none" w:sz="0" w:space="0" w:color="auto"/>
                  </w:divBdr>
                  <w:divsChild>
                    <w:div w:id="671228358">
                      <w:marLeft w:val="0"/>
                      <w:marRight w:val="0"/>
                      <w:marTop w:val="0"/>
                      <w:marBottom w:val="0"/>
                      <w:divBdr>
                        <w:top w:val="none" w:sz="0" w:space="0" w:color="auto"/>
                        <w:left w:val="none" w:sz="0" w:space="0" w:color="auto"/>
                        <w:bottom w:val="none" w:sz="0" w:space="0" w:color="auto"/>
                        <w:right w:val="none" w:sz="0" w:space="0" w:color="auto"/>
                      </w:divBdr>
                      <w:divsChild>
                        <w:div w:id="1510217143">
                          <w:marLeft w:val="0"/>
                          <w:marRight w:val="0"/>
                          <w:marTop w:val="0"/>
                          <w:marBottom w:val="0"/>
                          <w:divBdr>
                            <w:top w:val="none" w:sz="0" w:space="0" w:color="auto"/>
                            <w:left w:val="none" w:sz="0" w:space="0" w:color="auto"/>
                            <w:bottom w:val="none" w:sz="0" w:space="0" w:color="auto"/>
                            <w:right w:val="none" w:sz="0" w:space="0" w:color="auto"/>
                          </w:divBdr>
                          <w:divsChild>
                            <w:div w:id="354313412">
                              <w:marLeft w:val="0"/>
                              <w:marRight w:val="0"/>
                              <w:marTop w:val="0"/>
                              <w:marBottom w:val="0"/>
                              <w:divBdr>
                                <w:top w:val="none" w:sz="0" w:space="0" w:color="auto"/>
                                <w:left w:val="none" w:sz="0" w:space="0" w:color="auto"/>
                                <w:bottom w:val="none" w:sz="0" w:space="0" w:color="auto"/>
                                <w:right w:val="none" w:sz="0" w:space="0" w:color="auto"/>
                              </w:divBdr>
                              <w:divsChild>
                                <w:div w:id="1297566715">
                                  <w:marLeft w:val="0"/>
                                  <w:marRight w:val="0"/>
                                  <w:marTop w:val="0"/>
                                  <w:marBottom w:val="0"/>
                                  <w:divBdr>
                                    <w:top w:val="none" w:sz="0" w:space="0" w:color="auto"/>
                                    <w:left w:val="none" w:sz="0" w:space="0" w:color="auto"/>
                                    <w:bottom w:val="none" w:sz="0" w:space="0" w:color="auto"/>
                                    <w:right w:val="none" w:sz="0" w:space="0" w:color="auto"/>
                                  </w:divBdr>
                                  <w:divsChild>
                                    <w:div w:id="1675838946">
                                      <w:marLeft w:val="0"/>
                                      <w:marRight w:val="0"/>
                                      <w:marTop w:val="0"/>
                                      <w:marBottom w:val="0"/>
                                      <w:divBdr>
                                        <w:top w:val="none" w:sz="0" w:space="0" w:color="auto"/>
                                        <w:left w:val="none" w:sz="0" w:space="0" w:color="auto"/>
                                        <w:bottom w:val="none" w:sz="0" w:space="0" w:color="auto"/>
                                        <w:right w:val="none" w:sz="0" w:space="0" w:color="auto"/>
                                      </w:divBdr>
                                      <w:divsChild>
                                        <w:div w:id="831339307">
                                          <w:marLeft w:val="0"/>
                                          <w:marRight w:val="0"/>
                                          <w:marTop w:val="0"/>
                                          <w:marBottom w:val="0"/>
                                          <w:divBdr>
                                            <w:top w:val="none" w:sz="0" w:space="0" w:color="auto"/>
                                            <w:left w:val="none" w:sz="0" w:space="0" w:color="auto"/>
                                            <w:bottom w:val="none" w:sz="0" w:space="0" w:color="auto"/>
                                            <w:right w:val="none" w:sz="0" w:space="0" w:color="auto"/>
                                          </w:divBdr>
                                          <w:divsChild>
                                            <w:div w:id="1633435778">
                                              <w:marLeft w:val="0"/>
                                              <w:marRight w:val="0"/>
                                              <w:marTop w:val="0"/>
                                              <w:marBottom w:val="0"/>
                                              <w:divBdr>
                                                <w:top w:val="none" w:sz="0" w:space="0" w:color="auto"/>
                                                <w:left w:val="none" w:sz="0" w:space="0" w:color="auto"/>
                                                <w:bottom w:val="none" w:sz="0" w:space="0" w:color="auto"/>
                                                <w:right w:val="none" w:sz="0" w:space="0" w:color="auto"/>
                                              </w:divBdr>
                                              <w:divsChild>
                                                <w:div w:id="351415268">
                                                  <w:marLeft w:val="0"/>
                                                  <w:marRight w:val="0"/>
                                                  <w:marTop w:val="0"/>
                                                  <w:marBottom w:val="0"/>
                                                  <w:divBdr>
                                                    <w:top w:val="none" w:sz="0" w:space="0" w:color="auto"/>
                                                    <w:left w:val="none" w:sz="0" w:space="0" w:color="auto"/>
                                                    <w:bottom w:val="none" w:sz="0" w:space="0" w:color="auto"/>
                                                    <w:right w:val="none" w:sz="0" w:space="0" w:color="auto"/>
                                                  </w:divBdr>
                                                  <w:divsChild>
                                                    <w:div w:id="1185246787">
                                                      <w:marLeft w:val="0"/>
                                                      <w:marRight w:val="0"/>
                                                      <w:marTop w:val="0"/>
                                                      <w:marBottom w:val="0"/>
                                                      <w:divBdr>
                                                        <w:top w:val="none" w:sz="0" w:space="0" w:color="auto"/>
                                                        <w:left w:val="none" w:sz="0" w:space="0" w:color="auto"/>
                                                        <w:bottom w:val="none" w:sz="0" w:space="0" w:color="auto"/>
                                                        <w:right w:val="none" w:sz="0" w:space="0" w:color="auto"/>
                                                      </w:divBdr>
                                                      <w:divsChild>
                                                        <w:div w:id="1198588115">
                                                          <w:marLeft w:val="0"/>
                                                          <w:marRight w:val="0"/>
                                                          <w:marTop w:val="0"/>
                                                          <w:marBottom w:val="0"/>
                                                          <w:divBdr>
                                                            <w:top w:val="none" w:sz="0" w:space="0" w:color="auto"/>
                                                            <w:left w:val="none" w:sz="0" w:space="0" w:color="auto"/>
                                                            <w:bottom w:val="none" w:sz="0" w:space="0" w:color="auto"/>
                                                            <w:right w:val="none" w:sz="0" w:space="0" w:color="auto"/>
                                                          </w:divBdr>
                                                          <w:divsChild>
                                                            <w:div w:id="1765613684">
                                                              <w:marLeft w:val="0"/>
                                                              <w:marRight w:val="0"/>
                                                              <w:marTop w:val="0"/>
                                                              <w:marBottom w:val="0"/>
                                                              <w:divBdr>
                                                                <w:top w:val="none" w:sz="0" w:space="0" w:color="auto"/>
                                                                <w:left w:val="none" w:sz="0" w:space="0" w:color="auto"/>
                                                                <w:bottom w:val="none" w:sz="0" w:space="0" w:color="auto"/>
                                                                <w:right w:val="none" w:sz="0" w:space="0" w:color="auto"/>
                                                              </w:divBdr>
                                                              <w:divsChild>
                                                                <w:div w:id="1736394689">
                                                                  <w:marLeft w:val="0"/>
                                                                  <w:marRight w:val="0"/>
                                                                  <w:marTop w:val="0"/>
                                                                  <w:marBottom w:val="0"/>
                                                                  <w:divBdr>
                                                                    <w:top w:val="none" w:sz="0" w:space="0" w:color="auto"/>
                                                                    <w:left w:val="none" w:sz="0" w:space="0" w:color="auto"/>
                                                                    <w:bottom w:val="none" w:sz="0" w:space="0" w:color="auto"/>
                                                                    <w:right w:val="none" w:sz="0" w:space="0" w:color="auto"/>
                                                                  </w:divBdr>
                                                                  <w:divsChild>
                                                                    <w:div w:id="2126265837">
                                                                      <w:marLeft w:val="0"/>
                                                                      <w:marRight w:val="0"/>
                                                                      <w:marTop w:val="0"/>
                                                                      <w:marBottom w:val="0"/>
                                                                      <w:divBdr>
                                                                        <w:top w:val="none" w:sz="0" w:space="0" w:color="auto"/>
                                                                        <w:left w:val="none" w:sz="0" w:space="0" w:color="auto"/>
                                                                        <w:bottom w:val="none" w:sz="0" w:space="0" w:color="auto"/>
                                                                        <w:right w:val="none" w:sz="0" w:space="0" w:color="auto"/>
                                                                      </w:divBdr>
                                                                      <w:divsChild>
                                                                        <w:div w:id="643318599">
                                                                          <w:marLeft w:val="0"/>
                                                                          <w:marRight w:val="0"/>
                                                                          <w:marTop w:val="0"/>
                                                                          <w:marBottom w:val="0"/>
                                                                          <w:divBdr>
                                                                            <w:top w:val="none" w:sz="0" w:space="0" w:color="auto"/>
                                                                            <w:left w:val="none" w:sz="0" w:space="0" w:color="auto"/>
                                                                            <w:bottom w:val="none" w:sz="0" w:space="0" w:color="auto"/>
                                                                            <w:right w:val="none" w:sz="0" w:space="0" w:color="auto"/>
                                                                          </w:divBdr>
                                                                          <w:divsChild>
                                                                            <w:div w:id="1632050141">
                                                                              <w:marLeft w:val="0"/>
                                                                              <w:marRight w:val="0"/>
                                                                              <w:marTop w:val="0"/>
                                                                              <w:marBottom w:val="0"/>
                                                                              <w:divBdr>
                                                                                <w:top w:val="none" w:sz="0" w:space="0" w:color="auto"/>
                                                                                <w:left w:val="none" w:sz="0" w:space="0" w:color="auto"/>
                                                                                <w:bottom w:val="none" w:sz="0" w:space="0" w:color="auto"/>
                                                                                <w:right w:val="none" w:sz="0" w:space="0" w:color="auto"/>
                                                                              </w:divBdr>
                                                                              <w:divsChild>
                                                                                <w:div w:id="782112904">
                                                                                  <w:marLeft w:val="0"/>
                                                                                  <w:marRight w:val="0"/>
                                                                                  <w:marTop w:val="0"/>
                                                                                  <w:marBottom w:val="0"/>
                                                                                  <w:divBdr>
                                                                                    <w:top w:val="none" w:sz="0" w:space="0" w:color="auto"/>
                                                                                    <w:left w:val="none" w:sz="0" w:space="0" w:color="auto"/>
                                                                                    <w:bottom w:val="none" w:sz="0" w:space="0" w:color="auto"/>
                                                                                    <w:right w:val="none" w:sz="0" w:space="0" w:color="auto"/>
                                                                                  </w:divBdr>
                                                                                  <w:divsChild>
                                                                                    <w:div w:id="1288661425">
                                                                                      <w:marLeft w:val="0"/>
                                                                                      <w:marRight w:val="0"/>
                                                                                      <w:marTop w:val="0"/>
                                                                                      <w:marBottom w:val="0"/>
                                                                                      <w:divBdr>
                                                                                        <w:top w:val="none" w:sz="0" w:space="0" w:color="auto"/>
                                                                                        <w:left w:val="none" w:sz="0" w:space="0" w:color="auto"/>
                                                                                        <w:bottom w:val="none" w:sz="0" w:space="0" w:color="auto"/>
                                                                                        <w:right w:val="none" w:sz="0" w:space="0" w:color="auto"/>
                                                                                      </w:divBdr>
                                                                                      <w:divsChild>
                                                                                        <w:div w:id="449517827">
                                                                                          <w:marLeft w:val="0"/>
                                                                                          <w:marRight w:val="0"/>
                                                                                          <w:marTop w:val="0"/>
                                                                                          <w:marBottom w:val="0"/>
                                                                                          <w:divBdr>
                                                                                            <w:top w:val="none" w:sz="0" w:space="0" w:color="auto"/>
                                                                                            <w:left w:val="none" w:sz="0" w:space="0" w:color="auto"/>
                                                                                            <w:bottom w:val="none" w:sz="0" w:space="0" w:color="auto"/>
                                                                                            <w:right w:val="none" w:sz="0" w:space="0" w:color="auto"/>
                                                                                          </w:divBdr>
                                                                                          <w:divsChild>
                                                                                            <w:div w:id="746345890">
                                                                                              <w:marLeft w:val="0"/>
                                                                                              <w:marRight w:val="0"/>
                                                                                              <w:marTop w:val="0"/>
                                                                                              <w:marBottom w:val="0"/>
                                                                                              <w:divBdr>
                                                                                                <w:top w:val="none" w:sz="0" w:space="0" w:color="auto"/>
                                                                                                <w:left w:val="none" w:sz="0" w:space="0" w:color="auto"/>
                                                                                                <w:bottom w:val="none" w:sz="0" w:space="0" w:color="auto"/>
                                                                                                <w:right w:val="none" w:sz="0" w:space="0" w:color="auto"/>
                                                                                              </w:divBdr>
                                                                                              <w:divsChild>
                                                                                                <w:div w:id="1978224503">
                                                                                                  <w:marLeft w:val="0"/>
                                                                                                  <w:marRight w:val="0"/>
                                                                                                  <w:marTop w:val="0"/>
                                                                                                  <w:marBottom w:val="0"/>
                                                                                                  <w:divBdr>
                                                                                                    <w:top w:val="none" w:sz="0" w:space="0" w:color="auto"/>
                                                                                                    <w:left w:val="none" w:sz="0" w:space="0" w:color="auto"/>
                                                                                                    <w:bottom w:val="none" w:sz="0" w:space="0" w:color="auto"/>
                                                                                                    <w:right w:val="none" w:sz="0" w:space="0" w:color="auto"/>
                                                                                                  </w:divBdr>
                                                                                                  <w:divsChild>
                                                                                                    <w:div w:id="1202551273">
                                                                                                      <w:marLeft w:val="0"/>
                                                                                                      <w:marRight w:val="0"/>
                                                                                                      <w:marTop w:val="0"/>
                                                                                                      <w:marBottom w:val="0"/>
                                                                                                      <w:divBdr>
                                                                                                        <w:top w:val="none" w:sz="0" w:space="0" w:color="auto"/>
                                                                                                        <w:left w:val="none" w:sz="0" w:space="0" w:color="auto"/>
                                                                                                        <w:bottom w:val="none" w:sz="0" w:space="0" w:color="auto"/>
                                                                                                        <w:right w:val="none" w:sz="0" w:space="0" w:color="auto"/>
                                                                                                      </w:divBdr>
                                                                                                      <w:divsChild>
                                                                                                        <w:div w:id="600341101">
                                                                                                          <w:marLeft w:val="0"/>
                                                                                                          <w:marRight w:val="0"/>
                                                                                                          <w:marTop w:val="0"/>
                                                                                                          <w:marBottom w:val="0"/>
                                                                                                          <w:divBdr>
                                                                                                            <w:top w:val="none" w:sz="0" w:space="0" w:color="auto"/>
                                                                                                            <w:left w:val="none" w:sz="0" w:space="0" w:color="auto"/>
                                                                                                            <w:bottom w:val="none" w:sz="0" w:space="0" w:color="auto"/>
                                                                                                            <w:right w:val="none" w:sz="0" w:space="0" w:color="auto"/>
                                                                                                          </w:divBdr>
                                                                                                          <w:divsChild>
                                                                                                            <w:div w:id="1552418235">
                                                                                                              <w:marLeft w:val="0"/>
                                                                                                              <w:marRight w:val="0"/>
                                                                                                              <w:marTop w:val="0"/>
                                                                                                              <w:marBottom w:val="0"/>
                                                                                                              <w:divBdr>
                                                                                                                <w:top w:val="none" w:sz="0" w:space="0" w:color="auto"/>
                                                                                                                <w:left w:val="none" w:sz="0" w:space="0" w:color="auto"/>
                                                                                                                <w:bottom w:val="none" w:sz="0" w:space="0" w:color="auto"/>
                                                                                                                <w:right w:val="none" w:sz="0" w:space="0" w:color="auto"/>
                                                                                                              </w:divBdr>
                                                                                                              <w:divsChild>
                                                                                                                <w:div w:id="877203917">
                                                                                                                  <w:marLeft w:val="0"/>
                                                                                                                  <w:marRight w:val="0"/>
                                                                                                                  <w:marTop w:val="0"/>
                                                                                                                  <w:marBottom w:val="0"/>
                                                                                                                  <w:divBdr>
                                                                                                                    <w:top w:val="none" w:sz="0" w:space="0" w:color="auto"/>
                                                                                                                    <w:left w:val="none" w:sz="0" w:space="0" w:color="auto"/>
                                                                                                                    <w:bottom w:val="none" w:sz="0" w:space="0" w:color="auto"/>
                                                                                                                    <w:right w:val="none" w:sz="0" w:space="0" w:color="auto"/>
                                                                                                                  </w:divBdr>
                                                                                                                  <w:divsChild>
                                                                                                                    <w:div w:id="985355135">
                                                                                                                      <w:marLeft w:val="0"/>
                                                                                                                      <w:marRight w:val="0"/>
                                                                                                                      <w:marTop w:val="0"/>
                                                                                                                      <w:marBottom w:val="0"/>
                                                                                                                      <w:divBdr>
                                                                                                                        <w:top w:val="none" w:sz="0" w:space="0" w:color="auto"/>
                                                                                                                        <w:left w:val="none" w:sz="0" w:space="0" w:color="auto"/>
                                                                                                                        <w:bottom w:val="none" w:sz="0" w:space="0" w:color="auto"/>
                                                                                                                        <w:right w:val="none" w:sz="0" w:space="0" w:color="auto"/>
                                                                                                                      </w:divBdr>
                                                                                                                      <w:divsChild>
                                                                                                                        <w:div w:id="951518416">
                                                                                                                          <w:marLeft w:val="0"/>
                                                                                                                          <w:marRight w:val="0"/>
                                                                                                                          <w:marTop w:val="0"/>
                                                                                                                          <w:marBottom w:val="0"/>
                                                                                                                          <w:divBdr>
                                                                                                                            <w:top w:val="none" w:sz="0" w:space="0" w:color="auto"/>
                                                                                                                            <w:left w:val="none" w:sz="0" w:space="0" w:color="auto"/>
                                                                                                                            <w:bottom w:val="none" w:sz="0" w:space="0" w:color="auto"/>
                                                                                                                            <w:right w:val="none" w:sz="0" w:space="0" w:color="auto"/>
                                                                                                                          </w:divBdr>
                                                                                                                          <w:divsChild>
                                                                                                                            <w:div w:id="1265528693">
                                                                                                                              <w:marLeft w:val="0"/>
                                                                                                                              <w:marRight w:val="0"/>
                                                                                                                              <w:marTop w:val="0"/>
                                                                                                                              <w:marBottom w:val="0"/>
                                                                                                                              <w:divBdr>
                                                                                                                                <w:top w:val="none" w:sz="0" w:space="0" w:color="auto"/>
                                                                                                                                <w:left w:val="none" w:sz="0" w:space="0" w:color="auto"/>
                                                                                                                                <w:bottom w:val="none" w:sz="0" w:space="0" w:color="auto"/>
                                                                                                                                <w:right w:val="none" w:sz="0" w:space="0" w:color="auto"/>
                                                                                                                              </w:divBdr>
                                                                                                                              <w:divsChild>
                                                                                                                                <w:div w:id="1501965819">
                                                                                                                                  <w:marLeft w:val="0"/>
                                                                                                                                  <w:marRight w:val="0"/>
                                                                                                                                  <w:marTop w:val="0"/>
                                                                                                                                  <w:marBottom w:val="0"/>
                                                                                                                                  <w:divBdr>
                                                                                                                                    <w:top w:val="none" w:sz="0" w:space="0" w:color="auto"/>
                                                                                                                                    <w:left w:val="none" w:sz="0" w:space="0" w:color="auto"/>
                                                                                                                                    <w:bottom w:val="none" w:sz="0" w:space="0" w:color="auto"/>
                                                                                                                                    <w:right w:val="none" w:sz="0" w:space="0" w:color="auto"/>
                                                                                                                                  </w:divBdr>
                                                                                                                                  <w:divsChild>
                                                                                                                                    <w:div w:id="673921481">
                                                                                                                                      <w:marLeft w:val="0"/>
                                                                                                                                      <w:marRight w:val="0"/>
                                                                                                                                      <w:marTop w:val="0"/>
                                                                                                                                      <w:marBottom w:val="0"/>
                                                                                                                                      <w:divBdr>
                                                                                                                                        <w:top w:val="none" w:sz="0" w:space="0" w:color="auto"/>
                                                                                                                                        <w:left w:val="none" w:sz="0" w:space="0" w:color="auto"/>
                                                                                                                                        <w:bottom w:val="none" w:sz="0" w:space="0" w:color="auto"/>
                                                                                                                                        <w:right w:val="none" w:sz="0" w:space="0" w:color="auto"/>
                                                                                                                                      </w:divBdr>
                                                                                                                                      <w:divsChild>
                                                                                                                                        <w:div w:id="1830512952">
                                                                                                                                          <w:marLeft w:val="0"/>
                                                                                                                                          <w:marRight w:val="0"/>
                                                                                                                                          <w:marTop w:val="0"/>
                                                                                                                                          <w:marBottom w:val="0"/>
                                                                                                                                          <w:divBdr>
                                                                                                                                            <w:top w:val="none" w:sz="0" w:space="0" w:color="auto"/>
                                                                                                                                            <w:left w:val="none" w:sz="0" w:space="0" w:color="auto"/>
                                                                                                                                            <w:bottom w:val="none" w:sz="0" w:space="0" w:color="auto"/>
                                                                                                                                            <w:right w:val="none" w:sz="0" w:space="0" w:color="auto"/>
                                                                                                                                          </w:divBdr>
                                                                                                                                          <w:divsChild>
                                                                                                                                            <w:div w:id="517962253">
                                                                                                                                              <w:marLeft w:val="0"/>
                                                                                                                                              <w:marRight w:val="0"/>
                                                                                                                                              <w:marTop w:val="0"/>
                                                                                                                                              <w:marBottom w:val="0"/>
                                                                                                                                              <w:divBdr>
                                                                                                                                                <w:top w:val="none" w:sz="0" w:space="0" w:color="auto"/>
                                                                                                                                                <w:left w:val="none" w:sz="0" w:space="0" w:color="auto"/>
                                                                                                                                                <w:bottom w:val="none" w:sz="0" w:space="0" w:color="auto"/>
                                                                                                                                                <w:right w:val="none" w:sz="0" w:space="0" w:color="auto"/>
                                                                                                                                              </w:divBdr>
                                                                                                                                              <w:divsChild>
                                                                                                                                                <w:div w:id="1098913768">
                                                                                                                                                  <w:marLeft w:val="0"/>
                                                                                                                                                  <w:marRight w:val="0"/>
                                                                                                                                                  <w:marTop w:val="0"/>
                                                                                                                                                  <w:marBottom w:val="0"/>
                                                                                                                                                  <w:divBdr>
                                                                                                                                                    <w:top w:val="none" w:sz="0" w:space="0" w:color="auto"/>
                                                                                                                                                    <w:left w:val="none" w:sz="0" w:space="0" w:color="auto"/>
                                                                                                                                                    <w:bottom w:val="none" w:sz="0" w:space="0" w:color="auto"/>
                                                                                                                                                    <w:right w:val="none" w:sz="0" w:space="0" w:color="auto"/>
                                                                                                                                                  </w:divBdr>
                                                                                                                                                  <w:divsChild>
                                                                                                                                                    <w:div w:id="366834915">
                                                                                                                                                      <w:marLeft w:val="0"/>
                                                                                                                                                      <w:marRight w:val="0"/>
                                                                                                                                                      <w:marTop w:val="0"/>
                                                                                                                                                      <w:marBottom w:val="0"/>
                                                                                                                                                      <w:divBdr>
                                                                                                                                                        <w:top w:val="none" w:sz="0" w:space="0" w:color="auto"/>
                                                                                                                                                        <w:left w:val="none" w:sz="0" w:space="0" w:color="auto"/>
                                                                                                                                                        <w:bottom w:val="none" w:sz="0" w:space="0" w:color="auto"/>
                                                                                                                                                        <w:right w:val="none" w:sz="0" w:space="0" w:color="auto"/>
                                                                                                                                                      </w:divBdr>
                                                                                                                                                      <w:divsChild>
                                                                                                                                                        <w:div w:id="1746144406">
                                                                                                                                                          <w:marLeft w:val="0"/>
                                                                                                                                                          <w:marRight w:val="0"/>
                                                                                                                                                          <w:marTop w:val="0"/>
                                                                                                                                                          <w:marBottom w:val="0"/>
                                                                                                                                                          <w:divBdr>
                                                                                                                                                            <w:top w:val="none" w:sz="0" w:space="0" w:color="auto"/>
                                                                                                                                                            <w:left w:val="none" w:sz="0" w:space="0" w:color="auto"/>
                                                                                                                                                            <w:bottom w:val="none" w:sz="0" w:space="0" w:color="auto"/>
                                                                                                                                                            <w:right w:val="none" w:sz="0" w:space="0" w:color="auto"/>
                                                                                                                                                          </w:divBdr>
                                                                                                                                                          <w:divsChild>
                                                                                                                                                            <w:div w:id="1803648931">
                                                                                                                                                              <w:marLeft w:val="0"/>
                                                                                                                                                              <w:marRight w:val="0"/>
                                                                                                                                                              <w:marTop w:val="0"/>
                                                                                                                                                              <w:marBottom w:val="0"/>
                                                                                                                                                              <w:divBdr>
                                                                                                                                                                <w:top w:val="none" w:sz="0" w:space="0" w:color="auto"/>
                                                                                                                                                                <w:left w:val="none" w:sz="0" w:space="0" w:color="auto"/>
                                                                                                                                                                <w:bottom w:val="none" w:sz="0" w:space="0" w:color="auto"/>
                                                                                                                                                                <w:right w:val="none" w:sz="0" w:space="0" w:color="auto"/>
                                                                                                                                                              </w:divBdr>
                                                                                                                                                              <w:divsChild>
                                                                                                                                                                <w:div w:id="436559339">
                                                                                                                                                                  <w:marLeft w:val="0"/>
                                                                                                                                                                  <w:marRight w:val="0"/>
                                                                                                                                                                  <w:marTop w:val="0"/>
                                                                                                                                                                  <w:marBottom w:val="0"/>
                                                                                                                                                                  <w:divBdr>
                                                                                                                                                                    <w:top w:val="none" w:sz="0" w:space="0" w:color="auto"/>
                                                                                                                                                                    <w:left w:val="none" w:sz="0" w:space="0" w:color="auto"/>
                                                                                                                                                                    <w:bottom w:val="none" w:sz="0" w:space="0" w:color="auto"/>
                                                                                                                                                                    <w:right w:val="none" w:sz="0" w:space="0" w:color="auto"/>
                                                                                                                                                                  </w:divBdr>
                                                                                                                                                                  <w:divsChild>
                                                                                                                                                                    <w:div w:id="619189464">
                                                                                                                                                                      <w:marLeft w:val="0"/>
                                                                                                                                                                      <w:marRight w:val="0"/>
                                                                                                                                                                      <w:marTop w:val="0"/>
                                                                                                                                                                      <w:marBottom w:val="0"/>
                                                                                                                                                                      <w:divBdr>
                                                                                                                                                                        <w:top w:val="none" w:sz="0" w:space="0" w:color="auto"/>
                                                                                                                                                                        <w:left w:val="none" w:sz="0" w:space="0" w:color="auto"/>
                                                                                                                                                                        <w:bottom w:val="none" w:sz="0" w:space="0" w:color="auto"/>
                                                                                                                                                                        <w:right w:val="none" w:sz="0" w:space="0" w:color="auto"/>
                                                                                                                                                                      </w:divBdr>
                                                                                                                                                                      <w:divsChild>
                                                                                                                                                                        <w:div w:id="1931353821">
                                                                                                                                                                          <w:marLeft w:val="0"/>
                                                                                                                                                                          <w:marRight w:val="0"/>
                                                                                                                                                                          <w:marTop w:val="0"/>
                                                                                                                                                                          <w:marBottom w:val="0"/>
                                                                                                                                                                          <w:divBdr>
                                                                                                                                                                            <w:top w:val="none" w:sz="0" w:space="0" w:color="auto"/>
                                                                                                                                                                            <w:left w:val="none" w:sz="0" w:space="0" w:color="auto"/>
                                                                                                                                                                            <w:bottom w:val="none" w:sz="0" w:space="0" w:color="auto"/>
                                                                                                                                                                            <w:right w:val="none" w:sz="0" w:space="0" w:color="auto"/>
                                                                                                                                                                          </w:divBdr>
                                                                                                                                                                          <w:divsChild>
                                                                                                                                                                            <w:div w:id="747927604">
                                                                                                                                                                              <w:marLeft w:val="0"/>
                                                                                                                                                                              <w:marRight w:val="0"/>
                                                                                                                                                                              <w:marTop w:val="0"/>
                                                                                                                                                                              <w:marBottom w:val="0"/>
                                                                                                                                                                              <w:divBdr>
                                                                                                                                                                                <w:top w:val="none" w:sz="0" w:space="0" w:color="auto"/>
                                                                                                                                                                                <w:left w:val="none" w:sz="0" w:space="0" w:color="auto"/>
                                                                                                                                                                                <w:bottom w:val="none" w:sz="0" w:space="0" w:color="auto"/>
                                                                                                                                                                                <w:right w:val="none" w:sz="0" w:space="0" w:color="auto"/>
                                                                                                                                                                              </w:divBdr>
                                                                                                                                                                              <w:divsChild>
                                                                                                                                                                                <w:div w:id="1386682857">
                                                                                                                                                                                  <w:marLeft w:val="0"/>
                                                                                                                                                                                  <w:marRight w:val="0"/>
                                                                                                                                                                                  <w:marTop w:val="0"/>
                                                                                                                                                                                  <w:marBottom w:val="0"/>
                                                                                                                                                                                  <w:divBdr>
                                                                                                                                                                                    <w:top w:val="none" w:sz="0" w:space="0" w:color="auto"/>
                                                                                                                                                                                    <w:left w:val="none" w:sz="0" w:space="0" w:color="auto"/>
                                                                                                                                                                                    <w:bottom w:val="none" w:sz="0" w:space="0" w:color="auto"/>
                                                                                                                                                                                    <w:right w:val="none" w:sz="0" w:space="0" w:color="auto"/>
                                                                                                                                                                                  </w:divBdr>
                                                                                                                                                                                  <w:divsChild>
                                                                                                                                                                                    <w:div w:id="157309022">
                                                                                                                                                                                      <w:marLeft w:val="0"/>
                                                                                                                                                                                      <w:marRight w:val="0"/>
                                                                                                                                                                                      <w:marTop w:val="0"/>
                                                                                                                                                                                      <w:marBottom w:val="0"/>
                                                                                                                                                                                      <w:divBdr>
                                                                                                                                                                                        <w:top w:val="none" w:sz="0" w:space="0" w:color="auto"/>
                                                                                                                                                                                        <w:left w:val="none" w:sz="0" w:space="0" w:color="auto"/>
                                                                                                                                                                                        <w:bottom w:val="none" w:sz="0" w:space="0" w:color="auto"/>
                                                                                                                                                                                        <w:right w:val="none" w:sz="0" w:space="0" w:color="auto"/>
                                                                                                                                                                                      </w:divBdr>
                                                                                                                                                                                      <w:divsChild>
                                                                                                                                                                                        <w:div w:id="1043797161">
                                                                                                                                                                                          <w:marLeft w:val="0"/>
                                                                                                                                                                                          <w:marRight w:val="0"/>
                                                                                                                                                                                          <w:marTop w:val="0"/>
                                                                                                                                                                                          <w:marBottom w:val="0"/>
                                                                                                                                                                                          <w:divBdr>
                                                                                                                                                                                            <w:top w:val="none" w:sz="0" w:space="0" w:color="auto"/>
                                                                                                                                                                                            <w:left w:val="none" w:sz="0" w:space="0" w:color="auto"/>
                                                                                                                                                                                            <w:bottom w:val="none" w:sz="0" w:space="0" w:color="auto"/>
                                                                                                                                                                                            <w:right w:val="none" w:sz="0" w:space="0" w:color="auto"/>
                                                                                                                                                                                          </w:divBdr>
                                                                                                                                                                                          <w:divsChild>
                                                                                                                                                                                            <w:div w:id="1416437895">
                                                                                                                                                                                              <w:marLeft w:val="0"/>
                                                                                                                                                                                              <w:marRight w:val="0"/>
                                                                                                                                                                                              <w:marTop w:val="0"/>
                                                                                                                                                                                              <w:marBottom w:val="0"/>
                                                                                                                                                                                              <w:divBdr>
                                                                                                                                                                                                <w:top w:val="none" w:sz="0" w:space="0" w:color="auto"/>
                                                                                                                                                                                                <w:left w:val="none" w:sz="0" w:space="0" w:color="auto"/>
                                                                                                                                                                                                <w:bottom w:val="none" w:sz="0" w:space="0" w:color="auto"/>
                                                                                                                                                                                                <w:right w:val="none" w:sz="0" w:space="0" w:color="auto"/>
                                                                                                                                                                                              </w:divBdr>
                                                                                                                                                                                              <w:divsChild>
                                                                                                                                                                                                <w:div w:id="375004594">
                                                                                                                                                                                                  <w:marLeft w:val="0"/>
                                                                                                                                                                                                  <w:marRight w:val="0"/>
                                                                                                                                                                                                  <w:marTop w:val="0"/>
                                                                                                                                                                                                  <w:marBottom w:val="0"/>
                                                                                                                                                                                                  <w:divBdr>
                                                                                                                                                                                                    <w:top w:val="none" w:sz="0" w:space="0" w:color="auto"/>
                                                                                                                                                                                                    <w:left w:val="none" w:sz="0" w:space="0" w:color="auto"/>
                                                                                                                                                                                                    <w:bottom w:val="none" w:sz="0" w:space="0" w:color="auto"/>
                                                                                                                                                                                                    <w:right w:val="none" w:sz="0" w:space="0" w:color="auto"/>
                                                                                                                                                                                                  </w:divBdr>
                                                                                                                                                                                                  <w:divsChild>
                                                                                                                                                                                                    <w:div w:id="1080173133">
                                                                                                                                                                                                      <w:marLeft w:val="0"/>
                                                                                                                                                                                                      <w:marRight w:val="0"/>
                                                                                                                                                                                                      <w:marTop w:val="0"/>
                                                                                                                                                                                                      <w:marBottom w:val="0"/>
                                                                                                                                                                                                      <w:divBdr>
                                                                                                                                                                                                        <w:top w:val="none" w:sz="0" w:space="0" w:color="auto"/>
                                                                                                                                                                                                        <w:left w:val="none" w:sz="0" w:space="0" w:color="auto"/>
                                                                                                                                                                                                        <w:bottom w:val="none" w:sz="0" w:space="0" w:color="auto"/>
                                                                                                                                                                                                        <w:right w:val="none" w:sz="0" w:space="0" w:color="auto"/>
                                                                                                                                                                                                      </w:divBdr>
                                                                                                                                                                                                      <w:divsChild>
                                                                                                                                                                                                        <w:div w:id="2061249741">
                                                                                                                                                                                                          <w:marLeft w:val="0"/>
                                                                                                                                                                                                          <w:marRight w:val="0"/>
                                                                                                                                                                                                          <w:marTop w:val="0"/>
                                                                                                                                                                                                          <w:marBottom w:val="0"/>
                                                                                                                                                                                                          <w:divBdr>
                                                                                                                                                                                                            <w:top w:val="none" w:sz="0" w:space="0" w:color="auto"/>
                                                                                                                                                                                                            <w:left w:val="none" w:sz="0" w:space="0" w:color="auto"/>
                                                                                                                                                                                                            <w:bottom w:val="none" w:sz="0" w:space="0" w:color="auto"/>
                                                                                                                                                                                                            <w:right w:val="none" w:sz="0" w:space="0" w:color="auto"/>
                                                                                                                                                                                                          </w:divBdr>
                                                                                                                                                                                                          <w:divsChild>
                                                                                                                                                                                                            <w:div w:id="346829606">
                                                                                                                                                                                                              <w:marLeft w:val="0"/>
                                                                                                                                                                                                              <w:marRight w:val="0"/>
                                                                                                                                                                                                              <w:marTop w:val="0"/>
                                                                                                                                                                                                              <w:marBottom w:val="0"/>
                                                                                                                                                                                                              <w:divBdr>
                                                                                                                                                                                                                <w:top w:val="none" w:sz="0" w:space="0" w:color="auto"/>
                                                                                                                                                                                                                <w:left w:val="none" w:sz="0" w:space="0" w:color="auto"/>
                                                                                                                                                                                                                <w:bottom w:val="none" w:sz="0" w:space="0" w:color="auto"/>
                                                                                                                                                                                                                <w:right w:val="none" w:sz="0" w:space="0" w:color="auto"/>
                                                                                                                                                                                                              </w:divBdr>
                                                                                                                                                                                                              <w:divsChild>
                                                                                                                                                                                                                <w:div w:id="1119685119">
                                                                                                                                                                                                                  <w:marLeft w:val="0"/>
                                                                                                                                                                                                                  <w:marRight w:val="0"/>
                                                                                                                                                                                                                  <w:marTop w:val="0"/>
                                                                                                                                                                                                                  <w:marBottom w:val="0"/>
                                                                                                                                                                                                                  <w:divBdr>
                                                                                                                                                                                                                    <w:top w:val="none" w:sz="0" w:space="0" w:color="auto"/>
                                                                                                                                                                                                                    <w:left w:val="none" w:sz="0" w:space="0" w:color="auto"/>
                                                                                                                                                                                                                    <w:bottom w:val="none" w:sz="0" w:space="0" w:color="auto"/>
                                                                                                                                                                                                                    <w:right w:val="none" w:sz="0" w:space="0" w:color="auto"/>
                                                                                                                                                                                                                  </w:divBdr>
                                                                                                                                                                                                                  <w:divsChild>
                                                                                                                                                                                                                    <w:div w:id="1431469926">
                                                                                                                                                                                                                      <w:marLeft w:val="0"/>
                                                                                                                                                                                                                      <w:marRight w:val="0"/>
                                                                                                                                                                                                                      <w:marTop w:val="0"/>
                                                                                                                                                                                                                      <w:marBottom w:val="0"/>
                                                                                                                                                                                                                      <w:divBdr>
                                                                                                                                                                                                                        <w:top w:val="none" w:sz="0" w:space="0" w:color="auto"/>
                                                                                                                                                                                                                        <w:left w:val="none" w:sz="0" w:space="0" w:color="auto"/>
                                                                                                                                                                                                                        <w:bottom w:val="none" w:sz="0" w:space="0" w:color="auto"/>
                                                                                                                                                                                                                        <w:right w:val="none" w:sz="0" w:space="0" w:color="auto"/>
                                                                                                                                                                                                                      </w:divBdr>
                                                                                                                                                                                                                      <w:divsChild>
                                                                                                                                                                                                                        <w:div w:id="778454361">
                                                                                                                                                                                                                          <w:marLeft w:val="0"/>
                                                                                                                                                                                                                          <w:marRight w:val="0"/>
                                                                                                                                                                                                                          <w:marTop w:val="0"/>
                                                                                                                                                                                                                          <w:marBottom w:val="0"/>
                                                                                                                                                                                                                          <w:divBdr>
                                                                                                                                                                                                                            <w:top w:val="none" w:sz="0" w:space="0" w:color="auto"/>
                                                                                                                                                                                                                            <w:left w:val="none" w:sz="0" w:space="0" w:color="auto"/>
                                                                                                                                                                                                                            <w:bottom w:val="none" w:sz="0" w:space="0" w:color="auto"/>
                                                                                                                                                                                                                            <w:right w:val="none" w:sz="0" w:space="0" w:color="auto"/>
                                                                                                                                                                                                                          </w:divBdr>
                                                                                                                                                                                                                          <w:divsChild>
                                                                                                                                                                                                                            <w:div w:id="1430807791">
                                                                                                                                                                                                                              <w:marLeft w:val="0"/>
                                                                                                                                                                                                                              <w:marRight w:val="0"/>
                                                                                                                                                                                                                              <w:marTop w:val="0"/>
                                                                                                                                                                                                                              <w:marBottom w:val="0"/>
                                                                                                                                                                                                                              <w:divBdr>
                                                                                                                                                                                                                                <w:top w:val="none" w:sz="0" w:space="0" w:color="auto"/>
                                                                                                                                                                                                                                <w:left w:val="none" w:sz="0" w:space="0" w:color="auto"/>
                                                                                                                                                                                                                                <w:bottom w:val="none" w:sz="0" w:space="0" w:color="auto"/>
                                                                                                                                                                                                                                <w:right w:val="none" w:sz="0" w:space="0" w:color="auto"/>
                                                                                                                                                                                                                              </w:divBdr>
                                                                                                                                                                                                                              <w:divsChild>
                                                                                                                                                                                                                                <w:div w:id="955521062">
                                                                                                                                                                                                                                  <w:marLeft w:val="0"/>
                                                                                                                                                                                                                                  <w:marRight w:val="0"/>
                                                                                                                                                                                                                                  <w:marTop w:val="0"/>
                                                                                                                                                                                                                                  <w:marBottom w:val="0"/>
                                                                                                                                                                                                                                  <w:divBdr>
                                                                                                                                                                                                                                    <w:top w:val="none" w:sz="0" w:space="0" w:color="auto"/>
                                                                                                                                                                                                                                    <w:left w:val="none" w:sz="0" w:space="0" w:color="auto"/>
                                                                                                                                                                                                                                    <w:bottom w:val="none" w:sz="0" w:space="0" w:color="auto"/>
                                                                                                                                                                                                                                    <w:right w:val="none" w:sz="0" w:space="0" w:color="auto"/>
                                                                                                                                                                                                                                  </w:divBdr>
                                                                                                                                                                                                                                  <w:divsChild>
                                                                                                                                                                                                                                    <w:div w:id="157373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ti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tif"/><Relationship Id="rId19" Type="http://schemas.openxmlformats.org/officeDocument/2006/relationships/image" Target="media/image11.tif"/><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tiago%20Suarez\AppData\Roaming\Microsoft\Templates\TF_Template_Word_Windows_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02552-0719-4BAF-A7D9-3CE35C353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TF_Template_Word_Windows_2010</Template>
  <TotalTime>4</TotalTime>
  <Pages>39</Pages>
  <Words>39184</Words>
  <Characters>223355</Characters>
  <Application>Microsoft Office Word</Application>
  <DocSecurity>8</DocSecurity>
  <Lines>1861</Lines>
  <Paragraphs>524</Paragraphs>
  <ScaleCrop>false</ScaleCrop>
  <HeadingPairs>
    <vt:vector size="2" baseType="variant">
      <vt:variant>
        <vt:lpstr>Title</vt:lpstr>
      </vt:variant>
      <vt:variant>
        <vt:i4>1</vt:i4>
      </vt:variant>
    </vt:vector>
  </HeadingPairs>
  <TitlesOfParts>
    <vt:vector size="1" baseType="lpstr">
      <vt:lpstr>TF_Template_Word_Windows_2010</vt:lpstr>
    </vt:vector>
  </TitlesOfParts>
  <Company>Informa Plc</Company>
  <LinksUpToDate>false</LinksUpToDate>
  <CharactersWithSpaces>262015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TF_Template_Word_Windows_2010</dc:title>
  <dc:creator>Santiago Suarez de la Fuente</dc:creator>
  <cp:lastModifiedBy>Santiago Suarez de la Fuente</cp:lastModifiedBy>
  <cp:revision>3</cp:revision>
  <cp:lastPrinted>2015-03-13T16:23:00Z</cp:lastPrinted>
  <dcterms:created xsi:type="dcterms:W3CDTF">2015-07-27T10:45:00Z</dcterms:created>
  <dcterms:modified xsi:type="dcterms:W3CDTF">2015-07-27T11:12:00Z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ucemsur@live.ucl.ac.uk@www.mendeley.com</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http://www.zotero.org/styles/applied-thermal-engineering</vt:lpwstr>
  </property>
  <property fmtid="{D5CDD505-2E9C-101B-9397-08002B2CF9AE}" pid="11" name="Mendeley Recent Style Name 3_1">
    <vt:lpwstr>Applied Thermal Engineering</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http://csl.mendeley.com/styles/16551951/harvard1-SSF-2</vt:lpwstr>
  </property>
  <property fmtid="{D5CDD505-2E9C-101B-9397-08002B2CF9AE}" pid="15" name="Mendeley Recent Style Name 5_1">
    <vt:lpwstr>Harvard Reference format 1 [author-date] - Santiago Suarez 2</vt:lpwstr>
  </property>
  <property fmtid="{D5CDD505-2E9C-101B-9397-08002B2CF9AE}" pid="16" name="Mendeley Recent Style Id 6_1">
    <vt:lpwstr>http://www.zotero.org/styles/marine-policy</vt:lpwstr>
  </property>
  <property fmtid="{D5CDD505-2E9C-101B-9397-08002B2CF9AE}" pid="17" name="Mendeley Recent Style Name 6_1">
    <vt:lpwstr>Marine Policy</vt:lpwstr>
  </property>
  <property fmtid="{D5CDD505-2E9C-101B-9397-08002B2CF9AE}" pid="18" name="Mendeley Recent Style Id 7_1">
    <vt:lpwstr>http://www.zotero.org/styles/taylor-and-francis-council-of-science-editors-author-date</vt:lpwstr>
  </property>
  <property fmtid="{D5CDD505-2E9C-101B-9397-08002B2CF9AE}" pid="19" name="Mendeley Recent Style Name 7_1">
    <vt:lpwstr>Taylor &amp; Francis - Council of Science Editors (author-date)</vt:lpwstr>
  </property>
  <property fmtid="{D5CDD505-2E9C-101B-9397-08002B2CF9AE}" pid="20" name="Mendeley Recent Style Id 8_1">
    <vt:lpwstr>http://www.zotero.org/styles/taylor-and-francis-national-library-of-medicine</vt:lpwstr>
  </property>
  <property fmtid="{D5CDD505-2E9C-101B-9397-08002B2CF9AE}" pid="21" name="Mendeley Recent Style Name 8_1">
    <vt:lpwstr>Taylor &amp; Francis - National Library of Medicine</vt:lpwstr>
  </property>
  <property fmtid="{D5CDD505-2E9C-101B-9397-08002B2CF9AE}" pid="22" name="Mendeley Recent Style Id 9_1">
    <vt:lpwstr>http://www.zotero.org/styles/vancouver</vt:lpwstr>
  </property>
  <property fmtid="{D5CDD505-2E9C-101B-9397-08002B2CF9AE}" pid="23" name="Mendeley Recent Style Name 9_1">
    <vt:lpwstr>Vancouver</vt:lpwstr>
  </property>
  <property fmtid="{D5CDD505-2E9C-101B-9397-08002B2CF9AE}" pid="24" name="Mendeley Citation Style_1">
    <vt:lpwstr>http://www.zotero.org/styles/taylor-and-francis-council-of-science-editors-author-date</vt:lpwstr>
  </property>
</Properties>
</file>