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02E1C" w14:textId="77777777" w:rsidR="007720DA" w:rsidRPr="007720DA" w:rsidRDefault="007720DA" w:rsidP="00963157">
      <w:pPr>
        <w:spacing w:after="0" w:line="240" w:lineRule="auto"/>
        <w:rPr>
          <w:b/>
          <w:sz w:val="28"/>
          <w:szCs w:val="28"/>
        </w:rPr>
      </w:pPr>
      <w:r w:rsidRPr="007720DA">
        <w:rPr>
          <w:b/>
          <w:sz w:val="28"/>
          <w:szCs w:val="28"/>
        </w:rPr>
        <w:t>Cover Page</w:t>
      </w:r>
    </w:p>
    <w:p w14:paraId="4735C5D5" w14:textId="77777777" w:rsidR="007720DA" w:rsidRPr="0088377A" w:rsidRDefault="007720DA" w:rsidP="007720DA">
      <w:pPr>
        <w:rPr>
          <w:rFonts w:ascii="Verdana" w:hAnsi="Verdana" w:cs="Arial"/>
          <w:color w:val="000000"/>
          <w:sz w:val="15"/>
          <w:szCs w:val="15"/>
          <w:lang w:eastAsia="en-GB"/>
        </w:rPr>
      </w:pPr>
      <w:r w:rsidRPr="00D4387A">
        <w:rPr>
          <w:b/>
        </w:rPr>
        <w:t>Article Title:</w:t>
      </w:r>
      <w:r>
        <w:t xml:space="preserve"> </w:t>
      </w:r>
      <w:r w:rsidRPr="00CF53D4">
        <w:t>Use of data from the Health Survey for England in obesity policy making and monitoring</w:t>
      </w:r>
    </w:p>
    <w:p w14:paraId="74F3582A" w14:textId="77777777" w:rsidR="007720DA" w:rsidRDefault="007720DA" w:rsidP="007720DA">
      <w:r w:rsidRPr="00D4387A">
        <w:rPr>
          <w:b/>
        </w:rPr>
        <w:t>Author Names:</w:t>
      </w:r>
      <w:r>
        <w:t xml:space="preserve"> Dr Oyinlola Oyebode, Dr Jennifer Mindell</w:t>
      </w:r>
    </w:p>
    <w:p w14:paraId="368A30A7" w14:textId="77777777" w:rsidR="007720DA" w:rsidRDefault="007720DA" w:rsidP="007720DA">
      <w:r w:rsidRPr="00D4387A">
        <w:rPr>
          <w:b/>
        </w:rPr>
        <w:t>Department and Institution to which authors belong:</w:t>
      </w:r>
      <w:r>
        <w:t xml:space="preserve"> </w:t>
      </w:r>
      <w:r w:rsidR="00545DF5">
        <w:t xml:space="preserve">Research </w:t>
      </w:r>
      <w:r>
        <w:t>Department of Epidemiology and P</w:t>
      </w:r>
      <w:r w:rsidR="004D3326">
        <w:t>ublic</w:t>
      </w:r>
      <w:r>
        <w:t xml:space="preserve"> Health, </w:t>
      </w:r>
      <w:r w:rsidR="00545DF5">
        <w:t>UCL (</w:t>
      </w:r>
      <w:r>
        <w:t>University College London</w:t>
      </w:r>
      <w:r w:rsidR="00545DF5">
        <w:t>)</w:t>
      </w:r>
    </w:p>
    <w:p w14:paraId="6E7957FF" w14:textId="77777777" w:rsidR="007720DA" w:rsidRDefault="007720DA" w:rsidP="007720DA">
      <w:r w:rsidRPr="00D4387A">
        <w:rPr>
          <w:b/>
        </w:rPr>
        <w:t>Three or four key words:</w:t>
      </w:r>
      <w:r>
        <w:t xml:space="preserve"> “Health Examination Survey” “Evidence-based Policy” “Obesity Strategy”</w:t>
      </w:r>
    </w:p>
    <w:p w14:paraId="4031CFF7" w14:textId="77777777" w:rsidR="007720DA" w:rsidRDefault="007720DA" w:rsidP="007720DA">
      <w:r w:rsidRPr="00D4387A">
        <w:rPr>
          <w:b/>
        </w:rPr>
        <w:t>A Running Title:</w:t>
      </w:r>
      <w:r>
        <w:t xml:space="preserve"> </w:t>
      </w:r>
      <w:r w:rsidRPr="00BA3ED2">
        <w:t>Use of Health Survey for England in policy making and monitoring</w:t>
      </w:r>
    </w:p>
    <w:p w14:paraId="52041A02" w14:textId="77777777" w:rsidR="007720DA" w:rsidRPr="00D4387A" w:rsidRDefault="007720DA" w:rsidP="007720DA">
      <w:pPr>
        <w:rPr>
          <w:b/>
        </w:rPr>
      </w:pPr>
      <w:r w:rsidRPr="00D4387A">
        <w:rPr>
          <w:b/>
        </w:rPr>
        <w:t>Acknowledgements:</w:t>
      </w:r>
      <w:r>
        <w:rPr>
          <w:b/>
        </w:rPr>
        <w:t xml:space="preserve"> </w:t>
      </w:r>
      <w:r w:rsidRPr="00EB60F9">
        <w:rPr>
          <w:bCs/>
        </w:rPr>
        <w:t>We thank all those who were interviewed and/or provided information or suggestions of documents to review</w:t>
      </w:r>
      <w:r>
        <w:rPr>
          <w:bCs/>
        </w:rPr>
        <w:t>. Additional thanks go to Elizabeth Breeze for helpful comments and suggestions on the manuscript</w:t>
      </w:r>
      <w:r w:rsidR="004D3326">
        <w:rPr>
          <w:bCs/>
        </w:rPr>
        <w:t>.</w:t>
      </w:r>
    </w:p>
    <w:p w14:paraId="0266B26C" w14:textId="6FA209B4" w:rsidR="007720DA" w:rsidRDefault="007720DA" w:rsidP="007720DA">
      <w:r w:rsidRPr="00D4387A">
        <w:rPr>
          <w:b/>
        </w:rPr>
        <w:t>Corresponding Author:</w:t>
      </w:r>
      <w:r>
        <w:t xml:space="preserve"> Dr Oyinlola Oyebode,</w:t>
      </w:r>
      <w:r w:rsidR="004A5662">
        <w:t xml:space="preserve"> </w:t>
      </w:r>
      <w:r w:rsidR="00545DF5">
        <w:t xml:space="preserve">Research Department of Epidemiology and Public Health, UCL, </w:t>
      </w:r>
      <w:r>
        <w:t>1-19 Torrington Place, London</w:t>
      </w:r>
      <w:r w:rsidR="00545DF5">
        <w:t xml:space="preserve"> WC1E 6BT</w:t>
      </w:r>
      <w:r>
        <w:t xml:space="preserve"> </w:t>
      </w:r>
      <w:hyperlink r:id="rId9" w:history="1">
        <w:r w:rsidR="00545DF5" w:rsidRPr="00B54FB9">
          <w:rPr>
            <w:rStyle w:val="Hyperlink"/>
          </w:rPr>
          <w:t>o.oyebode@ucl.ac.uk</w:t>
        </w:r>
      </w:hyperlink>
      <w:r w:rsidR="00545DF5">
        <w:t xml:space="preserve"> </w:t>
      </w:r>
    </w:p>
    <w:p w14:paraId="38D777BB" w14:textId="77777777" w:rsidR="007720DA" w:rsidRPr="007720DA" w:rsidRDefault="007720DA" w:rsidP="007720DA">
      <w:r w:rsidRPr="000D610D">
        <w:rPr>
          <w:b/>
        </w:rPr>
        <w:t>Funding</w:t>
      </w:r>
      <w:r>
        <w:t xml:space="preserve">: JM is funded by the Health and Social Care Information Centre (HSCIC) to work on the Health Survey for England (HSE) series; OO is funded by the London Deanery Public Health Training Programme. Both the HSCIC and the Department of Health (DH) fund the HSE.  This study was unfunded; the HSE funders were not involved in the decision </w:t>
      </w:r>
      <w:proofErr w:type="gramStart"/>
      <w:r>
        <w:t>to undertake this work nor</w:t>
      </w:r>
      <w:proofErr w:type="gramEnd"/>
      <w:r>
        <w:t xml:space="preserve"> to publish it.</w:t>
      </w:r>
      <w:r>
        <w:rPr>
          <w:rFonts w:cs="Calibri"/>
          <w:lang w:eastAsia="en-GB"/>
        </w:rPr>
        <w:br w:type="page"/>
      </w:r>
    </w:p>
    <w:p w14:paraId="3D191801" w14:textId="77777777" w:rsidR="00E3073B" w:rsidRPr="00CD2EB4" w:rsidRDefault="00E3073B" w:rsidP="002A3AAE">
      <w:pPr>
        <w:pStyle w:val="Heading2"/>
        <w:spacing w:before="0" w:after="0" w:line="240" w:lineRule="auto"/>
        <w:contextualSpacing/>
        <w:jc w:val="both"/>
        <w:rPr>
          <w:rFonts w:cs="Calibri"/>
          <w:lang w:eastAsia="en-GB"/>
        </w:rPr>
      </w:pPr>
      <w:r w:rsidRPr="00CD2EB4">
        <w:rPr>
          <w:rFonts w:cs="Calibri"/>
          <w:lang w:eastAsia="en-GB"/>
        </w:rPr>
        <w:lastRenderedPageBreak/>
        <w:t>Summary</w:t>
      </w:r>
    </w:p>
    <w:p w14:paraId="669DE1F1" w14:textId="5AABBC19" w:rsidR="00E3073B" w:rsidRPr="002A3AAE" w:rsidRDefault="00E3073B" w:rsidP="002A3AAE">
      <w:pPr>
        <w:pStyle w:val="NoSpacing"/>
        <w:contextualSpacing/>
        <w:jc w:val="both"/>
        <w:rPr>
          <w:rFonts w:cs="Calibri"/>
        </w:rPr>
      </w:pPr>
      <w:r w:rsidRPr="00CD2EB4">
        <w:rPr>
          <w:rFonts w:cs="Calibri"/>
          <w:lang w:eastAsia="en-GB"/>
        </w:rPr>
        <w:t>Health data and statistics</w:t>
      </w:r>
      <w:r w:rsidRPr="002A3AAE">
        <w:rPr>
          <w:rFonts w:cs="Calibri"/>
          <w:lang w:eastAsia="en-GB"/>
        </w:rPr>
        <w:t xml:space="preserve"> are the foundation of health policy. Over the last 20 years, numerous government documents </w:t>
      </w:r>
      <w:r w:rsidR="00872B1C">
        <w:rPr>
          <w:rFonts w:cs="Calibri"/>
          <w:lang w:eastAsia="en-GB"/>
        </w:rPr>
        <w:t xml:space="preserve">have been </w:t>
      </w:r>
      <w:r w:rsidRPr="002A3AAE">
        <w:rPr>
          <w:rFonts w:cs="Calibri"/>
          <w:lang w:eastAsia="en-GB"/>
        </w:rPr>
        <w:t xml:space="preserve">commissioned and published to inform obesity strategies in the UK. </w:t>
      </w:r>
      <w:r w:rsidR="00DB017A" w:rsidRPr="002A3AAE">
        <w:rPr>
          <w:rFonts w:cs="Calibri"/>
        </w:rPr>
        <w:t>The Health Survey for England</w:t>
      </w:r>
      <w:r w:rsidR="00C25A7C">
        <w:rPr>
          <w:rFonts w:cs="Calibri"/>
        </w:rPr>
        <w:t>,</w:t>
      </w:r>
      <w:r w:rsidR="00DB017A" w:rsidRPr="002A3AAE">
        <w:rPr>
          <w:rFonts w:cs="Calibri"/>
        </w:rPr>
        <w:t xml:space="preserve"> an annual </w:t>
      </w:r>
      <w:r w:rsidR="00D27BA0">
        <w:rPr>
          <w:rFonts w:cs="Calibri"/>
        </w:rPr>
        <w:t xml:space="preserve">cross-sectional </w:t>
      </w:r>
      <w:r w:rsidR="00DB017A" w:rsidRPr="002A3AAE">
        <w:rPr>
          <w:rFonts w:cs="Calibri"/>
        </w:rPr>
        <w:t xml:space="preserve">survey </w:t>
      </w:r>
      <w:r w:rsidR="00C25A7C">
        <w:rPr>
          <w:rFonts w:cs="Calibri"/>
        </w:rPr>
        <w:t xml:space="preserve">of </w:t>
      </w:r>
      <w:r w:rsidR="00DB017A" w:rsidRPr="002A3AAE">
        <w:rPr>
          <w:rFonts w:cs="Calibri"/>
        </w:rPr>
        <w:t>a nationally representative</w:t>
      </w:r>
      <w:r w:rsidR="00C25A7C">
        <w:rPr>
          <w:rFonts w:cs="Calibri"/>
        </w:rPr>
        <w:t>,</w:t>
      </w:r>
      <w:r w:rsidR="00DB017A" w:rsidRPr="002A3AAE">
        <w:rPr>
          <w:rFonts w:cs="Calibri"/>
        </w:rPr>
        <w:t xml:space="preserve"> </w:t>
      </w:r>
      <w:r w:rsidR="00C25A7C">
        <w:rPr>
          <w:rFonts w:cs="Calibri"/>
        </w:rPr>
        <w:t xml:space="preserve">random general population sample </w:t>
      </w:r>
      <w:r w:rsidR="00DB017A" w:rsidRPr="002A3AAE">
        <w:rPr>
          <w:rFonts w:cs="Calibri"/>
        </w:rPr>
        <w:t>in England</w:t>
      </w:r>
      <w:r w:rsidR="00872B1C">
        <w:rPr>
          <w:rFonts w:cs="Calibri"/>
        </w:rPr>
        <w:t>.</w:t>
      </w:r>
      <w:r w:rsidR="00DB017A" w:rsidRPr="002A3AAE">
        <w:rPr>
          <w:rFonts w:cs="Calibri"/>
        </w:rPr>
        <w:t xml:space="preserve"> </w:t>
      </w:r>
      <w:r w:rsidR="00872B1C">
        <w:rPr>
          <w:rFonts w:cs="Calibri"/>
        </w:rPr>
        <w:t>It</w:t>
      </w:r>
      <w:r w:rsidR="00DB017A" w:rsidRPr="002A3AAE">
        <w:rPr>
          <w:rFonts w:cs="Calibri"/>
        </w:rPr>
        <w:t xml:space="preserve"> collects information on health, lifestyle and socio-economic</w:t>
      </w:r>
      <w:r w:rsidR="008852F2">
        <w:rPr>
          <w:rFonts w:cs="Calibri"/>
        </w:rPr>
        <w:t xml:space="preserve"> factors, physical measurements</w:t>
      </w:r>
      <w:r w:rsidR="00DB017A" w:rsidRPr="002A3AAE">
        <w:rPr>
          <w:rFonts w:cs="Calibri"/>
        </w:rPr>
        <w:t xml:space="preserve"> and biological samples.</w:t>
      </w:r>
      <w:r w:rsidR="00DB017A">
        <w:rPr>
          <w:rFonts w:cs="Calibri"/>
        </w:rPr>
        <w:t xml:space="preserve"> </w:t>
      </w:r>
      <w:r w:rsidRPr="002A3AAE">
        <w:rPr>
          <w:rFonts w:cs="Calibri"/>
          <w:lang w:eastAsia="en-GB"/>
        </w:rPr>
        <w:t xml:space="preserve">Heights and weights measured by the Health Survey for England </w:t>
      </w:r>
      <w:r w:rsidR="00DB017A">
        <w:rPr>
          <w:rFonts w:cs="Calibri"/>
          <w:lang w:eastAsia="en-GB"/>
        </w:rPr>
        <w:t xml:space="preserve">are believed to </w:t>
      </w:r>
      <w:r w:rsidRPr="002A3AAE">
        <w:rPr>
          <w:rFonts w:cs="Calibri"/>
          <w:lang w:eastAsia="en-GB"/>
        </w:rPr>
        <w:t>have played a major part in promoti</w:t>
      </w:r>
      <w:r w:rsidR="00872B1C">
        <w:rPr>
          <w:rFonts w:cs="Calibri"/>
          <w:lang w:eastAsia="en-GB"/>
        </w:rPr>
        <w:t>ng, shaping and evaluating obesity</w:t>
      </w:r>
      <w:r w:rsidRPr="002A3AAE">
        <w:rPr>
          <w:rFonts w:cs="Calibri"/>
          <w:lang w:eastAsia="en-GB"/>
        </w:rPr>
        <w:t xml:space="preserve"> strategies</w:t>
      </w:r>
      <w:r w:rsidR="00D02431">
        <w:rPr>
          <w:rFonts w:cs="Calibri"/>
          <w:lang w:eastAsia="en-GB"/>
        </w:rPr>
        <w:t>. A</w:t>
      </w:r>
      <w:r w:rsidR="00E07164">
        <w:rPr>
          <w:rFonts w:cs="Calibri"/>
          <w:lang w:eastAsia="en-GB"/>
        </w:rPr>
        <w:t xml:space="preserve"> formal review of how these data have been used has not been conducted previously</w:t>
      </w:r>
      <w:r w:rsidRPr="002A3AAE">
        <w:rPr>
          <w:rFonts w:cs="Calibri"/>
          <w:lang w:eastAsia="en-GB"/>
        </w:rPr>
        <w:t>.</w:t>
      </w:r>
    </w:p>
    <w:p w14:paraId="4383B53C" w14:textId="77777777" w:rsidR="00DB4BB1" w:rsidRDefault="00DB4BB1" w:rsidP="002A3AAE">
      <w:pPr>
        <w:pStyle w:val="NoSpacing"/>
        <w:contextualSpacing/>
        <w:jc w:val="both"/>
        <w:rPr>
          <w:rFonts w:cs="Calibri"/>
          <w:lang w:eastAsia="en-GB"/>
        </w:rPr>
      </w:pPr>
    </w:p>
    <w:p w14:paraId="51F1C10D" w14:textId="6C2A71CA" w:rsidR="00E3073B" w:rsidRPr="002A3AAE" w:rsidRDefault="00E3073B" w:rsidP="002A3AAE">
      <w:pPr>
        <w:pStyle w:val="NoSpacing"/>
        <w:contextualSpacing/>
        <w:jc w:val="both"/>
        <w:rPr>
          <w:rFonts w:cs="Calibri"/>
          <w:lang w:eastAsia="en-GB"/>
        </w:rPr>
      </w:pPr>
      <w:r w:rsidRPr="002A3AAE">
        <w:rPr>
          <w:rFonts w:cs="Calibri"/>
          <w:lang w:eastAsia="en-GB"/>
        </w:rPr>
        <w:t>This paper review</w:t>
      </w:r>
      <w:r w:rsidR="00872B1C">
        <w:rPr>
          <w:rFonts w:cs="Calibri"/>
          <w:lang w:eastAsia="en-GB"/>
        </w:rPr>
        <w:t>s</w:t>
      </w:r>
      <w:r w:rsidRPr="002A3AAE">
        <w:rPr>
          <w:rFonts w:cs="Calibri"/>
          <w:lang w:eastAsia="en-GB"/>
        </w:rPr>
        <w:t xml:space="preserve"> government documents</w:t>
      </w:r>
      <w:r w:rsidR="00872B1C">
        <w:rPr>
          <w:rFonts w:cs="Calibri"/>
          <w:lang w:eastAsia="en-GB"/>
        </w:rPr>
        <w:t>,</w:t>
      </w:r>
      <w:r w:rsidRPr="002A3AAE">
        <w:rPr>
          <w:rFonts w:cs="Calibri"/>
          <w:lang w:eastAsia="en-GB"/>
        </w:rPr>
        <w:t xml:space="preserve"> demonstrating the contribution of Health Survey for England </w:t>
      </w:r>
      <w:r>
        <w:rPr>
          <w:rFonts w:cs="Calibri"/>
          <w:lang w:eastAsia="en-GB"/>
        </w:rPr>
        <w:t xml:space="preserve">examination </w:t>
      </w:r>
      <w:r w:rsidRPr="002A3AAE">
        <w:rPr>
          <w:rFonts w:cs="Calibri"/>
          <w:lang w:eastAsia="en-GB"/>
        </w:rPr>
        <w:t>data to every stage of the policy-making process:</w:t>
      </w:r>
    </w:p>
    <w:p w14:paraId="4287FC25" w14:textId="741DAE66" w:rsidR="00E3073B" w:rsidRPr="002A3AAE" w:rsidRDefault="00E3073B" w:rsidP="002A3AAE">
      <w:pPr>
        <w:pStyle w:val="NoSpacing"/>
        <w:numPr>
          <w:ilvl w:val="0"/>
          <w:numId w:val="15"/>
        </w:numPr>
        <w:ind w:left="0" w:firstLine="0"/>
        <w:contextualSpacing/>
        <w:jc w:val="both"/>
        <w:rPr>
          <w:rFonts w:cs="Calibri"/>
        </w:rPr>
      </w:pPr>
      <w:r w:rsidRPr="002A3AAE">
        <w:rPr>
          <w:rFonts w:cs="Calibri"/>
        </w:rPr>
        <w:t>quantify</w:t>
      </w:r>
      <w:r w:rsidR="00C25A7C">
        <w:rPr>
          <w:rFonts w:cs="Calibri"/>
        </w:rPr>
        <w:t>ing</w:t>
      </w:r>
      <w:r w:rsidRPr="002A3AAE">
        <w:rPr>
          <w:rFonts w:cs="Calibri"/>
        </w:rPr>
        <w:t xml:space="preserve"> the obesity problem in England</w:t>
      </w:r>
      <w:r w:rsidR="00C25A7C">
        <w:rPr>
          <w:rFonts w:cs="Calibri"/>
        </w:rPr>
        <w:t xml:space="preserve"> (e.g. Chief Medical Officer’s reports)</w:t>
      </w:r>
      <w:r w:rsidRPr="002A3AAE">
        <w:rPr>
          <w:rFonts w:cs="Calibri"/>
        </w:rPr>
        <w:t>;</w:t>
      </w:r>
    </w:p>
    <w:p w14:paraId="75E0EAE9" w14:textId="31B87B5D" w:rsidR="00E3073B" w:rsidRPr="002A3AAE" w:rsidRDefault="00E3073B" w:rsidP="002A3AAE">
      <w:pPr>
        <w:pStyle w:val="NoSpacing"/>
        <w:numPr>
          <w:ilvl w:val="0"/>
          <w:numId w:val="15"/>
        </w:numPr>
        <w:ind w:left="0" w:firstLine="0"/>
        <w:contextualSpacing/>
        <w:jc w:val="both"/>
        <w:rPr>
          <w:rFonts w:cs="Calibri"/>
        </w:rPr>
      </w:pPr>
      <w:r w:rsidRPr="002A3AAE">
        <w:rPr>
          <w:rFonts w:cs="Calibri"/>
        </w:rPr>
        <w:t>identify</w:t>
      </w:r>
      <w:r w:rsidR="00C25A7C">
        <w:rPr>
          <w:rFonts w:cs="Calibri"/>
        </w:rPr>
        <w:t>ing</w:t>
      </w:r>
      <w:r w:rsidRPr="002A3AAE">
        <w:rPr>
          <w:rFonts w:cs="Calibri"/>
        </w:rPr>
        <w:t xml:space="preserve"> inequalities in the burden of obesity</w:t>
      </w:r>
      <w:r w:rsidR="00C25A7C">
        <w:rPr>
          <w:rFonts w:cs="Calibri"/>
        </w:rPr>
        <w:t xml:space="preserve"> (Acheson report)</w:t>
      </w:r>
      <w:r w:rsidRPr="002A3AAE">
        <w:rPr>
          <w:rFonts w:cs="Calibri"/>
        </w:rPr>
        <w:t>;</w:t>
      </w:r>
    </w:p>
    <w:p w14:paraId="50A0D3D2" w14:textId="305F673D" w:rsidR="00E3073B" w:rsidRPr="002A3AAE" w:rsidRDefault="00E3073B" w:rsidP="002A3AAE">
      <w:pPr>
        <w:pStyle w:val="NoSpacing"/>
        <w:numPr>
          <w:ilvl w:val="0"/>
          <w:numId w:val="15"/>
        </w:numPr>
        <w:ind w:left="0" w:firstLine="0"/>
        <w:contextualSpacing/>
        <w:jc w:val="both"/>
        <w:rPr>
          <w:rFonts w:cs="Calibri"/>
        </w:rPr>
      </w:pPr>
      <w:r w:rsidRPr="002A3AAE">
        <w:rPr>
          <w:rFonts w:cs="Calibri"/>
        </w:rPr>
        <w:t>model</w:t>
      </w:r>
      <w:r w:rsidR="00C25A7C">
        <w:rPr>
          <w:rFonts w:cs="Calibri"/>
        </w:rPr>
        <w:t>ling</w:t>
      </w:r>
      <w:r w:rsidRPr="002A3AAE">
        <w:rPr>
          <w:rFonts w:cs="Calibri"/>
        </w:rPr>
        <w:t xml:space="preserve"> potential future scenarios</w:t>
      </w:r>
      <w:r w:rsidR="00C25A7C">
        <w:rPr>
          <w:rFonts w:cs="Calibri"/>
        </w:rPr>
        <w:t xml:space="preserve"> (Foresight)</w:t>
      </w:r>
      <w:r w:rsidRPr="002A3AAE">
        <w:rPr>
          <w:rFonts w:cs="Calibri"/>
        </w:rPr>
        <w:t>;</w:t>
      </w:r>
    </w:p>
    <w:p w14:paraId="44EAFDC6" w14:textId="335C53EF" w:rsidR="00E3073B" w:rsidRPr="002A3AAE" w:rsidRDefault="00E3073B" w:rsidP="002A3AAE">
      <w:pPr>
        <w:pStyle w:val="NoSpacing"/>
        <w:numPr>
          <w:ilvl w:val="0"/>
          <w:numId w:val="15"/>
        </w:numPr>
        <w:ind w:left="0" w:firstLine="0"/>
        <w:contextualSpacing/>
        <w:jc w:val="both"/>
        <w:rPr>
          <w:rFonts w:cs="Calibri"/>
        </w:rPr>
      </w:pPr>
      <w:r w:rsidRPr="002A3AAE">
        <w:rPr>
          <w:rFonts w:cs="Calibri"/>
        </w:rPr>
        <w:t>set</w:t>
      </w:r>
      <w:r w:rsidR="00C25A7C">
        <w:rPr>
          <w:rFonts w:cs="Calibri"/>
        </w:rPr>
        <w:t>ting</w:t>
      </w:r>
      <w:r w:rsidRPr="002A3AAE">
        <w:rPr>
          <w:rFonts w:cs="Calibri"/>
        </w:rPr>
        <w:t xml:space="preserve"> and monitor</w:t>
      </w:r>
      <w:r w:rsidR="00C25A7C">
        <w:rPr>
          <w:rFonts w:cs="Calibri"/>
        </w:rPr>
        <w:t>ing</w:t>
      </w:r>
      <w:r w:rsidRPr="002A3AAE">
        <w:rPr>
          <w:rFonts w:cs="Calibri"/>
        </w:rPr>
        <w:t xml:space="preserve"> specific, measurable, attainable targets</w:t>
      </w:r>
      <w:r w:rsidR="00C25A7C">
        <w:rPr>
          <w:rFonts w:cs="Calibri"/>
        </w:rPr>
        <w:t xml:space="preserve"> (calorie reduction challenge in manufacturers’ Responsibility Deal)</w:t>
      </w:r>
      <w:r w:rsidRPr="002A3AAE">
        <w:rPr>
          <w:rFonts w:cs="Calibri"/>
        </w:rPr>
        <w:t>;</w:t>
      </w:r>
    </w:p>
    <w:p w14:paraId="061670A5" w14:textId="40113C32" w:rsidR="00E3073B" w:rsidRPr="002A3AAE" w:rsidRDefault="00E3073B" w:rsidP="002A3AAE">
      <w:pPr>
        <w:pStyle w:val="NoSpacing"/>
        <w:numPr>
          <w:ilvl w:val="0"/>
          <w:numId w:val="15"/>
        </w:numPr>
        <w:ind w:left="0" w:firstLine="0"/>
        <w:contextualSpacing/>
        <w:jc w:val="both"/>
        <w:rPr>
          <w:rFonts w:cs="Calibri"/>
        </w:rPr>
      </w:pPr>
      <w:r w:rsidRPr="002A3AAE">
        <w:rPr>
          <w:rFonts w:cs="Calibri"/>
        </w:rPr>
        <w:t>develop</w:t>
      </w:r>
      <w:r w:rsidR="00C25A7C">
        <w:rPr>
          <w:rFonts w:cs="Calibri"/>
        </w:rPr>
        <w:t>ing</w:t>
      </w:r>
      <w:r w:rsidRPr="002A3AAE">
        <w:rPr>
          <w:rFonts w:cs="Calibri"/>
        </w:rPr>
        <w:t xml:space="preserve"> and inform</w:t>
      </w:r>
      <w:r w:rsidR="00C25A7C">
        <w:rPr>
          <w:rFonts w:cs="Calibri"/>
        </w:rPr>
        <w:t>ing</w:t>
      </w:r>
      <w:r w:rsidRPr="002A3AAE">
        <w:rPr>
          <w:rFonts w:cs="Calibri"/>
        </w:rPr>
        <w:t xml:space="preserve"> strategies and clinical guidance;</w:t>
      </w:r>
      <w:r w:rsidR="00C25A7C">
        <w:rPr>
          <w:rFonts w:cs="Calibri"/>
        </w:rPr>
        <w:t xml:space="preserve"> and</w:t>
      </w:r>
    </w:p>
    <w:p w14:paraId="780B08D4" w14:textId="395C4C4D" w:rsidR="00E3073B" w:rsidRDefault="00E3073B" w:rsidP="002A3AAE">
      <w:pPr>
        <w:pStyle w:val="NoSpacing"/>
        <w:numPr>
          <w:ilvl w:val="0"/>
          <w:numId w:val="15"/>
        </w:numPr>
        <w:ind w:left="0" w:firstLine="0"/>
        <w:contextualSpacing/>
        <w:jc w:val="both"/>
        <w:rPr>
          <w:rFonts w:cs="Calibri"/>
        </w:rPr>
      </w:pPr>
      <w:proofErr w:type="gramStart"/>
      <w:r w:rsidRPr="002A3AAE">
        <w:rPr>
          <w:rFonts w:cs="Calibri"/>
        </w:rPr>
        <w:t>evaluat</w:t>
      </w:r>
      <w:r w:rsidR="00C25A7C">
        <w:rPr>
          <w:rFonts w:cs="Calibri"/>
        </w:rPr>
        <w:t>ing</w:t>
      </w:r>
      <w:proofErr w:type="gramEnd"/>
      <w:r w:rsidRPr="002A3AAE">
        <w:rPr>
          <w:rFonts w:cs="Calibri"/>
        </w:rPr>
        <w:t xml:space="preserve"> the success of obesity strategies</w:t>
      </w:r>
      <w:r w:rsidR="00C25A7C">
        <w:rPr>
          <w:rFonts w:cs="Calibri"/>
        </w:rPr>
        <w:t xml:space="preserve"> (</w:t>
      </w:r>
      <w:r w:rsidR="008852F2">
        <w:rPr>
          <w:rFonts w:cs="Calibri"/>
          <w:i/>
        </w:rPr>
        <w:t>Healthy Weights, Healthy Lives</w:t>
      </w:r>
      <w:r w:rsidR="00C25A7C">
        <w:rPr>
          <w:rFonts w:cs="Calibri"/>
        </w:rPr>
        <w:t xml:space="preserve"> progress report).</w:t>
      </w:r>
    </w:p>
    <w:p w14:paraId="475FDBE5" w14:textId="77777777" w:rsidR="00DB4BB1" w:rsidRPr="00DB4BB1" w:rsidRDefault="00DB4BB1" w:rsidP="002A3AAE">
      <w:pPr>
        <w:pStyle w:val="NoSpacing"/>
        <w:numPr>
          <w:ilvl w:val="0"/>
          <w:numId w:val="15"/>
        </w:numPr>
        <w:ind w:left="0" w:firstLine="0"/>
        <w:contextualSpacing/>
        <w:jc w:val="both"/>
        <w:rPr>
          <w:rFonts w:cs="Calibri"/>
        </w:rPr>
      </w:pPr>
    </w:p>
    <w:p w14:paraId="0A41F8CC" w14:textId="02871A0C" w:rsidR="007351D8" w:rsidRPr="002A3AAE" w:rsidRDefault="007351D8" w:rsidP="002A3AAE">
      <w:pPr>
        <w:pStyle w:val="NoSpacing"/>
        <w:contextualSpacing/>
        <w:jc w:val="both"/>
        <w:rPr>
          <w:rFonts w:cs="Calibri"/>
        </w:rPr>
      </w:pPr>
      <w:r>
        <w:rPr>
          <w:rFonts w:cs="Calibri"/>
        </w:rPr>
        <w:t xml:space="preserve">Measurement data are needed and used by </w:t>
      </w:r>
      <w:r w:rsidR="00872B1C">
        <w:rPr>
          <w:rFonts w:cs="Calibri"/>
        </w:rPr>
        <w:t>governments to produce</w:t>
      </w:r>
      <w:r>
        <w:rPr>
          <w:rFonts w:cs="Calibri"/>
        </w:rPr>
        <w:t xml:space="preserve"> evidence-based strategies to combat obesity. </w:t>
      </w:r>
    </w:p>
    <w:p w14:paraId="0D4A41DA" w14:textId="77777777" w:rsidR="00E3073B" w:rsidRPr="002A3AAE" w:rsidRDefault="00E3073B" w:rsidP="005649D9">
      <w:pPr>
        <w:pStyle w:val="Heading2"/>
        <w:numPr>
          <w:ilvl w:val="0"/>
          <w:numId w:val="28"/>
        </w:numPr>
        <w:spacing w:before="0" w:after="0" w:line="240" w:lineRule="auto"/>
        <w:contextualSpacing/>
        <w:jc w:val="both"/>
        <w:rPr>
          <w:rFonts w:cs="Calibri"/>
          <w:lang w:eastAsia="en-GB"/>
        </w:rPr>
      </w:pPr>
      <w:r w:rsidRPr="002A3AAE">
        <w:rPr>
          <w:rFonts w:cs="Calibri"/>
          <w:lang w:eastAsia="en-GB"/>
        </w:rPr>
        <w:br w:type="page"/>
      </w:r>
      <w:r w:rsidRPr="002A3AAE">
        <w:rPr>
          <w:rFonts w:cs="Calibri"/>
          <w:lang w:eastAsia="en-GB"/>
        </w:rPr>
        <w:lastRenderedPageBreak/>
        <w:t>Introduction</w:t>
      </w:r>
    </w:p>
    <w:p w14:paraId="74CCEEA1" w14:textId="77777777" w:rsidR="00E3073B" w:rsidRPr="002A3AAE" w:rsidRDefault="00E3073B" w:rsidP="002A3AAE">
      <w:pPr>
        <w:pStyle w:val="NoSpacing"/>
        <w:contextualSpacing/>
        <w:jc w:val="both"/>
        <w:rPr>
          <w:rFonts w:cs="Calibri"/>
        </w:rPr>
      </w:pPr>
    </w:p>
    <w:p w14:paraId="74EB9DA8" w14:textId="77777777" w:rsidR="00E3073B" w:rsidRPr="002A3AAE" w:rsidRDefault="00E3073B" w:rsidP="003E7C37">
      <w:pPr>
        <w:pStyle w:val="NoSpacing"/>
        <w:contextualSpacing/>
        <w:jc w:val="both"/>
        <w:rPr>
          <w:rFonts w:cs="Calibri"/>
        </w:rPr>
      </w:pPr>
      <w:r w:rsidRPr="002A3AAE">
        <w:rPr>
          <w:rFonts w:cs="Calibri"/>
        </w:rPr>
        <w:t xml:space="preserve">Obesity has become an important problem in populations worldwide. Many governments have produced strategies to tackle this problem. In the 20 years since the </w:t>
      </w:r>
      <w:r w:rsidRPr="002A3AAE">
        <w:rPr>
          <w:rFonts w:cs="Calibri"/>
          <w:i/>
          <w:iCs/>
        </w:rPr>
        <w:t xml:space="preserve">Health of the Nation </w:t>
      </w:r>
      <w:r w:rsidRPr="00C63316">
        <w:rPr>
          <w:rFonts w:cs="Calibri"/>
          <w:iCs/>
        </w:rPr>
        <w:t>Strategy</w:t>
      </w:r>
      <w:r w:rsidRPr="00C63316">
        <w:rPr>
          <w:rFonts w:cs="Calibri"/>
        </w:rPr>
        <w:t xml:space="preserve"> </w:t>
      </w:r>
      <w:r w:rsidRPr="002A3AAE">
        <w:rPr>
          <w:rFonts w:cs="Calibri"/>
        </w:rPr>
        <w:t xml:space="preserve">was published in 1992, </w:t>
      </w:r>
      <w:r>
        <w:rPr>
          <w:rFonts w:cs="Calibri"/>
        </w:rPr>
        <w:t>successive</w:t>
      </w:r>
      <w:r w:rsidRPr="002A3AAE">
        <w:rPr>
          <w:rFonts w:cs="Calibri"/>
        </w:rPr>
        <w:t xml:space="preserve"> UK government</w:t>
      </w:r>
      <w:r>
        <w:rPr>
          <w:rFonts w:cs="Calibri"/>
        </w:rPr>
        <w:t>s</w:t>
      </w:r>
      <w:r w:rsidRPr="002A3AAE">
        <w:rPr>
          <w:rFonts w:cs="Calibri"/>
        </w:rPr>
        <w:t xml:space="preserve"> ha</w:t>
      </w:r>
      <w:r>
        <w:rPr>
          <w:rFonts w:cs="Calibri"/>
        </w:rPr>
        <w:t>ve</w:t>
      </w:r>
      <w:r w:rsidRPr="002A3AAE">
        <w:rPr>
          <w:rFonts w:cs="Calibri"/>
        </w:rPr>
        <w:t xml:space="preserve"> commissioned and published numerous documents, targets and strategies to deal with growing levels of obesity.</w:t>
      </w:r>
    </w:p>
    <w:p w14:paraId="0E0C29F3" w14:textId="77777777" w:rsidR="00E3073B" w:rsidRPr="002A3AAE" w:rsidRDefault="00E3073B" w:rsidP="002A3AAE">
      <w:pPr>
        <w:pStyle w:val="NoSpacing"/>
        <w:contextualSpacing/>
        <w:jc w:val="both"/>
        <w:rPr>
          <w:rFonts w:cs="Calibri"/>
        </w:rPr>
      </w:pPr>
    </w:p>
    <w:p w14:paraId="03B202C2" w14:textId="7766103A" w:rsidR="00E3073B" w:rsidRPr="002A3AAE" w:rsidRDefault="00E3073B" w:rsidP="002A3AAE">
      <w:pPr>
        <w:pStyle w:val="NoSpacing"/>
        <w:contextualSpacing/>
        <w:jc w:val="both"/>
        <w:rPr>
          <w:rFonts w:cs="Calibri"/>
        </w:rPr>
      </w:pPr>
      <w:r w:rsidRPr="002A3AAE">
        <w:rPr>
          <w:rFonts w:cs="Calibri"/>
        </w:rPr>
        <w:t>Reliable health data and statistics are the foundation of h</w:t>
      </w:r>
      <w:r w:rsidR="008852F2">
        <w:rPr>
          <w:rFonts w:cs="Calibri"/>
        </w:rPr>
        <w:t xml:space="preserve">ealth policies, strategies, </w:t>
      </w:r>
      <w:r w:rsidRPr="002A3AAE">
        <w:rPr>
          <w:rFonts w:cs="Calibri"/>
        </w:rPr>
        <w:t>evaluation and monitoring and evidence is also the foundation for sound health information for the general public</w:t>
      </w:r>
      <w:r w:rsidR="002038BD">
        <w:rPr>
          <w:rFonts w:cs="Calibri"/>
        </w:rPr>
        <w:t xml:space="preserve"> (</w:t>
      </w:r>
      <w:r w:rsidRPr="002038BD">
        <w:rPr>
          <w:rStyle w:val="EndnoteReference"/>
          <w:vertAlign w:val="baseline"/>
        </w:rPr>
        <w:endnoteReference w:id="2"/>
      </w:r>
      <w:r w:rsidR="002038BD">
        <w:rPr>
          <w:rFonts w:cs="Calibri"/>
        </w:rPr>
        <w:t>)</w:t>
      </w:r>
      <w:r w:rsidRPr="002A3AAE">
        <w:rPr>
          <w:rFonts w:cs="Calibri"/>
        </w:rPr>
        <w:t>.</w:t>
      </w:r>
      <w:r w:rsidR="0009792B">
        <w:rPr>
          <w:rFonts w:cs="Calibri"/>
        </w:rPr>
        <w:t xml:space="preserve"> </w:t>
      </w:r>
      <w:r w:rsidRPr="002A3AAE">
        <w:rPr>
          <w:rFonts w:cs="Calibri"/>
        </w:rPr>
        <w:t>The main source of health data and statistics to inform obesity policies in the UK is the Health Survey for England</w:t>
      </w:r>
      <w:bookmarkStart w:id="0" w:name="_Ref339976575"/>
      <w:r w:rsidR="002038BD">
        <w:rPr>
          <w:rFonts w:cs="Calibri"/>
        </w:rPr>
        <w:t xml:space="preserve"> (</w:t>
      </w:r>
      <w:r w:rsidRPr="002038BD">
        <w:rPr>
          <w:rStyle w:val="EndnoteReference"/>
          <w:rFonts w:cs="Calibri"/>
          <w:vertAlign w:val="baseline"/>
        </w:rPr>
        <w:endnoteReference w:id="3"/>
      </w:r>
      <w:bookmarkEnd w:id="0"/>
      <w:r w:rsidR="002038BD">
        <w:rPr>
          <w:rFonts w:cs="Calibri"/>
        </w:rPr>
        <w:t>)</w:t>
      </w:r>
      <w:r w:rsidRPr="002A3AAE">
        <w:rPr>
          <w:rFonts w:cs="Calibri"/>
        </w:rPr>
        <w:t>.</w:t>
      </w:r>
    </w:p>
    <w:p w14:paraId="5F2077C9" w14:textId="77777777" w:rsidR="00E3073B" w:rsidRPr="002A3AAE" w:rsidRDefault="00E3073B" w:rsidP="002A3AAE">
      <w:pPr>
        <w:pStyle w:val="NoSpacing"/>
        <w:contextualSpacing/>
        <w:jc w:val="both"/>
        <w:rPr>
          <w:rFonts w:cs="Calibri"/>
        </w:rPr>
      </w:pPr>
    </w:p>
    <w:p w14:paraId="7BA03368" w14:textId="21896FF7" w:rsidR="00E3073B" w:rsidRDefault="00E3073B" w:rsidP="003E7C37">
      <w:pPr>
        <w:pStyle w:val="NoSpacing"/>
        <w:contextualSpacing/>
        <w:jc w:val="both"/>
        <w:rPr>
          <w:rFonts w:cs="Calibri"/>
        </w:rPr>
      </w:pPr>
      <w:r w:rsidRPr="002A3AAE">
        <w:rPr>
          <w:rFonts w:cs="Calibri"/>
        </w:rPr>
        <w:t>The Health Survey for England (HSE) is an annual survey which uses a multistage stratified design to sample a nationally representative random cross-section of the free-living general population of England. Following an advance letter to the selected households, an interviewer visits to recruit up to ten adults and up to two children per household. The interviewer collects socio-economic data and information on health and health-related behaviours, and measures height and weight. Participants who agree are then visited by a nurse who measures waist</w:t>
      </w:r>
      <w:r>
        <w:rPr>
          <w:rFonts w:cs="Calibri"/>
        </w:rPr>
        <w:t xml:space="preserve"> and</w:t>
      </w:r>
      <w:r w:rsidRPr="002A3AAE">
        <w:rPr>
          <w:rFonts w:cs="Calibri"/>
        </w:rPr>
        <w:t xml:space="preserve"> hip circumferences and blood pressure, and collects biological samples</w:t>
      </w:r>
      <w:r>
        <w:rPr>
          <w:rFonts w:cs="Calibri"/>
        </w:rPr>
        <w:t xml:space="preserve"> and</w:t>
      </w:r>
      <w:r w:rsidRPr="002A3AAE">
        <w:rPr>
          <w:rFonts w:cs="Calibri"/>
        </w:rPr>
        <w:t xml:space="preserve"> information on medication use. The nurses have also collected infant length, demi span and </w:t>
      </w:r>
      <w:r>
        <w:rPr>
          <w:rFonts w:cs="Calibri"/>
        </w:rPr>
        <w:t>mid-</w:t>
      </w:r>
      <w:r w:rsidRPr="002A3AAE">
        <w:rPr>
          <w:rFonts w:cs="Calibri"/>
        </w:rPr>
        <w:t>upper arm circumference in some years. Field-staff undergo training, with refresher training annually. Data on adults has been collected yearly since 1991 and on children from 1995 onwards.</w:t>
      </w:r>
      <w:r>
        <w:rPr>
          <w:rFonts w:cs="Calibri"/>
        </w:rPr>
        <w:t xml:space="preserve"> In addition to an annual published report, data are </w:t>
      </w:r>
      <w:r w:rsidR="00D5682D">
        <w:rPr>
          <w:rFonts w:cs="Calibri"/>
        </w:rPr>
        <w:t xml:space="preserve">freely </w:t>
      </w:r>
      <w:r>
        <w:rPr>
          <w:rFonts w:cs="Calibri"/>
        </w:rPr>
        <w:t>available through the UK Data Service</w:t>
      </w:r>
      <w:r w:rsidR="00282528">
        <w:rPr>
          <w:rFonts w:cs="Calibri"/>
        </w:rPr>
        <w:t xml:space="preserve"> </w:t>
      </w:r>
      <w:r w:rsidR="00D5682D">
        <w:rPr>
          <w:rFonts w:cs="Calibri"/>
        </w:rPr>
        <w:t>to those in the public or academic sectors,</w:t>
      </w:r>
      <w:r>
        <w:rPr>
          <w:rFonts w:cs="Calibri"/>
        </w:rPr>
        <w:t xml:space="preserve"> and are provided to the Department of Health directly.</w:t>
      </w:r>
    </w:p>
    <w:p w14:paraId="4BE1115F" w14:textId="77777777" w:rsidR="00ED17D0" w:rsidRDefault="00ED17D0" w:rsidP="003E7C37">
      <w:pPr>
        <w:pStyle w:val="NoSpacing"/>
        <w:contextualSpacing/>
        <w:jc w:val="both"/>
        <w:rPr>
          <w:rFonts w:cs="Calibri"/>
        </w:rPr>
      </w:pPr>
    </w:p>
    <w:p w14:paraId="14643544" w14:textId="3F531D22" w:rsidR="00ED17D0" w:rsidRPr="002A3AAE" w:rsidRDefault="00295920" w:rsidP="003E7C37">
      <w:pPr>
        <w:pStyle w:val="NoSpacing"/>
        <w:contextualSpacing/>
        <w:jc w:val="both"/>
        <w:rPr>
          <w:rFonts w:cs="Calibri"/>
        </w:rPr>
      </w:pPr>
      <w:r>
        <w:rPr>
          <w:rFonts w:cs="Calibri"/>
        </w:rPr>
        <w:t>Other countries</w:t>
      </w:r>
      <w:r w:rsidR="00ED17D0">
        <w:rPr>
          <w:rFonts w:cs="Calibri"/>
        </w:rPr>
        <w:t xml:space="preserve"> conduct similar health examination surveys on nationally representat</w:t>
      </w:r>
      <w:r w:rsidR="007351D8">
        <w:rPr>
          <w:rFonts w:cs="Calibri"/>
        </w:rPr>
        <w:t>ive samples of their population, a number are pla</w:t>
      </w:r>
      <w:r w:rsidR="00BC77EE">
        <w:rPr>
          <w:rFonts w:cs="Calibri"/>
        </w:rPr>
        <w:t>nning their first one (</w:t>
      </w:r>
      <w:bookmarkStart w:id="1" w:name="_Ref345327559"/>
      <w:r w:rsidR="00BC77EE" w:rsidRPr="00BC77EE">
        <w:rPr>
          <w:rStyle w:val="EndnoteReference"/>
          <w:vertAlign w:val="baseline"/>
        </w:rPr>
        <w:endnoteReference w:id="4"/>
      </w:r>
      <w:bookmarkEnd w:id="1"/>
      <w:r w:rsidR="007351D8">
        <w:rPr>
          <w:rFonts w:cs="Calibri"/>
        </w:rPr>
        <w:t xml:space="preserve">); others are </w:t>
      </w:r>
      <w:r w:rsidR="00BC77EE">
        <w:rPr>
          <w:rFonts w:cs="Calibri"/>
        </w:rPr>
        <w:t>seeking</w:t>
      </w:r>
      <w:r w:rsidR="007351D8">
        <w:rPr>
          <w:rFonts w:cs="Calibri"/>
        </w:rPr>
        <w:t xml:space="preserve"> evidence of cost-effectiveness to justify funding</w:t>
      </w:r>
      <w:r w:rsidR="00BC77EE">
        <w:rPr>
          <w:rFonts w:cs="Calibri"/>
        </w:rPr>
        <w:t xml:space="preserve"> (</w:t>
      </w:r>
      <w:r w:rsidR="00BC77EE" w:rsidRPr="00BC77EE">
        <w:rPr>
          <w:rStyle w:val="EndnoteReference"/>
          <w:vertAlign w:val="baseline"/>
        </w:rPr>
        <w:endnoteReference w:id="5"/>
      </w:r>
      <w:r w:rsidR="007351D8">
        <w:rPr>
          <w:rFonts w:cs="Calibri"/>
        </w:rPr>
        <w:t>). Most health examination surveys</w:t>
      </w:r>
      <w:r w:rsidR="00ED17D0">
        <w:rPr>
          <w:rFonts w:cs="Calibri"/>
        </w:rPr>
        <w:t xml:space="preserve"> have been </w:t>
      </w:r>
      <w:r w:rsidR="007351D8">
        <w:rPr>
          <w:rFonts w:cs="Calibri"/>
        </w:rPr>
        <w:t>conducted for</w:t>
      </w:r>
      <w:r w:rsidR="00ED17D0">
        <w:rPr>
          <w:rFonts w:cs="Calibri"/>
        </w:rPr>
        <w:t xml:space="preserve"> a single time</w:t>
      </w:r>
      <w:r w:rsidR="007351D8">
        <w:rPr>
          <w:rFonts w:cs="Calibri"/>
        </w:rPr>
        <w:t xml:space="preserve"> </w:t>
      </w:r>
      <w:r w:rsidR="00ED17D0">
        <w:rPr>
          <w:rFonts w:cs="Calibri"/>
        </w:rPr>
        <w:t xml:space="preserve">point, however others are long running, such as the National Health </w:t>
      </w:r>
      <w:proofErr w:type="gramStart"/>
      <w:r w:rsidR="00ED17D0">
        <w:rPr>
          <w:rFonts w:cs="Calibri"/>
        </w:rPr>
        <w:t>And</w:t>
      </w:r>
      <w:proofErr w:type="gramEnd"/>
      <w:r w:rsidR="00ED17D0">
        <w:rPr>
          <w:rFonts w:cs="Calibri"/>
        </w:rPr>
        <w:t xml:space="preserve"> Nutrition Examination Survey </w:t>
      </w:r>
      <w:r w:rsidR="00282528">
        <w:rPr>
          <w:rFonts w:cs="Calibri"/>
        </w:rPr>
        <w:t xml:space="preserve">(NHANES) </w:t>
      </w:r>
      <w:r w:rsidR="00ED17D0">
        <w:rPr>
          <w:rFonts w:cs="Calibri"/>
        </w:rPr>
        <w:t>in the USA, which began in the 1960s and became continuous in 1999; and FINRISK in Finland, updated every 5 years, since 1972. The Health Survey for England has been annual since it began, with the logistics of a smaller annual survey more efficient in terms of staff recruitment, retention and trainin</w:t>
      </w:r>
      <w:r w:rsidR="00F82B6E">
        <w:rPr>
          <w:rFonts w:cs="Calibri"/>
        </w:rPr>
        <w:t>g and</w:t>
      </w:r>
      <w:r w:rsidR="00ED17D0">
        <w:rPr>
          <w:rFonts w:cs="Calibri"/>
        </w:rPr>
        <w:t xml:space="preserve"> survey output more responsive to changes</w:t>
      </w:r>
      <w:r w:rsidR="00E023CF">
        <w:rPr>
          <w:rFonts w:cs="Calibri"/>
        </w:rPr>
        <w:t xml:space="preserve"> in national priorities</w:t>
      </w:r>
      <w:r w:rsidR="00ED17D0">
        <w:rPr>
          <w:rFonts w:cs="Calibri"/>
        </w:rPr>
        <w:t>.</w:t>
      </w:r>
      <w:r w:rsidR="006C5BF1">
        <w:rPr>
          <w:rFonts w:cs="Calibri"/>
        </w:rPr>
        <w:t xml:space="preserve"> The only other country to have annual measured height and weight for a general population sample is Japan</w:t>
      </w:r>
      <w:bookmarkStart w:id="2" w:name="_Ref345061490"/>
      <w:r w:rsidR="00DF74F1">
        <w:rPr>
          <w:rFonts w:cs="Calibri"/>
        </w:rPr>
        <w:t xml:space="preserve"> </w:t>
      </w:r>
      <w:r w:rsidR="001D2988">
        <w:rPr>
          <w:rFonts w:cs="Calibri"/>
        </w:rPr>
        <w:t>(</w:t>
      </w:r>
      <w:r w:rsidR="00324F93" w:rsidRPr="001D2988">
        <w:rPr>
          <w:rStyle w:val="EndnoteReference"/>
          <w:vertAlign w:val="baseline"/>
        </w:rPr>
        <w:endnoteReference w:id="6"/>
      </w:r>
      <w:bookmarkEnd w:id="2"/>
      <w:r w:rsidR="001D2988">
        <w:rPr>
          <w:rFonts w:cs="Calibri"/>
        </w:rPr>
        <w:t>)</w:t>
      </w:r>
      <w:r w:rsidR="006C5BF1">
        <w:rPr>
          <w:rFonts w:cs="Calibri"/>
        </w:rPr>
        <w:t>.</w:t>
      </w:r>
    </w:p>
    <w:p w14:paraId="635C3DAE" w14:textId="77777777" w:rsidR="00E3073B" w:rsidRPr="002A3AAE" w:rsidRDefault="00E3073B" w:rsidP="002A3AAE">
      <w:pPr>
        <w:pStyle w:val="NoSpacing"/>
        <w:contextualSpacing/>
        <w:jc w:val="both"/>
        <w:rPr>
          <w:rFonts w:cs="Calibri"/>
        </w:rPr>
      </w:pPr>
    </w:p>
    <w:p w14:paraId="64B71D17" w14:textId="77777777" w:rsidR="00E3073B" w:rsidRDefault="00E3073B" w:rsidP="00DF0C6F">
      <w:pPr>
        <w:pStyle w:val="NoSpacing"/>
        <w:contextualSpacing/>
        <w:jc w:val="both"/>
        <w:rPr>
          <w:rFonts w:cs="Calibri"/>
        </w:rPr>
      </w:pPr>
      <w:r w:rsidRPr="002A3AAE">
        <w:rPr>
          <w:rFonts w:cs="Calibri"/>
        </w:rPr>
        <w:t xml:space="preserve">The Health Survey for England results from a 1988 ‘command’ paper </w:t>
      </w:r>
      <w:r w:rsidRPr="002A3AAE">
        <w:rPr>
          <w:rFonts w:cs="Calibri"/>
          <w:i/>
          <w:iCs/>
        </w:rPr>
        <w:t>Public Health in England</w:t>
      </w:r>
      <w:r w:rsidR="00E9335C">
        <w:rPr>
          <w:rFonts w:cs="Calibri"/>
          <w:i/>
          <w:iCs/>
        </w:rPr>
        <w:t xml:space="preserve"> </w:t>
      </w:r>
      <w:r w:rsidR="00E9335C" w:rsidRPr="00E9335C">
        <w:rPr>
          <w:rFonts w:cs="Calibri"/>
          <w:iCs/>
        </w:rPr>
        <w:t>(</w:t>
      </w:r>
      <w:r w:rsidRPr="00E9335C">
        <w:rPr>
          <w:rStyle w:val="EndnoteReference"/>
          <w:rFonts w:cs="Calibri"/>
          <w:iCs/>
          <w:vertAlign w:val="baseline"/>
        </w:rPr>
        <w:endnoteReference w:id="7"/>
      </w:r>
      <w:r w:rsidR="00E9335C" w:rsidRPr="00E9335C">
        <w:rPr>
          <w:rFonts w:cs="Calibri"/>
          <w:iCs/>
        </w:rPr>
        <w:t>)</w:t>
      </w:r>
      <w:r w:rsidRPr="002A3AAE">
        <w:rPr>
          <w:rFonts w:cs="Calibri"/>
          <w:i/>
          <w:iCs/>
        </w:rPr>
        <w:t>.</w:t>
      </w:r>
      <w:r w:rsidRPr="002A3AAE">
        <w:rPr>
          <w:rFonts w:cs="Calibri"/>
        </w:rPr>
        <w:t xml:space="preserve"> This paper also led to the publication of the </w:t>
      </w:r>
      <w:r w:rsidRPr="002A3AAE">
        <w:rPr>
          <w:rFonts w:cs="Calibri"/>
          <w:i/>
          <w:iCs/>
        </w:rPr>
        <w:t>Health of the Nation</w:t>
      </w:r>
      <w:r w:rsidRPr="002A3AAE">
        <w:rPr>
          <w:rFonts w:cs="Calibri"/>
        </w:rPr>
        <w:t xml:space="preserve"> strategy in 1992</w:t>
      </w:r>
      <w:bookmarkStart w:id="4" w:name="_Ref339972872"/>
      <w:r w:rsidR="00F43315">
        <w:rPr>
          <w:rFonts w:cs="Calibri"/>
        </w:rPr>
        <w:t xml:space="preserve"> (</w:t>
      </w:r>
      <w:bookmarkStart w:id="5" w:name="_Ref341278526"/>
      <w:r w:rsidRPr="00F43315">
        <w:rPr>
          <w:rStyle w:val="EndnoteReference"/>
          <w:rFonts w:cs="Calibri"/>
          <w:vertAlign w:val="baseline"/>
        </w:rPr>
        <w:endnoteReference w:id="8"/>
      </w:r>
      <w:bookmarkEnd w:id="4"/>
      <w:bookmarkEnd w:id="5"/>
      <w:r w:rsidR="00F43315">
        <w:rPr>
          <w:rFonts w:cs="Calibri"/>
        </w:rPr>
        <w:t>)</w:t>
      </w:r>
      <w:r w:rsidRPr="002A3AAE">
        <w:rPr>
          <w:rFonts w:cs="Calibri"/>
        </w:rPr>
        <w:t xml:space="preserve">. </w:t>
      </w:r>
      <w:r w:rsidRPr="002A3AAE">
        <w:rPr>
          <w:rFonts w:cs="Calibri"/>
          <w:i/>
        </w:rPr>
        <w:t>The Health of the Nation</w:t>
      </w:r>
      <w:r w:rsidRPr="002A3AAE">
        <w:rPr>
          <w:rFonts w:cs="Calibri"/>
        </w:rPr>
        <w:t xml:space="preserve"> provided a strategic approach to improving the health of the popul</w:t>
      </w:r>
      <w:r w:rsidR="002A377D">
        <w:rPr>
          <w:rFonts w:cs="Calibri"/>
        </w:rPr>
        <w:t>ation. It was the first time a</w:t>
      </w:r>
      <w:r w:rsidRPr="002A3AAE">
        <w:rPr>
          <w:rFonts w:cs="Calibri"/>
        </w:rPr>
        <w:t xml:space="preserve"> UK government had set out to do this. The strategy included a series of targets</w:t>
      </w:r>
      <w:r>
        <w:rPr>
          <w:rFonts w:cs="Calibri"/>
        </w:rPr>
        <w:t>; the</w:t>
      </w:r>
      <w:r w:rsidRPr="002A3AAE">
        <w:rPr>
          <w:rFonts w:cs="Calibri"/>
        </w:rPr>
        <w:t xml:space="preserve"> Health Survey for England </w:t>
      </w:r>
      <w:r>
        <w:rPr>
          <w:rFonts w:cs="Calibri"/>
        </w:rPr>
        <w:t xml:space="preserve">was to be used to </w:t>
      </w:r>
      <w:r w:rsidRPr="002A3AAE">
        <w:rPr>
          <w:rFonts w:cs="Calibri"/>
        </w:rPr>
        <w:t>monitor targets</w:t>
      </w:r>
      <w:r>
        <w:rPr>
          <w:rFonts w:cs="Calibri"/>
        </w:rPr>
        <w:t xml:space="preserve"> </w:t>
      </w:r>
      <w:r w:rsidR="002A377D">
        <w:rPr>
          <w:rFonts w:cs="Calibri"/>
        </w:rPr>
        <w:t>where</w:t>
      </w:r>
      <w:r>
        <w:rPr>
          <w:rFonts w:cs="Calibri"/>
        </w:rPr>
        <w:t xml:space="preserve"> </w:t>
      </w:r>
      <w:r w:rsidRPr="002A3AAE">
        <w:rPr>
          <w:rFonts w:cs="Calibri"/>
        </w:rPr>
        <w:t>a data deficit had been identified.</w:t>
      </w:r>
    </w:p>
    <w:p w14:paraId="5FE3F63C" w14:textId="77777777" w:rsidR="00E3073B" w:rsidRPr="002A3AAE" w:rsidRDefault="00E3073B" w:rsidP="002A3AAE">
      <w:pPr>
        <w:pStyle w:val="NoSpacing"/>
        <w:contextualSpacing/>
        <w:jc w:val="both"/>
        <w:rPr>
          <w:rFonts w:cs="Calibri"/>
        </w:rPr>
      </w:pPr>
    </w:p>
    <w:p w14:paraId="476A57CE" w14:textId="57E13FFB" w:rsidR="00E3073B" w:rsidRPr="002A3AAE" w:rsidRDefault="00E3073B" w:rsidP="00C803D1">
      <w:pPr>
        <w:pStyle w:val="NoSpacing"/>
        <w:contextualSpacing/>
        <w:jc w:val="both"/>
        <w:rPr>
          <w:rFonts w:cs="Calibri"/>
        </w:rPr>
      </w:pPr>
      <w:r w:rsidRPr="002A3AAE">
        <w:rPr>
          <w:rFonts w:cs="Calibri"/>
        </w:rPr>
        <w:t xml:space="preserve">The </w:t>
      </w:r>
      <w:r w:rsidRPr="002A3AAE">
        <w:rPr>
          <w:rFonts w:cs="Calibri"/>
          <w:i/>
        </w:rPr>
        <w:t>Health of the Nation</w:t>
      </w:r>
      <w:r w:rsidRPr="002A3AAE">
        <w:rPr>
          <w:rFonts w:cs="Calibri"/>
        </w:rPr>
        <w:t xml:space="preserve"> included an obesity target. This target was set after examination of the Office for National Statistics survey data </w:t>
      </w:r>
      <w:r w:rsidRPr="002A3AAE">
        <w:rPr>
          <w:rFonts w:cs="Calibri"/>
          <w:i/>
        </w:rPr>
        <w:t>The Heights and Weights of Adults in Great Britain, 1980</w:t>
      </w:r>
      <w:r w:rsidR="00F43315">
        <w:rPr>
          <w:rFonts w:cs="Calibri"/>
          <w:i/>
        </w:rPr>
        <w:t xml:space="preserve"> </w:t>
      </w:r>
      <w:r w:rsidR="00F43315" w:rsidRPr="00F43315">
        <w:rPr>
          <w:rFonts w:cs="Calibri"/>
        </w:rPr>
        <w:t>(</w:t>
      </w:r>
      <w:r w:rsidRPr="00F43315">
        <w:rPr>
          <w:rStyle w:val="EndnoteReference"/>
          <w:rFonts w:cs="Calibri"/>
          <w:vertAlign w:val="baseline"/>
        </w:rPr>
        <w:endnoteReference w:id="9"/>
      </w:r>
      <w:r w:rsidR="00F43315" w:rsidRPr="00F43315">
        <w:rPr>
          <w:rFonts w:cs="Calibri"/>
        </w:rPr>
        <w:t>)</w:t>
      </w:r>
      <w:r w:rsidRPr="00F43315">
        <w:rPr>
          <w:rFonts w:cs="Calibri"/>
        </w:rPr>
        <w:t xml:space="preserve"> </w:t>
      </w:r>
      <w:r w:rsidRPr="002A3AAE">
        <w:rPr>
          <w:rFonts w:cs="Calibri"/>
        </w:rPr>
        <w:t xml:space="preserve">where obesity prevalence was 6% of men and 8% of women and data from </w:t>
      </w:r>
      <w:r w:rsidRPr="002A3AAE">
        <w:rPr>
          <w:rFonts w:cs="Calibri"/>
          <w:i/>
        </w:rPr>
        <w:t>The Dietary and Nutritional Survey of British Adults, 1986/7</w:t>
      </w:r>
      <w:r w:rsidRPr="002A3AAE">
        <w:rPr>
          <w:rFonts w:cs="Calibri"/>
        </w:rPr>
        <w:t xml:space="preserve"> which showed that obesity prevalence was 8% of men and 12% of women</w:t>
      </w:r>
      <w:r w:rsidR="00F43315">
        <w:rPr>
          <w:rFonts w:cs="Calibri"/>
        </w:rPr>
        <w:t xml:space="preserve"> (</w:t>
      </w:r>
      <w:r w:rsidRPr="00F43315">
        <w:rPr>
          <w:rStyle w:val="EndnoteReference"/>
          <w:rFonts w:cs="Calibri"/>
          <w:vertAlign w:val="baseline"/>
        </w:rPr>
        <w:endnoteReference w:id="10"/>
      </w:r>
      <w:r w:rsidR="00F43315">
        <w:rPr>
          <w:rFonts w:cs="Calibri"/>
        </w:rPr>
        <w:t>)</w:t>
      </w:r>
      <w:r w:rsidRPr="002A3AAE">
        <w:rPr>
          <w:rFonts w:cs="Calibri"/>
        </w:rPr>
        <w:t>. In both cases</w:t>
      </w:r>
      <w:r>
        <w:rPr>
          <w:rFonts w:cs="Calibri"/>
        </w:rPr>
        <w:t>,</w:t>
      </w:r>
      <w:r w:rsidRPr="002A3AAE">
        <w:rPr>
          <w:rFonts w:cs="Calibri"/>
        </w:rPr>
        <w:t xml:space="preserve"> these data described the population aged 16-64. The </w:t>
      </w:r>
      <w:r w:rsidRPr="002A3AAE">
        <w:rPr>
          <w:rFonts w:cs="Calibri"/>
          <w:i/>
        </w:rPr>
        <w:t>Health of the Nation</w:t>
      </w:r>
      <w:r w:rsidRPr="002A3AAE">
        <w:rPr>
          <w:rFonts w:cs="Calibri"/>
        </w:rPr>
        <w:t xml:space="preserve"> target was set as follows:</w:t>
      </w:r>
      <w:r w:rsidRPr="002A3AAE">
        <w:rPr>
          <w:rFonts w:cs="Calibri"/>
          <w:lang w:eastAsia="en-GB"/>
        </w:rPr>
        <w:t xml:space="preserve"> </w:t>
      </w:r>
      <w:r w:rsidRPr="002A3AAE">
        <w:rPr>
          <w:rStyle w:val="QuoteChar"/>
          <w:rFonts w:cs="Calibri"/>
        </w:rPr>
        <w:t>“</w:t>
      </w:r>
      <w:r w:rsidRPr="002A3AAE">
        <w:rPr>
          <w:rStyle w:val="QuoteChar"/>
          <w:rFonts w:cs="Calibri"/>
          <w:i w:val="0"/>
          <w:color w:val="404040"/>
        </w:rPr>
        <w:t>To reduce the proportion of men and women aged 16-64 who are obese by at least 25% and 33% respectively by 2005 to no more than 6% of men and 8% of women</w:t>
      </w:r>
      <w:r w:rsidRPr="002A3AAE">
        <w:rPr>
          <w:rStyle w:val="QuoteChar"/>
          <w:rFonts w:cs="Calibri"/>
        </w:rPr>
        <w:t>”</w:t>
      </w:r>
      <w:r w:rsidR="00F43315">
        <w:rPr>
          <w:rStyle w:val="QuoteChar"/>
          <w:rFonts w:cs="Calibri"/>
        </w:rPr>
        <w:t xml:space="preserve"> </w:t>
      </w:r>
      <w:r w:rsidR="00F43315" w:rsidRPr="00F43315">
        <w:rPr>
          <w:rStyle w:val="QuoteChar"/>
          <w:rFonts w:cs="Calibri"/>
          <w:i w:val="0"/>
        </w:rPr>
        <w:t>(</w:t>
      </w:r>
      <w:r w:rsidRPr="00F43315">
        <w:fldChar w:fldCharType="begin"/>
      </w:r>
      <w:r w:rsidRPr="00F43315">
        <w:instrText xml:space="preserve"> NOTEREF _Ref339972872 \h  \* MERGEFORMAT </w:instrText>
      </w:r>
      <w:r w:rsidRPr="00F43315">
        <w:fldChar w:fldCharType="separate"/>
      </w:r>
      <w:r w:rsidR="009462C5">
        <w:t>7</w:t>
      </w:r>
      <w:r w:rsidRPr="00F43315">
        <w:fldChar w:fldCharType="end"/>
      </w:r>
      <w:r w:rsidR="00F43315" w:rsidRPr="00F43315">
        <w:t>)</w:t>
      </w:r>
      <w:r w:rsidRPr="002A3AAE">
        <w:rPr>
          <w:rFonts w:cs="Calibri"/>
          <w:lang w:eastAsia="en-GB"/>
        </w:rPr>
        <w:t>. In 2005, HSE data showed that 22% of men and 23% of women aged 16-64 were obese</w:t>
      </w:r>
      <w:r w:rsidR="00F43315">
        <w:rPr>
          <w:rFonts w:cs="Calibri"/>
          <w:lang w:eastAsia="en-GB"/>
        </w:rPr>
        <w:t xml:space="preserve"> (</w:t>
      </w:r>
      <w:r w:rsidRPr="00F43315">
        <w:rPr>
          <w:rStyle w:val="EndnoteReference"/>
          <w:rFonts w:cs="Calibri"/>
          <w:vertAlign w:val="baseline"/>
          <w:lang w:eastAsia="en-GB"/>
        </w:rPr>
        <w:endnoteReference w:id="11"/>
      </w:r>
      <w:r w:rsidR="00F43315">
        <w:rPr>
          <w:rFonts w:cs="Calibri"/>
          <w:lang w:eastAsia="en-GB"/>
        </w:rPr>
        <w:t>)</w:t>
      </w:r>
      <w:r w:rsidRPr="002A3AAE">
        <w:rPr>
          <w:rFonts w:cs="Calibri"/>
          <w:lang w:eastAsia="en-GB"/>
        </w:rPr>
        <w:t>.</w:t>
      </w:r>
      <w:r w:rsidRPr="002A3AAE">
        <w:rPr>
          <w:rFonts w:cs="Calibri"/>
        </w:rPr>
        <w:t xml:space="preserve"> Rather than demonstrating a government failure, the failure to reach the target illustrates the </w:t>
      </w:r>
      <w:r w:rsidRPr="002A3AAE">
        <w:rPr>
          <w:rFonts w:cs="Calibri"/>
        </w:rPr>
        <w:lastRenderedPageBreak/>
        <w:t>lack of understanding of the scale of the problem or the rate at which it was growing before Health Survey for England data were</w:t>
      </w:r>
      <w:r w:rsidR="00AE6B03">
        <w:rPr>
          <w:rFonts w:cs="Calibri"/>
        </w:rPr>
        <w:t xml:space="preserve"> available</w:t>
      </w:r>
      <w:r w:rsidRPr="002A3AAE">
        <w:rPr>
          <w:rFonts w:cs="Calibri"/>
        </w:rPr>
        <w:t xml:space="preserve">. In retrospect, the </w:t>
      </w:r>
      <w:r w:rsidRPr="002A3AAE">
        <w:rPr>
          <w:rFonts w:cs="Calibri"/>
          <w:i/>
        </w:rPr>
        <w:t>Health of the Nation</w:t>
      </w:r>
      <w:r w:rsidRPr="002A3AAE">
        <w:rPr>
          <w:rFonts w:cs="Calibri"/>
        </w:rPr>
        <w:t xml:space="preserve"> obesity target may be perceived as awry, but it was set by intelligent civil servants working with the best data available at the time. Had year-on-year data been available, a different target might have been set.</w:t>
      </w:r>
    </w:p>
    <w:p w14:paraId="55B744EA" w14:textId="77777777" w:rsidR="00E3073B" w:rsidRPr="002A3AAE" w:rsidRDefault="00E3073B" w:rsidP="002A3AAE">
      <w:pPr>
        <w:pStyle w:val="NoSpacing"/>
        <w:contextualSpacing/>
        <w:jc w:val="both"/>
        <w:rPr>
          <w:rFonts w:cs="Calibri"/>
        </w:rPr>
      </w:pPr>
    </w:p>
    <w:p w14:paraId="6E6F7C3E" w14:textId="45B11321" w:rsidR="00E023CF" w:rsidRPr="002A3AAE" w:rsidRDefault="00BD2298" w:rsidP="002A3AAE">
      <w:pPr>
        <w:pStyle w:val="NoSpacing"/>
        <w:contextualSpacing/>
        <w:jc w:val="both"/>
        <w:rPr>
          <w:rFonts w:cs="Calibri"/>
        </w:rPr>
      </w:pPr>
      <w:r>
        <w:rPr>
          <w:rFonts w:cs="Calibri"/>
        </w:rPr>
        <w:t>P</w:t>
      </w:r>
      <w:r w:rsidR="008852F2">
        <w:rPr>
          <w:rFonts w:cs="Calibri"/>
        </w:rPr>
        <w:t>olicy-</w:t>
      </w:r>
      <w:r w:rsidR="00E3073B" w:rsidRPr="002A3AAE">
        <w:rPr>
          <w:rFonts w:cs="Calibri"/>
        </w:rPr>
        <w:t>making</w:t>
      </w:r>
      <w:r>
        <w:rPr>
          <w:rFonts w:cs="Calibri"/>
        </w:rPr>
        <w:t xml:space="preserve"> includes several stages</w:t>
      </w:r>
      <w:r w:rsidR="00E3073B">
        <w:rPr>
          <w:rFonts w:cs="Calibri"/>
        </w:rPr>
        <w:t>:</w:t>
      </w:r>
      <w:r w:rsidR="00E3073B" w:rsidRPr="002A3AAE">
        <w:rPr>
          <w:rFonts w:cs="Calibri"/>
        </w:rPr>
        <w:t xml:space="preserve"> from identifying, quantifying and promoting recognition of </w:t>
      </w:r>
      <w:r>
        <w:rPr>
          <w:rFonts w:cs="Calibri"/>
        </w:rPr>
        <w:t>a</w:t>
      </w:r>
      <w:r w:rsidRPr="002A3AAE">
        <w:rPr>
          <w:rFonts w:cs="Calibri"/>
        </w:rPr>
        <w:t xml:space="preserve"> </w:t>
      </w:r>
      <w:r w:rsidR="00E3073B" w:rsidRPr="002A3AAE">
        <w:rPr>
          <w:rFonts w:cs="Calibri"/>
        </w:rPr>
        <w:t>health issue to seek or to justify policy intervention; through strategy development, including impact assessment and selection of targets; to target monitoring and policy evaluation.</w:t>
      </w:r>
      <w:r w:rsidR="00B42925">
        <w:rPr>
          <w:rFonts w:cs="Calibri"/>
        </w:rPr>
        <w:t xml:space="preserve"> </w:t>
      </w:r>
      <w:r w:rsidR="00DB017A">
        <w:rPr>
          <w:rFonts w:cs="Calibri"/>
        </w:rPr>
        <w:t xml:space="preserve">This paper examines </w:t>
      </w:r>
      <w:r w:rsidR="000C4610">
        <w:rPr>
          <w:rFonts w:cs="Calibri"/>
        </w:rPr>
        <w:t xml:space="preserve">where and </w:t>
      </w:r>
      <w:r w:rsidR="00DB017A">
        <w:rPr>
          <w:rFonts w:cs="Calibri"/>
        </w:rPr>
        <w:t>how the measured height and weight data from the Health Survey for England have been used by obesity policy makers in the UK. S</w:t>
      </w:r>
      <w:r w:rsidR="00E3073B" w:rsidRPr="002A3AAE">
        <w:rPr>
          <w:rFonts w:cs="Calibri"/>
        </w:rPr>
        <w:t xml:space="preserve">pecific examples </w:t>
      </w:r>
      <w:r w:rsidR="00DB017A">
        <w:rPr>
          <w:rFonts w:cs="Calibri"/>
        </w:rPr>
        <w:t>are presented</w:t>
      </w:r>
      <w:r w:rsidR="00E3073B" w:rsidRPr="002A3AAE">
        <w:rPr>
          <w:rFonts w:cs="Calibri"/>
        </w:rPr>
        <w:t>.</w:t>
      </w:r>
      <w:r w:rsidR="00B42925">
        <w:rPr>
          <w:rFonts w:cs="Calibri"/>
        </w:rPr>
        <w:t xml:space="preserve"> These are internationally relevant, where the potential of annual measured heights and weights to affect obesity policy is being considered.</w:t>
      </w:r>
    </w:p>
    <w:p w14:paraId="45FE4E09" w14:textId="77777777" w:rsidR="00E3073B" w:rsidRDefault="00E3073B" w:rsidP="00C43054">
      <w:pPr>
        <w:pStyle w:val="Heading2"/>
        <w:numPr>
          <w:ilvl w:val="0"/>
          <w:numId w:val="28"/>
        </w:numPr>
      </w:pPr>
      <w:r>
        <w:t xml:space="preserve">Uses of the Health Survey for </w:t>
      </w:r>
      <w:smartTag w:uri="urn:schemas-microsoft-com:office:smarttags" w:element="country-region">
        <w:smartTag w:uri="urn:schemas-microsoft-com:office:smarttags" w:element="place">
          <w:r>
            <w:t>England</w:t>
          </w:r>
        </w:smartTag>
      </w:smartTag>
    </w:p>
    <w:p w14:paraId="48047E52" w14:textId="77777777" w:rsidR="00E3073B" w:rsidRDefault="00E3073B" w:rsidP="002A3AAE">
      <w:pPr>
        <w:pStyle w:val="Heading3"/>
        <w:spacing w:before="0" w:after="0" w:line="240" w:lineRule="auto"/>
        <w:contextualSpacing/>
        <w:jc w:val="both"/>
        <w:rPr>
          <w:rFonts w:cs="Calibri"/>
        </w:rPr>
      </w:pPr>
    </w:p>
    <w:p w14:paraId="6F6EDB77" w14:textId="77777777" w:rsidR="00E3073B" w:rsidRPr="002A3AAE" w:rsidRDefault="00E3073B" w:rsidP="002A3AAE">
      <w:pPr>
        <w:pStyle w:val="Heading3"/>
        <w:spacing w:before="0" w:after="0" w:line="240" w:lineRule="auto"/>
        <w:contextualSpacing/>
        <w:jc w:val="both"/>
        <w:rPr>
          <w:rFonts w:cs="Calibri"/>
        </w:rPr>
      </w:pPr>
      <w:r>
        <w:rPr>
          <w:rFonts w:cs="Calibri"/>
        </w:rPr>
        <w:t xml:space="preserve">2.1 </w:t>
      </w:r>
      <w:r w:rsidRPr="002A3AAE">
        <w:rPr>
          <w:rFonts w:cs="Calibri"/>
        </w:rPr>
        <w:t>Quantifying the Obesity Problem in England</w:t>
      </w:r>
    </w:p>
    <w:p w14:paraId="0AE64F9B" w14:textId="77777777" w:rsidR="00E3073B" w:rsidRDefault="00E3073B" w:rsidP="002A3AAE">
      <w:pPr>
        <w:pStyle w:val="NoSpacing"/>
        <w:contextualSpacing/>
        <w:jc w:val="both"/>
        <w:rPr>
          <w:rFonts w:cs="Calibri"/>
        </w:rPr>
      </w:pPr>
    </w:p>
    <w:p w14:paraId="4088AC06" w14:textId="482798BF" w:rsidR="00E3073B" w:rsidRPr="002A3AAE" w:rsidRDefault="00E3073B" w:rsidP="00DF0C6F">
      <w:pPr>
        <w:pStyle w:val="NoSpacing"/>
        <w:contextualSpacing/>
        <w:jc w:val="both"/>
        <w:rPr>
          <w:rFonts w:cs="Calibri"/>
        </w:rPr>
      </w:pPr>
      <w:r w:rsidRPr="002A3AAE">
        <w:rPr>
          <w:rFonts w:cs="Calibri"/>
        </w:rPr>
        <w:t>The Health Survey for England began in 1991</w:t>
      </w:r>
      <w:r w:rsidR="00BD2298">
        <w:rPr>
          <w:rFonts w:cs="Calibri"/>
        </w:rPr>
        <w:t>,</w:t>
      </w:r>
      <w:r w:rsidRPr="002A3AAE">
        <w:rPr>
          <w:rFonts w:cs="Calibri"/>
        </w:rPr>
        <w:t xml:space="preserve"> when 53% of men and 44% of women were found to be overweight </w:t>
      </w:r>
      <w:r>
        <w:rPr>
          <w:rFonts w:cs="Calibri"/>
        </w:rPr>
        <w:t>(body mass index, BMI 25-29.9kg/</w:t>
      </w:r>
      <w:r w:rsidRPr="00DF0C6F">
        <w:rPr>
          <w:rFonts w:cs="Calibri"/>
        </w:rPr>
        <w:t>m</w:t>
      </w:r>
      <w:r>
        <w:rPr>
          <w:rFonts w:cs="Calibri"/>
          <w:vertAlign w:val="superscript"/>
        </w:rPr>
        <w:t>2</w:t>
      </w:r>
      <w:r w:rsidR="001C71B3">
        <w:rPr>
          <w:rFonts w:cs="Calibri"/>
        </w:rPr>
        <w:t>) o</w:t>
      </w:r>
      <w:r w:rsidRPr="00DF0C6F">
        <w:rPr>
          <w:rFonts w:cs="Calibri"/>
        </w:rPr>
        <w:t>r</w:t>
      </w:r>
      <w:r w:rsidRPr="002A3AAE">
        <w:rPr>
          <w:rFonts w:cs="Calibri"/>
        </w:rPr>
        <w:t xml:space="preserve"> obese</w:t>
      </w:r>
      <w:r>
        <w:rPr>
          <w:rFonts w:cs="Calibri"/>
        </w:rPr>
        <w:t xml:space="preserve"> </w:t>
      </w:r>
      <w:r w:rsidR="001C71B3">
        <w:rPr>
          <w:rFonts w:cs="Calibri"/>
        </w:rPr>
        <w:t>(</w:t>
      </w:r>
      <w:r>
        <w:rPr>
          <w:rFonts w:cs="Calibri"/>
        </w:rPr>
        <w:t>BMI ≥30kg/m</w:t>
      </w:r>
      <w:r>
        <w:rPr>
          <w:rFonts w:cs="Calibri"/>
          <w:vertAlign w:val="superscript"/>
        </w:rPr>
        <w:t>2</w:t>
      </w:r>
      <w:r w:rsidR="001C71B3">
        <w:rPr>
          <w:rFonts w:cs="Calibri"/>
        </w:rPr>
        <w:t xml:space="preserve">) </w:t>
      </w:r>
      <w:r w:rsidR="00F43315">
        <w:rPr>
          <w:rFonts w:cs="Calibri"/>
        </w:rPr>
        <w:t>(</w:t>
      </w:r>
      <w:r w:rsidRPr="00F43315">
        <w:rPr>
          <w:rStyle w:val="EndnoteReference"/>
          <w:rFonts w:cs="Calibri"/>
          <w:vertAlign w:val="baseline"/>
        </w:rPr>
        <w:endnoteReference w:id="12"/>
      </w:r>
      <w:r w:rsidR="00F43315">
        <w:rPr>
          <w:rFonts w:cs="Calibri"/>
        </w:rPr>
        <w:t>)</w:t>
      </w:r>
      <w:r w:rsidRPr="002A3AAE">
        <w:rPr>
          <w:rFonts w:cs="Calibri"/>
        </w:rPr>
        <w:t>. Children were first surveyed in 1995</w:t>
      </w:r>
      <w:r w:rsidR="00BD2298">
        <w:rPr>
          <w:rFonts w:cs="Calibri"/>
        </w:rPr>
        <w:t>;</w:t>
      </w:r>
      <w:r w:rsidRPr="002A3AAE">
        <w:rPr>
          <w:rFonts w:cs="Calibri"/>
        </w:rPr>
        <w:t xml:space="preserve"> 24% of boys and 26% of girls aged 2-15 years were </w:t>
      </w:r>
      <w:r w:rsidR="00F528B3">
        <w:rPr>
          <w:rFonts w:cs="Calibri"/>
        </w:rPr>
        <w:t xml:space="preserve">overweight or </w:t>
      </w:r>
      <w:r w:rsidRPr="002A3AAE">
        <w:rPr>
          <w:rFonts w:cs="Calibri"/>
        </w:rPr>
        <w:t>obese</w:t>
      </w:r>
      <w:r>
        <w:rPr>
          <w:rFonts w:cs="Calibri"/>
        </w:rPr>
        <w:t xml:space="preserve"> (defined as on or above the </w:t>
      </w:r>
      <w:r w:rsidR="00F528B3">
        <w:rPr>
          <w:rFonts w:cs="Calibri"/>
        </w:rPr>
        <w:t>85</w:t>
      </w:r>
      <w:r w:rsidR="00A00B24" w:rsidRPr="00A00B24">
        <w:rPr>
          <w:rFonts w:cs="Calibri"/>
          <w:vertAlign w:val="superscript"/>
        </w:rPr>
        <w:t>th</w:t>
      </w:r>
      <w:r w:rsidR="00F528B3">
        <w:rPr>
          <w:rFonts w:cs="Calibri"/>
        </w:rPr>
        <w:t xml:space="preserve"> or </w:t>
      </w:r>
      <w:r>
        <w:rPr>
          <w:rFonts w:cs="Calibri"/>
        </w:rPr>
        <w:t>95</w:t>
      </w:r>
      <w:r w:rsidR="00A00B24" w:rsidRPr="00A00B24">
        <w:rPr>
          <w:rFonts w:cs="Calibri"/>
          <w:vertAlign w:val="superscript"/>
        </w:rPr>
        <w:t>th</w:t>
      </w:r>
      <w:r>
        <w:rPr>
          <w:rFonts w:cs="Calibri"/>
        </w:rPr>
        <w:t xml:space="preserve"> centile </w:t>
      </w:r>
      <w:r w:rsidR="00A00B24">
        <w:rPr>
          <w:rFonts w:cs="Calibri"/>
        </w:rPr>
        <w:t xml:space="preserve">respectively </w:t>
      </w:r>
      <w:r>
        <w:rPr>
          <w:rFonts w:cs="Calibri"/>
        </w:rPr>
        <w:t>for their age and sex, using the UK1990 centiles</w:t>
      </w:r>
      <w:r w:rsidR="00F43315">
        <w:rPr>
          <w:rFonts w:cs="Calibri"/>
        </w:rPr>
        <w:t xml:space="preserve"> (</w:t>
      </w:r>
      <w:r w:rsidR="00F43315" w:rsidRPr="00F43315">
        <w:rPr>
          <w:rStyle w:val="EndnoteReference"/>
          <w:vertAlign w:val="baseline"/>
        </w:rPr>
        <w:endnoteReference w:id="13"/>
      </w:r>
      <w:r w:rsidR="00F43315">
        <w:rPr>
          <w:rFonts w:cs="Calibri"/>
        </w:rPr>
        <w:t>)</w:t>
      </w:r>
      <w:proofErr w:type="gramStart"/>
      <w:r w:rsidR="00BC0203">
        <w:rPr>
          <w:rFonts w:cs="Calibri"/>
        </w:rPr>
        <w:t>)(</w:t>
      </w:r>
      <w:proofErr w:type="gramEnd"/>
      <w:r w:rsidR="00BC0203">
        <w:rPr>
          <w:rFonts w:cs="Calibri"/>
        </w:rPr>
        <w:fldChar w:fldCharType="begin"/>
      </w:r>
      <w:r w:rsidR="00BC0203">
        <w:rPr>
          <w:rFonts w:cs="Calibri"/>
        </w:rPr>
        <w:instrText xml:space="preserve"> NOTEREF _Ref345336132 \h </w:instrText>
      </w:r>
      <w:r w:rsidR="00BC0203">
        <w:rPr>
          <w:rFonts w:cs="Calibri"/>
        </w:rPr>
      </w:r>
      <w:r w:rsidR="00BC0203">
        <w:rPr>
          <w:rFonts w:cs="Calibri"/>
        </w:rPr>
        <w:fldChar w:fldCharType="separate"/>
      </w:r>
      <w:r w:rsidR="00BC0203">
        <w:rPr>
          <w:rFonts w:cs="Calibri"/>
        </w:rPr>
        <w:t>13</w:t>
      </w:r>
      <w:r w:rsidR="00BC0203">
        <w:rPr>
          <w:rFonts w:cs="Calibri"/>
        </w:rPr>
        <w:fldChar w:fldCharType="end"/>
      </w:r>
      <w:r w:rsidR="00BC0203">
        <w:rPr>
          <w:rFonts w:cs="Calibri"/>
        </w:rPr>
        <w:t>)</w:t>
      </w:r>
      <w:r w:rsidRPr="002A3AAE">
        <w:rPr>
          <w:rFonts w:cs="Calibri"/>
        </w:rPr>
        <w:t xml:space="preserve">. The latest figures show that obesity prevalence has risen to </w:t>
      </w:r>
      <w:r w:rsidR="006D182D">
        <w:rPr>
          <w:rFonts w:cs="Calibri"/>
        </w:rPr>
        <w:t>65</w:t>
      </w:r>
      <w:r w:rsidRPr="002A3AAE">
        <w:rPr>
          <w:rFonts w:cs="Calibri"/>
        </w:rPr>
        <w:t>% in men and 58% in women</w:t>
      </w:r>
      <w:r w:rsidR="004C4532">
        <w:rPr>
          <w:rFonts w:cs="Calibri"/>
        </w:rPr>
        <w:t xml:space="preserve"> [Figure 1]</w:t>
      </w:r>
      <w:r w:rsidRPr="002A3AAE">
        <w:rPr>
          <w:rFonts w:cs="Calibri"/>
        </w:rPr>
        <w:t xml:space="preserve">, </w:t>
      </w:r>
      <w:r>
        <w:rPr>
          <w:rFonts w:cs="Calibri"/>
        </w:rPr>
        <w:t>and</w:t>
      </w:r>
      <w:r w:rsidR="006D182D">
        <w:rPr>
          <w:rFonts w:cs="Calibri"/>
        </w:rPr>
        <w:t xml:space="preserve"> </w:t>
      </w:r>
      <w:r w:rsidRPr="002A3AAE">
        <w:rPr>
          <w:rFonts w:cs="Calibri"/>
        </w:rPr>
        <w:t xml:space="preserve">31% in boys and </w:t>
      </w:r>
      <w:r w:rsidR="006D182D" w:rsidRPr="002A3AAE">
        <w:rPr>
          <w:rFonts w:cs="Calibri"/>
        </w:rPr>
        <w:t>2</w:t>
      </w:r>
      <w:r w:rsidR="006D182D">
        <w:rPr>
          <w:rFonts w:cs="Calibri"/>
        </w:rPr>
        <w:t>8</w:t>
      </w:r>
      <w:r w:rsidRPr="002A3AAE">
        <w:rPr>
          <w:rFonts w:cs="Calibri"/>
        </w:rPr>
        <w:t>% in girls</w:t>
      </w:r>
      <w:r w:rsidR="00B1248B">
        <w:rPr>
          <w:rFonts w:cs="Calibri"/>
        </w:rPr>
        <w:t xml:space="preserve"> </w:t>
      </w:r>
      <w:r w:rsidR="004C4532">
        <w:rPr>
          <w:rFonts w:cs="Calibri"/>
        </w:rPr>
        <w:t>[Figure 2]</w:t>
      </w:r>
      <w:r w:rsidR="00F43315">
        <w:rPr>
          <w:rFonts w:cs="Calibri"/>
        </w:rPr>
        <w:t xml:space="preserve"> </w:t>
      </w:r>
      <w:r w:rsidR="004C4532">
        <w:rPr>
          <w:rFonts w:cs="Calibri"/>
        </w:rPr>
        <w:t xml:space="preserve">and for men, boys and girls there </w:t>
      </w:r>
      <w:r w:rsidR="00BC77EE">
        <w:rPr>
          <w:rFonts w:cs="Calibri"/>
        </w:rPr>
        <w:t>have been high</w:t>
      </w:r>
      <w:r w:rsidR="009462C5">
        <w:rPr>
          <w:rFonts w:cs="Calibri"/>
        </w:rPr>
        <w:t>er</w:t>
      </w:r>
      <w:r w:rsidR="00BC77EE">
        <w:rPr>
          <w:rFonts w:cs="Calibri"/>
        </w:rPr>
        <w:t xml:space="preserve"> peak </w:t>
      </w:r>
      <w:proofErr w:type="spellStart"/>
      <w:r w:rsidR="00BC77EE">
        <w:rPr>
          <w:rFonts w:cs="Calibri"/>
        </w:rPr>
        <w:t>prevalences</w:t>
      </w:r>
      <w:proofErr w:type="spellEnd"/>
      <w:r w:rsidR="00BC77EE">
        <w:rPr>
          <w:rFonts w:cs="Calibri"/>
        </w:rPr>
        <w:t xml:space="preserve"> </w:t>
      </w:r>
      <w:r w:rsidR="00F43315">
        <w:rPr>
          <w:rFonts w:cs="Calibri"/>
        </w:rPr>
        <w:t>(</w:t>
      </w:r>
      <w:bookmarkStart w:id="6" w:name="_Ref345336132"/>
      <w:r w:rsidRPr="00F43315">
        <w:rPr>
          <w:rStyle w:val="EndnoteReference"/>
          <w:rFonts w:cs="Calibri"/>
          <w:vertAlign w:val="baseline"/>
        </w:rPr>
        <w:endnoteReference w:id="14"/>
      </w:r>
      <w:bookmarkEnd w:id="6"/>
      <w:r w:rsidR="00F43315">
        <w:rPr>
          <w:rFonts w:cs="Calibri"/>
        </w:rPr>
        <w:t>)</w:t>
      </w:r>
      <w:r w:rsidRPr="002A3AAE">
        <w:rPr>
          <w:rFonts w:cs="Calibri"/>
        </w:rPr>
        <w:t>.</w:t>
      </w:r>
      <w:r w:rsidRPr="002A3AAE">
        <w:rPr>
          <w:rFonts w:cs="Calibri"/>
          <w:color w:val="FF0000"/>
        </w:rPr>
        <w:t xml:space="preserve"> </w:t>
      </w:r>
      <w:r w:rsidRPr="002A3AAE">
        <w:rPr>
          <w:rFonts w:cs="Calibri"/>
        </w:rPr>
        <w:t xml:space="preserve">During the lifetime of the Health Survey for </w:t>
      </w:r>
      <w:smartTag w:uri="urn:schemas-microsoft-com:office:smarttags" w:element="country-region">
        <w:smartTag w:uri="urn:schemas-microsoft-com:office:smarttags" w:element="place">
          <w:r w:rsidRPr="002A3AAE">
            <w:rPr>
              <w:rFonts w:cs="Calibri"/>
            </w:rPr>
            <w:t>England</w:t>
          </w:r>
        </w:smartTag>
      </w:smartTag>
      <w:r w:rsidRPr="002A3AAE">
        <w:rPr>
          <w:rFonts w:cs="Calibri"/>
        </w:rPr>
        <w:t>, simply presenting the obesity prevalence figures, i.e. quantifying the problem, has been enough to shock, shame and urge action. Many of the papers that have influenced obesity policy in England have used H</w:t>
      </w:r>
      <w:r w:rsidR="001C71B3">
        <w:rPr>
          <w:rFonts w:cs="Calibri"/>
        </w:rPr>
        <w:t xml:space="preserve">ealth </w:t>
      </w:r>
      <w:r w:rsidRPr="002A3AAE">
        <w:rPr>
          <w:rFonts w:cs="Calibri"/>
        </w:rPr>
        <w:t>S</w:t>
      </w:r>
      <w:r w:rsidR="001C71B3">
        <w:rPr>
          <w:rFonts w:cs="Calibri"/>
        </w:rPr>
        <w:t xml:space="preserve">urvey for </w:t>
      </w:r>
      <w:r w:rsidRPr="002A3AAE">
        <w:rPr>
          <w:rFonts w:cs="Calibri"/>
        </w:rPr>
        <w:t>E</w:t>
      </w:r>
      <w:r w:rsidR="001C71B3">
        <w:rPr>
          <w:rFonts w:cs="Calibri"/>
        </w:rPr>
        <w:t>ngland</w:t>
      </w:r>
      <w:r w:rsidRPr="002A3AAE">
        <w:rPr>
          <w:rFonts w:cs="Calibri"/>
        </w:rPr>
        <w:t xml:space="preserve"> data in this way [Table 1].</w:t>
      </w:r>
    </w:p>
    <w:p w14:paraId="563C3D4B" w14:textId="77777777" w:rsidR="00E3073B" w:rsidRPr="002A3AAE" w:rsidRDefault="00E3073B" w:rsidP="002A3AAE">
      <w:pPr>
        <w:pStyle w:val="NoSpacing"/>
        <w:contextualSpacing/>
        <w:jc w:val="both"/>
        <w:rPr>
          <w:rFonts w:cs="Calibri"/>
        </w:rPr>
      </w:pPr>
    </w:p>
    <w:p w14:paraId="60083B4A" w14:textId="321BB74C" w:rsidR="00E3073B" w:rsidRPr="002A3AAE" w:rsidRDefault="00E3073B" w:rsidP="00DF0C6F">
      <w:pPr>
        <w:pStyle w:val="NoSpacing"/>
        <w:contextualSpacing/>
        <w:jc w:val="both"/>
        <w:rPr>
          <w:rFonts w:cs="Calibri"/>
        </w:rPr>
      </w:pPr>
      <w:r w:rsidRPr="002A3AAE">
        <w:rPr>
          <w:rFonts w:cs="Calibri"/>
        </w:rPr>
        <w:t xml:space="preserve">A specific example of the use of </w:t>
      </w:r>
      <w:r w:rsidR="00B1248B">
        <w:rPr>
          <w:rFonts w:cs="Calibri"/>
        </w:rPr>
        <w:t>health examination</w:t>
      </w:r>
      <w:r w:rsidRPr="002A3AAE">
        <w:rPr>
          <w:rFonts w:cs="Calibri"/>
        </w:rPr>
        <w:t xml:space="preserve"> data to quantify the obesity problem in England, which highlighted this issue to government and was key to developing obesity policy, was the Chief Medical Officer’s Report of 2002</w:t>
      </w:r>
      <w:r w:rsidR="00F43315">
        <w:rPr>
          <w:rFonts w:cs="Calibri"/>
        </w:rPr>
        <w:t xml:space="preserve"> (</w:t>
      </w:r>
      <w:bookmarkStart w:id="7" w:name="_Ref341184394"/>
      <w:r w:rsidRPr="00F43315">
        <w:rPr>
          <w:rStyle w:val="EndnoteReference"/>
          <w:rFonts w:cs="Calibri"/>
          <w:vertAlign w:val="baseline"/>
        </w:rPr>
        <w:endnoteReference w:id="15"/>
      </w:r>
      <w:bookmarkEnd w:id="7"/>
      <w:r w:rsidR="00F43315">
        <w:rPr>
          <w:rFonts w:cs="Calibri"/>
        </w:rPr>
        <w:t>)</w:t>
      </w:r>
      <w:r w:rsidRPr="002A3AAE">
        <w:rPr>
          <w:rFonts w:cs="Calibri"/>
        </w:rPr>
        <w:t>.</w:t>
      </w:r>
    </w:p>
    <w:p w14:paraId="36D765F1" w14:textId="77777777" w:rsidR="00E3073B" w:rsidRPr="002A3AAE" w:rsidRDefault="00E3073B" w:rsidP="002A3AAE">
      <w:pPr>
        <w:pStyle w:val="NoSpacing"/>
        <w:contextualSpacing/>
        <w:jc w:val="both"/>
        <w:rPr>
          <w:rFonts w:cs="Calibri"/>
        </w:rPr>
      </w:pPr>
    </w:p>
    <w:p w14:paraId="006EA326" w14:textId="77777777" w:rsidR="00E3073B" w:rsidRPr="002A3AAE" w:rsidRDefault="00E3073B" w:rsidP="002A3AAE">
      <w:pPr>
        <w:pStyle w:val="NoSpacing"/>
        <w:contextualSpacing/>
        <w:jc w:val="both"/>
        <w:rPr>
          <w:rFonts w:cs="Calibri"/>
        </w:rPr>
      </w:pPr>
      <w:r w:rsidRPr="002A3AAE">
        <w:rPr>
          <w:rFonts w:cs="Calibri"/>
        </w:rPr>
        <w:t>The Chief Medical Officer (CMO) is the government’s most senior medical advisor, responsible for providing expert advice on any issue relating to the population’s health, and independently representing the nation’s health in government. Through his or her annual report, the CMO identifies priorities in health and recommends action to improve public health.</w:t>
      </w:r>
    </w:p>
    <w:p w14:paraId="2F759F0E" w14:textId="77777777" w:rsidR="00E3073B" w:rsidRPr="002A3AAE" w:rsidRDefault="00E3073B" w:rsidP="002A3AAE">
      <w:pPr>
        <w:autoSpaceDE w:val="0"/>
        <w:autoSpaceDN w:val="0"/>
        <w:adjustRightInd w:val="0"/>
        <w:snapToGrid w:val="0"/>
        <w:spacing w:after="0" w:line="240" w:lineRule="auto"/>
        <w:contextualSpacing/>
        <w:jc w:val="both"/>
        <w:rPr>
          <w:rFonts w:cs="Calibri"/>
          <w:color w:val="1B1C1F"/>
          <w:sz w:val="18"/>
          <w:szCs w:val="24"/>
        </w:rPr>
      </w:pPr>
    </w:p>
    <w:p w14:paraId="4E63A30B" w14:textId="3AABEC91" w:rsidR="00E3073B" w:rsidRPr="002A3AAE" w:rsidRDefault="00E3073B" w:rsidP="00DF0C6F">
      <w:pPr>
        <w:pStyle w:val="NoSpacing"/>
        <w:contextualSpacing/>
        <w:jc w:val="both"/>
        <w:rPr>
          <w:rFonts w:cs="Calibri"/>
          <w:lang w:eastAsia="en-GB"/>
        </w:rPr>
      </w:pPr>
      <w:r w:rsidRPr="002A3AAE">
        <w:rPr>
          <w:rFonts w:cs="Calibri"/>
        </w:rPr>
        <w:t>Obesity was a main feature in the Chief Medical Officer’s 2002 annual report by Sir Liam Donaldson (C</w:t>
      </w:r>
      <w:r w:rsidR="00F43315">
        <w:rPr>
          <w:rFonts w:cs="Calibri"/>
        </w:rPr>
        <w:t xml:space="preserve">hief </w:t>
      </w:r>
      <w:r w:rsidRPr="002A3AAE">
        <w:rPr>
          <w:rFonts w:cs="Calibri"/>
        </w:rPr>
        <w:t>M</w:t>
      </w:r>
      <w:r w:rsidR="00F43315">
        <w:rPr>
          <w:rFonts w:cs="Calibri"/>
        </w:rPr>
        <w:t xml:space="preserve">edical </w:t>
      </w:r>
      <w:r w:rsidRPr="002A3AAE">
        <w:rPr>
          <w:rFonts w:cs="Calibri"/>
        </w:rPr>
        <w:t>O</w:t>
      </w:r>
      <w:r w:rsidR="00F43315">
        <w:rPr>
          <w:rFonts w:cs="Calibri"/>
        </w:rPr>
        <w:t>fficer</w:t>
      </w:r>
      <w:r w:rsidRPr="002A3AAE">
        <w:rPr>
          <w:rFonts w:cs="Calibri"/>
        </w:rPr>
        <w:t xml:space="preserve"> 1998-2010). His report warned of an obesity ‘time bomb’ that would have dire consequences for the future health of the population. </w:t>
      </w:r>
      <w:r w:rsidRPr="002A3AAE">
        <w:rPr>
          <w:rFonts w:cs="Calibri"/>
          <w:lang w:eastAsia="en-GB"/>
        </w:rPr>
        <w:t xml:space="preserve">Health Survey for England data were used to </w:t>
      </w:r>
      <w:r w:rsidR="001C71B3">
        <w:rPr>
          <w:rFonts w:cs="Calibri"/>
          <w:lang w:eastAsia="en-GB"/>
        </w:rPr>
        <w:t>quantify</w:t>
      </w:r>
      <w:r w:rsidRPr="002A3AAE">
        <w:rPr>
          <w:rFonts w:cs="Calibri"/>
          <w:lang w:eastAsia="en-GB"/>
        </w:rPr>
        <w:t xml:space="preserve"> both the scale of the problem, with two</w:t>
      </w:r>
      <w:r>
        <w:rPr>
          <w:rFonts w:cs="Calibri"/>
          <w:lang w:eastAsia="en-GB"/>
        </w:rPr>
        <w:t>-</w:t>
      </w:r>
      <w:r w:rsidRPr="002A3AAE">
        <w:rPr>
          <w:rFonts w:cs="Calibri"/>
          <w:lang w:eastAsia="en-GB"/>
        </w:rPr>
        <w:t>thirds of all men and half of all women overweight or obese (24 million adults) at the time, and t</w:t>
      </w:r>
      <w:r w:rsidR="001C71B3">
        <w:rPr>
          <w:rFonts w:cs="Calibri"/>
          <w:lang w:eastAsia="en-GB"/>
        </w:rPr>
        <w:t>he trend was used to show</w:t>
      </w:r>
      <w:r w:rsidRPr="002A3AAE">
        <w:rPr>
          <w:rFonts w:cs="Calibri"/>
          <w:lang w:eastAsia="en-GB"/>
        </w:rPr>
        <w:t xml:space="preserve"> that the issue was of increasing concern. Rates of obesity were demonstrated to have trebled in the previous 20 years</w:t>
      </w:r>
      <w:r w:rsidR="00B1248B">
        <w:rPr>
          <w:rFonts w:cs="Calibri"/>
          <w:lang w:eastAsia="en-GB"/>
        </w:rPr>
        <w:t xml:space="preserve"> </w:t>
      </w:r>
      <w:r w:rsidR="00F43315">
        <w:rPr>
          <w:rFonts w:cs="Calibri"/>
          <w:lang w:eastAsia="en-GB"/>
        </w:rPr>
        <w:t>(</w:t>
      </w:r>
      <w:r w:rsidR="00F43315">
        <w:rPr>
          <w:rFonts w:cs="Calibri"/>
          <w:lang w:eastAsia="en-GB"/>
        </w:rPr>
        <w:fldChar w:fldCharType="begin"/>
      </w:r>
      <w:r w:rsidR="00F43315">
        <w:rPr>
          <w:rFonts w:cs="Calibri"/>
          <w:lang w:eastAsia="en-GB"/>
        </w:rPr>
        <w:instrText xml:space="preserve"> NOTEREF _Ref341184394 \h </w:instrText>
      </w:r>
      <w:r w:rsidR="00F43315">
        <w:rPr>
          <w:rFonts w:cs="Calibri"/>
          <w:lang w:eastAsia="en-GB"/>
        </w:rPr>
      </w:r>
      <w:r w:rsidR="00F43315">
        <w:rPr>
          <w:rFonts w:cs="Calibri"/>
          <w:lang w:eastAsia="en-GB"/>
        </w:rPr>
        <w:fldChar w:fldCharType="separate"/>
      </w:r>
      <w:r w:rsidR="009462C5">
        <w:rPr>
          <w:rFonts w:cs="Calibri"/>
          <w:lang w:eastAsia="en-GB"/>
        </w:rPr>
        <w:t>14</w:t>
      </w:r>
      <w:r w:rsidR="00F43315">
        <w:rPr>
          <w:rFonts w:cs="Calibri"/>
          <w:lang w:eastAsia="en-GB"/>
        </w:rPr>
        <w:fldChar w:fldCharType="end"/>
      </w:r>
      <w:r w:rsidR="00F43315">
        <w:rPr>
          <w:rFonts w:cs="Calibri"/>
          <w:lang w:eastAsia="en-GB"/>
        </w:rPr>
        <w:t>)</w:t>
      </w:r>
      <w:r w:rsidR="008852F2">
        <w:rPr>
          <w:rFonts w:cs="Calibri"/>
          <w:lang w:eastAsia="en-GB"/>
        </w:rPr>
        <w:t xml:space="preserve"> [Figure 1]</w:t>
      </w:r>
      <w:r w:rsidRPr="002A3AAE">
        <w:rPr>
          <w:rFonts w:cs="Calibri"/>
          <w:lang w:eastAsia="en-GB"/>
        </w:rPr>
        <w:t>.</w:t>
      </w:r>
    </w:p>
    <w:p w14:paraId="5F72C2DC" w14:textId="77777777" w:rsidR="00E3073B" w:rsidRPr="002A3AAE" w:rsidRDefault="00E3073B" w:rsidP="002A3AAE">
      <w:pPr>
        <w:pStyle w:val="NoSpacing"/>
        <w:contextualSpacing/>
        <w:jc w:val="both"/>
        <w:rPr>
          <w:rFonts w:cs="Calibri"/>
          <w:lang w:eastAsia="en-GB"/>
        </w:rPr>
      </w:pPr>
    </w:p>
    <w:p w14:paraId="50AA5CB2" w14:textId="7A6279EF" w:rsidR="00E3073B" w:rsidRPr="002A3AAE" w:rsidRDefault="00E3073B" w:rsidP="00DF0C6F">
      <w:pPr>
        <w:pStyle w:val="NoSpacing"/>
        <w:contextualSpacing/>
        <w:jc w:val="both"/>
        <w:rPr>
          <w:rFonts w:cs="Calibri"/>
          <w:lang w:eastAsia="en-GB"/>
        </w:rPr>
      </w:pPr>
      <w:r w:rsidRPr="002A3AAE">
        <w:rPr>
          <w:rFonts w:cs="Calibri"/>
          <w:lang w:eastAsia="en-GB"/>
        </w:rPr>
        <w:t xml:space="preserve">Childhood obesity data from the Health Survey for </w:t>
      </w:r>
      <w:smartTag w:uri="urn:schemas-microsoft-com:office:smarttags" w:element="country-region">
        <w:smartTag w:uri="urn:schemas-microsoft-com:office:smarttags" w:element="place">
          <w:r w:rsidRPr="002A3AAE">
            <w:rPr>
              <w:rFonts w:cs="Calibri"/>
              <w:lang w:eastAsia="en-GB"/>
            </w:rPr>
            <w:t>England</w:t>
          </w:r>
        </w:smartTag>
      </w:smartTag>
      <w:r w:rsidRPr="002A3AAE">
        <w:rPr>
          <w:rFonts w:cs="Calibri"/>
          <w:lang w:eastAsia="en-GB"/>
        </w:rPr>
        <w:t xml:space="preserve"> were also presented. </w:t>
      </w:r>
      <w:r>
        <w:rPr>
          <w:rFonts w:cs="Calibri"/>
          <w:lang w:eastAsia="en-GB"/>
        </w:rPr>
        <w:t xml:space="preserve">In 2001, </w:t>
      </w:r>
      <w:r w:rsidRPr="002A3AAE">
        <w:rPr>
          <w:rFonts w:cs="Calibri"/>
          <w:lang w:eastAsia="en-GB"/>
        </w:rPr>
        <w:t xml:space="preserve">9% of </w:t>
      </w:r>
      <w:r>
        <w:rPr>
          <w:rFonts w:cs="Calibri"/>
          <w:lang w:eastAsia="en-GB"/>
        </w:rPr>
        <w:t>six-</w:t>
      </w:r>
      <w:r w:rsidRPr="002A3AAE">
        <w:rPr>
          <w:rFonts w:cs="Calibri"/>
          <w:lang w:eastAsia="en-GB"/>
        </w:rPr>
        <w:t>year</w:t>
      </w:r>
      <w:r>
        <w:rPr>
          <w:rFonts w:cs="Calibri"/>
          <w:lang w:eastAsia="en-GB"/>
        </w:rPr>
        <w:t>-</w:t>
      </w:r>
      <w:r w:rsidRPr="002A3AAE">
        <w:rPr>
          <w:rFonts w:cs="Calibri"/>
          <w:lang w:eastAsia="en-GB"/>
        </w:rPr>
        <w:t>olds and 15% of 15</w:t>
      </w:r>
      <w:r>
        <w:rPr>
          <w:rFonts w:cs="Calibri"/>
          <w:lang w:eastAsia="en-GB"/>
        </w:rPr>
        <w:t>-</w:t>
      </w:r>
      <w:r w:rsidRPr="002A3AAE">
        <w:rPr>
          <w:rFonts w:cs="Calibri"/>
          <w:lang w:eastAsia="en-GB"/>
        </w:rPr>
        <w:t>year</w:t>
      </w:r>
      <w:r>
        <w:rPr>
          <w:rFonts w:cs="Calibri"/>
          <w:lang w:eastAsia="en-GB"/>
        </w:rPr>
        <w:t>-</w:t>
      </w:r>
      <w:r w:rsidRPr="002A3AAE">
        <w:rPr>
          <w:rFonts w:cs="Calibri"/>
          <w:lang w:eastAsia="en-GB"/>
        </w:rPr>
        <w:t>olds were obese</w:t>
      </w:r>
      <w:r>
        <w:rPr>
          <w:rFonts w:cs="Calibri"/>
          <w:lang w:eastAsia="en-GB"/>
        </w:rPr>
        <w:t>.</w:t>
      </w:r>
      <w:r w:rsidRPr="002A3AAE">
        <w:rPr>
          <w:rFonts w:cs="Calibri"/>
          <w:lang w:eastAsia="en-GB"/>
        </w:rPr>
        <w:t xml:space="preserve"> </w:t>
      </w:r>
      <w:r>
        <w:rPr>
          <w:rFonts w:cs="Calibri"/>
          <w:lang w:eastAsia="en-GB"/>
        </w:rPr>
        <w:t>T</w:t>
      </w:r>
      <w:r w:rsidRPr="002A3AAE">
        <w:rPr>
          <w:rFonts w:cs="Calibri"/>
          <w:lang w:eastAsia="en-GB"/>
        </w:rPr>
        <w:t>he trend showed that between 1996 and 2001</w:t>
      </w:r>
      <w:r>
        <w:rPr>
          <w:rFonts w:cs="Calibri"/>
          <w:lang w:eastAsia="en-GB"/>
        </w:rPr>
        <w:t>,</w:t>
      </w:r>
      <w:r w:rsidRPr="002A3AAE">
        <w:rPr>
          <w:rFonts w:cs="Calibri"/>
          <w:lang w:eastAsia="en-GB"/>
        </w:rPr>
        <w:t xml:space="preserve"> the proportion of overweight children aged 6-15y increased by 7% and obesity by 4</w:t>
      </w:r>
      <w:r w:rsidR="00BC77EE">
        <w:rPr>
          <w:rFonts w:cs="Calibri"/>
          <w:lang w:eastAsia="en-GB"/>
        </w:rPr>
        <w:t>%</w:t>
      </w:r>
      <w:r w:rsidRPr="002A3AAE">
        <w:rPr>
          <w:rFonts w:cs="Calibri"/>
          <w:lang w:eastAsia="en-GB"/>
        </w:rPr>
        <w:t>. Health inequalities in obesity and ethnic differences were also reported</w:t>
      </w:r>
      <w:r>
        <w:rPr>
          <w:rFonts w:cs="Calibri"/>
          <w:lang w:eastAsia="en-GB"/>
        </w:rPr>
        <w:t>, with higher rates in more disadvantaged groups</w:t>
      </w:r>
      <w:r w:rsidR="0049010F">
        <w:rPr>
          <w:rFonts w:cs="Calibri"/>
          <w:lang w:eastAsia="en-GB"/>
        </w:rPr>
        <w:t xml:space="preserve"> (</w:t>
      </w:r>
      <w:r w:rsidR="0049010F">
        <w:rPr>
          <w:rFonts w:cs="Calibri"/>
          <w:lang w:eastAsia="en-GB"/>
        </w:rPr>
        <w:fldChar w:fldCharType="begin"/>
      </w:r>
      <w:r w:rsidR="0049010F">
        <w:rPr>
          <w:rFonts w:cs="Calibri"/>
          <w:lang w:eastAsia="en-GB"/>
        </w:rPr>
        <w:instrText xml:space="preserve"> NOTEREF _Ref341184394 \h </w:instrText>
      </w:r>
      <w:r w:rsidR="0049010F">
        <w:rPr>
          <w:rFonts w:cs="Calibri"/>
          <w:lang w:eastAsia="en-GB"/>
        </w:rPr>
      </w:r>
      <w:r w:rsidR="0049010F">
        <w:rPr>
          <w:rFonts w:cs="Calibri"/>
          <w:lang w:eastAsia="en-GB"/>
        </w:rPr>
        <w:fldChar w:fldCharType="separate"/>
      </w:r>
      <w:r w:rsidR="009462C5">
        <w:rPr>
          <w:rFonts w:cs="Calibri"/>
          <w:lang w:eastAsia="en-GB"/>
        </w:rPr>
        <w:t>14</w:t>
      </w:r>
      <w:r w:rsidR="0049010F">
        <w:rPr>
          <w:rFonts w:cs="Calibri"/>
          <w:lang w:eastAsia="en-GB"/>
        </w:rPr>
        <w:fldChar w:fldCharType="end"/>
      </w:r>
      <w:r w:rsidR="0049010F">
        <w:rPr>
          <w:rFonts w:cs="Calibri"/>
          <w:lang w:eastAsia="en-GB"/>
        </w:rPr>
        <w:t>)</w:t>
      </w:r>
    </w:p>
    <w:p w14:paraId="32B2EC49" w14:textId="77777777" w:rsidR="00E3073B" w:rsidRPr="002A3AAE" w:rsidRDefault="00E3073B" w:rsidP="002A3AAE">
      <w:pPr>
        <w:pStyle w:val="NoSpacing"/>
        <w:contextualSpacing/>
        <w:jc w:val="both"/>
        <w:rPr>
          <w:rFonts w:cs="Calibri"/>
          <w:lang w:eastAsia="en-GB"/>
        </w:rPr>
      </w:pPr>
    </w:p>
    <w:p w14:paraId="151F7B46" w14:textId="159A265F" w:rsidR="00E3073B" w:rsidRPr="002A3AAE" w:rsidRDefault="00E3073B" w:rsidP="00E33855">
      <w:pPr>
        <w:pStyle w:val="NoSpacing"/>
        <w:contextualSpacing/>
        <w:jc w:val="both"/>
        <w:rPr>
          <w:rFonts w:cs="Calibri"/>
          <w:lang w:eastAsia="en-GB"/>
        </w:rPr>
      </w:pPr>
      <w:r w:rsidRPr="002A3AAE">
        <w:rPr>
          <w:rFonts w:cs="Calibri"/>
          <w:lang w:eastAsia="en-GB"/>
        </w:rPr>
        <w:lastRenderedPageBreak/>
        <w:t xml:space="preserve">The </w:t>
      </w:r>
      <w:r w:rsidR="00F43315">
        <w:rPr>
          <w:rFonts w:cs="Calibri"/>
          <w:lang w:eastAsia="en-GB"/>
        </w:rPr>
        <w:t xml:space="preserve">Chief </w:t>
      </w:r>
      <w:r w:rsidRPr="002A3AAE">
        <w:rPr>
          <w:rFonts w:cs="Calibri"/>
          <w:lang w:eastAsia="en-GB"/>
        </w:rPr>
        <w:t>M</w:t>
      </w:r>
      <w:r w:rsidR="00F43315">
        <w:rPr>
          <w:rFonts w:cs="Calibri"/>
          <w:lang w:eastAsia="en-GB"/>
        </w:rPr>
        <w:t xml:space="preserve">edical </w:t>
      </w:r>
      <w:r w:rsidRPr="002A3AAE">
        <w:rPr>
          <w:rFonts w:cs="Calibri"/>
          <w:lang w:eastAsia="en-GB"/>
        </w:rPr>
        <w:t>O</w:t>
      </w:r>
      <w:r w:rsidR="00F43315">
        <w:rPr>
          <w:rFonts w:cs="Calibri"/>
          <w:lang w:eastAsia="en-GB"/>
        </w:rPr>
        <w:t>fficer</w:t>
      </w:r>
      <w:r w:rsidRPr="002A3AAE">
        <w:rPr>
          <w:rFonts w:cs="Calibri"/>
          <w:lang w:eastAsia="en-GB"/>
        </w:rPr>
        <w:t xml:space="preserve"> returned to this issue, </w:t>
      </w:r>
      <w:r>
        <w:rPr>
          <w:rFonts w:cs="Calibri"/>
          <w:lang w:eastAsia="en-GB"/>
        </w:rPr>
        <w:t xml:space="preserve">using Health Survey for England data to highlight </w:t>
      </w:r>
      <w:r w:rsidRPr="002A3AAE">
        <w:rPr>
          <w:rFonts w:cs="Calibri"/>
          <w:lang w:eastAsia="en-GB"/>
        </w:rPr>
        <w:t>obesity as a particular problem for the West Midlands (in 2003</w:t>
      </w:r>
      <w:r w:rsidR="00F43315">
        <w:rPr>
          <w:rFonts w:cs="Calibri"/>
          <w:lang w:eastAsia="en-GB"/>
        </w:rPr>
        <w:t xml:space="preserve"> (</w:t>
      </w:r>
      <w:bookmarkStart w:id="8" w:name="_Ref341196758"/>
      <w:r w:rsidRPr="00F43315">
        <w:rPr>
          <w:rStyle w:val="EndnoteReference"/>
          <w:rFonts w:cs="Calibri"/>
          <w:vertAlign w:val="baseline"/>
          <w:lang w:eastAsia="en-GB"/>
        </w:rPr>
        <w:endnoteReference w:id="16"/>
      </w:r>
      <w:bookmarkEnd w:id="8"/>
      <w:r w:rsidR="00F43315">
        <w:rPr>
          <w:rFonts w:cs="Calibri"/>
          <w:lang w:eastAsia="en-GB"/>
        </w:rPr>
        <w:t>)</w:t>
      </w:r>
      <w:r w:rsidRPr="002A3AAE">
        <w:rPr>
          <w:rFonts w:cs="Calibri"/>
          <w:lang w:eastAsia="en-GB"/>
        </w:rPr>
        <w:t>) and the East Midlands (in 2004</w:t>
      </w:r>
      <w:r w:rsidR="00F43315">
        <w:rPr>
          <w:rFonts w:cs="Calibri"/>
          <w:lang w:eastAsia="en-GB"/>
        </w:rPr>
        <w:t xml:space="preserve"> (</w:t>
      </w:r>
      <w:bookmarkStart w:id="9" w:name="_Ref341196759"/>
      <w:r w:rsidRPr="00F43315">
        <w:rPr>
          <w:rStyle w:val="EndnoteReference"/>
          <w:rFonts w:cs="Calibri"/>
          <w:vertAlign w:val="baseline"/>
          <w:lang w:eastAsia="en-GB"/>
        </w:rPr>
        <w:endnoteReference w:id="17"/>
      </w:r>
      <w:bookmarkEnd w:id="9"/>
      <w:r w:rsidR="00F43315">
        <w:rPr>
          <w:rFonts w:cs="Calibri"/>
          <w:lang w:eastAsia="en-GB"/>
        </w:rPr>
        <w:t>)</w:t>
      </w:r>
      <w:r w:rsidRPr="002A3AAE">
        <w:rPr>
          <w:rFonts w:cs="Calibri"/>
          <w:lang w:eastAsia="en-GB"/>
        </w:rPr>
        <w:t>)</w:t>
      </w:r>
      <w:r>
        <w:rPr>
          <w:rFonts w:cs="Calibri"/>
          <w:lang w:eastAsia="en-GB"/>
        </w:rPr>
        <w:t xml:space="preserve">. </w:t>
      </w:r>
      <w:r w:rsidRPr="002A3AAE">
        <w:rPr>
          <w:rFonts w:cs="Calibri"/>
          <w:lang w:eastAsia="en-GB"/>
        </w:rPr>
        <w:t xml:space="preserve"> The 2005 Chief Medical Officer</w:t>
      </w:r>
      <w:r>
        <w:rPr>
          <w:rFonts w:cs="Calibri"/>
          <w:lang w:eastAsia="en-GB"/>
        </w:rPr>
        <w:t>’</w:t>
      </w:r>
      <w:r w:rsidRPr="002A3AAE">
        <w:rPr>
          <w:rFonts w:cs="Calibri"/>
          <w:lang w:eastAsia="en-GB"/>
        </w:rPr>
        <w:t xml:space="preserve">s report </w:t>
      </w:r>
      <w:r>
        <w:rPr>
          <w:rFonts w:cs="Calibri"/>
          <w:lang w:eastAsia="en-GB"/>
        </w:rPr>
        <w:t>used the Health Survey for England’s</w:t>
      </w:r>
      <w:r w:rsidRPr="002A3AAE">
        <w:rPr>
          <w:rFonts w:cs="Calibri"/>
          <w:lang w:eastAsia="en-GB"/>
        </w:rPr>
        <w:t xml:space="preserve"> prevalence of obesity in children under 11 to highlight London’s poor performance in this area</w:t>
      </w:r>
      <w:r w:rsidR="00F43315">
        <w:rPr>
          <w:rFonts w:cs="Calibri"/>
          <w:lang w:eastAsia="en-GB"/>
        </w:rPr>
        <w:t xml:space="preserve"> (</w:t>
      </w:r>
      <w:bookmarkStart w:id="10" w:name="_Ref341196761"/>
      <w:r w:rsidRPr="00F43315">
        <w:rPr>
          <w:rStyle w:val="EndnoteReference"/>
          <w:rFonts w:cs="Calibri"/>
          <w:vertAlign w:val="baseline"/>
          <w:lang w:eastAsia="en-GB"/>
        </w:rPr>
        <w:endnoteReference w:id="18"/>
      </w:r>
      <w:bookmarkEnd w:id="10"/>
      <w:r w:rsidR="00F43315">
        <w:rPr>
          <w:rFonts w:cs="Calibri"/>
          <w:lang w:eastAsia="en-GB"/>
        </w:rPr>
        <w:t>)</w:t>
      </w:r>
      <w:r w:rsidRPr="002A3AAE">
        <w:rPr>
          <w:rFonts w:cs="Calibri"/>
          <w:lang w:eastAsia="en-GB"/>
        </w:rPr>
        <w:t>.</w:t>
      </w:r>
    </w:p>
    <w:p w14:paraId="73C8DC3B" w14:textId="77777777" w:rsidR="00E3073B" w:rsidRPr="002A3AAE" w:rsidRDefault="00E3073B" w:rsidP="002A3AAE">
      <w:pPr>
        <w:pStyle w:val="NoSpacing"/>
        <w:contextualSpacing/>
        <w:jc w:val="both"/>
        <w:rPr>
          <w:rFonts w:cs="Calibri"/>
          <w:lang w:eastAsia="en-GB"/>
        </w:rPr>
      </w:pPr>
    </w:p>
    <w:p w14:paraId="7BB5BF49" w14:textId="4D39437F" w:rsidR="00E3073B" w:rsidRPr="002A3AAE" w:rsidRDefault="00E3073B" w:rsidP="002A3AAE">
      <w:pPr>
        <w:pStyle w:val="NoSpacing"/>
        <w:contextualSpacing/>
        <w:jc w:val="both"/>
        <w:rPr>
          <w:rFonts w:cs="Calibri"/>
        </w:rPr>
      </w:pPr>
      <w:r w:rsidRPr="002A3AAE">
        <w:rPr>
          <w:rFonts w:cs="Calibri"/>
          <w:lang w:eastAsia="en-GB"/>
        </w:rPr>
        <w:t>The 2002 C</w:t>
      </w:r>
      <w:r w:rsidR="00F528B3">
        <w:rPr>
          <w:rFonts w:cs="Calibri"/>
          <w:lang w:eastAsia="en-GB"/>
        </w:rPr>
        <w:t xml:space="preserve">hief </w:t>
      </w:r>
      <w:r w:rsidRPr="002A3AAE">
        <w:rPr>
          <w:rFonts w:cs="Calibri"/>
          <w:lang w:eastAsia="en-GB"/>
        </w:rPr>
        <w:t>M</w:t>
      </w:r>
      <w:r w:rsidR="00F528B3">
        <w:rPr>
          <w:rFonts w:cs="Calibri"/>
          <w:lang w:eastAsia="en-GB"/>
        </w:rPr>
        <w:t xml:space="preserve">edical </w:t>
      </w:r>
      <w:r w:rsidRPr="002A3AAE">
        <w:rPr>
          <w:rFonts w:cs="Calibri"/>
          <w:lang w:eastAsia="en-GB"/>
        </w:rPr>
        <w:t>O</w:t>
      </w:r>
      <w:r w:rsidR="00F528B3">
        <w:rPr>
          <w:rFonts w:cs="Calibri"/>
          <w:lang w:eastAsia="en-GB"/>
        </w:rPr>
        <w:t>fficer</w:t>
      </w:r>
      <w:r w:rsidRPr="002A3AAE">
        <w:rPr>
          <w:rFonts w:cs="Calibri"/>
          <w:lang w:eastAsia="en-GB"/>
        </w:rPr>
        <w:t>’s report was widely quoted in the media</w:t>
      </w:r>
      <w:r>
        <w:rPr>
          <w:rFonts w:cs="Calibri"/>
          <w:lang w:eastAsia="en-GB"/>
        </w:rPr>
        <w:t>,</w:t>
      </w:r>
      <w:r w:rsidRPr="002A3AAE">
        <w:rPr>
          <w:rFonts w:cs="Calibri"/>
          <w:lang w:eastAsia="en-GB"/>
        </w:rPr>
        <w:t xml:space="preserve"> </w:t>
      </w:r>
      <w:r w:rsidRPr="002A3AAE">
        <w:rPr>
          <w:rFonts w:cs="Calibri"/>
        </w:rPr>
        <w:t>and obesity rapidly became a matter of public concern. Sir Liam Donaldson said in 2008</w:t>
      </w:r>
      <w:r w:rsidR="00E12EC1">
        <w:rPr>
          <w:rFonts w:cs="Calibri"/>
        </w:rPr>
        <w:t>:</w:t>
      </w:r>
      <w:r w:rsidRPr="002A3AAE">
        <w:rPr>
          <w:rFonts w:cs="Calibri"/>
        </w:rPr>
        <w:t xml:space="preserve"> “</w:t>
      </w:r>
      <w:r w:rsidRPr="002A3AAE">
        <w:rPr>
          <w:rFonts w:cs="Calibri"/>
          <w:color w:val="404040"/>
        </w:rPr>
        <w:t>The publicity for my "</w:t>
      </w:r>
      <w:proofErr w:type="spellStart"/>
      <w:r w:rsidRPr="002A3AAE">
        <w:rPr>
          <w:rFonts w:cs="Calibri"/>
          <w:color w:val="404040"/>
        </w:rPr>
        <w:t>timebomb</w:t>
      </w:r>
      <w:proofErr w:type="spellEnd"/>
      <w:r w:rsidRPr="002A3AAE">
        <w:rPr>
          <w:rFonts w:cs="Calibri"/>
          <w:color w:val="404040"/>
        </w:rPr>
        <w:t>" scenario was huge, and a 2004 evaluation of media coverage of my reports showed obesity became a bigger issue than either smoking or the MMR vaccine - both "hot topics</w:t>
      </w:r>
      <w:r w:rsidRPr="002A3AAE">
        <w:rPr>
          <w:rFonts w:cs="Calibri"/>
          <w:color w:val="464646"/>
        </w:rPr>
        <w:t>"</w:t>
      </w:r>
      <w:r w:rsidR="00E12EC1">
        <w:rPr>
          <w:rFonts w:cs="Calibri"/>
          <w:color w:val="464646"/>
        </w:rPr>
        <w:t>.</w:t>
      </w:r>
      <w:r w:rsidR="00F528B3">
        <w:rPr>
          <w:rFonts w:cs="Calibri"/>
          <w:color w:val="464646"/>
        </w:rPr>
        <w:t>”</w:t>
      </w:r>
      <w:r w:rsidR="00F43315">
        <w:rPr>
          <w:rFonts w:cs="Calibri"/>
          <w:color w:val="464646"/>
        </w:rPr>
        <w:t xml:space="preserve"> </w:t>
      </w:r>
      <w:r w:rsidR="00F43315">
        <w:rPr>
          <w:rFonts w:cs="Calibri"/>
        </w:rPr>
        <w:t>(</w:t>
      </w:r>
      <w:r w:rsidRPr="00F43315">
        <w:rPr>
          <w:rStyle w:val="EndnoteReference"/>
          <w:rFonts w:cs="Calibri"/>
          <w:vertAlign w:val="baseline"/>
        </w:rPr>
        <w:endnoteReference w:id="19"/>
      </w:r>
      <w:r w:rsidR="00F43315">
        <w:rPr>
          <w:rFonts w:cs="Calibri"/>
        </w:rPr>
        <w:t>)</w:t>
      </w:r>
      <w:r w:rsidRPr="002A3AAE">
        <w:rPr>
          <w:rFonts w:cs="Calibri"/>
          <w:color w:val="464646"/>
        </w:rPr>
        <w:t>.</w:t>
      </w:r>
      <w:r w:rsidRPr="002A3AAE">
        <w:rPr>
          <w:rFonts w:cs="Calibri"/>
          <w:color w:val="464646"/>
          <w:sz w:val="20"/>
          <w:szCs w:val="20"/>
        </w:rPr>
        <w:t xml:space="preserve"> </w:t>
      </w:r>
      <w:r w:rsidRPr="002A3AAE">
        <w:rPr>
          <w:rFonts w:cs="Calibri"/>
        </w:rPr>
        <w:t xml:space="preserve">Giving a public health problem, like obesity, such a high profile, in the context of reputable and irrefutable data, ensured that there would be sustained government commitment to tackle the problem. </w:t>
      </w:r>
    </w:p>
    <w:p w14:paraId="06785D77" w14:textId="77777777" w:rsidR="00E3073B" w:rsidRDefault="00E3073B" w:rsidP="002A3AAE">
      <w:pPr>
        <w:pStyle w:val="Heading3"/>
        <w:spacing w:before="0" w:after="0" w:line="240" w:lineRule="auto"/>
        <w:contextualSpacing/>
        <w:jc w:val="both"/>
        <w:rPr>
          <w:rFonts w:cs="Calibri"/>
        </w:rPr>
      </w:pPr>
    </w:p>
    <w:p w14:paraId="52A66124" w14:textId="77777777" w:rsidR="00E3073B" w:rsidRPr="002A3AAE" w:rsidRDefault="00E3073B" w:rsidP="002A3AAE">
      <w:pPr>
        <w:pStyle w:val="Heading3"/>
        <w:spacing w:before="0" w:after="0" w:line="240" w:lineRule="auto"/>
        <w:contextualSpacing/>
        <w:jc w:val="both"/>
        <w:rPr>
          <w:rFonts w:cs="Calibri"/>
        </w:rPr>
      </w:pPr>
      <w:r>
        <w:rPr>
          <w:rFonts w:cs="Calibri"/>
        </w:rPr>
        <w:t xml:space="preserve">2.2 </w:t>
      </w:r>
      <w:r w:rsidRPr="002A3AAE">
        <w:rPr>
          <w:rFonts w:cs="Calibri"/>
        </w:rPr>
        <w:t>Identifying inequalities in the burden of obesity</w:t>
      </w:r>
    </w:p>
    <w:p w14:paraId="53E983C9" w14:textId="77777777" w:rsidR="00E3073B" w:rsidRDefault="00E3073B" w:rsidP="002A3AAE">
      <w:pPr>
        <w:pStyle w:val="NoSpacing"/>
        <w:contextualSpacing/>
        <w:jc w:val="both"/>
        <w:rPr>
          <w:rFonts w:cs="Calibri"/>
        </w:rPr>
      </w:pPr>
    </w:p>
    <w:p w14:paraId="40718A77" w14:textId="77777777" w:rsidR="00E3073B" w:rsidRPr="002A3AAE" w:rsidRDefault="00E3073B" w:rsidP="002A3AAE">
      <w:pPr>
        <w:pStyle w:val="NoSpacing"/>
        <w:contextualSpacing/>
        <w:jc w:val="both"/>
        <w:rPr>
          <w:rFonts w:cs="Calibri"/>
        </w:rPr>
      </w:pPr>
      <w:r w:rsidRPr="002A3AAE">
        <w:rPr>
          <w:rFonts w:cs="Calibri"/>
        </w:rPr>
        <w:t xml:space="preserve">Obesity both contributes to and results from health </w:t>
      </w:r>
      <w:r w:rsidR="00E12EC1">
        <w:rPr>
          <w:rFonts w:cs="Calibri"/>
        </w:rPr>
        <w:t xml:space="preserve">and social </w:t>
      </w:r>
      <w:r w:rsidRPr="002A3AAE">
        <w:rPr>
          <w:rFonts w:cs="Calibri"/>
        </w:rPr>
        <w:t>inequalities</w:t>
      </w:r>
      <w:r w:rsidR="00F43315">
        <w:rPr>
          <w:rFonts w:cs="Calibri"/>
        </w:rPr>
        <w:t xml:space="preserve"> (</w:t>
      </w:r>
      <w:r w:rsidRPr="00F43315">
        <w:rPr>
          <w:rStyle w:val="EndnoteReference"/>
          <w:rFonts w:cs="Calibri"/>
          <w:vertAlign w:val="baseline"/>
        </w:rPr>
        <w:endnoteReference w:id="20"/>
      </w:r>
      <w:r w:rsidR="00F43315">
        <w:rPr>
          <w:rFonts w:cs="Calibri"/>
        </w:rPr>
        <w:t>)</w:t>
      </w:r>
      <w:r w:rsidRPr="002A3AAE">
        <w:rPr>
          <w:rFonts w:cs="Calibri"/>
        </w:rPr>
        <w:t xml:space="preserve">. As the Health Survey for England collects information on socio-economic circumstances of participants, analysing prevalence of obesity by a range of individual or household measures of socio-economic position, such as occupational social class, education level, </w:t>
      </w:r>
      <w:proofErr w:type="spellStart"/>
      <w:r w:rsidRPr="002A3AAE">
        <w:rPr>
          <w:rFonts w:cs="Calibri"/>
        </w:rPr>
        <w:t>equivalised</w:t>
      </w:r>
      <w:proofErr w:type="spellEnd"/>
      <w:r w:rsidRPr="002A3AAE">
        <w:rPr>
          <w:rFonts w:cs="Calibri"/>
        </w:rPr>
        <w:t xml:space="preserve"> household income (adjusted for the number of adults and children in the household), area deprivation (I</w:t>
      </w:r>
      <w:r>
        <w:rPr>
          <w:rFonts w:cs="Calibri"/>
        </w:rPr>
        <w:t xml:space="preserve">ndex of </w:t>
      </w:r>
      <w:r w:rsidRPr="002A3AAE">
        <w:rPr>
          <w:rFonts w:cs="Calibri"/>
        </w:rPr>
        <w:t>M</w:t>
      </w:r>
      <w:r>
        <w:rPr>
          <w:rFonts w:cs="Calibri"/>
        </w:rPr>
        <w:t xml:space="preserve">ultiple </w:t>
      </w:r>
      <w:r w:rsidRPr="002A3AAE">
        <w:rPr>
          <w:rFonts w:cs="Calibri"/>
        </w:rPr>
        <w:t>D</w:t>
      </w:r>
      <w:r>
        <w:rPr>
          <w:rFonts w:cs="Calibri"/>
        </w:rPr>
        <w:t>eprivation (IMD)</w:t>
      </w:r>
      <w:r w:rsidRPr="002A3AAE">
        <w:rPr>
          <w:rFonts w:cs="Calibri"/>
        </w:rPr>
        <w:t xml:space="preserve"> quintile), overcrowding, or car ownership, is possible. Such analyses have been presented in the inequalities literature produced by and for government over the last 20 years [Table 1].</w:t>
      </w:r>
    </w:p>
    <w:p w14:paraId="5ED9C5E7" w14:textId="77777777" w:rsidR="00E3073B" w:rsidRPr="002A3AAE" w:rsidRDefault="00E3073B" w:rsidP="002A3AAE">
      <w:pPr>
        <w:pStyle w:val="NoSpacing"/>
        <w:contextualSpacing/>
        <w:jc w:val="both"/>
        <w:rPr>
          <w:rFonts w:cs="Calibri"/>
        </w:rPr>
      </w:pPr>
    </w:p>
    <w:p w14:paraId="638A247B" w14:textId="65B450B5" w:rsidR="00E3073B" w:rsidRPr="002A3AAE" w:rsidRDefault="00E3073B" w:rsidP="002A3AAE">
      <w:pPr>
        <w:pStyle w:val="NoSpacing"/>
        <w:contextualSpacing/>
        <w:jc w:val="both"/>
        <w:rPr>
          <w:rFonts w:cs="Calibri"/>
        </w:rPr>
      </w:pPr>
      <w:r w:rsidRPr="002A3AAE">
        <w:rPr>
          <w:rFonts w:cs="Calibri"/>
          <w:lang w:eastAsia="en-GB"/>
        </w:rPr>
        <w:t>The Health Survey for England was used in</w:t>
      </w:r>
      <w:r w:rsidRPr="0049010F">
        <w:rPr>
          <w:rFonts w:cs="Calibri"/>
        </w:rPr>
        <w:t xml:space="preserve"> </w:t>
      </w:r>
      <w:r w:rsidRPr="00B0727A">
        <w:rPr>
          <w:rFonts w:cs="Calibri"/>
        </w:rPr>
        <w:t>the</w:t>
      </w:r>
      <w:r w:rsidRPr="002A3AAE">
        <w:rPr>
          <w:rFonts w:cs="Calibri"/>
          <w:i/>
        </w:rPr>
        <w:t xml:space="preserve"> Independent Inquiry into Inequalities in Health Report</w:t>
      </w:r>
      <w:r w:rsidRPr="002A3AAE">
        <w:rPr>
          <w:rFonts w:cs="Calibri"/>
        </w:rPr>
        <w:t>, led by Sir Donald Acheson</w:t>
      </w:r>
      <w:r w:rsidRPr="002A3AAE">
        <w:rPr>
          <w:rFonts w:cs="Calibri"/>
          <w:lang w:eastAsia="en-GB"/>
        </w:rPr>
        <w:t xml:space="preserve"> in 1998 (the Acheson Report</w:t>
      </w:r>
      <w:r w:rsidR="00F43315">
        <w:rPr>
          <w:rFonts w:cs="Calibri"/>
          <w:lang w:eastAsia="en-GB"/>
        </w:rPr>
        <w:t xml:space="preserve"> (</w:t>
      </w:r>
      <w:bookmarkStart w:id="11" w:name="_Ref341274305"/>
      <w:r w:rsidRPr="00F43315">
        <w:rPr>
          <w:rStyle w:val="EndnoteReference"/>
          <w:rFonts w:cs="Calibri"/>
          <w:vertAlign w:val="baseline"/>
          <w:lang w:eastAsia="en-GB"/>
        </w:rPr>
        <w:endnoteReference w:id="21"/>
      </w:r>
      <w:bookmarkEnd w:id="11"/>
      <w:r w:rsidR="00F43315">
        <w:rPr>
          <w:rFonts w:cs="Calibri"/>
          <w:lang w:eastAsia="en-GB"/>
        </w:rPr>
        <w:t>)</w:t>
      </w:r>
      <w:r w:rsidRPr="002A3AAE">
        <w:rPr>
          <w:rFonts w:cs="Calibri"/>
          <w:lang w:eastAsia="en-GB"/>
        </w:rPr>
        <w:t xml:space="preserve">), one of the key documents in the debate on health inequalities in the UK. The data were used to illustrate the marked social class </w:t>
      </w:r>
      <w:r w:rsidRPr="002A3AAE">
        <w:rPr>
          <w:rFonts w:cs="Calibri"/>
        </w:rPr>
        <w:t>gradient in obesity which was greater among women than among men. The prevalence of obesity among women in disadvantaged groups was almost twice that in the most affluent groups</w:t>
      </w:r>
      <w:r w:rsidR="00D01700">
        <w:rPr>
          <w:rFonts w:cs="Calibri"/>
        </w:rPr>
        <w:t xml:space="preserve"> (25% in class V compared </w:t>
      </w:r>
      <w:r w:rsidR="008C4A99">
        <w:rPr>
          <w:rFonts w:cs="Calibri"/>
        </w:rPr>
        <w:t xml:space="preserve">with </w:t>
      </w:r>
      <w:r w:rsidR="00D01700">
        <w:rPr>
          <w:rFonts w:cs="Calibri"/>
        </w:rPr>
        <w:t>14% in class I)</w:t>
      </w:r>
      <w:r w:rsidRPr="002A3AAE">
        <w:rPr>
          <w:rFonts w:cs="Calibri"/>
        </w:rPr>
        <w:t>.</w:t>
      </w:r>
    </w:p>
    <w:p w14:paraId="45A65C4C" w14:textId="77777777" w:rsidR="00E3073B" w:rsidRPr="002A3AAE" w:rsidRDefault="00E3073B" w:rsidP="002A3AAE">
      <w:pPr>
        <w:pStyle w:val="NoSpacing"/>
        <w:contextualSpacing/>
        <w:jc w:val="both"/>
        <w:rPr>
          <w:rFonts w:cs="Calibri"/>
        </w:rPr>
      </w:pPr>
    </w:p>
    <w:p w14:paraId="1A2FB2BE" w14:textId="51890A7E" w:rsidR="00E3073B" w:rsidRPr="002A3AAE" w:rsidRDefault="00E3073B" w:rsidP="002A3AAE">
      <w:pPr>
        <w:pStyle w:val="NoSpacing"/>
        <w:contextualSpacing/>
        <w:jc w:val="both"/>
        <w:rPr>
          <w:rFonts w:cs="Calibri"/>
        </w:rPr>
      </w:pPr>
      <w:r w:rsidRPr="002A3AAE">
        <w:rPr>
          <w:rFonts w:cs="Calibri"/>
        </w:rPr>
        <w:t xml:space="preserve">Obesity in women is particularly important, as maternal obesity is a risk factor for </w:t>
      </w:r>
      <w:r w:rsidR="001E183F">
        <w:rPr>
          <w:rFonts w:cs="Calibri"/>
        </w:rPr>
        <w:t xml:space="preserve">adverse perinatal outcomes and </w:t>
      </w:r>
      <w:r w:rsidRPr="002A3AAE">
        <w:rPr>
          <w:rFonts w:cs="Calibri"/>
        </w:rPr>
        <w:t>infant mortality</w:t>
      </w:r>
      <w:r w:rsidR="00F43315">
        <w:rPr>
          <w:rFonts w:cs="Calibri"/>
        </w:rPr>
        <w:t xml:space="preserve"> (</w:t>
      </w:r>
      <w:r w:rsidR="001E183F" w:rsidRPr="001E183F">
        <w:rPr>
          <w:rStyle w:val="EndnoteReference"/>
          <w:vertAlign w:val="baseline"/>
        </w:rPr>
        <w:endnoteReference w:id="22"/>
      </w:r>
      <w:r w:rsidR="001E183F">
        <w:rPr>
          <w:rFonts w:cs="Calibri"/>
        </w:rPr>
        <w:t>,</w:t>
      </w:r>
      <w:r w:rsidRPr="00F43315">
        <w:rPr>
          <w:rStyle w:val="EndnoteReference"/>
          <w:rFonts w:cs="Calibri"/>
          <w:vertAlign w:val="baseline"/>
        </w:rPr>
        <w:endnoteReference w:id="23"/>
      </w:r>
      <w:r w:rsidR="00F43315">
        <w:rPr>
          <w:rFonts w:cs="Calibri"/>
        </w:rPr>
        <w:t>)</w:t>
      </w:r>
      <w:r w:rsidRPr="002A3AAE">
        <w:rPr>
          <w:rFonts w:cs="Calibri"/>
        </w:rPr>
        <w:t>. The specific target set in the wake of the Acheson Report was to reduce the inequality in health outcomes between different socio-economic groups by 10</w:t>
      </w:r>
      <w:r w:rsidR="004A5662">
        <w:rPr>
          <w:rFonts w:cs="Calibri"/>
        </w:rPr>
        <w:t>%</w:t>
      </w:r>
      <w:r w:rsidRPr="002A3AAE">
        <w:rPr>
          <w:rFonts w:cs="Calibri"/>
        </w:rPr>
        <w:t>, as measured by infant mortality and life expectancy at birth</w:t>
      </w:r>
      <w:r w:rsidR="00F528B3">
        <w:rPr>
          <w:rFonts w:cs="Calibri"/>
        </w:rPr>
        <w:t>,</w:t>
      </w:r>
      <w:r w:rsidRPr="002A3AAE">
        <w:rPr>
          <w:rFonts w:cs="Calibri"/>
        </w:rPr>
        <w:t xml:space="preserve"> by 2010</w:t>
      </w:r>
      <w:r w:rsidR="00F43315">
        <w:rPr>
          <w:rFonts w:cs="Calibri"/>
        </w:rPr>
        <w:t xml:space="preserve"> (</w:t>
      </w:r>
      <w:bookmarkStart w:id="12" w:name="_Ref341273744"/>
      <w:r w:rsidRPr="00F43315">
        <w:rPr>
          <w:rStyle w:val="EndnoteReference"/>
          <w:rFonts w:cs="Calibri"/>
          <w:vertAlign w:val="baseline"/>
        </w:rPr>
        <w:endnoteReference w:id="24"/>
      </w:r>
      <w:bookmarkEnd w:id="12"/>
      <w:r w:rsidR="00F43315">
        <w:rPr>
          <w:rFonts w:cs="Calibri"/>
        </w:rPr>
        <w:t>)</w:t>
      </w:r>
      <w:r w:rsidRPr="002A3AAE">
        <w:rPr>
          <w:rFonts w:cs="Calibri"/>
        </w:rPr>
        <w:t>.</w:t>
      </w:r>
      <w:r>
        <w:rPr>
          <w:rFonts w:cs="Calibri"/>
        </w:rPr>
        <w:t xml:space="preserve"> Action on women’s obesity in routine and manual groups was therefore important for meeting the infant mortality goal.</w:t>
      </w:r>
    </w:p>
    <w:p w14:paraId="32E8E26A" w14:textId="77777777" w:rsidR="00E3073B" w:rsidRPr="002A3AAE" w:rsidRDefault="00E3073B" w:rsidP="002A3AAE">
      <w:pPr>
        <w:pStyle w:val="NoSpacing"/>
        <w:contextualSpacing/>
        <w:jc w:val="both"/>
        <w:rPr>
          <w:rFonts w:cs="Calibri"/>
        </w:rPr>
      </w:pPr>
    </w:p>
    <w:p w14:paraId="2B42C99C" w14:textId="77777777" w:rsidR="00E3073B" w:rsidRPr="002A3AAE" w:rsidRDefault="007014DF" w:rsidP="00E33855">
      <w:pPr>
        <w:pStyle w:val="NoSpacing"/>
        <w:contextualSpacing/>
        <w:jc w:val="both"/>
        <w:rPr>
          <w:rFonts w:cs="Calibri"/>
        </w:rPr>
      </w:pPr>
      <w:r w:rsidRPr="007014DF">
        <w:rPr>
          <w:rFonts w:asciiTheme="minorHAnsi" w:hAnsiTheme="minorHAnsi" w:cstheme="minorHAnsi"/>
          <w:i/>
          <w:lang w:eastAsia="en-GB"/>
        </w:rPr>
        <w:t>Tackling Health Inequalities: 10 Years On</w:t>
      </w:r>
      <w:r>
        <w:rPr>
          <w:rFonts w:asciiTheme="minorHAnsi" w:hAnsiTheme="minorHAnsi" w:cstheme="minorHAnsi"/>
          <w:lang w:eastAsia="en-GB"/>
        </w:rPr>
        <w:t xml:space="preserve"> </w:t>
      </w:r>
      <w:r w:rsidR="00F43315" w:rsidRPr="00F43315">
        <w:rPr>
          <w:rFonts w:cs="Calibri"/>
          <w:iCs/>
        </w:rPr>
        <w:t>(</w:t>
      </w:r>
      <w:bookmarkStart w:id="13" w:name="_Ref341274451"/>
      <w:r w:rsidR="00E3073B" w:rsidRPr="00F43315">
        <w:rPr>
          <w:rStyle w:val="EndnoteReference"/>
          <w:rFonts w:cs="Calibri"/>
          <w:vertAlign w:val="baseline"/>
        </w:rPr>
        <w:endnoteReference w:id="25"/>
      </w:r>
      <w:bookmarkEnd w:id="13"/>
      <w:r w:rsidR="00F43315" w:rsidRPr="00F43315">
        <w:rPr>
          <w:rFonts w:cs="Calibri"/>
          <w:iCs/>
        </w:rPr>
        <w:t>)</w:t>
      </w:r>
      <w:r w:rsidR="00E3073B" w:rsidRPr="002A3AAE">
        <w:rPr>
          <w:rFonts w:cs="Calibri"/>
        </w:rPr>
        <w:t xml:space="preserve"> examined key interventions and their potential contribution to meeting the infant mortality target. Reducing obesity within routine and manual groups to 23% was shown to have the potential to contribute 2.8 percentage points reduction in the gap in infant mortality rate between routine and manual groups and higher socio-economic groups.</w:t>
      </w:r>
    </w:p>
    <w:p w14:paraId="3C3D3BFD" w14:textId="77777777" w:rsidR="00E3073B" w:rsidRPr="002A3AAE" w:rsidRDefault="00E3073B" w:rsidP="002A3AAE">
      <w:pPr>
        <w:pStyle w:val="NoSpacing"/>
        <w:contextualSpacing/>
        <w:jc w:val="both"/>
        <w:rPr>
          <w:rFonts w:cs="Calibri"/>
        </w:rPr>
      </w:pPr>
    </w:p>
    <w:p w14:paraId="14333C58" w14:textId="77777777" w:rsidR="00E3073B" w:rsidRPr="002A3AAE" w:rsidRDefault="007014DF" w:rsidP="002A3AAE">
      <w:pPr>
        <w:pStyle w:val="NoSpacing"/>
        <w:contextualSpacing/>
        <w:jc w:val="both"/>
        <w:rPr>
          <w:rFonts w:cs="Calibri"/>
        </w:rPr>
      </w:pPr>
      <w:r w:rsidRPr="007014DF">
        <w:rPr>
          <w:rFonts w:asciiTheme="minorHAnsi" w:hAnsiTheme="minorHAnsi" w:cstheme="minorHAnsi"/>
          <w:i/>
          <w:lang w:eastAsia="en-GB"/>
        </w:rPr>
        <w:t>Tackling Health Inequalities: 10 Years</w:t>
      </w:r>
      <w:r>
        <w:rPr>
          <w:rFonts w:asciiTheme="minorHAnsi" w:hAnsiTheme="minorHAnsi" w:cstheme="minorHAnsi"/>
          <w:lang w:eastAsia="en-GB"/>
        </w:rPr>
        <w:t xml:space="preserve"> On </w:t>
      </w:r>
      <w:r w:rsidR="00E3073B" w:rsidRPr="002A3AAE">
        <w:rPr>
          <w:rFonts w:cs="Calibri"/>
        </w:rPr>
        <w:t>used a framework of indicators proposed by the WHO Commission on Health Inequalities</w:t>
      </w:r>
      <w:r w:rsidR="00F43315">
        <w:rPr>
          <w:rFonts w:cs="Calibri"/>
        </w:rPr>
        <w:t xml:space="preserve"> (</w:t>
      </w:r>
      <w:bookmarkStart w:id="14" w:name="_Ref341265160"/>
      <w:r w:rsidR="00E3073B" w:rsidRPr="00F43315">
        <w:rPr>
          <w:rStyle w:val="EndnoteReference"/>
          <w:rFonts w:cs="Calibri"/>
          <w:vertAlign w:val="baseline"/>
        </w:rPr>
        <w:endnoteReference w:id="26"/>
      </w:r>
      <w:bookmarkEnd w:id="14"/>
      <w:r w:rsidR="00F43315">
        <w:rPr>
          <w:rFonts w:cs="Calibri"/>
        </w:rPr>
        <w:t>)</w:t>
      </w:r>
      <w:r w:rsidR="00E3073B" w:rsidRPr="002A3AAE">
        <w:rPr>
          <w:rFonts w:cs="Calibri"/>
        </w:rPr>
        <w:t xml:space="preserve"> to help analyse the contribution of different social determinants to the overall burden of health inequalities within England. One of the 39 indicators is prevalence of obesity in adults by gender and income quintile. </w:t>
      </w:r>
      <w:r w:rsidR="00896150">
        <w:rPr>
          <w:rFonts w:cs="Calibri"/>
        </w:rPr>
        <w:t>To assess performance against this indicator, t</w:t>
      </w:r>
      <w:r w:rsidR="00E3073B" w:rsidRPr="002A3AAE">
        <w:rPr>
          <w:rFonts w:cs="Calibri"/>
        </w:rPr>
        <w:t xml:space="preserve">he report examined the Health Survey for England data from 1998, 2003 and 2006. This showed that there was a consistent pattern of increasing obesity as household income decreased for women. The pattern for men was more complex, with data from 2003 and 2006 showing no relationship between </w:t>
      </w:r>
      <w:proofErr w:type="spellStart"/>
      <w:r w:rsidR="00E3073B" w:rsidRPr="002A3AAE">
        <w:rPr>
          <w:rFonts w:cs="Calibri"/>
        </w:rPr>
        <w:t>equivalised</w:t>
      </w:r>
      <w:proofErr w:type="spellEnd"/>
      <w:r w:rsidR="00E3073B" w:rsidRPr="002A3AAE">
        <w:rPr>
          <w:rFonts w:cs="Calibri"/>
        </w:rPr>
        <w:t xml:space="preserve"> household income and obesity. The continued disparity between obesity prevalence in women from routine and manual groups and women from other socio-economic groups showed there was more work to be done, whi</w:t>
      </w:r>
      <w:r w:rsidR="00E3073B">
        <w:rPr>
          <w:rFonts w:cs="Calibri"/>
        </w:rPr>
        <w:t>ch could help to achieve the</w:t>
      </w:r>
      <w:r w:rsidR="00E3073B" w:rsidRPr="002A3AAE">
        <w:rPr>
          <w:rFonts w:cs="Calibri"/>
        </w:rPr>
        <w:t xml:space="preserve"> inequalities target.</w:t>
      </w:r>
    </w:p>
    <w:p w14:paraId="0C9EB0DF" w14:textId="77777777" w:rsidR="00E3073B" w:rsidRPr="002A3AAE" w:rsidRDefault="00E3073B" w:rsidP="002A3AAE">
      <w:pPr>
        <w:pStyle w:val="Heading3"/>
        <w:spacing w:before="0" w:after="0" w:line="240" w:lineRule="auto"/>
        <w:contextualSpacing/>
        <w:jc w:val="both"/>
        <w:rPr>
          <w:rFonts w:cs="Calibri"/>
          <w:b w:val="0"/>
          <w:i w:val="0"/>
        </w:rPr>
      </w:pPr>
    </w:p>
    <w:p w14:paraId="3EF417A1" w14:textId="77777777" w:rsidR="00E3073B" w:rsidRPr="002A3AAE" w:rsidRDefault="00E3073B" w:rsidP="002A3AAE">
      <w:pPr>
        <w:pStyle w:val="Heading3"/>
        <w:spacing w:before="0" w:after="0" w:line="240" w:lineRule="auto"/>
        <w:contextualSpacing/>
        <w:jc w:val="both"/>
        <w:rPr>
          <w:rFonts w:cs="Calibri"/>
        </w:rPr>
      </w:pPr>
      <w:r>
        <w:rPr>
          <w:rFonts w:cs="Calibri"/>
        </w:rPr>
        <w:t xml:space="preserve">2.3 </w:t>
      </w:r>
      <w:r w:rsidRPr="002A3AAE">
        <w:rPr>
          <w:rFonts w:cs="Calibri"/>
        </w:rPr>
        <w:t>Modelling potential future scenarios</w:t>
      </w:r>
    </w:p>
    <w:p w14:paraId="353B534E" w14:textId="77777777" w:rsidR="00E3073B" w:rsidRDefault="00E3073B" w:rsidP="002A3AAE">
      <w:pPr>
        <w:pStyle w:val="NoSpacing"/>
        <w:contextualSpacing/>
        <w:jc w:val="both"/>
        <w:rPr>
          <w:rFonts w:cs="Calibri"/>
          <w:lang w:eastAsia="en-GB"/>
        </w:rPr>
      </w:pPr>
    </w:p>
    <w:p w14:paraId="3FF7ACAE" w14:textId="77777777" w:rsidR="00E3073B" w:rsidRPr="002A3AAE" w:rsidRDefault="00E3073B" w:rsidP="002A3AAE">
      <w:pPr>
        <w:pStyle w:val="NoSpacing"/>
        <w:contextualSpacing/>
        <w:jc w:val="both"/>
        <w:rPr>
          <w:rFonts w:cs="Calibri"/>
          <w:lang w:eastAsia="en-GB"/>
        </w:rPr>
      </w:pPr>
      <w:r w:rsidRPr="002A3AAE">
        <w:rPr>
          <w:rFonts w:cs="Calibri"/>
          <w:lang w:eastAsia="en-GB"/>
        </w:rPr>
        <w:t>Year on year data on obesity prevalence allows modelling work to be completed, projecting trend</w:t>
      </w:r>
      <w:r>
        <w:rPr>
          <w:rFonts w:cs="Calibri"/>
          <w:lang w:eastAsia="en-GB"/>
        </w:rPr>
        <w:t>s in obesity into the future</w:t>
      </w:r>
      <w:r w:rsidRPr="002A3AAE">
        <w:rPr>
          <w:rFonts w:cs="Calibri"/>
          <w:lang w:eastAsia="en-GB"/>
        </w:rPr>
        <w:t xml:space="preserve">. </w:t>
      </w:r>
      <w:r>
        <w:rPr>
          <w:rFonts w:cs="Calibri"/>
          <w:lang w:eastAsia="en-GB"/>
        </w:rPr>
        <w:t>One</w:t>
      </w:r>
      <w:r w:rsidRPr="002A3AAE">
        <w:rPr>
          <w:rFonts w:cs="Calibri"/>
          <w:lang w:eastAsia="en-GB"/>
        </w:rPr>
        <w:t xml:space="preserve"> </w:t>
      </w:r>
      <w:r>
        <w:rPr>
          <w:rFonts w:cs="Calibri"/>
          <w:lang w:eastAsia="en-GB"/>
        </w:rPr>
        <w:t xml:space="preserve">key and much-cited </w:t>
      </w:r>
      <w:r w:rsidRPr="002A3AAE">
        <w:rPr>
          <w:rFonts w:cs="Calibri"/>
          <w:lang w:eastAsia="en-GB"/>
        </w:rPr>
        <w:t>document informing obesity policy in the UK, usually termed the Foresight report</w:t>
      </w:r>
      <w:bookmarkStart w:id="15" w:name="_Ref339977679"/>
      <w:r w:rsidR="0071776B">
        <w:rPr>
          <w:rFonts w:cs="Calibri"/>
          <w:lang w:eastAsia="en-GB"/>
        </w:rPr>
        <w:t xml:space="preserve"> (</w:t>
      </w:r>
      <w:bookmarkStart w:id="16" w:name="_Ref341184686"/>
      <w:r w:rsidRPr="0071776B">
        <w:rPr>
          <w:rStyle w:val="EndnoteReference"/>
          <w:rFonts w:cs="Calibri"/>
          <w:vertAlign w:val="baseline"/>
          <w:lang w:eastAsia="en-GB"/>
        </w:rPr>
        <w:endnoteReference w:id="27"/>
      </w:r>
      <w:bookmarkEnd w:id="15"/>
      <w:bookmarkEnd w:id="16"/>
      <w:r w:rsidR="0071776B">
        <w:rPr>
          <w:rFonts w:cs="Calibri"/>
          <w:lang w:eastAsia="en-GB"/>
        </w:rPr>
        <w:t>)</w:t>
      </w:r>
      <w:r w:rsidRPr="002A3AAE">
        <w:rPr>
          <w:rFonts w:cs="Calibri"/>
        </w:rPr>
        <w:t>,</w:t>
      </w:r>
      <w:r w:rsidRPr="002A3AAE">
        <w:rPr>
          <w:rFonts w:cs="Calibri"/>
          <w:lang w:eastAsia="en-GB"/>
        </w:rPr>
        <w:t xml:space="preserve"> used Health Survey for England</w:t>
      </w:r>
      <w:r>
        <w:rPr>
          <w:rFonts w:cs="Calibri"/>
          <w:lang w:eastAsia="en-GB"/>
        </w:rPr>
        <w:t xml:space="preserve"> data to model potential future scenarios</w:t>
      </w:r>
      <w:r w:rsidRPr="002A3AAE">
        <w:rPr>
          <w:rFonts w:cs="Calibri"/>
          <w:lang w:eastAsia="en-GB"/>
        </w:rPr>
        <w:t>.</w:t>
      </w:r>
    </w:p>
    <w:p w14:paraId="1BA864C8" w14:textId="77777777" w:rsidR="00E3073B" w:rsidRPr="002A3AAE" w:rsidRDefault="00E3073B" w:rsidP="002A3AAE">
      <w:pPr>
        <w:pStyle w:val="NoSpacing"/>
        <w:contextualSpacing/>
        <w:jc w:val="both"/>
        <w:rPr>
          <w:rFonts w:cs="Calibri"/>
        </w:rPr>
      </w:pPr>
    </w:p>
    <w:p w14:paraId="262F10C5" w14:textId="11645C58" w:rsidR="00E3073B" w:rsidRPr="002A3AAE" w:rsidRDefault="00E3073B" w:rsidP="002A3AAE">
      <w:pPr>
        <w:pStyle w:val="NoSpacing"/>
        <w:contextualSpacing/>
        <w:jc w:val="both"/>
        <w:rPr>
          <w:rFonts w:cs="Calibri"/>
        </w:rPr>
      </w:pPr>
      <w:r w:rsidRPr="002A3AAE">
        <w:rPr>
          <w:rFonts w:cs="Calibri"/>
        </w:rPr>
        <w:t xml:space="preserve">Foresight is funded by the Government Office for Science within the Department for Business, Innovation and Skills, and is headed by the government chief scientific advisor, who reports directly to the prime minister and cabinet. In 2005, Foresight was asked to consider how society might deliver a sustainable response to obesity in the UK over the next 40 years. This work was published as </w:t>
      </w:r>
      <w:r w:rsidRPr="002A3AAE">
        <w:rPr>
          <w:rFonts w:cs="Calibri"/>
          <w:i/>
        </w:rPr>
        <w:t>Tackling Obesities: Future choice</w:t>
      </w:r>
      <w:r w:rsidR="007645F6">
        <w:rPr>
          <w:rFonts w:cs="Calibri"/>
          <w:i/>
        </w:rPr>
        <w:t>s</w:t>
      </w:r>
      <w:r w:rsidR="0071776B">
        <w:rPr>
          <w:rFonts w:cs="Calibri"/>
          <w:i/>
        </w:rPr>
        <w:t xml:space="preserve"> </w:t>
      </w:r>
      <w:r w:rsidR="0071776B" w:rsidRPr="0071776B">
        <w:rPr>
          <w:rFonts w:cs="Calibri"/>
        </w:rPr>
        <w:t>(</w:t>
      </w:r>
      <w:r w:rsidR="0071776B" w:rsidRPr="0071776B">
        <w:rPr>
          <w:rFonts w:cs="Calibri"/>
        </w:rPr>
        <w:fldChar w:fldCharType="begin"/>
      </w:r>
      <w:r w:rsidR="0071776B" w:rsidRPr="0071776B">
        <w:rPr>
          <w:rFonts w:cs="Calibri"/>
        </w:rPr>
        <w:instrText xml:space="preserve"> NOTEREF _Ref341184686 \h </w:instrText>
      </w:r>
      <w:r w:rsidR="0071776B">
        <w:rPr>
          <w:rFonts w:cs="Calibri"/>
        </w:rPr>
        <w:instrText xml:space="preserve"> \* MERGEFORMAT </w:instrText>
      </w:r>
      <w:r w:rsidR="0071776B" w:rsidRPr="0071776B">
        <w:rPr>
          <w:rFonts w:cs="Calibri"/>
        </w:rPr>
      </w:r>
      <w:r w:rsidR="0071776B" w:rsidRPr="0071776B">
        <w:rPr>
          <w:rFonts w:cs="Calibri"/>
        </w:rPr>
        <w:fldChar w:fldCharType="separate"/>
      </w:r>
      <w:r w:rsidR="009462C5">
        <w:rPr>
          <w:rFonts w:cs="Calibri"/>
        </w:rPr>
        <w:t>26</w:t>
      </w:r>
      <w:r w:rsidR="0071776B" w:rsidRPr="0071776B">
        <w:rPr>
          <w:rFonts w:cs="Calibri"/>
        </w:rPr>
        <w:fldChar w:fldCharType="end"/>
      </w:r>
      <w:r w:rsidR="0071776B">
        <w:rPr>
          <w:rFonts w:cs="Calibri"/>
        </w:rPr>
        <w:t>)</w:t>
      </w:r>
      <w:r w:rsidRPr="002A3AAE">
        <w:rPr>
          <w:rFonts w:cs="Calibri"/>
        </w:rPr>
        <w:t>.</w:t>
      </w:r>
    </w:p>
    <w:p w14:paraId="76A30D4F" w14:textId="77777777" w:rsidR="00E3073B" w:rsidRPr="002A3AAE" w:rsidRDefault="00E3073B" w:rsidP="002A3AAE">
      <w:pPr>
        <w:pStyle w:val="NoSpacing"/>
        <w:contextualSpacing/>
        <w:jc w:val="both"/>
        <w:rPr>
          <w:rFonts w:cs="Calibri"/>
        </w:rPr>
      </w:pPr>
    </w:p>
    <w:p w14:paraId="6842954B" w14:textId="523743E8" w:rsidR="00E3073B" w:rsidRPr="002A3AAE" w:rsidRDefault="00E3073B" w:rsidP="002A3AAE">
      <w:pPr>
        <w:pStyle w:val="NoSpacing"/>
        <w:contextualSpacing/>
        <w:jc w:val="both"/>
        <w:rPr>
          <w:rFonts w:cs="Calibri"/>
        </w:rPr>
      </w:pPr>
      <w:r w:rsidRPr="002A3AAE">
        <w:rPr>
          <w:rFonts w:cs="Calibri"/>
          <w:i/>
        </w:rPr>
        <w:t>Tackling Obesities</w:t>
      </w:r>
      <w:r w:rsidRPr="002A3AAE">
        <w:rPr>
          <w:rFonts w:cs="Calibri"/>
        </w:rPr>
        <w:t xml:space="preserve"> used Health Survey for England data to show the prevalence of</w:t>
      </w:r>
      <w:r>
        <w:rPr>
          <w:rFonts w:cs="Calibri"/>
        </w:rPr>
        <w:t>,</w:t>
      </w:r>
      <w:r w:rsidRPr="002A3AAE">
        <w:rPr>
          <w:rFonts w:cs="Calibri"/>
        </w:rPr>
        <w:t xml:space="preserve"> and trends in</w:t>
      </w:r>
      <w:r>
        <w:rPr>
          <w:rFonts w:cs="Calibri"/>
        </w:rPr>
        <w:t>,</w:t>
      </w:r>
      <w:r w:rsidRPr="002A3AAE">
        <w:rPr>
          <w:rFonts w:cs="Calibri"/>
        </w:rPr>
        <w:t xml:space="preserve"> obesity in adults and children in England; this was further examined by age-group, social class, ethnicity and geographical region. These prevalence figures were used to estimate economic costs of overweight and obesity. The report then explored the possible future trajectories for overweight and obesity in the population. This was done through quantitative modelling, using the Health Survey for England from 1994-2004 and extrapolating trends to 2050. The simulation was then used to examine future impact on life expectancy and potential future economic costs of overweight and obesity</w:t>
      </w:r>
      <w:r w:rsidR="006D090B">
        <w:rPr>
          <w:rFonts w:cs="Calibri"/>
        </w:rPr>
        <w:t xml:space="preserve"> (</w:t>
      </w:r>
      <w:r w:rsidR="006D090B">
        <w:rPr>
          <w:rFonts w:cs="Calibri"/>
        </w:rPr>
        <w:fldChar w:fldCharType="begin"/>
      </w:r>
      <w:r w:rsidR="006D090B">
        <w:rPr>
          <w:rFonts w:cs="Calibri"/>
        </w:rPr>
        <w:instrText xml:space="preserve"> NOTEREF _Ref341184686 \h </w:instrText>
      </w:r>
      <w:r w:rsidR="006D090B">
        <w:rPr>
          <w:rFonts w:cs="Calibri"/>
        </w:rPr>
      </w:r>
      <w:r w:rsidR="006D090B">
        <w:rPr>
          <w:rFonts w:cs="Calibri"/>
        </w:rPr>
        <w:fldChar w:fldCharType="separate"/>
      </w:r>
      <w:r w:rsidR="009462C5">
        <w:rPr>
          <w:rFonts w:cs="Calibri"/>
        </w:rPr>
        <w:t>26</w:t>
      </w:r>
      <w:r w:rsidR="006D090B">
        <w:rPr>
          <w:rFonts w:cs="Calibri"/>
        </w:rPr>
        <w:fldChar w:fldCharType="end"/>
      </w:r>
      <w:r w:rsidR="006D090B">
        <w:rPr>
          <w:rFonts w:cs="Calibri"/>
        </w:rPr>
        <w:t>)</w:t>
      </w:r>
      <w:r w:rsidRPr="002A3AAE">
        <w:rPr>
          <w:rFonts w:cs="Calibri"/>
        </w:rPr>
        <w:t>.</w:t>
      </w:r>
    </w:p>
    <w:p w14:paraId="5D66595A" w14:textId="77777777" w:rsidR="00E3073B" w:rsidRPr="002A3AAE" w:rsidRDefault="00E3073B" w:rsidP="002A3AAE">
      <w:pPr>
        <w:pStyle w:val="NoSpacing"/>
        <w:contextualSpacing/>
        <w:jc w:val="both"/>
        <w:rPr>
          <w:rFonts w:cs="Calibri"/>
        </w:rPr>
      </w:pPr>
    </w:p>
    <w:p w14:paraId="3A7EBC3E" w14:textId="2CB63452" w:rsidR="00E3073B" w:rsidRPr="002A3AAE" w:rsidRDefault="00E3073B" w:rsidP="002A3AAE">
      <w:pPr>
        <w:pStyle w:val="NoSpacing"/>
        <w:contextualSpacing/>
        <w:jc w:val="both"/>
        <w:rPr>
          <w:rFonts w:cs="Calibri"/>
        </w:rPr>
      </w:pPr>
      <w:r w:rsidRPr="002A3AAE">
        <w:rPr>
          <w:rFonts w:cs="Calibri"/>
        </w:rPr>
        <w:t>This work has been often quoted in subsequent obesity policy documents</w:t>
      </w:r>
      <w:bookmarkStart w:id="17" w:name="_Ref339977915"/>
      <w:r w:rsidR="006D090B">
        <w:rPr>
          <w:rFonts w:cs="Calibri"/>
        </w:rPr>
        <w:t xml:space="preserve"> (</w:t>
      </w:r>
      <w:bookmarkStart w:id="18" w:name="_Ref341192001"/>
      <w:r w:rsidRPr="006D090B">
        <w:rPr>
          <w:rStyle w:val="EndnoteReference"/>
          <w:rFonts w:cs="Calibri"/>
          <w:vertAlign w:val="baseline"/>
        </w:rPr>
        <w:endnoteReference w:id="28"/>
      </w:r>
      <w:bookmarkEnd w:id="17"/>
      <w:bookmarkEnd w:id="18"/>
      <w:r w:rsidRPr="006D090B">
        <w:rPr>
          <w:rFonts w:cs="Calibri"/>
        </w:rPr>
        <w:t>,</w:t>
      </w:r>
      <w:bookmarkStart w:id="19" w:name="_Ref339977954"/>
      <w:r w:rsidRPr="006D090B">
        <w:rPr>
          <w:rStyle w:val="EndnoteReference"/>
          <w:rFonts w:cs="Calibri"/>
          <w:vertAlign w:val="baseline"/>
        </w:rPr>
        <w:endnoteReference w:id="29"/>
      </w:r>
      <w:bookmarkEnd w:id="19"/>
      <w:r w:rsidR="006D090B">
        <w:rPr>
          <w:rFonts w:cs="Calibri"/>
        </w:rPr>
        <w:t>)</w:t>
      </w:r>
      <w:r w:rsidRPr="002A3AAE">
        <w:rPr>
          <w:rFonts w:cs="Calibri"/>
        </w:rPr>
        <w:t xml:space="preserve">, justifying </w:t>
      </w:r>
      <w:r>
        <w:rPr>
          <w:rFonts w:cs="Calibri"/>
        </w:rPr>
        <w:t xml:space="preserve">investment of </w:t>
      </w:r>
      <w:r w:rsidRPr="002A3AAE">
        <w:rPr>
          <w:rFonts w:cs="Calibri"/>
        </w:rPr>
        <w:t>money and focus on obesity in government</w:t>
      </w:r>
      <w:r>
        <w:rPr>
          <w:rFonts w:cs="Calibri"/>
        </w:rPr>
        <w:t xml:space="preserve">. These data are used as a tool by policy-makers to keep the issue of obesity on the government’s agenda. </w:t>
      </w:r>
      <w:r w:rsidRPr="002A3AAE">
        <w:rPr>
          <w:rFonts w:cs="Calibri"/>
        </w:rPr>
        <w:t xml:space="preserve">In subsequent years, </w:t>
      </w:r>
      <w:r w:rsidRPr="002A3AAE">
        <w:rPr>
          <w:rFonts w:cs="Calibri"/>
          <w:lang w:eastAsia="en-GB"/>
        </w:rPr>
        <w:t>as more data is collected and reported by the Health Survey, the models produced by the Foresight Report have been updated</w:t>
      </w:r>
      <w:r w:rsidR="006D090B">
        <w:rPr>
          <w:rFonts w:cs="Calibri"/>
          <w:lang w:eastAsia="en-GB"/>
        </w:rPr>
        <w:t xml:space="preserve"> (</w:t>
      </w:r>
      <w:bookmarkStart w:id="20" w:name="_Ref341274503"/>
      <w:r w:rsidRPr="006D090B">
        <w:rPr>
          <w:rStyle w:val="EndnoteReference"/>
          <w:rFonts w:cs="Calibri"/>
          <w:vertAlign w:val="baseline"/>
          <w:lang w:eastAsia="en-GB"/>
        </w:rPr>
        <w:endnoteReference w:id="30"/>
      </w:r>
      <w:bookmarkEnd w:id="20"/>
      <w:r w:rsidRPr="006D090B">
        <w:rPr>
          <w:rFonts w:cs="Calibri"/>
          <w:lang w:eastAsia="en-GB"/>
        </w:rPr>
        <w:t>,</w:t>
      </w:r>
      <w:bookmarkStart w:id="21" w:name="_Ref341274510"/>
      <w:r w:rsidRPr="006D090B">
        <w:rPr>
          <w:rStyle w:val="EndnoteReference"/>
          <w:rFonts w:cs="Calibri"/>
          <w:vertAlign w:val="baseline"/>
          <w:lang w:eastAsia="en-GB"/>
        </w:rPr>
        <w:endnoteReference w:id="31"/>
      </w:r>
      <w:bookmarkEnd w:id="21"/>
      <w:r w:rsidR="006D090B">
        <w:rPr>
          <w:rFonts w:cs="Calibri"/>
          <w:lang w:eastAsia="en-GB"/>
        </w:rPr>
        <w:t>)</w:t>
      </w:r>
      <w:r w:rsidRPr="002A3AAE">
        <w:rPr>
          <w:rFonts w:cs="Calibri"/>
          <w:lang w:eastAsia="en-GB"/>
        </w:rPr>
        <w:t>. Other reports that use</w:t>
      </w:r>
      <w:r w:rsidR="00F22600">
        <w:rPr>
          <w:rFonts w:cs="Calibri"/>
          <w:lang w:eastAsia="en-GB"/>
        </w:rPr>
        <w:t>d</w:t>
      </w:r>
      <w:r w:rsidRPr="002A3AAE">
        <w:rPr>
          <w:rFonts w:cs="Calibri"/>
          <w:lang w:eastAsia="en-GB"/>
        </w:rPr>
        <w:t xml:space="preserve"> obesity data for modelling future scenarios, such as the </w:t>
      </w:r>
      <w:proofErr w:type="spellStart"/>
      <w:r w:rsidRPr="002A3AAE">
        <w:rPr>
          <w:rFonts w:cs="Calibri"/>
          <w:lang w:eastAsia="en-GB"/>
        </w:rPr>
        <w:t>Wanless</w:t>
      </w:r>
      <w:proofErr w:type="spellEnd"/>
      <w:r w:rsidRPr="002A3AAE">
        <w:rPr>
          <w:rFonts w:cs="Calibri"/>
          <w:lang w:eastAsia="en-GB"/>
        </w:rPr>
        <w:t xml:space="preserve"> reports</w:t>
      </w:r>
      <w:r w:rsidR="002D368E">
        <w:rPr>
          <w:rFonts w:cs="Calibri"/>
          <w:lang w:eastAsia="en-GB"/>
        </w:rPr>
        <w:t xml:space="preserve"> (</w:t>
      </w:r>
      <w:bookmarkStart w:id="22" w:name="_Ref341274380"/>
      <w:r w:rsidR="002D368E" w:rsidRPr="002D368E">
        <w:rPr>
          <w:rStyle w:val="EndnoteReference"/>
          <w:vertAlign w:val="baseline"/>
          <w:lang w:eastAsia="en-GB"/>
        </w:rPr>
        <w:endnoteReference w:id="32"/>
      </w:r>
      <w:bookmarkEnd w:id="22"/>
      <w:r w:rsidR="002D368E">
        <w:rPr>
          <w:rFonts w:cs="Calibri"/>
          <w:lang w:eastAsia="en-GB"/>
        </w:rPr>
        <w:t>,</w:t>
      </w:r>
      <w:bookmarkStart w:id="23" w:name="_Ref341274382"/>
      <w:r w:rsidR="002D368E" w:rsidRPr="002D368E">
        <w:rPr>
          <w:rStyle w:val="EndnoteReference"/>
          <w:vertAlign w:val="baseline"/>
          <w:lang w:eastAsia="en-GB"/>
        </w:rPr>
        <w:endnoteReference w:id="33"/>
      </w:r>
      <w:bookmarkEnd w:id="23"/>
      <w:r w:rsidR="002D368E">
        <w:rPr>
          <w:rFonts w:cs="Calibri"/>
          <w:lang w:eastAsia="en-GB"/>
        </w:rPr>
        <w:t>)</w:t>
      </w:r>
      <w:r w:rsidRPr="002A3AAE">
        <w:rPr>
          <w:rFonts w:cs="Calibri"/>
          <w:lang w:eastAsia="en-GB"/>
        </w:rPr>
        <w:t>, can be seen in Table 1.</w:t>
      </w:r>
    </w:p>
    <w:p w14:paraId="2B087B9A" w14:textId="77777777" w:rsidR="00E3073B" w:rsidRDefault="00E3073B" w:rsidP="002A3AAE">
      <w:pPr>
        <w:pStyle w:val="Heading3"/>
        <w:spacing w:before="0" w:after="0" w:line="240" w:lineRule="auto"/>
        <w:contextualSpacing/>
        <w:jc w:val="both"/>
        <w:rPr>
          <w:rFonts w:cs="Calibri"/>
        </w:rPr>
      </w:pPr>
    </w:p>
    <w:p w14:paraId="7F7A9E0E" w14:textId="77777777" w:rsidR="00E3073B" w:rsidRPr="002A3AAE" w:rsidRDefault="00E3073B" w:rsidP="002A3AAE">
      <w:pPr>
        <w:pStyle w:val="Heading3"/>
        <w:spacing w:before="0" w:after="0" w:line="240" w:lineRule="auto"/>
        <w:contextualSpacing/>
        <w:jc w:val="both"/>
        <w:rPr>
          <w:rFonts w:cs="Calibri"/>
        </w:rPr>
      </w:pPr>
      <w:r>
        <w:rPr>
          <w:rFonts w:cs="Calibri"/>
        </w:rPr>
        <w:t xml:space="preserve">2.4 </w:t>
      </w:r>
      <w:r w:rsidRPr="002A3AAE">
        <w:rPr>
          <w:rFonts w:cs="Calibri"/>
        </w:rPr>
        <w:t>Strategy Development</w:t>
      </w:r>
    </w:p>
    <w:p w14:paraId="1E0E7A7F" w14:textId="77777777" w:rsidR="00E3073B" w:rsidRDefault="00E3073B" w:rsidP="002A3AAE">
      <w:pPr>
        <w:spacing w:after="0" w:line="240" w:lineRule="auto"/>
        <w:contextualSpacing/>
        <w:jc w:val="both"/>
        <w:rPr>
          <w:rFonts w:cs="Calibri"/>
        </w:rPr>
      </w:pPr>
    </w:p>
    <w:p w14:paraId="2C7E13E8" w14:textId="629B6438" w:rsidR="00E3073B" w:rsidRPr="002A3AAE" w:rsidRDefault="00E3073B" w:rsidP="002A3AAE">
      <w:pPr>
        <w:spacing w:after="0" w:line="240" w:lineRule="auto"/>
        <w:contextualSpacing/>
        <w:jc w:val="both"/>
        <w:rPr>
          <w:rFonts w:cs="Calibri"/>
        </w:rPr>
      </w:pPr>
      <w:r w:rsidRPr="002A3AAE">
        <w:rPr>
          <w:rFonts w:cs="Calibri"/>
        </w:rPr>
        <w:t xml:space="preserve">Under equality legislation pre-2010, it was a legal requirement to carry out an Equality Impact Assessment to screen all new policies for their impact on people from particular protected groups. 2010 saw the introduction of the Equality Act and its associated Public Sector Equality Duty. The duty ensures that </w:t>
      </w:r>
      <w:r w:rsidR="00F22600">
        <w:rPr>
          <w:rFonts w:cs="Calibri"/>
        </w:rPr>
        <w:t>p</w:t>
      </w:r>
      <w:r w:rsidRPr="002A3AAE">
        <w:rPr>
          <w:rFonts w:cs="Calibri"/>
        </w:rPr>
        <w:t xml:space="preserve">ublic </w:t>
      </w:r>
      <w:r w:rsidR="00F22600">
        <w:rPr>
          <w:rFonts w:cs="Calibri"/>
        </w:rPr>
        <w:t>b</w:t>
      </w:r>
      <w:r w:rsidRPr="002A3AAE">
        <w:rPr>
          <w:rFonts w:cs="Calibri"/>
        </w:rPr>
        <w:t>odies are specifically acting to advance equality as well as eliminate discrimination and remove or minimise disadvantage for the protected characteristics covered by the Act (ethnic background</w:t>
      </w:r>
      <w:r>
        <w:rPr>
          <w:rFonts w:cs="Calibri"/>
        </w:rPr>
        <w:t xml:space="preserve">, </w:t>
      </w:r>
      <w:r w:rsidRPr="002A3AAE">
        <w:rPr>
          <w:rFonts w:cs="Calibri"/>
        </w:rPr>
        <w:t>d</w:t>
      </w:r>
      <w:r>
        <w:rPr>
          <w:rFonts w:cs="Calibri"/>
        </w:rPr>
        <w:t>isability</w:t>
      </w:r>
      <w:r w:rsidRPr="002A3AAE">
        <w:rPr>
          <w:rFonts w:cs="Calibri"/>
        </w:rPr>
        <w:t>, gender, sexual orientation, age group, socio-economic group and belief).</w:t>
      </w:r>
    </w:p>
    <w:p w14:paraId="7BCE86D7" w14:textId="77777777" w:rsidR="00E3073B" w:rsidRPr="002A3AAE" w:rsidRDefault="00E3073B" w:rsidP="002A3AAE">
      <w:pPr>
        <w:spacing w:after="0" w:line="240" w:lineRule="auto"/>
        <w:contextualSpacing/>
        <w:jc w:val="both"/>
        <w:rPr>
          <w:rFonts w:cs="Calibri"/>
        </w:rPr>
      </w:pPr>
    </w:p>
    <w:p w14:paraId="3D17E4F6" w14:textId="0019A580" w:rsidR="00E3073B" w:rsidRPr="002A3AAE" w:rsidRDefault="00E3073B" w:rsidP="002A3AAE">
      <w:pPr>
        <w:spacing w:after="0" w:line="240" w:lineRule="auto"/>
        <w:contextualSpacing/>
        <w:jc w:val="both"/>
        <w:rPr>
          <w:rFonts w:cs="Calibri"/>
        </w:rPr>
      </w:pPr>
      <w:r w:rsidRPr="002A3AAE">
        <w:rPr>
          <w:rFonts w:cs="Calibri"/>
        </w:rPr>
        <w:t>Both</w:t>
      </w:r>
      <w:r w:rsidRPr="002A3AAE">
        <w:rPr>
          <w:rFonts w:cs="Calibri"/>
          <w:i/>
        </w:rPr>
        <w:t xml:space="preserve"> Healthy weights, healthy lives: a cross governmental strategy for England</w:t>
      </w:r>
      <w:r w:rsidRPr="002A3AAE">
        <w:rPr>
          <w:rFonts w:cs="Calibri"/>
        </w:rPr>
        <w:t>, 2007</w:t>
      </w:r>
      <w:r w:rsidR="006D090B">
        <w:rPr>
          <w:rFonts w:cs="Calibri"/>
        </w:rPr>
        <w:t xml:space="preserve"> (</w:t>
      </w:r>
      <w:r w:rsidR="006D090B">
        <w:fldChar w:fldCharType="begin"/>
      </w:r>
      <w:r w:rsidR="006D090B">
        <w:rPr>
          <w:rFonts w:cs="Calibri"/>
        </w:rPr>
        <w:instrText xml:space="preserve"> NOTEREF _Ref341192001 \h </w:instrText>
      </w:r>
      <w:r w:rsidR="006D090B">
        <w:fldChar w:fldCharType="separate"/>
      </w:r>
      <w:r w:rsidR="009462C5">
        <w:rPr>
          <w:rFonts w:cs="Calibri"/>
        </w:rPr>
        <w:t>27</w:t>
      </w:r>
      <w:r w:rsidR="006D090B">
        <w:fldChar w:fldCharType="end"/>
      </w:r>
      <w:r w:rsidR="006D090B">
        <w:t>)</w:t>
      </w:r>
      <w:r w:rsidRPr="002A3AAE">
        <w:rPr>
          <w:rFonts w:cs="Calibri"/>
        </w:rPr>
        <w:t xml:space="preserve"> and </w:t>
      </w:r>
      <w:r w:rsidRPr="002A3AAE">
        <w:rPr>
          <w:rFonts w:cs="Calibri"/>
          <w:i/>
        </w:rPr>
        <w:t>Healthy lives, healthy people: a call to action on obesity</w:t>
      </w:r>
      <w:r w:rsidRPr="002A3AAE">
        <w:rPr>
          <w:rFonts w:cs="Calibri"/>
        </w:rPr>
        <w:t>, 2011</w:t>
      </w:r>
      <w:r w:rsidR="006D090B">
        <w:rPr>
          <w:rFonts w:cs="Calibri"/>
        </w:rPr>
        <w:t xml:space="preserve"> (</w:t>
      </w:r>
      <w:r w:rsidR="006D090B">
        <w:fldChar w:fldCharType="begin"/>
      </w:r>
      <w:r w:rsidR="006D090B">
        <w:rPr>
          <w:rFonts w:cs="Calibri"/>
        </w:rPr>
        <w:instrText xml:space="preserve"> NOTEREF _Ref339977954 \h </w:instrText>
      </w:r>
      <w:r w:rsidR="006D090B">
        <w:fldChar w:fldCharType="separate"/>
      </w:r>
      <w:r w:rsidR="009462C5">
        <w:rPr>
          <w:rFonts w:cs="Calibri"/>
        </w:rPr>
        <w:t>28</w:t>
      </w:r>
      <w:r w:rsidR="006D090B">
        <w:fldChar w:fldCharType="end"/>
      </w:r>
      <w:r w:rsidR="006D090B">
        <w:t>)</w:t>
      </w:r>
      <w:r>
        <w:rPr>
          <w:rFonts w:cs="Calibri"/>
        </w:rPr>
        <w:t xml:space="preserve"> had</w:t>
      </w:r>
      <w:r w:rsidRPr="002A3AAE">
        <w:rPr>
          <w:rFonts w:cs="Calibri"/>
        </w:rPr>
        <w:t xml:space="preserve"> equality impact assessments </w:t>
      </w:r>
      <w:r>
        <w:rPr>
          <w:rFonts w:cs="Calibri"/>
        </w:rPr>
        <w:t>carried out during their development</w:t>
      </w:r>
      <w:r w:rsidR="006D090B">
        <w:rPr>
          <w:rFonts w:cs="Calibri"/>
        </w:rPr>
        <w:t xml:space="preserve"> (</w:t>
      </w:r>
      <w:bookmarkStart w:id="24" w:name="_Ref341278602"/>
      <w:r w:rsidR="006D090B" w:rsidRPr="006D090B">
        <w:rPr>
          <w:rStyle w:val="EndnoteReference"/>
          <w:vertAlign w:val="baseline"/>
        </w:rPr>
        <w:endnoteReference w:id="34"/>
      </w:r>
      <w:bookmarkEnd w:id="24"/>
      <w:r w:rsidR="006D090B">
        <w:rPr>
          <w:rFonts w:cs="Calibri"/>
        </w:rPr>
        <w:t>,</w:t>
      </w:r>
      <w:bookmarkStart w:id="25" w:name="_Ref341278835"/>
      <w:r w:rsidR="006D090B" w:rsidRPr="006D090B">
        <w:rPr>
          <w:rStyle w:val="EndnoteReference"/>
          <w:vertAlign w:val="baseline"/>
        </w:rPr>
        <w:endnoteReference w:id="35"/>
      </w:r>
      <w:bookmarkEnd w:id="25"/>
      <w:r w:rsidR="006D090B">
        <w:rPr>
          <w:rFonts w:cs="Calibri"/>
        </w:rPr>
        <w:t>)</w:t>
      </w:r>
      <w:r w:rsidRPr="002A3AAE">
        <w:rPr>
          <w:rFonts w:cs="Calibri"/>
        </w:rPr>
        <w:t>. These use</w:t>
      </w:r>
      <w:r w:rsidR="00F22600">
        <w:rPr>
          <w:rFonts w:cs="Calibri"/>
        </w:rPr>
        <w:t>d</w:t>
      </w:r>
      <w:r w:rsidRPr="002A3AAE">
        <w:rPr>
          <w:rFonts w:cs="Calibri"/>
        </w:rPr>
        <w:t xml:space="preserve"> Health Survey for England data on BMI by age, sex and ethnicity.</w:t>
      </w:r>
      <w:r w:rsidR="007645F6">
        <w:rPr>
          <w:rFonts w:cs="Calibri"/>
        </w:rPr>
        <w:t xml:space="preserve"> The</w:t>
      </w:r>
      <w:r>
        <w:rPr>
          <w:rFonts w:cs="Calibri"/>
        </w:rPr>
        <w:t>s</w:t>
      </w:r>
      <w:r w:rsidR="007645F6">
        <w:rPr>
          <w:rFonts w:cs="Calibri"/>
        </w:rPr>
        <w:t xml:space="preserve">e data </w:t>
      </w:r>
      <w:r w:rsidR="00F22600">
        <w:rPr>
          <w:rFonts w:cs="Calibri"/>
        </w:rPr>
        <w:t xml:space="preserve">were </w:t>
      </w:r>
      <w:r>
        <w:rPr>
          <w:rFonts w:cs="Calibri"/>
        </w:rPr>
        <w:t xml:space="preserve">used to show that the obesity strategies met their legal requirements and </w:t>
      </w:r>
      <w:r w:rsidR="00F22600">
        <w:rPr>
          <w:rFonts w:cs="Calibri"/>
        </w:rPr>
        <w:t xml:space="preserve">could </w:t>
      </w:r>
      <w:r>
        <w:rPr>
          <w:rFonts w:cs="Calibri"/>
        </w:rPr>
        <w:t>be implemented.</w:t>
      </w:r>
    </w:p>
    <w:p w14:paraId="58B778C6" w14:textId="77777777" w:rsidR="00E3073B" w:rsidRPr="002A3AAE" w:rsidRDefault="00E3073B" w:rsidP="002A3AAE">
      <w:pPr>
        <w:spacing w:after="0" w:line="240" w:lineRule="auto"/>
        <w:contextualSpacing/>
        <w:jc w:val="both"/>
        <w:rPr>
          <w:rFonts w:cs="Calibri"/>
        </w:rPr>
      </w:pPr>
    </w:p>
    <w:p w14:paraId="11A121BE" w14:textId="45666B53" w:rsidR="00E3073B" w:rsidRPr="002A3AAE" w:rsidRDefault="00E3073B" w:rsidP="002A3AAE">
      <w:pPr>
        <w:spacing w:after="0" w:line="240" w:lineRule="auto"/>
        <w:contextualSpacing/>
        <w:jc w:val="both"/>
        <w:rPr>
          <w:rFonts w:cs="Calibri"/>
        </w:rPr>
      </w:pPr>
      <w:r w:rsidRPr="002A3AAE">
        <w:rPr>
          <w:rFonts w:cs="Calibri"/>
        </w:rPr>
        <w:t>Other inputs into strategy development exist</w:t>
      </w:r>
      <w:r w:rsidR="00F22600">
        <w:rPr>
          <w:rFonts w:cs="Calibri"/>
        </w:rPr>
        <w:t>.</w:t>
      </w:r>
      <w:r w:rsidRPr="002A3AAE">
        <w:rPr>
          <w:rFonts w:cs="Calibri"/>
        </w:rPr>
        <w:t xml:space="preserve"> </w:t>
      </w:r>
      <w:r w:rsidR="00F22600">
        <w:rPr>
          <w:rFonts w:cs="Calibri"/>
        </w:rPr>
        <w:t>F</w:t>
      </w:r>
      <w:r w:rsidRPr="002A3AAE">
        <w:rPr>
          <w:rFonts w:cs="Calibri"/>
        </w:rPr>
        <w:t xml:space="preserve">or example in </w:t>
      </w:r>
      <w:r w:rsidRPr="002A3AAE">
        <w:rPr>
          <w:rFonts w:cs="Calibri"/>
          <w:i/>
        </w:rPr>
        <w:t>Change4Life: One Year On</w:t>
      </w:r>
      <w:r w:rsidR="006D090B" w:rsidRPr="006D090B">
        <w:rPr>
          <w:rFonts w:cs="Calibri"/>
        </w:rPr>
        <w:t>(</w:t>
      </w:r>
      <w:bookmarkStart w:id="26" w:name="_Ref341274274"/>
      <w:r w:rsidRPr="006D090B">
        <w:rPr>
          <w:rStyle w:val="EndnoteReference"/>
          <w:rFonts w:cs="Calibri"/>
          <w:vertAlign w:val="baseline"/>
        </w:rPr>
        <w:endnoteReference w:id="36"/>
      </w:r>
      <w:bookmarkEnd w:id="26"/>
      <w:r w:rsidR="006D090B" w:rsidRPr="006D090B">
        <w:rPr>
          <w:rFonts w:cs="Calibri"/>
        </w:rPr>
        <w:t>)</w:t>
      </w:r>
      <w:r w:rsidR="00F22600">
        <w:rPr>
          <w:rFonts w:cs="Calibri"/>
        </w:rPr>
        <w:t>,</w:t>
      </w:r>
      <w:r w:rsidRPr="002A3AAE">
        <w:rPr>
          <w:rFonts w:cs="Calibri"/>
        </w:rPr>
        <w:t xml:space="preserve"> Health Survey for England data </w:t>
      </w:r>
      <w:r w:rsidR="00F22600">
        <w:rPr>
          <w:rFonts w:cs="Calibri"/>
        </w:rPr>
        <w:t>we</w:t>
      </w:r>
      <w:r w:rsidR="00F22600" w:rsidRPr="002A3AAE">
        <w:rPr>
          <w:rFonts w:cs="Calibri"/>
        </w:rPr>
        <w:t xml:space="preserve">re </w:t>
      </w:r>
      <w:r w:rsidRPr="002A3AAE">
        <w:rPr>
          <w:rFonts w:cs="Calibri"/>
        </w:rPr>
        <w:t xml:space="preserve">used to choose the appropriate adult age group to </w:t>
      </w:r>
      <w:r>
        <w:rPr>
          <w:rFonts w:cs="Calibri"/>
        </w:rPr>
        <w:t>target for a</w:t>
      </w:r>
      <w:r w:rsidRPr="002A3AAE">
        <w:rPr>
          <w:rFonts w:cs="Calibri"/>
        </w:rPr>
        <w:t xml:space="preserve"> new health promotion campaign [Table 1].</w:t>
      </w:r>
    </w:p>
    <w:p w14:paraId="6D983962" w14:textId="77777777" w:rsidR="00E3073B" w:rsidRPr="002A3AAE" w:rsidRDefault="00E3073B" w:rsidP="002A3AAE">
      <w:pPr>
        <w:pStyle w:val="Heading3"/>
        <w:spacing w:before="0" w:after="0" w:line="240" w:lineRule="auto"/>
        <w:contextualSpacing/>
        <w:jc w:val="both"/>
        <w:rPr>
          <w:rFonts w:cs="Calibri"/>
          <w:b w:val="0"/>
          <w:i w:val="0"/>
        </w:rPr>
      </w:pPr>
    </w:p>
    <w:p w14:paraId="03DE49C2" w14:textId="77777777" w:rsidR="00E3073B" w:rsidRPr="002A3AAE" w:rsidRDefault="00E3073B" w:rsidP="002A3AAE">
      <w:pPr>
        <w:pStyle w:val="Heading3"/>
        <w:spacing w:before="0" w:after="0" w:line="240" w:lineRule="auto"/>
        <w:contextualSpacing/>
        <w:jc w:val="both"/>
        <w:rPr>
          <w:rFonts w:cs="Calibri"/>
        </w:rPr>
      </w:pPr>
      <w:r>
        <w:rPr>
          <w:rFonts w:cs="Calibri"/>
        </w:rPr>
        <w:t xml:space="preserve">2.5 </w:t>
      </w:r>
      <w:r w:rsidRPr="002A3AAE">
        <w:rPr>
          <w:rFonts w:cs="Calibri"/>
        </w:rPr>
        <w:t>Clinical Guidance</w:t>
      </w:r>
    </w:p>
    <w:p w14:paraId="01C05333" w14:textId="77777777" w:rsidR="00E3073B" w:rsidRDefault="00E3073B" w:rsidP="002A3AAE">
      <w:pPr>
        <w:pStyle w:val="NoSpacing"/>
        <w:contextualSpacing/>
        <w:jc w:val="both"/>
        <w:rPr>
          <w:rFonts w:cs="Calibri"/>
        </w:rPr>
      </w:pPr>
    </w:p>
    <w:p w14:paraId="4A447616" w14:textId="77777777" w:rsidR="00E3073B" w:rsidRPr="002A3AAE" w:rsidRDefault="00E3073B" w:rsidP="00366930">
      <w:pPr>
        <w:pStyle w:val="NoSpacing"/>
        <w:contextualSpacing/>
        <w:jc w:val="both"/>
        <w:rPr>
          <w:rFonts w:cs="Calibri"/>
        </w:rPr>
      </w:pPr>
      <w:r>
        <w:rPr>
          <w:rFonts w:cs="Calibri"/>
        </w:rPr>
        <w:lastRenderedPageBreak/>
        <w:t>The availability of valid, reliable and accurate population data is useful when making clinical public health guidance.</w:t>
      </w:r>
    </w:p>
    <w:p w14:paraId="3F730A6D" w14:textId="77777777" w:rsidR="00E3073B" w:rsidRDefault="00E3073B" w:rsidP="002A3AAE">
      <w:pPr>
        <w:pStyle w:val="NoSpacing"/>
        <w:contextualSpacing/>
        <w:jc w:val="both"/>
        <w:rPr>
          <w:rFonts w:cs="Calibri"/>
        </w:rPr>
      </w:pPr>
    </w:p>
    <w:p w14:paraId="3B63DFAC" w14:textId="77777777" w:rsidR="00E3073B" w:rsidRPr="002A3AAE" w:rsidRDefault="00E3073B" w:rsidP="002A3AAE">
      <w:pPr>
        <w:pStyle w:val="NoSpacing"/>
        <w:contextualSpacing/>
        <w:jc w:val="both"/>
        <w:rPr>
          <w:rFonts w:cs="Calibri"/>
        </w:rPr>
      </w:pPr>
      <w:r w:rsidRPr="002A3AAE">
        <w:rPr>
          <w:rFonts w:cs="Calibri"/>
        </w:rPr>
        <w:t>In 2006</w:t>
      </w:r>
      <w:r w:rsidR="00444C3F">
        <w:rPr>
          <w:rFonts w:cs="Calibri"/>
        </w:rPr>
        <w:t>,</w:t>
      </w:r>
      <w:r w:rsidRPr="002A3AAE">
        <w:rPr>
          <w:rFonts w:cs="Calibri"/>
        </w:rPr>
        <w:t xml:space="preserve"> the National Institute of Health and Clinical Excellence (NICE) published clinical guidelines on the prevention, identification, assessment and management of overweight and obesity in adults and children</w:t>
      </w:r>
      <w:r w:rsidR="006D090B">
        <w:rPr>
          <w:rFonts w:cs="Calibri"/>
        </w:rPr>
        <w:t xml:space="preserve"> (</w:t>
      </w:r>
      <w:bookmarkStart w:id="27" w:name="_Ref341192229"/>
      <w:r w:rsidRPr="006D090B">
        <w:rPr>
          <w:rStyle w:val="EndnoteReference"/>
          <w:rFonts w:cs="Calibri"/>
          <w:vertAlign w:val="baseline"/>
        </w:rPr>
        <w:endnoteReference w:id="37"/>
      </w:r>
      <w:bookmarkEnd w:id="27"/>
      <w:r w:rsidR="006D090B">
        <w:rPr>
          <w:rFonts w:cs="Calibri"/>
        </w:rPr>
        <w:t>)</w:t>
      </w:r>
      <w:r w:rsidRPr="002A3AAE">
        <w:rPr>
          <w:rFonts w:cs="Calibri"/>
        </w:rPr>
        <w:t>. Health Survey for England data were used to justify the document’s creation, by quantifying the issue of obesity and attaching economic costs to the prevalence of obesity.</w:t>
      </w:r>
    </w:p>
    <w:p w14:paraId="0188AECB" w14:textId="77777777" w:rsidR="00E3073B" w:rsidRPr="002A3AAE" w:rsidRDefault="00E3073B" w:rsidP="002A3AAE">
      <w:pPr>
        <w:pStyle w:val="NoSpacing"/>
        <w:contextualSpacing/>
        <w:jc w:val="both"/>
        <w:rPr>
          <w:rFonts w:cs="Calibri"/>
        </w:rPr>
      </w:pPr>
    </w:p>
    <w:p w14:paraId="73A64509" w14:textId="77777777" w:rsidR="00E3073B" w:rsidRPr="002A3AAE" w:rsidRDefault="00E3073B" w:rsidP="002A3AAE">
      <w:pPr>
        <w:pStyle w:val="NoSpacing"/>
        <w:contextualSpacing/>
        <w:jc w:val="both"/>
        <w:rPr>
          <w:rFonts w:cs="Calibri"/>
        </w:rPr>
      </w:pPr>
      <w:r w:rsidRPr="002A3AAE">
        <w:rPr>
          <w:rFonts w:cs="Calibri"/>
        </w:rPr>
        <w:t xml:space="preserve">Health Survey for England data were used in modelling to examine cost-effectiveness of </w:t>
      </w:r>
      <w:proofErr w:type="spellStart"/>
      <w:r w:rsidRPr="002A3AAE">
        <w:rPr>
          <w:rFonts w:cs="Calibri"/>
        </w:rPr>
        <w:t>sibutramine</w:t>
      </w:r>
      <w:proofErr w:type="spellEnd"/>
      <w:r w:rsidRPr="002A3AAE">
        <w:rPr>
          <w:rFonts w:cs="Calibri"/>
        </w:rPr>
        <w:t xml:space="preserve">, </w:t>
      </w:r>
      <w:proofErr w:type="spellStart"/>
      <w:r w:rsidRPr="002A3AAE">
        <w:rPr>
          <w:rFonts w:cs="Calibri"/>
        </w:rPr>
        <w:t>orlistat</w:t>
      </w:r>
      <w:proofErr w:type="spellEnd"/>
      <w:r w:rsidRPr="002A3AAE">
        <w:rPr>
          <w:rFonts w:cs="Calibri"/>
        </w:rPr>
        <w:t xml:space="preserve"> and surgery for treatment of morbid obesity. This data originated in a discussion paper that used BMI and data on quality of life collected from Health Survey for England participants in their interview to model Quality of Life Years (QALYs) attached to weight loss</w:t>
      </w:r>
      <w:r w:rsidR="006D090B">
        <w:rPr>
          <w:rFonts w:cs="Calibri"/>
        </w:rPr>
        <w:t xml:space="preserve"> (</w:t>
      </w:r>
      <w:r w:rsidRPr="006D090B">
        <w:rPr>
          <w:rStyle w:val="EndnoteReference"/>
          <w:rFonts w:cs="Calibri"/>
          <w:vertAlign w:val="baseline"/>
        </w:rPr>
        <w:endnoteReference w:id="38"/>
      </w:r>
      <w:r w:rsidR="006D090B">
        <w:rPr>
          <w:rFonts w:cs="Calibri"/>
        </w:rPr>
        <w:t>)</w:t>
      </w:r>
      <w:r w:rsidRPr="002A3AAE">
        <w:rPr>
          <w:rFonts w:cs="Calibri"/>
        </w:rPr>
        <w:t>.</w:t>
      </w:r>
    </w:p>
    <w:p w14:paraId="4CB35950" w14:textId="77777777" w:rsidR="00E3073B" w:rsidRPr="002A3AAE" w:rsidRDefault="00E3073B" w:rsidP="002A3AAE">
      <w:pPr>
        <w:pStyle w:val="NoSpacing"/>
        <w:contextualSpacing/>
        <w:jc w:val="both"/>
        <w:rPr>
          <w:rFonts w:cs="Calibri"/>
        </w:rPr>
      </w:pPr>
    </w:p>
    <w:p w14:paraId="17763EC9" w14:textId="23A46E13" w:rsidR="00E3073B" w:rsidRPr="002A3AAE" w:rsidRDefault="00E3073B" w:rsidP="002A3AAE">
      <w:pPr>
        <w:pStyle w:val="NoSpacing"/>
        <w:contextualSpacing/>
        <w:jc w:val="both"/>
        <w:rPr>
          <w:rFonts w:cs="Calibri"/>
        </w:rPr>
      </w:pPr>
      <w:r w:rsidRPr="002A3AAE">
        <w:rPr>
          <w:rFonts w:cs="Calibri"/>
        </w:rPr>
        <w:t xml:space="preserve">Health Survey for England data on BMI by age and sex were also used as the basis of a model to examine the health economics of obesity prevention through workplace counselling, counselling from primary care staff, a whole school approach and family based interventions. The modelling demonstrated that </w:t>
      </w:r>
      <w:r w:rsidR="00493CE0">
        <w:rPr>
          <w:rFonts w:cs="Calibri"/>
        </w:rPr>
        <w:t>each of</w:t>
      </w:r>
      <w:r w:rsidR="00493CE0" w:rsidRPr="002A3AAE">
        <w:rPr>
          <w:rFonts w:cs="Calibri"/>
        </w:rPr>
        <w:t xml:space="preserve"> </w:t>
      </w:r>
      <w:r w:rsidRPr="002A3AAE">
        <w:rPr>
          <w:rFonts w:cs="Calibri"/>
        </w:rPr>
        <w:t>the</w:t>
      </w:r>
      <w:r>
        <w:rPr>
          <w:rFonts w:cs="Calibri"/>
        </w:rPr>
        <w:t>se</w:t>
      </w:r>
      <w:r w:rsidRPr="002A3AAE">
        <w:rPr>
          <w:rFonts w:cs="Calibri"/>
        </w:rPr>
        <w:t xml:space="preserve"> prevention measures </w:t>
      </w:r>
      <w:r w:rsidR="00493CE0">
        <w:rPr>
          <w:rFonts w:cs="Calibri"/>
        </w:rPr>
        <w:t>is</w:t>
      </w:r>
      <w:r w:rsidR="00493CE0" w:rsidRPr="002A3AAE">
        <w:rPr>
          <w:rFonts w:cs="Calibri"/>
        </w:rPr>
        <w:t xml:space="preserve"> </w:t>
      </w:r>
      <w:r w:rsidRPr="002A3AAE">
        <w:rPr>
          <w:rFonts w:cs="Calibri"/>
        </w:rPr>
        <w:t>cost-effective</w:t>
      </w:r>
      <w:r w:rsidR="006D090B">
        <w:rPr>
          <w:rFonts w:cs="Calibri"/>
        </w:rPr>
        <w:t xml:space="preserve"> (</w:t>
      </w:r>
      <w:r w:rsidR="006D090B">
        <w:rPr>
          <w:rFonts w:cs="Calibri"/>
        </w:rPr>
        <w:fldChar w:fldCharType="begin"/>
      </w:r>
      <w:r w:rsidR="006D090B">
        <w:rPr>
          <w:rFonts w:cs="Calibri"/>
        </w:rPr>
        <w:instrText xml:space="preserve"> NOTEREF _Ref341192229 \h </w:instrText>
      </w:r>
      <w:r w:rsidR="006D090B">
        <w:rPr>
          <w:rFonts w:cs="Calibri"/>
        </w:rPr>
      </w:r>
      <w:r w:rsidR="006D090B">
        <w:rPr>
          <w:rFonts w:cs="Calibri"/>
        </w:rPr>
        <w:fldChar w:fldCharType="separate"/>
      </w:r>
      <w:r w:rsidR="009462C5">
        <w:rPr>
          <w:rFonts w:cs="Calibri"/>
        </w:rPr>
        <w:t>36</w:t>
      </w:r>
      <w:r w:rsidR="006D090B">
        <w:rPr>
          <w:rFonts w:cs="Calibri"/>
        </w:rPr>
        <w:fldChar w:fldCharType="end"/>
      </w:r>
      <w:r w:rsidR="006D090B">
        <w:rPr>
          <w:rFonts w:cs="Calibri"/>
        </w:rPr>
        <w:t>)</w:t>
      </w:r>
      <w:r w:rsidRPr="002A3AAE">
        <w:rPr>
          <w:rFonts w:cs="Calibri"/>
        </w:rPr>
        <w:t>.</w:t>
      </w:r>
    </w:p>
    <w:p w14:paraId="2E536E00" w14:textId="77777777" w:rsidR="00E3073B" w:rsidRPr="002A3AAE" w:rsidRDefault="00E3073B" w:rsidP="002A3AAE">
      <w:pPr>
        <w:pStyle w:val="NoSpacing"/>
        <w:contextualSpacing/>
        <w:jc w:val="both"/>
        <w:rPr>
          <w:rFonts w:cs="Calibri"/>
        </w:rPr>
      </w:pPr>
    </w:p>
    <w:p w14:paraId="51AFCCB1" w14:textId="77777777" w:rsidR="00E3073B" w:rsidRDefault="00E3073B" w:rsidP="00E33855">
      <w:pPr>
        <w:pStyle w:val="NoSpacing"/>
        <w:contextualSpacing/>
        <w:jc w:val="both"/>
        <w:rPr>
          <w:rFonts w:cs="Calibri"/>
        </w:rPr>
      </w:pPr>
      <w:r w:rsidRPr="002A3AAE">
        <w:rPr>
          <w:rFonts w:cs="Calibri"/>
        </w:rPr>
        <w:t xml:space="preserve">Mean </w:t>
      </w:r>
      <w:r>
        <w:rPr>
          <w:rFonts w:cs="Calibri"/>
        </w:rPr>
        <w:t xml:space="preserve">measured </w:t>
      </w:r>
      <w:r w:rsidRPr="002A3AAE">
        <w:rPr>
          <w:rFonts w:cs="Calibri"/>
        </w:rPr>
        <w:t xml:space="preserve">height </w:t>
      </w:r>
      <w:r>
        <w:rPr>
          <w:rFonts w:cs="Calibri"/>
        </w:rPr>
        <w:t>by</w:t>
      </w:r>
      <w:r w:rsidRPr="002A3AAE">
        <w:rPr>
          <w:rFonts w:cs="Calibri"/>
        </w:rPr>
        <w:t xml:space="preserve"> age </w:t>
      </w:r>
      <w:r w:rsidR="00377CFF">
        <w:rPr>
          <w:rFonts w:cs="Calibri"/>
        </w:rPr>
        <w:t xml:space="preserve">and sex </w:t>
      </w:r>
      <w:r w:rsidRPr="002A3AAE">
        <w:rPr>
          <w:rFonts w:cs="Calibri"/>
        </w:rPr>
        <w:t>from the Health Survey for England were used by the Standing Advisory Committee on Nutrition (SACN) in the SACN Dietary Recommendations for Energy to calculate energy requirements</w:t>
      </w:r>
      <w:r w:rsidR="00377CFF">
        <w:rPr>
          <w:rFonts w:cs="Calibri"/>
        </w:rPr>
        <w:t xml:space="preserve"> (</w:t>
      </w:r>
      <w:bookmarkStart w:id="28" w:name="_Ref341261502"/>
      <w:r w:rsidRPr="00377CFF">
        <w:rPr>
          <w:rStyle w:val="EndnoteReference"/>
          <w:rFonts w:cs="Calibri"/>
          <w:vertAlign w:val="baseline"/>
        </w:rPr>
        <w:endnoteReference w:id="39"/>
      </w:r>
      <w:bookmarkEnd w:id="28"/>
      <w:r w:rsidR="00377CFF">
        <w:rPr>
          <w:rFonts w:cs="Calibri"/>
        </w:rPr>
        <w:t>)</w:t>
      </w:r>
      <w:r w:rsidRPr="002A3AAE">
        <w:rPr>
          <w:rFonts w:cs="Calibri"/>
        </w:rPr>
        <w:t>.</w:t>
      </w:r>
    </w:p>
    <w:p w14:paraId="604C8235" w14:textId="77777777" w:rsidR="00E3073B" w:rsidRDefault="00E3073B" w:rsidP="002A3AAE">
      <w:pPr>
        <w:pStyle w:val="NoSpacing"/>
        <w:contextualSpacing/>
        <w:jc w:val="both"/>
        <w:rPr>
          <w:rFonts w:cs="Calibri"/>
        </w:rPr>
      </w:pPr>
    </w:p>
    <w:p w14:paraId="722C1846" w14:textId="77777777" w:rsidR="00E3073B" w:rsidRPr="002A3AAE" w:rsidRDefault="00E3073B" w:rsidP="002A3AAE">
      <w:pPr>
        <w:pStyle w:val="Heading3"/>
        <w:spacing w:before="0" w:after="0" w:line="240" w:lineRule="auto"/>
        <w:contextualSpacing/>
        <w:jc w:val="both"/>
        <w:rPr>
          <w:rStyle w:val="Heading3Char"/>
          <w:rFonts w:cs="Calibri"/>
          <w:i/>
          <w:iCs/>
        </w:rPr>
      </w:pPr>
      <w:r>
        <w:rPr>
          <w:rFonts w:cs="Calibri"/>
        </w:rPr>
        <w:t xml:space="preserve">2.6 </w:t>
      </w:r>
      <w:r w:rsidRPr="002A3AAE">
        <w:rPr>
          <w:rFonts w:cs="Calibri"/>
        </w:rPr>
        <w:t>Target Setting</w:t>
      </w:r>
    </w:p>
    <w:p w14:paraId="20AC1A49" w14:textId="77777777" w:rsidR="00E3073B" w:rsidRDefault="00E3073B" w:rsidP="002A3AAE">
      <w:pPr>
        <w:pStyle w:val="NoSpacing"/>
        <w:contextualSpacing/>
        <w:jc w:val="both"/>
        <w:rPr>
          <w:rFonts w:cs="Calibri"/>
        </w:rPr>
      </w:pPr>
    </w:p>
    <w:p w14:paraId="057928BB" w14:textId="77777777" w:rsidR="00E3073B" w:rsidRPr="002A3AAE" w:rsidRDefault="00E3073B" w:rsidP="002A3AAE">
      <w:pPr>
        <w:pStyle w:val="NoSpacing"/>
        <w:contextualSpacing/>
        <w:jc w:val="both"/>
        <w:rPr>
          <w:rFonts w:cs="Calibri"/>
        </w:rPr>
      </w:pPr>
      <w:r w:rsidRPr="002A3AAE">
        <w:rPr>
          <w:rFonts w:cs="Calibri"/>
        </w:rPr>
        <w:t>Targets set in government policy documents are important not just for the pe</w:t>
      </w:r>
      <w:r>
        <w:rPr>
          <w:rFonts w:cs="Calibri"/>
        </w:rPr>
        <w:t>ople affected by them but also f</w:t>
      </w:r>
      <w:r w:rsidRPr="002A3AAE">
        <w:rPr>
          <w:rFonts w:cs="Calibri"/>
        </w:rPr>
        <w:t>o</w:t>
      </w:r>
      <w:r>
        <w:rPr>
          <w:rFonts w:cs="Calibri"/>
        </w:rPr>
        <w:t>r</w:t>
      </w:r>
      <w:r w:rsidRPr="002A3AAE">
        <w:rPr>
          <w:rFonts w:cs="Calibri"/>
        </w:rPr>
        <w:t xml:space="preserve"> anyone who wants to assess whether the policies are working, </w:t>
      </w:r>
      <w:r>
        <w:rPr>
          <w:rFonts w:cs="Calibri"/>
        </w:rPr>
        <w:t xml:space="preserve">and </w:t>
      </w:r>
      <w:r w:rsidRPr="002A3AAE">
        <w:rPr>
          <w:rFonts w:cs="Calibri"/>
        </w:rPr>
        <w:t>to judge whether or not the government is delivering on its commitments</w:t>
      </w:r>
      <w:bookmarkStart w:id="29" w:name="_Ref339981886"/>
      <w:r w:rsidR="00377CFF">
        <w:rPr>
          <w:rFonts w:cs="Calibri"/>
        </w:rPr>
        <w:t xml:space="preserve"> (</w:t>
      </w:r>
      <w:bookmarkStart w:id="30" w:name="_Ref341192430"/>
      <w:r w:rsidRPr="00377CFF">
        <w:rPr>
          <w:rStyle w:val="EndnoteReference"/>
          <w:rFonts w:cs="Calibri"/>
          <w:vertAlign w:val="baseline"/>
        </w:rPr>
        <w:endnoteReference w:id="40"/>
      </w:r>
      <w:bookmarkEnd w:id="29"/>
      <w:bookmarkEnd w:id="30"/>
      <w:r w:rsidR="00377CFF">
        <w:rPr>
          <w:rFonts w:cs="Calibri"/>
        </w:rPr>
        <w:t>)</w:t>
      </w:r>
      <w:r w:rsidRPr="002A3AAE">
        <w:rPr>
          <w:rFonts w:cs="Calibri"/>
        </w:rPr>
        <w:t>.</w:t>
      </w:r>
    </w:p>
    <w:p w14:paraId="141C48FB" w14:textId="77777777" w:rsidR="00E3073B" w:rsidRPr="002A3AAE" w:rsidRDefault="00E3073B" w:rsidP="002A3AAE">
      <w:pPr>
        <w:pStyle w:val="NoSpacing"/>
        <w:contextualSpacing/>
        <w:jc w:val="both"/>
        <w:rPr>
          <w:rFonts w:cs="Calibri"/>
        </w:rPr>
      </w:pPr>
    </w:p>
    <w:p w14:paraId="1C287DC2" w14:textId="74CA45B2" w:rsidR="00E3073B" w:rsidRDefault="00E3073B" w:rsidP="002A3AAE">
      <w:pPr>
        <w:pStyle w:val="NoSpacing"/>
        <w:contextualSpacing/>
        <w:jc w:val="both"/>
        <w:rPr>
          <w:rFonts w:cs="Calibri"/>
        </w:rPr>
      </w:pPr>
      <w:r w:rsidRPr="002A3AAE">
        <w:rPr>
          <w:rFonts w:cs="Calibri"/>
        </w:rPr>
        <w:t>A statistically robust target is one in which there is a transparent and objective way to measure how far the target is from being achieved when it is set, and then to measure the progress being made towards it</w:t>
      </w:r>
      <w:r w:rsidR="00377CFF">
        <w:rPr>
          <w:rFonts w:cs="Calibri"/>
        </w:rPr>
        <w:t xml:space="preserve"> (</w:t>
      </w:r>
      <w:r w:rsidR="00377CFF">
        <w:fldChar w:fldCharType="begin"/>
      </w:r>
      <w:r w:rsidR="00377CFF">
        <w:rPr>
          <w:rFonts w:cs="Calibri"/>
        </w:rPr>
        <w:instrText xml:space="preserve"> NOTEREF _Ref341192430 \h </w:instrText>
      </w:r>
      <w:r w:rsidR="00377CFF">
        <w:fldChar w:fldCharType="separate"/>
      </w:r>
      <w:r w:rsidR="009462C5">
        <w:rPr>
          <w:rFonts w:cs="Calibri"/>
        </w:rPr>
        <w:t>39</w:t>
      </w:r>
      <w:r w:rsidR="00377CFF">
        <w:fldChar w:fldCharType="end"/>
      </w:r>
      <w:r w:rsidR="00377CFF">
        <w:t>)</w:t>
      </w:r>
      <w:r w:rsidRPr="002A3AAE">
        <w:rPr>
          <w:rFonts w:cs="Calibri"/>
        </w:rPr>
        <w:t xml:space="preserve">. Meeting a target that is simply the continuation of a current trend is quite different </w:t>
      </w:r>
      <w:r w:rsidR="00493CE0">
        <w:rPr>
          <w:rFonts w:cs="Calibri"/>
        </w:rPr>
        <w:t>from</w:t>
      </w:r>
      <w:r w:rsidR="00493CE0" w:rsidRPr="002A3AAE">
        <w:rPr>
          <w:rFonts w:cs="Calibri"/>
        </w:rPr>
        <w:t xml:space="preserve"> </w:t>
      </w:r>
      <w:r w:rsidRPr="002A3AAE">
        <w:rPr>
          <w:rFonts w:cs="Calibri"/>
        </w:rPr>
        <w:t xml:space="preserve">one that requires halting </w:t>
      </w:r>
      <w:r>
        <w:rPr>
          <w:rFonts w:cs="Calibri"/>
        </w:rPr>
        <w:t>or even</w:t>
      </w:r>
      <w:r w:rsidRPr="002A3AAE">
        <w:rPr>
          <w:rFonts w:cs="Calibri"/>
        </w:rPr>
        <w:t xml:space="preserve"> reversing a trend.</w:t>
      </w:r>
      <w:r>
        <w:rPr>
          <w:rFonts w:cs="Calibri"/>
        </w:rPr>
        <w:t xml:space="preserve"> </w:t>
      </w:r>
      <w:r w:rsidRPr="002A3AAE">
        <w:rPr>
          <w:rFonts w:cs="Calibri"/>
        </w:rPr>
        <w:t xml:space="preserve">Since the </w:t>
      </w:r>
      <w:r w:rsidRPr="002A3AAE">
        <w:rPr>
          <w:rFonts w:cs="Calibri"/>
          <w:i/>
        </w:rPr>
        <w:t>Health of the Nation</w:t>
      </w:r>
      <w:r w:rsidRPr="002A3AAE">
        <w:rPr>
          <w:rFonts w:cs="Calibri"/>
        </w:rPr>
        <w:t xml:space="preserve"> in 1992</w:t>
      </w:r>
      <w:r w:rsidR="00377CFF">
        <w:rPr>
          <w:rFonts w:cs="Calibri"/>
        </w:rPr>
        <w:t xml:space="preserve"> (</w:t>
      </w:r>
      <w:r w:rsidR="002A377D">
        <w:fldChar w:fldCharType="begin"/>
      </w:r>
      <w:r w:rsidR="002A377D">
        <w:instrText xml:space="preserve"> NOTEREF _Ref339972872 \h  \* MERGEFORMAT </w:instrText>
      </w:r>
      <w:r w:rsidR="002A377D">
        <w:fldChar w:fldCharType="separate"/>
      </w:r>
      <w:r w:rsidR="009462C5">
        <w:t>7</w:t>
      </w:r>
      <w:r w:rsidR="002A377D">
        <w:fldChar w:fldCharType="end"/>
      </w:r>
      <w:r w:rsidR="00377CFF">
        <w:t>)</w:t>
      </w:r>
      <w:r w:rsidRPr="002A3AAE">
        <w:rPr>
          <w:rFonts w:cs="Calibri"/>
        </w:rPr>
        <w:t xml:space="preserve">, many </w:t>
      </w:r>
      <w:r>
        <w:rPr>
          <w:rFonts w:cs="Calibri"/>
        </w:rPr>
        <w:t xml:space="preserve">statistically robust </w:t>
      </w:r>
      <w:r w:rsidRPr="002A3AAE">
        <w:rPr>
          <w:rFonts w:cs="Calibri"/>
        </w:rPr>
        <w:t xml:space="preserve">targets for obesity prevalence have been set </w:t>
      </w:r>
      <w:r>
        <w:rPr>
          <w:rFonts w:cs="Calibri"/>
        </w:rPr>
        <w:t>after examination of</w:t>
      </w:r>
      <w:r w:rsidRPr="002A3AAE">
        <w:rPr>
          <w:rFonts w:cs="Calibri"/>
        </w:rPr>
        <w:t xml:space="preserve"> trends </w:t>
      </w:r>
      <w:r>
        <w:rPr>
          <w:rFonts w:cs="Calibri"/>
        </w:rPr>
        <w:t>in obesity prevalence through Health Survey for England</w:t>
      </w:r>
      <w:r w:rsidR="00493CE0">
        <w:rPr>
          <w:rFonts w:cs="Calibri"/>
        </w:rPr>
        <w:t xml:space="preserve"> findings</w:t>
      </w:r>
      <w:r>
        <w:rPr>
          <w:rFonts w:cs="Calibri"/>
        </w:rPr>
        <w:t xml:space="preserve"> </w:t>
      </w:r>
      <w:r w:rsidRPr="002A3AAE">
        <w:rPr>
          <w:rFonts w:cs="Calibri"/>
        </w:rPr>
        <w:t xml:space="preserve">[Table 1]. </w:t>
      </w:r>
    </w:p>
    <w:p w14:paraId="586D3445" w14:textId="77777777" w:rsidR="00E3073B" w:rsidRDefault="00E3073B" w:rsidP="002A3AAE">
      <w:pPr>
        <w:pStyle w:val="NoSpacing"/>
        <w:contextualSpacing/>
        <w:jc w:val="both"/>
        <w:rPr>
          <w:rFonts w:cs="Calibri"/>
        </w:rPr>
      </w:pPr>
    </w:p>
    <w:p w14:paraId="707B2F21" w14:textId="4B863CDA" w:rsidR="00E3073B" w:rsidRPr="002A3AAE" w:rsidRDefault="00E3073B" w:rsidP="002A3AAE">
      <w:pPr>
        <w:pStyle w:val="NoSpacing"/>
        <w:contextualSpacing/>
        <w:jc w:val="both"/>
        <w:rPr>
          <w:rStyle w:val="Heading3Char"/>
          <w:rFonts w:cs="Calibri"/>
          <w:b w:val="0"/>
          <w:bCs w:val="0"/>
          <w:i w:val="0"/>
          <w:sz w:val="22"/>
          <w:szCs w:val="22"/>
        </w:rPr>
      </w:pPr>
      <w:r w:rsidRPr="002A3AAE">
        <w:rPr>
          <w:rFonts w:cs="Calibri"/>
        </w:rPr>
        <w:t>Other targets also addressing the issue of obesity have used Health Survey for England data: for example, the calorie reduction target stated in</w:t>
      </w:r>
      <w:r>
        <w:rPr>
          <w:rFonts w:cs="Calibri"/>
        </w:rPr>
        <w:t xml:space="preserve"> both</w:t>
      </w:r>
      <w:r w:rsidRPr="002A3AAE">
        <w:rPr>
          <w:rFonts w:cs="Calibri"/>
        </w:rPr>
        <w:t xml:space="preserve"> </w:t>
      </w:r>
      <w:r w:rsidRPr="002A3AAE">
        <w:rPr>
          <w:rFonts w:cs="Calibri"/>
          <w:i/>
        </w:rPr>
        <w:t>Healthy lives, healthy people: a call to action on obesity</w:t>
      </w:r>
      <w:r w:rsidRPr="002A3AAE">
        <w:rPr>
          <w:rFonts w:cs="Calibri"/>
        </w:rPr>
        <w:t>, 2011</w:t>
      </w:r>
      <w:r w:rsidR="001058CF">
        <w:rPr>
          <w:rFonts w:cs="Calibri"/>
        </w:rPr>
        <w:t xml:space="preserve"> (</w:t>
      </w:r>
      <w:r w:rsidR="001058CF">
        <w:fldChar w:fldCharType="begin"/>
      </w:r>
      <w:r w:rsidR="001058CF">
        <w:rPr>
          <w:rFonts w:cs="Calibri"/>
        </w:rPr>
        <w:instrText xml:space="preserve"> NOTEREF _Ref339977954 \h </w:instrText>
      </w:r>
      <w:r w:rsidR="001058CF">
        <w:fldChar w:fldCharType="separate"/>
      </w:r>
      <w:r w:rsidR="009462C5">
        <w:rPr>
          <w:rFonts w:cs="Calibri"/>
        </w:rPr>
        <w:t>28</w:t>
      </w:r>
      <w:r w:rsidR="001058CF">
        <w:fldChar w:fldCharType="end"/>
      </w:r>
      <w:r w:rsidR="001058CF">
        <w:t>)</w:t>
      </w:r>
      <w:r w:rsidRPr="002A3AAE">
        <w:rPr>
          <w:rFonts w:cs="Calibri"/>
        </w:rPr>
        <w:t xml:space="preserve"> and the </w:t>
      </w:r>
      <w:r w:rsidRPr="002A3AAE">
        <w:rPr>
          <w:rFonts w:cs="Calibri"/>
          <w:i/>
        </w:rPr>
        <w:t>Responsibility Deal</w:t>
      </w:r>
      <w:r w:rsidR="001058CF">
        <w:rPr>
          <w:rFonts w:cs="Calibri"/>
          <w:i/>
        </w:rPr>
        <w:t xml:space="preserve"> </w:t>
      </w:r>
      <w:r w:rsidR="001058CF" w:rsidRPr="001058CF">
        <w:rPr>
          <w:rFonts w:cs="Calibri"/>
        </w:rPr>
        <w:t>(</w:t>
      </w:r>
      <w:bookmarkStart w:id="31" w:name="_Ref341192631"/>
      <w:r w:rsidRPr="001058CF">
        <w:rPr>
          <w:rStyle w:val="EndnoteReference"/>
          <w:rFonts w:cs="Calibri"/>
          <w:vertAlign w:val="baseline"/>
        </w:rPr>
        <w:endnoteReference w:id="41"/>
      </w:r>
      <w:bookmarkEnd w:id="31"/>
      <w:r w:rsidR="001058CF">
        <w:rPr>
          <w:rFonts w:cs="Calibri"/>
        </w:rPr>
        <w:t>)</w:t>
      </w:r>
      <w:r w:rsidRPr="002A3AAE">
        <w:rPr>
          <w:rFonts w:cs="Calibri"/>
        </w:rPr>
        <w:t>.</w:t>
      </w:r>
      <w:r>
        <w:rPr>
          <w:rFonts w:cs="Calibri"/>
        </w:rPr>
        <w:t xml:space="preserve"> </w:t>
      </w:r>
      <w:r w:rsidRPr="002A3AAE">
        <w:rPr>
          <w:rFonts w:cs="Calibri"/>
        </w:rPr>
        <w:t xml:space="preserve">A group of independent experts, chaired by Professor Ian MacDonald, used Health Survey for England data showing weight gain in England over the years of data collection to estimate the number of excess calories consumed by the population. This group advised that a reduction in energy intake of 100 calories (kcal) per person per day on average would correct the energy imbalance at a national level. </w:t>
      </w:r>
      <w:r w:rsidRPr="002A3AAE">
        <w:rPr>
          <w:rStyle w:val="Heading3Char"/>
          <w:rFonts w:cs="Calibri"/>
          <w:b w:val="0"/>
          <w:bCs w:val="0"/>
          <w:i w:val="0"/>
          <w:sz w:val="22"/>
          <w:szCs w:val="22"/>
        </w:rPr>
        <w:t xml:space="preserve">The </w:t>
      </w:r>
      <w:r w:rsidRPr="002A3AAE">
        <w:rPr>
          <w:rStyle w:val="Heading3Char"/>
          <w:rFonts w:cs="Calibri"/>
          <w:b w:val="0"/>
          <w:bCs w:val="0"/>
          <w:sz w:val="22"/>
          <w:szCs w:val="22"/>
        </w:rPr>
        <w:t>Call to action on obesity in England</w:t>
      </w:r>
      <w:r w:rsidRPr="002A3AAE">
        <w:rPr>
          <w:rStyle w:val="Heading3Char"/>
          <w:rFonts w:cs="Calibri"/>
          <w:b w:val="0"/>
          <w:bCs w:val="0"/>
          <w:i w:val="0"/>
          <w:sz w:val="22"/>
          <w:szCs w:val="22"/>
        </w:rPr>
        <w:t xml:space="preserve"> issued a challenge to the population to do this</w:t>
      </w:r>
      <w:r w:rsidR="001058CF">
        <w:rPr>
          <w:rStyle w:val="Heading3Char"/>
          <w:rFonts w:cs="Calibri"/>
          <w:b w:val="0"/>
          <w:bCs w:val="0"/>
          <w:i w:val="0"/>
          <w:sz w:val="22"/>
          <w:szCs w:val="22"/>
        </w:rPr>
        <w:t xml:space="preserve"> (</w:t>
      </w:r>
      <w:r w:rsidR="001058CF">
        <w:rPr>
          <w:rStyle w:val="Heading3Char"/>
          <w:rFonts w:cs="Calibri"/>
          <w:b w:val="0"/>
          <w:bCs w:val="0"/>
          <w:i w:val="0"/>
          <w:sz w:val="22"/>
          <w:szCs w:val="22"/>
        </w:rPr>
        <w:fldChar w:fldCharType="begin"/>
      </w:r>
      <w:r w:rsidR="001058CF">
        <w:rPr>
          <w:rStyle w:val="Heading3Char"/>
          <w:rFonts w:cs="Calibri"/>
          <w:b w:val="0"/>
          <w:bCs w:val="0"/>
          <w:i w:val="0"/>
          <w:sz w:val="22"/>
          <w:szCs w:val="22"/>
        </w:rPr>
        <w:instrText xml:space="preserve"> NOTEREF _Ref339977954 \h </w:instrText>
      </w:r>
      <w:r w:rsidR="001058CF">
        <w:rPr>
          <w:rStyle w:val="Heading3Char"/>
          <w:rFonts w:cs="Calibri"/>
          <w:b w:val="0"/>
          <w:bCs w:val="0"/>
          <w:i w:val="0"/>
          <w:sz w:val="22"/>
          <w:szCs w:val="22"/>
        </w:rPr>
      </w:r>
      <w:r w:rsidR="001058CF">
        <w:rPr>
          <w:rStyle w:val="Heading3Char"/>
          <w:rFonts w:cs="Calibri"/>
          <w:b w:val="0"/>
          <w:bCs w:val="0"/>
          <w:i w:val="0"/>
          <w:sz w:val="22"/>
          <w:szCs w:val="22"/>
        </w:rPr>
        <w:fldChar w:fldCharType="separate"/>
      </w:r>
      <w:r w:rsidR="009462C5">
        <w:rPr>
          <w:rStyle w:val="Heading3Char"/>
          <w:rFonts w:cs="Calibri"/>
          <w:b w:val="0"/>
          <w:bCs w:val="0"/>
          <w:i w:val="0"/>
          <w:sz w:val="22"/>
          <w:szCs w:val="22"/>
        </w:rPr>
        <w:t>28</w:t>
      </w:r>
      <w:r w:rsidR="001058CF">
        <w:rPr>
          <w:rStyle w:val="Heading3Char"/>
          <w:rFonts w:cs="Calibri"/>
          <w:b w:val="0"/>
          <w:bCs w:val="0"/>
          <w:i w:val="0"/>
          <w:sz w:val="22"/>
          <w:szCs w:val="22"/>
        </w:rPr>
        <w:fldChar w:fldCharType="end"/>
      </w:r>
      <w:r w:rsidR="001058CF">
        <w:rPr>
          <w:rStyle w:val="Heading3Char"/>
          <w:rFonts w:cs="Calibri"/>
          <w:b w:val="0"/>
          <w:bCs w:val="0"/>
          <w:i w:val="0"/>
          <w:sz w:val="22"/>
          <w:szCs w:val="22"/>
        </w:rPr>
        <w:t>)</w:t>
      </w:r>
      <w:r w:rsidRPr="002A3AAE">
        <w:rPr>
          <w:rStyle w:val="Heading3Char"/>
          <w:rFonts w:cs="Calibri"/>
          <w:b w:val="0"/>
          <w:bCs w:val="0"/>
          <w:i w:val="0"/>
          <w:sz w:val="22"/>
          <w:szCs w:val="22"/>
        </w:rPr>
        <w:t xml:space="preserve">. </w:t>
      </w:r>
    </w:p>
    <w:p w14:paraId="40CBECB0" w14:textId="77777777" w:rsidR="00E3073B" w:rsidRPr="002A3AAE" w:rsidRDefault="00E3073B" w:rsidP="002A3AAE">
      <w:pPr>
        <w:pStyle w:val="NoSpacing"/>
        <w:contextualSpacing/>
        <w:jc w:val="both"/>
        <w:rPr>
          <w:rStyle w:val="Heading3Char"/>
          <w:rFonts w:cs="Calibri"/>
          <w:b w:val="0"/>
          <w:bCs w:val="0"/>
          <w:sz w:val="22"/>
          <w:szCs w:val="22"/>
        </w:rPr>
      </w:pPr>
    </w:p>
    <w:p w14:paraId="6A4404C3" w14:textId="77D95E85" w:rsidR="00E3073B" w:rsidRPr="002A3AAE" w:rsidRDefault="00E3073B" w:rsidP="002A3AAE">
      <w:pPr>
        <w:pStyle w:val="NoSpacing"/>
        <w:contextualSpacing/>
        <w:jc w:val="both"/>
        <w:rPr>
          <w:rFonts w:cs="Calibri"/>
        </w:rPr>
      </w:pPr>
      <w:r>
        <w:rPr>
          <w:rStyle w:val="Heading3Char"/>
          <w:rFonts w:cs="Calibri"/>
          <w:b w:val="0"/>
          <w:bCs w:val="0"/>
          <w:i w:val="0"/>
          <w:sz w:val="22"/>
          <w:szCs w:val="22"/>
        </w:rPr>
        <w:t xml:space="preserve">This </w:t>
      </w:r>
      <w:r w:rsidR="007645F6">
        <w:rPr>
          <w:rStyle w:val="Heading3Char"/>
          <w:rFonts w:cs="Calibri"/>
          <w:b w:val="0"/>
          <w:bCs w:val="0"/>
          <w:i w:val="0"/>
          <w:sz w:val="22"/>
          <w:szCs w:val="22"/>
        </w:rPr>
        <w:t xml:space="preserve">calculation </w:t>
      </w:r>
      <w:r>
        <w:rPr>
          <w:rStyle w:val="Heading3Char"/>
          <w:rFonts w:cs="Calibri"/>
          <w:b w:val="0"/>
          <w:bCs w:val="0"/>
          <w:i w:val="0"/>
          <w:sz w:val="22"/>
          <w:szCs w:val="22"/>
        </w:rPr>
        <w:t xml:space="preserve">is taken further in the </w:t>
      </w:r>
      <w:r w:rsidRPr="00A10EAE">
        <w:rPr>
          <w:rStyle w:val="Heading3Char"/>
          <w:rFonts w:cs="Calibri"/>
          <w:b w:val="0"/>
          <w:bCs w:val="0"/>
          <w:sz w:val="22"/>
          <w:szCs w:val="22"/>
        </w:rPr>
        <w:t>Responsibility Deal</w:t>
      </w:r>
      <w:r w:rsidRPr="002A3AAE">
        <w:rPr>
          <w:rStyle w:val="Heading3Char"/>
          <w:rFonts w:cs="Calibri"/>
          <w:b w:val="0"/>
          <w:bCs w:val="0"/>
          <w:i w:val="0"/>
          <w:sz w:val="22"/>
          <w:szCs w:val="22"/>
        </w:rPr>
        <w:t>, where companies are asked to pledge that they will support the</w:t>
      </w:r>
      <w:r w:rsidRPr="002A3AAE">
        <w:rPr>
          <w:rStyle w:val="Heading3Char"/>
          <w:rFonts w:cs="Calibri"/>
          <w:b w:val="0"/>
          <w:bCs w:val="0"/>
          <w:sz w:val="22"/>
          <w:szCs w:val="22"/>
        </w:rPr>
        <w:t xml:space="preserve"> </w:t>
      </w:r>
      <w:r>
        <w:rPr>
          <w:rFonts w:cs="Calibri"/>
        </w:rPr>
        <w:t xml:space="preserve">population to reduce </w:t>
      </w:r>
      <w:r w:rsidRPr="002A3AAE">
        <w:rPr>
          <w:rFonts w:cs="Calibri"/>
        </w:rPr>
        <w:t>total calorie consumption by 5 billion calories a day, enabling their customers to eat and drink fewer calories by reformulating products and menus, reviewing portion sizes, increasing information on calorie content, and actions to shift the marketing mix towards lower calorie options</w:t>
      </w:r>
      <w:r w:rsidR="001058CF">
        <w:rPr>
          <w:rFonts w:cs="Calibri"/>
        </w:rPr>
        <w:t xml:space="preserve"> (</w:t>
      </w:r>
      <w:r w:rsidR="00677397">
        <w:rPr>
          <w:rFonts w:cs="Calibri"/>
        </w:rPr>
        <w:fldChar w:fldCharType="begin"/>
      </w:r>
      <w:r w:rsidR="00677397">
        <w:rPr>
          <w:rFonts w:cs="Calibri"/>
        </w:rPr>
        <w:instrText xml:space="preserve"> NOTEREF _Ref341192631 \h </w:instrText>
      </w:r>
      <w:r w:rsidR="00677397">
        <w:rPr>
          <w:rFonts w:cs="Calibri"/>
        </w:rPr>
      </w:r>
      <w:r w:rsidR="00677397">
        <w:rPr>
          <w:rFonts w:cs="Calibri"/>
        </w:rPr>
        <w:fldChar w:fldCharType="separate"/>
      </w:r>
      <w:r w:rsidR="009462C5">
        <w:rPr>
          <w:rFonts w:cs="Calibri"/>
        </w:rPr>
        <w:t>40</w:t>
      </w:r>
      <w:r w:rsidR="00677397">
        <w:rPr>
          <w:rFonts w:cs="Calibri"/>
        </w:rPr>
        <w:fldChar w:fldCharType="end"/>
      </w:r>
      <w:r w:rsidR="001058CF">
        <w:rPr>
          <w:rFonts w:cs="Calibri"/>
        </w:rPr>
        <w:t>)</w:t>
      </w:r>
      <w:r w:rsidRPr="002A3AAE">
        <w:rPr>
          <w:rFonts w:cs="Calibri"/>
        </w:rPr>
        <w:t>.</w:t>
      </w:r>
    </w:p>
    <w:p w14:paraId="4E778B19" w14:textId="77777777" w:rsidR="00E3073B" w:rsidRDefault="00E3073B" w:rsidP="002A3AAE">
      <w:pPr>
        <w:pStyle w:val="Heading3"/>
        <w:spacing w:before="0" w:after="0" w:line="240" w:lineRule="auto"/>
        <w:contextualSpacing/>
        <w:jc w:val="both"/>
        <w:rPr>
          <w:rFonts w:cs="Calibri"/>
        </w:rPr>
      </w:pPr>
    </w:p>
    <w:p w14:paraId="5B202B40" w14:textId="77777777" w:rsidR="00E3073B" w:rsidRPr="002A3AAE" w:rsidRDefault="00E3073B" w:rsidP="002A3AAE">
      <w:pPr>
        <w:pStyle w:val="Heading3"/>
        <w:spacing w:before="0" w:after="0" w:line="240" w:lineRule="auto"/>
        <w:contextualSpacing/>
        <w:jc w:val="both"/>
        <w:rPr>
          <w:rFonts w:cs="Calibri"/>
        </w:rPr>
      </w:pPr>
      <w:r>
        <w:rPr>
          <w:rFonts w:cs="Calibri"/>
        </w:rPr>
        <w:t xml:space="preserve">2.7 </w:t>
      </w:r>
      <w:r w:rsidRPr="002A3AAE">
        <w:rPr>
          <w:rFonts w:cs="Calibri"/>
        </w:rPr>
        <w:t>Monitoring</w:t>
      </w:r>
    </w:p>
    <w:p w14:paraId="7C282909" w14:textId="77777777" w:rsidR="00E3073B" w:rsidRDefault="00E3073B" w:rsidP="002A3AAE">
      <w:pPr>
        <w:pStyle w:val="NoSpacing"/>
        <w:contextualSpacing/>
        <w:jc w:val="both"/>
        <w:rPr>
          <w:rFonts w:cs="Calibri"/>
        </w:rPr>
      </w:pPr>
    </w:p>
    <w:p w14:paraId="2BBB48F7" w14:textId="77777777" w:rsidR="00E3073B" w:rsidRPr="002A3AAE" w:rsidRDefault="00E3073B" w:rsidP="002A3AAE">
      <w:pPr>
        <w:pStyle w:val="NoSpacing"/>
        <w:contextualSpacing/>
        <w:jc w:val="both"/>
        <w:rPr>
          <w:rFonts w:cs="Calibri"/>
        </w:rPr>
      </w:pPr>
      <w:r w:rsidRPr="002A3AAE">
        <w:rPr>
          <w:rFonts w:cs="Calibri"/>
        </w:rPr>
        <w:t xml:space="preserve">As mentioned in the introduction to this paper, the Health Survey for England was brought into being partly to monitor targets, including the obesity target from the </w:t>
      </w:r>
      <w:r w:rsidRPr="002A3AAE">
        <w:rPr>
          <w:rFonts w:cs="Calibri"/>
          <w:i/>
        </w:rPr>
        <w:t>Health of the Nation</w:t>
      </w:r>
      <w:r w:rsidRPr="002A3AAE">
        <w:rPr>
          <w:rFonts w:cs="Calibri"/>
        </w:rPr>
        <w:t>. Measured heights and weights from the survey are still used to monitor many targets now [Table 1].</w:t>
      </w:r>
    </w:p>
    <w:p w14:paraId="4AEAE799" w14:textId="77777777" w:rsidR="00E3073B" w:rsidRPr="002A3AAE" w:rsidRDefault="00E3073B" w:rsidP="002A3AAE">
      <w:pPr>
        <w:pStyle w:val="NoSpacing"/>
        <w:contextualSpacing/>
        <w:jc w:val="both"/>
        <w:rPr>
          <w:rFonts w:cs="Calibri"/>
        </w:rPr>
      </w:pPr>
    </w:p>
    <w:p w14:paraId="30C3B771" w14:textId="0F118478" w:rsidR="00E3073B" w:rsidRPr="002A3AAE" w:rsidRDefault="00E3073B" w:rsidP="002A3AAE">
      <w:pPr>
        <w:pStyle w:val="NoSpacing"/>
        <w:contextualSpacing/>
        <w:jc w:val="both"/>
        <w:rPr>
          <w:rFonts w:cs="Calibri"/>
        </w:rPr>
      </w:pPr>
      <w:r w:rsidRPr="002A3AAE">
        <w:rPr>
          <w:rFonts w:cs="Calibri"/>
          <w:lang w:eastAsia="en-GB"/>
        </w:rPr>
        <w:t>In 1998, the government issued Public Service Agreement targets to increase effective performance management of centrally determined targets. In 2004, the reduction of childhood obesity became a Public Service Agreement target, with three government departments</w:t>
      </w:r>
      <w:r w:rsidR="007424F4">
        <w:rPr>
          <w:rFonts w:cs="Calibri"/>
          <w:lang w:eastAsia="en-GB"/>
        </w:rPr>
        <w:t xml:space="preserve"> (ministries)</w:t>
      </w:r>
      <w:r w:rsidRPr="002A3AAE">
        <w:rPr>
          <w:rFonts w:cs="Calibri"/>
          <w:lang w:eastAsia="en-GB"/>
        </w:rPr>
        <w:t xml:space="preserve"> jointly responsible: Department of Health, Department of Culture Media and Sport</w:t>
      </w:r>
      <w:r w:rsidR="007424F4">
        <w:rPr>
          <w:rFonts w:cs="Calibri"/>
          <w:lang w:eastAsia="en-GB"/>
        </w:rPr>
        <w:t>,</w:t>
      </w:r>
      <w:r w:rsidRPr="002A3AAE">
        <w:rPr>
          <w:rFonts w:cs="Calibri"/>
          <w:lang w:eastAsia="en-GB"/>
        </w:rPr>
        <w:t xml:space="preserve"> and the Department </w:t>
      </w:r>
      <w:r w:rsidR="00DC485D">
        <w:rPr>
          <w:rFonts w:cs="Calibri"/>
          <w:lang w:eastAsia="en-GB"/>
        </w:rPr>
        <w:t>for</w:t>
      </w:r>
      <w:r w:rsidR="00DC485D" w:rsidRPr="002A3AAE">
        <w:rPr>
          <w:rFonts w:cs="Calibri"/>
          <w:lang w:eastAsia="en-GB"/>
        </w:rPr>
        <w:t xml:space="preserve"> </w:t>
      </w:r>
      <w:r w:rsidRPr="002A3AAE">
        <w:rPr>
          <w:rFonts w:cs="Calibri"/>
          <w:lang w:eastAsia="en-GB"/>
        </w:rPr>
        <w:t>Education and Skills</w:t>
      </w:r>
      <w:r w:rsidR="001058CF">
        <w:rPr>
          <w:rFonts w:cs="Calibri"/>
          <w:lang w:eastAsia="en-GB"/>
        </w:rPr>
        <w:t xml:space="preserve"> (</w:t>
      </w:r>
      <w:r w:rsidR="00402C95">
        <w:rPr>
          <w:rFonts w:cs="Calibri"/>
          <w:lang w:eastAsia="en-GB"/>
        </w:rPr>
        <w:fldChar w:fldCharType="begin"/>
      </w:r>
      <w:r w:rsidR="00402C95">
        <w:rPr>
          <w:rFonts w:cs="Calibri"/>
          <w:lang w:eastAsia="en-GB"/>
        </w:rPr>
        <w:instrText xml:space="preserve"> NOTEREF _Ref341273744 \h </w:instrText>
      </w:r>
      <w:r w:rsidR="00402C95">
        <w:rPr>
          <w:rFonts w:cs="Calibri"/>
          <w:lang w:eastAsia="en-GB"/>
        </w:rPr>
      </w:r>
      <w:r w:rsidR="00402C95">
        <w:rPr>
          <w:rFonts w:cs="Calibri"/>
          <w:lang w:eastAsia="en-GB"/>
        </w:rPr>
        <w:fldChar w:fldCharType="separate"/>
      </w:r>
      <w:r w:rsidR="009462C5">
        <w:rPr>
          <w:rFonts w:cs="Calibri"/>
          <w:lang w:eastAsia="en-GB"/>
        </w:rPr>
        <w:t>23</w:t>
      </w:r>
      <w:r w:rsidR="00402C95">
        <w:rPr>
          <w:rFonts w:cs="Calibri"/>
          <w:lang w:eastAsia="en-GB"/>
        </w:rPr>
        <w:fldChar w:fldCharType="end"/>
      </w:r>
      <w:r w:rsidR="001058CF">
        <w:rPr>
          <w:rFonts w:cs="Calibri"/>
          <w:lang w:eastAsia="en-GB"/>
        </w:rPr>
        <w:t>)</w:t>
      </w:r>
      <w:r w:rsidRPr="002A3AAE">
        <w:rPr>
          <w:rFonts w:cs="Calibri"/>
          <w:lang w:eastAsia="en-GB"/>
        </w:rPr>
        <w:t xml:space="preserve">. </w:t>
      </w:r>
      <w:r w:rsidRPr="002A3AAE">
        <w:rPr>
          <w:rFonts w:cs="Calibri"/>
        </w:rPr>
        <w:t>The target was “</w:t>
      </w:r>
      <w:r w:rsidRPr="002A3AAE">
        <w:rPr>
          <w:rFonts w:cs="Calibri"/>
          <w:color w:val="404040"/>
        </w:rPr>
        <w:t>to halt the year-on-year rise in obesity among children under 11 by 2010 in the context of a broader strategy to tackle obesity in the population as a whole</w:t>
      </w:r>
      <w:r w:rsidRPr="002A3AAE">
        <w:rPr>
          <w:rFonts w:cs="Calibri"/>
        </w:rPr>
        <w:t xml:space="preserve">”. A boost to the child population </w:t>
      </w:r>
      <w:r>
        <w:rPr>
          <w:rFonts w:cs="Calibri"/>
        </w:rPr>
        <w:t xml:space="preserve">sample </w:t>
      </w:r>
      <w:r w:rsidR="002A377D">
        <w:rPr>
          <w:rFonts w:cs="Calibri"/>
        </w:rPr>
        <w:t xml:space="preserve">size </w:t>
      </w:r>
      <w:r w:rsidRPr="002A3AAE">
        <w:rPr>
          <w:rFonts w:cs="Calibri"/>
        </w:rPr>
        <w:t>of the Health Survey for England was commissioned to increase precision of the measuremen</w:t>
      </w:r>
      <w:r w:rsidR="002A377D">
        <w:rPr>
          <w:rFonts w:cs="Calibri"/>
        </w:rPr>
        <w:t>t of prevalence and</w:t>
      </w:r>
      <w:r w:rsidRPr="002A3AAE">
        <w:rPr>
          <w:rFonts w:cs="Calibri"/>
        </w:rPr>
        <w:t xml:space="preserve"> resolution of </w:t>
      </w:r>
      <w:r w:rsidR="001058CF">
        <w:rPr>
          <w:rFonts w:cs="Calibri"/>
        </w:rPr>
        <w:t xml:space="preserve">differences in prevalence of </w:t>
      </w:r>
      <w:r w:rsidRPr="002A3AAE">
        <w:rPr>
          <w:rFonts w:cs="Calibri"/>
        </w:rPr>
        <w:t xml:space="preserve">childhood obesity </w:t>
      </w:r>
      <w:r w:rsidR="002A377D">
        <w:rPr>
          <w:rFonts w:cs="Calibri"/>
        </w:rPr>
        <w:t xml:space="preserve">between subgroups of interest, </w:t>
      </w:r>
      <w:r w:rsidRPr="002A3AAE">
        <w:rPr>
          <w:rFonts w:cs="Calibri"/>
        </w:rPr>
        <w:t>while monitoring this target.</w:t>
      </w:r>
      <w:r>
        <w:rPr>
          <w:rFonts w:cs="Calibri"/>
        </w:rPr>
        <w:t xml:space="preserve"> </w:t>
      </w:r>
      <w:r w:rsidRPr="002A3AAE">
        <w:rPr>
          <w:rFonts w:cs="Calibri"/>
        </w:rPr>
        <w:t>Monitoring this target through Health Survey for England data showed that prevalence of obesity in children aged 2-10</w:t>
      </w:r>
      <w:r>
        <w:rPr>
          <w:rFonts w:cs="Calibri"/>
        </w:rPr>
        <w:t>y</w:t>
      </w:r>
      <w:r w:rsidRPr="002A3AAE">
        <w:rPr>
          <w:rFonts w:cs="Calibri"/>
        </w:rPr>
        <w:t xml:space="preserve"> declined from 17.3% in 2005 to 13.9% in 2008</w:t>
      </w:r>
      <w:r w:rsidR="001058CF">
        <w:rPr>
          <w:rFonts w:cs="Calibri"/>
        </w:rPr>
        <w:t xml:space="preserve"> (</w:t>
      </w:r>
      <w:r w:rsidRPr="001058CF">
        <w:rPr>
          <w:rStyle w:val="EndnoteReference"/>
          <w:rFonts w:cs="Calibri"/>
          <w:vertAlign w:val="baseline"/>
        </w:rPr>
        <w:endnoteReference w:id="42"/>
      </w:r>
      <w:r w:rsidR="001058CF">
        <w:rPr>
          <w:rFonts w:cs="Calibri"/>
        </w:rPr>
        <w:t>)</w:t>
      </w:r>
      <w:r w:rsidR="00DC485D">
        <w:rPr>
          <w:rFonts w:cs="Calibri"/>
        </w:rPr>
        <w:t xml:space="preserve"> (Figure 1c)</w:t>
      </w:r>
      <w:r w:rsidRPr="002A3AAE">
        <w:rPr>
          <w:rFonts w:cs="Calibri"/>
        </w:rPr>
        <w:t xml:space="preserve">. This </w:t>
      </w:r>
      <w:r w:rsidR="004F32C7">
        <w:rPr>
          <w:rFonts w:cs="Calibri"/>
        </w:rPr>
        <w:t xml:space="preserve">reversal of the childhood obesity trend, attaining the target </w:t>
      </w:r>
      <w:r w:rsidR="00DC485D">
        <w:rPr>
          <w:rFonts w:cs="Calibri"/>
        </w:rPr>
        <w:t>set in 2004</w:t>
      </w:r>
      <w:r w:rsidR="000C4610">
        <w:rPr>
          <w:rFonts w:cs="Calibri"/>
        </w:rPr>
        <w:t>, could be read as</w:t>
      </w:r>
      <w:r w:rsidRPr="002A3AAE">
        <w:rPr>
          <w:rFonts w:cs="Calibri"/>
        </w:rPr>
        <w:t xml:space="preserve"> a success for the government obesity strategy.</w:t>
      </w:r>
    </w:p>
    <w:p w14:paraId="5F61423D" w14:textId="77777777" w:rsidR="00E3073B" w:rsidRDefault="00E3073B" w:rsidP="002A3AAE">
      <w:pPr>
        <w:pStyle w:val="Heading3"/>
        <w:spacing w:before="0" w:after="0" w:line="240" w:lineRule="auto"/>
        <w:contextualSpacing/>
        <w:jc w:val="both"/>
        <w:rPr>
          <w:rFonts w:cs="Calibri"/>
        </w:rPr>
      </w:pPr>
    </w:p>
    <w:p w14:paraId="31371659" w14:textId="77777777" w:rsidR="00E3073B" w:rsidRPr="002A3AAE" w:rsidRDefault="00E3073B" w:rsidP="002A3AAE">
      <w:pPr>
        <w:pStyle w:val="Heading3"/>
        <w:spacing w:before="0" w:after="0" w:line="240" w:lineRule="auto"/>
        <w:contextualSpacing/>
        <w:jc w:val="both"/>
        <w:rPr>
          <w:rFonts w:cs="Calibri"/>
        </w:rPr>
      </w:pPr>
      <w:r>
        <w:rPr>
          <w:rFonts w:cs="Calibri"/>
        </w:rPr>
        <w:t>2.8 Evaluation and</w:t>
      </w:r>
      <w:r w:rsidRPr="002A3AAE">
        <w:rPr>
          <w:rFonts w:cs="Calibri"/>
        </w:rPr>
        <w:t xml:space="preserve"> review</w:t>
      </w:r>
    </w:p>
    <w:p w14:paraId="2961154C" w14:textId="77777777" w:rsidR="00E3073B" w:rsidRDefault="00E3073B" w:rsidP="002A3AAE">
      <w:pPr>
        <w:pStyle w:val="NoSpacing"/>
        <w:contextualSpacing/>
        <w:jc w:val="both"/>
        <w:rPr>
          <w:rStyle w:val="Heading3Char"/>
          <w:rFonts w:cs="Calibri"/>
          <w:b w:val="0"/>
          <w:bCs w:val="0"/>
          <w:i w:val="0"/>
          <w:sz w:val="22"/>
          <w:szCs w:val="22"/>
        </w:rPr>
      </w:pPr>
    </w:p>
    <w:p w14:paraId="0C7ACA99" w14:textId="11D536E6" w:rsidR="00E3073B" w:rsidRPr="001058CF" w:rsidRDefault="00E3073B" w:rsidP="002A3AAE">
      <w:pPr>
        <w:pStyle w:val="NoSpacing"/>
        <w:contextualSpacing/>
        <w:jc w:val="both"/>
      </w:pPr>
      <w:r w:rsidRPr="002A3AAE">
        <w:rPr>
          <w:rStyle w:val="Heading3Char"/>
          <w:rFonts w:cs="Calibri"/>
          <w:b w:val="0"/>
          <w:bCs w:val="0"/>
          <w:i w:val="0"/>
          <w:sz w:val="22"/>
          <w:szCs w:val="22"/>
        </w:rPr>
        <w:t>It can be useful to step back from monitoring targets and assess the picture more fully to evaluate whether a strategy is having a good outcome overall.</w:t>
      </w:r>
      <w:r w:rsidRPr="002A3AAE">
        <w:rPr>
          <w:rStyle w:val="Heading3Char"/>
          <w:rFonts w:cs="Calibri"/>
          <w:b w:val="0"/>
          <w:bCs w:val="0"/>
          <w:sz w:val="22"/>
          <w:szCs w:val="22"/>
        </w:rPr>
        <w:t xml:space="preserve"> Healthy Weight, Healthy Lives: Two Years On</w:t>
      </w:r>
      <w:r w:rsidR="001058CF">
        <w:rPr>
          <w:rFonts w:cs="Calibri"/>
        </w:rPr>
        <w:t xml:space="preserve"> (</w:t>
      </w:r>
      <w:bookmarkStart w:id="32" w:name="_Ref341278186"/>
      <w:r w:rsidRPr="001058CF">
        <w:rPr>
          <w:rStyle w:val="EndnoteReference"/>
          <w:rFonts w:cs="Calibri"/>
          <w:vertAlign w:val="baseline"/>
        </w:rPr>
        <w:endnoteReference w:id="43"/>
      </w:r>
      <w:bookmarkEnd w:id="32"/>
      <w:r w:rsidR="001058CF">
        <w:rPr>
          <w:rFonts w:cs="Calibri"/>
        </w:rPr>
        <w:t>)</w:t>
      </w:r>
      <w:r w:rsidRPr="002A3AAE">
        <w:rPr>
          <w:rFonts w:cs="Calibri"/>
        </w:rPr>
        <w:t xml:space="preserve"> evaluates </w:t>
      </w:r>
      <w:r w:rsidRPr="002A3AAE">
        <w:rPr>
          <w:rFonts w:cs="Calibri"/>
          <w:i/>
        </w:rPr>
        <w:t>Healthy Weight, Healthy Lives</w:t>
      </w:r>
      <w:r w:rsidR="001058CF">
        <w:rPr>
          <w:rFonts w:cs="Calibri"/>
        </w:rPr>
        <w:t xml:space="preserve"> (</w:t>
      </w:r>
      <w:r w:rsidR="001058CF">
        <w:fldChar w:fldCharType="begin"/>
      </w:r>
      <w:r w:rsidR="001058CF">
        <w:rPr>
          <w:rFonts w:cs="Calibri"/>
        </w:rPr>
        <w:instrText xml:space="preserve"> NOTEREF _Ref341192001 \h </w:instrText>
      </w:r>
      <w:r w:rsidR="001058CF">
        <w:fldChar w:fldCharType="separate"/>
      </w:r>
      <w:r w:rsidR="009462C5">
        <w:rPr>
          <w:rFonts w:cs="Calibri"/>
        </w:rPr>
        <w:t>27</w:t>
      </w:r>
      <w:r w:rsidR="001058CF">
        <w:fldChar w:fldCharType="end"/>
      </w:r>
      <w:r w:rsidR="001058CF">
        <w:t>)</w:t>
      </w:r>
      <w:r w:rsidRPr="002A3AAE">
        <w:rPr>
          <w:rFonts w:cs="Calibri"/>
        </w:rPr>
        <w:t xml:space="preserve">. Health Survey for England data were presented to demonstrate that childhood obesity prevalence had stopped rising. The reported figure for childhood obesity was 13.9%, the lowest reported figure since 2001. </w:t>
      </w:r>
      <w:r w:rsidR="00DC485D">
        <w:rPr>
          <w:rFonts w:cs="Calibri"/>
        </w:rPr>
        <w:t>T</w:t>
      </w:r>
      <w:r w:rsidRPr="002A3AAE">
        <w:rPr>
          <w:rFonts w:cs="Calibri"/>
        </w:rPr>
        <w:t>he sustained focus on childhood obesity</w:t>
      </w:r>
      <w:r w:rsidR="00F52A96">
        <w:rPr>
          <w:rFonts w:cs="Calibri"/>
        </w:rPr>
        <w:t xml:space="preserve"> includ</w:t>
      </w:r>
      <w:r w:rsidR="00DC485D">
        <w:rPr>
          <w:rFonts w:cs="Calibri"/>
        </w:rPr>
        <w:t>ed</w:t>
      </w:r>
      <w:r w:rsidR="00F52A96">
        <w:rPr>
          <w:rFonts w:cs="Calibri"/>
        </w:rPr>
        <w:t xml:space="preserve"> government action such as</w:t>
      </w:r>
      <w:r w:rsidRPr="002A3AAE">
        <w:rPr>
          <w:rFonts w:cs="Calibri"/>
        </w:rPr>
        <w:t xml:space="preserve"> </w:t>
      </w:r>
      <w:r w:rsidR="00F52A96">
        <w:rPr>
          <w:rFonts w:cs="Calibri"/>
        </w:rPr>
        <w:t xml:space="preserve">the </w:t>
      </w:r>
      <w:r w:rsidR="00DC485D">
        <w:rPr>
          <w:rFonts w:cs="Calibri"/>
        </w:rPr>
        <w:t>N</w:t>
      </w:r>
      <w:r w:rsidR="00F52A96">
        <w:rPr>
          <w:rFonts w:cs="Calibri"/>
        </w:rPr>
        <w:t xml:space="preserve">ational </w:t>
      </w:r>
      <w:r w:rsidR="00DC485D">
        <w:rPr>
          <w:rFonts w:cs="Calibri"/>
        </w:rPr>
        <w:t>C</w:t>
      </w:r>
      <w:r w:rsidR="00F52A96">
        <w:rPr>
          <w:rFonts w:cs="Calibri"/>
        </w:rPr>
        <w:t xml:space="preserve">hild </w:t>
      </w:r>
      <w:r w:rsidR="00DC485D">
        <w:rPr>
          <w:rFonts w:cs="Calibri"/>
        </w:rPr>
        <w:t>M</w:t>
      </w:r>
      <w:r w:rsidR="00F52A96">
        <w:rPr>
          <w:rFonts w:cs="Calibri"/>
        </w:rPr>
        <w:t xml:space="preserve">easurement </w:t>
      </w:r>
      <w:r w:rsidR="00DC485D">
        <w:rPr>
          <w:rFonts w:cs="Calibri"/>
        </w:rPr>
        <w:t>P</w:t>
      </w:r>
      <w:r w:rsidR="00F52A96">
        <w:rPr>
          <w:rFonts w:cs="Calibri"/>
        </w:rPr>
        <w:t>rogramme</w:t>
      </w:r>
      <w:r w:rsidR="00DC485D">
        <w:rPr>
          <w:rFonts w:cs="Calibri"/>
        </w:rPr>
        <w:t>,</w:t>
      </w:r>
      <w:r w:rsidR="00F52A96">
        <w:rPr>
          <w:rFonts w:cs="Calibri"/>
        </w:rPr>
        <w:t xml:space="preserve"> which promoted recognition by families of their own child’s weight status</w:t>
      </w:r>
      <w:r w:rsidR="00A46A6B">
        <w:rPr>
          <w:rFonts w:cs="Calibri"/>
        </w:rPr>
        <w:t>;</w:t>
      </w:r>
      <w:r w:rsidR="00D27BA0">
        <w:rPr>
          <w:rFonts w:cs="Calibri"/>
        </w:rPr>
        <w:t xml:space="preserve"> </w:t>
      </w:r>
      <w:r w:rsidR="00F52A96">
        <w:rPr>
          <w:rFonts w:cs="Calibri"/>
        </w:rPr>
        <w:t>Change4Life</w:t>
      </w:r>
      <w:r w:rsidR="00A46A6B">
        <w:rPr>
          <w:rFonts w:cs="Calibri"/>
        </w:rPr>
        <w:t>,</w:t>
      </w:r>
      <w:r w:rsidR="00372E97">
        <w:rPr>
          <w:rFonts w:cs="Calibri"/>
        </w:rPr>
        <w:t xml:space="preserve"> </w:t>
      </w:r>
      <w:r w:rsidR="00F52A96">
        <w:rPr>
          <w:rFonts w:cs="Calibri"/>
        </w:rPr>
        <w:t xml:space="preserve">a government </w:t>
      </w:r>
      <w:r w:rsidR="00372E97">
        <w:rPr>
          <w:rFonts w:cs="Calibri"/>
        </w:rPr>
        <w:t>p</w:t>
      </w:r>
      <w:r w:rsidR="00F52A96">
        <w:rPr>
          <w:rFonts w:cs="Calibri"/>
        </w:rPr>
        <w:t xml:space="preserve">ublic </w:t>
      </w:r>
      <w:r w:rsidR="00372E97">
        <w:rPr>
          <w:rFonts w:cs="Calibri"/>
        </w:rPr>
        <w:t>h</w:t>
      </w:r>
      <w:r w:rsidR="00F52A96">
        <w:rPr>
          <w:rFonts w:cs="Calibri"/>
        </w:rPr>
        <w:t>ealth social marketing campaign</w:t>
      </w:r>
      <w:r w:rsidR="00372E97">
        <w:rPr>
          <w:rFonts w:cs="Calibri"/>
        </w:rPr>
        <w:t>,</w:t>
      </w:r>
      <w:r w:rsidR="00F52A96">
        <w:rPr>
          <w:rFonts w:cs="Calibri"/>
        </w:rPr>
        <w:t xml:space="preserve"> particularly directed at families of young children</w:t>
      </w:r>
      <w:r w:rsidR="00D27BA0">
        <w:rPr>
          <w:rFonts w:cs="Calibri"/>
        </w:rPr>
        <w:t>; and restrictions on marketing ‘junk’ food, high in salt, fat and sugar, to children</w:t>
      </w:r>
      <w:r w:rsidR="00372E97">
        <w:rPr>
          <w:rFonts w:cs="Calibri"/>
        </w:rPr>
        <w:t>.</w:t>
      </w:r>
      <w:r w:rsidR="00F52A96">
        <w:rPr>
          <w:rFonts w:cs="Calibri"/>
        </w:rPr>
        <w:t xml:space="preserve"> </w:t>
      </w:r>
      <w:r w:rsidR="00372E97">
        <w:rPr>
          <w:rFonts w:cs="Calibri"/>
        </w:rPr>
        <w:t xml:space="preserve">These </w:t>
      </w:r>
      <w:r w:rsidR="00F52A96">
        <w:rPr>
          <w:rFonts w:cs="Calibri"/>
        </w:rPr>
        <w:t>appeared to be having some success. O</w:t>
      </w:r>
      <w:r w:rsidRPr="002A3AAE">
        <w:rPr>
          <w:rFonts w:cs="Calibri"/>
        </w:rPr>
        <w:t>ther results were not as promising. The data presented showed that obesity prevalence among 11–15-year olds remained high and significantly increased in boys in that age-group</w:t>
      </w:r>
      <w:r w:rsidR="00372E97">
        <w:rPr>
          <w:rFonts w:cs="Calibri"/>
        </w:rPr>
        <w:t xml:space="preserve"> </w:t>
      </w:r>
      <w:r w:rsidR="00BC0203">
        <w:rPr>
          <w:rFonts w:cs="Calibri"/>
        </w:rPr>
        <w:t>[Figure 1d]</w:t>
      </w:r>
      <w:r w:rsidRPr="002A3AAE">
        <w:rPr>
          <w:rFonts w:cs="Calibri"/>
        </w:rPr>
        <w:t>. The upward trend also continued in adults, with the most striking upward trends in older adults.</w:t>
      </w:r>
    </w:p>
    <w:p w14:paraId="5DBAF5B8" w14:textId="77777777" w:rsidR="00E3073B" w:rsidRPr="002A3AAE" w:rsidRDefault="00E3073B" w:rsidP="002A3AAE">
      <w:pPr>
        <w:pStyle w:val="NoSpacing"/>
        <w:contextualSpacing/>
        <w:jc w:val="both"/>
        <w:rPr>
          <w:rFonts w:cs="Calibri"/>
        </w:rPr>
      </w:pPr>
    </w:p>
    <w:p w14:paraId="68717F24" w14:textId="12F791EB" w:rsidR="00E3073B" w:rsidRPr="002A3AAE" w:rsidRDefault="00E3073B" w:rsidP="002A3AAE">
      <w:pPr>
        <w:pStyle w:val="NoSpacing"/>
        <w:contextualSpacing/>
        <w:jc w:val="both"/>
        <w:rPr>
          <w:rFonts w:cs="Calibri"/>
        </w:rPr>
      </w:pPr>
      <w:r w:rsidRPr="002A3AAE">
        <w:rPr>
          <w:rFonts w:cs="Calibri"/>
        </w:rPr>
        <w:t xml:space="preserve">This type of evaluation is important for reviewing strategy priorities. A strategy focus on childhood obesity </w:t>
      </w:r>
      <w:r w:rsidR="000C4610">
        <w:rPr>
          <w:rFonts w:cs="Calibri"/>
        </w:rPr>
        <w:t>seemed</w:t>
      </w:r>
      <w:r w:rsidRPr="002A3AAE">
        <w:rPr>
          <w:rFonts w:cs="Calibri"/>
        </w:rPr>
        <w:t xml:space="preserve"> to </w:t>
      </w:r>
      <w:r w:rsidR="00372E97">
        <w:rPr>
          <w:rFonts w:cs="Calibri"/>
        </w:rPr>
        <w:t xml:space="preserve">be yielding benefit, </w:t>
      </w:r>
      <w:r w:rsidRPr="002A3AAE">
        <w:rPr>
          <w:rFonts w:cs="Calibri"/>
        </w:rPr>
        <w:t>but equivalent data on teenage or adult obesity showed failure to change trends in these age-groups. Through monitoring the target alone, the wider effects of the strategy would remain unknown. The new obesity strategy</w:t>
      </w:r>
      <w:r w:rsidR="001058CF">
        <w:rPr>
          <w:rFonts w:cs="Calibri"/>
        </w:rPr>
        <w:t>,</w:t>
      </w:r>
      <w:r w:rsidRPr="002A3AAE">
        <w:rPr>
          <w:rFonts w:cs="Calibri"/>
        </w:rPr>
        <w:t xml:space="preserve"> produced following this evaluation</w:t>
      </w:r>
      <w:r w:rsidR="001058CF">
        <w:rPr>
          <w:rFonts w:cs="Calibri"/>
        </w:rPr>
        <w:t>,</w:t>
      </w:r>
      <w:r w:rsidRPr="002A3AAE">
        <w:rPr>
          <w:rFonts w:cs="Calibri"/>
        </w:rPr>
        <w:t xml:space="preserve"> </w:t>
      </w:r>
      <w:r w:rsidR="00372E97">
        <w:rPr>
          <w:rFonts w:cs="Calibri"/>
        </w:rPr>
        <w:t xml:space="preserve">has </w:t>
      </w:r>
      <w:r w:rsidRPr="002A3AAE">
        <w:rPr>
          <w:rFonts w:cs="Calibri"/>
        </w:rPr>
        <w:t>relaxed the focus on childhood obesity and examines the whole life course</w:t>
      </w:r>
      <w:r w:rsidR="001058CF">
        <w:rPr>
          <w:rFonts w:cs="Calibri"/>
        </w:rPr>
        <w:t xml:space="preserve"> (</w:t>
      </w:r>
      <w:r w:rsidR="002A377D" w:rsidRPr="001058CF">
        <w:fldChar w:fldCharType="begin"/>
      </w:r>
      <w:r w:rsidR="002A377D" w:rsidRPr="001058CF">
        <w:instrText xml:space="preserve"> NOTEREF _Ref339977954 \h  \* MERGEFORMAT </w:instrText>
      </w:r>
      <w:r w:rsidR="002A377D" w:rsidRPr="001058CF">
        <w:fldChar w:fldCharType="separate"/>
      </w:r>
      <w:r w:rsidR="009462C5" w:rsidRPr="009462C5">
        <w:rPr>
          <w:rFonts w:cs="Calibri"/>
        </w:rPr>
        <w:t>28</w:t>
      </w:r>
      <w:r w:rsidR="002A377D" w:rsidRPr="001058CF">
        <w:fldChar w:fldCharType="end"/>
      </w:r>
      <w:r w:rsidR="001058CF">
        <w:t>)</w:t>
      </w:r>
      <w:r w:rsidRPr="002A3AAE">
        <w:rPr>
          <w:rFonts w:cs="Calibri"/>
        </w:rPr>
        <w:t>.</w:t>
      </w:r>
    </w:p>
    <w:p w14:paraId="6527661C" w14:textId="77777777" w:rsidR="00E3073B" w:rsidRPr="002A3AAE" w:rsidRDefault="00E3073B" w:rsidP="002A3AAE">
      <w:pPr>
        <w:pStyle w:val="Heading2"/>
        <w:spacing w:before="0" w:after="0" w:line="240" w:lineRule="auto"/>
        <w:contextualSpacing/>
        <w:jc w:val="both"/>
        <w:rPr>
          <w:rFonts w:cs="Calibri"/>
          <w:lang w:eastAsia="en-GB"/>
        </w:rPr>
      </w:pPr>
    </w:p>
    <w:p w14:paraId="33853ECD" w14:textId="77777777" w:rsidR="00E3073B" w:rsidRPr="002A3AAE" w:rsidRDefault="00E3073B" w:rsidP="005649D9">
      <w:pPr>
        <w:pStyle w:val="Heading2"/>
        <w:numPr>
          <w:ilvl w:val="0"/>
          <w:numId w:val="28"/>
        </w:numPr>
        <w:spacing w:before="0" w:after="0" w:line="240" w:lineRule="auto"/>
        <w:contextualSpacing/>
        <w:jc w:val="both"/>
        <w:rPr>
          <w:rFonts w:cs="Calibri"/>
          <w:lang w:eastAsia="en-GB"/>
        </w:rPr>
      </w:pPr>
      <w:r w:rsidRPr="002A3AAE">
        <w:rPr>
          <w:rFonts w:cs="Calibri"/>
          <w:lang w:eastAsia="en-GB"/>
        </w:rPr>
        <w:t>Discussion</w:t>
      </w:r>
    </w:p>
    <w:p w14:paraId="19C71744" w14:textId="77777777" w:rsidR="00E3073B" w:rsidRPr="002A3AAE" w:rsidRDefault="00E3073B" w:rsidP="002A3AAE">
      <w:pPr>
        <w:pStyle w:val="Heading3"/>
        <w:spacing w:before="0" w:after="0" w:line="240" w:lineRule="auto"/>
        <w:contextualSpacing/>
        <w:jc w:val="both"/>
        <w:rPr>
          <w:rFonts w:cs="Calibri"/>
        </w:rPr>
      </w:pPr>
    </w:p>
    <w:p w14:paraId="05D4488C" w14:textId="77777777" w:rsidR="00A54833" w:rsidRDefault="00A54833" w:rsidP="00A10EAE">
      <w:pPr>
        <w:pStyle w:val="Heading3"/>
        <w:spacing w:before="0" w:after="0" w:line="240" w:lineRule="auto"/>
        <w:contextualSpacing/>
        <w:jc w:val="both"/>
        <w:rPr>
          <w:rFonts w:cs="Calibri"/>
        </w:rPr>
      </w:pPr>
      <w:r>
        <w:rPr>
          <w:rFonts w:cs="Calibri"/>
        </w:rPr>
        <w:t>3.1 Summary of Findings</w:t>
      </w:r>
    </w:p>
    <w:p w14:paraId="6501FA37" w14:textId="77777777" w:rsidR="008852F2" w:rsidRDefault="008852F2" w:rsidP="00372E97">
      <w:pPr>
        <w:pStyle w:val="NoSpacing"/>
        <w:contextualSpacing/>
        <w:jc w:val="both"/>
        <w:rPr>
          <w:rFonts w:cs="Calibri"/>
        </w:rPr>
      </w:pPr>
    </w:p>
    <w:p w14:paraId="3BEFE938" w14:textId="77777777" w:rsidR="00A54833" w:rsidRPr="00E11D9A" w:rsidRDefault="009F3828" w:rsidP="00372E97">
      <w:pPr>
        <w:pStyle w:val="NoSpacing"/>
        <w:contextualSpacing/>
        <w:jc w:val="both"/>
      </w:pPr>
      <w:r w:rsidRPr="002A3AAE">
        <w:rPr>
          <w:rFonts w:cs="Calibri"/>
        </w:rPr>
        <w:t xml:space="preserve">This paper shows the many uses of measured height and weight data collected as part of a health examination survey, the Health Survey for England, in obesity policy making and monitoring. Because of the Health Survey for England, this issue was able to be quantified and the extent and </w:t>
      </w:r>
      <w:r w:rsidRPr="002A3AAE">
        <w:rPr>
          <w:rFonts w:cs="Calibri"/>
        </w:rPr>
        <w:lastRenderedPageBreak/>
        <w:t xml:space="preserve">escalation of obesity within the </w:t>
      </w:r>
      <w:r w:rsidR="00383991">
        <w:rPr>
          <w:rFonts w:cs="Calibri"/>
        </w:rPr>
        <w:t xml:space="preserve">whole </w:t>
      </w:r>
      <w:r w:rsidRPr="002A3AAE">
        <w:rPr>
          <w:rFonts w:cs="Calibri"/>
        </w:rPr>
        <w:t>population</w:t>
      </w:r>
      <w:r w:rsidR="00383991">
        <w:rPr>
          <w:rFonts w:cs="Calibri"/>
        </w:rPr>
        <w:t>,</w:t>
      </w:r>
      <w:r w:rsidRPr="002A3AAE">
        <w:rPr>
          <w:rFonts w:cs="Calibri"/>
        </w:rPr>
        <w:t xml:space="preserve"> </w:t>
      </w:r>
      <w:r w:rsidR="00383991">
        <w:rPr>
          <w:rFonts w:cs="Calibri"/>
        </w:rPr>
        <w:t xml:space="preserve">and specific sub-groups, </w:t>
      </w:r>
      <w:r w:rsidRPr="002A3AAE">
        <w:rPr>
          <w:rFonts w:cs="Calibri"/>
        </w:rPr>
        <w:t>understood. With Health Survey for England data on prevalence and trend, a number of documents put pressure on the government</w:t>
      </w:r>
      <w:r w:rsidR="00383991">
        <w:rPr>
          <w:rFonts w:cs="Calibri"/>
        </w:rPr>
        <w:t>,</w:t>
      </w:r>
      <w:r w:rsidRPr="002A3AAE">
        <w:rPr>
          <w:rFonts w:cs="Calibri"/>
        </w:rPr>
        <w:t xml:space="preserve"> resulting in this issue bei</w:t>
      </w:r>
      <w:r>
        <w:rPr>
          <w:rFonts w:cs="Calibri"/>
        </w:rPr>
        <w:t>ng given significant attention.</w:t>
      </w:r>
      <w:r w:rsidRPr="002A3AAE">
        <w:rPr>
          <w:rFonts w:cs="Calibri"/>
        </w:rPr>
        <w:t xml:space="preserve"> Health Survey for England data has supported strategy development, examination of future scenarios and creation of clinical guidance. Targets have been set and monitored and through Health Survey for England data we have the first indication that the focus on childhood obesity is paying off</w:t>
      </w:r>
      <w:r w:rsidR="00383991">
        <w:rPr>
          <w:rFonts w:cs="Calibri"/>
        </w:rPr>
        <w:t>,</w:t>
      </w:r>
      <w:r w:rsidRPr="002A3AAE">
        <w:rPr>
          <w:rFonts w:cs="Calibri"/>
        </w:rPr>
        <w:t xml:space="preserve"> with wider evaluation shifting further strategy work to adult cohorts.</w:t>
      </w:r>
    </w:p>
    <w:p w14:paraId="1DA5D2B9" w14:textId="77777777" w:rsidR="00A46A6B" w:rsidRDefault="00A46A6B" w:rsidP="00A10EAE">
      <w:pPr>
        <w:pStyle w:val="Heading3"/>
        <w:spacing w:before="0" w:after="0" w:line="240" w:lineRule="auto"/>
        <w:contextualSpacing/>
        <w:jc w:val="both"/>
        <w:rPr>
          <w:rFonts w:cs="Calibri"/>
        </w:rPr>
      </w:pPr>
    </w:p>
    <w:p w14:paraId="7DD2D252" w14:textId="77777777" w:rsidR="00E3073B" w:rsidRDefault="00E3073B" w:rsidP="00A10EAE">
      <w:pPr>
        <w:pStyle w:val="Heading3"/>
        <w:spacing w:before="0" w:after="0" w:line="240" w:lineRule="auto"/>
        <w:contextualSpacing/>
        <w:jc w:val="both"/>
        <w:rPr>
          <w:rFonts w:cs="Calibri"/>
        </w:rPr>
      </w:pPr>
      <w:r>
        <w:rPr>
          <w:rFonts w:cs="Calibri"/>
        </w:rPr>
        <w:t>3.</w:t>
      </w:r>
      <w:r w:rsidR="00A54833">
        <w:rPr>
          <w:rFonts w:cs="Calibri"/>
        </w:rPr>
        <w:t>2</w:t>
      </w:r>
      <w:r>
        <w:rPr>
          <w:rFonts w:cs="Calibri"/>
        </w:rPr>
        <w:t xml:space="preserve"> </w:t>
      </w:r>
      <w:r w:rsidRPr="002A3AAE">
        <w:rPr>
          <w:rFonts w:cs="Calibri"/>
        </w:rPr>
        <w:t>Limitations</w:t>
      </w:r>
    </w:p>
    <w:p w14:paraId="1BDB90D9" w14:textId="77777777" w:rsidR="00E3073B" w:rsidRPr="00A10EAE" w:rsidRDefault="00E3073B" w:rsidP="00A10EAE">
      <w:pPr>
        <w:spacing w:after="0" w:line="240" w:lineRule="auto"/>
        <w:contextualSpacing/>
        <w:jc w:val="both"/>
        <w:rPr>
          <w:lang w:eastAsia="en-GB"/>
        </w:rPr>
      </w:pPr>
    </w:p>
    <w:p w14:paraId="51508E73" w14:textId="17E8F450" w:rsidR="002A377D" w:rsidRDefault="00E3073B" w:rsidP="001F6D86">
      <w:pPr>
        <w:pStyle w:val="NoSpacing"/>
        <w:contextualSpacing/>
        <w:jc w:val="both"/>
        <w:rPr>
          <w:rFonts w:cs="Calibri"/>
        </w:rPr>
      </w:pPr>
      <w:r w:rsidRPr="002A3AAE">
        <w:rPr>
          <w:rFonts w:cs="Calibri"/>
        </w:rPr>
        <w:t xml:space="preserve">Policy-making is a complex process and not all the sources that have fed into decision making are formally documented in final published documents. This means that all the ways in which the Health Survey for England has influenced obesity strategy in the UK may not have been identified. </w:t>
      </w:r>
      <w:r w:rsidR="00A54833">
        <w:rPr>
          <w:rFonts w:cs="Calibri"/>
        </w:rPr>
        <w:t>In addition, even where Health Survey for England is referenced, this does not tell us the precise role of the availability of the data</w:t>
      </w:r>
      <w:r w:rsidR="002A0E7F">
        <w:rPr>
          <w:rFonts w:cs="Calibri"/>
        </w:rPr>
        <w:t xml:space="preserve"> or</w:t>
      </w:r>
      <w:r w:rsidR="00B53782">
        <w:rPr>
          <w:rFonts w:cs="Calibri"/>
        </w:rPr>
        <w:t xml:space="preserve"> its relative importance </w:t>
      </w:r>
      <w:r w:rsidR="002A0E7F">
        <w:rPr>
          <w:rFonts w:cs="Calibri"/>
        </w:rPr>
        <w:t>compared with</w:t>
      </w:r>
      <w:r w:rsidR="00B53782">
        <w:rPr>
          <w:rFonts w:cs="Calibri"/>
        </w:rPr>
        <w:t xml:space="preserve"> </w:t>
      </w:r>
      <w:r w:rsidR="002A0E7F">
        <w:rPr>
          <w:rFonts w:cs="Calibri"/>
        </w:rPr>
        <w:t>other factors contributing to the formation of obesity policy</w:t>
      </w:r>
      <w:r w:rsidR="00B53782">
        <w:rPr>
          <w:rFonts w:cs="Calibri"/>
        </w:rPr>
        <w:t>.</w:t>
      </w:r>
      <w:r w:rsidR="00A54833">
        <w:rPr>
          <w:rFonts w:cs="Calibri"/>
        </w:rPr>
        <w:t xml:space="preserve"> </w:t>
      </w:r>
      <w:r w:rsidRPr="002A3AAE">
        <w:rPr>
          <w:rFonts w:cs="Calibri"/>
        </w:rPr>
        <w:t>Howev</w:t>
      </w:r>
      <w:r w:rsidR="002A377D">
        <w:rPr>
          <w:rFonts w:cs="Calibri"/>
        </w:rPr>
        <w:t>er, this paper presents several</w:t>
      </w:r>
      <w:r w:rsidRPr="002A3AAE">
        <w:rPr>
          <w:rFonts w:cs="Calibri"/>
        </w:rPr>
        <w:t xml:space="preserve"> ways in which height and weight data collected as part of the Health Survey for England have been used</w:t>
      </w:r>
      <w:r w:rsidR="002A0E7F">
        <w:rPr>
          <w:rFonts w:cs="Calibri"/>
        </w:rPr>
        <w:t xml:space="preserve"> and their use reported</w:t>
      </w:r>
      <w:r w:rsidR="002A377D">
        <w:rPr>
          <w:rFonts w:cs="Calibri"/>
        </w:rPr>
        <w:t>.</w:t>
      </w:r>
    </w:p>
    <w:p w14:paraId="1A75C5C5" w14:textId="77777777" w:rsidR="00E3073B" w:rsidRPr="002A3AAE" w:rsidRDefault="00E3073B" w:rsidP="00A10EAE">
      <w:pPr>
        <w:pStyle w:val="Heading3"/>
        <w:spacing w:before="0" w:after="0" w:line="240" w:lineRule="auto"/>
        <w:contextualSpacing/>
        <w:jc w:val="both"/>
        <w:rPr>
          <w:rFonts w:cs="Calibri"/>
        </w:rPr>
      </w:pPr>
    </w:p>
    <w:p w14:paraId="3330D0F0" w14:textId="5AA1AAF5" w:rsidR="00E3073B" w:rsidRPr="00A10EAE" w:rsidRDefault="00E3073B" w:rsidP="00A10EAE">
      <w:pPr>
        <w:pStyle w:val="NoSpacing"/>
        <w:contextualSpacing/>
        <w:jc w:val="both"/>
        <w:rPr>
          <w:rFonts w:cs="Calibri"/>
          <w:b/>
          <w:i/>
          <w:sz w:val="24"/>
          <w:szCs w:val="24"/>
        </w:rPr>
      </w:pPr>
      <w:r>
        <w:rPr>
          <w:rFonts w:cs="Calibri"/>
          <w:b/>
          <w:i/>
          <w:sz w:val="24"/>
          <w:szCs w:val="24"/>
        </w:rPr>
        <w:t>3.</w:t>
      </w:r>
      <w:r w:rsidR="00A54833">
        <w:rPr>
          <w:rFonts w:cs="Calibri"/>
          <w:b/>
          <w:i/>
          <w:sz w:val="24"/>
          <w:szCs w:val="24"/>
        </w:rPr>
        <w:t>3</w:t>
      </w:r>
      <w:r>
        <w:rPr>
          <w:rFonts w:cs="Calibri"/>
          <w:b/>
          <w:i/>
          <w:sz w:val="24"/>
          <w:szCs w:val="24"/>
        </w:rPr>
        <w:t xml:space="preserve"> </w:t>
      </w:r>
      <w:r w:rsidR="004B7F38">
        <w:rPr>
          <w:rFonts w:cs="Calibri"/>
          <w:b/>
          <w:i/>
          <w:sz w:val="24"/>
          <w:szCs w:val="24"/>
        </w:rPr>
        <w:t>The Health Survey for England and other data sources</w:t>
      </w:r>
    </w:p>
    <w:p w14:paraId="72CC4DC4" w14:textId="77777777" w:rsidR="00E3073B" w:rsidRDefault="00E3073B" w:rsidP="00A10EAE">
      <w:pPr>
        <w:pStyle w:val="NoSpacing"/>
        <w:contextualSpacing/>
        <w:jc w:val="both"/>
        <w:rPr>
          <w:rFonts w:cs="Calibri"/>
        </w:rPr>
      </w:pPr>
    </w:p>
    <w:p w14:paraId="22D05C74" w14:textId="5EF15CDB" w:rsidR="00E3073B" w:rsidRPr="002A3AAE" w:rsidRDefault="004B7F38" w:rsidP="00A10EAE">
      <w:pPr>
        <w:pStyle w:val="NoSpacing"/>
        <w:contextualSpacing/>
        <w:jc w:val="both"/>
        <w:rPr>
          <w:rFonts w:cs="Calibri"/>
        </w:rPr>
      </w:pPr>
      <w:r>
        <w:rPr>
          <w:rFonts w:cs="Calibri"/>
        </w:rPr>
        <w:t>As well as the Health Survey for England, t</w:t>
      </w:r>
      <w:r w:rsidR="00E3073B" w:rsidRPr="002A3AAE">
        <w:rPr>
          <w:rFonts w:cs="Calibri"/>
        </w:rPr>
        <w:t xml:space="preserve">here are other </w:t>
      </w:r>
      <w:r w:rsidR="006C5BF1">
        <w:rPr>
          <w:rFonts w:cs="Calibri"/>
        </w:rPr>
        <w:t xml:space="preserve">UK </w:t>
      </w:r>
      <w:r w:rsidR="00E3073B" w:rsidRPr="002A3AAE">
        <w:rPr>
          <w:rFonts w:cs="Calibri"/>
        </w:rPr>
        <w:t xml:space="preserve">data sources that obesity policy makers could use. Data could be extrapolated from research studies, although </w:t>
      </w:r>
      <w:r w:rsidR="00A46A6B">
        <w:rPr>
          <w:rFonts w:cs="Calibri"/>
        </w:rPr>
        <w:t>high</w:t>
      </w:r>
      <w:r w:rsidR="008852F2">
        <w:rPr>
          <w:rFonts w:cs="Calibri"/>
        </w:rPr>
        <w:t xml:space="preserve"> </w:t>
      </w:r>
      <w:r w:rsidR="00A218F6">
        <w:rPr>
          <w:rFonts w:cs="Calibri"/>
        </w:rPr>
        <w:t>quality, nationally-representative</w:t>
      </w:r>
      <w:r w:rsidR="00E3073B" w:rsidRPr="002A3AAE">
        <w:rPr>
          <w:rFonts w:cs="Calibri"/>
        </w:rPr>
        <w:t xml:space="preserve"> data will always provide a more robust indication of what is happening in the general population</w:t>
      </w:r>
      <w:r>
        <w:rPr>
          <w:rFonts w:cs="Calibri"/>
        </w:rPr>
        <w:t xml:space="preserve"> (</w:t>
      </w:r>
      <w:r w:rsidR="00E3073B" w:rsidRPr="004B7F38">
        <w:fldChar w:fldCharType="begin"/>
      </w:r>
      <w:r w:rsidR="00E3073B" w:rsidRPr="004B7F38">
        <w:instrText xml:space="preserve"> NOTEREF _Ref339976575 \h  \* MERGEFORMAT </w:instrText>
      </w:r>
      <w:r w:rsidR="00E3073B" w:rsidRPr="004B7F38">
        <w:fldChar w:fldCharType="separate"/>
      </w:r>
      <w:r w:rsidR="009462C5">
        <w:t>2</w:t>
      </w:r>
      <w:r w:rsidR="00E3073B" w:rsidRPr="004B7F38">
        <w:fldChar w:fldCharType="end"/>
      </w:r>
      <w:r>
        <w:t>)</w:t>
      </w:r>
      <w:r w:rsidR="00E3073B" w:rsidRPr="002A3AAE">
        <w:rPr>
          <w:rFonts w:cs="Calibri"/>
        </w:rPr>
        <w:t>.</w:t>
      </w:r>
    </w:p>
    <w:p w14:paraId="2E77988C" w14:textId="77777777" w:rsidR="00E3073B" w:rsidRPr="002A3AAE" w:rsidRDefault="00E3073B" w:rsidP="00A10EAE">
      <w:pPr>
        <w:pStyle w:val="NoSpacing"/>
        <w:contextualSpacing/>
        <w:jc w:val="both"/>
        <w:rPr>
          <w:rFonts w:cs="Calibri"/>
        </w:rPr>
      </w:pPr>
    </w:p>
    <w:p w14:paraId="3D23F47F" w14:textId="27403C61" w:rsidR="00E3073B" w:rsidRPr="002A3AAE" w:rsidRDefault="00E3073B" w:rsidP="00A10EAE">
      <w:pPr>
        <w:pStyle w:val="NoSpacing"/>
        <w:contextualSpacing/>
        <w:jc w:val="both"/>
        <w:rPr>
          <w:rFonts w:cs="Calibri"/>
        </w:rPr>
      </w:pPr>
      <w:r w:rsidRPr="002A3AAE">
        <w:rPr>
          <w:rFonts w:cs="Calibri"/>
        </w:rPr>
        <w:t>In terms of routine data, for adults, there is the General Practice Quality and Outcomes Framework obesity register</w:t>
      </w:r>
      <w:r w:rsidR="004B7F38">
        <w:rPr>
          <w:rFonts w:cs="Calibri"/>
        </w:rPr>
        <w:t xml:space="preserve"> (</w:t>
      </w:r>
      <w:r w:rsidRPr="004B7F38">
        <w:rPr>
          <w:rStyle w:val="EndnoteReference"/>
          <w:rFonts w:cs="Calibri"/>
          <w:vertAlign w:val="baseline"/>
        </w:rPr>
        <w:endnoteReference w:id="44"/>
      </w:r>
      <w:r w:rsidR="004B7F38">
        <w:rPr>
          <w:rFonts w:cs="Calibri"/>
        </w:rPr>
        <w:t>)</w:t>
      </w:r>
      <w:r w:rsidRPr="002A3AAE">
        <w:rPr>
          <w:rFonts w:cs="Calibri"/>
        </w:rPr>
        <w:t>. The national Quality and Outcomes Framework (QOF) was introduced in 2004. The Quality and Outcomes Framework obesity register is based on patients aged 16 and over who have a body mass index greater or equal to 30kg/m</w:t>
      </w:r>
      <w:r w:rsidRPr="002A3AAE">
        <w:rPr>
          <w:rFonts w:cs="Calibri"/>
          <w:vertAlign w:val="superscript"/>
        </w:rPr>
        <w:t>2</w:t>
      </w:r>
      <w:r w:rsidRPr="002A3AAE">
        <w:rPr>
          <w:rFonts w:cs="Calibri"/>
        </w:rPr>
        <w:t xml:space="preserve">, recorded in the previous 15 months. This data collection is designed to support the calculation of payments to GPs for their achievement of </w:t>
      </w:r>
      <w:r w:rsidR="00C80F5F">
        <w:rPr>
          <w:rFonts w:cs="Calibri"/>
        </w:rPr>
        <w:t>defined</w:t>
      </w:r>
      <w:r w:rsidRPr="002A3AAE">
        <w:rPr>
          <w:rFonts w:cs="Calibri"/>
        </w:rPr>
        <w:t xml:space="preserve"> objectives; prevalence data is a by-product of this, so there are limitations which must be acknowledged. Participation by general practices in the QOF is voluntary, though participation rates are very high</w:t>
      </w:r>
      <w:r w:rsidR="00383991">
        <w:rPr>
          <w:rFonts w:cs="Calibri"/>
        </w:rPr>
        <w:t xml:space="preserve"> (99%)</w:t>
      </w:r>
      <w:r w:rsidRPr="002A3AAE">
        <w:rPr>
          <w:rFonts w:cs="Calibri"/>
        </w:rPr>
        <w:t>, so if there is a particular bias towards or away from obesity in the GP practices that choose not to participate, this could affect the representativeness of results</w:t>
      </w:r>
      <w:r w:rsidR="00383991">
        <w:rPr>
          <w:rFonts w:cs="Calibri"/>
        </w:rPr>
        <w:t xml:space="preserve"> to a limited extent</w:t>
      </w:r>
      <w:r w:rsidRPr="002A3AAE">
        <w:rPr>
          <w:rFonts w:cs="Calibri"/>
        </w:rPr>
        <w:t>. The denominators used to calculate prevalence are general practice lists and as such, those who are not registered with a GP are not included in the denominator. Similarly there may be double counting of those who have recently changed GP or died and not yet been removed from a previous list. It is not stipulated whether recorded BMIs are measured or self-reported and they may be either. Where a recorded BMI is based on measurements, it is unknown to what extent the practitioners have followed a protocol, and different techniques may mean results are less accurate. Not all obese patients will have a BMI recorded within the previous 15 months.</w:t>
      </w:r>
      <w:r w:rsidR="00383991">
        <w:rPr>
          <w:rFonts w:cs="Calibri"/>
        </w:rPr>
        <w:t xml:space="preserve"> The biggest limitation is that data are available only by practic</w:t>
      </w:r>
      <w:r w:rsidR="00A46A6B">
        <w:rPr>
          <w:rFonts w:cs="Calibri"/>
        </w:rPr>
        <w:t>e, with no breakdown possible by age and sex, or</w:t>
      </w:r>
      <w:r w:rsidR="00383991">
        <w:rPr>
          <w:rFonts w:cs="Calibri"/>
        </w:rPr>
        <w:t xml:space="preserve"> other sub-groups.</w:t>
      </w:r>
    </w:p>
    <w:p w14:paraId="27678A79" w14:textId="77777777" w:rsidR="00E3073B" w:rsidRPr="002A3AAE" w:rsidRDefault="00E3073B" w:rsidP="00A10EAE">
      <w:pPr>
        <w:pStyle w:val="NoSpacing"/>
        <w:contextualSpacing/>
        <w:jc w:val="both"/>
        <w:rPr>
          <w:rFonts w:cs="Calibri"/>
        </w:rPr>
      </w:pPr>
    </w:p>
    <w:p w14:paraId="4A3811BB" w14:textId="6659185F" w:rsidR="00E3073B" w:rsidRPr="002A3AAE" w:rsidRDefault="00E3073B" w:rsidP="00A10EAE">
      <w:pPr>
        <w:pStyle w:val="NoSpacing"/>
        <w:contextualSpacing/>
        <w:jc w:val="both"/>
        <w:rPr>
          <w:rFonts w:cs="Calibri"/>
        </w:rPr>
      </w:pPr>
      <w:r w:rsidRPr="002A3AAE">
        <w:rPr>
          <w:rFonts w:cs="Calibri"/>
        </w:rPr>
        <w:t>There is another source of routine data on obesity prevalence for children, the National Child Measuring Programme (NCMP)</w:t>
      </w:r>
      <w:r w:rsidR="00F3654E">
        <w:rPr>
          <w:rFonts w:cs="Calibri"/>
        </w:rPr>
        <w:t xml:space="preserve"> (</w:t>
      </w:r>
      <w:bookmarkStart w:id="33" w:name="_Ref341280892"/>
      <w:r w:rsidRPr="00F3654E">
        <w:rPr>
          <w:rStyle w:val="EndnoteReference"/>
          <w:rFonts w:cs="Calibri"/>
          <w:vertAlign w:val="baseline"/>
        </w:rPr>
        <w:endnoteReference w:id="45"/>
      </w:r>
      <w:bookmarkEnd w:id="33"/>
      <w:r w:rsidR="00F3654E">
        <w:rPr>
          <w:rFonts w:cs="Calibri"/>
        </w:rPr>
        <w:t>)</w:t>
      </w:r>
      <w:r w:rsidRPr="002A3AAE">
        <w:rPr>
          <w:rFonts w:cs="Calibri"/>
        </w:rPr>
        <w:t xml:space="preserve">. This is now an excellent source of data on prevalence of obesity in children in reception year (aged 4-5y) and school year 6 (10-11y). However, the trends do not go back as far as Health Survey for England data; teenagers are not examined at all; and in the early years of the National Child Measuring Programme, the locally variable response rate affected recorded prevalence rates. In the early years, when response rates were lower in some areas, there was some evidence that the children with a greater extent of overweight were less likely to take </w:t>
      </w:r>
      <w:r w:rsidRPr="002A3AAE">
        <w:rPr>
          <w:rFonts w:cs="Calibri"/>
        </w:rPr>
        <w:lastRenderedPageBreak/>
        <w:t xml:space="preserve">part, resulting in lower </w:t>
      </w:r>
      <w:r>
        <w:rPr>
          <w:rFonts w:cs="Calibri"/>
        </w:rPr>
        <w:t xml:space="preserve">estimates of </w:t>
      </w:r>
      <w:r w:rsidRPr="002A3AAE">
        <w:rPr>
          <w:rFonts w:cs="Calibri"/>
        </w:rPr>
        <w:t>prevalence of obesity in those areas</w:t>
      </w:r>
      <w:r w:rsidR="00F3654E">
        <w:rPr>
          <w:rFonts w:cs="Calibri"/>
        </w:rPr>
        <w:t xml:space="preserve"> (</w:t>
      </w:r>
      <w:r w:rsidR="00C0447D">
        <w:rPr>
          <w:rFonts w:cs="Calibri"/>
        </w:rPr>
        <w:fldChar w:fldCharType="begin"/>
      </w:r>
      <w:r w:rsidR="00C0447D">
        <w:rPr>
          <w:rFonts w:cs="Calibri"/>
        </w:rPr>
        <w:instrText xml:space="preserve"> NOTEREF _Ref341280892 \h </w:instrText>
      </w:r>
      <w:r w:rsidR="00C0447D">
        <w:rPr>
          <w:rFonts w:cs="Calibri"/>
        </w:rPr>
      </w:r>
      <w:r w:rsidR="00C0447D">
        <w:rPr>
          <w:rFonts w:cs="Calibri"/>
        </w:rPr>
        <w:fldChar w:fldCharType="separate"/>
      </w:r>
      <w:r w:rsidR="009462C5">
        <w:rPr>
          <w:rFonts w:cs="Calibri"/>
        </w:rPr>
        <w:t>44</w:t>
      </w:r>
      <w:r w:rsidR="00C0447D">
        <w:rPr>
          <w:rFonts w:cs="Calibri"/>
        </w:rPr>
        <w:fldChar w:fldCharType="end"/>
      </w:r>
      <w:r w:rsidR="00F3654E">
        <w:rPr>
          <w:rFonts w:cs="Calibri"/>
        </w:rPr>
        <w:t>)</w:t>
      </w:r>
      <w:r w:rsidRPr="002A3AAE">
        <w:rPr>
          <w:rFonts w:cs="Calibri"/>
        </w:rPr>
        <w:t>. For this reason, an increase in obesity prevalence over the first few years, at a time when the Health Survey for England was showing declining obesity prevalence, is probably because as participation rates increased, the full picture of obesity prevalence was emerging.</w:t>
      </w:r>
    </w:p>
    <w:p w14:paraId="640D219A" w14:textId="77777777" w:rsidR="00E3073B" w:rsidRPr="002A3AAE" w:rsidRDefault="00E3073B" w:rsidP="00A10EAE">
      <w:pPr>
        <w:pStyle w:val="NoSpacing"/>
        <w:contextualSpacing/>
        <w:jc w:val="both"/>
        <w:rPr>
          <w:rFonts w:cs="Calibri"/>
        </w:rPr>
      </w:pPr>
    </w:p>
    <w:p w14:paraId="66CEF5A6" w14:textId="505E0843" w:rsidR="00E3073B" w:rsidRPr="002A3AAE" w:rsidRDefault="00E3073B" w:rsidP="00A10EAE">
      <w:pPr>
        <w:pStyle w:val="NoSpacing"/>
        <w:contextualSpacing/>
        <w:jc w:val="both"/>
        <w:rPr>
          <w:rFonts w:cs="Calibri"/>
        </w:rPr>
      </w:pPr>
      <w:r w:rsidRPr="002A3AAE">
        <w:rPr>
          <w:rFonts w:cs="Calibri"/>
        </w:rPr>
        <w:t>A less costly alternative to the Health Survey for England, a health examination survey in which heights and weights are measured, is a health interview survey where heights and weights are self-reported. However, many stu</w:t>
      </w:r>
      <w:r>
        <w:rPr>
          <w:rFonts w:cs="Calibri"/>
        </w:rPr>
        <w:t>dies, in adults from at least 16</w:t>
      </w:r>
      <w:r w:rsidRPr="002A3AAE">
        <w:rPr>
          <w:rFonts w:cs="Calibri"/>
        </w:rPr>
        <w:t xml:space="preserve"> countries, have indicated that self-reported weight and height tend to be under- and over-reported respectively</w:t>
      </w:r>
      <w:r w:rsidR="00F3654E">
        <w:rPr>
          <w:rFonts w:cs="Calibri"/>
        </w:rPr>
        <w:t xml:space="preserve"> (</w:t>
      </w:r>
      <w:r w:rsidRPr="00F3654E">
        <w:rPr>
          <w:rStyle w:val="EndnoteReference"/>
          <w:vertAlign w:val="baseline"/>
        </w:rPr>
        <w:endnoteReference w:id="46"/>
      </w:r>
      <w:r w:rsidRPr="00F3654E">
        <w:rPr>
          <w:rFonts w:cs="Calibri"/>
        </w:rPr>
        <w:t>,</w:t>
      </w:r>
      <w:r w:rsidRPr="00F3654E">
        <w:rPr>
          <w:rStyle w:val="EndnoteReference"/>
          <w:rFonts w:cs="Calibri"/>
          <w:vertAlign w:val="baseline"/>
        </w:rPr>
        <w:endnoteReference w:id="47"/>
      </w:r>
      <w:r w:rsidR="00F3654E">
        <w:rPr>
          <w:rFonts w:cs="Calibri"/>
        </w:rPr>
        <w:t>)</w:t>
      </w:r>
      <w:r w:rsidRPr="002A3AAE">
        <w:rPr>
          <w:rFonts w:cs="Calibri"/>
        </w:rPr>
        <w:t xml:space="preserve">. This leads to a compound effect on BMI where weight is the numerator and height </w:t>
      </w:r>
      <w:r>
        <w:rPr>
          <w:rFonts w:cs="Calibri"/>
        </w:rPr>
        <w:t xml:space="preserve">squared </w:t>
      </w:r>
      <w:r w:rsidRPr="002A3AAE">
        <w:rPr>
          <w:rFonts w:cs="Calibri"/>
        </w:rPr>
        <w:t>the denominator. The extent of underreporting of weight has been shown to increase with increasing measured weight</w:t>
      </w:r>
      <w:bookmarkStart w:id="34" w:name="_Ref340048312"/>
      <w:r w:rsidR="00F3654E">
        <w:rPr>
          <w:rFonts w:cs="Calibri"/>
        </w:rPr>
        <w:t xml:space="preserve"> (</w:t>
      </w:r>
      <w:r w:rsidRPr="00F3654E">
        <w:rPr>
          <w:rStyle w:val="EndnoteReference"/>
          <w:rFonts w:cs="Calibri"/>
          <w:vertAlign w:val="baseline"/>
        </w:rPr>
        <w:endnoteReference w:id="48"/>
      </w:r>
      <w:bookmarkEnd w:id="34"/>
      <w:r w:rsidR="00F3654E">
        <w:rPr>
          <w:rFonts w:cs="Calibri"/>
        </w:rPr>
        <w:t>)</w:t>
      </w:r>
      <w:r w:rsidRPr="002A3AAE">
        <w:rPr>
          <w:rFonts w:cs="Calibri"/>
        </w:rPr>
        <w:t xml:space="preserve">. This could markedly bring down obesity figures if self-report were used rather than measurement data. </w:t>
      </w:r>
      <w:r w:rsidR="00786A4D">
        <w:rPr>
          <w:rFonts w:cs="Calibri"/>
        </w:rPr>
        <w:t>Although regula</w:t>
      </w:r>
      <w:r w:rsidR="00D27BA0">
        <w:rPr>
          <w:rFonts w:cs="Calibri"/>
        </w:rPr>
        <w:t>r health interview surveys</w:t>
      </w:r>
      <w:r w:rsidR="00786A4D">
        <w:rPr>
          <w:rFonts w:cs="Calibri"/>
        </w:rPr>
        <w:t xml:space="preserve"> have highlighted the</w:t>
      </w:r>
      <w:r w:rsidR="00A46A6B">
        <w:rPr>
          <w:rFonts w:cs="Calibri"/>
        </w:rPr>
        <w:t xml:space="preserve"> rise in obesity, studies</w:t>
      </w:r>
      <w:r w:rsidR="00786A4D">
        <w:rPr>
          <w:rFonts w:cs="Calibri"/>
        </w:rPr>
        <w:t xml:space="preserve"> have found </w:t>
      </w:r>
      <w:r w:rsidR="00786A4D" w:rsidRPr="002A3AAE">
        <w:rPr>
          <w:rFonts w:cs="Calibri"/>
        </w:rPr>
        <w:t xml:space="preserve">that the differential between self-reported and measured height and weight in the same population </w:t>
      </w:r>
      <w:r w:rsidR="00786A4D">
        <w:rPr>
          <w:rFonts w:cs="Calibri"/>
        </w:rPr>
        <w:t>has increased over time</w:t>
      </w:r>
      <w:r w:rsidR="00786A4D" w:rsidRPr="002A3AAE">
        <w:rPr>
          <w:rFonts w:cs="Calibri"/>
        </w:rPr>
        <w:t xml:space="preserve">. Both Irish and Canadian data supports this suggestion, finding that inaccuracy </w:t>
      </w:r>
      <w:r w:rsidR="00A46A6B">
        <w:rPr>
          <w:rFonts w:cs="Calibri"/>
        </w:rPr>
        <w:t xml:space="preserve">in self-report </w:t>
      </w:r>
      <w:r w:rsidR="00786A4D" w:rsidRPr="002A3AAE">
        <w:rPr>
          <w:rFonts w:cs="Calibri"/>
        </w:rPr>
        <w:t xml:space="preserve">has increased. However, Swiss and </w:t>
      </w:r>
      <w:proofErr w:type="gramStart"/>
      <w:r w:rsidR="00786A4D" w:rsidRPr="002A3AAE">
        <w:rPr>
          <w:rFonts w:cs="Calibri"/>
        </w:rPr>
        <w:t>US</w:t>
      </w:r>
      <w:proofErr w:type="gramEnd"/>
      <w:r w:rsidR="00786A4D" w:rsidRPr="002A3AAE">
        <w:rPr>
          <w:rFonts w:cs="Calibri"/>
        </w:rPr>
        <w:t xml:space="preserve"> data have found that the degree of inaccuracy has remained constant over time</w:t>
      </w:r>
      <w:r w:rsidR="00786A4D">
        <w:rPr>
          <w:rFonts w:cs="Calibri"/>
        </w:rPr>
        <w:t xml:space="preserve"> (</w:t>
      </w:r>
      <w:r w:rsidR="00786A4D" w:rsidRPr="00F3654E">
        <w:fldChar w:fldCharType="begin"/>
      </w:r>
      <w:r w:rsidR="00786A4D" w:rsidRPr="00F3654E">
        <w:instrText xml:space="preserve"> NOTEREF _Ref340048312 \h  \* MERGEFORMAT </w:instrText>
      </w:r>
      <w:r w:rsidR="00786A4D" w:rsidRPr="00F3654E">
        <w:fldChar w:fldCharType="separate"/>
      </w:r>
      <w:r w:rsidR="009462C5" w:rsidRPr="009462C5">
        <w:rPr>
          <w:rFonts w:cs="Calibri"/>
        </w:rPr>
        <w:t>47</w:t>
      </w:r>
      <w:r w:rsidR="00786A4D" w:rsidRPr="00F3654E">
        <w:fldChar w:fldCharType="end"/>
      </w:r>
      <w:r w:rsidR="00786A4D">
        <w:t>)</w:t>
      </w:r>
      <w:r w:rsidR="00786A4D" w:rsidRPr="002A3AAE">
        <w:rPr>
          <w:rFonts w:cs="Calibri"/>
        </w:rPr>
        <w:t>.</w:t>
      </w:r>
      <w:r w:rsidR="00786A4D">
        <w:rPr>
          <w:rFonts w:cs="Calibri"/>
        </w:rPr>
        <w:t xml:space="preserve"> Without knowing how the population’s self-report changes over time, trend data based on self-report becomes difficult to interpret. </w:t>
      </w:r>
      <w:r w:rsidRPr="002A3AAE">
        <w:rPr>
          <w:rFonts w:cs="Calibri"/>
        </w:rPr>
        <w:t xml:space="preserve">Without measured height and weight data, it may have been that the </w:t>
      </w:r>
      <w:r w:rsidR="00786A4D">
        <w:rPr>
          <w:rFonts w:cs="Calibri"/>
        </w:rPr>
        <w:t xml:space="preserve">extent of the </w:t>
      </w:r>
      <w:r w:rsidRPr="002A3AAE">
        <w:rPr>
          <w:rFonts w:cs="Calibri"/>
        </w:rPr>
        <w:t>problem of obesity was never highlighted to government</w:t>
      </w:r>
      <w:r w:rsidR="00D8459F">
        <w:rPr>
          <w:rFonts w:cs="Calibri"/>
        </w:rPr>
        <w:t xml:space="preserve"> as of top priority</w:t>
      </w:r>
      <w:r w:rsidRPr="002A3AAE">
        <w:rPr>
          <w:rFonts w:cs="Calibri"/>
        </w:rPr>
        <w:t>, with Britain appearing further down world rankings, and less shocking statistics to present when urging action.</w:t>
      </w:r>
    </w:p>
    <w:p w14:paraId="2CB2BFF1" w14:textId="77777777" w:rsidR="00E3073B" w:rsidRPr="002A3AAE" w:rsidRDefault="00E3073B" w:rsidP="00A10EAE">
      <w:pPr>
        <w:pStyle w:val="NoSpacing"/>
        <w:contextualSpacing/>
        <w:jc w:val="both"/>
        <w:rPr>
          <w:rFonts w:cs="Calibri"/>
        </w:rPr>
      </w:pPr>
    </w:p>
    <w:p w14:paraId="607A43D6" w14:textId="0830F2B6" w:rsidR="00E3073B" w:rsidRPr="002A3AAE" w:rsidRDefault="00E3073B" w:rsidP="00A10EAE">
      <w:pPr>
        <w:spacing w:after="0" w:line="240" w:lineRule="auto"/>
        <w:contextualSpacing/>
        <w:jc w:val="both"/>
        <w:rPr>
          <w:rFonts w:cs="Calibri"/>
        </w:rPr>
      </w:pPr>
      <w:r w:rsidRPr="002A3AAE">
        <w:rPr>
          <w:rFonts w:cs="Calibri"/>
          <w:lang w:eastAsia="en-GB"/>
        </w:rPr>
        <w:t>In addition, with self-reported data, inequalities data would be difficult to interpret. Those from different socio-economic backgrounds or with different levels of education differ in the extent to which their self-reported heights and weights vary from measured heights and weights</w:t>
      </w:r>
      <w:r w:rsidR="00F3654E">
        <w:rPr>
          <w:rFonts w:cs="Calibri"/>
          <w:lang w:eastAsia="en-GB"/>
        </w:rPr>
        <w:t xml:space="preserve"> (</w:t>
      </w:r>
      <w:r w:rsidR="002A377D" w:rsidRPr="00F3654E">
        <w:fldChar w:fldCharType="begin"/>
      </w:r>
      <w:r w:rsidR="002A377D" w:rsidRPr="00F3654E">
        <w:instrText xml:space="preserve"> NOTEREF _Ref340048312 \h  \* MERGEFORMAT </w:instrText>
      </w:r>
      <w:r w:rsidR="002A377D" w:rsidRPr="00F3654E">
        <w:fldChar w:fldCharType="separate"/>
      </w:r>
      <w:r w:rsidR="009462C5" w:rsidRPr="00BC0203">
        <w:rPr>
          <w:rFonts w:cs="Calibri"/>
          <w:lang w:eastAsia="en-GB"/>
        </w:rPr>
        <w:t>47</w:t>
      </w:r>
      <w:r w:rsidR="002A377D" w:rsidRPr="00F3654E">
        <w:fldChar w:fldCharType="end"/>
      </w:r>
      <w:r w:rsidR="00F3654E">
        <w:t>)</w:t>
      </w:r>
      <w:r w:rsidRPr="002A3AAE">
        <w:rPr>
          <w:rFonts w:cs="Calibri"/>
        </w:rPr>
        <w:t>.  Different age groups also have different degrees of inaccuracy in their reporting of the data, meaning that identification of target age groups would be compromised</w:t>
      </w:r>
      <w:r w:rsidR="00F3654E">
        <w:rPr>
          <w:rFonts w:cs="Calibri"/>
        </w:rPr>
        <w:t xml:space="preserve"> (</w:t>
      </w:r>
      <w:r w:rsidR="002A377D" w:rsidRPr="00F3654E">
        <w:fldChar w:fldCharType="begin"/>
      </w:r>
      <w:r w:rsidR="002A377D" w:rsidRPr="00F3654E">
        <w:instrText xml:space="preserve"> NOTEREF _Ref340048312 \h  \* MERGEFORMAT </w:instrText>
      </w:r>
      <w:r w:rsidR="002A377D" w:rsidRPr="00F3654E">
        <w:fldChar w:fldCharType="separate"/>
      </w:r>
      <w:r w:rsidR="009462C5" w:rsidRPr="009462C5">
        <w:rPr>
          <w:rFonts w:cs="Calibri"/>
        </w:rPr>
        <w:t>47</w:t>
      </w:r>
      <w:r w:rsidR="002A377D" w:rsidRPr="00F3654E">
        <w:fldChar w:fldCharType="end"/>
      </w:r>
      <w:r w:rsidR="00F3654E">
        <w:t>)</w:t>
      </w:r>
      <w:r w:rsidRPr="002A3AAE">
        <w:rPr>
          <w:rFonts w:cs="Calibri"/>
        </w:rPr>
        <w:t>.  The discrepancies between self-report and measured data are greatest in those who are obese, of lower socio-economic position or are older.</w:t>
      </w:r>
    </w:p>
    <w:p w14:paraId="2672D84D" w14:textId="77777777" w:rsidR="00E3073B" w:rsidRPr="002A3AAE" w:rsidRDefault="00E3073B" w:rsidP="00A10EAE">
      <w:pPr>
        <w:pStyle w:val="NoSpacing"/>
        <w:contextualSpacing/>
        <w:jc w:val="both"/>
        <w:rPr>
          <w:rFonts w:cs="Calibri"/>
        </w:rPr>
      </w:pPr>
    </w:p>
    <w:p w14:paraId="1EE0D286" w14:textId="6679C425" w:rsidR="00E3073B" w:rsidRDefault="00E3073B" w:rsidP="0003530F">
      <w:pPr>
        <w:pStyle w:val="NoSpacing"/>
        <w:contextualSpacing/>
        <w:jc w:val="both"/>
        <w:rPr>
          <w:rFonts w:cs="Calibri"/>
        </w:rPr>
      </w:pPr>
      <w:r w:rsidRPr="002A3AAE">
        <w:rPr>
          <w:rFonts w:cs="Calibri"/>
        </w:rPr>
        <w:t xml:space="preserve">Table 2 shows the difference in self-reported and measured data on obesity prevalence from around the world. </w:t>
      </w:r>
      <w:r w:rsidR="00324F93">
        <w:rPr>
          <w:rFonts w:cs="Calibri"/>
        </w:rPr>
        <w:t>In the ten</w:t>
      </w:r>
      <w:r w:rsidRPr="002A3AAE">
        <w:rPr>
          <w:rFonts w:cs="Calibri"/>
        </w:rPr>
        <w:t xml:space="preserve"> countries </w:t>
      </w:r>
      <w:r w:rsidR="00324F93">
        <w:rPr>
          <w:rFonts w:cs="Calibri"/>
        </w:rPr>
        <w:t>with</w:t>
      </w:r>
      <w:r w:rsidRPr="002A3AAE">
        <w:rPr>
          <w:rFonts w:cs="Calibri"/>
        </w:rPr>
        <w:t xml:space="preserve"> both self-report and measured data recorded, the measured data is up to 52% higher than the self-report</w:t>
      </w:r>
      <w:r w:rsidR="006C5BF1">
        <w:rPr>
          <w:rFonts w:cs="Calibri"/>
        </w:rPr>
        <w:t>. Although it may be the case that there are differences in the settings in which the self-reported and measured data are taken</w:t>
      </w:r>
      <w:r w:rsidR="00FD59C8">
        <w:rPr>
          <w:rFonts w:cs="Calibri"/>
        </w:rPr>
        <w:t>,</w:t>
      </w:r>
      <w:r w:rsidR="006C5BF1">
        <w:rPr>
          <w:rFonts w:cs="Calibri"/>
        </w:rPr>
        <w:t xml:space="preserve"> the consistent underestimate provided by self-report against the measured prevalence demonstrates robustly that self-report diminishes the scale of the problem.</w:t>
      </w:r>
      <w:r w:rsidRPr="002A3AAE">
        <w:rPr>
          <w:rFonts w:cs="Calibri"/>
        </w:rPr>
        <w:t xml:space="preserve"> </w:t>
      </w:r>
      <w:r w:rsidR="006C5BF1">
        <w:rPr>
          <w:rFonts w:cs="Calibri"/>
        </w:rPr>
        <w:t>T</w:t>
      </w:r>
      <w:r w:rsidRPr="002A3AAE">
        <w:rPr>
          <w:rFonts w:cs="Calibri"/>
        </w:rPr>
        <w:t xml:space="preserve">he smallest degree of inaccuracy through self-report </w:t>
      </w:r>
      <w:r w:rsidR="00F3654E">
        <w:rPr>
          <w:rFonts w:cs="Calibri"/>
        </w:rPr>
        <w:t>results</w:t>
      </w:r>
      <w:r w:rsidRPr="002A3AAE">
        <w:rPr>
          <w:rFonts w:cs="Calibri"/>
        </w:rPr>
        <w:t xml:space="preserve"> in an 11% difference between self-report and measured prevalence</w:t>
      </w:r>
      <w:r>
        <w:rPr>
          <w:rFonts w:cs="Calibri"/>
        </w:rPr>
        <w:t>, with</w:t>
      </w:r>
      <w:r w:rsidRPr="002A3AAE">
        <w:rPr>
          <w:rFonts w:cs="Calibri"/>
        </w:rPr>
        <w:t xml:space="preserve"> the average inaccuracy being 28%.</w:t>
      </w:r>
      <w:r w:rsidR="00334A08">
        <w:rPr>
          <w:rFonts w:cs="Calibri"/>
        </w:rPr>
        <w:t xml:space="preserve"> Rankings among the countries are greatly affected by whether they use measured or self-reported data. For example, Chile is ranked 6</w:t>
      </w:r>
      <w:r w:rsidR="00334A08" w:rsidRPr="00334A08">
        <w:rPr>
          <w:rFonts w:cs="Calibri"/>
          <w:vertAlign w:val="superscript"/>
        </w:rPr>
        <w:t>th</w:t>
      </w:r>
      <w:r w:rsidR="00334A08">
        <w:rPr>
          <w:rFonts w:cs="Calibri"/>
        </w:rPr>
        <w:t xml:space="preserve"> </w:t>
      </w:r>
      <w:r w:rsidR="00FD59C8">
        <w:rPr>
          <w:rFonts w:cs="Calibri"/>
        </w:rPr>
        <w:t xml:space="preserve">lowest </w:t>
      </w:r>
      <w:r w:rsidR="00334A08">
        <w:rPr>
          <w:rFonts w:cs="Calibri"/>
        </w:rPr>
        <w:t>of the countries with self-reported data</w:t>
      </w:r>
      <w:r w:rsidR="006C5BF1">
        <w:rPr>
          <w:rFonts w:cs="Calibri"/>
        </w:rPr>
        <w:t>;</w:t>
      </w:r>
      <w:r w:rsidR="00334A08">
        <w:rPr>
          <w:rFonts w:cs="Calibri"/>
        </w:rPr>
        <w:t xml:space="preserve"> however when measured data is taken into account it is ranked 29</w:t>
      </w:r>
      <w:r w:rsidR="00334A08" w:rsidRPr="00334A08">
        <w:rPr>
          <w:rFonts w:cs="Calibri"/>
          <w:vertAlign w:val="superscript"/>
        </w:rPr>
        <w:t>th</w:t>
      </w:r>
      <w:r w:rsidR="00334A08">
        <w:rPr>
          <w:rFonts w:cs="Calibri"/>
        </w:rPr>
        <w:t xml:space="preserve"> out of the 34 countries</w:t>
      </w:r>
      <w:r w:rsidR="00FD59C8">
        <w:rPr>
          <w:rFonts w:cs="Calibri"/>
        </w:rPr>
        <w:t>, i.e. 6</w:t>
      </w:r>
      <w:r w:rsidR="00FD59C8" w:rsidRPr="00FD59C8">
        <w:rPr>
          <w:rFonts w:cs="Calibri"/>
          <w:vertAlign w:val="superscript"/>
        </w:rPr>
        <w:t>th</w:t>
      </w:r>
      <w:r w:rsidR="00FD59C8">
        <w:rPr>
          <w:rFonts w:cs="Calibri"/>
        </w:rPr>
        <w:t xml:space="preserve"> highest</w:t>
      </w:r>
      <w:r w:rsidR="00334A08">
        <w:rPr>
          <w:rFonts w:cs="Calibri"/>
        </w:rPr>
        <w:t>.</w:t>
      </w:r>
    </w:p>
    <w:p w14:paraId="31F91C46" w14:textId="77777777" w:rsidR="004B7F38" w:rsidRDefault="004B7F38" w:rsidP="0003530F">
      <w:pPr>
        <w:pStyle w:val="NoSpacing"/>
        <w:contextualSpacing/>
        <w:jc w:val="both"/>
        <w:rPr>
          <w:rFonts w:cs="Calibri"/>
        </w:rPr>
      </w:pPr>
    </w:p>
    <w:p w14:paraId="3CBE68BF" w14:textId="6866A26B" w:rsidR="004B7F38" w:rsidRPr="002A3AAE" w:rsidRDefault="00F3654E" w:rsidP="0003530F">
      <w:pPr>
        <w:pStyle w:val="NoSpacing"/>
        <w:contextualSpacing/>
        <w:jc w:val="both"/>
        <w:rPr>
          <w:rFonts w:cs="Calibri"/>
        </w:rPr>
      </w:pPr>
      <w:r>
        <w:rPr>
          <w:rFonts w:cs="Calibri"/>
        </w:rPr>
        <w:t>Having discussed limitations of other data</w:t>
      </w:r>
      <w:r w:rsidR="00FD59C8">
        <w:rPr>
          <w:rFonts w:cs="Calibri"/>
        </w:rPr>
        <w:t xml:space="preserve"> </w:t>
      </w:r>
      <w:r>
        <w:rPr>
          <w:rFonts w:cs="Calibri"/>
        </w:rPr>
        <w:t>sources</w:t>
      </w:r>
      <w:r w:rsidR="00FD59C8">
        <w:rPr>
          <w:rFonts w:cs="Calibri"/>
        </w:rPr>
        <w:t>,</w:t>
      </w:r>
      <w:r>
        <w:rPr>
          <w:rFonts w:cs="Calibri"/>
        </w:rPr>
        <w:t xml:space="preserve"> it is important to note that h</w:t>
      </w:r>
      <w:r w:rsidR="004B7F38">
        <w:rPr>
          <w:rFonts w:cs="Calibri"/>
        </w:rPr>
        <w:t>eight and weight measurements are not available from all Health Survey for England participants, with an increasing refusal rate over the past 10 years. If, as is likely, a disproportionate number of those not measured have a higher BMI, the Health Survey for</w:t>
      </w:r>
      <w:r>
        <w:rPr>
          <w:rFonts w:cs="Calibri"/>
        </w:rPr>
        <w:t xml:space="preserve"> England data will have</w:t>
      </w:r>
      <w:r w:rsidR="004B7F38">
        <w:rPr>
          <w:rFonts w:cs="Calibri"/>
        </w:rPr>
        <w:t xml:space="preserve"> underes</w:t>
      </w:r>
      <w:r>
        <w:rPr>
          <w:rFonts w:cs="Calibri"/>
        </w:rPr>
        <w:t>timated obesity prevalence</w:t>
      </w:r>
      <w:r w:rsidR="004B7F38">
        <w:rPr>
          <w:rFonts w:cs="Calibri"/>
        </w:rPr>
        <w:t>.</w:t>
      </w:r>
      <w:r w:rsidR="00B53782">
        <w:rPr>
          <w:rFonts w:cs="Calibri"/>
        </w:rPr>
        <w:t xml:space="preserve"> In addition to bias, reduced sample size may result in insufficient power to detect all the factors associated with obesity.</w:t>
      </w:r>
      <w:r w:rsidR="00324F93">
        <w:rPr>
          <w:rFonts w:cs="Calibri"/>
        </w:rPr>
        <w:t xml:space="preserve"> In Japan, the survey rules allow for self-report where measurements are refused, although this option is rarely taken (</w:t>
      </w:r>
      <w:r w:rsidR="00324F93">
        <w:rPr>
          <w:rFonts w:cs="Calibri"/>
        </w:rPr>
        <w:fldChar w:fldCharType="begin"/>
      </w:r>
      <w:r w:rsidR="00324F93">
        <w:rPr>
          <w:rFonts w:cs="Calibri"/>
        </w:rPr>
        <w:instrText xml:space="preserve"> NOTEREF _Ref345061490 \h </w:instrText>
      </w:r>
      <w:r w:rsidR="00324F93">
        <w:rPr>
          <w:rFonts w:cs="Calibri"/>
        </w:rPr>
      </w:r>
      <w:r w:rsidR="00324F93">
        <w:rPr>
          <w:rFonts w:cs="Calibri"/>
        </w:rPr>
        <w:fldChar w:fldCharType="separate"/>
      </w:r>
      <w:r w:rsidR="009462C5">
        <w:rPr>
          <w:rFonts w:cs="Calibri"/>
        </w:rPr>
        <w:t>5</w:t>
      </w:r>
      <w:r w:rsidR="00324F93">
        <w:rPr>
          <w:rFonts w:cs="Calibri"/>
        </w:rPr>
        <w:fldChar w:fldCharType="end"/>
      </w:r>
      <w:r w:rsidR="00324F93">
        <w:rPr>
          <w:rFonts w:cs="Calibri"/>
        </w:rPr>
        <w:t>).</w:t>
      </w:r>
    </w:p>
    <w:p w14:paraId="6FC52D84" w14:textId="77777777" w:rsidR="00E3073B" w:rsidRDefault="00E3073B" w:rsidP="00A10EAE">
      <w:pPr>
        <w:pStyle w:val="Heading3"/>
        <w:spacing w:before="0" w:after="0" w:line="240" w:lineRule="auto"/>
        <w:contextualSpacing/>
        <w:jc w:val="both"/>
        <w:rPr>
          <w:rFonts w:cs="Calibri"/>
        </w:rPr>
      </w:pPr>
    </w:p>
    <w:p w14:paraId="7A7021C0" w14:textId="50A4B2BE" w:rsidR="00E3073B" w:rsidRPr="002A3AAE" w:rsidRDefault="00A54833" w:rsidP="00A10EAE">
      <w:pPr>
        <w:pStyle w:val="Heading3"/>
        <w:spacing w:before="0" w:after="0" w:line="240" w:lineRule="auto"/>
        <w:contextualSpacing/>
        <w:jc w:val="both"/>
        <w:rPr>
          <w:rFonts w:cs="Calibri"/>
        </w:rPr>
      </w:pPr>
      <w:r>
        <w:rPr>
          <w:rFonts w:cs="Calibri"/>
        </w:rPr>
        <w:t>3.</w:t>
      </w:r>
      <w:r w:rsidR="00963157">
        <w:rPr>
          <w:rFonts w:cs="Calibri"/>
        </w:rPr>
        <w:t>4</w:t>
      </w:r>
      <w:r w:rsidR="00E3073B">
        <w:rPr>
          <w:rFonts w:cs="Calibri"/>
        </w:rPr>
        <w:t xml:space="preserve"> </w:t>
      </w:r>
      <w:r w:rsidR="005C10A9">
        <w:rPr>
          <w:rFonts w:cs="Calibri"/>
        </w:rPr>
        <w:t>Further use of the</w:t>
      </w:r>
      <w:r w:rsidR="00E3073B" w:rsidRPr="002A3AAE">
        <w:rPr>
          <w:rFonts w:cs="Calibri"/>
        </w:rPr>
        <w:t xml:space="preserve"> Health Survey for England</w:t>
      </w:r>
      <w:r w:rsidR="005C10A9">
        <w:rPr>
          <w:rFonts w:cs="Calibri"/>
        </w:rPr>
        <w:t xml:space="preserve"> in Obesity Policy</w:t>
      </w:r>
    </w:p>
    <w:p w14:paraId="3ACBCC3E" w14:textId="77777777" w:rsidR="00E3073B" w:rsidRDefault="00E3073B" w:rsidP="00A10EAE">
      <w:pPr>
        <w:pStyle w:val="NoSpacing"/>
        <w:contextualSpacing/>
        <w:jc w:val="both"/>
        <w:rPr>
          <w:rFonts w:cs="Calibri"/>
        </w:rPr>
      </w:pPr>
    </w:p>
    <w:p w14:paraId="37674C5A" w14:textId="596A0D7F" w:rsidR="00FD59C8" w:rsidRDefault="00E3073B" w:rsidP="0003530F">
      <w:pPr>
        <w:pStyle w:val="NoSpacing"/>
        <w:contextualSpacing/>
        <w:jc w:val="both"/>
        <w:rPr>
          <w:rFonts w:cs="Calibri"/>
        </w:rPr>
      </w:pPr>
      <w:r w:rsidRPr="002A3AAE">
        <w:rPr>
          <w:rFonts w:cs="Calibri"/>
        </w:rPr>
        <w:t xml:space="preserve">Wilkinson </w:t>
      </w:r>
      <w:r w:rsidRPr="00BC77EE">
        <w:rPr>
          <w:i/>
        </w:rPr>
        <w:t>et al</w:t>
      </w:r>
      <w:r w:rsidRPr="002A3AAE">
        <w:rPr>
          <w:rFonts w:cs="Calibri"/>
        </w:rPr>
        <w:t xml:space="preserve"> suggested a minimum core dataset which should be measured for obesity surveillance</w:t>
      </w:r>
      <w:r w:rsidR="00D2016D">
        <w:rPr>
          <w:rFonts w:cs="Calibri"/>
        </w:rPr>
        <w:t xml:space="preserve"> (</w:t>
      </w:r>
      <w:r w:rsidRPr="00D2016D">
        <w:fldChar w:fldCharType="begin"/>
      </w:r>
      <w:r w:rsidRPr="00D2016D">
        <w:instrText xml:space="preserve"> NOTEREF _Ref339976575 \h  \* MERGEFORMAT </w:instrText>
      </w:r>
      <w:r w:rsidRPr="00D2016D">
        <w:fldChar w:fldCharType="separate"/>
      </w:r>
      <w:r w:rsidR="009462C5">
        <w:t>2</w:t>
      </w:r>
      <w:r w:rsidRPr="00D2016D">
        <w:fldChar w:fldCharType="end"/>
      </w:r>
      <w:r w:rsidR="00D2016D">
        <w:t>)</w:t>
      </w:r>
      <w:r w:rsidRPr="002A3AAE">
        <w:rPr>
          <w:rFonts w:cs="Calibri"/>
        </w:rPr>
        <w:t xml:space="preserve">. These authors noted problems with BMI for classification of obesity in some ethnic groups, the elderly, extreme athletes or people with particular disabilities.  They therefore suggest prevalence indicators should include measured height, weight and waist circumference. In fact, waist circumference and waist to hip ratio are both </w:t>
      </w:r>
      <w:r>
        <w:rPr>
          <w:rFonts w:cs="Calibri"/>
        </w:rPr>
        <w:t>obtained</w:t>
      </w:r>
      <w:r w:rsidRPr="002A3AAE">
        <w:rPr>
          <w:rFonts w:cs="Calibri"/>
        </w:rPr>
        <w:t xml:space="preserve"> as part of the Health Survey for England</w:t>
      </w:r>
      <w:r>
        <w:rPr>
          <w:rFonts w:cs="Calibri"/>
        </w:rPr>
        <w:t xml:space="preserve"> measurements</w:t>
      </w:r>
      <w:r w:rsidRPr="002A3AAE">
        <w:rPr>
          <w:rFonts w:cs="Calibri"/>
        </w:rPr>
        <w:t xml:space="preserve">, however similar work to </w:t>
      </w:r>
      <w:r>
        <w:rPr>
          <w:rFonts w:cs="Calibri"/>
        </w:rPr>
        <w:t>that</w:t>
      </w:r>
      <w:r w:rsidRPr="002A3AAE">
        <w:rPr>
          <w:rFonts w:cs="Calibri"/>
        </w:rPr>
        <w:t xml:space="preserve"> presented here examining height and weight data found limited use of waist circumference and waist to hip ratio in government documents. </w:t>
      </w:r>
      <w:r w:rsidR="000A7E5B">
        <w:rPr>
          <w:rFonts w:cs="Calibri"/>
        </w:rPr>
        <w:t>There is scope for increased use of these additional measurements in policy work</w:t>
      </w:r>
      <w:r w:rsidR="00FD59C8">
        <w:rPr>
          <w:rFonts w:cs="Calibri"/>
        </w:rPr>
        <w:t>, particularly given the burgeoning of evidence showing that for most obesity-related diseases, central obesity is more importan</w:t>
      </w:r>
      <w:r w:rsidR="00BC77EE">
        <w:rPr>
          <w:rFonts w:cs="Calibri"/>
        </w:rPr>
        <w:t>t than generalised obesity (</w:t>
      </w:r>
      <w:r w:rsidR="00BC77EE" w:rsidRPr="00BC77EE">
        <w:rPr>
          <w:rStyle w:val="EndnoteReference"/>
          <w:vertAlign w:val="baseline"/>
        </w:rPr>
        <w:endnoteReference w:id="49"/>
      </w:r>
      <w:r w:rsidR="00FD59C8">
        <w:rPr>
          <w:rFonts w:cs="Calibri"/>
        </w:rPr>
        <w:t>)</w:t>
      </w:r>
      <w:r w:rsidR="000A7E5B">
        <w:rPr>
          <w:rFonts w:cs="Calibri"/>
        </w:rPr>
        <w:t xml:space="preserve">. </w:t>
      </w:r>
      <w:r w:rsidR="00FD59C8">
        <w:rPr>
          <w:rFonts w:cs="Calibri"/>
        </w:rPr>
        <w:t>The extent to which the continued policy focus on BMI</w:t>
      </w:r>
      <w:r w:rsidR="00A879F7">
        <w:rPr>
          <w:rFonts w:cs="Calibri"/>
        </w:rPr>
        <w:t xml:space="preserve"> reflects a lack of awareness of the importance of abdominal obesity among decision-makers or the greater difficulty in measuring waist circumference accurately</w:t>
      </w:r>
      <w:r w:rsidR="00BC77EE">
        <w:rPr>
          <w:rFonts w:cs="Calibri"/>
        </w:rPr>
        <w:t xml:space="preserve"> (</w:t>
      </w:r>
      <w:r w:rsidR="00BC77EE" w:rsidRPr="00BC77EE">
        <w:rPr>
          <w:rStyle w:val="EndnoteReference"/>
          <w:vertAlign w:val="baseline"/>
        </w:rPr>
        <w:endnoteReference w:id="50"/>
      </w:r>
      <w:r w:rsidR="00BC77EE">
        <w:rPr>
          <w:rFonts w:cs="Calibri"/>
        </w:rPr>
        <w:t>,</w:t>
      </w:r>
      <w:r w:rsidR="00BC77EE" w:rsidRPr="00B0727A">
        <w:rPr>
          <w:rStyle w:val="EndnoteReference"/>
          <w:vertAlign w:val="baseline"/>
        </w:rPr>
        <w:endnoteReference w:id="51"/>
      </w:r>
      <w:r w:rsidR="00BC77EE">
        <w:rPr>
          <w:rFonts w:cs="Calibri"/>
        </w:rPr>
        <w:t>)</w:t>
      </w:r>
      <w:r w:rsidR="00A879F7">
        <w:rPr>
          <w:rFonts w:cs="Calibri"/>
        </w:rPr>
        <w:t>, particularly by untrained staff, (or agreeing which of several definitions should be used) is not known.</w:t>
      </w:r>
    </w:p>
    <w:p w14:paraId="10E8ECC5" w14:textId="77777777" w:rsidR="00FD59C8" w:rsidRDefault="00FD59C8" w:rsidP="0003530F">
      <w:pPr>
        <w:pStyle w:val="NoSpacing"/>
        <w:contextualSpacing/>
        <w:jc w:val="both"/>
        <w:rPr>
          <w:rFonts w:cs="Calibri"/>
        </w:rPr>
      </w:pPr>
    </w:p>
    <w:p w14:paraId="52CFED66" w14:textId="64AE131E" w:rsidR="00E3073B" w:rsidRPr="002A3AAE" w:rsidRDefault="00BA3BC1" w:rsidP="0003530F">
      <w:pPr>
        <w:pStyle w:val="NoSpacing"/>
        <w:contextualSpacing/>
        <w:jc w:val="both"/>
        <w:rPr>
          <w:rFonts w:cs="Calibri"/>
        </w:rPr>
      </w:pPr>
      <w:r>
        <w:rPr>
          <w:rFonts w:cs="Calibri"/>
        </w:rPr>
        <w:t>T</w:t>
      </w:r>
      <w:r w:rsidR="00E3073B" w:rsidRPr="002A3AAE">
        <w:rPr>
          <w:rFonts w:cs="Calibri"/>
        </w:rPr>
        <w:t xml:space="preserve">here were no instances found of </w:t>
      </w:r>
      <w:r w:rsidR="00E3073B">
        <w:rPr>
          <w:rFonts w:cs="Calibri"/>
        </w:rPr>
        <w:t>mid-</w:t>
      </w:r>
      <w:r w:rsidR="00E3073B" w:rsidRPr="002A3AAE">
        <w:rPr>
          <w:rFonts w:cs="Calibri"/>
        </w:rPr>
        <w:t>upper arm circumference or demi-span being referenced in government documents</w:t>
      </w:r>
      <w:r w:rsidR="00A879F7">
        <w:rPr>
          <w:rFonts w:cs="Calibri"/>
        </w:rPr>
        <w:t>;</w:t>
      </w:r>
      <w:r w:rsidR="000A7E5B">
        <w:rPr>
          <w:rFonts w:cs="Calibri"/>
        </w:rPr>
        <w:t xml:space="preserve"> these measures have not been included in recent years, increasing efficiency of the survey</w:t>
      </w:r>
      <w:r w:rsidR="00E3073B" w:rsidRPr="002A3AAE">
        <w:rPr>
          <w:rFonts w:cs="Calibri"/>
        </w:rPr>
        <w:t>.</w:t>
      </w:r>
      <w:r w:rsidR="00603786">
        <w:rPr>
          <w:rFonts w:cs="Calibri"/>
        </w:rPr>
        <w:t xml:space="preserve"> </w:t>
      </w:r>
      <w:r w:rsidR="00880448">
        <w:rPr>
          <w:rFonts w:cs="Calibri"/>
        </w:rPr>
        <w:t>A f</w:t>
      </w:r>
      <w:r w:rsidR="00D27BA0">
        <w:rPr>
          <w:rFonts w:cs="Calibri"/>
        </w:rPr>
        <w:t xml:space="preserve">ull </w:t>
      </w:r>
      <w:r w:rsidR="00880448">
        <w:rPr>
          <w:rFonts w:cs="Calibri"/>
        </w:rPr>
        <w:t>economic evaluation</w:t>
      </w:r>
      <w:r w:rsidR="00D27BA0">
        <w:rPr>
          <w:rFonts w:cs="Calibri"/>
        </w:rPr>
        <w:t xml:space="preserve"> of the Health Survey for England is currently being conducted.</w:t>
      </w:r>
    </w:p>
    <w:p w14:paraId="0DD345DD" w14:textId="77777777" w:rsidR="00E3073B" w:rsidRPr="002A3AAE" w:rsidRDefault="00E3073B" w:rsidP="00A10EAE">
      <w:pPr>
        <w:pStyle w:val="NoSpacing"/>
        <w:contextualSpacing/>
        <w:jc w:val="both"/>
        <w:rPr>
          <w:rFonts w:cs="Calibri"/>
        </w:rPr>
      </w:pPr>
    </w:p>
    <w:p w14:paraId="7D2BE0A9" w14:textId="46336E0A" w:rsidR="00E3073B" w:rsidRDefault="00E3073B" w:rsidP="00A10EAE">
      <w:pPr>
        <w:pStyle w:val="NoSpacing"/>
        <w:contextualSpacing/>
        <w:jc w:val="both"/>
        <w:rPr>
          <w:rFonts w:cs="Calibri"/>
          <w:lang w:eastAsia="en-GB"/>
        </w:rPr>
      </w:pPr>
      <w:r w:rsidRPr="002A3AAE">
        <w:rPr>
          <w:rFonts w:cs="Calibri"/>
        </w:rPr>
        <w:t xml:space="preserve">Wilkinson </w:t>
      </w:r>
      <w:r w:rsidRPr="000C228D">
        <w:rPr>
          <w:i/>
        </w:rPr>
        <w:t>et al</w:t>
      </w:r>
      <w:r w:rsidRPr="002A3AAE">
        <w:rPr>
          <w:rFonts w:cs="Calibri"/>
        </w:rPr>
        <w:t xml:space="preserve"> also considered it desirable to evaluate potential predictors and points of intervention when conducting obesity surveillance</w:t>
      </w:r>
      <w:r w:rsidR="00D2016D">
        <w:rPr>
          <w:rFonts w:cs="Calibri"/>
        </w:rPr>
        <w:t xml:space="preserve"> (</w:t>
      </w:r>
      <w:r w:rsidRPr="00D2016D">
        <w:fldChar w:fldCharType="begin"/>
      </w:r>
      <w:r w:rsidRPr="00D2016D">
        <w:instrText xml:space="preserve"> NOTEREF _Ref339976575 \h  \* MERGEFORMAT </w:instrText>
      </w:r>
      <w:r w:rsidRPr="00D2016D">
        <w:fldChar w:fldCharType="separate"/>
      </w:r>
      <w:r w:rsidR="009462C5">
        <w:t>2</w:t>
      </w:r>
      <w:r w:rsidRPr="00D2016D">
        <w:fldChar w:fldCharType="end"/>
      </w:r>
      <w:r w:rsidR="00D2016D">
        <w:t>)</w:t>
      </w:r>
      <w:r w:rsidRPr="002A3AAE">
        <w:rPr>
          <w:rFonts w:cs="Calibri"/>
        </w:rPr>
        <w:t xml:space="preserve">. The Health Survey for England has collected data on all the indicators suggested by the authors. Physical activity and consumption of fruit and vegetables </w:t>
      </w:r>
      <w:r w:rsidR="001C2FDC">
        <w:rPr>
          <w:rFonts w:cs="Calibri"/>
        </w:rPr>
        <w:t xml:space="preserve">(from </w:t>
      </w:r>
      <w:r w:rsidRPr="002A3AAE">
        <w:rPr>
          <w:rFonts w:cs="Calibri"/>
        </w:rPr>
        <w:t>interview data</w:t>
      </w:r>
      <w:r w:rsidR="001C2FDC">
        <w:rPr>
          <w:rFonts w:cs="Calibri"/>
        </w:rPr>
        <w:t>)</w:t>
      </w:r>
      <w:r w:rsidRPr="002A3AAE">
        <w:rPr>
          <w:rFonts w:cs="Calibri"/>
        </w:rPr>
        <w:t xml:space="preserve"> are used in many</w:t>
      </w:r>
      <w:r w:rsidRPr="002A3AAE">
        <w:rPr>
          <w:rFonts w:cs="Calibri"/>
          <w:lang w:eastAsia="en-GB"/>
        </w:rPr>
        <w:t xml:space="preserve"> government documents and have targets set and monitored through their collection.</w:t>
      </w:r>
    </w:p>
    <w:p w14:paraId="1756A823" w14:textId="77777777" w:rsidR="005C10A9" w:rsidRDefault="005C10A9" w:rsidP="000C228D">
      <w:pPr>
        <w:pStyle w:val="NoSpacing"/>
        <w:contextualSpacing/>
        <w:jc w:val="both"/>
        <w:rPr>
          <w:rFonts w:cs="Calibri"/>
          <w:lang w:eastAsia="en-GB"/>
        </w:rPr>
      </w:pPr>
    </w:p>
    <w:p w14:paraId="1AB4BB60" w14:textId="3DC19896" w:rsidR="001A2433" w:rsidRPr="001A2433" w:rsidRDefault="005C10A9" w:rsidP="008852F2">
      <w:pPr>
        <w:spacing w:after="0" w:line="240" w:lineRule="auto"/>
        <w:rPr>
          <w:lang w:eastAsia="en-GB"/>
        </w:rPr>
      </w:pPr>
      <w:r>
        <w:rPr>
          <w:lang w:eastAsia="en-GB"/>
        </w:rPr>
        <w:t xml:space="preserve">The Health Survey for England data most commonly used by policy-makers are the figures from the annual report. However, there are examples where raw data has been analysed: </w:t>
      </w:r>
      <w:r w:rsidR="00DF74F1">
        <w:rPr>
          <w:lang w:eastAsia="en-GB"/>
        </w:rPr>
        <w:t>t</w:t>
      </w:r>
      <w:r>
        <w:rPr>
          <w:lang w:eastAsia="en-GB"/>
        </w:rPr>
        <w:t>he calculation of excess calories used to set the responsibility deal target; the modelling work performed for the Foresight Report and the modelling of QALYs per kg/m</w:t>
      </w:r>
      <w:r w:rsidRPr="005C10A9">
        <w:rPr>
          <w:vertAlign w:val="superscript"/>
          <w:lang w:eastAsia="en-GB"/>
        </w:rPr>
        <w:t>2</w:t>
      </w:r>
      <w:r>
        <w:rPr>
          <w:vertAlign w:val="superscript"/>
          <w:lang w:eastAsia="en-GB"/>
        </w:rPr>
        <w:t xml:space="preserve"> </w:t>
      </w:r>
      <w:r w:rsidRPr="00E61576">
        <w:rPr>
          <w:lang w:eastAsia="en-GB"/>
        </w:rPr>
        <w:t>that</w:t>
      </w:r>
      <w:r>
        <w:rPr>
          <w:lang w:eastAsia="en-GB"/>
        </w:rPr>
        <w:t xml:space="preserve"> was used in the development of clinical guidance on prevention and treatment of obesity. In all three cases, these analyses were led by academic staff, rather than Department of Health analysts. Further examination of how Health Survey for England data is used, and why it may not </w:t>
      </w:r>
      <w:r w:rsidR="008852F2">
        <w:rPr>
          <w:lang w:eastAsia="en-GB"/>
        </w:rPr>
        <w:t xml:space="preserve">always </w:t>
      </w:r>
      <w:r>
        <w:rPr>
          <w:lang w:eastAsia="en-GB"/>
        </w:rPr>
        <w:t>be used</w:t>
      </w:r>
      <w:r w:rsidR="008852F2">
        <w:rPr>
          <w:lang w:eastAsia="en-GB"/>
        </w:rPr>
        <w:t>,</w:t>
      </w:r>
      <w:r>
        <w:rPr>
          <w:lang w:eastAsia="en-GB"/>
        </w:rPr>
        <w:t xml:space="preserve"> despite </w:t>
      </w:r>
      <w:r w:rsidR="00D5682D">
        <w:rPr>
          <w:lang w:eastAsia="en-GB"/>
        </w:rPr>
        <w:t>potential to inform policy-making is presented elsewhere</w:t>
      </w:r>
      <w:r w:rsidR="00DF74F1">
        <w:rPr>
          <w:lang w:eastAsia="en-GB"/>
        </w:rPr>
        <w:t xml:space="preserve"> (</w:t>
      </w:r>
      <w:r w:rsidR="00D5682D" w:rsidRPr="00DF74F1">
        <w:rPr>
          <w:rStyle w:val="EndnoteReference"/>
          <w:vertAlign w:val="baseline"/>
          <w:lang w:eastAsia="en-GB"/>
        </w:rPr>
        <w:endnoteReference w:id="52"/>
      </w:r>
      <w:r w:rsidR="00DF74F1">
        <w:rPr>
          <w:lang w:eastAsia="en-GB"/>
        </w:rPr>
        <w:t>)</w:t>
      </w:r>
      <w:r w:rsidR="00D5682D">
        <w:rPr>
          <w:lang w:eastAsia="en-GB"/>
        </w:rPr>
        <w:t>.</w:t>
      </w:r>
    </w:p>
    <w:p w14:paraId="18C52116" w14:textId="77777777" w:rsidR="008852F2" w:rsidRPr="008852F2" w:rsidRDefault="008852F2" w:rsidP="008852F2">
      <w:pPr>
        <w:pStyle w:val="Heading2"/>
        <w:spacing w:before="0" w:after="0" w:line="240" w:lineRule="auto"/>
        <w:contextualSpacing/>
        <w:jc w:val="both"/>
        <w:rPr>
          <w:rFonts w:cs="Calibri"/>
          <w:sz w:val="22"/>
          <w:szCs w:val="22"/>
          <w:lang w:eastAsia="en-GB"/>
        </w:rPr>
      </w:pPr>
    </w:p>
    <w:p w14:paraId="41AD5691" w14:textId="171EEF0A" w:rsidR="00E3073B" w:rsidRPr="008852F2" w:rsidRDefault="00E3073B" w:rsidP="00A10EAE">
      <w:pPr>
        <w:pStyle w:val="Heading2"/>
        <w:numPr>
          <w:ilvl w:val="0"/>
          <w:numId w:val="28"/>
        </w:numPr>
        <w:spacing w:before="0" w:after="0" w:line="240" w:lineRule="auto"/>
        <w:contextualSpacing/>
        <w:jc w:val="both"/>
        <w:rPr>
          <w:rFonts w:cs="Calibri"/>
          <w:lang w:eastAsia="en-GB"/>
        </w:rPr>
      </w:pPr>
      <w:r w:rsidRPr="002A3AAE">
        <w:rPr>
          <w:rFonts w:cs="Calibri"/>
          <w:lang w:eastAsia="en-GB"/>
        </w:rPr>
        <w:t>Conclusion</w:t>
      </w:r>
    </w:p>
    <w:p w14:paraId="31DEC627" w14:textId="40E0F7D8" w:rsidR="00E3073B" w:rsidRPr="002A3AAE" w:rsidRDefault="00E3073B" w:rsidP="00A10EAE">
      <w:pPr>
        <w:pStyle w:val="NoSpacing"/>
        <w:contextualSpacing/>
        <w:jc w:val="both"/>
        <w:rPr>
          <w:rFonts w:cs="Calibri"/>
        </w:rPr>
      </w:pPr>
    </w:p>
    <w:p w14:paraId="4A6498F7" w14:textId="70B7B837" w:rsidR="00E3073B" w:rsidRDefault="00BD2298" w:rsidP="00A10EAE">
      <w:pPr>
        <w:pStyle w:val="NoSpacing"/>
        <w:contextualSpacing/>
        <w:jc w:val="both"/>
        <w:rPr>
          <w:rFonts w:cs="Calibri"/>
        </w:rPr>
      </w:pPr>
      <w:r>
        <w:rPr>
          <w:rFonts w:cs="Calibri"/>
        </w:rPr>
        <w:t>S</w:t>
      </w:r>
      <w:r w:rsidRPr="002A3AAE">
        <w:rPr>
          <w:rFonts w:cs="Calibri"/>
        </w:rPr>
        <w:t>ince 1992, the measurements taken as part of the Health Survey for England have been used extensively at every stage of policy making</w:t>
      </w:r>
      <w:r>
        <w:rPr>
          <w:rFonts w:cs="Calibri"/>
        </w:rPr>
        <w:t>.</w:t>
      </w:r>
      <w:r w:rsidRPr="002A3AAE">
        <w:rPr>
          <w:rFonts w:cs="Calibri"/>
        </w:rPr>
        <w:t xml:space="preserve"> </w:t>
      </w:r>
      <w:r w:rsidR="009F3828">
        <w:rPr>
          <w:rFonts w:cs="Calibri"/>
        </w:rPr>
        <w:t>M</w:t>
      </w:r>
      <w:r w:rsidR="00E3073B" w:rsidRPr="002A3AAE">
        <w:rPr>
          <w:rFonts w:cs="Calibri"/>
        </w:rPr>
        <w:t xml:space="preserve">easurement data </w:t>
      </w:r>
      <w:r w:rsidR="009F3828">
        <w:rPr>
          <w:rFonts w:cs="Calibri"/>
        </w:rPr>
        <w:t xml:space="preserve">are needed and used </w:t>
      </w:r>
      <w:r w:rsidR="00E3073B" w:rsidRPr="002A3AAE">
        <w:rPr>
          <w:rFonts w:cs="Calibri"/>
        </w:rPr>
        <w:t>by governments</w:t>
      </w:r>
      <w:r w:rsidR="009F3828">
        <w:rPr>
          <w:rFonts w:cs="Calibri"/>
        </w:rPr>
        <w:t xml:space="preserve"> in the</w:t>
      </w:r>
      <w:r w:rsidR="00545DF5">
        <w:rPr>
          <w:rFonts w:cs="Calibri"/>
        </w:rPr>
        <w:t xml:space="preserve"> </w:t>
      </w:r>
      <w:r w:rsidR="00E3073B" w:rsidRPr="002A3AAE">
        <w:rPr>
          <w:rFonts w:cs="Calibri"/>
        </w:rPr>
        <w:t>produc</w:t>
      </w:r>
      <w:r w:rsidR="009F3828">
        <w:rPr>
          <w:rFonts w:cs="Calibri"/>
        </w:rPr>
        <w:t>tion of</w:t>
      </w:r>
      <w:r w:rsidR="00E3073B" w:rsidRPr="002A3AAE">
        <w:rPr>
          <w:rFonts w:cs="Calibri"/>
        </w:rPr>
        <w:t xml:space="preserve"> evidence-based strategies to combat obesity.</w:t>
      </w:r>
    </w:p>
    <w:p w14:paraId="104D0A8F" w14:textId="77777777" w:rsidR="00E3073B" w:rsidRPr="002A3AAE" w:rsidRDefault="00E3073B" w:rsidP="002D7E37">
      <w:pPr>
        <w:pStyle w:val="NoSpacing"/>
        <w:contextualSpacing/>
        <w:jc w:val="both"/>
        <w:rPr>
          <w:rFonts w:cs="Calibri"/>
        </w:rPr>
      </w:pPr>
    </w:p>
    <w:p w14:paraId="769AC6B8" w14:textId="77777777" w:rsidR="00E3073B" w:rsidRDefault="00E3073B" w:rsidP="002A3AAE">
      <w:pPr>
        <w:pStyle w:val="NoSpacing"/>
        <w:contextualSpacing/>
        <w:jc w:val="both"/>
        <w:rPr>
          <w:rFonts w:cs="Calibri"/>
        </w:rPr>
      </w:pPr>
    </w:p>
    <w:p w14:paraId="2AC67895" w14:textId="77777777" w:rsidR="00334A08" w:rsidRDefault="00334A08" w:rsidP="002A3AAE">
      <w:pPr>
        <w:pStyle w:val="NoSpacing"/>
        <w:contextualSpacing/>
        <w:jc w:val="both"/>
        <w:rPr>
          <w:rFonts w:cs="Calibri"/>
        </w:rPr>
      </w:pPr>
    </w:p>
    <w:p w14:paraId="1B0CA9A6" w14:textId="77777777" w:rsidR="00334A08" w:rsidRPr="002A3AAE" w:rsidRDefault="00334A08" w:rsidP="002A3AAE">
      <w:pPr>
        <w:pStyle w:val="NoSpacing"/>
        <w:contextualSpacing/>
        <w:jc w:val="both"/>
        <w:rPr>
          <w:rFonts w:cs="Calibri"/>
        </w:rPr>
        <w:sectPr w:rsidR="00334A08" w:rsidRPr="002A3AAE" w:rsidSect="00D52447">
          <w:footerReference w:type="default" r:id="rId10"/>
          <w:endnotePr>
            <w:numFmt w:val="decimal"/>
          </w:endnotePr>
          <w:pgSz w:w="11906" w:h="16838"/>
          <w:pgMar w:top="1440" w:right="1440" w:bottom="1440" w:left="1440" w:header="708" w:footer="708" w:gutter="0"/>
          <w:cols w:space="708"/>
          <w:docGrid w:linePitch="360"/>
        </w:sectPr>
      </w:pPr>
    </w:p>
    <w:p w14:paraId="70E14B21" w14:textId="77777777" w:rsidR="004C4532" w:rsidRPr="004C4532" w:rsidRDefault="004C4532" w:rsidP="004C4532">
      <w:pPr>
        <w:spacing w:after="0" w:line="240" w:lineRule="auto"/>
        <w:rPr>
          <w:b/>
        </w:rPr>
      </w:pPr>
      <w:r w:rsidRPr="004C4532">
        <w:rPr>
          <w:b/>
        </w:rPr>
        <w:lastRenderedPageBreak/>
        <w:t>Figure captions</w:t>
      </w:r>
    </w:p>
    <w:p w14:paraId="3EFB291E" w14:textId="77777777" w:rsidR="004C4532" w:rsidRDefault="004C4532" w:rsidP="004C4532">
      <w:pPr>
        <w:spacing w:after="0" w:line="240" w:lineRule="auto"/>
      </w:pPr>
    </w:p>
    <w:p w14:paraId="37E29302" w14:textId="39FCF9C7" w:rsidR="004C4532" w:rsidRPr="00545BE7" w:rsidRDefault="004C4532" w:rsidP="004C4532">
      <w:pPr>
        <w:spacing w:after="0" w:line="240" w:lineRule="auto"/>
      </w:pPr>
      <w:r w:rsidRPr="00545BE7">
        <w:t xml:space="preserve">Figure 1. Prevalence of obesity and of overweight including obesity </w:t>
      </w:r>
      <w:r>
        <w:t xml:space="preserve">among adults </w:t>
      </w:r>
      <w:r w:rsidRPr="00545BE7">
        <w:t>in England</w:t>
      </w:r>
      <w:r>
        <w:t>, 199</w:t>
      </w:r>
      <w:r w:rsidR="00F60542">
        <w:t>1</w:t>
      </w:r>
      <w:r>
        <w:t>-2011</w:t>
      </w:r>
      <w:r w:rsidRPr="00545BE7">
        <w:t>.</w:t>
      </w:r>
      <w:r>
        <w:t xml:space="preserve"> </w:t>
      </w:r>
    </w:p>
    <w:p w14:paraId="0A2E9729" w14:textId="77777777" w:rsidR="004C4532" w:rsidRPr="00545BE7" w:rsidRDefault="004C4532" w:rsidP="004C4532">
      <w:pPr>
        <w:spacing w:after="0" w:line="240" w:lineRule="auto"/>
      </w:pPr>
    </w:p>
    <w:p w14:paraId="085A6164" w14:textId="77777777" w:rsidR="004C4532" w:rsidRPr="00545BE7" w:rsidRDefault="004C4532" w:rsidP="004C4532">
      <w:pPr>
        <w:spacing w:after="0" w:line="240" w:lineRule="auto"/>
      </w:pPr>
      <w:r w:rsidRPr="00545BE7">
        <w:t>Footnote:</w:t>
      </w:r>
    </w:p>
    <w:p w14:paraId="0E56E850" w14:textId="77777777" w:rsidR="004C4532" w:rsidRPr="00E41B9F" w:rsidRDefault="004C4532" w:rsidP="004C4532">
      <w:pPr>
        <w:spacing w:after="0" w:line="240" w:lineRule="auto"/>
      </w:pPr>
      <w:r w:rsidRPr="00545BE7">
        <w:t>Data are shown as three-year rolling averages</w:t>
      </w:r>
      <w:r>
        <w:t>.</w:t>
      </w:r>
    </w:p>
    <w:p w14:paraId="371AF445" w14:textId="77777777" w:rsidR="004C4532" w:rsidRDefault="004C4532" w:rsidP="004C4532">
      <w:pPr>
        <w:spacing w:after="0" w:line="240" w:lineRule="auto"/>
      </w:pPr>
    </w:p>
    <w:p w14:paraId="43C8C954" w14:textId="77777777" w:rsidR="004C4532" w:rsidRPr="00545BE7" w:rsidRDefault="004C4532" w:rsidP="004C4532">
      <w:pPr>
        <w:spacing w:after="0" w:line="240" w:lineRule="auto"/>
      </w:pPr>
      <w:r w:rsidRPr="00545BE7">
        <w:t xml:space="preserve">Figure </w:t>
      </w:r>
      <w:r>
        <w:t>2</w:t>
      </w:r>
      <w:r w:rsidRPr="00545BE7">
        <w:t xml:space="preserve">. Prevalence of obesity and of overweight including obesity </w:t>
      </w:r>
      <w:r>
        <w:t xml:space="preserve">among children </w:t>
      </w:r>
      <w:r w:rsidRPr="00545BE7">
        <w:t>in England</w:t>
      </w:r>
      <w:r>
        <w:t>, 1995-2011</w:t>
      </w:r>
      <w:r w:rsidRPr="00545BE7">
        <w:t>.</w:t>
      </w:r>
      <w:r>
        <w:t xml:space="preserve"> </w:t>
      </w:r>
    </w:p>
    <w:p w14:paraId="08E07F19" w14:textId="77777777" w:rsidR="004C4532" w:rsidRPr="00545BE7" w:rsidRDefault="004C4532" w:rsidP="004C4532">
      <w:pPr>
        <w:spacing w:after="0" w:line="240" w:lineRule="auto"/>
      </w:pPr>
    </w:p>
    <w:p w14:paraId="5A5BA61C" w14:textId="77777777" w:rsidR="004C4532" w:rsidRPr="00545BE7" w:rsidRDefault="004C4532" w:rsidP="004C4532">
      <w:pPr>
        <w:spacing w:after="0" w:line="240" w:lineRule="auto"/>
      </w:pPr>
      <w:r w:rsidRPr="00545BE7">
        <w:t>Footnote:</w:t>
      </w:r>
    </w:p>
    <w:p w14:paraId="090058BE" w14:textId="77777777" w:rsidR="004C4532" w:rsidRPr="00E41B9F" w:rsidRDefault="004C4532" w:rsidP="004C4532">
      <w:pPr>
        <w:spacing w:after="0" w:line="240" w:lineRule="auto"/>
      </w:pPr>
      <w:r w:rsidRPr="00545BE7">
        <w:t xml:space="preserve">a. </w:t>
      </w:r>
      <w:r>
        <w:t>A</w:t>
      </w:r>
      <w:r w:rsidRPr="00545BE7">
        <w:t xml:space="preserve">ged 2-15y; </w:t>
      </w:r>
      <w:r>
        <w:t>b</w:t>
      </w:r>
      <w:r w:rsidRPr="00545BE7">
        <w:t xml:space="preserve">. </w:t>
      </w:r>
      <w:r>
        <w:t>Aged 2-10y; c</w:t>
      </w:r>
      <w:r w:rsidRPr="00545BE7">
        <w:t xml:space="preserve">. </w:t>
      </w:r>
      <w:r>
        <w:t>A</w:t>
      </w:r>
      <w:r w:rsidRPr="00545BE7">
        <w:t>ged 11-15y. Data are shown as three-year rolling averages</w:t>
      </w:r>
      <w:r>
        <w:t>.</w:t>
      </w:r>
    </w:p>
    <w:p w14:paraId="358695FD" w14:textId="77777777" w:rsidR="004C4532" w:rsidRDefault="004C4532" w:rsidP="004C4532">
      <w:pPr>
        <w:spacing w:after="0" w:line="240" w:lineRule="auto"/>
      </w:pPr>
    </w:p>
    <w:p w14:paraId="4FD4FDA6" w14:textId="293048D1" w:rsidR="00DF74F1" w:rsidRPr="004C4532" w:rsidRDefault="004C4532" w:rsidP="004C4532">
      <w:pPr>
        <w:spacing w:after="0" w:line="240" w:lineRule="auto"/>
        <w:rPr>
          <w:b/>
        </w:rPr>
      </w:pPr>
      <w:r w:rsidRPr="004C4532">
        <w:rPr>
          <w:b/>
        </w:rPr>
        <w:t>Table captions</w:t>
      </w:r>
    </w:p>
    <w:p w14:paraId="11A44E3D" w14:textId="77777777" w:rsidR="004C4532" w:rsidRDefault="004C4532" w:rsidP="004C4532">
      <w:pPr>
        <w:spacing w:after="0" w:line="240" w:lineRule="auto"/>
      </w:pPr>
    </w:p>
    <w:p w14:paraId="3913B9EC" w14:textId="77777777" w:rsidR="00334A08" w:rsidRPr="000C228D" w:rsidRDefault="00334A08" w:rsidP="004C4532">
      <w:pPr>
        <w:spacing w:after="0" w:line="240" w:lineRule="auto"/>
      </w:pPr>
      <w:r w:rsidRPr="000C228D">
        <w:t>Table 1</w:t>
      </w:r>
      <w:r w:rsidR="009103D5" w:rsidRPr="000C228D">
        <w:t>: Specific identified uses of measured height and weight data from the Health Survey for England in UK health and obesity strategy and associated documents.</w:t>
      </w:r>
    </w:p>
    <w:p w14:paraId="55D7D7A6" w14:textId="77777777" w:rsidR="004C4532" w:rsidRDefault="004C4532" w:rsidP="004C4532">
      <w:pPr>
        <w:spacing w:after="0" w:line="240" w:lineRule="auto"/>
      </w:pPr>
    </w:p>
    <w:p w14:paraId="44D06CCC" w14:textId="53231BBA" w:rsidR="00DF74F1" w:rsidRDefault="009103D5" w:rsidP="004C4532">
      <w:pPr>
        <w:spacing w:after="0" w:line="240" w:lineRule="auto"/>
        <w:rPr>
          <w:rFonts w:cs="Calibri"/>
        </w:rPr>
      </w:pPr>
      <w:r w:rsidRPr="000C228D">
        <w:t xml:space="preserve">Table 2: Comparison of prevalence of obesity in 2010, or the closest year for which data </w:t>
      </w:r>
      <w:r w:rsidR="00E11D9A" w:rsidRPr="00DF74F1">
        <w:rPr>
          <w:rFonts w:cs="Calibri"/>
        </w:rPr>
        <w:t>are</w:t>
      </w:r>
      <w:r w:rsidRPr="000C228D">
        <w:t xml:space="preserve"> available, derived from measured or self-reported height and weight data, by country</w:t>
      </w:r>
      <w:r>
        <w:rPr>
          <w:rFonts w:cs="Calibri"/>
        </w:rPr>
        <w:t xml:space="preserve">. </w:t>
      </w:r>
      <w:r w:rsidR="00AA7FAD">
        <w:rPr>
          <w:rFonts w:cs="Calibri"/>
        </w:rPr>
        <w:t xml:space="preserve">Countries are ranked by increasing prevalence of obesity, using measured data </w:t>
      </w:r>
      <w:proofErr w:type="spellStart"/>
      <w:r w:rsidR="00AA7FAD">
        <w:rPr>
          <w:rFonts w:cs="Calibri"/>
        </w:rPr>
        <w:t>where</w:t>
      </w:r>
      <w:proofErr w:type="spellEnd"/>
      <w:r w:rsidR="00AA7FAD">
        <w:rPr>
          <w:rFonts w:cs="Calibri"/>
        </w:rPr>
        <w:t xml:space="preserve"> available and self-reported if not.</w:t>
      </w:r>
    </w:p>
    <w:p w14:paraId="692290F6" w14:textId="77777777" w:rsidR="00DF74F1" w:rsidRDefault="00DF74F1" w:rsidP="004C4532">
      <w:pPr>
        <w:spacing w:after="0" w:line="240" w:lineRule="auto"/>
        <w:rPr>
          <w:rFonts w:cs="Calibri"/>
        </w:rPr>
      </w:pPr>
    </w:p>
    <w:p w14:paraId="61EE9DD1" w14:textId="1C8D0990" w:rsidR="00DF74F1" w:rsidRDefault="004C4532" w:rsidP="004C4532">
      <w:pPr>
        <w:spacing w:after="0" w:line="240" w:lineRule="auto"/>
        <w:rPr>
          <w:rFonts w:cs="Calibri"/>
        </w:rPr>
      </w:pPr>
      <w:r>
        <w:rPr>
          <w:rFonts w:cs="Calibri"/>
        </w:rPr>
        <w:t>Footnote:</w:t>
      </w:r>
    </w:p>
    <w:p w14:paraId="1A2935D1" w14:textId="77777777" w:rsidR="00DF74F1" w:rsidRDefault="00E11D9A" w:rsidP="004C4532">
      <w:pPr>
        <w:spacing w:after="0" w:line="240" w:lineRule="auto"/>
        <w:rPr>
          <w:rFonts w:cs="Calibri"/>
        </w:rPr>
      </w:pPr>
      <w:r>
        <w:rPr>
          <w:rFonts w:cs="Calibri"/>
        </w:rPr>
        <w:t xml:space="preserve">Note that survey methodologies, even within self-report or measured types, can differ and cautiousness is advised when comparing the figures. </w:t>
      </w:r>
    </w:p>
    <w:p w14:paraId="3A025311" w14:textId="04EB9141" w:rsidR="009103D5" w:rsidRPr="004C4532" w:rsidRDefault="009103D5" w:rsidP="004C4532">
      <w:pPr>
        <w:spacing w:after="0" w:line="240" w:lineRule="auto"/>
        <w:rPr>
          <w:i/>
        </w:rPr>
      </w:pPr>
      <w:r w:rsidRPr="004C4532">
        <w:rPr>
          <w:i/>
        </w:rPr>
        <w:t xml:space="preserve">Source: OECD Health Data 2012. </w:t>
      </w:r>
      <w:hyperlink r:id="rId11" w:history="1">
        <w:proofErr w:type="gramStart"/>
        <w:r w:rsidRPr="004C4532">
          <w:rPr>
            <w:rStyle w:val="Hyperlink"/>
            <w:i/>
          </w:rPr>
          <w:t>http://stats.oecd.org/Index.aspx?DataSetCode=HEALTH_LVNG</w:t>
        </w:r>
      </w:hyperlink>
      <w:r w:rsidR="00324F93" w:rsidRPr="00A218F6">
        <w:rPr>
          <w:rStyle w:val="Hyperlink"/>
          <w:rFonts w:cs="Calibri"/>
          <w:i/>
        </w:rPr>
        <w:t xml:space="preserve"> (</w:t>
      </w:r>
      <w:r w:rsidR="00324F93" w:rsidRPr="00A218F6">
        <w:rPr>
          <w:rStyle w:val="Hyperlink"/>
          <w:rFonts w:cs="Calibri"/>
          <w:i/>
        </w:rPr>
        <w:fldChar w:fldCharType="begin"/>
      </w:r>
      <w:r w:rsidR="00324F93" w:rsidRPr="00A218F6">
        <w:rPr>
          <w:rStyle w:val="Hyperlink"/>
          <w:rFonts w:cs="Calibri"/>
          <w:i/>
        </w:rPr>
        <w:instrText xml:space="preserve"> NOTEREF _Ref345061490 \h </w:instrText>
      </w:r>
      <w:r w:rsidR="00DF74F1">
        <w:rPr>
          <w:rStyle w:val="Hyperlink"/>
          <w:rFonts w:cs="Calibri"/>
          <w:i/>
        </w:rPr>
        <w:instrText xml:space="preserve"> \* MERGEFORMAT </w:instrText>
      </w:r>
      <w:r w:rsidR="00324F93" w:rsidRPr="00A218F6">
        <w:rPr>
          <w:rStyle w:val="Hyperlink"/>
          <w:rFonts w:cs="Calibri"/>
          <w:i/>
        </w:rPr>
      </w:r>
      <w:r w:rsidR="00324F93" w:rsidRPr="00A218F6">
        <w:rPr>
          <w:rStyle w:val="Hyperlink"/>
          <w:rFonts w:cs="Calibri"/>
          <w:i/>
        </w:rPr>
        <w:fldChar w:fldCharType="separate"/>
      </w:r>
      <w:r w:rsidR="009462C5">
        <w:rPr>
          <w:rStyle w:val="Hyperlink"/>
          <w:rFonts w:cs="Calibri"/>
          <w:i/>
        </w:rPr>
        <w:t>5</w:t>
      </w:r>
      <w:r w:rsidR="00324F93" w:rsidRPr="00A218F6">
        <w:rPr>
          <w:rStyle w:val="Hyperlink"/>
          <w:rFonts w:cs="Calibri"/>
          <w:i/>
        </w:rPr>
        <w:fldChar w:fldCharType="end"/>
      </w:r>
      <w:r w:rsidR="00324F93" w:rsidRPr="00A218F6">
        <w:rPr>
          <w:rStyle w:val="Hyperlink"/>
          <w:rFonts w:cs="Calibri"/>
          <w:i/>
        </w:rPr>
        <w:t>)</w:t>
      </w:r>
      <w:r w:rsidRPr="00A218F6">
        <w:rPr>
          <w:rFonts w:cs="Calibri"/>
          <w:i/>
        </w:rPr>
        <w:t>.</w:t>
      </w:r>
      <w:proofErr w:type="gramEnd"/>
    </w:p>
    <w:p w14:paraId="0639793D" w14:textId="77777777" w:rsidR="009103D5" w:rsidRDefault="009103D5">
      <w:pPr>
        <w:spacing w:after="0" w:line="240" w:lineRule="auto"/>
      </w:pPr>
      <w:r>
        <w:br w:type="page"/>
      </w:r>
    </w:p>
    <w:p w14:paraId="65ECC644" w14:textId="77777777" w:rsidR="009103D5" w:rsidRPr="00B0727A" w:rsidRDefault="009103D5">
      <w:pPr>
        <w:rPr>
          <w:b/>
        </w:rPr>
      </w:pPr>
      <w:r w:rsidRPr="00B0727A">
        <w:rPr>
          <w:b/>
        </w:rPr>
        <w:lastRenderedPageBreak/>
        <w:t>Table 1</w:t>
      </w:r>
    </w:p>
    <w:tbl>
      <w:tblPr>
        <w:tblW w:w="14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9"/>
        <w:gridCol w:w="730"/>
        <w:gridCol w:w="11155"/>
      </w:tblGrid>
      <w:tr w:rsidR="00E3073B" w:rsidRPr="002A3AAE" w14:paraId="1775727C" w14:textId="77777777" w:rsidTr="00334A08">
        <w:trPr>
          <w:trHeight w:val="142"/>
        </w:trPr>
        <w:tc>
          <w:tcPr>
            <w:tcW w:w="2749" w:type="dxa"/>
            <w:vAlign w:val="center"/>
          </w:tcPr>
          <w:p w14:paraId="477F05E1" w14:textId="77777777" w:rsidR="00E3073B" w:rsidRPr="00D20E62" w:rsidRDefault="00E3073B" w:rsidP="00D20E62">
            <w:pPr>
              <w:spacing w:after="0" w:line="240" w:lineRule="auto"/>
              <w:contextualSpacing/>
              <w:rPr>
                <w:rFonts w:cs="Calibri"/>
                <w:b/>
                <w:bCs/>
                <w:color w:val="000000"/>
                <w:lang w:eastAsia="en-GB"/>
              </w:rPr>
            </w:pPr>
            <w:r w:rsidRPr="00D20E62">
              <w:rPr>
                <w:rFonts w:cs="Calibri"/>
                <w:b/>
                <w:bCs/>
                <w:color w:val="000000"/>
                <w:lang w:eastAsia="en-GB"/>
              </w:rPr>
              <w:t>Document</w:t>
            </w:r>
          </w:p>
        </w:tc>
        <w:tc>
          <w:tcPr>
            <w:tcW w:w="730" w:type="dxa"/>
            <w:noWrap/>
            <w:vAlign w:val="center"/>
          </w:tcPr>
          <w:p w14:paraId="6F116725" w14:textId="77777777" w:rsidR="00E3073B" w:rsidRPr="00D20E62" w:rsidRDefault="00E3073B" w:rsidP="00D20E62">
            <w:pPr>
              <w:spacing w:after="0" w:line="240" w:lineRule="auto"/>
              <w:contextualSpacing/>
              <w:rPr>
                <w:rFonts w:cs="Calibri"/>
                <w:b/>
                <w:bCs/>
                <w:color w:val="000000"/>
                <w:lang w:eastAsia="en-GB"/>
              </w:rPr>
            </w:pPr>
            <w:r w:rsidRPr="00D20E62">
              <w:rPr>
                <w:rFonts w:cs="Calibri"/>
                <w:b/>
                <w:bCs/>
                <w:color w:val="000000"/>
                <w:lang w:eastAsia="en-GB"/>
              </w:rPr>
              <w:t>Year</w:t>
            </w:r>
          </w:p>
        </w:tc>
        <w:tc>
          <w:tcPr>
            <w:tcW w:w="11155" w:type="dxa"/>
            <w:vAlign w:val="center"/>
          </w:tcPr>
          <w:p w14:paraId="09AEF18D" w14:textId="77777777" w:rsidR="00E3073B" w:rsidRPr="00D20E62" w:rsidRDefault="00E3073B" w:rsidP="00D20E62">
            <w:pPr>
              <w:spacing w:after="0" w:line="240" w:lineRule="auto"/>
              <w:contextualSpacing/>
              <w:rPr>
                <w:rFonts w:cs="Calibri"/>
                <w:b/>
                <w:bCs/>
                <w:color w:val="000000"/>
                <w:lang w:eastAsia="en-GB"/>
              </w:rPr>
            </w:pPr>
            <w:r w:rsidRPr="00D20E62">
              <w:rPr>
                <w:rFonts w:cs="Calibri"/>
                <w:b/>
                <w:bCs/>
                <w:color w:val="000000"/>
                <w:lang w:eastAsia="en-GB"/>
              </w:rPr>
              <w:t>Use of HSE data</w:t>
            </w:r>
          </w:p>
        </w:tc>
      </w:tr>
      <w:tr w:rsidR="00E3073B" w:rsidRPr="002A3AAE" w14:paraId="4B4910ED" w14:textId="77777777" w:rsidTr="00334A08">
        <w:trPr>
          <w:trHeight w:val="142"/>
        </w:trPr>
        <w:tc>
          <w:tcPr>
            <w:tcW w:w="14634" w:type="dxa"/>
            <w:gridSpan w:val="3"/>
            <w:vAlign w:val="center"/>
          </w:tcPr>
          <w:p w14:paraId="0FB5C4BC" w14:textId="77777777" w:rsidR="00E3073B" w:rsidRPr="00D20E62" w:rsidRDefault="00E3073B" w:rsidP="00D20E62">
            <w:pPr>
              <w:pStyle w:val="Heading3"/>
              <w:spacing w:before="0" w:after="0" w:line="240" w:lineRule="auto"/>
              <w:contextualSpacing/>
              <w:jc w:val="center"/>
              <w:rPr>
                <w:rFonts w:cs="Calibri"/>
                <w:sz w:val="22"/>
                <w:szCs w:val="22"/>
              </w:rPr>
            </w:pPr>
            <w:r w:rsidRPr="00D20E62">
              <w:rPr>
                <w:rFonts w:cs="Calibri"/>
                <w:sz w:val="22"/>
                <w:szCs w:val="22"/>
              </w:rPr>
              <w:t>Quantifying the Obesity Problem in England</w:t>
            </w:r>
          </w:p>
        </w:tc>
      </w:tr>
      <w:tr w:rsidR="00E3073B" w:rsidRPr="002A3AAE" w14:paraId="6DD22552" w14:textId="77777777" w:rsidTr="00334A08">
        <w:trPr>
          <w:trHeight w:val="134"/>
        </w:trPr>
        <w:tc>
          <w:tcPr>
            <w:tcW w:w="2749" w:type="dxa"/>
            <w:vAlign w:val="center"/>
          </w:tcPr>
          <w:p w14:paraId="4D1B2984"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Our Healthier Nation</w:t>
            </w:r>
            <w:r w:rsidR="00D2016D">
              <w:rPr>
                <w:rFonts w:cs="Calibri"/>
                <w:color w:val="000000"/>
                <w:lang w:eastAsia="en-GB"/>
              </w:rPr>
              <w:t xml:space="preserve"> (</w:t>
            </w:r>
            <w:bookmarkStart w:id="35" w:name="_Ref341261526"/>
            <w:r w:rsidRPr="00D2016D">
              <w:rPr>
                <w:rStyle w:val="EndnoteReference"/>
                <w:rFonts w:cs="Calibri"/>
                <w:color w:val="000000"/>
                <w:vertAlign w:val="baseline"/>
                <w:lang w:eastAsia="en-GB"/>
              </w:rPr>
              <w:endnoteReference w:id="53"/>
            </w:r>
            <w:bookmarkEnd w:id="35"/>
            <w:r w:rsidR="00D2016D">
              <w:rPr>
                <w:rFonts w:cs="Calibri"/>
                <w:color w:val="000000"/>
                <w:lang w:eastAsia="en-GB"/>
              </w:rPr>
              <w:t>)</w:t>
            </w:r>
          </w:p>
        </w:tc>
        <w:tc>
          <w:tcPr>
            <w:tcW w:w="730" w:type="dxa"/>
            <w:noWrap/>
            <w:vAlign w:val="center"/>
          </w:tcPr>
          <w:p w14:paraId="2614897E"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1999</w:t>
            </w:r>
          </w:p>
        </w:tc>
        <w:tc>
          <w:tcPr>
            <w:tcW w:w="11155" w:type="dxa"/>
            <w:vAlign w:val="center"/>
          </w:tcPr>
          <w:p w14:paraId="7CEB66C2"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Reports prevalence data for 1996.</w:t>
            </w:r>
          </w:p>
        </w:tc>
      </w:tr>
      <w:tr w:rsidR="00E3073B" w:rsidRPr="002A3AAE" w14:paraId="1D4DE1BA" w14:textId="77777777" w:rsidTr="00334A08">
        <w:trPr>
          <w:trHeight w:val="197"/>
        </w:trPr>
        <w:tc>
          <w:tcPr>
            <w:tcW w:w="2749" w:type="dxa"/>
            <w:vAlign w:val="center"/>
          </w:tcPr>
          <w:p w14:paraId="31EEBCF1"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National Audit Office: Tackling Obesity in England</w:t>
            </w:r>
            <w:r w:rsidR="00D2016D">
              <w:rPr>
                <w:rFonts w:cs="Calibri"/>
                <w:color w:val="000000"/>
                <w:lang w:eastAsia="en-GB"/>
              </w:rPr>
              <w:t xml:space="preserve"> (</w:t>
            </w:r>
            <w:r w:rsidR="00D2016D" w:rsidRPr="00D2016D">
              <w:rPr>
                <w:rStyle w:val="EndnoteReference"/>
                <w:color w:val="000000"/>
                <w:vertAlign w:val="baseline"/>
                <w:lang w:eastAsia="en-GB"/>
              </w:rPr>
              <w:endnoteReference w:id="54"/>
            </w:r>
            <w:r w:rsidR="00D2016D">
              <w:rPr>
                <w:rFonts w:cs="Calibri"/>
                <w:color w:val="000000"/>
                <w:lang w:eastAsia="en-GB"/>
              </w:rPr>
              <w:t>)</w:t>
            </w:r>
          </w:p>
        </w:tc>
        <w:tc>
          <w:tcPr>
            <w:tcW w:w="730" w:type="dxa"/>
            <w:noWrap/>
            <w:vAlign w:val="center"/>
          </w:tcPr>
          <w:p w14:paraId="2ED330A9"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2001</w:t>
            </w:r>
          </w:p>
        </w:tc>
        <w:tc>
          <w:tcPr>
            <w:tcW w:w="11155" w:type="dxa"/>
            <w:vAlign w:val="center"/>
          </w:tcPr>
          <w:p w14:paraId="76FE8554"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Reports prevalence data. This document was presented in parliament along with recommendations to address the problem.</w:t>
            </w:r>
          </w:p>
        </w:tc>
      </w:tr>
      <w:tr w:rsidR="00E3073B" w:rsidRPr="002A3AAE" w14:paraId="69328699" w14:textId="77777777" w:rsidTr="00334A08">
        <w:trPr>
          <w:trHeight w:val="444"/>
        </w:trPr>
        <w:tc>
          <w:tcPr>
            <w:tcW w:w="2749" w:type="dxa"/>
            <w:vAlign w:val="center"/>
          </w:tcPr>
          <w:p w14:paraId="4FD959F0" w14:textId="104430F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Chief Medical Officer's Reports</w:t>
            </w:r>
            <w:r w:rsidR="00D2016D">
              <w:rPr>
                <w:rFonts w:cs="Calibri"/>
                <w:color w:val="000000"/>
                <w:lang w:eastAsia="en-GB"/>
              </w:rPr>
              <w:t xml:space="preserve"> (</w:t>
            </w:r>
            <w:r w:rsidR="00D2016D">
              <w:rPr>
                <w:rFonts w:cs="Calibri"/>
                <w:color w:val="000000"/>
                <w:lang w:eastAsia="en-GB"/>
              </w:rPr>
              <w:fldChar w:fldCharType="begin"/>
            </w:r>
            <w:r w:rsidR="00D2016D">
              <w:rPr>
                <w:rFonts w:cs="Calibri"/>
                <w:color w:val="000000"/>
                <w:lang w:eastAsia="en-GB"/>
              </w:rPr>
              <w:instrText xml:space="preserve"> NOTEREF _Ref341184394 \h </w:instrText>
            </w:r>
            <w:r w:rsidR="00D2016D">
              <w:rPr>
                <w:rFonts w:cs="Calibri"/>
                <w:color w:val="000000"/>
                <w:lang w:eastAsia="en-GB"/>
              </w:rPr>
            </w:r>
            <w:r w:rsidR="00D2016D">
              <w:rPr>
                <w:rFonts w:cs="Calibri"/>
                <w:color w:val="000000"/>
                <w:lang w:eastAsia="en-GB"/>
              </w:rPr>
              <w:fldChar w:fldCharType="separate"/>
            </w:r>
            <w:r w:rsidR="009462C5">
              <w:rPr>
                <w:rFonts w:cs="Calibri"/>
                <w:color w:val="000000"/>
                <w:lang w:eastAsia="en-GB"/>
              </w:rPr>
              <w:t>14</w:t>
            </w:r>
            <w:r w:rsidR="00D2016D">
              <w:rPr>
                <w:rFonts w:cs="Calibri"/>
                <w:color w:val="000000"/>
                <w:lang w:eastAsia="en-GB"/>
              </w:rPr>
              <w:fldChar w:fldCharType="end"/>
            </w:r>
            <w:r w:rsidR="00D2016D">
              <w:rPr>
                <w:rFonts w:cs="Calibri"/>
                <w:color w:val="000000"/>
                <w:lang w:eastAsia="en-GB"/>
              </w:rPr>
              <w:t xml:space="preserve">, </w:t>
            </w:r>
            <w:r w:rsidR="00D2016D">
              <w:rPr>
                <w:rFonts w:cs="Calibri"/>
                <w:color w:val="000000"/>
                <w:lang w:eastAsia="en-GB"/>
              </w:rPr>
              <w:fldChar w:fldCharType="begin"/>
            </w:r>
            <w:r w:rsidR="00D2016D">
              <w:rPr>
                <w:rFonts w:cs="Calibri"/>
                <w:color w:val="000000"/>
                <w:lang w:eastAsia="en-GB"/>
              </w:rPr>
              <w:instrText xml:space="preserve"> NOTEREF _Ref341196758 \h </w:instrText>
            </w:r>
            <w:r w:rsidR="00D2016D">
              <w:rPr>
                <w:rFonts w:cs="Calibri"/>
                <w:color w:val="000000"/>
                <w:lang w:eastAsia="en-GB"/>
              </w:rPr>
            </w:r>
            <w:r w:rsidR="00D2016D">
              <w:rPr>
                <w:rFonts w:cs="Calibri"/>
                <w:color w:val="000000"/>
                <w:lang w:eastAsia="en-GB"/>
              </w:rPr>
              <w:fldChar w:fldCharType="separate"/>
            </w:r>
            <w:r w:rsidR="009462C5">
              <w:rPr>
                <w:rFonts w:cs="Calibri"/>
                <w:color w:val="000000"/>
                <w:lang w:eastAsia="en-GB"/>
              </w:rPr>
              <w:t>15</w:t>
            </w:r>
            <w:r w:rsidR="00D2016D">
              <w:rPr>
                <w:rFonts w:cs="Calibri"/>
                <w:color w:val="000000"/>
                <w:lang w:eastAsia="en-GB"/>
              </w:rPr>
              <w:fldChar w:fldCharType="end"/>
            </w:r>
            <w:r w:rsidR="00D2016D">
              <w:rPr>
                <w:rFonts w:cs="Calibri"/>
                <w:color w:val="000000"/>
                <w:lang w:eastAsia="en-GB"/>
              </w:rPr>
              <w:t xml:space="preserve">, </w:t>
            </w:r>
            <w:r w:rsidR="00D2016D">
              <w:rPr>
                <w:rFonts w:cs="Calibri"/>
                <w:color w:val="000000"/>
                <w:lang w:eastAsia="en-GB"/>
              </w:rPr>
              <w:fldChar w:fldCharType="begin"/>
            </w:r>
            <w:r w:rsidR="00D2016D">
              <w:rPr>
                <w:rFonts w:cs="Calibri"/>
                <w:color w:val="000000"/>
                <w:lang w:eastAsia="en-GB"/>
              </w:rPr>
              <w:instrText xml:space="preserve"> NOTEREF _Ref341196759 \h </w:instrText>
            </w:r>
            <w:r w:rsidR="00D2016D">
              <w:rPr>
                <w:rFonts w:cs="Calibri"/>
                <w:color w:val="000000"/>
                <w:lang w:eastAsia="en-GB"/>
              </w:rPr>
            </w:r>
            <w:r w:rsidR="00D2016D">
              <w:rPr>
                <w:rFonts w:cs="Calibri"/>
                <w:color w:val="000000"/>
                <w:lang w:eastAsia="en-GB"/>
              </w:rPr>
              <w:fldChar w:fldCharType="separate"/>
            </w:r>
            <w:r w:rsidR="009462C5">
              <w:rPr>
                <w:rFonts w:cs="Calibri"/>
                <w:color w:val="000000"/>
                <w:lang w:eastAsia="en-GB"/>
              </w:rPr>
              <w:t>16</w:t>
            </w:r>
            <w:r w:rsidR="00D2016D">
              <w:rPr>
                <w:rFonts w:cs="Calibri"/>
                <w:color w:val="000000"/>
                <w:lang w:eastAsia="en-GB"/>
              </w:rPr>
              <w:fldChar w:fldCharType="end"/>
            </w:r>
            <w:r w:rsidR="00D2016D">
              <w:rPr>
                <w:rFonts w:cs="Calibri"/>
                <w:color w:val="000000"/>
                <w:lang w:eastAsia="en-GB"/>
              </w:rPr>
              <w:t xml:space="preserve">, </w:t>
            </w:r>
            <w:r w:rsidR="00D2016D">
              <w:rPr>
                <w:rFonts w:cs="Calibri"/>
                <w:color w:val="000000"/>
                <w:lang w:eastAsia="en-GB"/>
              </w:rPr>
              <w:fldChar w:fldCharType="begin"/>
            </w:r>
            <w:r w:rsidR="00D2016D">
              <w:rPr>
                <w:rFonts w:cs="Calibri"/>
                <w:color w:val="000000"/>
                <w:lang w:eastAsia="en-GB"/>
              </w:rPr>
              <w:instrText xml:space="preserve"> NOTEREF _Ref341196761 \h </w:instrText>
            </w:r>
            <w:r w:rsidR="00D2016D">
              <w:rPr>
                <w:rFonts w:cs="Calibri"/>
                <w:color w:val="000000"/>
                <w:lang w:eastAsia="en-GB"/>
              </w:rPr>
            </w:r>
            <w:r w:rsidR="00D2016D">
              <w:rPr>
                <w:rFonts w:cs="Calibri"/>
                <w:color w:val="000000"/>
                <w:lang w:eastAsia="en-GB"/>
              </w:rPr>
              <w:fldChar w:fldCharType="separate"/>
            </w:r>
            <w:r w:rsidR="009462C5">
              <w:rPr>
                <w:rFonts w:cs="Calibri"/>
                <w:color w:val="000000"/>
                <w:lang w:eastAsia="en-GB"/>
              </w:rPr>
              <w:t>17</w:t>
            </w:r>
            <w:r w:rsidR="00D2016D">
              <w:rPr>
                <w:rFonts w:cs="Calibri"/>
                <w:color w:val="000000"/>
                <w:lang w:eastAsia="en-GB"/>
              </w:rPr>
              <w:fldChar w:fldCharType="end"/>
            </w:r>
            <w:r w:rsidR="00D2016D">
              <w:rPr>
                <w:rFonts w:cs="Calibri"/>
                <w:color w:val="000000"/>
                <w:lang w:eastAsia="en-GB"/>
              </w:rPr>
              <w:t>)</w:t>
            </w:r>
          </w:p>
        </w:tc>
        <w:tc>
          <w:tcPr>
            <w:tcW w:w="730" w:type="dxa"/>
            <w:noWrap/>
            <w:vAlign w:val="center"/>
          </w:tcPr>
          <w:p w14:paraId="605C1CF5"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2002-2005</w:t>
            </w:r>
          </w:p>
        </w:tc>
        <w:tc>
          <w:tcPr>
            <w:tcW w:w="11155" w:type="dxa"/>
            <w:vAlign w:val="center"/>
          </w:tcPr>
          <w:p w14:paraId="48CFDBDD"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2002 report warned of an obesity</w:t>
            </w:r>
            <w:r w:rsidR="00D2016D">
              <w:rPr>
                <w:rFonts w:cs="Calibri"/>
                <w:color w:val="000000"/>
                <w:lang w:eastAsia="en-GB"/>
              </w:rPr>
              <w:t xml:space="preserve"> ‘time bomb’</w:t>
            </w:r>
            <w:r w:rsidRPr="00D20E62">
              <w:rPr>
                <w:rFonts w:cs="Calibri"/>
                <w:color w:val="000000"/>
                <w:lang w:eastAsia="en-GB"/>
              </w:rPr>
              <w:t>. Prevalence and trend data for adults were presented as were statistics on child obesity, health inequalities and ethnic differences in obesity. Obesity highlighted as a particular problem for the West Midlands in 2003, the East Midlands in 2004 and childhood obesity for London in 2005.</w:t>
            </w:r>
          </w:p>
        </w:tc>
      </w:tr>
      <w:tr w:rsidR="00E3073B" w:rsidRPr="002A3AAE" w14:paraId="1C8C9C3E" w14:textId="77777777" w:rsidTr="00334A08">
        <w:trPr>
          <w:trHeight w:val="344"/>
        </w:trPr>
        <w:tc>
          <w:tcPr>
            <w:tcW w:w="2749" w:type="dxa"/>
            <w:vAlign w:val="center"/>
          </w:tcPr>
          <w:p w14:paraId="52628934"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A Leaner Fitter Future</w:t>
            </w:r>
            <w:r w:rsidR="00D2016D">
              <w:rPr>
                <w:rFonts w:cs="Calibri"/>
                <w:color w:val="000000"/>
                <w:lang w:eastAsia="en-GB"/>
              </w:rPr>
              <w:t xml:space="preserve"> (</w:t>
            </w:r>
            <w:r w:rsidR="00D2016D" w:rsidRPr="00D2016D">
              <w:rPr>
                <w:rStyle w:val="EndnoteReference"/>
                <w:color w:val="000000"/>
                <w:vertAlign w:val="baseline"/>
                <w:lang w:eastAsia="en-GB"/>
              </w:rPr>
              <w:endnoteReference w:id="55"/>
            </w:r>
            <w:r w:rsidR="00D2016D">
              <w:rPr>
                <w:rFonts w:cs="Calibri"/>
                <w:color w:val="000000"/>
                <w:lang w:eastAsia="en-GB"/>
              </w:rPr>
              <w:t>)</w:t>
            </w:r>
          </w:p>
        </w:tc>
        <w:tc>
          <w:tcPr>
            <w:tcW w:w="730" w:type="dxa"/>
            <w:noWrap/>
            <w:vAlign w:val="center"/>
          </w:tcPr>
          <w:p w14:paraId="29365FC4"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2003</w:t>
            </w:r>
          </w:p>
        </w:tc>
        <w:tc>
          <w:tcPr>
            <w:tcW w:w="11155" w:type="dxa"/>
            <w:vAlign w:val="center"/>
          </w:tcPr>
          <w:p w14:paraId="2604ADCF"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Presents figures on prevalence and on trend. Discussed in parliament</w:t>
            </w:r>
            <w:r w:rsidR="00D2016D">
              <w:rPr>
                <w:rFonts w:cs="Calibri"/>
                <w:color w:val="000000"/>
                <w:lang w:eastAsia="en-GB"/>
              </w:rPr>
              <w:t xml:space="preserve"> (</w:t>
            </w:r>
            <w:r w:rsidRPr="00D2016D">
              <w:rPr>
                <w:rStyle w:val="EndnoteReference"/>
                <w:rFonts w:cs="Calibri"/>
                <w:color w:val="000000"/>
                <w:vertAlign w:val="baseline"/>
                <w:lang w:eastAsia="en-GB"/>
              </w:rPr>
              <w:endnoteReference w:id="56"/>
            </w:r>
            <w:r w:rsidR="00D2016D">
              <w:rPr>
                <w:rFonts w:cs="Calibri"/>
                <w:color w:val="000000"/>
                <w:lang w:eastAsia="en-GB"/>
              </w:rPr>
              <w:t>)</w:t>
            </w:r>
            <w:r w:rsidRPr="00D20E62">
              <w:rPr>
                <w:rFonts w:cs="Calibri"/>
                <w:color w:val="000000"/>
                <w:lang w:eastAsia="en-GB"/>
              </w:rPr>
              <w:t xml:space="preserve"> and was reported to be putting pressure on ministers to </w:t>
            </w:r>
            <w:r w:rsidR="00D2016D">
              <w:rPr>
                <w:rFonts w:cs="Calibri"/>
                <w:color w:val="000000"/>
                <w:lang w:eastAsia="en-GB"/>
              </w:rPr>
              <w:t>consider obesity more seriously (</w:t>
            </w:r>
            <w:r w:rsidRPr="00D2016D">
              <w:rPr>
                <w:rStyle w:val="EndnoteReference"/>
                <w:rFonts w:cs="Calibri"/>
                <w:color w:val="000000"/>
                <w:vertAlign w:val="baseline"/>
                <w:lang w:eastAsia="en-GB"/>
              </w:rPr>
              <w:endnoteReference w:id="57"/>
            </w:r>
            <w:r w:rsidR="00D2016D">
              <w:rPr>
                <w:rFonts w:cs="Calibri"/>
                <w:color w:val="000000"/>
                <w:lang w:eastAsia="en-GB"/>
              </w:rPr>
              <w:t>).</w:t>
            </w:r>
          </w:p>
        </w:tc>
      </w:tr>
      <w:tr w:rsidR="00E3073B" w:rsidRPr="002A3AAE" w14:paraId="686A76F6" w14:textId="77777777" w:rsidTr="00334A08">
        <w:trPr>
          <w:trHeight w:val="254"/>
        </w:trPr>
        <w:tc>
          <w:tcPr>
            <w:tcW w:w="2749" w:type="dxa"/>
            <w:vAlign w:val="center"/>
          </w:tcPr>
          <w:p w14:paraId="5952B949"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Storing up future problems, RCP</w:t>
            </w:r>
            <w:r w:rsidR="00677397">
              <w:rPr>
                <w:rFonts w:cs="Calibri"/>
                <w:color w:val="000000"/>
                <w:lang w:eastAsia="en-GB"/>
              </w:rPr>
              <w:t xml:space="preserve"> (</w:t>
            </w:r>
            <w:r w:rsidR="00677397" w:rsidRPr="00677397">
              <w:rPr>
                <w:rStyle w:val="EndnoteReference"/>
                <w:color w:val="000000"/>
                <w:vertAlign w:val="baseline"/>
                <w:lang w:eastAsia="en-GB"/>
              </w:rPr>
              <w:endnoteReference w:id="58"/>
            </w:r>
            <w:r w:rsidR="00677397">
              <w:rPr>
                <w:rFonts w:cs="Calibri"/>
                <w:color w:val="000000"/>
                <w:lang w:eastAsia="en-GB"/>
              </w:rPr>
              <w:t>)</w:t>
            </w:r>
          </w:p>
        </w:tc>
        <w:tc>
          <w:tcPr>
            <w:tcW w:w="730" w:type="dxa"/>
            <w:noWrap/>
            <w:vAlign w:val="center"/>
          </w:tcPr>
          <w:p w14:paraId="559AF94A"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2004</w:t>
            </w:r>
          </w:p>
        </w:tc>
        <w:tc>
          <w:tcPr>
            <w:tcW w:w="11155" w:type="dxa"/>
            <w:vAlign w:val="center"/>
          </w:tcPr>
          <w:p w14:paraId="355A6892"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References the C</w:t>
            </w:r>
            <w:r w:rsidR="00F33DD0">
              <w:rPr>
                <w:rFonts w:cs="Calibri"/>
                <w:color w:val="000000"/>
                <w:lang w:eastAsia="en-GB"/>
              </w:rPr>
              <w:t xml:space="preserve">hief </w:t>
            </w:r>
            <w:r w:rsidRPr="00D20E62">
              <w:rPr>
                <w:rFonts w:cs="Calibri"/>
                <w:color w:val="000000"/>
                <w:lang w:eastAsia="en-GB"/>
              </w:rPr>
              <w:t>M</w:t>
            </w:r>
            <w:r w:rsidR="00F33DD0">
              <w:rPr>
                <w:rFonts w:cs="Calibri"/>
                <w:color w:val="000000"/>
                <w:lang w:eastAsia="en-GB"/>
              </w:rPr>
              <w:t xml:space="preserve">edical </w:t>
            </w:r>
            <w:r w:rsidRPr="00D20E62">
              <w:rPr>
                <w:rFonts w:cs="Calibri"/>
                <w:color w:val="000000"/>
                <w:lang w:eastAsia="en-GB"/>
              </w:rPr>
              <w:t>O</w:t>
            </w:r>
            <w:r w:rsidR="00F33DD0">
              <w:rPr>
                <w:rFonts w:cs="Calibri"/>
                <w:color w:val="000000"/>
                <w:lang w:eastAsia="en-GB"/>
              </w:rPr>
              <w:t>fficer</w:t>
            </w:r>
            <w:r>
              <w:rPr>
                <w:rFonts w:cs="Calibri"/>
                <w:color w:val="000000"/>
                <w:lang w:eastAsia="en-GB"/>
              </w:rPr>
              <w:t>’</w:t>
            </w:r>
            <w:r w:rsidRPr="00D20E62">
              <w:rPr>
                <w:rFonts w:cs="Calibri"/>
                <w:color w:val="000000"/>
                <w:lang w:eastAsia="en-GB"/>
              </w:rPr>
              <w:t>s 2002 report and N</w:t>
            </w:r>
            <w:r w:rsidR="00F33DD0">
              <w:rPr>
                <w:rFonts w:cs="Calibri"/>
                <w:color w:val="000000"/>
                <w:lang w:eastAsia="en-GB"/>
              </w:rPr>
              <w:t xml:space="preserve">ational </w:t>
            </w:r>
            <w:r w:rsidRPr="00D20E62">
              <w:rPr>
                <w:rFonts w:cs="Calibri"/>
                <w:color w:val="000000"/>
                <w:lang w:eastAsia="en-GB"/>
              </w:rPr>
              <w:t>A</w:t>
            </w:r>
            <w:r w:rsidR="00F33DD0">
              <w:rPr>
                <w:rFonts w:cs="Calibri"/>
                <w:color w:val="000000"/>
                <w:lang w:eastAsia="en-GB"/>
              </w:rPr>
              <w:t xml:space="preserve">udit </w:t>
            </w:r>
            <w:r w:rsidRPr="00D20E62">
              <w:rPr>
                <w:rFonts w:cs="Calibri"/>
                <w:color w:val="000000"/>
                <w:lang w:eastAsia="en-GB"/>
              </w:rPr>
              <w:t>O</w:t>
            </w:r>
            <w:r w:rsidR="00F33DD0">
              <w:rPr>
                <w:rFonts w:cs="Calibri"/>
                <w:color w:val="000000"/>
                <w:lang w:eastAsia="en-GB"/>
              </w:rPr>
              <w:t>ffice</w:t>
            </w:r>
            <w:r w:rsidRPr="00D20E62">
              <w:rPr>
                <w:rFonts w:cs="Calibri"/>
                <w:color w:val="000000"/>
                <w:lang w:eastAsia="en-GB"/>
              </w:rPr>
              <w:t xml:space="preserve"> 2001 report. Presents figures from H</w:t>
            </w:r>
            <w:r w:rsidR="00F33DD0">
              <w:rPr>
                <w:rFonts w:cs="Calibri"/>
                <w:color w:val="000000"/>
                <w:lang w:eastAsia="en-GB"/>
              </w:rPr>
              <w:t xml:space="preserve">ealth </w:t>
            </w:r>
            <w:r w:rsidRPr="00D20E62">
              <w:rPr>
                <w:rFonts w:cs="Calibri"/>
                <w:color w:val="000000"/>
                <w:lang w:eastAsia="en-GB"/>
              </w:rPr>
              <w:t>S</w:t>
            </w:r>
            <w:r w:rsidR="00F33DD0">
              <w:rPr>
                <w:rFonts w:cs="Calibri"/>
                <w:color w:val="000000"/>
                <w:lang w:eastAsia="en-GB"/>
              </w:rPr>
              <w:t xml:space="preserve">urvey for </w:t>
            </w:r>
            <w:r w:rsidRPr="00D20E62">
              <w:rPr>
                <w:rFonts w:cs="Calibri"/>
                <w:color w:val="000000"/>
                <w:lang w:eastAsia="en-GB"/>
              </w:rPr>
              <w:t>E</w:t>
            </w:r>
            <w:r w:rsidR="00F33DD0">
              <w:rPr>
                <w:rFonts w:cs="Calibri"/>
                <w:color w:val="000000"/>
                <w:lang w:eastAsia="en-GB"/>
              </w:rPr>
              <w:t>ngland</w:t>
            </w:r>
            <w:r w:rsidRPr="00D20E62">
              <w:rPr>
                <w:rFonts w:cs="Calibri"/>
                <w:color w:val="000000"/>
                <w:lang w:eastAsia="en-GB"/>
              </w:rPr>
              <w:t xml:space="preserve"> 2002. Raises profile of obesity among the medical profession.</w:t>
            </w:r>
          </w:p>
        </w:tc>
      </w:tr>
      <w:tr w:rsidR="00E3073B" w:rsidRPr="002A3AAE" w14:paraId="00ABEBB9" w14:textId="77777777" w:rsidTr="00334A08">
        <w:trPr>
          <w:trHeight w:val="249"/>
        </w:trPr>
        <w:tc>
          <w:tcPr>
            <w:tcW w:w="2749" w:type="dxa"/>
            <w:vAlign w:val="center"/>
          </w:tcPr>
          <w:p w14:paraId="5762B7F9"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The House of Commons Select Committee Report on Obesity</w:t>
            </w:r>
            <w:r w:rsidR="00F33DD0">
              <w:rPr>
                <w:rFonts w:cs="Calibri"/>
                <w:color w:val="000000"/>
                <w:lang w:eastAsia="en-GB"/>
              </w:rPr>
              <w:t xml:space="preserve"> (</w:t>
            </w:r>
            <w:r w:rsidR="00F33DD0" w:rsidRPr="00F33DD0">
              <w:rPr>
                <w:rStyle w:val="EndnoteReference"/>
                <w:color w:val="000000"/>
                <w:vertAlign w:val="baseline"/>
                <w:lang w:eastAsia="en-GB"/>
              </w:rPr>
              <w:endnoteReference w:id="59"/>
            </w:r>
            <w:r w:rsidR="00F33DD0">
              <w:rPr>
                <w:rFonts w:cs="Calibri"/>
                <w:color w:val="000000"/>
                <w:lang w:eastAsia="en-GB"/>
              </w:rPr>
              <w:t>)</w:t>
            </w:r>
          </w:p>
        </w:tc>
        <w:tc>
          <w:tcPr>
            <w:tcW w:w="730" w:type="dxa"/>
            <w:noWrap/>
            <w:vAlign w:val="center"/>
          </w:tcPr>
          <w:p w14:paraId="0138A7EC"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2004</w:t>
            </w:r>
          </w:p>
        </w:tc>
        <w:tc>
          <w:tcPr>
            <w:tcW w:w="11155" w:type="dxa"/>
            <w:vAlign w:val="center"/>
          </w:tcPr>
          <w:p w14:paraId="758EC1C0"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Prevalence figures used to quantify health implications, social and economic costs, so as to make recommendations for government strategy.</w:t>
            </w:r>
          </w:p>
        </w:tc>
      </w:tr>
      <w:tr w:rsidR="00E3073B" w:rsidRPr="002A3AAE" w14:paraId="129B3D84" w14:textId="77777777" w:rsidTr="00334A08">
        <w:trPr>
          <w:trHeight w:val="187"/>
        </w:trPr>
        <w:tc>
          <w:tcPr>
            <w:tcW w:w="2749" w:type="dxa"/>
            <w:vAlign w:val="center"/>
          </w:tcPr>
          <w:p w14:paraId="5E7ED8B8"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Choosing Health: Making Healthy Choices Easier</w:t>
            </w:r>
            <w:r w:rsidR="00F33DD0">
              <w:rPr>
                <w:rFonts w:cs="Calibri"/>
                <w:color w:val="000000"/>
                <w:lang w:eastAsia="en-GB"/>
              </w:rPr>
              <w:t xml:space="preserve"> (</w:t>
            </w:r>
            <w:r w:rsidR="00F33DD0" w:rsidRPr="00F33DD0">
              <w:rPr>
                <w:rStyle w:val="EndnoteReference"/>
                <w:color w:val="000000"/>
                <w:vertAlign w:val="baseline"/>
                <w:lang w:eastAsia="en-GB"/>
              </w:rPr>
              <w:endnoteReference w:id="60"/>
            </w:r>
            <w:r w:rsidR="00F33DD0">
              <w:rPr>
                <w:rFonts w:cs="Calibri"/>
                <w:color w:val="000000"/>
                <w:lang w:eastAsia="en-GB"/>
              </w:rPr>
              <w:t>)</w:t>
            </w:r>
          </w:p>
        </w:tc>
        <w:tc>
          <w:tcPr>
            <w:tcW w:w="730" w:type="dxa"/>
            <w:noWrap/>
            <w:vAlign w:val="center"/>
          </w:tcPr>
          <w:p w14:paraId="434CF3BF"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2004</w:t>
            </w:r>
          </w:p>
        </w:tc>
        <w:tc>
          <w:tcPr>
            <w:tcW w:w="11155" w:type="dxa"/>
            <w:vAlign w:val="center"/>
          </w:tcPr>
          <w:p w14:paraId="7A2FB0B6"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Prevalence data presented to justify inclusion of this issue as one of six government health priorities.</w:t>
            </w:r>
          </w:p>
        </w:tc>
      </w:tr>
      <w:tr w:rsidR="00E3073B" w:rsidRPr="002A3AAE" w14:paraId="66C3B944" w14:textId="77777777" w:rsidTr="00334A08">
        <w:trPr>
          <w:trHeight w:val="142"/>
        </w:trPr>
        <w:tc>
          <w:tcPr>
            <w:tcW w:w="2749" w:type="dxa"/>
            <w:vAlign w:val="center"/>
          </w:tcPr>
          <w:p w14:paraId="6893AD1E"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Preventing Childhood obesity, BMA</w:t>
            </w:r>
            <w:r w:rsidR="00F33DD0">
              <w:rPr>
                <w:rFonts w:cs="Calibri"/>
                <w:color w:val="000000"/>
                <w:lang w:eastAsia="en-GB"/>
              </w:rPr>
              <w:t xml:space="preserve"> (</w:t>
            </w:r>
            <w:r w:rsidR="00F33DD0" w:rsidRPr="00F33DD0">
              <w:rPr>
                <w:rStyle w:val="EndnoteReference"/>
                <w:color w:val="000000"/>
                <w:vertAlign w:val="baseline"/>
                <w:lang w:eastAsia="en-GB"/>
              </w:rPr>
              <w:endnoteReference w:id="61"/>
            </w:r>
            <w:r w:rsidR="00F33DD0">
              <w:rPr>
                <w:rFonts w:cs="Calibri"/>
                <w:color w:val="000000"/>
                <w:lang w:eastAsia="en-GB"/>
              </w:rPr>
              <w:t>)</w:t>
            </w:r>
          </w:p>
        </w:tc>
        <w:tc>
          <w:tcPr>
            <w:tcW w:w="730" w:type="dxa"/>
            <w:noWrap/>
            <w:vAlign w:val="center"/>
          </w:tcPr>
          <w:p w14:paraId="046552A3"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2005</w:t>
            </w:r>
          </w:p>
        </w:tc>
        <w:tc>
          <w:tcPr>
            <w:tcW w:w="11155" w:type="dxa"/>
            <w:vAlign w:val="center"/>
          </w:tcPr>
          <w:p w14:paraId="3E1FD88F"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Presents prevalence figures and trend data on childhood obesity to urge action from medical professionals in the context of Choosing Health.</w:t>
            </w:r>
          </w:p>
        </w:tc>
      </w:tr>
      <w:tr w:rsidR="00E3073B" w:rsidRPr="002A3AAE" w14:paraId="55E4F782" w14:textId="77777777" w:rsidTr="00334A08">
        <w:trPr>
          <w:trHeight w:val="232"/>
        </w:trPr>
        <w:tc>
          <w:tcPr>
            <w:tcW w:w="2749" w:type="dxa"/>
            <w:vAlign w:val="center"/>
          </w:tcPr>
          <w:p w14:paraId="7DA7654D"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Choosing a better diet</w:t>
            </w:r>
            <w:r w:rsidR="00F33DD0">
              <w:rPr>
                <w:rFonts w:cs="Calibri"/>
                <w:color w:val="000000"/>
                <w:lang w:eastAsia="en-GB"/>
              </w:rPr>
              <w:t xml:space="preserve"> (</w:t>
            </w:r>
            <w:bookmarkStart w:id="36" w:name="_Ref341278571"/>
            <w:r w:rsidR="00F33DD0" w:rsidRPr="00F33DD0">
              <w:rPr>
                <w:rStyle w:val="EndnoteReference"/>
                <w:color w:val="000000"/>
                <w:vertAlign w:val="baseline"/>
                <w:lang w:eastAsia="en-GB"/>
              </w:rPr>
              <w:endnoteReference w:id="62"/>
            </w:r>
            <w:bookmarkEnd w:id="36"/>
            <w:r w:rsidR="00F33DD0">
              <w:rPr>
                <w:rFonts w:cs="Calibri"/>
                <w:color w:val="000000"/>
                <w:lang w:eastAsia="en-GB"/>
              </w:rPr>
              <w:t>)</w:t>
            </w:r>
          </w:p>
        </w:tc>
        <w:tc>
          <w:tcPr>
            <w:tcW w:w="730" w:type="dxa"/>
            <w:noWrap/>
            <w:vAlign w:val="center"/>
          </w:tcPr>
          <w:p w14:paraId="19E647FE"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2005</w:t>
            </w:r>
          </w:p>
        </w:tc>
        <w:tc>
          <w:tcPr>
            <w:tcW w:w="11155" w:type="dxa"/>
            <w:vAlign w:val="center"/>
          </w:tcPr>
          <w:p w14:paraId="326488E8"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Presents figures on prevalence and trends for context setting and to justify production of the strategy.</w:t>
            </w:r>
          </w:p>
        </w:tc>
      </w:tr>
      <w:tr w:rsidR="00E3073B" w:rsidRPr="002A3AAE" w14:paraId="14A0BA0E" w14:textId="77777777" w:rsidTr="00334A08">
        <w:trPr>
          <w:trHeight w:val="197"/>
        </w:trPr>
        <w:tc>
          <w:tcPr>
            <w:tcW w:w="2749" w:type="dxa"/>
            <w:vAlign w:val="center"/>
          </w:tcPr>
          <w:p w14:paraId="4BF81E27" w14:textId="2317312C"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NICE obesity guidance CG43</w:t>
            </w:r>
            <w:r w:rsidR="00F33DD0">
              <w:rPr>
                <w:rFonts w:cs="Calibri"/>
                <w:color w:val="000000"/>
                <w:lang w:eastAsia="en-GB"/>
              </w:rPr>
              <w:t xml:space="preserve"> (</w:t>
            </w:r>
            <w:r w:rsidR="00F33DD0">
              <w:rPr>
                <w:rFonts w:cs="Calibri"/>
                <w:color w:val="000000"/>
                <w:lang w:eastAsia="en-GB"/>
              </w:rPr>
              <w:fldChar w:fldCharType="begin"/>
            </w:r>
            <w:r w:rsidR="00F33DD0">
              <w:rPr>
                <w:rFonts w:cs="Calibri"/>
                <w:color w:val="000000"/>
                <w:lang w:eastAsia="en-GB"/>
              </w:rPr>
              <w:instrText xml:space="preserve"> NOTEREF _Ref341192229 \h </w:instrText>
            </w:r>
            <w:r w:rsidR="00F33DD0">
              <w:rPr>
                <w:rFonts w:cs="Calibri"/>
                <w:color w:val="000000"/>
                <w:lang w:eastAsia="en-GB"/>
              </w:rPr>
            </w:r>
            <w:r w:rsidR="00F33DD0">
              <w:rPr>
                <w:rFonts w:cs="Calibri"/>
                <w:color w:val="000000"/>
                <w:lang w:eastAsia="en-GB"/>
              </w:rPr>
              <w:fldChar w:fldCharType="separate"/>
            </w:r>
            <w:r w:rsidR="009462C5">
              <w:rPr>
                <w:rFonts w:cs="Calibri"/>
                <w:color w:val="000000"/>
                <w:lang w:eastAsia="en-GB"/>
              </w:rPr>
              <w:t>36</w:t>
            </w:r>
            <w:r w:rsidR="00F33DD0">
              <w:rPr>
                <w:rFonts w:cs="Calibri"/>
                <w:color w:val="000000"/>
                <w:lang w:eastAsia="en-GB"/>
              </w:rPr>
              <w:fldChar w:fldCharType="end"/>
            </w:r>
            <w:r w:rsidR="00F33DD0">
              <w:rPr>
                <w:rFonts w:cs="Calibri"/>
                <w:color w:val="000000"/>
                <w:lang w:eastAsia="en-GB"/>
              </w:rPr>
              <w:t>)</w:t>
            </w:r>
          </w:p>
        </w:tc>
        <w:tc>
          <w:tcPr>
            <w:tcW w:w="730" w:type="dxa"/>
            <w:noWrap/>
            <w:vAlign w:val="center"/>
          </w:tcPr>
          <w:p w14:paraId="08A9958A"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2006</w:t>
            </w:r>
          </w:p>
        </w:tc>
        <w:tc>
          <w:tcPr>
            <w:tcW w:w="11155" w:type="dxa"/>
            <w:vAlign w:val="center"/>
          </w:tcPr>
          <w:p w14:paraId="6CDA7AAA"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Uses data on prevalence and trend for context setting, to justify production of this document and to urge use of it in order to address this important issue.</w:t>
            </w:r>
          </w:p>
        </w:tc>
      </w:tr>
      <w:tr w:rsidR="00E3073B" w:rsidRPr="002A3AAE" w14:paraId="0341BB59" w14:textId="77777777" w:rsidTr="000C228D">
        <w:trPr>
          <w:trHeight w:val="528"/>
        </w:trPr>
        <w:tc>
          <w:tcPr>
            <w:tcW w:w="2749" w:type="dxa"/>
            <w:vAlign w:val="center"/>
          </w:tcPr>
          <w:p w14:paraId="750E6CF2"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Health Profile of England and Local Health profiles</w:t>
            </w:r>
            <w:r w:rsidR="007F2A24">
              <w:rPr>
                <w:rFonts w:cs="Calibri"/>
                <w:color w:val="000000"/>
                <w:lang w:eastAsia="en-GB"/>
              </w:rPr>
              <w:t xml:space="preserve"> (</w:t>
            </w:r>
            <w:r w:rsidR="007F2A24" w:rsidRPr="007F2A24">
              <w:rPr>
                <w:rStyle w:val="EndnoteReference"/>
                <w:color w:val="000000"/>
                <w:vertAlign w:val="baseline"/>
                <w:lang w:eastAsia="en-GB"/>
              </w:rPr>
              <w:endnoteReference w:id="63"/>
            </w:r>
            <w:r w:rsidR="007F2A24">
              <w:rPr>
                <w:rFonts w:cs="Calibri"/>
                <w:color w:val="000000"/>
                <w:lang w:eastAsia="en-GB"/>
              </w:rPr>
              <w:t>)</w:t>
            </w:r>
          </w:p>
        </w:tc>
        <w:tc>
          <w:tcPr>
            <w:tcW w:w="730" w:type="dxa"/>
            <w:noWrap/>
            <w:vAlign w:val="center"/>
          </w:tcPr>
          <w:p w14:paraId="45767327"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2006-2009</w:t>
            </w:r>
          </w:p>
        </w:tc>
        <w:tc>
          <w:tcPr>
            <w:tcW w:w="11155" w:type="dxa"/>
            <w:vAlign w:val="center"/>
          </w:tcPr>
          <w:p w14:paraId="6C2C86F1" w14:textId="3D161862" w:rsidR="00E3073B" w:rsidRPr="00D20E62" w:rsidRDefault="00E3073B" w:rsidP="003D4F13">
            <w:pPr>
              <w:spacing w:after="0" w:line="240" w:lineRule="auto"/>
              <w:contextualSpacing/>
              <w:rPr>
                <w:rFonts w:cs="Calibri"/>
                <w:color w:val="000000"/>
                <w:lang w:eastAsia="en-GB"/>
              </w:rPr>
            </w:pPr>
            <w:r w:rsidRPr="00D20E62">
              <w:rPr>
                <w:rFonts w:cs="Calibri"/>
                <w:color w:val="000000"/>
                <w:lang w:eastAsia="en-GB"/>
              </w:rPr>
              <w:t>Indicators presented in the health profiles reflect the six priority areas identified in Choosing Health. These profiles were for public service professionals and local councillors. Prevalence data was used for the obese adults indicator, and for the obese children indicator, until the NCMP was validated for this purpose. Prevalence and trend data is presented in the "rationale" attached to both the childho</w:t>
            </w:r>
            <w:r w:rsidR="003D4F13">
              <w:rPr>
                <w:rFonts w:cs="Calibri"/>
                <w:color w:val="000000"/>
                <w:lang w:eastAsia="en-GB"/>
              </w:rPr>
              <w:t xml:space="preserve">od and adult obesity indicator </w:t>
            </w:r>
            <w:r w:rsidRPr="00D20E62">
              <w:rPr>
                <w:rFonts w:cs="Calibri"/>
                <w:color w:val="000000"/>
                <w:lang w:eastAsia="en-GB"/>
              </w:rPr>
              <w:t>justifying their inclusion.</w:t>
            </w:r>
          </w:p>
        </w:tc>
      </w:tr>
      <w:tr w:rsidR="00E3073B" w:rsidRPr="002A3AAE" w14:paraId="0A802CBE" w14:textId="77777777" w:rsidTr="00334A08">
        <w:trPr>
          <w:trHeight w:val="129"/>
        </w:trPr>
        <w:tc>
          <w:tcPr>
            <w:tcW w:w="2749" w:type="dxa"/>
            <w:vAlign w:val="center"/>
          </w:tcPr>
          <w:p w14:paraId="0BBCF91C" w14:textId="4BC63CBA"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Healthy weight, healthy lives: a cross-government strategy for England</w:t>
            </w:r>
            <w:r w:rsidR="007C6B30">
              <w:rPr>
                <w:rFonts w:cs="Calibri"/>
                <w:color w:val="000000"/>
                <w:lang w:eastAsia="en-GB"/>
              </w:rPr>
              <w:t xml:space="preserve"> (</w:t>
            </w:r>
            <w:r w:rsidR="007C6B30">
              <w:rPr>
                <w:rFonts w:cs="Calibri"/>
                <w:color w:val="000000"/>
                <w:lang w:eastAsia="en-GB"/>
              </w:rPr>
              <w:fldChar w:fldCharType="begin"/>
            </w:r>
            <w:r w:rsidR="007C6B30">
              <w:rPr>
                <w:rFonts w:cs="Calibri"/>
                <w:color w:val="000000"/>
                <w:lang w:eastAsia="en-GB"/>
              </w:rPr>
              <w:instrText xml:space="preserve"> NOTEREF _Ref341192001 \h </w:instrText>
            </w:r>
            <w:r w:rsidR="007C6B30">
              <w:rPr>
                <w:rFonts w:cs="Calibri"/>
                <w:color w:val="000000"/>
                <w:lang w:eastAsia="en-GB"/>
              </w:rPr>
            </w:r>
            <w:r w:rsidR="007C6B30">
              <w:rPr>
                <w:rFonts w:cs="Calibri"/>
                <w:color w:val="000000"/>
                <w:lang w:eastAsia="en-GB"/>
              </w:rPr>
              <w:fldChar w:fldCharType="separate"/>
            </w:r>
            <w:r w:rsidR="009462C5">
              <w:rPr>
                <w:rFonts w:cs="Calibri"/>
                <w:color w:val="000000"/>
                <w:lang w:eastAsia="en-GB"/>
              </w:rPr>
              <w:t>27</w:t>
            </w:r>
            <w:r w:rsidR="007C6B30">
              <w:rPr>
                <w:rFonts w:cs="Calibri"/>
                <w:color w:val="000000"/>
                <w:lang w:eastAsia="en-GB"/>
              </w:rPr>
              <w:fldChar w:fldCharType="end"/>
            </w:r>
            <w:r w:rsidR="007C6B30">
              <w:rPr>
                <w:rFonts w:cs="Calibri"/>
                <w:color w:val="000000"/>
                <w:lang w:eastAsia="en-GB"/>
              </w:rPr>
              <w:t>)</w:t>
            </w:r>
          </w:p>
        </w:tc>
        <w:tc>
          <w:tcPr>
            <w:tcW w:w="730" w:type="dxa"/>
            <w:noWrap/>
            <w:vAlign w:val="center"/>
          </w:tcPr>
          <w:p w14:paraId="6BAD6E5B"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2007</w:t>
            </w:r>
          </w:p>
        </w:tc>
        <w:tc>
          <w:tcPr>
            <w:tcW w:w="11155" w:type="dxa"/>
            <w:vAlign w:val="center"/>
          </w:tcPr>
          <w:p w14:paraId="776F78F4"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Data on prevalence and trend used for context setting and to justify development of this strategy.</w:t>
            </w:r>
          </w:p>
        </w:tc>
      </w:tr>
      <w:tr w:rsidR="00E3073B" w:rsidRPr="002A3AAE" w14:paraId="665C9E6E" w14:textId="77777777" w:rsidTr="00334A08">
        <w:trPr>
          <w:trHeight w:val="266"/>
        </w:trPr>
        <w:tc>
          <w:tcPr>
            <w:tcW w:w="2749" w:type="dxa"/>
            <w:vAlign w:val="center"/>
          </w:tcPr>
          <w:p w14:paraId="7241317D" w14:textId="0F1479F3" w:rsidR="00E3073B" w:rsidRPr="00D20E62" w:rsidRDefault="00E3073B" w:rsidP="00265BDB">
            <w:pPr>
              <w:spacing w:after="0" w:line="240" w:lineRule="auto"/>
              <w:contextualSpacing/>
              <w:rPr>
                <w:rFonts w:cs="Calibri"/>
                <w:color w:val="000000"/>
                <w:lang w:eastAsia="en-GB"/>
              </w:rPr>
            </w:pPr>
            <w:r w:rsidRPr="00D20E62">
              <w:rPr>
                <w:rFonts w:cs="Calibri"/>
                <w:color w:val="000000"/>
                <w:lang w:eastAsia="en-GB"/>
              </w:rPr>
              <w:t xml:space="preserve">Tackling obesities: Future </w:t>
            </w:r>
            <w:r w:rsidRPr="00D20E62">
              <w:rPr>
                <w:rFonts w:cs="Calibri"/>
                <w:color w:val="000000"/>
                <w:lang w:eastAsia="en-GB"/>
              </w:rPr>
              <w:lastRenderedPageBreak/>
              <w:t>choices (Foresight Report)</w:t>
            </w:r>
            <w:r w:rsidR="007C6B30">
              <w:rPr>
                <w:rFonts w:cs="Calibri"/>
                <w:color w:val="000000"/>
                <w:lang w:eastAsia="en-GB"/>
              </w:rPr>
              <w:t xml:space="preserve"> (</w:t>
            </w:r>
            <w:r w:rsidR="00265BDB">
              <w:rPr>
                <w:rFonts w:cs="Calibri"/>
                <w:color w:val="000000"/>
                <w:lang w:eastAsia="en-GB"/>
              </w:rPr>
              <w:fldChar w:fldCharType="begin"/>
            </w:r>
            <w:r w:rsidR="00265BDB">
              <w:rPr>
                <w:rFonts w:cs="Calibri"/>
                <w:color w:val="000000"/>
                <w:lang w:eastAsia="en-GB"/>
              </w:rPr>
              <w:instrText xml:space="preserve"> NOTEREF _Ref341184686 \h </w:instrText>
            </w:r>
            <w:r w:rsidR="00265BDB">
              <w:rPr>
                <w:rFonts w:cs="Calibri"/>
                <w:color w:val="000000"/>
                <w:lang w:eastAsia="en-GB"/>
              </w:rPr>
            </w:r>
            <w:r w:rsidR="00265BDB">
              <w:rPr>
                <w:rFonts w:cs="Calibri"/>
                <w:color w:val="000000"/>
                <w:lang w:eastAsia="en-GB"/>
              </w:rPr>
              <w:fldChar w:fldCharType="separate"/>
            </w:r>
            <w:r w:rsidR="009462C5">
              <w:rPr>
                <w:rFonts w:cs="Calibri"/>
                <w:color w:val="000000"/>
                <w:lang w:eastAsia="en-GB"/>
              </w:rPr>
              <w:t>26</w:t>
            </w:r>
            <w:r w:rsidR="00265BDB">
              <w:rPr>
                <w:rFonts w:cs="Calibri"/>
                <w:color w:val="000000"/>
                <w:lang w:eastAsia="en-GB"/>
              </w:rPr>
              <w:fldChar w:fldCharType="end"/>
            </w:r>
            <w:r w:rsidR="007C6B30">
              <w:rPr>
                <w:rFonts w:cs="Calibri"/>
                <w:color w:val="000000"/>
                <w:lang w:eastAsia="en-GB"/>
              </w:rPr>
              <w:t>)</w:t>
            </w:r>
          </w:p>
        </w:tc>
        <w:tc>
          <w:tcPr>
            <w:tcW w:w="730" w:type="dxa"/>
            <w:noWrap/>
            <w:vAlign w:val="center"/>
          </w:tcPr>
          <w:p w14:paraId="4A1478A7"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lastRenderedPageBreak/>
              <w:t>2007</w:t>
            </w:r>
          </w:p>
        </w:tc>
        <w:tc>
          <w:tcPr>
            <w:tcW w:w="11155" w:type="dxa"/>
            <w:vAlign w:val="center"/>
          </w:tcPr>
          <w:p w14:paraId="0E657C42"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 xml:space="preserve">Prevalence of and trends in obesity in adults and children, further examined by age-group, social class, ethnicity and </w:t>
            </w:r>
            <w:r w:rsidRPr="00D20E62">
              <w:rPr>
                <w:rFonts w:cs="Calibri"/>
                <w:color w:val="000000"/>
                <w:lang w:eastAsia="en-GB"/>
              </w:rPr>
              <w:lastRenderedPageBreak/>
              <w:t>geographical region. Prevalence figures used to estimate economic costs of overweight and obesity.</w:t>
            </w:r>
          </w:p>
        </w:tc>
      </w:tr>
      <w:tr w:rsidR="00E3073B" w:rsidRPr="002A3AAE" w14:paraId="44210EC1" w14:textId="77777777" w:rsidTr="00334A08">
        <w:trPr>
          <w:trHeight w:val="266"/>
        </w:trPr>
        <w:tc>
          <w:tcPr>
            <w:tcW w:w="2749" w:type="dxa"/>
            <w:vAlign w:val="center"/>
          </w:tcPr>
          <w:p w14:paraId="0A36D37B"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lastRenderedPageBreak/>
              <w:t>National Obesity Observatory work</w:t>
            </w:r>
            <w:r w:rsidR="007F2A24">
              <w:rPr>
                <w:rFonts w:cs="Calibri"/>
                <w:color w:val="000000"/>
                <w:lang w:eastAsia="en-GB"/>
              </w:rPr>
              <w:t xml:space="preserve">  (</w:t>
            </w:r>
            <w:r w:rsidR="007F2A24" w:rsidRPr="007F2A24">
              <w:rPr>
                <w:rStyle w:val="EndnoteReference"/>
                <w:color w:val="000000"/>
                <w:vertAlign w:val="baseline"/>
                <w:lang w:eastAsia="en-GB"/>
              </w:rPr>
              <w:endnoteReference w:id="64"/>
            </w:r>
            <w:r w:rsidR="007F2A24">
              <w:rPr>
                <w:rFonts w:cs="Calibri"/>
                <w:color w:val="000000"/>
                <w:lang w:eastAsia="en-GB"/>
              </w:rPr>
              <w:t>)</w:t>
            </w:r>
          </w:p>
        </w:tc>
        <w:tc>
          <w:tcPr>
            <w:tcW w:w="730" w:type="dxa"/>
            <w:noWrap/>
            <w:vAlign w:val="center"/>
          </w:tcPr>
          <w:p w14:paraId="745BD046"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2007-2012</w:t>
            </w:r>
          </w:p>
        </w:tc>
        <w:tc>
          <w:tcPr>
            <w:tcW w:w="11155" w:type="dxa"/>
            <w:vAlign w:val="center"/>
          </w:tcPr>
          <w:p w14:paraId="01520F49"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Prevalence and trends of adult obesity, examined by age, sex, ethnicity, deprivation quintile, income quintile and examination of the link between obesity and mental illness (GHQ-12 also collected for HSE participants) used in various tools for commissioners, policy-makers and practitioners such as factsheets, briefings, data presentations.</w:t>
            </w:r>
          </w:p>
        </w:tc>
      </w:tr>
      <w:tr w:rsidR="00E3073B" w:rsidRPr="002A3AAE" w14:paraId="65F16C90" w14:textId="77777777" w:rsidTr="00334A08">
        <w:trPr>
          <w:trHeight w:val="286"/>
        </w:trPr>
        <w:tc>
          <w:tcPr>
            <w:tcW w:w="2749" w:type="dxa"/>
            <w:vAlign w:val="center"/>
          </w:tcPr>
          <w:p w14:paraId="433FD489"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Healthy lives, healthy people: our strategy for public health in England</w:t>
            </w:r>
            <w:r w:rsidR="007F2A24">
              <w:rPr>
                <w:rFonts w:cs="Calibri"/>
                <w:color w:val="000000"/>
                <w:lang w:eastAsia="en-GB"/>
              </w:rPr>
              <w:t xml:space="preserve"> (</w:t>
            </w:r>
            <w:r w:rsidR="007F2A24" w:rsidRPr="007F2A24">
              <w:rPr>
                <w:rStyle w:val="EndnoteReference"/>
                <w:color w:val="000000"/>
                <w:vertAlign w:val="baseline"/>
                <w:lang w:eastAsia="en-GB"/>
              </w:rPr>
              <w:endnoteReference w:id="65"/>
            </w:r>
            <w:r w:rsidR="007F2A24">
              <w:rPr>
                <w:rFonts w:cs="Calibri"/>
                <w:color w:val="000000"/>
                <w:lang w:eastAsia="en-GB"/>
              </w:rPr>
              <w:t>)</w:t>
            </w:r>
          </w:p>
        </w:tc>
        <w:tc>
          <w:tcPr>
            <w:tcW w:w="730" w:type="dxa"/>
            <w:noWrap/>
            <w:vAlign w:val="center"/>
          </w:tcPr>
          <w:p w14:paraId="02C96995"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2010</w:t>
            </w:r>
          </w:p>
        </w:tc>
        <w:tc>
          <w:tcPr>
            <w:tcW w:w="11155" w:type="dxa"/>
            <w:vAlign w:val="center"/>
          </w:tcPr>
          <w:p w14:paraId="03E43C7E"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Prevalence of obesity is presented.</w:t>
            </w:r>
          </w:p>
        </w:tc>
      </w:tr>
      <w:tr w:rsidR="00E3073B" w:rsidRPr="002A3AAE" w14:paraId="210991FF" w14:textId="77777777" w:rsidTr="00334A08">
        <w:trPr>
          <w:trHeight w:val="227"/>
        </w:trPr>
        <w:tc>
          <w:tcPr>
            <w:tcW w:w="2749" w:type="dxa"/>
            <w:vAlign w:val="center"/>
          </w:tcPr>
          <w:p w14:paraId="79DEC964" w14:textId="1F97129B"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Change for Life: One Year On</w:t>
            </w:r>
            <w:r w:rsidR="007F2A24">
              <w:rPr>
                <w:rFonts w:cs="Calibri"/>
                <w:color w:val="000000"/>
                <w:lang w:eastAsia="en-GB"/>
              </w:rPr>
              <w:t xml:space="preserve"> (</w:t>
            </w:r>
            <w:r w:rsidR="007F2A24">
              <w:rPr>
                <w:rFonts w:cs="Calibri"/>
                <w:color w:val="000000"/>
                <w:lang w:eastAsia="en-GB"/>
              </w:rPr>
              <w:fldChar w:fldCharType="begin"/>
            </w:r>
            <w:r w:rsidR="007F2A24">
              <w:rPr>
                <w:rFonts w:cs="Calibri"/>
                <w:color w:val="000000"/>
                <w:lang w:eastAsia="en-GB"/>
              </w:rPr>
              <w:instrText xml:space="preserve"> NOTEREF _Ref341274274 \h </w:instrText>
            </w:r>
            <w:r w:rsidR="007F2A24">
              <w:rPr>
                <w:rFonts w:cs="Calibri"/>
                <w:color w:val="000000"/>
                <w:lang w:eastAsia="en-GB"/>
              </w:rPr>
            </w:r>
            <w:r w:rsidR="007F2A24">
              <w:rPr>
                <w:rFonts w:cs="Calibri"/>
                <w:color w:val="000000"/>
                <w:lang w:eastAsia="en-GB"/>
              </w:rPr>
              <w:fldChar w:fldCharType="separate"/>
            </w:r>
            <w:r w:rsidR="009462C5">
              <w:rPr>
                <w:rFonts w:cs="Calibri"/>
                <w:color w:val="000000"/>
                <w:lang w:eastAsia="en-GB"/>
              </w:rPr>
              <w:t>35</w:t>
            </w:r>
            <w:r w:rsidR="007F2A24">
              <w:rPr>
                <w:rFonts w:cs="Calibri"/>
                <w:color w:val="000000"/>
                <w:lang w:eastAsia="en-GB"/>
              </w:rPr>
              <w:fldChar w:fldCharType="end"/>
            </w:r>
            <w:r w:rsidR="007F2A24">
              <w:rPr>
                <w:rFonts w:cs="Calibri"/>
                <w:color w:val="000000"/>
                <w:lang w:eastAsia="en-GB"/>
              </w:rPr>
              <w:t>)</w:t>
            </w:r>
          </w:p>
        </w:tc>
        <w:tc>
          <w:tcPr>
            <w:tcW w:w="730" w:type="dxa"/>
            <w:noWrap/>
            <w:vAlign w:val="center"/>
          </w:tcPr>
          <w:p w14:paraId="72E0E7E7"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2010</w:t>
            </w:r>
          </w:p>
        </w:tc>
        <w:tc>
          <w:tcPr>
            <w:tcW w:w="11155" w:type="dxa"/>
            <w:vAlign w:val="center"/>
          </w:tcPr>
          <w:p w14:paraId="392D7C62"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Data on prevalence and trend is presented for context.</w:t>
            </w:r>
          </w:p>
        </w:tc>
      </w:tr>
      <w:tr w:rsidR="00E3073B" w:rsidRPr="002A3AAE" w14:paraId="420113FA" w14:textId="77777777" w:rsidTr="00334A08">
        <w:trPr>
          <w:trHeight w:val="469"/>
        </w:trPr>
        <w:tc>
          <w:tcPr>
            <w:tcW w:w="2749" w:type="dxa"/>
            <w:vAlign w:val="center"/>
          </w:tcPr>
          <w:p w14:paraId="0732A7AD" w14:textId="01B1880C"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Healthy lives, healthy people: a call to action on obesity</w:t>
            </w:r>
            <w:r w:rsidR="007C6B30">
              <w:rPr>
                <w:rFonts w:cs="Calibri"/>
                <w:color w:val="000000"/>
                <w:lang w:eastAsia="en-GB"/>
              </w:rPr>
              <w:t xml:space="preserve"> (</w:t>
            </w:r>
            <w:r w:rsidR="007C6B30">
              <w:rPr>
                <w:rFonts w:cs="Calibri"/>
                <w:color w:val="000000"/>
                <w:lang w:eastAsia="en-GB"/>
              </w:rPr>
              <w:fldChar w:fldCharType="begin"/>
            </w:r>
            <w:r w:rsidR="007C6B30">
              <w:rPr>
                <w:rFonts w:cs="Calibri"/>
                <w:color w:val="000000"/>
                <w:lang w:eastAsia="en-GB"/>
              </w:rPr>
              <w:instrText xml:space="preserve"> NOTEREF _Ref339977954 \h </w:instrText>
            </w:r>
            <w:r w:rsidR="007C6B30">
              <w:rPr>
                <w:rFonts w:cs="Calibri"/>
                <w:color w:val="000000"/>
                <w:lang w:eastAsia="en-GB"/>
              </w:rPr>
            </w:r>
            <w:r w:rsidR="007C6B30">
              <w:rPr>
                <w:rFonts w:cs="Calibri"/>
                <w:color w:val="000000"/>
                <w:lang w:eastAsia="en-GB"/>
              </w:rPr>
              <w:fldChar w:fldCharType="separate"/>
            </w:r>
            <w:r w:rsidR="009462C5">
              <w:rPr>
                <w:rFonts w:cs="Calibri"/>
                <w:color w:val="000000"/>
                <w:lang w:eastAsia="en-GB"/>
              </w:rPr>
              <w:t>28</w:t>
            </w:r>
            <w:r w:rsidR="007C6B30">
              <w:rPr>
                <w:rFonts w:cs="Calibri"/>
                <w:color w:val="000000"/>
                <w:lang w:eastAsia="en-GB"/>
              </w:rPr>
              <w:fldChar w:fldCharType="end"/>
            </w:r>
            <w:r w:rsidR="007C6B30">
              <w:rPr>
                <w:rFonts w:cs="Calibri"/>
                <w:color w:val="000000"/>
                <w:lang w:eastAsia="en-GB"/>
              </w:rPr>
              <w:t>)</w:t>
            </w:r>
          </w:p>
        </w:tc>
        <w:tc>
          <w:tcPr>
            <w:tcW w:w="730" w:type="dxa"/>
            <w:noWrap/>
            <w:vAlign w:val="center"/>
          </w:tcPr>
          <w:p w14:paraId="3D5748A0"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2011</w:t>
            </w:r>
          </w:p>
        </w:tc>
        <w:tc>
          <w:tcPr>
            <w:tcW w:w="11155" w:type="dxa"/>
            <w:vAlign w:val="center"/>
          </w:tcPr>
          <w:p w14:paraId="588A057B" w14:textId="5F7D167C"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Prevalenc</w:t>
            </w:r>
            <w:r w:rsidR="003D4F13">
              <w:rPr>
                <w:rFonts w:cs="Calibri"/>
                <w:color w:val="000000"/>
                <w:lang w:eastAsia="en-GB"/>
              </w:rPr>
              <w:t xml:space="preserve">e is contrasted across </w:t>
            </w:r>
            <w:bookmarkStart w:id="37" w:name="_GoBack"/>
            <w:bookmarkEnd w:id="37"/>
            <w:r w:rsidRPr="00D20E62">
              <w:rPr>
                <w:rFonts w:cs="Calibri"/>
                <w:color w:val="000000"/>
                <w:lang w:eastAsia="en-GB"/>
              </w:rPr>
              <w:t>developed countries. Adult and childhood obesity and trend data is presented. Evidence that the upward trends in child obesity are beginning to flatten out used to give cautious hope that strategy focus is working. Prevalence of obesity by limiting longstanding illness and ethnic group are presented to show groups at particular risk.</w:t>
            </w:r>
          </w:p>
        </w:tc>
      </w:tr>
      <w:tr w:rsidR="00E3073B" w:rsidRPr="002A3AAE" w14:paraId="0DC0CDCB" w14:textId="77777777" w:rsidTr="00334A08">
        <w:trPr>
          <w:trHeight w:val="536"/>
        </w:trPr>
        <w:tc>
          <w:tcPr>
            <w:tcW w:w="2749" w:type="dxa"/>
            <w:vAlign w:val="center"/>
          </w:tcPr>
          <w:p w14:paraId="3E6844EC" w14:textId="12BCEFA1"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SACN Dietary Recommendations for Energy</w:t>
            </w:r>
            <w:r w:rsidR="007C6B30">
              <w:rPr>
                <w:rFonts w:cs="Calibri"/>
                <w:color w:val="000000"/>
                <w:lang w:eastAsia="en-GB"/>
              </w:rPr>
              <w:t xml:space="preserve"> (</w:t>
            </w:r>
            <w:r w:rsidR="007C6B30">
              <w:rPr>
                <w:rFonts w:cs="Calibri"/>
                <w:color w:val="000000"/>
                <w:lang w:eastAsia="en-GB"/>
              </w:rPr>
              <w:fldChar w:fldCharType="begin"/>
            </w:r>
            <w:r w:rsidR="007C6B30">
              <w:rPr>
                <w:rFonts w:cs="Calibri"/>
                <w:color w:val="000000"/>
                <w:lang w:eastAsia="en-GB"/>
              </w:rPr>
              <w:instrText xml:space="preserve"> NOTEREF _Ref341261502 \h </w:instrText>
            </w:r>
            <w:r w:rsidR="007C6B30">
              <w:rPr>
                <w:rFonts w:cs="Calibri"/>
                <w:color w:val="000000"/>
                <w:lang w:eastAsia="en-GB"/>
              </w:rPr>
            </w:r>
            <w:r w:rsidR="007C6B30">
              <w:rPr>
                <w:rFonts w:cs="Calibri"/>
                <w:color w:val="000000"/>
                <w:lang w:eastAsia="en-GB"/>
              </w:rPr>
              <w:fldChar w:fldCharType="separate"/>
            </w:r>
            <w:r w:rsidR="009462C5">
              <w:rPr>
                <w:rFonts w:cs="Calibri"/>
                <w:color w:val="000000"/>
                <w:lang w:eastAsia="en-GB"/>
              </w:rPr>
              <w:t>38</w:t>
            </w:r>
            <w:r w:rsidR="007C6B30">
              <w:rPr>
                <w:rFonts w:cs="Calibri"/>
                <w:color w:val="000000"/>
                <w:lang w:eastAsia="en-GB"/>
              </w:rPr>
              <w:fldChar w:fldCharType="end"/>
            </w:r>
            <w:r w:rsidR="007C6B30">
              <w:rPr>
                <w:rFonts w:cs="Calibri"/>
                <w:color w:val="000000"/>
                <w:lang w:eastAsia="en-GB"/>
              </w:rPr>
              <w:t>)</w:t>
            </w:r>
          </w:p>
        </w:tc>
        <w:tc>
          <w:tcPr>
            <w:tcW w:w="730" w:type="dxa"/>
            <w:noWrap/>
            <w:vAlign w:val="center"/>
          </w:tcPr>
          <w:p w14:paraId="4128E92D"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2011</w:t>
            </w:r>
          </w:p>
        </w:tc>
        <w:tc>
          <w:tcPr>
            <w:tcW w:w="11155" w:type="dxa"/>
            <w:vAlign w:val="center"/>
          </w:tcPr>
          <w:p w14:paraId="59863C36" w14:textId="77777777" w:rsidR="00E3073B" w:rsidRPr="00D20E62" w:rsidRDefault="00E3073B" w:rsidP="00D20E62">
            <w:pPr>
              <w:spacing w:after="0" w:line="240" w:lineRule="auto"/>
              <w:contextualSpacing/>
              <w:rPr>
                <w:rFonts w:cs="Calibri"/>
                <w:color w:val="000000"/>
                <w:lang w:eastAsia="en-GB"/>
              </w:rPr>
            </w:pPr>
            <w:r w:rsidRPr="00D20E62">
              <w:rPr>
                <w:rFonts w:cs="Calibri"/>
                <w:color w:val="000000"/>
                <w:lang w:eastAsia="en-GB"/>
              </w:rPr>
              <w:t>Prevalence of underweight compared and contrasted to prevalence of overweight and obesity demonstrating under consumption of calories is not a problem in the free living population of the UK. Comparison of 1993 and 2003 data showed both BMI and waist circumference increased most in the upper part of the distribution i.e. Thinner people were almost as thin as they were 10 years earlier, but fatter people were considerably fatter.</w:t>
            </w:r>
          </w:p>
        </w:tc>
      </w:tr>
      <w:tr w:rsidR="00E3073B" w:rsidRPr="002A3AAE" w14:paraId="6D0074A8" w14:textId="77777777" w:rsidTr="00334A08">
        <w:trPr>
          <w:trHeight w:val="261"/>
        </w:trPr>
        <w:tc>
          <w:tcPr>
            <w:tcW w:w="2749" w:type="dxa"/>
            <w:vAlign w:val="center"/>
          </w:tcPr>
          <w:p w14:paraId="38A3A6FC" w14:textId="7541C0F7" w:rsidR="00E3073B" w:rsidRPr="00D20E62" w:rsidRDefault="00E3073B" w:rsidP="00677397">
            <w:pPr>
              <w:spacing w:after="0" w:line="240" w:lineRule="auto"/>
              <w:contextualSpacing/>
              <w:rPr>
                <w:rFonts w:cs="Calibri"/>
                <w:color w:val="000000"/>
                <w:lang w:eastAsia="en-GB"/>
              </w:rPr>
            </w:pPr>
            <w:r w:rsidRPr="00D20E62">
              <w:rPr>
                <w:rFonts w:cs="Calibri"/>
                <w:color w:val="000000"/>
                <w:lang w:eastAsia="en-GB"/>
              </w:rPr>
              <w:t>Responsibility deal</w:t>
            </w:r>
            <w:r w:rsidR="00677397">
              <w:rPr>
                <w:rFonts w:cs="Calibri"/>
                <w:color w:val="000000"/>
                <w:lang w:eastAsia="en-GB"/>
              </w:rPr>
              <w:t xml:space="preserve"> (</w:t>
            </w:r>
            <w:r w:rsidR="00677397">
              <w:fldChar w:fldCharType="begin"/>
            </w:r>
            <w:r w:rsidR="00677397">
              <w:rPr>
                <w:rFonts w:cs="Calibri"/>
                <w:color w:val="000000"/>
                <w:lang w:eastAsia="en-GB"/>
              </w:rPr>
              <w:instrText xml:space="preserve"> NOTEREF _Ref341192631 \h </w:instrText>
            </w:r>
            <w:r w:rsidR="00677397">
              <w:fldChar w:fldCharType="separate"/>
            </w:r>
            <w:r w:rsidR="009462C5">
              <w:rPr>
                <w:rFonts w:cs="Calibri"/>
                <w:color w:val="000000"/>
                <w:lang w:eastAsia="en-GB"/>
              </w:rPr>
              <w:t>40</w:t>
            </w:r>
            <w:r w:rsidR="00677397">
              <w:fldChar w:fldCharType="end"/>
            </w:r>
            <w:r w:rsidR="00677397">
              <w:rPr>
                <w:rFonts w:cs="Calibri"/>
                <w:color w:val="000000"/>
                <w:lang w:eastAsia="en-GB"/>
              </w:rPr>
              <w:t>)</w:t>
            </w:r>
          </w:p>
        </w:tc>
        <w:tc>
          <w:tcPr>
            <w:tcW w:w="730" w:type="dxa"/>
            <w:noWrap/>
            <w:vAlign w:val="center"/>
          </w:tcPr>
          <w:p w14:paraId="7949DAE6" w14:textId="77777777" w:rsidR="00E3073B" w:rsidRPr="00D20E62" w:rsidRDefault="00E3073B" w:rsidP="00B053CE">
            <w:pPr>
              <w:spacing w:after="0" w:line="240" w:lineRule="auto"/>
              <w:contextualSpacing/>
              <w:rPr>
                <w:rFonts w:cs="Calibri"/>
                <w:color w:val="000000"/>
                <w:lang w:eastAsia="en-GB"/>
              </w:rPr>
            </w:pPr>
            <w:r w:rsidRPr="00D20E62">
              <w:rPr>
                <w:rFonts w:cs="Calibri"/>
                <w:color w:val="000000"/>
                <w:lang w:eastAsia="en-GB"/>
              </w:rPr>
              <w:t>201</w:t>
            </w:r>
            <w:r w:rsidR="00B053CE">
              <w:rPr>
                <w:rFonts w:cs="Calibri"/>
                <w:color w:val="000000"/>
                <w:lang w:eastAsia="en-GB"/>
              </w:rPr>
              <w:t>2</w:t>
            </w:r>
          </w:p>
        </w:tc>
        <w:tc>
          <w:tcPr>
            <w:tcW w:w="11155" w:type="dxa"/>
            <w:vAlign w:val="center"/>
          </w:tcPr>
          <w:p w14:paraId="215FA317" w14:textId="77777777" w:rsidR="00E3073B" w:rsidRPr="00D20E62" w:rsidRDefault="00E3073B" w:rsidP="00D20E62">
            <w:pPr>
              <w:spacing w:after="0" w:line="240" w:lineRule="auto"/>
              <w:contextualSpacing/>
              <w:rPr>
                <w:rFonts w:cs="Calibri"/>
                <w:color w:val="000000"/>
              </w:rPr>
            </w:pPr>
            <w:r w:rsidRPr="00D20E62">
              <w:rPr>
                <w:rFonts w:cs="Calibri"/>
                <w:color w:val="000000"/>
              </w:rPr>
              <w:t>Background on the responsibility deal pledges “out of home calorie labelling” and “calorie reduction” for businesses includes presentation of obesity prevalence.</w:t>
            </w:r>
          </w:p>
        </w:tc>
      </w:tr>
      <w:tr w:rsidR="00E3073B" w:rsidRPr="002A3AAE" w14:paraId="7BE552EE" w14:textId="77777777" w:rsidTr="00334A08">
        <w:trPr>
          <w:trHeight w:val="142"/>
        </w:trPr>
        <w:tc>
          <w:tcPr>
            <w:tcW w:w="2749" w:type="dxa"/>
            <w:vAlign w:val="center"/>
          </w:tcPr>
          <w:p w14:paraId="45883FED" w14:textId="77777777" w:rsidR="00E3073B" w:rsidRPr="00D20E62" w:rsidRDefault="00E3073B" w:rsidP="00D20E62">
            <w:pPr>
              <w:spacing w:after="0" w:line="240" w:lineRule="auto"/>
              <w:contextualSpacing/>
              <w:rPr>
                <w:rFonts w:cs="Calibri"/>
                <w:color w:val="000000"/>
                <w:lang w:eastAsia="en-GB"/>
              </w:rPr>
            </w:pPr>
            <w:r w:rsidRPr="00677397">
              <w:rPr>
                <w:rFonts w:cs="Calibri"/>
                <w:color w:val="000000"/>
                <w:lang w:eastAsia="en-GB"/>
              </w:rPr>
              <w:t>Pa</w:t>
            </w:r>
            <w:r w:rsidRPr="00D20E62">
              <w:rPr>
                <w:rFonts w:cs="Calibri"/>
                <w:color w:val="000000"/>
                <w:lang w:eastAsia="en-GB"/>
              </w:rPr>
              <w:t>rliamentary Questions</w:t>
            </w:r>
            <w:r w:rsidR="007F2A24">
              <w:rPr>
                <w:rFonts w:cs="Calibri"/>
                <w:color w:val="000000"/>
                <w:lang w:eastAsia="en-GB"/>
              </w:rPr>
              <w:t xml:space="preserve"> (</w:t>
            </w:r>
            <w:r w:rsidR="007F2A24" w:rsidRPr="007F2A24">
              <w:rPr>
                <w:rStyle w:val="EndnoteReference"/>
                <w:color w:val="000000"/>
                <w:vertAlign w:val="baseline"/>
                <w:lang w:eastAsia="en-GB"/>
              </w:rPr>
              <w:endnoteReference w:id="66"/>
            </w:r>
            <w:r w:rsidR="007F2A24">
              <w:rPr>
                <w:rFonts w:cs="Calibri"/>
                <w:color w:val="000000"/>
                <w:lang w:eastAsia="en-GB"/>
              </w:rPr>
              <w:t>)</w:t>
            </w:r>
          </w:p>
        </w:tc>
        <w:tc>
          <w:tcPr>
            <w:tcW w:w="730" w:type="dxa"/>
            <w:noWrap/>
            <w:vAlign w:val="center"/>
          </w:tcPr>
          <w:p w14:paraId="17093A59" w14:textId="77777777" w:rsidR="00E3073B" w:rsidRPr="00D20E62" w:rsidRDefault="00A46B4E" w:rsidP="00D20E62">
            <w:pPr>
              <w:spacing w:after="0" w:line="240" w:lineRule="auto"/>
              <w:contextualSpacing/>
              <w:rPr>
                <w:rFonts w:cs="Calibri"/>
                <w:color w:val="000000"/>
                <w:lang w:eastAsia="en-GB"/>
              </w:rPr>
            </w:pPr>
            <w:r>
              <w:rPr>
                <w:rFonts w:cs="Calibri"/>
                <w:color w:val="000000"/>
                <w:lang w:eastAsia="en-GB"/>
              </w:rPr>
              <w:t>2005-2011</w:t>
            </w:r>
          </w:p>
        </w:tc>
        <w:tc>
          <w:tcPr>
            <w:tcW w:w="11155" w:type="dxa"/>
            <w:noWrap/>
            <w:vAlign w:val="center"/>
          </w:tcPr>
          <w:p w14:paraId="5810143D" w14:textId="77777777" w:rsidR="00E3073B" w:rsidRPr="00D20E62" w:rsidRDefault="00A46B4E" w:rsidP="00A46B4E">
            <w:pPr>
              <w:spacing w:after="0" w:line="240" w:lineRule="auto"/>
              <w:contextualSpacing/>
              <w:rPr>
                <w:rFonts w:cs="Calibri"/>
                <w:color w:val="000000"/>
                <w:lang w:eastAsia="en-GB"/>
              </w:rPr>
            </w:pPr>
            <w:r>
              <w:rPr>
                <w:rFonts w:cs="Calibri"/>
                <w:color w:val="000000"/>
                <w:lang w:eastAsia="en-GB"/>
              </w:rPr>
              <w:t xml:space="preserve">A selection of many parliamentary questions answered using prevalence data </w:t>
            </w:r>
            <w:r w:rsidRPr="00D20E62">
              <w:rPr>
                <w:rFonts w:cs="Calibri"/>
                <w:color w:val="000000"/>
                <w:lang w:eastAsia="en-GB"/>
              </w:rPr>
              <w:t>PQ216374; PQ217057;</w:t>
            </w:r>
            <w:r>
              <w:rPr>
                <w:rFonts w:cs="Calibri"/>
                <w:color w:val="000000"/>
                <w:lang w:eastAsia="en-GB"/>
              </w:rPr>
              <w:t xml:space="preserve"> </w:t>
            </w:r>
            <w:r w:rsidRPr="00D20E62">
              <w:rPr>
                <w:rFonts w:cs="Calibri"/>
                <w:color w:val="000000"/>
                <w:lang w:eastAsia="en-GB"/>
              </w:rPr>
              <w:t>PQ217667</w:t>
            </w:r>
            <w:r>
              <w:rPr>
                <w:rFonts w:cs="Calibri"/>
                <w:color w:val="000000"/>
                <w:lang w:eastAsia="en-GB"/>
              </w:rPr>
              <w:t xml:space="preserve">; </w:t>
            </w:r>
            <w:r w:rsidRPr="00D20E62">
              <w:rPr>
                <w:rFonts w:cs="Calibri"/>
                <w:color w:val="000000"/>
                <w:lang w:eastAsia="en-GB"/>
              </w:rPr>
              <w:t>PQ69602; PQ67197; PQ8</w:t>
            </w:r>
            <w:r>
              <w:rPr>
                <w:rFonts w:cs="Calibri"/>
                <w:color w:val="000000"/>
                <w:lang w:eastAsia="en-GB"/>
              </w:rPr>
              <w:t xml:space="preserve">2144; </w:t>
            </w:r>
            <w:r w:rsidRPr="00D20E62">
              <w:rPr>
                <w:rFonts w:cs="Calibri"/>
                <w:color w:val="000000"/>
                <w:lang w:eastAsia="en-GB"/>
              </w:rPr>
              <w:t>PQ161092; PQ132141; PQ111823; PQ151071</w:t>
            </w:r>
            <w:r>
              <w:rPr>
                <w:rFonts w:cs="Calibri"/>
                <w:color w:val="000000"/>
                <w:lang w:eastAsia="en-GB"/>
              </w:rPr>
              <w:t xml:space="preserve">; </w:t>
            </w:r>
            <w:r w:rsidRPr="00D20E62">
              <w:rPr>
                <w:rFonts w:cs="Calibri"/>
                <w:color w:val="000000"/>
                <w:lang w:eastAsia="en-GB"/>
              </w:rPr>
              <w:t>PQ3094</w:t>
            </w:r>
            <w:r>
              <w:rPr>
                <w:rFonts w:cs="Calibri"/>
                <w:color w:val="000000"/>
                <w:lang w:eastAsia="en-GB"/>
              </w:rPr>
              <w:t xml:space="preserve">; </w:t>
            </w:r>
            <w:r w:rsidR="00E3073B" w:rsidRPr="00D20E62">
              <w:rPr>
                <w:rFonts w:cs="Calibri"/>
                <w:color w:val="000000"/>
                <w:lang w:eastAsia="en-GB"/>
              </w:rPr>
              <w:t>PQ48492; PQ47026</w:t>
            </w:r>
            <w:r>
              <w:rPr>
                <w:rFonts w:cs="Calibri"/>
                <w:color w:val="000000"/>
                <w:lang w:eastAsia="en-GB"/>
              </w:rPr>
              <w:t>.</w:t>
            </w:r>
            <w:r w:rsidR="00E3073B" w:rsidRPr="00D20E62">
              <w:rPr>
                <w:rFonts w:cs="Calibri"/>
                <w:color w:val="000000"/>
                <w:lang w:eastAsia="en-GB"/>
              </w:rPr>
              <w:t xml:space="preserve"> </w:t>
            </w:r>
          </w:p>
        </w:tc>
      </w:tr>
      <w:tr w:rsidR="00E3073B" w:rsidRPr="002A3AAE" w14:paraId="76B8DA29" w14:textId="77777777" w:rsidTr="00334A08">
        <w:trPr>
          <w:trHeight w:val="142"/>
        </w:trPr>
        <w:tc>
          <w:tcPr>
            <w:tcW w:w="14634" w:type="dxa"/>
            <w:gridSpan w:val="3"/>
            <w:vAlign w:val="center"/>
          </w:tcPr>
          <w:p w14:paraId="27AB6E72" w14:textId="77777777" w:rsidR="00E3073B" w:rsidRPr="00D20E62" w:rsidRDefault="00E3073B" w:rsidP="00D20E62">
            <w:pPr>
              <w:spacing w:after="0" w:line="240" w:lineRule="auto"/>
              <w:contextualSpacing/>
              <w:jc w:val="center"/>
              <w:rPr>
                <w:rFonts w:cs="Calibri"/>
                <w:b/>
                <w:i/>
              </w:rPr>
            </w:pPr>
            <w:r w:rsidRPr="00D20E62">
              <w:rPr>
                <w:rFonts w:cs="Calibri"/>
                <w:b/>
                <w:i/>
              </w:rPr>
              <w:t>Identifying inequalities in the burden of obesity</w:t>
            </w:r>
          </w:p>
        </w:tc>
      </w:tr>
      <w:tr w:rsidR="00E3073B" w:rsidRPr="002A3AAE" w14:paraId="7D281D26" w14:textId="77777777" w:rsidTr="00334A08">
        <w:trPr>
          <w:trHeight w:val="142"/>
        </w:trPr>
        <w:tc>
          <w:tcPr>
            <w:tcW w:w="2749" w:type="dxa"/>
            <w:vAlign w:val="center"/>
          </w:tcPr>
          <w:p w14:paraId="2C96536D" w14:textId="7694AD87" w:rsidR="00E3073B" w:rsidRPr="00D20E62" w:rsidRDefault="00E3073B" w:rsidP="00D20E62">
            <w:pPr>
              <w:spacing w:after="0" w:line="240" w:lineRule="auto"/>
              <w:contextualSpacing/>
              <w:rPr>
                <w:rFonts w:cs="Calibri"/>
                <w:color w:val="000000"/>
              </w:rPr>
            </w:pPr>
            <w:r w:rsidRPr="00D20E62">
              <w:rPr>
                <w:rFonts w:cs="Calibri"/>
                <w:color w:val="000000"/>
              </w:rPr>
              <w:t>Independent Inquiry into Inequalities in Health Report (Acheson Report)</w:t>
            </w:r>
            <w:r w:rsidR="007F2A24">
              <w:rPr>
                <w:rFonts w:cs="Calibri"/>
                <w:color w:val="000000"/>
              </w:rPr>
              <w:t xml:space="preserve"> (</w:t>
            </w:r>
            <w:r w:rsidR="007F2A24">
              <w:rPr>
                <w:rFonts w:cs="Calibri"/>
                <w:color w:val="000000"/>
              </w:rPr>
              <w:fldChar w:fldCharType="begin"/>
            </w:r>
            <w:r w:rsidR="007F2A24">
              <w:rPr>
                <w:rFonts w:cs="Calibri"/>
                <w:color w:val="000000"/>
              </w:rPr>
              <w:instrText xml:space="preserve"> NOTEREF _Ref341274305 \h </w:instrText>
            </w:r>
            <w:r w:rsidR="007F2A24">
              <w:rPr>
                <w:rFonts w:cs="Calibri"/>
                <w:color w:val="000000"/>
              </w:rPr>
            </w:r>
            <w:r w:rsidR="007F2A24">
              <w:rPr>
                <w:rFonts w:cs="Calibri"/>
                <w:color w:val="000000"/>
              </w:rPr>
              <w:fldChar w:fldCharType="separate"/>
            </w:r>
            <w:r w:rsidR="009462C5">
              <w:rPr>
                <w:rFonts w:cs="Calibri"/>
                <w:color w:val="000000"/>
              </w:rPr>
              <w:t>20</w:t>
            </w:r>
            <w:r w:rsidR="007F2A24">
              <w:rPr>
                <w:rFonts w:cs="Calibri"/>
                <w:color w:val="000000"/>
              </w:rPr>
              <w:fldChar w:fldCharType="end"/>
            </w:r>
            <w:r w:rsidR="007F2A24">
              <w:rPr>
                <w:rFonts w:cs="Calibri"/>
                <w:color w:val="000000"/>
              </w:rPr>
              <w:t>)</w:t>
            </w:r>
          </w:p>
        </w:tc>
        <w:tc>
          <w:tcPr>
            <w:tcW w:w="730" w:type="dxa"/>
            <w:noWrap/>
            <w:vAlign w:val="center"/>
          </w:tcPr>
          <w:p w14:paraId="1E0B5218" w14:textId="77777777" w:rsidR="00E3073B" w:rsidRPr="00D20E62" w:rsidRDefault="00E3073B" w:rsidP="00D20E62">
            <w:pPr>
              <w:spacing w:after="0" w:line="240" w:lineRule="auto"/>
              <w:contextualSpacing/>
              <w:rPr>
                <w:rFonts w:cs="Calibri"/>
                <w:color w:val="000000"/>
              </w:rPr>
            </w:pPr>
            <w:r w:rsidRPr="00D20E62">
              <w:rPr>
                <w:rFonts w:cs="Calibri"/>
                <w:color w:val="000000"/>
              </w:rPr>
              <w:t>1998</w:t>
            </w:r>
          </w:p>
        </w:tc>
        <w:tc>
          <w:tcPr>
            <w:tcW w:w="11155" w:type="dxa"/>
            <w:vAlign w:val="center"/>
          </w:tcPr>
          <w:p w14:paraId="33591FDD" w14:textId="77777777" w:rsidR="00E3073B" w:rsidRPr="00D20E62" w:rsidRDefault="00E3073B" w:rsidP="00D20E62">
            <w:pPr>
              <w:spacing w:after="0" w:line="240" w:lineRule="auto"/>
              <w:contextualSpacing/>
              <w:rPr>
                <w:rFonts w:cs="Calibri"/>
                <w:color w:val="000000"/>
              </w:rPr>
            </w:pPr>
            <w:r w:rsidRPr="00D20E62">
              <w:rPr>
                <w:rFonts w:cs="Calibri"/>
                <w:color w:val="000000"/>
              </w:rPr>
              <w:t>The marked social class gradient in obesity was reported, with illustration of this in women (where the inequality is most marked).</w:t>
            </w:r>
          </w:p>
        </w:tc>
      </w:tr>
      <w:tr w:rsidR="00E3073B" w:rsidRPr="002A3AAE" w14:paraId="16A5F03A" w14:textId="77777777" w:rsidTr="00334A08">
        <w:trPr>
          <w:trHeight w:val="142"/>
        </w:trPr>
        <w:tc>
          <w:tcPr>
            <w:tcW w:w="2749" w:type="dxa"/>
            <w:vAlign w:val="center"/>
          </w:tcPr>
          <w:p w14:paraId="06F34008" w14:textId="40D2002A" w:rsidR="00E3073B" w:rsidRPr="00D20E62" w:rsidRDefault="00E3073B" w:rsidP="00D20E62">
            <w:pPr>
              <w:spacing w:after="0" w:line="240" w:lineRule="auto"/>
              <w:contextualSpacing/>
              <w:rPr>
                <w:rFonts w:cs="Calibri"/>
                <w:color w:val="000000"/>
              </w:rPr>
            </w:pPr>
            <w:r w:rsidRPr="00D20E62">
              <w:rPr>
                <w:rFonts w:cs="Calibri"/>
                <w:color w:val="000000"/>
              </w:rPr>
              <w:t>Our Healthier Nation</w:t>
            </w:r>
            <w:r w:rsidR="007C6B30">
              <w:rPr>
                <w:rFonts w:cs="Calibri"/>
                <w:color w:val="000000"/>
              </w:rPr>
              <w:t xml:space="preserve"> (</w:t>
            </w:r>
            <w:r w:rsidR="007C6B30">
              <w:rPr>
                <w:rFonts w:cs="Calibri"/>
                <w:color w:val="000000"/>
              </w:rPr>
              <w:fldChar w:fldCharType="begin"/>
            </w:r>
            <w:r w:rsidR="007C6B30">
              <w:rPr>
                <w:rFonts w:cs="Calibri"/>
                <w:color w:val="000000"/>
              </w:rPr>
              <w:instrText xml:space="preserve"> NOTEREF _Ref341261526 \h </w:instrText>
            </w:r>
            <w:r w:rsidR="007C6B30">
              <w:rPr>
                <w:rFonts w:cs="Calibri"/>
                <w:color w:val="000000"/>
              </w:rPr>
            </w:r>
            <w:r w:rsidR="007C6B30">
              <w:rPr>
                <w:rFonts w:cs="Calibri"/>
                <w:color w:val="000000"/>
              </w:rPr>
              <w:fldChar w:fldCharType="separate"/>
            </w:r>
            <w:r w:rsidR="009462C5">
              <w:rPr>
                <w:rFonts w:cs="Calibri"/>
                <w:color w:val="000000"/>
              </w:rPr>
              <w:t>52</w:t>
            </w:r>
            <w:r w:rsidR="007C6B30">
              <w:rPr>
                <w:rFonts w:cs="Calibri"/>
                <w:color w:val="000000"/>
              </w:rPr>
              <w:fldChar w:fldCharType="end"/>
            </w:r>
            <w:r w:rsidR="007C6B30">
              <w:rPr>
                <w:rFonts w:cs="Calibri"/>
                <w:color w:val="000000"/>
              </w:rPr>
              <w:t>)</w:t>
            </w:r>
          </w:p>
        </w:tc>
        <w:tc>
          <w:tcPr>
            <w:tcW w:w="730" w:type="dxa"/>
            <w:noWrap/>
            <w:vAlign w:val="center"/>
          </w:tcPr>
          <w:p w14:paraId="3CEC24BC" w14:textId="77777777" w:rsidR="00E3073B" w:rsidRPr="00D20E62" w:rsidRDefault="00E3073B" w:rsidP="00D20E62">
            <w:pPr>
              <w:spacing w:after="0" w:line="240" w:lineRule="auto"/>
              <w:contextualSpacing/>
              <w:rPr>
                <w:rFonts w:cs="Calibri"/>
                <w:color w:val="000000"/>
              </w:rPr>
            </w:pPr>
            <w:r w:rsidRPr="00D20E62">
              <w:rPr>
                <w:rFonts w:cs="Calibri"/>
                <w:color w:val="000000"/>
              </w:rPr>
              <w:t>1999</w:t>
            </w:r>
          </w:p>
        </w:tc>
        <w:tc>
          <w:tcPr>
            <w:tcW w:w="11155" w:type="dxa"/>
            <w:vAlign w:val="center"/>
          </w:tcPr>
          <w:p w14:paraId="4A4A121E" w14:textId="77777777" w:rsidR="00E3073B" w:rsidRPr="00D20E62" w:rsidRDefault="00E3073B" w:rsidP="00D20E62">
            <w:pPr>
              <w:spacing w:after="0" w:line="240" w:lineRule="auto"/>
              <w:contextualSpacing/>
              <w:rPr>
                <w:rFonts w:cs="Calibri"/>
                <w:color w:val="000000"/>
              </w:rPr>
            </w:pPr>
            <w:r w:rsidRPr="00D20E62">
              <w:rPr>
                <w:rFonts w:cs="Calibri"/>
                <w:color w:val="000000"/>
              </w:rPr>
              <w:t>Presents inequalities in the prevalence of obesity by social class for women. States that obesity is unequally distributed throughout the population.</w:t>
            </w:r>
          </w:p>
        </w:tc>
      </w:tr>
      <w:tr w:rsidR="00E3073B" w:rsidRPr="002A3AAE" w14:paraId="7336C45C" w14:textId="77777777" w:rsidTr="00334A08">
        <w:trPr>
          <w:trHeight w:val="142"/>
        </w:trPr>
        <w:tc>
          <w:tcPr>
            <w:tcW w:w="2749" w:type="dxa"/>
            <w:vAlign w:val="center"/>
          </w:tcPr>
          <w:p w14:paraId="76FDA70D" w14:textId="3805FA83" w:rsidR="00E3073B" w:rsidRPr="00D20E62" w:rsidRDefault="00E3073B" w:rsidP="00D20E62">
            <w:pPr>
              <w:spacing w:after="0" w:line="240" w:lineRule="auto"/>
              <w:contextualSpacing/>
              <w:rPr>
                <w:rFonts w:cs="Calibri"/>
                <w:color w:val="000000"/>
              </w:rPr>
            </w:pPr>
            <w:proofErr w:type="spellStart"/>
            <w:r w:rsidRPr="00D20E62">
              <w:rPr>
                <w:rFonts w:cs="Calibri"/>
                <w:color w:val="000000"/>
              </w:rPr>
              <w:t>Wanless</w:t>
            </w:r>
            <w:proofErr w:type="spellEnd"/>
            <w:r w:rsidRPr="00D20E62">
              <w:rPr>
                <w:rFonts w:cs="Calibri"/>
                <w:color w:val="000000"/>
              </w:rPr>
              <w:t xml:space="preserve"> Reports</w:t>
            </w:r>
            <w:r w:rsidR="007F2A24">
              <w:rPr>
                <w:rFonts w:cs="Calibri"/>
                <w:color w:val="000000"/>
              </w:rPr>
              <w:t xml:space="preserve"> (</w:t>
            </w:r>
            <w:r w:rsidR="007F2A24">
              <w:rPr>
                <w:rFonts w:cs="Calibri"/>
                <w:color w:val="000000"/>
              </w:rPr>
              <w:fldChar w:fldCharType="begin"/>
            </w:r>
            <w:r w:rsidR="007F2A24">
              <w:rPr>
                <w:rFonts w:cs="Calibri"/>
                <w:color w:val="000000"/>
              </w:rPr>
              <w:instrText xml:space="preserve"> NOTEREF _Ref341274380 \h </w:instrText>
            </w:r>
            <w:r w:rsidR="007F2A24">
              <w:rPr>
                <w:rFonts w:cs="Calibri"/>
                <w:color w:val="000000"/>
              </w:rPr>
            </w:r>
            <w:r w:rsidR="007F2A24">
              <w:rPr>
                <w:rFonts w:cs="Calibri"/>
                <w:color w:val="000000"/>
              </w:rPr>
              <w:fldChar w:fldCharType="separate"/>
            </w:r>
            <w:r w:rsidR="009462C5">
              <w:rPr>
                <w:rFonts w:cs="Calibri"/>
                <w:color w:val="000000"/>
              </w:rPr>
              <w:t>31</w:t>
            </w:r>
            <w:r w:rsidR="007F2A24">
              <w:rPr>
                <w:rFonts w:cs="Calibri"/>
                <w:color w:val="000000"/>
              </w:rPr>
              <w:fldChar w:fldCharType="end"/>
            </w:r>
            <w:r w:rsidR="007F2A24">
              <w:rPr>
                <w:rFonts w:cs="Calibri"/>
                <w:color w:val="000000"/>
              </w:rPr>
              <w:t>,</w:t>
            </w:r>
            <w:r w:rsidR="007F2A24">
              <w:rPr>
                <w:rFonts w:cs="Calibri"/>
                <w:color w:val="000000"/>
              </w:rPr>
              <w:fldChar w:fldCharType="begin"/>
            </w:r>
            <w:r w:rsidR="007F2A24">
              <w:rPr>
                <w:rFonts w:cs="Calibri"/>
                <w:color w:val="000000"/>
              </w:rPr>
              <w:instrText xml:space="preserve"> NOTEREF _Ref341274382 \h </w:instrText>
            </w:r>
            <w:r w:rsidR="007F2A24">
              <w:rPr>
                <w:rFonts w:cs="Calibri"/>
                <w:color w:val="000000"/>
              </w:rPr>
            </w:r>
            <w:r w:rsidR="007F2A24">
              <w:rPr>
                <w:rFonts w:cs="Calibri"/>
                <w:color w:val="000000"/>
              </w:rPr>
              <w:fldChar w:fldCharType="separate"/>
            </w:r>
            <w:r w:rsidR="009462C5">
              <w:rPr>
                <w:rFonts w:cs="Calibri"/>
                <w:color w:val="000000"/>
              </w:rPr>
              <w:t>32</w:t>
            </w:r>
            <w:r w:rsidR="007F2A24">
              <w:rPr>
                <w:rFonts w:cs="Calibri"/>
                <w:color w:val="000000"/>
              </w:rPr>
              <w:fldChar w:fldCharType="end"/>
            </w:r>
            <w:r w:rsidR="007F2A24">
              <w:rPr>
                <w:rFonts w:cs="Calibri"/>
                <w:color w:val="000000"/>
              </w:rPr>
              <w:t>)</w:t>
            </w:r>
          </w:p>
        </w:tc>
        <w:tc>
          <w:tcPr>
            <w:tcW w:w="730" w:type="dxa"/>
            <w:noWrap/>
            <w:vAlign w:val="center"/>
          </w:tcPr>
          <w:p w14:paraId="7BFE9096" w14:textId="77777777" w:rsidR="00E3073B" w:rsidRPr="00D20E62" w:rsidRDefault="00E3073B" w:rsidP="00D20E62">
            <w:pPr>
              <w:spacing w:after="0" w:line="240" w:lineRule="auto"/>
              <w:contextualSpacing/>
              <w:rPr>
                <w:rFonts w:cs="Calibri"/>
                <w:color w:val="000000"/>
              </w:rPr>
            </w:pPr>
            <w:r w:rsidRPr="00D20E62">
              <w:rPr>
                <w:rFonts w:cs="Calibri"/>
                <w:color w:val="000000"/>
              </w:rPr>
              <w:t>2002, 2004</w:t>
            </w:r>
          </w:p>
        </w:tc>
        <w:tc>
          <w:tcPr>
            <w:tcW w:w="11155" w:type="dxa"/>
            <w:vAlign w:val="center"/>
          </w:tcPr>
          <w:p w14:paraId="6FFDB5DD" w14:textId="77777777" w:rsidR="00E3073B" w:rsidRPr="00D20E62" w:rsidRDefault="00E3073B" w:rsidP="00D20E62">
            <w:pPr>
              <w:spacing w:after="0" w:line="240" w:lineRule="auto"/>
              <w:contextualSpacing/>
              <w:rPr>
                <w:rFonts w:cs="Calibri"/>
                <w:color w:val="000000"/>
              </w:rPr>
            </w:pPr>
            <w:r w:rsidRPr="00D20E62">
              <w:rPr>
                <w:rFonts w:cs="Calibri"/>
                <w:color w:val="000000"/>
              </w:rPr>
              <w:t>Obesity gradient by income in women presented as one risk factor for chronic disease which is associated with deprivation.</w:t>
            </w:r>
          </w:p>
        </w:tc>
      </w:tr>
      <w:tr w:rsidR="00E3073B" w:rsidRPr="002A3AAE" w14:paraId="3C4E3D44" w14:textId="77777777" w:rsidTr="00334A08">
        <w:trPr>
          <w:trHeight w:val="142"/>
        </w:trPr>
        <w:tc>
          <w:tcPr>
            <w:tcW w:w="2749" w:type="dxa"/>
            <w:vAlign w:val="center"/>
          </w:tcPr>
          <w:p w14:paraId="1717FEFA" w14:textId="77777777" w:rsidR="00E3073B" w:rsidRPr="00D20E62" w:rsidRDefault="00E3073B" w:rsidP="00D20E62">
            <w:pPr>
              <w:spacing w:after="0" w:line="240" w:lineRule="auto"/>
              <w:contextualSpacing/>
              <w:rPr>
                <w:rFonts w:cs="Calibri"/>
                <w:color w:val="000000"/>
              </w:rPr>
            </w:pPr>
            <w:r w:rsidRPr="00D20E62">
              <w:rPr>
                <w:rFonts w:cs="Calibri"/>
                <w:color w:val="000000"/>
              </w:rPr>
              <w:t xml:space="preserve">The House of Commons </w:t>
            </w:r>
            <w:r w:rsidRPr="00D20E62">
              <w:rPr>
                <w:rFonts w:cs="Calibri"/>
                <w:color w:val="000000"/>
              </w:rPr>
              <w:lastRenderedPageBreak/>
              <w:t xml:space="preserve">Health </w:t>
            </w:r>
            <w:r>
              <w:rPr>
                <w:rFonts w:cs="Calibri"/>
                <w:color w:val="000000"/>
              </w:rPr>
              <w:t>C</w:t>
            </w:r>
            <w:r w:rsidRPr="00D20E62">
              <w:rPr>
                <w:rFonts w:cs="Calibri"/>
                <w:color w:val="000000"/>
              </w:rPr>
              <w:t>ommittee on Health Inequalities</w:t>
            </w:r>
            <w:r w:rsidR="001442E6">
              <w:rPr>
                <w:rFonts w:cs="Calibri"/>
                <w:color w:val="000000"/>
              </w:rPr>
              <w:t xml:space="preserve"> </w:t>
            </w:r>
            <w:r w:rsidR="00230CD7">
              <w:rPr>
                <w:rFonts w:cs="Calibri"/>
                <w:color w:val="000000"/>
              </w:rPr>
              <w:t>(</w:t>
            </w:r>
            <w:r w:rsidR="001442E6" w:rsidRPr="00230CD7">
              <w:rPr>
                <w:rStyle w:val="EndnoteReference"/>
                <w:color w:val="000000"/>
                <w:vertAlign w:val="baseline"/>
              </w:rPr>
              <w:endnoteReference w:id="67"/>
            </w:r>
            <w:r w:rsidR="00230CD7">
              <w:rPr>
                <w:rFonts w:cs="Calibri"/>
                <w:color w:val="000000"/>
              </w:rPr>
              <w:t>)</w:t>
            </w:r>
          </w:p>
        </w:tc>
        <w:tc>
          <w:tcPr>
            <w:tcW w:w="730" w:type="dxa"/>
            <w:noWrap/>
            <w:vAlign w:val="center"/>
          </w:tcPr>
          <w:p w14:paraId="0E9D728C" w14:textId="77777777" w:rsidR="00E3073B" w:rsidRPr="00D20E62" w:rsidRDefault="00E3073B" w:rsidP="00D20E62">
            <w:pPr>
              <w:spacing w:after="0" w:line="240" w:lineRule="auto"/>
              <w:contextualSpacing/>
              <w:rPr>
                <w:rFonts w:cs="Calibri"/>
                <w:color w:val="000000"/>
              </w:rPr>
            </w:pPr>
            <w:r w:rsidRPr="00D20E62">
              <w:rPr>
                <w:rFonts w:cs="Calibri"/>
                <w:color w:val="000000"/>
              </w:rPr>
              <w:lastRenderedPageBreak/>
              <w:t>2009</w:t>
            </w:r>
          </w:p>
        </w:tc>
        <w:tc>
          <w:tcPr>
            <w:tcW w:w="11155" w:type="dxa"/>
            <w:vAlign w:val="center"/>
          </w:tcPr>
          <w:p w14:paraId="49402167" w14:textId="58684C61" w:rsidR="00E3073B" w:rsidRPr="00D20E62" w:rsidRDefault="00E3073B" w:rsidP="00D20E62">
            <w:pPr>
              <w:spacing w:after="0" w:line="240" w:lineRule="auto"/>
              <w:contextualSpacing/>
              <w:rPr>
                <w:rFonts w:cs="Calibri"/>
                <w:color w:val="000000"/>
              </w:rPr>
            </w:pPr>
            <w:r w:rsidRPr="00D20E62">
              <w:rPr>
                <w:rFonts w:cs="Calibri"/>
                <w:color w:val="000000"/>
              </w:rPr>
              <w:t xml:space="preserve">References the </w:t>
            </w:r>
            <w:r>
              <w:rPr>
                <w:rFonts w:cs="Calibri"/>
                <w:color w:val="000000"/>
              </w:rPr>
              <w:t>F</w:t>
            </w:r>
            <w:r w:rsidRPr="00D20E62">
              <w:rPr>
                <w:rFonts w:cs="Calibri"/>
                <w:color w:val="000000"/>
              </w:rPr>
              <w:t xml:space="preserve">oresight report when showing inequalities in the prevalence of obesity. Trends in </w:t>
            </w:r>
            <w:r w:rsidR="005B30FC">
              <w:rPr>
                <w:rFonts w:cs="Calibri"/>
                <w:color w:val="000000"/>
              </w:rPr>
              <w:t>o</w:t>
            </w:r>
            <w:r w:rsidRPr="00D20E62">
              <w:rPr>
                <w:rFonts w:cs="Calibri"/>
                <w:color w:val="000000"/>
              </w:rPr>
              <w:t xml:space="preserve">besity </w:t>
            </w:r>
            <w:r w:rsidR="005B30FC">
              <w:rPr>
                <w:rFonts w:cs="Calibri"/>
                <w:color w:val="000000"/>
              </w:rPr>
              <w:t>p</w:t>
            </w:r>
            <w:r w:rsidRPr="00D20E62">
              <w:rPr>
                <w:rFonts w:cs="Calibri"/>
                <w:color w:val="000000"/>
              </w:rPr>
              <w:t xml:space="preserve">revalence </w:t>
            </w:r>
            <w:r w:rsidRPr="00D20E62">
              <w:rPr>
                <w:rFonts w:cs="Calibri"/>
                <w:color w:val="000000"/>
              </w:rPr>
              <w:lastRenderedPageBreak/>
              <w:t>1993–2004 by Social Class I and V are shown.</w:t>
            </w:r>
          </w:p>
        </w:tc>
      </w:tr>
      <w:tr w:rsidR="00E3073B" w:rsidRPr="002A3AAE" w14:paraId="585B444D" w14:textId="77777777" w:rsidTr="00334A08">
        <w:trPr>
          <w:trHeight w:val="142"/>
        </w:trPr>
        <w:tc>
          <w:tcPr>
            <w:tcW w:w="2749" w:type="dxa"/>
            <w:vAlign w:val="center"/>
          </w:tcPr>
          <w:p w14:paraId="2091332B" w14:textId="34470872" w:rsidR="00E3073B" w:rsidRPr="00D20E62" w:rsidRDefault="007014DF" w:rsidP="00D20E62">
            <w:pPr>
              <w:spacing w:after="0" w:line="240" w:lineRule="auto"/>
              <w:contextualSpacing/>
              <w:rPr>
                <w:rFonts w:cs="Calibri"/>
                <w:color w:val="000000"/>
              </w:rPr>
            </w:pPr>
            <w:r w:rsidRPr="007014DF">
              <w:rPr>
                <w:rFonts w:asciiTheme="minorHAnsi" w:hAnsiTheme="minorHAnsi" w:cstheme="minorHAnsi"/>
                <w:lang w:eastAsia="en-GB"/>
              </w:rPr>
              <w:lastRenderedPageBreak/>
              <w:t>Tackling Health</w:t>
            </w:r>
            <w:r>
              <w:rPr>
                <w:rFonts w:asciiTheme="minorHAnsi" w:hAnsiTheme="minorHAnsi" w:cstheme="minorHAnsi"/>
                <w:lang w:eastAsia="en-GB"/>
              </w:rPr>
              <w:t xml:space="preserve"> Inequalities: 10 Years On</w:t>
            </w:r>
            <w:r w:rsidR="007F2A24">
              <w:rPr>
                <w:rFonts w:asciiTheme="minorHAnsi" w:hAnsiTheme="minorHAnsi" w:cstheme="minorHAnsi"/>
                <w:lang w:eastAsia="en-GB"/>
              </w:rPr>
              <w:t xml:space="preserve"> (</w:t>
            </w:r>
            <w:r w:rsidR="007F2A24">
              <w:rPr>
                <w:rFonts w:asciiTheme="minorHAnsi" w:hAnsiTheme="minorHAnsi" w:cstheme="minorHAnsi"/>
                <w:lang w:eastAsia="en-GB"/>
              </w:rPr>
              <w:fldChar w:fldCharType="begin"/>
            </w:r>
            <w:r w:rsidR="007F2A24">
              <w:rPr>
                <w:rFonts w:asciiTheme="minorHAnsi" w:hAnsiTheme="minorHAnsi" w:cstheme="minorHAnsi"/>
                <w:lang w:eastAsia="en-GB"/>
              </w:rPr>
              <w:instrText xml:space="preserve"> NOTEREF _Ref341274451 \h </w:instrText>
            </w:r>
            <w:r w:rsidR="007F2A24">
              <w:rPr>
                <w:rFonts w:asciiTheme="minorHAnsi" w:hAnsiTheme="minorHAnsi" w:cstheme="minorHAnsi"/>
                <w:lang w:eastAsia="en-GB"/>
              </w:rPr>
            </w:r>
            <w:r w:rsidR="007F2A24">
              <w:rPr>
                <w:rFonts w:asciiTheme="minorHAnsi" w:hAnsiTheme="minorHAnsi" w:cstheme="minorHAnsi"/>
                <w:lang w:eastAsia="en-GB"/>
              </w:rPr>
              <w:fldChar w:fldCharType="separate"/>
            </w:r>
            <w:r w:rsidR="009462C5">
              <w:rPr>
                <w:rFonts w:asciiTheme="minorHAnsi" w:hAnsiTheme="minorHAnsi" w:cstheme="minorHAnsi"/>
                <w:lang w:eastAsia="en-GB"/>
              </w:rPr>
              <w:t>24</w:t>
            </w:r>
            <w:r w:rsidR="007F2A24">
              <w:rPr>
                <w:rFonts w:asciiTheme="minorHAnsi" w:hAnsiTheme="minorHAnsi" w:cstheme="minorHAnsi"/>
                <w:lang w:eastAsia="en-GB"/>
              </w:rPr>
              <w:fldChar w:fldCharType="end"/>
            </w:r>
            <w:r w:rsidR="007F2A24">
              <w:rPr>
                <w:rFonts w:asciiTheme="minorHAnsi" w:hAnsiTheme="minorHAnsi" w:cstheme="minorHAnsi"/>
                <w:lang w:eastAsia="en-GB"/>
              </w:rPr>
              <w:t>)</w:t>
            </w:r>
          </w:p>
        </w:tc>
        <w:tc>
          <w:tcPr>
            <w:tcW w:w="730" w:type="dxa"/>
            <w:noWrap/>
            <w:vAlign w:val="center"/>
          </w:tcPr>
          <w:p w14:paraId="7D64CDD0" w14:textId="77777777" w:rsidR="00E3073B" w:rsidRPr="00D20E62" w:rsidRDefault="00E3073B" w:rsidP="00D20E62">
            <w:pPr>
              <w:spacing w:after="0" w:line="240" w:lineRule="auto"/>
              <w:contextualSpacing/>
              <w:rPr>
                <w:rFonts w:cs="Calibri"/>
                <w:color w:val="000000"/>
              </w:rPr>
            </w:pPr>
            <w:r w:rsidRPr="00D20E62">
              <w:rPr>
                <w:rFonts w:cs="Calibri"/>
                <w:color w:val="000000"/>
              </w:rPr>
              <w:t>2009</w:t>
            </w:r>
          </w:p>
        </w:tc>
        <w:tc>
          <w:tcPr>
            <w:tcW w:w="11155" w:type="dxa"/>
            <w:vAlign w:val="center"/>
          </w:tcPr>
          <w:p w14:paraId="1F38928F" w14:textId="77777777" w:rsidR="00E3073B" w:rsidRPr="00D20E62" w:rsidRDefault="00E3073B" w:rsidP="00D20E62">
            <w:pPr>
              <w:spacing w:after="0" w:line="240" w:lineRule="auto"/>
              <w:contextualSpacing/>
              <w:rPr>
                <w:rFonts w:cs="Calibri"/>
                <w:color w:val="000000"/>
              </w:rPr>
            </w:pPr>
            <w:r w:rsidRPr="00D20E62">
              <w:rPr>
                <w:rFonts w:cs="Calibri"/>
                <w:color w:val="000000"/>
              </w:rPr>
              <w:t>Examines the WHO framework of indicators used to monitor the social determinants of health inequalities. One of these is: Prevalence of obesity in adults by gender and by income quintile. Also examines the contribution of obesity to the UK health inequalities in infant mortality target</w:t>
            </w:r>
          </w:p>
        </w:tc>
      </w:tr>
      <w:tr w:rsidR="005B30FC" w:rsidRPr="002A3AAE" w14:paraId="65F2EC31" w14:textId="77777777" w:rsidTr="00334A08">
        <w:trPr>
          <w:trHeight w:val="142"/>
        </w:trPr>
        <w:tc>
          <w:tcPr>
            <w:tcW w:w="2749" w:type="dxa"/>
            <w:vAlign w:val="center"/>
          </w:tcPr>
          <w:p w14:paraId="40581B55" w14:textId="37846C54" w:rsidR="005B30FC" w:rsidRPr="007014DF" w:rsidRDefault="005B30FC" w:rsidP="00D20E62">
            <w:pPr>
              <w:spacing w:after="0" w:line="240" w:lineRule="auto"/>
              <w:contextualSpacing/>
              <w:rPr>
                <w:rFonts w:asciiTheme="minorHAnsi" w:hAnsiTheme="minorHAnsi" w:cstheme="minorHAnsi"/>
                <w:lang w:eastAsia="en-GB"/>
              </w:rPr>
            </w:pPr>
            <w:r>
              <w:rPr>
                <w:rFonts w:asciiTheme="minorHAnsi" w:hAnsiTheme="minorHAnsi" w:cstheme="minorHAnsi"/>
                <w:lang w:eastAsia="en-GB"/>
              </w:rPr>
              <w:t>Fair Society, Healthy Lives (Marmot Review)</w:t>
            </w:r>
            <w:r w:rsidR="00C06995">
              <w:rPr>
                <w:rStyle w:val="EndnoteReference"/>
                <w:rFonts w:asciiTheme="minorHAnsi" w:hAnsiTheme="minorHAnsi"/>
                <w:lang w:eastAsia="en-GB"/>
              </w:rPr>
              <w:endnoteReference w:id="68"/>
            </w:r>
          </w:p>
        </w:tc>
        <w:tc>
          <w:tcPr>
            <w:tcW w:w="730" w:type="dxa"/>
            <w:noWrap/>
            <w:vAlign w:val="center"/>
          </w:tcPr>
          <w:p w14:paraId="0F1D7229" w14:textId="77777777" w:rsidR="005B30FC" w:rsidRPr="00D20E62" w:rsidRDefault="005B30FC" w:rsidP="00D20E62">
            <w:pPr>
              <w:spacing w:after="0" w:line="240" w:lineRule="auto"/>
              <w:contextualSpacing/>
              <w:rPr>
                <w:rFonts w:cs="Calibri"/>
                <w:color w:val="000000"/>
              </w:rPr>
            </w:pPr>
            <w:r>
              <w:rPr>
                <w:rFonts w:cs="Calibri"/>
                <w:color w:val="000000"/>
              </w:rPr>
              <w:t>2010</w:t>
            </w:r>
          </w:p>
        </w:tc>
        <w:tc>
          <w:tcPr>
            <w:tcW w:w="11155" w:type="dxa"/>
            <w:vAlign w:val="center"/>
          </w:tcPr>
          <w:p w14:paraId="77B1400B" w14:textId="77777777" w:rsidR="005B30FC" w:rsidRPr="00D20E62" w:rsidRDefault="005B30FC" w:rsidP="00D20E62">
            <w:pPr>
              <w:spacing w:after="0" w:line="240" w:lineRule="auto"/>
              <w:contextualSpacing/>
              <w:rPr>
                <w:rFonts w:cs="Calibri"/>
                <w:color w:val="000000"/>
              </w:rPr>
            </w:pPr>
            <w:r>
              <w:rPr>
                <w:rFonts w:cs="Calibri"/>
                <w:color w:val="000000"/>
              </w:rPr>
              <w:t>Presents obesity prevalence, 1997-2007 for adults by social class, by region and deprivation quintile. Also presents childhood obesity prevalence.</w:t>
            </w:r>
          </w:p>
        </w:tc>
      </w:tr>
      <w:tr w:rsidR="00E3073B" w:rsidRPr="002A3AAE" w14:paraId="6A8FE90A" w14:textId="77777777" w:rsidTr="00334A08">
        <w:trPr>
          <w:trHeight w:val="142"/>
        </w:trPr>
        <w:tc>
          <w:tcPr>
            <w:tcW w:w="14634" w:type="dxa"/>
            <w:gridSpan w:val="3"/>
            <w:vAlign w:val="center"/>
          </w:tcPr>
          <w:p w14:paraId="335BF9EE" w14:textId="77777777" w:rsidR="00E3073B" w:rsidRPr="00D20E62" w:rsidRDefault="00E3073B" w:rsidP="00D20E62">
            <w:pPr>
              <w:spacing w:after="0" w:line="240" w:lineRule="auto"/>
              <w:contextualSpacing/>
              <w:jc w:val="center"/>
              <w:rPr>
                <w:rFonts w:cs="Calibri"/>
                <w:b/>
                <w:i/>
                <w:color w:val="000000"/>
              </w:rPr>
            </w:pPr>
            <w:r w:rsidRPr="00D20E62">
              <w:rPr>
                <w:rFonts w:cs="Calibri"/>
                <w:b/>
                <w:i/>
                <w:color w:val="000000"/>
              </w:rPr>
              <w:t>Modelling Future Scenarios</w:t>
            </w:r>
          </w:p>
        </w:tc>
      </w:tr>
      <w:tr w:rsidR="00E3073B" w:rsidRPr="002A3AAE" w14:paraId="76F6427C" w14:textId="77777777" w:rsidTr="00334A08">
        <w:trPr>
          <w:trHeight w:val="142"/>
        </w:trPr>
        <w:tc>
          <w:tcPr>
            <w:tcW w:w="2749" w:type="dxa"/>
            <w:vAlign w:val="center"/>
          </w:tcPr>
          <w:p w14:paraId="2DEC0CB6" w14:textId="58324BE9" w:rsidR="00E3073B" w:rsidRPr="00D20E62" w:rsidRDefault="00E3073B" w:rsidP="00D20E62">
            <w:pPr>
              <w:spacing w:after="0" w:line="240" w:lineRule="auto"/>
              <w:contextualSpacing/>
              <w:rPr>
                <w:rFonts w:cs="Calibri"/>
                <w:color w:val="000000"/>
              </w:rPr>
            </w:pPr>
            <w:proofErr w:type="spellStart"/>
            <w:r w:rsidRPr="00D20E62">
              <w:rPr>
                <w:rFonts w:cs="Calibri"/>
                <w:color w:val="000000"/>
              </w:rPr>
              <w:t>Wanless</w:t>
            </w:r>
            <w:proofErr w:type="spellEnd"/>
            <w:r w:rsidRPr="00D20E62">
              <w:rPr>
                <w:rFonts w:cs="Calibri"/>
                <w:color w:val="000000"/>
              </w:rPr>
              <w:t xml:space="preserve"> Reports</w:t>
            </w:r>
            <w:r w:rsidR="007F2A24">
              <w:rPr>
                <w:rFonts w:cs="Calibri"/>
                <w:color w:val="000000"/>
              </w:rPr>
              <w:t xml:space="preserve"> (</w:t>
            </w:r>
            <w:r w:rsidR="007F2A24">
              <w:rPr>
                <w:rFonts w:cs="Calibri"/>
                <w:color w:val="000000"/>
              </w:rPr>
              <w:fldChar w:fldCharType="begin"/>
            </w:r>
            <w:r w:rsidR="007F2A24">
              <w:rPr>
                <w:rFonts w:cs="Calibri"/>
                <w:color w:val="000000"/>
              </w:rPr>
              <w:instrText xml:space="preserve"> NOTEREF _Ref341274380 \h </w:instrText>
            </w:r>
            <w:r w:rsidR="007F2A24">
              <w:rPr>
                <w:rFonts w:cs="Calibri"/>
                <w:color w:val="000000"/>
              </w:rPr>
            </w:r>
            <w:r w:rsidR="007F2A24">
              <w:rPr>
                <w:rFonts w:cs="Calibri"/>
                <w:color w:val="000000"/>
              </w:rPr>
              <w:fldChar w:fldCharType="separate"/>
            </w:r>
            <w:r w:rsidR="009462C5">
              <w:rPr>
                <w:rFonts w:cs="Calibri"/>
                <w:color w:val="000000"/>
              </w:rPr>
              <w:t>31</w:t>
            </w:r>
            <w:r w:rsidR="007F2A24">
              <w:rPr>
                <w:rFonts w:cs="Calibri"/>
                <w:color w:val="000000"/>
              </w:rPr>
              <w:fldChar w:fldCharType="end"/>
            </w:r>
            <w:r w:rsidR="007F2A24">
              <w:rPr>
                <w:rFonts w:cs="Calibri"/>
                <w:color w:val="000000"/>
              </w:rPr>
              <w:t>,</w:t>
            </w:r>
            <w:r w:rsidR="007F2A24">
              <w:rPr>
                <w:rFonts w:cs="Calibri"/>
                <w:color w:val="000000"/>
              </w:rPr>
              <w:fldChar w:fldCharType="begin"/>
            </w:r>
            <w:r w:rsidR="007F2A24">
              <w:rPr>
                <w:rFonts w:cs="Calibri"/>
                <w:color w:val="000000"/>
              </w:rPr>
              <w:instrText xml:space="preserve"> NOTEREF _Ref341274382 \h </w:instrText>
            </w:r>
            <w:r w:rsidR="007F2A24">
              <w:rPr>
                <w:rFonts w:cs="Calibri"/>
                <w:color w:val="000000"/>
              </w:rPr>
            </w:r>
            <w:r w:rsidR="007F2A24">
              <w:rPr>
                <w:rFonts w:cs="Calibri"/>
                <w:color w:val="000000"/>
              </w:rPr>
              <w:fldChar w:fldCharType="separate"/>
            </w:r>
            <w:r w:rsidR="009462C5">
              <w:rPr>
                <w:rFonts w:cs="Calibri"/>
                <w:color w:val="000000"/>
              </w:rPr>
              <w:t>32</w:t>
            </w:r>
            <w:r w:rsidR="007F2A24">
              <w:rPr>
                <w:rFonts w:cs="Calibri"/>
                <w:color w:val="000000"/>
              </w:rPr>
              <w:fldChar w:fldCharType="end"/>
            </w:r>
            <w:r w:rsidR="007F2A24">
              <w:rPr>
                <w:rFonts w:cs="Calibri"/>
                <w:color w:val="000000"/>
              </w:rPr>
              <w:t>)</w:t>
            </w:r>
          </w:p>
        </w:tc>
        <w:tc>
          <w:tcPr>
            <w:tcW w:w="730" w:type="dxa"/>
            <w:noWrap/>
            <w:vAlign w:val="center"/>
          </w:tcPr>
          <w:p w14:paraId="53B0610E" w14:textId="77777777" w:rsidR="00E3073B" w:rsidRPr="00D20E62" w:rsidRDefault="00E3073B" w:rsidP="00D20E62">
            <w:pPr>
              <w:spacing w:after="0" w:line="240" w:lineRule="auto"/>
              <w:contextualSpacing/>
              <w:rPr>
                <w:rFonts w:cs="Calibri"/>
                <w:color w:val="000000"/>
              </w:rPr>
            </w:pPr>
            <w:r w:rsidRPr="00D20E62">
              <w:rPr>
                <w:rFonts w:cs="Calibri"/>
                <w:color w:val="000000"/>
              </w:rPr>
              <w:t>2002, 2004</w:t>
            </w:r>
          </w:p>
        </w:tc>
        <w:tc>
          <w:tcPr>
            <w:tcW w:w="11155" w:type="dxa"/>
            <w:vAlign w:val="center"/>
          </w:tcPr>
          <w:p w14:paraId="3088461B" w14:textId="77777777" w:rsidR="00E3073B" w:rsidRPr="00D20E62" w:rsidRDefault="00E3073B" w:rsidP="00D20E62">
            <w:pPr>
              <w:spacing w:after="0" w:line="240" w:lineRule="auto"/>
              <w:contextualSpacing/>
              <w:rPr>
                <w:rFonts w:cs="Calibri"/>
                <w:color w:val="000000"/>
              </w:rPr>
            </w:pPr>
            <w:r w:rsidRPr="00D20E62">
              <w:rPr>
                <w:rFonts w:cs="Calibri"/>
                <w:color w:val="000000"/>
              </w:rPr>
              <w:t xml:space="preserve">In order to predict future </w:t>
            </w:r>
            <w:r w:rsidR="007645F6">
              <w:rPr>
                <w:rFonts w:cs="Calibri"/>
                <w:color w:val="000000"/>
              </w:rPr>
              <w:t xml:space="preserve">health </w:t>
            </w:r>
            <w:r w:rsidRPr="00D20E62">
              <w:rPr>
                <w:rFonts w:cs="Calibri"/>
                <w:color w:val="000000"/>
              </w:rPr>
              <w:t xml:space="preserve">needs and demands of the population one of the key factors examined by the report was the health status in the population. Health problems resulting from obesity were identified by </w:t>
            </w:r>
            <w:proofErr w:type="spellStart"/>
            <w:r w:rsidRPr="00D20E62">
              <w:rPr>
                <w:rFonts w:cs="Calibri"/>
                <w:color w:val="000000"/>
              </w:rPr>
              <w:t>Wanless</w:t>
            </w:r>
            <w:proofErr w:type="spellEnd"/>
            <w:r w:rsidRPr="00D20E62">
              <w:rPr>
                <w:rFonts w:cs="Calibri"/>
                <w:color w:val="000000"/>
              </w:rPr>
              <w:t xml:space="preserve"> as likely to put significant strain on future NHS budgets.</w:t>
            </w:r>
          </w:p>
        </w:tc>
      </w:tr>
      <w:tr w:rsidR="00E3073B" w:rsidRPr="002A3AAE" w14:paraId="333C259D" w14:textId="77777777" w:rsidTr="00334A08">
        <w:trPr>
          <w:trHeight w:val="142"/>
        </w:trPr>
        <w:tc>
          <w:tcPr>
            <w:tcW w:w="2749" w:type="dxa"/>
            <w:vAlign w:val="center"/>
          </w:tcPr>
          <w:p w14:paraId="60619697" w14:textId="77777777" w:rsidR="00E3073B" w:rsidRPr="00D20E62" w:rsidRDefault="00E3073B" w:rsidP="00D20E62">
            <w:pPr>
              <w:spacing w:after="0" w:line="240" w:lineRule="auto"/>
              <w:contextualSpacing/>
              <w:rPr>
                <w:rFonts w:cs="Calibri"/>
                <w:color w:val="000000"/>
              </w:rPr>
            </w:pPr>
            <w:r>
              <w:rPr>
                <w:rFonts w:cs="Calibri"/>
                <w:color w:val="000000"/>
              </w:rPr>
              <w:t>Forecasting obesity to 2010</w:t>
            </w:r>
            <w:r w:rsidR="001442E6">
              <w:rPr>
                <w:rFonts w:cs="Calibri"/>
                <w:color w:val="000000"/>
              </w:rPr>
              <w:t xml:space="preserve"> (</w:t>
            </w:r>
            <w:r w:rsidR="001442E6" w:rsidRPr="001442E6">
              <w:rPr>
                <w:rStyle w:val="EndnoteReference"/>
                <w:color w:val="000000"/>
                <w:vertAlign w:val="baseline"/>
              </w:rPr>
              <w:endnoteReference w:id="69"/>
            </w:r>
            <w:r w:rsidR="001442E6">
              <w:rPr>
                <w:rFonts w:cs="Calibri"/>
                <w:color w:val="000000"/>
              </w:rPr>
              <w:t>)</w:t>
            </w:r>
          </w:p>
        </w:tc>
        <w:tc>
          <w:tcPr>
            <w:tcW w:w="730" w:type="dxa"/>
            <w:noWrap/>
            <w:vAlign w:val="center"/>
          </w:tcPr>
          <w:p w14:paraId="1ADB0F53" w14:textId="77777777" w:rsidR="00E3073B" w:rsidRPr="00D20E62" w:rsidRDefault="00E3073B" w:rsidP="00D20E62">
            <w:pPr>
              <w:spacing w:after="0" w:line="240" w:lineRule="auto"/>
              <w:contextualSpacing/>
              <w:rPr>
                <w:rFonts w:cs="Calibri"/>
                <w:color w:val="000000"/>
              </w:rPr>
            </w:pPr>
            <w:r>
              <w:rPr>
                <w:rFonts w:cs="Calibri"/>
                <w:color w:val="000000"/>
              </w:rPr>
              <w:t>2006</w:t>
            </w:r>
          </w:p>
        </w:tc>
        <w:tc>
          <w:tcPr>
            <w:tcW w:w="11155" w:type="dxa"/>
            <w:vAlign w:val="center"/>
          </w:tcPr>
          <w:p w14:paraId="60E7AF47" w14:textId="77777777" w:rsidR="00E3073B" w:rsidRPr="00D20E62" w:rsidRDefault="00E3073B" w:rsidP="001442E6">
            <w:pPr>
              <w:spacing w:after="0" w:line="240" w:lineRule="auto"/>
              <w:contextualSpacing/>
              <w:rPr>
                <w:rFonts w:cs="Calibri"/>
                <w:color w:val="000000"/>
              </w:rPr>
            </w:pPr>
            <w:r>
              <w:rPr>
                <w:rFonts w:cs="Calibri"/>
                <w:color w:val="000000"/>
              </w:rPr>
              <w:t>A report commissioned by the Department of Health to examine obesity prevalence by age, sex, and socio-economic position in 2003, and to project these forward to 2010.</w:t>
            </w:r>
            <w:r w:rsidR="001442E6">
              <w:rPr>
                <w:rFonts w:cs="Calibri"/>
                <w:color w:val="000000"/>
              </w:rPr>
              <w:t xml:space="preserve"> Uses trend and prevalence data.</w:t>
            </w:r>
          </w:p>
        </w:tc>
      </w:tr>
      <w:tr w:rsidR="00E3073B" w:rsidRPr="002A3AAE" w14:paraId="743AA046" w14:textId="77777777" w:rsidTr="00334A08">
        <w:trPr>
          <w:trHeight w:val="142"/>
        </w:trPr>
        <w:tc>
          <w:tcPr>
            <w:tcW w:w="2749" w:type="dxa"/>
            <w:vAlign w:val="center"/>
          </w:tcPr>
          <w:p w14:paraId="257BC450" w14:textId="1C970057" w:rsidR="00E3073B" w:rsidRPr="00D20E62" w:rsidRDefault="00265BDB" w:rsidP="00D20E62">
            <w:pPr>
              <w:spacing w:after="0" w:line="240" w:lineRule="auto"/>
              <w:contextualSpacing/>
              <w:rPr>
                <w:rFonts w:cs="Calibri"/>
                <w:color w:val="000000"/>
              </w:rPr>
            </w:pPr>
            <w:r w:rsidRPr="00D20E62">
              <w:rPr>
                <w:rFonts w:cs="Calibri"/>
                <w:color w:val="000000"/>
                <w:lang w:eastAsia="en-GB"/>
              </w:rPr>
              <w:t>Tackling obesities: Future choices (Foresight Report)</w:t>
            </w:r>
            <w:r>
              <w:rPr>
                <w:rFonts w:cs="Calibri"/>
                <w:color w:val="000000"/>
                <w:lang w:eastAsia="en-GB"/>
              </w:rPr>
              <w:t xml:space="preserve"> </w:t>
            </w:r>
            <w:r w:rsidR="007F2A24">
              <w:rPr>
                <w:rFonts w:cs="Calibri"/>
                <w:color w:val="000000"/>
              </w:rPr>
              <w:t>(</w:t>
            </w:r>
            <w:r w:rsidR="007F2A24">
              <w:rPr>
                <w:rFonts w:cs="Calibri"/>
                <w:color w:val="000000"/>
              </w:rPr>
              <w:fldChar w:fldCharType="begin"/>
            </w:r>
            <w:r w:rsidR="007F2A24">
              <w:rPr>
                <w:rFonts w:cs="Calibri"/>
                <w:color w:val="000000"/>
              </w:rPr>
              <w:instrText xml:space="preserve"> NOTEREF _Ref341184686 \h </w:instrText>
            </w:r>
            <w:r w:rsidR="007F2A24">
              <w:rPr>
                <w:rFonts w:cs="Calibri"/>
                <w:color w:val="000000"/>
              </w:rPr>
            </w:r>
            <w:r w:rsidR="007F2A24">
              <w:rPr>
                <w:rFonts w:cs="Calibri"/>
                <w:color w:val="000000"/>
              </w:rPr>
              <w:fldChar w:fldCharType="separate"/>
            </w:r>
            <w:r w:rsidR="009462C5">
              <w:rPr>
                <w:rFonts w:cs="Calibri"/>
                <w:color w:val="000000"/>
              </w:rPr>
              <w:t>26</w:t>
            </w:r>
            <w:r w:rsidR="007F2A24">
              <w:rPr>
                <w:rFonts w:cs="Calibri"/>
                <w:color w:val="000000"/>
              </w:rPr>
              <w:fldChar w:fldCharType="end"/>
            </w:r>
            <w:r w:rsidR="007F2A24">
              <w:rPr>
                <w:rFonts w:cs="Calibri"/>
                <w:color w:val="000000"/>
              </w:rPr>
              <w:t>)</w:t>
            </w:r>
          </w:p>
        </w:tc>
        <w:tc>
          <w:tcPr>
            <w:tcW w:w="730" w:type="dxa"/>
            <w:noWrap/>
            <w:vAlign w:val="center"/>
          </w:tcPr>
          <w:p w14:paraId="18270775" w14:textId="77777777" w:rsidR="00E3073B" w:rsidRPr="00D20E62" w:rsidRDefault="00E3073B" w:rsidP="00D20E62">
            <w:pPr>
              <w:spacing w:after="0" w:line="240" w:lineRule="auto"/>
              <w:contextualSpacing/>
              <w:rPr>
                <w:rFonts w:cs="Calibri"/>
                <w:color w:val="000000"/>
              </w:rPr>
            </w:pPr>
            <w:r w:rsidRPr="00D20E62">
              <w:rPr>
                <w:rFonts w:cs="Calibri"/>
                <w:color w:val="000000"/>
              </w:rPr>
              <w:t>2007</w:t>
            </w:r>
          </w:p>
        </w:tc>
        <w:tc>
          <w:tcPr>
            <w:tcW w:w="11155" w:type="dxa"/>
            <w:vAlign w:val="center"/>
          </w:tcPr>
          <w:p w14:paraId="2C55D78A" w14:textId="77777777" w:rsidR="00E3073B" w:rsidRPr="00D20E62" w:rsidRDefault="00E3073B" w:rsidP="00D20E62">
            <w:pPr>
              <w:spacing w:after="0" w:line="240" w:lineRule="auto"/>
              <w:contextualSpacing/>
              <w:rPr>
                <w:rFonts w:cs="Calibri"/>
                <w:color w:val="000000"/>
              </w:rPr>
            </w:pPr>
            <w:r w:rsidRPr="00D20E62">
              <w:rPr>
                <w:rFonts w:cs="Calibri"/>
                <w:color w:val="000000"/>
              </w:rPr>
              <w:t>The report explores future trajectories for overweight and obesity in the population. This is done through quantitative modelling, using the Health Survey for England from 1994-2004 and extrapolating trends to 2050. The simulation is then used to examine future impact on life expectancy and potential future economic costs of overweight and obesity.</w:t>
            </w:r>
          </w:p>
        </w:tc>
      </w:tr>
      <w:tr w:rsidR="00E3073B" w:rsidRPr="002A3AAE" w14:paraId="60C741B3" w14:textId="77777777" w:rsidTr="00334A08">
        <w:trPr>
          <w:trHeight w:val="142"/>
        </w:trPr>
        <w:tc>
          <w:tcPr>
            <w:tcW w:w="2749" w:type="dxa"/>
            <w:vAlign w:val="center"/>
          </w:tcPr>
          <w:p w14:paraId="082380CA" w14:textId="67F4C326" w:rsidR="00E3073B" w:rsidRPr="00D20E62" w:rsidRDefault="00E3073B" w:rsidP="00D20E62">
            <w:pPr>
              <w:spacing w:after="0" w:line="240" w:lineRule="auto"/>
              <w:contextualSpacing/>
              <w:rPr>
                <w:rFonts w:cs="Calibri"/>
                <w:color w:val="000000"/>
              </w:rPr>
            </w:pPr>
            <w:r w:rsidRPr="00D20E62">
              <w:rPr>
                <w:rFonts w:cs="Calibri"/>
                <w:color w:val="000000"/>
              </w:rPr>
              <w:t>Obesity: Recent Trends in Children Aged 2-11y and 12-19y</w:t>
            </w:r>
            <w:r w:rsidR="00265BDB">
              <w:rPr>
                <w:rFonts w:cs="Calibri"/>
                <w:color w:val="000000"/>
              </w:rPr>
              <w:t xml:space="preserve"> (</w:t>
            </w:r>
            <w:r w:rsidR="007F2A24">
              <w:rPr>
                <w:rFonts w:cs="Calibri"/>
                <w:color w:val="000000"/>
              </w:rPr>
              <w:fldChar w:fldCharType="begin"/>
            </w:r>
            <w:r w:rsidR="007F2A24">
              <w:rPr>
                <w:rFonts w:cs="Calibri"/>
                <w:color w:val="000000"/>
              </w:rPr>
              <w:instrText xml:space="preserve"> NOTEREF _Ref341274503 \h </w:instrText>
            </w:r>
            <w:r w:rsidR="007F2A24">
              <w:rPr>
                <w:rFonts w:cs="Calibri"/>
                <w:color w:val="000000"/>
              </w:rPr>
            </w:r>
            <w:r w:rsidR="007F2A24">
              <w:rPr>
                <w:rFonts w:cs="Calibri"/>
                <w:color w:val="000000"/>
              </w:rPr>
              <w:fldChar w:fldCharType="separate"/>
            </w:r>
            <w:r w:rsidR="009462C5">
              <w:rPr>
                <w:rFonts w:cs="Calibri"/>
                <w:color w:val="000000"/>
              </w:rPr>
              <w:t>29</w:t>
            </w:r>
            <w:r w:rsidR="007F2A24">
              <w:rPr>
                <w:rFonts w:cs="Calibri"/>
                <w:color w:val="000000"/>
              </w:rPr>
              <w:fldChar w:fldCharType="end"/>
            </w:r>
            <w:r w:rsidR="00265BDB">
              <w:rPr>
                <w:rFonts w:cs="Calibri"/>
                <w:color w:val="000000"/>
              </w:rPr>
              <w:t>)</w:t>
            </w:r>
          </w:p>
        </w:tc>
        <w:tc>
          <w:tcPr>
            <w:tcW w:w="730" w:type="dxa"/>
            <w:noWrap/>
            <w:vAlign w:val="center"/>
          </w:tcPr>
          <w:p w14:paraId="55107350" w14:textId="77777777" w:rsidR="00E3073B" w:rsidRPr="00D20E62" w:rsidRDefault="00E3073B" w:rsidP="00D20E62">
            <w:pPr>
              <w:spacing w:after="0" w:line="240" w:lineRule="auto"/>
              <w:contextualSpacing/>
              <w:rPr>
                <w:rFonts w:cs="Calibri"/>
                <w:color w:val="000000"/>
              </w:rPr>
            </w:pPr>
            <w:r w:rsidRPr="00D20E62">
              <w:rPr>
                <w:rFonts w:cs="Calibri"/>
                <w:color w:val="000000"/>
              </w:rPr>
              <w:t>2009</w:t>
            </w:r>
          </w:p>
        </w:tc>
        <w:tc>
          <w:tcPr>
            <w:tcW w:w="11155" w:type="dxa"/>
            <w:vAlign w:val="center"/>
          </w:tcPr>
          <w:p w14:paraId="7324AB29" w14:textId="77777777" w:rsidR="00E3073B" w:rsidRPr="00D20E62" w:rsidRDefault="00E3073B" w:rsidP="00D20E62">
            <w:pPr>
              <w:spacing w:after="0" w:line="240" w:lineRule="auto"/>
              <w:contextualSpacing/>
              <w:rPr>
                <w:rFonts w:cs="Calibri"/>
                <w:color w:val="000000"/>
              </w:rPr>
            </w:pPr>
            <w:r w:rsidRPr="00D20E62">
              <w:rPr>
                <w:rFonts w:cs="Calibri"/>
                <w:color w:val="000000"/>
              </w:rPr>
              <w:t>Returns to the model produced by Foresight for Tackling Obesities and updated the data based on the three additional years of HSE data that had become available since Tackling Obesities was published. This shows an improved picture for England with the rising prevalence of childhood obesity slowing down.</w:t>
            </w:r>
          </w:p>
        </w:tc>
      </w:tr>
      <w:tr w:rsidR="00E3073B" w:rsidRPr="002A3AAE" w14:paraId="663A5A93" w14:textId="77777777" w:rsidTr="00334A08">
        <w:trPr>
          <w:trHeight w:val="142"/>
        </w:trPr>
        <w:tc>
          <w:tcPr>
            <w:tcW w:w="2749" w:type="dxa"/>
            <w:vAlign w:val="center"/>
          </w:tcPr>
          <w:p w14:paraId="573048F7" w14:textId="33EF75D4" w:rsidR="00E3073B" w:rsidRPr="00D20E62" w:rsidRDefault="00E3073B" w:rsidP="00D20E62">
            <w:pPr>
              <w:spacing w:after="0" w:line="240" w:lineRule="auto"/>
              <w:contextualSpacing/>
              <w:rPr>
                <w:rFonts w:cs="Calibri"/>
                <w:lang w:eastAsia="en-GB"/>
              </w:rPr>
            </w:pPr>
            <w:r w:rsidRPr="00D20E62">
              <w:rPr>
                <w:rFonts w:cs="Calibri"/>
                <w:lang w:eastAsia="en-GB"/>
              </w:rPr>
              <w:t>Obesity Trends for Adults Analysis from the Health Survey for England 1993 – 2007</w:t>
            </w:r>
            <w:r w:rsidR="00265BDB">
              <w:rPr>
                <w:rFonts w:cs="Calibri"/>
                <w:lang w:eastAsia="en-GB"/>
              </w:rPr>
              <w:t xml:space="preserve"> (</w:t>
            </w:r>
            <w:r w:rsidR="007F2A24">
              <w:rPr>
                <w:rFonts w:cs="Calibri"/>
                <w:lang w:eastAsia="en-GB"/>
              </w:rPr>
              <w:fldChar w:fldCharType="begin"/>
            </w:r>
            <w:r w:rsidR="007F2A24">
              <w:rPr>
                <w:rFonts w:cs="Calibri"/>
                <w:lang w:eastAsia="en-GB"/>
              </w:rPr>
              <w:instrText xml:space="preserve"> NOTEREF _Ref341274510 \h </w:instrText>
            </w:r>
            <w:r w:rsidR="007F2A24">
              <w:rPr>
                <w:rFonts w:cs="Calibri"/>
                <w:lang w:eastAsia="en-GB"/>
              </w:rPr>
            </w:r>
            <w:r w:rsidR="007F2A24">
              <w:rPr>
                <w:rFonts w:cs="Calibri"/>
                <w:lang w:eastAsia="en-GB"/>
              </w:rPr>
              <w:fldChar w:fldCharType="separate"/>
            </w:r>
            <w:r w:rsidR="009462C5">
              <w:rPr>
                <w:rFonts w:cs="Calibri"/>
                <w:lang w:eastAsia="en-GB"/>
              </w:rPr>
              <w:t>30</w:t>
            </w:r>
            <w:r w:rsidR="007F2A24">
              <w:rPr>
                <w:rFonts w:cs="Calibri"/>
                <w:lang w:eastAsia="en-GB"/>
              </w:rPr>
              <w:fldChar w:fldCharType="end"/>
            </w:r>
            <w:r w:rsidR="00265BDB">
              <w:rPr>
                <w:rFonts w:cs="Calibri"/>
                <w:lang w:eastAsia="en-GB"/>
              </w:rPr>
              <w:t>)</w:t>
            </w:r>
          </w:p>
        </w:tc>
        <w:tc>
          <w:tcPr>
            <w:tcW w:w="730" w:type="dxa"/>
            <w:noWrap/>
            <w:vAlign w:val="center"/>
          </w:tcPr>
          <w:p w14:paraId="726C1CDF" w14:textId="77777777" w:rsidR="00E3073B" w:rsidRPr="00D20E62" w:rsidRDefault="007F2A24" w:rsidP="00D20E62">
            <w:pPr>
              <w:spacing w:after="0" w:line="240" w:lineRule="auto"/>
              <w:contextualSpacing/>
              <w:rPr>
                <w:rFonts w:cs="Calibri"/>
                <w:color w:val="000000"/>
              </w:rPr>
            </w:pPr>
            <w:r>
              <w:rPr>
                <w:rFonts w:cs="Calibri"/>
                <w:color w:val="000000"/>
              </w:rPr>
              <w:t>2010</w:t>
            </w:r>
          </w:p>
        </w:tc>
        <w:tc>
          <w:tcPr>
            <w:tcW w:w="11155" w:type="dxa"/>
            <w:vAlign w:val="center"/>
          </w:tcPr>
          <w:p w14:paraId="389C7B7E" w14:textId="77777777" w:rsidR="00E3073B" w:rsidRPr="00D20E62" w:rsidRDefault="00E3073B" w:rsidP="00D20E62">
            <w:pPr>
              <w:autoSpaceDE w:val="0"/>
              <w:autoSpaceDN w:val="0"/>
              <w:adjustRightInd w:val="0"/>
              <w:snapToGrid w:val="0"/>
              <w:spacing w:after="0" w:line="240" w:lineRule="auto"/>
              <w:contextualSpacing/>
              <w:rPr>
                <w:rFonts w:cs="Calibri"/>
                <w:color w:val="000000"/>
                <w:lang w:eastAsia="en-GB"/>
              </w:rPr>
            </w:pPr>
            <w:r w:rsidRPr="00D20E62">
              <w:rPr>
                <w:rFonts w:cs="Calibri"/>
                <w:color w:val="000000"/>
                <w:lang w:eastAsia="en-GB"/>
              </w:rPr>
              <w:t>Data from 2004-2007 were incorporated into the software developed for Foresight to show trends until 2020, by gender, age and social class. Future obesity trends for the UK population are presented and the consequences in terms of the costs of BMI related diseases are predicted.</w:t>
            </w:r>
          </w:p>
        </w:tc>
      </w:tr>
      <w:tr w:rsidR="00E3073B" w:rsidRPr="002A3AAE" w14:paraId="27AEA68B" w14:textId="77777777" w:rsidTr="00334A08">
        <w:trPr>
          <w:trHeight w:val="142"/>
        </w:trPr>
        <w:tc>
          <w:tcPr>
            <w:tcW w:w="14634" w:type="dxa"/>
            <w:gridSpan w:val="3"/>
            <w:vAlign w:val="center"/>
          </w:tcPr>
          <w:p w14:paraId="67B1B661" w14:textId="77777777" w:rsidR="00E3073B" w:rsidRPr="00D20E62" w:rsidRDefault="00E3073B" w:rsidP="00D20E62">
            <w:pPr>
              <w:spacing w:after="0" w:line="240" w:lineRule="auto"/>
              <w:contextualSpacing/>
              <w:jc w:val="center"/>
              <w:rPr>
                <w:rFonts w:cs="Calibri"/>
                <w:b/>
                <w:i/>
                <w:color w:val="000000"/>
              </w:rPr>
            </w:pPr>
            <w:r w:rsidRPr="00D20E62">
              <w:rPr>
                <w:rFonts w:cs="Calibri"/>
                <w:b/>
                <w:i/>
              </w:rPr>
              <w:t>Clinical Guidance</w:t>
            </w:r>
          </w:p>
        </w:tc>
      </w:tr>
      <w:tr w:rsidR="00E3073B" w:rsidRPr="002A3AAE" w14:paraId="3A624065" w14:textId="77777777" w:rsidTr="00334A08">
        <w:trPr>
          <w:trHeight w:val="142"/>
        </w:trPr>
        <w:tc>
          <w:tcPr>
            <w:tcW w:w="2749" w:type="dxa"/>
            <w:vAlign w:val="center"/>
          </w:tcPr>
          <w:p w14:paraId="7237ED46" w14:textId="04880483" w:rsidR="00E3073B" w:rsidRPr="00D20E62" w:rsidRDefault="00E3073B" w:rsidP="00D20E62">
            <w:pPr>
              <w:spacing w:after="0" w:line="240" w:lineRule="auto"/>
              <w:contextualSpacing/>
              <w:rPr>
                <w:rFonts w:cs="Calibri"/>
                <w:color w:val="000000"/>
              </w:rPr>
            </w:pPr>
            <w:r w:rsidRPr="00D20E62">
              <w:rPr>
                <w:rFonts w:cs="Calibri"/>
                <w:color w:val="000000"/>
              </w:rPr>
              <w:t>NICE obesity guidance CG43</w:t>
            </w:r>
            <w:r w:rsidR="00265BDB">
              <w:rPr>
                <w:rFonts w:cs="Calibri"/>
                <w:color w:val="000000"/>
              </w:rPr>
              <w:t xml:space="preserve"> (</w:t>
            </w:r>
            <w:r w:rsidR="007F2A24">
              <w:rPr>
                <w:rFonts w:cs="Calibri"/>
                <w:color w:val="000000"/>
              </w:rPr>
              <w:fldChar w:fldCharType="begin"/>
            </w:r>
            <w:r w:rsidR="007F2A24">
              <w:rPr>
                <w:rFonts w:cs="Calibri"/>
                <w:color w:val="000000"/>
              </w:rPr>
              <w:instrText xml:space="preserve"> NOTEREF _Ref341192229 \h </w:instrText>
            </w:r>
            <w:r w:rsidR="007F2A24">
              <w:rPr>
                <w:rFonts w:cs="Calibri"/>
                <w:color w:val="000000"/>
              </w:rPr>
            </w:r>
            <w:r w:rsidR="007F2A24">
              <w:rPr>
                <w:rFonts w:cs="Calibri"/>
                <w:color w:val="000000"/>
              </w:rPr>
              <w:fldChar w:fldCharType="separate"/>
            </w:r>
            <w:r w:rsidR="009462C5">
              <w:rPr>
                <w:rFonts w:cs="Calibri"/>
                <w:color w:val="000000"/>
              </w:rPr>
              <w:t>36</w:t>
            </w:r>
            <w:r w:rsidR="007F2A24">
              <w:rPr>
                <w:rFonts w:cs="Calibri"/>
                <w:color w:val="000000"/>
              </w:rPr>
              <w:fldChar w:fldCharType="end"/>
            </w:r>
            <w:r w:rsidR="00265BDB">
              <w:rPr>
                <w:rFonts w:cs="Calibri"/>
                <w:color w:val="000000"/>
              </w:rPr>
              <w:t>)</w:t>
            </w:r>
          </w:p>
        </w:tc>
        <w:tc>
          <w:tcPr>
            <w:tcW w:w="730" w:type="dxa"/>
            <w:noWrap/>
            <w:vAlign w:val="center"/>
          </w:tcPr>
          <w:p w14:paraId="66967AE8" w14:textId="77777777" w:rsidR="00E3073B" w:rsidRPr="00D20E62" w:rsidRDefault="00E3073B" w:rsidP="00D20E62">
            <w:pPr>
              <w:spacing w:after="0" w:line="240" w:lineRule="auto"/>
              <w:contextualSpacing/>
              <w:rPr>
                <w:rFonts w:cs="Calibri"/>
                <w:color w:val="000000"/>
              </w:rPr>
            </w:pPr>
            <w:r w:rsidRPr="00D20E62">
              <w:rPr>
                <w:rFonts w:cs="Calibri"/>
                <w:color w:val="000000"/>
              </w:rPr>
              <w:t>2006</w:t>
            </w:r>
          </w:p>
        </w:tc>
        <w:tc>
          <w:tcPr>
            <w:tcW w:w="11155" w:type="dxa"/>
            <w:vAlign w:val="center"/>
          </w:tcPr>
          <w:p w14:paraId="35F60673" w14:textId="77777777" w:rsidR="00E3073B" w:rsidRPr="00D20E62" w:rsidRDefault="00E3073B" w:rsidP="00D20E62">
            <w:pPr>
              <w:spacing w:after="0" w:line="240" w:lineRule="auto"/>
              <w:contextualSpacing/>
              <w:rPr>
                <w:rFonts w:cs="Calibri"/>
                <w:color w:val="000000"/>
              </w:rPr>
            </w:pPr>
            <w:r w:rsidRPr="00D20E62">
              <w:rPr>
                <w:rFonts w:cs="Calibri"/>
                <w:color w:val="000000"/>
              </w:rPr>
              <w:t xml:space="preserve">Health </w:t>
            </w:r>
            <w:r>
              <w:rPr>
                <w:rFonts w:cs="Calibri"/>
                <w:color w:val="000000"/>
              </w:rPr>
              <w:t>S</w:t>
            </w:r>
            <w:r w:rsidRPr="00D20E62">
              <w:rPr>
                <w:rFonts w:cs="Calibri"/>
                <w:color w:val="000000"/>
              </w:rPr>
              <w:t xml:space="preserve">urvey for England data was used in modelling to examine cost-effectiveness of </w:t>
            </w:r>
            <w:proofErr w:type="spellStart"/>
            <w:r w:rsidRPr="00D20E62">
              <w:rPr>
                <w:rFonts w:cs="Calibri"/>
                <w:color w:val="000000"/>
              </w:rPr>
              <w:t>sibutramine</w:t>
            </w:r>
            <w:proofErr w:type="spellEnd"/>
            <w:r w:rsidRPr="00D20E62">
              <w:rPr>
                <w:rFonts w:cs="Calibri"/>
                <w:color w:val="000000"/>
              </w:rPr>
              <w:t xml:space="preserve">, </w:t>
            </w:r>
            <w:proofErr w:type="spellStart"/>
            <w:r w:rsidRPr="00D20E62">
              <w:rPr>
                <w:rFonts w:cs="Calibri"/>
                <w:color w:val="000000"/>
              </w:rPr>
              <w:t>orlistat</w:t>
            </w:r>
            <w:proofErr w:type="spellEnd"/>
            <w:r w:rsidRPr="00D20E62">
              <w:rPr>
                <w:rFonts w:cs="Calibri"/>
                <w:color w:val="000000"/>
              </w:rPr>
              <w:t xml:space="preserve"> and surgery for treatment of obesity. Health Survey for England data was also used as the basis of a model to examine the health economics of obesity prevention through various measures.</w:t>
            </w:r>
          </w:p>
        </w:tc>
      </w:tr>
      <w:tr w:rsidR="00E3073B" w:rsidRPr="002A3AAE" w14:paraId="497DE7D3" w14:textId="77777777" w:rsidTr="00334A08">
        <w:trPr>
          <w:trHeight w:val="142"/>
        </w:trPr>
        <w:tc>
          <w:tcPr>
            <w:tcW w:w="2749" w:type="dxa"/>
            <w:vAlign w:val="center"/>
          </w:tcPr>
          <w:p w14:paraId="664D3BA1" w14:textId="7121B56F" w:rsidR="00E3073B" w:rsidRPr="00D20E62" w:rsidRDefault="00B053CE" w:rsidP="00B053CE">
            <w:pPr>
              <w:spacing w:after="0" w:line="240" w:lineRule="auto"/>
              <w:contextualSpacing/>
              <w:rPr>
                <w:rFonts w:cs="Calibri"/>
                <w:color w:val="000000"/>
              </w:rPr>
            </w:pPr>
            <w:r>
              <w:rPr>
                <w:rFonts w:cs="Calibri"/>
                <w:color w:val="000000"/>
              </w:rPr>
              <w:t>SACN Dietary Reference Values</w:t>
            </w:r>
            <w:r w:rsidR="00E3073B" w:rsidRPr="00D20E62">
              <w:rPr>
                <w:rFonts w:cs="Calibri"/>
                <w:color w:val="000000"/>
              </w:rPr>
              <w:t xml:space="preserve"> for Energy</w:t>
            </w:r>
            <w:r w:rsidR="00265BDB">
              <w:rPr>
                <w:rFonts w:cs="Calibri"/>
                <w:color w:val="000000"/>
              </w:rPr>
              <w:t xml:space="preserve"> (</w:t>
            </w:r>
            <w:r w:rsidR="007F2A24">
              <w:rPr>
                <w:rFonts w:cs="Calibri"/>
                <w:color w:val="000000"/>
              </w:rPr>
              <w:fldChar w:fldCharType="begin"/>
            </w:r>
            <w:r w:rsidR="007F2A24">
              <w:rPr>
                <w:rFonts w:cs="Calibri"/>
                <w:color w:val="000000"/>
              </w:rPr>
              <w:instrText xml:space="preserve"> NOTEREF _Ref341261502 \h </w:instrText>
            </w:r>
            <w:r w:rsidR="007F2A24">
              <w:rPr>
                <w:rFonts w:cs="Calibri"/>
                <w:color w:val="000000"/>
              </w:rPr>
            </w:r>
            <w:r w:rsidR="007F2A24">
              <w:rPr>
                <w:rFonts w:cs="Calibri"/>
                <w:color w:val="000000"/>
              </w:rPr>
              <w:fldChar w:fldCharType="separate"/>
            </w:r>
            <w:r w:rsidR="009462C5">
              <w:rPr>
                <w:rFonts w:cs="Calibri"/>
                <w:color w:val="000000"/>
              </w:rPr>
              <w:t>38</w:t>
            </w:r>
            <w:r w:rsidR="007F2A24">
              <w:rPr>
                <w:rFonts w:cs="Calibri"/>
                <w:color w:val="000000"/>
              </w:rPr>
              <w:fldChar w:fldCharType="end"/>
            </w:r>
            <w:r w:rsidR="00265BDB">
              <w:rPr>
                <w:rFonts w:cs="Calibri"/>
                <w:color w:val="000000"/>
              </w:rPr>
              <w:t>)</w:t>
            </w:r>
          </w:p>
        </w:tc>
        <w:tc>
          <w:tcPr>
            <w:tcW w:w="730" w:type="dxa"/>
            <w:noWrap/>
            <w:vAlign w:val="center"/>
          </w:tcPr>
          <w:p w14:paraId="3BF580A1" w14:textId="77777777" w:rsidR="00E3073B" w:rsidRPr="00D20E62" w:rsidRDefault="00E3073B" w:rsidP="00D20E62">
            <w:pPr>
              <w:spacing w:after="0" w:line="240" w:lineRule="auto"/>
              <w:contextualSpacing/>
              <w:rPr>
                <w:rFonts w:cs="Calibri"/>
                <w:color w:val="000000"/>
              </w:rPr>
            </w:pPr>
            <w:r w:rsidRPr="00D20E62">
              <w:rPr>
                <w:rFonts w:cs="Calibri"/>
                <w:color w:val="000000"/>
              </w:rPr>
              <w:t>2011</w:t>
            </w:r>
          </w:p>
        </w:tc>
        <w:tc>
          <w:tcPr>
            <w:tcW w:w="11155" w:type="dxa"/>
            <w:vAlign w:val="center"/>
          </w:tcPr>
          <w:p w14:paraId="545484F7" w14:textId="77777777" w:rsidR="00E3073B" w:rsidRPr="00D20E62" w:rsidRDefault="00E3073B" w:rsidP="00D20E62">
            <w:pPr>
              <w:spacing w:after="0" w:line="240" w:lineRule="auto"/>
              <w:contextualSpacing/>
              <w:rPr>
                <w:rFonts w:cs="Calibri"/>
                <w:color w:val="000000"/>
              </w:rPr>
            </w:pPr>
            <w:r w:rsidRPr="00D20E62">
              <w:rPr>
                <w:rFonts w:cs="Calibri"/>
                <w:color w:val="000000"/>
              </w:rPr>
              <w:t xml:space="preserve">Mean measured height </w:t>
            </w:r>
            <w:r>
              <w:rPr>
                <w:rFonts w:cs="Calibri"/>
                <w:color w:val="000000"/>
              </w:rPr>
              <w:t>by</w:t>
            </w:r>
            <w:r w:rsidRPr="00D20E62">
              <w:rPr>
                <w:rFonts w:cs="Calibri"/>
                <w:color w:val="000000"/>
              </w:rPr>
              <w:t xml:space="preserve"> age</w:t>
            </w:r>
            <w:r w:rsidR="00230CD7">
              <w:rPr>
                <w:rFonts w:cs="Calibri"/>
                <w:color w:val="000000"/>
              </w:rPr>
              <w:t xml:space="preserve"> and sex</w:t>
            </w:r>
            <w:r w:rsidRPr="00D20E62">
              <w:rPr>
                <w:rFonts w:cs="Calibri"/>
                <w:color w:val="000000"/>
              </w:rPr>
              <w:t xml:space="preserve"> used with ideal weights to calculate energy requirements.</w:t>
            </w:r>
          </w:p>
        </w:tc>
      </w:tr>
      <w:tr w:rsidR="00E3073B" w:rsidRPr="002A3AAE" w14:paraId="12F5BC09" w14:textId="77777777" w:rsidTr="00334A08">
        <w:trPr>
          <w:trHeight w:val="142"/>
        </w:trPr>
        <w:tc>
          <w:tcPr>
            <w:tcW w:w="14634" w:type="dxa"/>
            <w:gridSpan w:val="3"/>
            <w:vAlign w:val="center"/>
          </w:tcPr>
          <w:p w14:paraId="7E33594C" w14:textId="77777777" w:rsidR="00E3073B" w:rsidRPr="00D20E62" w:rsidRDefault="00E3073B" w:rsidP="00D20E62">
            <w:pPr>
              <w:spacing w:after="0" w:line="240" w:lineRule="auto"/>
              <w:contextualSpacing/>
              <w:jc w:val="center"/>
              <w:rPr>
                <w:rFonts w:cs="Calibri"/>
                <w:b/>
                <w:i/>
                <w:color w:val="000000"/>
              </w:rPr>
            </w:pPr>
            <w:r w:rsidRPr="00D20E62">
              <w:rPr>
                <w:rFonts w:cs="Calibri"/>
                <w:b/>
                <w:i/>
                <w:color w:val="000000"/>
              </w:rPr>
              <w:t>Strategy Development</w:t>
            </w:r>
          </w:p>
        </w:tc>
      </w:tr>
      <w:tr w:rsidR="00E3073B" w:rsidRPr="002A3AAE" w14:paraId="17500D61" w14:textId="77777777" w:rsidTr="00334A08">
        <w:trPr>
          <w:trHeight w:val="142"/>
        </w:trPr>
        <w:tc>
          <w:tcPr>
            <w:tcW w:w="2749" w:type="dxa"/>
            <w:vAlign w:val="center"/>
          </w:tcPr>
          <w:p w14:paraId="783B6FAC" w14:textId="353A44BB" w:rsidR="00E3073B" w:rsidRPr="00D20E62" w:rsidRDefault="00E3073B" w:rsidP="00274193">
            <w:pPr>
              <w:spacing w:after="0" w:line="240" w:lineRule="auto"/>
              <w:contextualSpacing/>
              <w:rPr>
                <w:rFonts w:cs="Calibri"/>
                <w:color w:val="000000"/>
              </w:rPr>
            </w:pPr>
            <w:r w:rsidRPr="00D20E62">
              <w:rPr>
                <w:rFonts w:cs="Calibri"/>
                <w:color w:val="000000"/>
              </w:rPr>
              <w:t>Healthy weight</w:t>
            </w:r>
            <w:r w:rsidR="00274193">
              <w:rPr>
                <w:rFonts w:cs="Calibri"/>
                <w:color w:val="000000"/>
              </w:rPr>
              <w:t>s</w:t>
            </w:r>
            <w:r w:rsidRPr="00D20E62">
              <w:rPr>
                <w:rFonts w:cs="Calibri"/>
                <w:color w:val="000000"/>
              </w:rPr>
              <w:t>, healthy lives: a cross-government strategy for England</w:t>
            </w:r>
            <w:r w:rsidR="00274193">
              <w:rPr>
                <w:rFonts w:cs="Calibri"/>
                <w:color w:val="000000"/>
              </w:rPr>
              <w:t xml:space="preserve"> (</w:t>
            </w:r>
            <w:r w:rsidR="00274193">
              <w:fldChar w:fldCharType="begin"/>
            </w:r>
            <w:r w:rsidR="00274193">
              <w:rPr>
                <w:rFonts w:cs="Calibri"/>
                <w:color w:val="000000"/>
              </w:rPr>
              <w:instrText xml:space="preserve"> NOTEREF _Ref341192001 \h </w:instrText>
            </w:r>
            <w:r w:rsidR="00274193">
              <w:fldChar w:fldCharType="separate"/>
            </w:r>
            <w:r w:rsidR="009462C5">
              <w:rPr>
                <w:rFonts w:cs="Calibri"/>
                <w:color w:val="000000"/>
              </w:rPr>
              <w:t>27</w:t>
            </w:r>
            <w:r w:rsidR="00274193">
              <w:fldChar w:fldCharType="end"/>
            </w:r>
            <w:r w:rsidR="00274193">
              <w:rPr>
                <w:rFonts w:cs="Calibri"/>
                <w:color w:val="000000"/>
              </w:rPr>
              <w:t>)</w:t>
            </w:r>
          </w:p>
        </w:tc>
        <w:tc>
          <w:tcPr>
            <w:tcW w:w="730" w:type="dxa"/>
            <w:noWrap/>
            <w:vAlign w:val="center"/>
          </w:tcPr>
          <w:p w14:paraId="1B38017D" w14:textId="77777777" w:rsidR="00E3073B" w:rsidRPr="00D20E62" w:rsidRDefault="00E3073B" w:rsidP="00D20E62">
            <w:pPr>
              <w:spacing w:after="0" w:line="240" w:lineRule="auto"/>
              <w:contextualSpacing/>
              <w:rPr>
                <w:rFonts w:cs="Calibri"/>
                <w:color w:val="000000"/>
              </w:rPr>
            </w:pPr>
            <w:r w:rsidRPr="00D20E62">
              <w:rPr>
                <w:rFonts w:cs="Calibri"/>
                <w:color w:val="000000"/>
              </w:rPr>
              <w:t>2007</w:t>
            </w:r>
          </w:p>
        </w:tc>
        <w:tc>
          <w:tcPr>
            <w:tcW w:w="11155" w:type="dxa"/>
            <w:vAlign w:val="center"/>
          </w:tcPr>
          <w:p w14:paraId="4E9DD062" w14:textId="176B98DF" w:rsidR="00E3073B" w:rsidRPr="00D20E62" w:rsidRDefault="00E3073B" w:rsidP="00D20E62">
            <w:pPr>
              <w:spacing w:after="0" w:line="240" w:lineRule="auto"/>
              <w:contextualSpacing/>
              <w:rPr>
                <w:rFonts w:cs="Calibri"/>
                <w:color w:val="000000"/>
              </w:rPr>
            </w:pPr>
            <w:r w:rsidRPr="00D20E62">
              <w:rPr>
                <w:rFonts w:cs="Calibri"/>
                <w:color w:val="000000"/>
              </w:rPr>
              <w:t>Equality Impact Assessment used data on BMI by age, sex and ethnicity in order to draw the conclusion that there is no evidence that Healthy Weight, Healthy Lives may adversely affect equality of opportunity</w:t>
            </w:r>
            <w:r w:rsidR="00274193">
              <w:rPr>
                <w:rFonts w:cs="Calibri"/>
                <w:color w:val="000000"/>
              </w:rPr>
              <w:t xml:space="preserve"> (</w:t>
            </w:r>
            <w:r w:rsidR="00274193">
              <w:rPr>
                <w:rFonts w:cs="Calibri"/>
                <w:color w:val="000000"/>
              </w:rPr>
              <w:fldChar w:fldCharType="begin"/>
            </w:r>
            <w:r w:rsidR="00274193">
              <w:rPr>
                <w:rFonts w:cs="Calibri"/>
                <w:color w:val="000000"/>
              </w:rPr>
              <w:instrText xml:space="preserve"> NOTEREF _Ref341278602 \h </w:instrText>
            </w:r>
            <w:r w:rsidR="00274193">
              <w:rPr>
                <w:rFonts w:cs="Calibri"/>
                <w:color w:val="000000"/>
              </w:rPr>
            </w:r>
            <w:r w:rsidR="00274193">
              <w:rPr>
                <w:rFonts w:cs="Calibri"/>
                <w:color w:val="000000"/>
              </w:rPr>
              <w:fldChar w:fldCharType="separate"/>
            </w:r>
            <w:r w:rsidR="009462C5">
              <w:rPr>
                <w:rFonts w:cs="Calibri"/>
                <w:color w:val="000000"/>
              </w:rPr>
              <w:t>33</w:t>
            </w:r>
            <w:r w:rsidR="00274193">
              <w:rPr>
                <w:rFonts w:cs="Calibri"/>
                <w:color w:val="000000"/>
              </w:rPr>
              <w:fldChar w:fldCharType="end"/>
            </w:r>
            <w:r w:rsidR="00274193">
              <w:rPr>
                <w:rFonts w:cs="Calibri"/>
                <w:color w:val="000000"/>
              </w:rPr>
              <w:t>)</w:t>
            </w:r>
          </w:p>
        </w:tc>
      </w:tr>
      <w:tr w:rsidR="00E3073B" w:rsidRPr="002A3AAE" w14:paraId="366E188B" w14:textId="77777777" w:rsidTr="00334A08">
        <w:trPr>
          <w:trHeight w:val="142"/>
        </w:trPr>
        <w:tc>
          <w:tcPr>
            <w:tcW w:w="2749" w:type="dxa"/>
            <w:vAlign w:val="center"/>
          </w:tcPr>
          <w:p w14:paraId="751E0A8B" w14:textId="15D45BCF" w:rsidR="00E3073B" w:rsidRPr="00D20E62" w:rsidRDefault="00E3073B" w:rsidP="00D20E62">
            <w:pPr>
              <w:spacing w:after="0" w:line="240" w:lineRule="auto"/>
              <w:contextualSpacing/>
              <w:rPr>
                <w:rFonts w:cs="Calibri"/>
                <w:color w:val="000000"/>
              </w:rPr>
            </w:pPr>
            <w:r w:rsidRPr="00D20E62">
              <w:rPr>
                <w:rFonts w:cs="Calibri"/>
                <w:color w:val="000000"/>
              </w:rPr>
              <w:lastRenderedPageBreak/>
              <w:t>Change for Life: One Year On</w:t>
            </w:r>
            <w:r w:rsidR="00274193">
              <w:rPr>
                <w:rFonts w:cs="Calibri"/>
                <w:color w:val="000000"/>
              </w:rPr>
              <w:t xml:space="preserve"> (</w:t>
            </w:r>
            <w:r w:rsidR="00274193">
              <w:rPr>
                <w:rFonts w:cs="Calibri"/>
                <w:color w:val="000000"/>
              </w:rPr>
              <w:fldChar w:fldCharType="begin"/>
            </w:r>
            <w:r w:rsidR="00274193">
              <w:rPr>
                <w:rFonts w:cs="Calibri"/>
                <w:color w:val="000000"/>
              </w:rPr>
              <w:instrText xml:space="preserve"> NOTEREF _Ref341274274 \h </w:instrText>
            </w:r>
            <w:r w:rsidR="00274193">
              <w:rPr>
                <w:rFonts w:cs="Calibri"/>
                <w:color w:val="000000"/>
              </w:rPr>
            </w:r>
            <w:r w:rsidR="00274193">
              <w:rPr>
                <w:rFonts w:cs="Calibri"/>
                <w:color w:val="000000"/>
              </w:rPr>
              <w:fldChar w:fldCharType="separate"/>
            </w:r>
            <w:r w:rsidR="009462C5">
              <w:rPr>
                <w:rFonts w:cs="Calibri"/>
                <w:color w:val="000000"/>
              </w:rPr>
              <w:t>35</w:t>
            </w:r>
            <w:r w:rsidR="00274193">
              <w:rPr>
                <w:rFonts w:cs="Calibri"/>
                <w:color w:val="000000"/>
              </w:rPr>
              <w:fldChar w:fldCharType="end"/>
            </w:r>
            <w:r w:rsidR="00274193">
              <w:rPr>
                <w:rFonts w:cs="Calibri"/>
                <w:color w:val="000000"/>
              </w:rPr>
              <w:t>)</w:t>
            </w:r>
          </w:p>
        </w:tc>
        <w:tc>
          <w:tcPr>
            <w:tcW w:w="730" w:type="dxa"/>
            <w:noWrap/>
            <w:vAlign w:val="center"/>
          </w:tcPr>
          <w:p w14:paraId="1C875B34" w14:textId="77777777" w:rsidR="00E3073B" w:rsidRPr="00D20E62" w:rsidRDefault="00E3073B" w:rsidP="00D20E62">
            <w:pPr>
              <w:spacing w:after="0" w:line="240" w:lineRule="auto"/>
              <w:contextualSpacing/>
              <w:rPr>
                <w:rFonts w:cs="Calibri"/>
                <w:color w:val="000000"/>
              </w:rPr>
            </w:pPr>
            <w:r w:rsidRPr="00D20E62">
              <w:rPr>
                <w:rFonts w:cs="Calibri"/>
                <w:color w:val="000000"/>
              </w:rPr>
              <w:t>2010</w:t>
            </w:r>
          </w:p>
        </w:tc>
        <w:tc>
          <w:tcPr>
            <w:tcW w:w="11155" w:type="dxa"/>
            <w:vAlign w:val="center"/>
          </w:tcPr>
          <w:p w14:paraId="0FC2922A" w14:textId="77777777" w:rsidR="00E3073B" w:rsidRPr="00D20E62" w:rsidRDefault="00E3073B" w:rsidP="00D20E62">
            <w:pPr>
              <w:autoSpaceDE w:val="0"/>
              <w:autoSpaceDN w:val="0"/>
              <w:adjustRightInd w:val="0"/>
              <w:snapToGrid w:val="0"/>
              <w:spacing w:after="0" w:line="240" w:lineRule="auto"/>
              <w:contextualSpacing/>
              <w:rPr>
                <w:rFonts w:cs="Calibri"/>
                <w:color w:val="000000"/>
                <w:lang w:eastAsia="en-GB"/>
              </w:rPr>
            </w:pPr>
            <w:r w:rsidRPr="00D20E62">
              <w:rPr>
                <w:rFonts w:cs="Calibri"/>
                <w:color w:val="000000"/>
                <w:lang w:eastAsia="en-GB"/>
              </w:rPr>
              <w:t>Prevalence data used to show that obesity peaks in the 45–65 age range. This justified the launch of a campaign for adults centred on this age-group.</w:t>
            </w:r>
          </w:p>
        </w:tc>
      </w:tr>
      <w:tr w:rsidR="00E3073B" w:rsidRPr="002A3AAE" w14:paraId="61BE970A" w14:textId="77777777" w:rsidTr="00334A08">
        <w:trPr>
          <w:trHeight w:val="142"/>
        </w:trPr>
        <w:tc>
          <w:tcPr>
            <w:tcW w:w="2749" w:type="dxa"/>
            <w:vAlign w:val="center"/>
          </w:tcPr>
          <w:p w14:paraId="38B06AAF" w14:textId="0ED2E1E7" w:rsidR="00E3073B" w:rsidRPr="00D20E62" w:rsidRDefault="00E3073B" w:rsidP="00D20E62">
            <w:pPr>
              <w:spacing w:after="0" w:line="240" w:lineRule="auto"/>
              <w:contextualSpacing/>
              <w:rPr>
                <w:rFonts w:cs="Calibri"/>
                <w:color w:val="000000"/>
              </w:rPr>
            </w:pPr>
            <w:r w:rsidRPr="00D20E62">
              <w:rPr>
                <w:rFonts w:cs="Calibri"/>
                <w:color w:val="000000"/>
              </w:rPr>
              <w:t>Healthy lives, healthy people: a call to action on obesity</w:t>
            </w:r>
            <w:r w:rsidR="00230CD7">
              <w:rPr>
                <w:rFonts w:cs="Calibri"/>
                <w:color w:val="000000"/>
              </w:rPr>
              <w:t xml:space="preserve"> </w:t>
            </w:r>
            <w:r w:rsidR="00274193">
              <w:rPr>
                <w:rFonts w:cs="Calibri"/>
                <w:color w:val="000000"/>
              </w:rPr>
              <w:t>(</w:t>
            </w:r>
            <w:r w:rsidR="00230CD7">
              <w:rPr>
                <w:rFonts w:cs="Calibri"/>
                <w:color w:val="000000"/>
              </w:rPr>
              <w:fldChar w:fldCharType="begin"/>
            </w:r>
            <w:r w:rsidR="00230CD7">
              <w:rPr>
                <w:rFonts w:cs="Calibri"/>
                <w:color w:val="000000"/>
              </w:rPr>
              <w:instrText xml:space="preserve"> NOTEREF _Ref339977954 \h </w:instrText>
            </w:r>
            <w:r w:rsidR="00230CD7">
              <w:rPr>
                <w:rFonts w:cs="Calibri"/>
                <w:color w:val="000000"/>
              </w:rPr>
            </w:r>
            <w:r w:rsidR="00230CD7">
              <w:rPr>
                <w:rFonts w:cs="Calibri"/>
                <w:color w:val="000000"/>
              </w:rPr>
              <w:fldChar w:fldCharType="separate"/>
            </w:r>
            <w:r w:rsidR="009462C5">
              <w:rPr>
                <w:rFonts w:cs="Calibri"/>
                <w:color w:val="000000"/>
              </w:rPr>
              <w:t>28</w:t>
            </w:r>
            <w:r w:rsidR="00230CD7">
              <w:rPr>
                <w:rFonts w:cs="Calibri"/>
                <w:color w:val="000000"/>
              </w:rPr>
              <w:fldChar w:fldCharType="end"/>
            </w:r>
            <w:r w:rsidR="00274193">
              <w:rPr>
                <w:rFonts w:cs="Calibri"/>
                <w:color w:val="000000"/>
              </w:rPr>
              <w:t>)</w:t>
            </w:r>
          </w:p>
        </w:tc>
        <w:tc>
          <w:tcPr>
            <w:tcW w:w="730" w:type="dxa"/>
            <w:noWrap/>
            <w:vAlign w:val="center"/>
          </w:tcPr>
          <w:p w14:paraId="62F97B69" w14:textId="77777777" w:rsidR="00E3073B" w:rsidRPr="00D20E62" w:rsidRDefault="00E3073B" w:rsidP="00D20E62">
            <w:pPr>
              <w:spacing w:after="0" w:line="240" w:lineRule="auto"/>
              <w:contextualSpacing/>
              <w:rPr>
                <w:rFonts w:cs="Calibri"/>
                <w:color w:val="000000"/>
              </w:rPr>
            </w:pPr>
            <w:r w:rsidRPr="00D20E62">
              <w:rPr>
                <w:rFonts w:cs="Calibri"/>
                <w:color w:val="000000"/>
              </w:rPr>
              <w:t>2011</w:t>
            </w:r>
          </w:p>
        </w:tc>
        <w:tc>
          <w:tcPr>
            <w:tcW w:w="11155" w:type="dxa"/>
            <w:vAlign w:val="center"/>
          </w:tcPr>
          <w:p w14:paraId="1800620F" w14:textId="4B311C41" w:rsidR="00E3073B" w:rsidRPr="00D20E62" w:rsidRDefault="00E3073B" w:rsidP="00D20E62">
            <w:pPr>
              <w:spacing w:after="0" w:line="240" w:lineRule="auto"/>
              <w:contextualSpacing/>
              <w:rPr>
                <w:rFonts w:cs="Calibri"/>
                <w:color w:val="000000"/>
              </w:rPr>
            </w:pPr>
            <w:r w:rsidRPr="00D20E62">
              <w:rPr>
                <w:rFonts w:cs="Calibri"/>
                <w:color w:val="000000"/>
              </w:rPr>
              <w:t>Equity Analysis</w:t>
            </w:r>
            <w:r w:rsidR="00274193">
              <w:rPr>
                <w:rFonts w:cs="Calibri"/>
                <w:color w:val="000000"/>
              </w:rPr>
              <w:t xml:space="preserve"> (</w:t>
            </w:r>
            <w:r w:rsidR="00274193">
              <w:rPr>
                <w:rFonts w:cs="Calibri"/>
                <w:color w:val="000000"/>
              </w:rPr>
              <w:fldChar w:fldCharType="begin"/>
            </w:r>
            <w:r w:rsidR="00274193">
              <w:rPr>
                <w:rFonts w:cs="Calibri"/>
                <w:color w:val="000000"/>
              </w:rPr>
              <w:instrText xml:space="preserve"> NOTEREF _Ref341278835 \h </w:instrText>
            </w:r>
            <w:r w:rsidR="00274193">
              <w:rPr>
                <w:rFonts w:cs="Calibri"/>
                <w:color w:val="000000"/>
              </w:rPr>
            </w:r>
            <w:r w:rsidR="00274193">
              <w:rPr>
                <w:rFonts w:cs="Calibri"/>
                <w:color w:val="000000"/>
              </w:rPr>
              <w:fldChar w:fldCharType="separate"/>
            </w:r>
            <w:r w:rsidR="009462C5">
              <w:rPr>
                <w:rFonts w:cs="Calibri"/>
                <w:color w:val="000000"/>
              </w:rPr>
              <w:t>34</w:t>
            </w:r>
            <w:r w:rsidR="00274193">
              <w:rPr>
                <w:rFonts w:cs="Calibri"/>
                <w:color w:val="000000"/>
              </w:rPr>
              <w:fldChar w:fldCharType="end"/>
            </w:r>
            <w:r w:rsidR="00274193">
              <w:rPr>
                <w:rFonts w:cs="Calibri"/>
                <w:color w:val="000000"/>
              </w:rPr>
              <w:t>)</w:t>
            </w:r>
          </w:p>
        </w:tc>
      </w:tr>
      <w:tr w:rsidR="00E3073B" w:rsidRPr="002A3AAE" w14:paraId="2F710332" w14:textId="77777777" w:rsidTr="00334A08">
        <w:trPr>
          <w:trHeight w:val="142"/>
        </w:trPr>
        <w:tc>
          <w:tcPr>
            <w:tcW w:w="14634" w:type="dxa"/>
            <w:gridSpan w:val="3"/>
            <w:vAlign w:val="center"/>
          </w:tcPr>
          <w:p w14:paraId="67B5404F" w14:textId="77777777" w:rsidR="00E3073B" w:rsidRPr="00D20E62" w:rsidRDefault="00E3073B" w:rsidP="00D20E62">
            <w:pPr>
              <w:spacing w:after="0" w:line="240" w:lineRule="auto"/>
              <w:contextualSpacing/>
              <w:jc w:val="center"/>
              <w:rPr>
                <w:rFonts w:cs="Calibri"/>
                <w:b/>
                <w:i/>
                <w:color w:val="000000"/>
              </w:rPr>
            </w:pPr>
            <w:r w:rsidRPr="00D20E62">
              <w:rPr>
                <w:rFonts w:cs="Calibri"/>
                <w:b/>
                <w:i/>
                <w:color w:val="000000"/>
              </w:rPr>
              <w:t>Target setting and monitoring</w:t>
            </w:r>
          </w:p>
        </w:tc>
      </w:tr>
      <w:tr w:rsidR="00E3073B" w:rsidRPr="002A3AAE" w14:paraId="0501B03F" w14:textId="77777777" w:rsidTr="00334A08">
        <w:trPr>
          <w:trHeight w:val="254"/>
        </w:trPr>
        <w:tc>
          <w:tcPr>
            <w:tcW w:w="2749" w:type="dxa"/>
            <w:vAlign w:val="center"/>
          </w:tcPr>
          <w:p w14:paraId="1D946F9B" w14:textId="3615D270" w:rsidR="00E3073B" w:rsidRPr="00D20E62" w:rsidRDefault="00E3073B" w:rsidP="00D20E62">
            <w:pPr>
              <w:spacing w:after="0" w:line="240" w:lineRule="auto"/>
              <w:contextualSpacing/>
              <w:rPr>
                <w:rFonts w:cs="Calibri"/>
                <w:color w:val="000000"/>
              </w:rPr>
            </w:pPr>
            <w:r w:rsidRPr="00D20E62">
              <w:rPr>
                <w:rFonts w:cs="Calibri"/>
                <w:color w:val="000000"/>
              </w:rPr>
              <w:t>Health of the Nation</w:t>
            </w:r>
            <w:r w:rsidR="00274193">
              <w:rPr>
                <w:rFonts w:cs="Calibri"/>
                <w:color w:val="000000"/>
              </w:rPr>
              <w:t xml:space="preserve"> (</w:t>
            </w:r>
            <w:r w:rsidR="00274193">
              <w:rPr>
                <w:rFonts w:cs="Calibri"/>
                <w:color w:val="000000"/>
              </w:rPr>
              <w:fldChar w:fldCharType="begin"/>
            </w:r>
            <w:r w:rsidR="00274193">
              <w:rPr>
                <w:rFonts w:cs="Calibri"/>
                <w:color w:val="000000"/>
              </w:rPr>
              <w:instrText xml:space="preserve"> NOTEREF _Ref341278526 \h </w:instrText>
            </w:r>
            <w:r w:rsidR="00274193">
              <w:rPr>
                <w:rFonts w:cs="Calibri"/>
                <w:color w:val="000000"/>
              </w:rPr>
            </w:r>
            <w:r w:rsidR="00274193">
              <w:rPr>
                <w:rFonts w:cs="Calibri"/>
                <w:color w:val="000000"/>
              </w:rPr>
              <w:fldChar w:fldCharType="separate"/>
            </w:r>
            <w:r w:rsidR="009462C5">
              <w:rPr>
                <w:rFonts w:cs="Calibri"/>
                <w:color w:val="000000"/>
              </w:rPr>
              <w:t>7</w:t>
            </w:r>
            <w:r w:rsidR="00274193">
              <w:rPr>
                <w:rFonts w:cs="Calibri"/>
                <w:color w:val="000000"/>
              </w:rPr>
              <w:fldChar w:fldCharType="end"/>
            </w:r>
            <w:r w:rsidR="00274193">
              <w:rPr>
                <w:rFonts w:cs="Calibri"/>
                <w:color w:val="000000"/>
              </w:rPr>
              <w:t>)</w:t>
            </w:r>
          </w:p>
        </w:tc>
        <w:tc>
          <w:tcPr>
            <w:tcW w:w="730" w:type="dxa"/>
            <w:noWrap/>
            <w:vAlign w:val="center"/>
          </w:tcPr>
          <w:p w14:paraId="628A4A00" w14:textId="77777777" w:rsidR="00E3073B" w:rsidRPr="00D20E62" w:rsidRDefault="00E3073B" w:rsidP="00D20E62">
            <w:pPr>
              <w:spacing w:after="0" w:line="240" w:lineRule="auto"/>
              <w:contextualSpacing/>
              <w:rPr>
                <w:rFonts w:cs="Calibri"/>
                <w:color w:val="000000"/>
              </w:rPr>
            </w:pPr>
            <w:r w:rsidRPr="00D20E62">
              <w:rPr>
                <w:rFonts w:cs="Calibri"/>
                <w:color w:val="000000"/>
              </w:rPr>
              <w:t>1992</w:t>
            </w:r>
          </w:p>
        </w:tc>
        <w:tc>
          <w:tcPr>
            <w:tcW w:w="11155" w:type="dxa"/>
            <w:vAlign w:val="center"/>
          </w:tcPr>
          <w:p w14:paraId="6E45C0C8" w14:textId="77777777" w:rsidR="00E3073B" w:rsidRPr="00D20E62" w:rsidRDefault="00E3073B" w:rsidP="00D20E62">
            <w:pPr>
              <w:spacing w:after="0" w:line="240" w:lineRule="auto"/>
              <w:contextualSpacing/>
              <w:rPr>
                <w:rFonts w:cs="Calibri"/>
                <w:i/>
                <w:color w:val="000000"/>
              </w:rPr>
            </w:pPr>
            <w:r w:rsidRPr="00D20E62">
              <w:rPr>
                <w:rStyle w:val="QuoteChar"/>
                <w:rFonts w:cs="Calibri"/>
                <w:i w:val="0"/>
              </w:rPr>
              <w:t>To reduce the proportion of men and women aged 16-64 who are obese by at least 25% and 33% respectively by 2005 to no more than 6% of men and 8% of women. Monitored by prevalence data.</w:t>
            </w:r>
          </w:p>
        </w:tc>
      </w:tr>
      <w:tr w:rsidR="00E3073B" w:rsidRPr="002A3AAE" w14:paraId="175BFEE0" w14:textId="77777777" w:rsidTr="00334A08">
        <w:trPr>
          <w:trHeight w:val="745"/>
        </w:trPr>
        <w:tc>
          <w:tcPr>
            <w:tcW w:w="2749" w:type="dxa"/>
            <w:vAlign w:val="center"/>
          </w:tcPr>
          <w:p w14:paraId="2CD31078" w14:textId="7E36F0F2" w:rsidR="00E3073B" w:rsidRPr="00D20E62" w:rsidRDefault="00E3073B" w:rsidP="00D20E62">
            <w:pPr>
              <w:spacing w:after="0" w:line="240" w:lineRule="auto"/>
              <w:contextualSpacing/>
              <w:rPr>
                <w:rFonts w:cs="Calibri"/>
                <w:color w:val="000000"/>
              </w:rPr>
            </w:pPr>
            <w:r w:rsidRPr="00D20E62">
              <w:rPr>
                <w:rFonts w:cs="Calibri"/>
                <w:color w:val="000000"/>
              </w:rPr>
              <w:t>HM Treasury. Public Service Agreements 2005-2008</w:t>
            </w:r>
            <w:r w:rsidR="00274193">
              <w:rPr>
                <w:rFonts w:cs="Calibri"/>
                <w:color w:val="000000"/>
              </w:rPr>
              <w:t xml:space="preserve"> (</w:t>
            </w:r>
            <w:r w:rsidR="00274193">
              <w:rPr>
                <w:rFonts w:cs="Calibri"/>
                <w:color w:val="000000"/>
              </w:rPr>
              <w:fldChar w:fldCharType="begin"/>
            </w:r>
            <w:r w:rsidR="00274193">
              <w:rPr>
                <w:rFonts w:cs="Calibri"/>
                <w:color w:val="000000"/>
              </w:rPr>
              <w:instrText xml:space="preserve"> NOTEREF _Ref341273744 \h </w:instrText>
            </w:r>
            <w:r w:rsidR="00274193">
              <w:rPr>
                <w:rFonts w:cs="Calibri"/>
                <w:color w:val="000000"/>
              </w:rPr>
            </w:r>
            <w:r w:rsidR="00274193">
              <w:rPr>
                <w:rFonts w:cs="Calibri"/>
                <w:color w:val="000000"/>
              </w:rPr>
              <w:fldChar w:fldCharType="separate"/>
            </w:r>
            <w:r w:rsidR="009462C5">
              <w:rPr>
                <w:rFonts w:cs="Calibri"/>
                <w:color w:val="000000"/>
              </w:rPr>
              <w:t>23</w:t>
            </w:r>
            <w:r w:rsidR="00274193">
              <w:rPr>
                <w:rFonts w:cs="Calibri"/>
                <w:color w:val="000000"/>
              </w:rPr>
              <w:fldChar w:fldCharType="end"/>
            </w:r>
            <w:r w:rsidR="00274193">
              <w:rPr>
                <w:rFonts w:cs="Calibri"/>
                <w:color w:val="000000"/>
              </w:rPr>
              <w:t>)</w:t>
            </w:r>
          </w:p>
        </w:tc>
        <w:tc>
          <w:tcPr>
            <w:tcW w:w="730" w:type="dxa"/>
            <w:noWrap/>
            <w:vAlign w:val="center"/>
          </w:tcPr>
          <w:p w14:paraId="382B8C2F" w14:textId="77777777" w:rsidR="00E3073B" w:rsidRPr="00D20E62" w:rsidRDefault="00E3073B" w:rsidP="00D20E62">
            <w:pPr>
              <w:spacing w:after="0" w:line="240" w:lineRule="auto"/>
              <w:contextualSpacing/>
              <w:rPr>
                <w:rFonts w:cs="Calibri"/>
                <w:color w:val="000000"/>
              </w:rPr>
            </w:pPr>
            <w:r w:rsidRPr="00D20E62">
              <w:rPr>
                <w:rFonts w:cs="Calibri"/>
                <w:color w:val="000000"/>
              </w:rPr>
              <w:t>2004</w:t>
            </w:r>
          </w:p>
        </w:tc>
        <w:tc>
          <w:tcPr>
            <w:tcW w:w="11155" w:type="dxa"/>
            <w:vAlign w:val="center"/>
          </w:tcPr>
          <w:p w14:paraId="79ADB093" w14:textId="77777777" w:rsidR="00E3073B" w:rsidRPr="00D20E62" w:rsidRDefault="00E3073B" w:rsidP="00D20E62">
            <w:pPr>
              <w:spacing w:after="0" w:line="240" w:lineRule="auto"/>
              <w:contextualSpacing/>
              <w:rPr>
                <w:rFonts w:cs="Calibri"/>
                <w:color w:val="000000"/>
              </w:rPr>
            </w:pPr>
            <w:r w:rsidRPr="00D20E62">
              <w:rPr>
                <w:rFonts w:cs="Calibri"/>
                <w:color w:val="000000"/>
              </w:rPr>
              <w:t>Halt the year-on-year rise in obesity among children under 11</w:t>
            </w:r>
            <w:r>
              <w:rPr>
                <w:rFonts w:cs="Calibri"/>
                <w:color w:val="000000"/>
              </w:rPr>
              <w:t>y</w:t>
            </w:r>
            <w:r w:rsidRPr="00D20E62">
              <w:rPr>
                <w:rFonts w:cs="Calibri"/>
                <w:color w:val="000000"/>
              </w:rPr>
              <w:t xml:space="preserve"> by 2010 in the context of a broader strategy to tackle obesity in the population as a whole. Both set and monitored using child obesity prevalence data.</w:t>
            </w:r>
          </w:p>
        </w:tc>
      </w:tr>
      <w:tr w:rsidR="00E3073B" w:rsidRPr="002A3AAE" w14:paraId="7EDA6C08" w14:textId="77777777" w:rsidTr="00334A08">
        <w:trPr>
          <w:trHeight w:val="142"/>
        </w:trPr>
        <w:tc>
          <w:tcPr>
            <w:tcW w:w="2749" w:type="dxa"/>
            <w:vAlign w:val="center"/>
          </w:tcPr>
          <w:p w14:paraId="3F4D9A70" w14:textId="1CC66116" w:rsidR="00E3073B" w:rsidRPr="00D20E62" w:rsidRDefault="00E3073B" w:rsidP="004A2741">
            <w:pPr>
              <w:spacing w:after="0" w:line="240" w:lineRule="auto"/>
              <w:contextualSpacing/>
              <w:rPr>
                <w:rFonts w:cs="Calibri"/>
                <w:color w:val="000000"/>
              </w:rPr>
            </w:pPr>
            <w:r w:rsidRPr="00D20E62">
              <w:rPr>
                <w:rFonts w:cs="Calibri"/>
                <w:color w:val="000000"/>
              </w:rPr>
              <w:t>Choosing a better diet</w:t>
            </w:r>
            <w:r w:rsidR="00274193">
              <w:rPr>
                <w:rFonts w:cs="Calibri"/>
                <w:color w:val="000000"/>
              </w:rPr>
              <w:t xml:space="preserve"> (</w:t>
            </w:r>
            <w:r w:rsidR="004A2741">
              <w:rPr>
                <w:rFonts w:cs="Calibri"/>
                <w:color w:val="000000"/>
              </w:rPr>
              <w:fldChar w:fldCharType="begin"/>
            </w:r>
            <w:r w:rsidR="004A2741">
              <w:rPr>
                <w:rFonts w:cs="Calibri"/>
                <w:color w:val="000000"/>
              </w:rPr>
              <w:instrText xml:space="preserve"> NOTEREF _Ref341278571 \h </w:instrText>
            </w:r>
            <w:r w:rsidR="004A2741">
              <w:rPr>
                <w:rFonts w:cs="Calibri"/>
                <w:color w:val="000000"/>
              </w:rPr>
            </w:r>
            <w:r w:rsidR="004A2741">
              <w:rPr>
                <w:rFonts w:cs="Calibri"/>
                <w:color w:val="000000"/>
              </w:rPr>
              <w:fldChar w:fldCharType="separate"/>
            </w:r>
            <w:r w:rsidR="009462C5">
              <w:rPr>
                <w:rFonts w:cs="Calibri"/>
                <w:color w:val="000000"/>
              </w:rPr>
              <w:t>61</w:t>
            </w:r>
            <w:r w:rsidR="004A2741">
              <w:rPr>
                <w:rFonts w:cs="Calibri"/>
                <w:color w:val="000000"/>
              </w:rPr>
              <w:fldChar w:fldCharType="end"/>
            </w:r>
            <w:r w:rsidR="00274193">
              <w:rPr>
                <w:rFonts w:cs="Calibri"/>
                <w:color w:val="000000"/>
              </w:rPr>
              <w:t>)</w:t>
            </w:r>
          </w:p>
        </w:tc>
        <w:tc>
          <w:tcPr>
            <w:tcW w:w="730" w:type="dxa"/>
            <w:noWrap/>
            <w:vAlign w:val="center"/>
          </w:tcPr>
          <w:p w14:paraId="1F2A83F8" w14:textId="77777777" w:rsidR="00E3073B" w:rsidRPr="00D20E62" w:rsidRDefault="00E3073B" w:rsidP="00D20E62">
            <w:pPr>
              <w:spacing w:after="0" w:line="240" w:lineRule="auto"/>
              <w:contextualSpacing/>
              <w:rPr>
                <w:rFonts w:cs="Calibri"/>
                <w:color w:val="000000"/>
              </w:rPr>
            </w:pPr>
            <w:r w:rsidRPr="00D20E62">
              <w:rPr>
                <w:rFonts w:cs="Calibri"/>
                <w:color w:val="000000"/>
              </w:rPr>
              <w:t>2005</w:t>
            </w:r>
          </w:p>
        </w:tc>
        <w:tc>
          <w:tcPr>
            <w:tcW w:w="11155" w:type="dxa"/>
            <w:vAlign w:val="center"/>
          </w:tcPr>
          <w:p w14:paraId="3D158D4C" w14:textId="77777777" w:rsidR="00E3073B" w:rsidRPr="00D20E62" w:rsidRDefault="00E3073B" w:rsidP="00D20E62">
            <w:pPr>
              <w:spacing w:after="0" w:line="240" w:lineRule="auto"/>
              <w:contextualSpacing/>
              <w:rPr>
                <w:rFonts w:cs="Calibri"/>
                <w:color w:val="000000"/>
              </w:rPr>
            </w:pPr>
            <w:r w:rsidRPr="00D20E62">
              <w:rPr>
                <w:rFonts w:cs="Calibri"/>
                <w:color w:val="000000"/>
              </w:rPr>
              <w:t>As above.</w:t>
            </w:r>
          </w:p>
        </w:tc>
      </w:tr>
      <w:tr w:rsidR="00E3073B" w:rsidRPr="002A3AAE" w14:paraId="3B28C12F" w14:textId="77777777" w:rsidTr="00334A08">
        <w:trPr>
          <w:trHeight w:val="142"/>
        </w:trPr>
        <w:tc>
          <w:tcPr>
            <w:tcW w:w="2749" w:type="dxa"/>
            <w:vAlign w:val="center"/>
          </w:tcPr>
          <w:p w14:paraId="1C6F5D6E" w14:textId="01875580" w:rsidR="00E3073B" w:rsidRPr="00D20E62" w:rsidRDefault="00E3073B" w:rsidP="00274193">
            <w:pPr>
              <w:spacing w:after="0" w:line="240" w:lineRule="auto"/>
              <w:contextualSpacing/>
              <w:rPr>
                <w:rFonts w:cs="Calibri"/>
                <w:color w:val="000000"/>
              </w:rPr>
            </w:pPr>
            <w:r w:rsidRPr="00D20E62">
              <w:rPr>
                <w:rFonts w:cs="Calibri"/>
                <w:color w:val="000000"/>
              </w:rPr>
              <w:t>Healthy weight</w:t>
            </w:r>
            <w:r w:rsidR="00274193">
              <w:rPr>
                <w:rFonts w:cs="Calibri"/>
                <w:color w:val="000000"/>
              </w:rPr>
              <w:t>s</w:t>
            </w:r>
            <w:r w:rsidRPr="00D20E62">
              <w:rPr>
                <w:rFonts w:cs="Calibri"/>
                <w:color w:val="000000"/>
              </w:rPr>
              <w:t>, healthy lives: a cross-government strategy for England</w:t>
            </w:r>
            <w:r w:rsidR="00274193">
              <w:rPr>
                <w:rFonts w:cs="Calibri"/>
                <w:color w:val="000000"/>
              </w:rPr>
              <w:t xml:space="preserve"> (</w:t>
            </w:r>
            <w:r w:rsidR="00274193">
              <w:rPr>
                <w:rFonts w:cs="Calibri"/>
                <w:color w:val="000000"/>
              </w:rPr>
              <w:fldChar w:fldCharType="begin"/>
            </w:r>
            <w:r w:rsidR="00274193">
              <w:rPr>
                <w:rFonts w:cs="Calibri"/>
                <w:color w:val="000000"/>
              </w:rPr>
              <w:instrText xml:space="preserve"> NOTEREF _Ref341192001 \h </w:instrText>
            </w:r>
            <w:r w:rsidR="00274193">
              <w:rPr>
                <w:rFonts w:cs="Calibri"/>
                <w:color w:val="000000"/>
              </w:rPr>
            </w:r>
            <w:r w:rsidR="00274193">
              <w:rPr>
                <w:rFonts w:cs="Calibri"/>
                <w:color w:val="000000"/>
              </w:rPr>
              <w:fldChar w:fldCharType="separate"/>
            </w:r>
            <w:r w:rsidR="009462C5">
              <w:rPr>
                <w:rFonts w:cs="Calibri"/>
                <w:color w:val="000000"/>
              </w:rPr>
              <w:t>27</w:t>
            </w:r>
            <w:r w:rsidR="00274193">
              <w:rPr>
                <w:rFonts w:cs="Calibri"/>
                <w:color w:val="000000"/>
              </w:rPr>
              <w:fldChar w:fldCharType="end"/>
            </w:r>
            <w:r w:rsidR="00274193">
              <w:rPr>
                <w:rFonts w:cs="Calibri"/>
                <w:color w:val="000000"/>
              </w:rPr>
              <w:t>)</w:t>
            </w:r>
          </w:p>
        </w:tc>
        <w:tc>
          <w:tcPr>
            <w:tcW w:w="730" w:type="dxa"/>
            <w:noWrap/>
            <w:vAlign w:val="center"/>
          </w:tcPr>
          <w:p w14:paraId="775FF570" w14:textId="77777777" w:rsidR="00E3073B" w:rsidRPr="00D20E62" w:rsidRDefault="00E3073B" w:rsidP="00D20E62">
            <w:pPr>
              <w:spacing w:after="0" w:line="240" w:lineRule="auto"/>
              <w:contextualSpacing/>
              <w:rPr>
                <w:rFonts w:cs="Calibri"/>
                <w:color w:val="000000"/>
              </w:rPr>
            </w:pPr>
            <w:r w:rsidRPr="00D20E62">
              <w:rPr>
                <w:rFonts w:cs="Calibri"/>
                <w:color w:val="000000"/>
              </w:rPr>
              <w:t>2007</w:t>
            </w:r>
          </w:p>
        </w:tc>
        <w:tc>
          <w:tcPr>
            <w:tcW w:w="11155" w:type="dxa"/>
            <w:vAlign w:val="center"/>
          </w:tcPr>
          <w:p w14:paraId="3757B789" w14:textId="77777777" w:rsidR="00E3073B" w:rsidRPr="00D20E62" w:rsidRDefault="00E3073B" w:rsidP="00D20E62">
            <w:pPr>
              <w:autoSpaceDE w:val="0"/>
              <w:autoSpaceDN w:val="0"/>
              <w:adjustRightInd w:val="0"/>
              <w:snapToGrid w:val="0"/>
              <w:spacing w:after="0" w:line="240" w:lineRule="auto"/>
              <w:contextualSpacing/>
              <w:rPr>
                <w:rFonts w:cs="Calibri"/>
                <w:color w:val="000000"/>
                <w:szCs w:val="24"/>
                <w:lang w:eastAsia="en-GB"/>
              </w:rPr>
            </w:pPr>
            <w:r w:rsidRPr="00D20E62">
              <w:rPr>
                <w:rFonts w:cs="Calibri"/>
                <w:color w:val="000000"/>
                <w:szCs w:val="24"/>
                <w:lang w:eastAsia="en-GB"/>
              </w:rPr>
              <w:t>1. To reverse the rising tide of obesity and overweight in the population by ensuring that all individuals are able to maintain a healthy weight. 2. By 2020 we will have reduced the proportion of overweight and obese children to 2000 levels. Both these targets set and monitored with prevalence data.</w:t>
            </w:r>
          </w:p>
        </w:tc>
      </w:tr>
      <w:tr w:rsidR="00E3073B" w:rsidRPr="002A3AAE" w14:paraId="64FF4501" w14:textId="77777777" w:rsidTr="00334A08">
        <w:trPr>
          <w:trHeight w:val="142"/>
        </w:trPr>
        <w:tc>
          <w:tcPr>
            <w:tcW w:w="2749" w:type="dxa"/>
            <w:vAlign w:val="center"/>
          </w:tcPr>
          <w:p w14:paraId="25880DAE" w14:textId="3FE7AE12" w:rsidR="00E3073B" w:rsidRPr="00D20E62" w:rsidRDefault="00230CD7" w:rsidP="00D20E62">
            <w:pPr>
              <w:spacing w:after="0" w:line="240" w:lineRule="auto"/>
              <w:contextualSpacing/>
              <w:rPr>
                <w:rFonts w:cs="Calibri"/>
                <w:color w:val="000000"/>
              </w:rPr>
            </w:pPr>
            <w:r w:rsidRPr="007014DF">
              <w:rPr>
                <w:rFonts w:asciiTheme="minorHAnsi" w:hAnsiTheme="minorHAnsi" w:cstheme="minorHAnsi"/>
                <w:lang w:eastAsia="en-GB"/>
              </w:rPr>
              <w:t>Tackling Health</w:t>
            </w:r>
            <w:r>
              <w:rPr>
                <w:rFonts w:asciiTheme="minorHAnsi" w:hAnsiTheme="minorHAnsi" w:cstheme="minorHAnsi"/>
                <w:lang w:eastAsia="en-GB"/>
              </w:rPr>
              <w:t xml:space="preserve"> Inequalities: 10 Years On (</w:t>
            </w:r>
            <w:r>
              <w:rPr>
                <w:rFonts w:asciiTheme="minorHAnsi" w:hAnsiTheme="minorHAnsi" w:cstheme="minorHAnsi"/>
                <w:lang w:eastAsia="en-GB"/>
              </w:rPr>
              <w:fldChar w:fldCharType="begin"/>
            </w:r>
            <w:r>
              <w:rPr>
                <w:rFonts w:asciiTheme="minorHAnsi" w:hAnsiTheme="minorHAnsi" w:cstheme="minorHAnsi"/>
                <w:lang w:eastAsia="en-GB"/>
              </w:rPr>
              <w:instrText xml:space="preserve"> NOTEREF _Ref341274451 \h </w:instrText>
            </w:r>
            <w:r>
              <w:rPr>
                <w:rFonts w:asciiTheme="minorHAnsi" w:hAnsiTheme="minorHAnsi" w:cstheme="minorHAnsi"/>
                <w:lang w:eastAsia="en-GB"/>
              </w:rPr>
            </w:r>
            <w:r>
              <w:rPr>
                <w:rFonts w:asciiTheme="minorHAnsi" w:hAnsiTheme="minorHAnsi" w:cstheme="minorHAnsi"/>
                <w:lang w:eastAsia="en-GB"/>
              </w:rPr>
              <w:fldChar w:fldCharType="separate"/>
            </w:r>
            <w:r w:rsidR="009462C5">
              <w:rPr>
                <w:rFonts w:asciiTheme="minorHAnsi" w:hAnsiTheme="minorHAnsi" w:cstheme="minorHAnsi"/>
                <w:lang w:eastAsia="en-GB"/>
              </w:rPr>
              <w:t>24</w:t>
            </w:r>
            <w:r>
              <w:rPr>
                <w:rFonts w:asciiTheme="minorHAnsi" w:hAnsiTheme="minorHAnsi" w:cstheme="minorHAnsi"/>
                <w:lang w:eastAsia="en-GB"/>
              </w:rPr>
              <w:fldChar w:fldCharType="end"/>
            </w:r>
            <w:r>
              <w:rPr>
                <w:rFonts w:asciiTheme="minorHAnsi" w:hAnsiTheme="minorHAnsi" w:cstheme="minorHAnsi"/>
                <w:lang w:eastAsia="en-GB"/>
              </w:rPr>
              <w:t>)</w:t>
            </w:r>
          </w:p>
        </w:tc>
        <w:tc>
          <w:tcPr>
            <w:tcW w:w="730" w:type="dxa"/>
            <w:noWrap/>
            <w:vAlign w:val="center"/>
          </w:tcPr>
          <w:p w14:paraId="6F818B5F" w14:textId="77777777" w:rsidR="00E3073B" w:rsidRPr="00D20E62" w:rsidRDefault="00E3073B" w:rsidP="00D20E62">
            <w:pPr>
              <w:spacing w:after="0" w:line="240" w:lineRule="auto"/>
              <w:contextualSpacing/>
              <w:rPr>
                <w:rFonts w:cs="Calibri"/>
                <w:color w:val="000000"/>
              </w:rPr>
            </w:pPr>
            <w:r w:rsidRPr="00D20E62">
              <w:rPr>
                <w:rFonts w:cs="Calibri"/>
                <w:color w:val="000000"/>
              </w:rPr>
              <w:t>2009</w:t>
            </w:r>
          </w:p>
        </w:tc>
        <w:tc>
          <w:tcPr>
            <w:tcW w:w="11155" w:type="dxa"/>
            <w:vAlign w:val="center"/>
          </w:tcPr>
          <w:p w14:paraId="57CCC06F" w14:textId="360DC693" w:rsidR="00E3073B" w:rsidRPr="00D20E62" w:rsidRDefault="00E3073B" w:rsidP="00DA6171">
            <w:pPr>
              <w:spacing w:after="0" w:line="240" w:lineRule="auto"/>
              <w:contextualSpacing/>
              <w:rPr>
                <w:rFonts w:cs="Calibri"/>
                <w:color w:val="000000"/>
              </w:rPr>
            </w:pPr>
            <w:r w:rsidRPr="00D20E62">
              <w:rPr>
                <w:rFonts w:cs="Calibri"/>
              </w:rPr>
              <w:t>One indicator from the framework proposed by the WHO Commission on Health Inequalities</w:t>
            </w:r>
            <w:r w:rsidR="00DA6171">
              <w:rPr>
                <w:rFonts w:cs="Calibri"/>
              </w:rPr>
              <w:t xml:space="preserve"> (</w:t>
            </w:r>
            <w:r w:rsidR="00DA6171">
              <w:rPr>
                <w:rFonts w:cs="Calibri"/>
              </w:rPr>
              <w:fldChar w:fldCharType="begin"/>
            </w:r>
            <w:r w:rsidR="00DA6171">
              <w:rPr>
                <w:rFonts w:cs="Calibri"/>
              </w:rPr>
              <w:instrText xml:space="preserve"> NOTEREF _Ref341265160 \h </w:instrText>
            </w:r>
            <w:r w:rsidR="00DA6171">
              <w:rPr>
                <w:rFonts w:cs="Calibri"/>
              </w:rPr>
            </w:r>
            <w:r w:rsidR="00DA6171">
              <w:rPr>
                <w:rFonts w:cs="Calibri"/>
              </w:rPr>
              <w:fldChar w:fldCharType="separate"/>
            </w:r>
            <w:r w:rsidR="009462C5">
              <w:rPr>
                <w:rFonts w:cs="Calibri"/>
              </w:rPr>
              <w:t>25</w:t>
            </w:r>
            <w:r w:rsidR="00DA6171">
              <w:rPr>
                <w:rFonts w:cs="Calibri"/>
              </w:rPr>
              <w:fldChar w:fldCharType="end"/>
            </w:r>
            <w:r w:rsidR="007C6B30">
              <w:rPr>
                <w:rFonts w:cs="Calibri"/>
              </w:rPr>
              <w:t>)</w:t>
            </w:r>
            <w:r w:rsidRPr="00D20E62">
              <w:rPr>
                <w:rFonts w:cs="Calibri"/>
              </w:rPr>
              <w:t>: Prevalence of obesity in adults by gender and income quintile. Monitored with prevalence data.</w:t>
            </w:r>
          </w:p>
        </w:tc>
      </w:tr>
      <w:tr w:rsidR="00E3073B" w:rsidRPr="002A3AAE" w14:paraId="5E4C9887" w14:textId="77777777" w:rsidTr="00334A08">
        <w:trPr>
          <w:trHeight w:val="142"/>
        </w:trPr>
        <w:tc>
          <w:tcPr>
            <w:tcW w:w="2749" w:type="dxa"/>
            <w:vAlign w:val="center"/>
          </w:tcPr>
          <w:p w14:paraId="300719AC" w14:textId="4987D922" w:rsidR="00E3073B" w:rsidRPr="00D20E62" w:rsidRDefault="00E3073B" w:rsidP="00D20E62">
            <w:pPr>
              <w:spacing w:after="0" w:line="240" w:lineRule="auto"/>
              <w:contextualSpacing/>
              <w:rPr>
                <w:rFonts w:cs="Calibri"/>
                <w:color w:val="000000"/>
              </w:rPr>
            </w:pPr>
            <w:r w:rsidRPr="00D20E62">
              <w:rPr>
                <w:rFonts w:cs="Calibri"/>
                <w:color w:val="000000"/>
              </w:rPr>
              <w:t>Responsibility Deal</w:t>
            </w:r>
            <w:r w:rsidR="00274193">
              <w:rPr>
                <w:rFonts w:cs="Calibri"/>
                <w:color w:val="000000"/>
              </w:rPr>
              <w:t xml:space="preserve"> (</w:t>
            </w:r>
            <w:r w:rsidR="00274193">
              <w:rPr>
                <w:rFonts w:cs="Calibri"/>
                <w:color w:val="000000"/>
              </w:rPr>
              <w:fldChar w:fldCharType="begin"/>
            </w:r>
            <w:r w:rsidR="00274193">
              <w:rPr>
                <w:rFonts w:cs="Calibri"/>
                <w:color w:val="000000"/>
              </w:rPr>
              <w:instrText xml:space="preserve"> NOTEREF _Ref341192631 \h </w:instrText>
            </w:r>
            <w:r w:rsidR="00274193">
              <w:rPr>
                <w:rFonts w:cs="Calibri"/>
                <w:color w:val="000000"/>
              </w:rPr>
            </w:r>
            <w:r w:rsidR="00274193">
              <w:rPr>
                <w:rFonts w:cs="Calibri"/>
                <w:color w:val="000000"/>
              </w:rPr>
              <w:fldChar w:fldCharType="separate"/>
            </w:r>
            <w:r w:rsidR="009462C5">
              <w:rPr>
                <w:rFonts w:cs="Calibri"/>
                <w:color w:val="000000"/>
              </w:rPr>
              <w:t>40</w:t>
            </w:r>
            <w:r w:rsidR="00274193">
              <w:rPr>
                <w:rFonts w:cs="Calibri"/>
                <w:color w:val="000000"/>
              </w:rPr>
              <w:fldChar w:fldCharType="end"/>
            </w:r>
            <w:r w:rsidR="00274193">
              <w:rPr>
                <w:rFonts w:cs="Calibri"/>
                <w:color w:val="000000"/>
              </w:rPr>
              <w:t>)</w:t>
            </w:r>
          </w:p>
        </w:tc>
        <w:tc>
          <w:tcPr>
            <w:tcW w:w="730" w:type="dxa"/>
            <w:noWrap/>
            <w:vAlign w:val="center"/>
          </w:tcPr>
          <w:p w14:paraId="1B709AF4" w14:textId="77777777" w:rsidR="00E3073B" w:rsidRPr="00D20E62" w:rsidRDefault="00B053CE" w:rsidP="00D20E62">
            <w:pPr>
              <w:spacing w:after="0" w:line="240" w:lineRule="auto"/>
              <w:contextualSpacing/>
              <w:rPr>
                <w:rFonts w:cs="Calibri"/>
                <w:color w:val="000000"/>
              </w:rPr>
            </w:pPr>
            <w:r>
              <w:rPr>
                <w:rFonts w:cs="Calibri"/>
                <w:color w:val="000000"/>
              </w:rPr>
              <w:t>2012</w:t>
            </w:r>
          </w:p>
        </w:tc>
        <w:tc>
          <w:tcPr>
            <w:tcW w:w="11155" w:type="dxa"/>
            <w:vAlign w:val="center"/>
          </w:tcPr>
          <w:p w14:paraId="49F53059" w14:textId="77777777" w:rsidR="00E3073B" w:rsidRPr="00D20E62" w:rsidRDefault="00E3073B" w:rsidP="00D20E62">
            <w:pPr>
              <w:spacing w:after="0" w:line="240" w:lineRule="auto"/>
              <w:contextualSpacing/>
              <w:rPr>
                <w:rFonts w:cs="Calibri"/>
                <w:color w:val="000000"/>
              </w:rPr>
            </w:pPr>
            <w:r w:rsidRPr="00D20E62">
              <w:rPr>
                <w:rStyle w:val="Heading3Char"/>
                <w:rFonts w:cs="Calibri"/>
                <w:b w:val="0"/>
                <w:bCs w:val="0"/>
                <w:i w:val="0"/>
                <w:sz w:val="22"/>
                <w:szCs w:val="22"/>
              </w:rPr>
              <w:t>To support the</w:t>
            </w:r>
            <w:r w:rsidRPr="00D20E62">
              <w:rPr>
                <w:rStyle w:val="Heading3Char"/>
                <w:rFonts w:cs="Calibri"/>
                <w:b w:val="0"/>
                <w:bCs w:val="0"/>
                <w:sz w:val="22"/>
                <w:szCs w:val="22"/>
              </w:rPr>
              <w:t xml:space="preserve"> </w:t>
            </w:r>
            <w:r w:rsidRPr="00D20E62">
              <w:rPr>
                <w:rFonts w:cs="Calibri"/>
              </w:rPr>
              <w:t>population to reduce its total calorie consumption by 5 billion calories a day. Target set using measured weight trend data.</w:t>
            </w:r>
          </w:p>
        </w:tc>
      </w:tr>
      <w:tr w:rsidR="00E3073B" w:rsidRPr="002A3AAE" w14:paraId="08BEF6FC" w14:textId="77777777" w:rsidTr="00334A08">
        <w:trPr>
          <w:trHeight w:val="142"/>
        </w:trPr>
        <w:tc>
          <w:tcPr>
            <w:tcW w:w="2749" w:type="dxa"/>
            <w:vAlign w:val="center"/>
          </w:tcPr>
          <w:p w14:paraId="3B8456D9" w14:textId="77777777" w:rsidR="00E3073B" w:rsidRPr="00D20E62" w:rsidRDefault="00E3073B" w:rsidP="00D20E62">
            <w:pPr>
              <w:spacing w:after="0" w:line="240" w:lineRule="auto"/>
              <w:contextualSpacing/>
              <w:rPr>
                <w:rFonts w:cs="Calibri"/>
                <w:color w:val="000000"/>
              </w:rPr>
            </w:pPr>
            <w:r w:rsidRPr="00D20E62">
              <w:rPr>
                <w:rFonts w:cs="Calibri"/>
                <w:color w:val="000000"/>
              </w:rPr>
              <w:t>Public Health Outcomes Framework</w:t>
            </w:r>
            <w:r w:rsidR="00274193">
              <w:rPr>
                <w:rFonts w:cs="Calibri"/>
                <w:color w:val="000000"/>
              </w:rPr>
              <w:t xml:space="preserve"> (</w:t>
            </w:r>
            <w:r w:rsidR="00274193" w:rsidRPr="00274193">
              <w:rPr>
                <w:rStyle w:val="EndnoteReference"/>
                <w:color w:val="000000"/>
                <w:vertAlign w:val="baseline"/>
              </w:rPr>
              <w:endnoteReference w:id="70"/>
            </w:r>
            <w:r w:rsidR="00274193">
              <w:rPr>
                <w:rFonts w:cs="Calibri"/>
                <w:color w:val="000000"/>
              </w:rPr>
              <w:t>)</w:t>
            </w:r>
          </w:p>
        </w:tc>
        <w:tc>
          <w:tcPr>
            <w:tcW w:w="730" w:type="dxa"/>
            <w:noWrap/>
            <w:vAlign w:val="center"/>
          </w:tcPr>
          <w:p w14:paraId="5F049A92" w14:textId="77777777" w:rsidR="00E3073B" w:rsidRPr="00D20E62" w:rsidRDefault="00E3073B" w:rsidP="00D20E62">
            <w:pPr>
              <w:spacing w:after="0" w:line="240" w:lineRule="auto"/>
              <w:contextualSpacing/>
              <w:rPr>
                <w:rFonts w:cs="Calibri"/>
                <w:color w:val="000000"/>
              </w:rPr>
            </w:pPr>
            <w:r w:rsidRPr="00D20E62">
              <w:rPr>
                <w:rFonts w:cs="Calibri"/>
                <w:color w:val="000000"/>
              </w:rPr>
              <w:t>2012</w:t>
            </w:r>
          </w:p>
        </w:tc>
        <w:tc>
          <w:tcPr>
            <w:tcW w:w="11155" w:type="dxa"/>
            <w:vAlign w:val="center"/>
          </w:tcPr>
          <w:p w14:paraId="4EAAC7C7" w14:textId="77777777" w:rsidR="00E3073B" w:rsidRPr="00D20E62" w:rsidRDefault="00E3073B" w:rsidP="00D20E62">
            <w:pPr>
              <w:spacing w:after="0" w:line="240" w:lineRule="auto"/>
              <w:contextualSpacing/>
              <w:rPr>
                <w:rFonts w:cs="Calibri"/>
                <w:color w:val="000000"/>
              </w:rPr>
            </w:pPr>
            <w:r w:rsidRPr="00D20E62">
              <w:rPr>
                <w:rFonts w:cs="Calibri"/>
                <w:color w:val="000000"/>
              </w:rPr>
              <w:t>Excess weight in adults will be monitored at a national level with obesity prevalence data.</w:t>
            </w:r>
          </w:p>
        </w:tc>
      </w:tr>
      <w:tr w:rsidR="00E3073B" w:rsidRPr="002A3AAE" w14:paraId="6009DCC9" w14:textId="77777777" w:rsidTr="00334A08">
        <w:trPr>
          <w:trHeight w:val="142"/>
        </w:trPr>
        <w:tc>
          <w:tcPr>
            <w:tcW w:w="14634" w:type="dxa"/>
            <w:gridSpan w:val="3"/>
            <w:vAlign w:val="center"/>
          </w:tcPr>
          <w:p w14:paraId="2115E549" w14:textId="77777777" w:rsidR="00E3073B" w:rsidRPr="00D20E62" w:rsidRDefault="00E3073B" w:rsidP="00D20E62">
            <w:pPr>
              <w:spacing w:after="0" w:line="240" w:lineRule="auto"/>
              <w:contextualSpacing/>
              <w:jc w:val="center"/>
              <w:rPr>
                <w:rFonts w:cs="Calibri"/>
                <w:b/>
                <w:i/>
                <w:color w:val="000000"/>
              </w:rPr>
            </w:pPr>
            <w:r w:rsidRPr="00D20E62">
              <w:rPr>
                <w:rFonts w:cs="Calibri"/>
                <w:b/>
                <w:i/>
                <w:color w:val="000000"/>
              </w:rPr>
              <w:t>Evaluation and review</w:t>
            </w:r>
          </w:p>
        </w:tc>
      </w:tr>
      <w:tr w:rsidR="00E3073B" w:rsidRPr="002A3AAE" w14:paraId="35C82A21" w14:textId="77777777" w:rsidTr="00334A08">
        <w:trPr>
          <w:trHeight w:val="142"/>
        </w:trPr>
        <w:tc>
          <w:tcPr>
            <w:tcW w:w="2749" w:type="dxa"/>
            <w:vAlign w:val="center"/>
          </w:tcPr>
          <w:p w14:paraId="7567FEDB" w14:textId="7BA1BE1F" w:rsidR="00E3073B" w:rsidRPr="00D20E62" w:rsidRDefault="00E3073B" w:rsidP="00C06995">
            <w:pPr>
              <w:spacing w:after="0" w:line="240" w:lineRule="auto"/>
              <w:contextualSpacing/>
              <w:rPr>
                <w:rFonts w:cs="Calibri"/>
                <w:b/>
                <w:i/>
                <w:color w:val="000000"/>
              </w:rPr>
            </w:pPr>
            <w:r w:rsidRPr="00D20E62">
              <w:rPr>
                <w:rFonts w:cs="Calibri"/>
                <w:color w:val="000000"/>
              </w:rPr>
              <w:t>Healthy weight</w:t>
            </w:r>
            <w:r w:rsidR="00274193">
              <w:rPr>
                <w:rFonts w:cs="Calibri"/>
                <w:color w:val="000000"/>
              </w:rPr>
              <w:t>s</w:t>
            </w:r>
            <w:r w:rsidRPr="00D20E62">
              <w:rPr>
                <w:rFonts w:cs="Calibri"/>
                <w:color w:val="000000"/>
              </w:rPr>
              <w:t>, healthy lives: a cross-government strategy for England</w:t>
            </w:r>
            <w:r w:rsidR="00274193">
              <w:rPr>
                <w:rFonts w:cs="Calibri"/>
                <w:color w:val="000000"/>
              </w:rPr>
              <w:t xml:space="preserve"> (</w:t>
            </w:r>
            <w:r w:rsidR="00C06995">
              <w:rPr>
                <w:rFonts w:cs="Calibri"/>
                <w:color w:val="000000"/>
              </w:rPr>
              <w:fldChar w:fldCharType="begin"/>
            </w:r>
            <w:r w:rsidR="00C06995">
              <w:rPr>
                <w:rFonts w:cs="Calibri"/>
                <w:color w:val="000000"/>
              </w:rPr>
              <w:instrText xml:space="preserve"> NOTEREF _Ref341192001 \h </w:instrText>
            </w:r>
            <w:r w:rsidR="00C06995">
              <w:rPr>
                <w:rFonts w:cs="Calibri"/>
                <w:color w:val="000000"/>
              </w:rPr>
            </w:r>
            <w:r w:rsidR="00C06995">
              <w:rPr>
                <w:rFonts w:cs="Calibri"/>
                <w:color w:val="000000"/>
              </w:rPr>
              <w:fldChar w:fldCharType="separate"/>
            </w:r>
            <w:r w:rsidR="00C06995">
              <w:rPr>
                <w:rFonts w:cs="Calibri"/>
                <w:color w:val="000000"/>
              </w:rPr>
              <w:t>27</w:t>
            </w:r>
            <w:r w:rsidR="00C06995">
              <w:rPr>
                <w:rFonts w:cs="Calibri"/>
                <w:color w:val="000000"/>
              </w:rPr>
              <w:fldChar w:fldCharType="end"/>
            </w:r>
            <w:r w:rsidR="00274193">
              <w:rPr>
                <w:rFonts w:cs="Calibri"/>
                <w:color w:val="000000"/>
              </w:rPr>
              <w:t>)</w:t>
            </w:r>
          </w:p>
        </w:tc>
        <w:tc>
          <w:tcPr>
            <w:tcW w:w="730" w:type="dxa"/>
            <w:vAlign w:val="center"/>
          </w:tcPr>
          <w:p w14:paraId="31A910B8" w14:textId="77777777" w:rsidR="00E3073B" w:rsidRPr="00D20E62" w:rsidRDefault="00E3073B" w:rsidP="00D20E62">
            <w:pPr>
              <w:spacing w:after="0" w:line="240" w:lineRule="auto"/>
              <w:contextualSpacing/>
              <w:rPr>
                <w:rFonts w:cs="Calibri"/>
                <w:color w:val="000000"/>
              </w:rPr>
            </w:pPr>
            <w:r w:rsidRPr="00D20E62">
              <w:rPr>
                <w:rFonts w:cs="Calibri"/>
                <w:color w:val="000000"/>
              </w:rPr>
              <w:t>2010</w:t>
            </w:r>
          </w:p>
        </w:tc>
        <w:tc>
          <w:tcPr>
            <w:tcW w:w="11155" w:type="dxa"/>
            <w:vAlign w:val="center"/>
          </w:tcPr>
          <w:p w14:paraId="3DF331BE" w14:textId="0707A420" w:rsidR="00E3073B" w:rsidRPr="00D20E62" w:rsidRDefault="00E3073B" w:rsidP="00D20E62">
            <w:pPr>
              <w:spacing w:after="0" w:line="240" w:lineRule="auto"/>
              <w:contextualSpacing/>
              <w:rPr>
                <w:rFonts w:cs="Calibri"/>
                <w:color w:val="000000"/>
              </w:rPr>
            </w:pPr>
            <w:r w:rsidRPr="00D20E62">
              <w:rPr>
                <w:rFonts w:cs="Calibri"/>
                <w:color w:val="000000"/>
              </w:rPr>
              <w:t>Evaluated in Healthy weight, healthy lives: two years on</w:t>
            </w:r>
            <w:r w:rsidR="00230CD7">
              <w:rPr>
                <w:rFonts w:cs="Calibri"/>
                <w:color w:val="000000"/>
              </w:rPr>
              <w:t xml:space="preserve"> (</w:t>
            </w:r>
            <w:r w:rsidR="00230CD7">
              <w:rPr>
                <w:rFonts w:cs="Calibri"/>
                <w:color w:val="000000"/>
              </w:rPr>
              <w:fldChar w:fldCharType="begin"/>
            </w:r>
            <w:r w:rsidR="00230CD7">
              <w:rPr>
                <w:rFonts w:cs="Calibri"/>
                <w:color w:val="000000"/>
              </w:rPr>
              <w:instrText xml:space="preserve"> NOTEREF _Ref341278186 \h </w:instrText>
            </w:r>
            <w:r w:rsidR="00230CD7">
              <w:rPr>
                <w:rFonts w:cs="Calibri"/>
                <w:color w:val="000000"/>
              </w:rPr>
            </w:r>
            <w:r w:rsidR="00230CD7">
              <w:rPr>
                <w:rFonts w:cs="Calibri"/>
                <w:color w:val="000000"/>
              </w:rPr>
              <w:fldChar w:fldCharType="separate"/>
            </w:r>
            <w:r w:rsidR="009462C5">
              <w:rPr>
                <w:rFonts w:cs="Calibri"/>
                <w:color w:val="000000"/>
              </w:rPr>
              <w:t>42</w:t>
            </w:r>
            <w:r w:rsidR="00230CD7">
              <w:rPr>
                <w:rFonts w:cs="Calibri"/>
                <w:color w:val="000000"/>
              </w:rPr>
              <w:fldChar w:fldCharType="end"/>
            </w:r>
            <w:r w:rsidR="00230CD7">
              <w:rPr>
                <w:rFonts w:cs="Calibri"/>
                <w:color w:val="000000"/>
              </w:rPr>
              <w:t>)</w:t>
            </w:r>
            <w:r w:rsidRPr="00D20E62">
              <w:rPr>
                <w:rFonts w:cs="Calibri"/>
                <w:color w:val="000000"/>
              </w:rPr>
              <w:t>. This evaluation reports progress towards targets and examines prevalence of obesity in other age-groups.</w:t>
            </w:r>
          </w:p>
        </w:tc>
      </w:tr>
    </w:tbl>
    <w:p w14:paraId="5B05013D" w14:textId="77777777" w:rsidR="00E3073B" w:rsidRPr="002A3AAE" w:rsidRDefault="00E3073B" w:rsidP="002A3AAE">
      <w:pPr>
        <w:pStyle w:val="NoSpacing"/>
        <w:contextualSpacing/>
        <w:jc w:val="both"/>
        <w:rPr>
          <w:rFonts w:cs="Calibri"/>
        </w:rPr>
      </w:pPr>
    </w:p>
    <w:p w14:paraId="6A0D6569" w14:textId="77777777" w:rsidR="00E3073B" w:rsidRPr="002A3AAE" w:rsidRDefault="00E3073B" w:rsidP="002A3AAE">
      <w:pPr>
        <w:spacing w:after="0" w:line="240" w:lineRule="auto"/>
        <w:contextualSpacing/>
        <w:jc w:val="both"/>
        <w:rPr>
          <w:rFonts w:cs="Calibri"/>
        </w:rPr>
        <w:sectPr w:rsidR="00E3073B" w:rsidRPr="002A3AAE" w:rsidSect="00F02861">
          <w:endnotePr>
            <w:numFmt w:val="decimal"/>
          </w:endnotePr>
          <w:pgSz w:w="16838" w:h="11906" w:orient="landscape"/>
          <w:pgMar w:top="1440" w:right="1440" w:bottom="1440" w:left="1440" w:header="708" w:footer="708" w:gutter="0"/>
          <w:cols w:space="708"/>
          <w:docGrid w:linePitch="360"/>
        </w:sectPr>
      </w:pPr>
    </w:p>
    <w:p w14:paraId="1EF86EB3" w14:textId="77777777" w:rsidR="009103D5" w:rsidRPr="000C228D" w:rsidRDefault="00E3073B" w:rsidP="009103D5">
      <w:pPr>
        <w:spacing w:after="0" w:line="240" w:lineRule="auto"/>
        <w:contextualSpacing/>
        <w:jc w:val="both"/>
        <w:rPr>
          <w:b/>
        </w:rPr>
      </w:pPr>
      <w:r w:rsidRPr="000C228D">
        <w:rPr>
          <w:b/>
        </w:rPr>
        <w:lastRenderedPageBreak/>
        <w:t>Table 2</w:t>
      </w:r>
      <w:r w:rsidR="009103D5" w:rsidRPr="000C228D">
        <w:rPr>
          <w:b/>
        </w:rPr>
        <w:t>.</w:t>
      </w:r>
    </w:p>
    <w:p w14:paraId="3BBB7EAD" w14:textId="77777777" w:rsidR="009103D5" w:rsidRDefault="009103D5" w:rsidP="009103D5">
      <w:pPr>
        <w:spacing w:after="0" w:line="240" w:lineRule="auto"/>
        <w:contextualSpacing/>
        <w:jc w:val="both"/>
        <w:rPr>
          <w:rFonts w:cs="Calibri"/>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4"/>
        <w:gridCol w:w="2610"/>
        <w:gridCol w:w="2750"/>
      </w:tblGrid>
      <w:tr w:rsidR="009103D5" w:rsidRPr="002A3AAE" w14:paraId="7C5540B6" w14:textId="77777777" w:rsidTr="009103D5">
        <w:trPr>
          <w:trHeight w:val="289"/>
        </w:trPr>
        <w:tc>
          <w:tcPr>
            <w:tcW w:w="0" w:type="auto"/>
          </w:tcPr>
          <w:p w14:paraId="22F78EC9" w14:textId="77777777" w:rsidR="009103D5" w:rsidRPr="00B24AA6" w:rsidRDefault="009103D5" w:rsidP="009103D5">
            <w:pPr>
              <w:spacing w:after="0" w:line="240" w:lineRule="auto"/>
              <w:contextualSpacing/>
              <w:jc w:val="both"/>
              <w:rPr>
                <w:rFonts w:cs="Calibri"/>
                <w:b/>
                <w:bCs/>
                <w:lang w:eastAsia="en-GB"/>
              </w:rPr>
            </w:pPr>
            <w:r>
              <w:rPr>
                <w:rFonts w:cs="Calibri"/>
                <w:b/>
                <w:bCs/>
                <w:lang w:eastAsia="en-GB"/>
              </w:rPr>
              <w:t>Country</w:t>
            </w:r>
          </w:p>
        </w:tc>
        <w:tc>
          <w:tcPr>
            <w:tcW w:w="0" w:type="auto"/>
          </w:tcPr>
          <w:p w14:paraId="0E2D89FE" w14:textId="77777777" w:rsidR="009103D5" w:rsidRPr="00D20E62" w:rsidRDefault="009103D5" w:rsidP="009103D5">
            <w:pPr>
              <w:spacing w:after="0" w:line="240" w:lineRule="auto"/>
              <w:contextualSpacing/>
              <w:jc w:val="center"/>
              <w:rPr>
                <w:rFonts w:cs="Calibri"/>
                <w:b/>
                <w:bCs/>
                <w:lang w:eastAsia="en-GB"/>
              </w:rPr>
            </w:pPr>
            <w:r w:rsidRPr="00D20E62">
              <w:rPr>
                <w:rFonts w:cs="Calibri"/>
                <w:b/>
                <w:bCs/>
                <w:lang w:eastAsia="en-GB"/>
              </w:rPr>
              <w:t>Measured</w:t>
            </w:r>
          </w:p>
        </w:tc>
        <w:tc>
          <w:tcPr>
            <w:tcW w:w="0" w:type="auto"/>
          </w:tcPr>
          <w:p w14:paraId="04138801" w14:textId="77777777" w:rsidR="009103D5" w:rsidRPr="00D20E62" w:rsidRDefault="009103D5" w:rsidP="009103D5">
            <w:pPr>
              <w:spacing w:after="0" w:line="240" w:lineRule="auto"/>
              <w:contextualSpacing/>
              <w:jc w:val="center"/>
              <w:rPr>
                <w:rFonts w:cs="Calibri"/>
                <w:b/>
                <w:bCs/>
                <w:lang w:eastAsia="en-GB"/>
              </w:rPr>
            </w:pPr>
            <w:r w:rsidRPr="00D20E62">
              <w:rPr>
                <w:rFonts w:cs="Calibri"/>
                <w:b/>
                <w:bCs/>
                <w:lang w:eastAsia="en-GB"/>
              </w:rPr>
              <w:t>Self-report</w:t>
            </w:r>
          </w:p>
        </w:tc>
      </w:tr>
      <w:tr w:rsidR="00AA7FAD" w:rsidRPr="002A3AAE" w14:paraId="48A93B74" w14:textId="77777777" w:rsidTr="00AA7FAD">
        <w:trPr>
          <w:trHeight w:val="314"/>
        </w:trPr>
        <w:tc>
          <w:tcPr>
            <w:tcW w:w="0" w:type="auto"/>
            <w:vAlign w:val="center"/>
          </w:tcPr>
          <w:p w14:paraId="6DA088B7" w14:textId="1CD8EED1" w:rsidR="00AA7FAD" w:rsidRPr="00B24AA6" w:rsidRDefault="00AA7FAD" w:rsidP="009103D5">
            <w:pPr>
              <w:spacing w:after="0" w:line="240" w:lineRule="auto"/>
              <w:contextualSpacing/>
              <w:jc w:val="both"/>
              <w:rPr>
                <w:rFonts w:cs="Calibri"/>
                <w:lang w:eastAsia="en-GB"/>
              </w:rPr>
            </w:pPr>
            <w:r>
              <w:rPr>
                <w:rFonts w:cs="Calibri"/>
              </w:rPr>
              <w:t>Japan</w:t>
            </w:r>
          </w:p>
        </w:tc>
        <w:tc>
          <w:tcPr>
            <w:tcW w:w="0" w:type="auto"/>
            <w:vAlign w:val="center"/>
          </w:tcPr>
          <w:p w14:paraId="42A9C566" w14:textId="494E8657" w:rsidR="00AA7FAD" w:rsidRPr="00D20E62" w:rsidRDefault="00AA7FAD" w:rsidP="009103D5">
            <w:pPr>
              <w:spacing w:after="0" w:line="240" w:lineRule="auto"/>
              <w:contextualSpacing/>
              <w:jc w:val="right"/>
              <w:rPr>
                <w:rFonts w:cs="Calibri"/>
                <w:lang w:eastAsia="en-GB"/>
              </w:rPr>
            </w:pPr>
            <w:r>
              <w:rPr>
                <w:rFonts w:cs="Calibri"/>
              </w:rPr>
              <w:t>3.5</w:t>
            </w:r>
          </w:p>
        </w:tc>
        <w:tc>
          <w:tcPr>
            <w:tcW w:w="0" w:type="auto"/>
            <w:vAlign w:val="center"/>
          </w:tcPr>
          <w:p w14:paraId="0606A9B5" w14:textId="64849D35" w:rsidR="00AA7FAD" w:rsidRPr="00D20E62" w:rsidRDefault="00AA7FAD" w:rsidP="009103D5">
            <w:pPr>
              <w:spacing w:after="0" w:line="240" w:lineRule="auto"/>
              <w:contextualSpacing/>
              <w:jc w:val="right"/>
              <w:rPr>
                <w:rFonts w:cs="Calibri"/>
                <w:lang w:eastAsia="en-GB"/>
              </w:rPr>
            </w:pPr>
            <w:r>
              <w:rPr>
                <w:rFonts w:cs="Calibri"/>
              </w:rPr>
              <w:t>..</w:t>
            </w:r>
          </w:p>
        </w:tc>
      </w:tr>
      <w:tr w:rsidR="00AA7FAD" w:rsidRPr="002A3AAE" w14:paraId="51FF20CF" w14:textId="77777777" w:rsidTr="00AA7FAD">
        <w:trPr>
          <w:trHeight w:val="314"/>
        </w:trPr>
        <w:tc>
          <w:tcPr>
            <w:tcW w:w="0" w:type="auto"/>
            <w:vAlign w:val="center"/>
          </w:tcPr>
          <w:p w14:paraId="1F5A9B8C" w14:textId="4E8FDFC8" w:rsidR="00AA7FAD" w:rsidRPr="00B24AA6" w:rsidRDefault="00AA7FAD" w:rsidP="009103D5">
            <w:pPr>
              <w:spacing w:after="0" w:line="240" w:lineRule="auto"/>
              <w:contextualSpacing/>
              <w:jc w:val="both"/>
              <w:rPr>
                <w:rFonts w:cs="Calibri"/>
                <w:lang w:eastAsia="en-GB"/>
              </w:rPr>
            </w:pPr>
            <w:r>
              <w:rPr>
                <w:rFonts w:cs="Calibri"/>
              </w:rPr>
              <w:t>Korea</w:t>
            </w:r>
          </w:p>
        </w:tc>
        <w:tc>
          <w:tcPr>
            <w:tcW w:w="0" w:type="auto"/>
            <w:vAlign w:val="center"/>
          </w:tcPr>
          <w:p w14:paraId="720E0B7E" w14:textId="0088DA38" w:rsidR="00AA7FAD" w:rsidRPr="00D20E62" w:rsidRDefault="00AA7FAD" w:rsidP="009103D5">
            <w:pPr>
              <w:spacing w:after="0" w:line="240" w:lineRule="auto"/>
              <w:contextualSpacing/>
              <w:jc w:val="right"/>
              <w:rPr>
                <w:rFonts w:cs="Calibri"/>
                <w:lang w:eastAsia="en-GB"/>
              </w:rPr>
            </w:pPr>
            <w:r>
              <w:rPr>
                <w:rFonts w:cs="Calibri"/>
              </w:rPr>
              <w:t>4.1</w:t>
            </w:r>
          </w:p>
        </w:tc>
        <w:tc>
          <w:tcPr>
            <w:tcW w:w="0" w:type="auto"/>
            <w:vAlign w:val="center"/>
          </w:tcPr>
          <w:p w14:paraId="1FDBE579" w14:textId="1D2852AA" w:rsidR="00AA7FAD" w:rsidRPr="00D20E62" w:rsidRDefault="00AA7FAD" w:rsidP="009103D5">
            <w:pPr>
              <w:spacing w:after="0" w:line="240" w:lineRule="auto"/>
              <w:contextualSpacing/>
              <w:jc w:val="right"/>
              <w:rPr>
                <w:rFonts w:cs="Calibri"/>
                <w:lang w:eastAsia="en-GB"/>
              </w:rPr>
            </w:pPr>
            <w:r>
              <w:rPr>
                <w:rFonts w:cs="Calibri"/>
              </w:rPr>
              <w:t>2</w:t>
            </w:r>
          </w:p>
        </w:tc>
      </w:tr>
      <w:tr w:rsidR="00AA7FAD" w:rsidRPr="002A3AAE" w14:paraId="37A75A35" w14:textId="77777777" w:rsidTr="00AA7FAD">
        <w:trPr>
          <w:trHeight w:val="314"/>
        </w:trPr>
        <w:tc>
          <w:tcPr>
            <w:tcW w:w="0" w:type="auto"/>
            <w:vAlign w:val="center"/>
          </w:tcPr>
          <w:p w14:paraId="439A7479" w14:textId="2EF7FFB4" w:rsidR="00AA7FAD" w:rsidRPr="00B24AA6" w:rsidRDefault="00AA7FAD" w:rsidP="009103D5">
            <w:pPr>
              <w:spacing w:after="0" w:line="240" w:lineRule="auto"/>
              <w:contextualSpacing/>
              <w:jc w:val="both"/>
              <w:rPr>
                <w:rFonts w:cs="Calibri"/>
                <w:lang w:eastAsia="en-GB"/>
              </w:rPr>
            </w:pPr>
            <w:r>
              <w:rPr>
                <w:rFonts w:cs="Calibri"/>
              </w:rPr>
              <w:t>Switzerland</w:t>
            </w:r>
          </w:p>
        </w:tc>
        <w:tc>
          <w:tcPr>
            <w:tcW w:w="0" w:type="auto"/>
            <w:vAlign w:val="center"/>
          </w:tcPr>
          <w:p w14:paraId="1773268B" w14:textId="7B19675A"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379A5B25" w14:textId="189EF0C8" w:rsidR="00AA7FAD" w:rsidRPr="00D20E62" w:rsidRDefault="00AA7FAD" w:rsidP="009103D5">
            <w:pPr>
              <w:spacing w:after="0" w:line="240" w:lineRule="auto"/>
              <w:contextualSpacing/>
              <w:jc w:val="right"/>
              <w:rPr>
                <w:rFonts w:cs="Calibri"/>
                <w:lang w:eastAsia="en-GB"/>
              </w:rPr>
            </w:pPr>
            <w:r>
              <w:rPr>
                <w:rFonts w:cs="Calibri"/>
              </w:rPr>
              <w:t>8.1</w:t>
            </w:r>
          </w:p>
        </w:tc>
      </w:tr>
      <w:tr w:rsidR="00AA7FAD" w:rsidRPr="002A3AAE" w14:paraId="5A2E7111" w14:textId="77777777" w:rsidTr="00AA7FAD">
        <w:trPr>
          <w:trHeight w:val="314"/>
        </w:trPr>
        <w:tc>
          <w:tcPr>
            <w:tcW w:w="0" w:type="auto"/>
            <w:vAlign w:val="center"/>
          </w:tcPr>
          <w:p w14:paraId="2A3C6CD6" w14:textId="2487D4F1" w:rsidR="00AA7FAD" w:rsidRPr="00B24AA6" w:rsidRDefault="00AA7FAD" w:rsidP="009103D5">
            <w:pPr>
              <w:spacing w:after="0" w:line="240" w:lineRule="auto"/>
              <w:contextualSpacing/>
              <w:jc w:val="both"/>
              <w:rPr>
                <w:rFonts w:cs="Calibri"/>
                <w:lang w:eastAsia="en-GB"/>
              </w:rPr>
            </w:pPr>
            <w:r>
              <w:rPr>
                <w:rFonts w:cs="Calibri"/>
              </w:rPr>
              <w:t>Norway</w:t>
            </w:r>
          </w:p>
        </w:tc>
        <w:tc>
          <w:tcPr>
            <w:tcW w:w="0" w:type="auto"/>
            <w:vAlign w:val="center"/>
          </w:tcPr>
          <w:p w14:paraId="6B280F74" w14:textId="0A00E271"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7AE5BA71" w14:textId="5EFBC810" w:rsidR="00AA7FAD" w:rsidRPr="00D20E62" w:rsidRDefault="00AA7FAD" w:rsidP="009103D5">
            <w:pPr>
              <w:spacing w:after="0" w:line="240" w:lineRule="auto"/>
              <w:contextualSpacing/>
              <w:jc w:val="right"/>
              <w:rPr>
                <w:rFonts w:cs="Calibri"/>
                <w:lang w:eastAsia="en-GB"/>
              </w:rPr>
            </w:pPr>
            <w:r>
              <w:rPr>
                <w:rFonts w:cs="Calibri"/>
              </w:rPr>
              <w:t>10</w:t>
            </w:r>
          </w:p>
        </w:tc>
      </w:tr>
      <w:tr w:rsidR="00AA7FAD" w:rsidRPr="002A3AAE" w14:paraId="42839444" w14:textId="77777777" w:rsidTr="00AA7FAD">
        <w:trPr>
          <w:trHeight w:val="314"/>
        </w:trPr>
        <w:tc>
          <w:tcPr>
            <w:tcW w:w="0" w:type="auto"/>
            <w:vAlign w:val="center"/>
          </w:tcPr>
          <w:p w14:paraId="42B4884B" w14:textId="7C3704CC" w:rsidR="00AA7FAD" w:rsidRPr="00B24AA6" w:rsidRDefault="00AA7FAD" w:rsidP="009103D5">
            <w:pPr>
              <w:spacing w:after="0" w:line="240" w:lineRule="auto"/>
              <w:contextualSpacing/>
              <w:jc w:val="both"/>
              <w:rPr>
                <w:rFonts w:cs="Calibri"/>
                <w:lang w:eastAsia="en-GB"/>
              </w:rPr>
            </w:pPr>
            <w:r>
              <w:rPr>
                <w:rFonts w:cs="Calibri"/>
              </w:rPr>
              <w:t>Italy</w:t>
            </w:r>
          </w:p>
        </w:tc>
        <w:tc>
          <w:tcPr>
            <w:tcW w:w="0" w:type="auto"/>
            <w:vAlign w:val="center"/>
          </w:tcPr>
          <w:p w14:paraId="22DD8D66" w14:textId="65BFF108"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288647F7" w14:textId="0F8EA18B" w:rsidR="00AA7FAD" w:rsidRPr="00D20E62" w:rsidRDefault="00AA7FAD" w:rsidP="009103D5">
            <w:pPr>
              <w:spacing w:after="0" w:line="240" w:lineRule="auto"/>
              <w:contextualSpacing/>
              <w:jc w:val="right"/>
              <w:rPr>
                <w:rFonts w:cs="Calibri"/>
                <w:lang w:eastAsia="en-GB"/>
              </w:rPr>
            </w:pPr>
            <w:r>
              <w:rPr>
                <w:rFonts w:cs="Calibri"/>
              </w:rPr>
              <w:t>10.3</w:t>
            </w:r>
          </w:p>
        </w:tc>
      </w:tr>
      <w:tr w:rsidR="00AA7FAD" w:rsidRPr="002A3AAE" w14:paraId="6D9FAEE5" w14:textId="77777777" w:rsidTr="00AA7FAD">
        <w:trPr>
          <w:trHeight w:val="314"/>
        </w:trPr>
        <w:tc>
          <w:tcPr>
            <w:tcW w:w="0" w:type="auto"/>
            <w:vAlign w:val="center"/>
          </w:tcPr>
          <w:p w14:paraId="4CDBBDC2" w14:textId="0F81097F" w:rsidR="00AA7FAD" w:rsidRPr="00B24AA6" w:rsidRDefault="00AA7FAD" w:rsidP="009103D5">
            <w:pPr>
              <w:spacing w:after="0" w:line="240" w:lineRule="auto"/>
              <w:contextualSpacing/>
              <w:jc w:val="both"/>
              <w:rPr>
                <w:rFonts w:cs="Calibri"/>
                <w:lang w:eastAsia="en-GB"/>
              </w:rPr>
            </w:pPr>
            <w:r>
              <w:rPr>
                <w:rFonts w:cs="Calibri"/>
              </w:rPr>
              <w:t>Netherlands</w:t>
            </w:r>
          </w:p>
        </w:tc>
        <w:tc>
          <w:tcPr>
            <w:tcW w:w="0" w:type="auto"/>
            <w:vAlign w:val="center"/>
          </w:tcPr>
          <w:p w14:paraId="250B9924" w14:textId="64560AE0"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48FEAF80" w14:textId="53EC26FD" w:rsidR="00AA7FAD" w:rsidRPr="00D20E62" w:rsidRDefault="00AA7FAD" w:rsidP="009103D5">
            <w:pPr>
              <w:spacing w:after="0" w:line="240" w:lineRule="auto"/>
              <w:contextualSpacing/>
              <w:jc w:val="right"/>
              <w:rPr>
                <w:rFonts w:cs="Calibri"/>
                <w:lang w:eastAsia="en-GB"/>
              </w:rPr>
            </w:pPr>
            <w:r>
              <w:rPr>
                <w:rFonts w:cs="Calibri"/>
              </w:rPr>
              <w:t>11.4</w:t>
            </w:r>
          </w:p>
        </w:tc>
      </w:tr>
      <w:tr w:rsidR="00AA7FAD" w:rsidRPr="002A3AAE" w14:paraId="45C41EEC" w14:textId="77777777" w:rsidTr="00AA7FAD">
        <w:trPr>
          <w:trHeight w:val="314"/>
        </w:trPr>
        <w:tc>
          <w:tcPr>
            <w:tcW w:w="0" w:type="auto"/>
            <w:vAlign w:val="center"/>
          </w:tcPr>
          <w:p w14:paraId="22056887" w14:textId="25A09C2B" w:rsidR="00AA7FAD" w:rsidRPr="00B24AA6" w:rsidRDefault="00AA7FAD" w:rsidP="009103D5">
            <w:pPr>
              <w:spacing w:after="0" w:line="240" w:lineRule="auto"/>
              <w:contextualSpacing/>
              <w:jc w:val="both"/>
              <w:rPr>
                <w:rFonts w:cs="Calibri"/>
                <w:lang w:eastAsia="en-GB"/>
              </w:rPr>
            </w:pPr>
            <w:r>
              <w:rPr>
                <w:rFonts w:cs="Calibri"/>
              </w:rPr>
              <w:t>Austria</w:t>
            </w:r>
          </w:p>
        </w:tc>
        <w:tc>
          <w:tcPr>
            <w:tcW w:w="0" w:type="auto"/>
            <w:vAlign w:val="center"/>
          </w:tcPr>
          <w:p w14:paraId="4487B4B8" w14:textId="1D93D273"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252CE118" w14:textId="4AFD3B6D" w:rsidR="00AA7FAD" w:rsidRPr="00D20E62" w:rsidRDefault="00AA7FAD" w:rsidP="009103D5">
            <w:pPr>
              <w:spacing w:after="0" w:line="240" w:lineRule="auto"/>
              <w:contextualSpacing/>
              <w:jc w:val="right"/>
              <w:rPr>
                <w:rFonts w:cs="Calibri"/>
                <w:lang w:eastAsia="en-GB"/>
              </w:rPr>
            </w:pPr>
            <w:r>
              <w:rPr>
                <w:rFonts w:cs="Calibri"/>
              </w:rPr>
              <w:t>12.4</w:t>
            </w:r>
          </w:p>
        </w:tc>
      </w:tr>
      <w:tr w:rsidR="00AA7FAD" w:rsidRPr="002A3AAE" w14:paraId="6686E786" w14:textId="77777777" w:rsidTr="00AA7FAD">
        <w:trPr>
          <w:trHeight w:val="314"/>
        </w:trPr>
        <w:tc>
          <w:tcPr>
            <w:tcW w:w="0" w:type="auto"/>
            <w:vAlign w:val="center"/>
          </w:tcPr>
          <w:p w14:paraId="0FE32F56" w14:textId="6FDDA088" w:rsidR="00AA7FAD" w:rsidRPr="00B24AA6" w:rsidRDefault="00AA7FAD" w:rsidP="009103D5">
            <w:pPr>
              <w:spacing w:after="0" w:line="240" w:lineRule="auto"/>
              <w:contextualSpacing/>
              <w:jc w:val="both"/>
              <w:rPr>
                <w:rFonts w:cs="Calibri"/>
                <w:lang w:eastAsia="en-GB"/>
              </w:rPr>
            </w:pPr>
            <w:r>
              <w:rPr>
                <w:rFonts w:cs="Calibri"/>
              </w:rPr>
              <w:t>France</w:t>
            </w:r>
          </w:p>
        </w:tc>
        <w:tc>
          <w:tcPr>
            <w:tcW w:w="0" w:type="auto"/>
            <w:vAlign w:val="center"/>
          </w:tcPr>
          <w:p w14:paraId="199BA36D" w14:textId="24647CBD"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02D95462" w14:textId="3E1237C0" w:rsidR="00AA7FAD" w:rsidRPr="00D20E62" w:rsidRDefault="00AA7FAD" w:rsidP="009103D5">
            <w:pPr>
              <w:spacing w:after="0" w:line="240" w:lineRule="auto"/>
              <w:contextualSpacing/>
              <w:jc w:val="right"/>
              <w:rPr>
                <w:rFonts w:cs="Calibri"/>
                <w:lang w:eastAsia="en-GB"/>
              </w:rPr>
            </w:pPr>
            <w:r>
              <w:rPr>
                <w:rFonts w:cs="Calibri"/>
              </w:rPr>
              <w:t>12.9</w:t>
            </w:r>
          </w:p>
        </w:tc>
      </w:tr>
      <w:tr w:rsidR="00AA7FAD" w:rsidRPr="002A3AAE" w14:paraId="4E260AAC" w14:textId="77777777" w:rsidTr="00AA7FAD">
        <w:trPr>
          <w:trHeight w:val="314"/>
        </w:trPr>
        <w:tc>
          <w:tcPr>
            <w:tcW w:w="0" w:type="auto"/>
            <w:vAlign w:val="center"/>
          </w:tcPr>
          <w:p w14:paraId="606CFB2A" w14:textId="5BF19977" w:rsidR="00AA7FAD" w:rsidRPr="00B24AA6" w:rsidRDefault="00AA7FAD" w:rsidP="009103D5">
            <w:pPr>
              <w:spacing w:after="0" w:line="240" w:lineRule="auto"/>
              <w:contextualSpacing/>
              <w:jc w:val="both"/>
              <w:rPr>
                <w:rFonts w:cs="Calibri"/>
                <w:lang w:eastAsia="en-GB"/>
              </w:rPr>
            </w:pPr>
            <w:r>
              <w:rPr>
                <w:rFonts w:cs="Calibri"/>
              </w:rPr>
              <w:t>Sweden</w:t>
            </w:r>
          </w:p>
        </w:tc>
        <w:tc>
          <w:tcPr>
            <w:tcW w:w="0" w:type="auto"/>
            <w:vAlign w:val="center"/>
          </w:tcPr>
          <w:p w14:paraId="4FEC51EC" w14:textId="5E994677"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380FB881" w14:textId="39313413" w:rsidR="00AA7FAD" w:rsidRPr="00D20E62" w:rsidRDefault="00AA7FAD" w:rsidP="009103D5">
            <w:pPr>
              <w:spacing w:after="0" w:line="240" w:lineRule="auto"/>
              <w:contextualSpacing/>
              <w:jc w:val="right"/>
              <w:rPr>
                <w:rFonts w:cs="Calibri"/>
                <w:lang w:eastAsia="en-GB"/>
              </w:rPr>
            </w:pPr>
            <w:r>
              <w:rPr>
                <w:rFonts w:cs="Calibri"/>
              </w:rPr>
              <w:t>12.9</w:t>
            </w:r>
          </w:p>
        </w:tc>
      </w:tr>
      <w:tr w:rsidR="00AA7FAD" w:rsidRPr="002A3AAE" w14:paraId="29DECA36" w14:textId="77777777" w:rsidTr="00AA7FAD">
        <w:trPr>
          <w:trHeight w:val="314"/>
        </w:trPr>
        <w:tc>
          <w:tcPr>
            <w:tcW w:w="0" w:type="auto"/>
            <w:vAlign w:val="center"/>
          </w:tcPr>
          <w:p w14:paraId="24745236" w14:textId="2FA78582" w:rsidR="00AA7FAD" w:rsidRPr="00B24AA6" w:rsidRDefault="00AA7FAD" w:rsidP="009103D5">
            <w:pPr>
              <w:spacing w:after="0" w:line="240" w:lineRule="auto"/>
              <w:contextualSpacing/>
              <w:jc w:val="both"/>
              <w:rPr>
                <w:rFonts w:cs="Calibri"/>
                <w:lang w:eastAsia="en-GB"/>
              </w:rPr>
            </w:pPr>
            <w:r>
              <w:rPr>
                <w:rFonts w:cs="Calibri"/>
              </w:rPr>
              <w:t>Denmark</w:t>
            </w:r>
          </w:p>
        </w:tc>
        <w:tc>
          <w:tcPr>
            <w:tcW w:w="0" w:type="auto"/>
            <w:vAlign w:val="center"/>
          </w:tcPr>
          <w:p w14:paraId="1D82A069" w14:textId="48B9A671"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375097DD" w14:textId="15330B34" w:rsidR="00AA7FAD" w:rsidRPr="00D20E62" w:rsidRDefault="00AA7FAD" w:rsidP="009103D5">
            <w:pPr>
              <w:spacing w:after="0" w:line="240" w:lineRule="auto"/>
              <w:contextualSpacing/>
              <w:jc w:val="right"/>
              <w:rPr>
                <w:rFonts w:cs="Calibri"/>
                <w:lang w:eastAsia="en-GB"/>
              </w:rPr>
            </w:pPr>
            <w:r>
              <w:rPr>
                <w:rFonts w:cs="Calibri"/>
              </w:rPr>
              <w:t>13.4</w:t>
            </w:r>
          </w:p>
        </w:tc>
      </w:tr>
      <w:tr w:rsidR="00AA7FAD" w:rsidRPr="002A3AAE" w14:paraId="556C6EE9" w14:textId="77777777" w:rsidTr="00AA7FAD">
        <w:trPr>
          <w:trHeight w:val="314"/>
        </w:trPr>
        <w:tc>
          <w:tcPr>
            <w:tcW w:w="0" w:type="auto"/>
            <w:vAlign w:val="center"/>
          </w:tcPr>
          <w:p w14:paraId="630033AF" w14:textId="62418EAC" w:rsidR="00AA7FAD" w:rsidRPr="00B24AA6" w:rsidRDefault="00AA7FAD" w:rsidP="009103D5">
            <w:pPr>
              <w:spacing w:after="0" w:line="240" w:lineRule="auto"/>
              <w:contextualSpacing/>
              <w:jc w:val="both"/>
              <w:rPr>
                <w:rFonts w:cs="Calibri"/>
                <w:lang w:eastAsia="en-GB"/>
              </w:rPr>
            </w:pPr>
            <w:r>
              <w:rPr>
                <w:rFonts w:cs="Calibri"/>
              </w:rPr>
              <w:t>Belgium</w:t>
            </w:r>
          </w:p>
        </w:tc>
        <w:tc>
          <w:tcPr>
            <w:tcW w:w="0" w:type="auto"/>
            <w:vAlign w:val="center"/>
          </w:tcPr>
          <w:p w14:paraId="19CBB803" w14:textId="080B52F3"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375F1319" w14:textId="3579EE6C" w:rsidR="00AA7FAD" w:rsidRPr="00D20E62" w:rsidRDefault="00AA7FAD" w:rsidP="009103D5">
            <w:pPr>
              <w:spacing w:after="0" w:line="240" w:lineRule="auto"/>
              <w:contextualSpacing/>
              <w:jc w:val="right"/>
              <w:rPr>
                <w:rFonts w:cs="Calibri"/>
                <w:lang w:eastAsia="en-GB"/>
              </w:rPr>
            </w:pPr>
            <w:r>
              <w:rPr>
                <w:rFonts w:cs="Calibri"/>
              </w:rPr>
              <w:t>13.8</w:t>
            </w:r>
          </w:p>
        </w:tc>
      </w:tr>
      <w:tr w:rsidR="00AA7FAD" w:rsidRPr="002A3AAE" w14:paraId="3841B99C" w14:textId="77777777" w:rsidTr="00AA7FAD">
        <w:trPr>
          <w:trHeight w:val="314"/>
        </w:trPr>
        <w:tc>
          <w:tcPr>
            <w:tcW w:w="0" w:type="auto"/>
            <w:vAlign w:val="center"/>
          </w:tcPr>
          <w:p w14:paraId="3BE7CFC4" w14:textId="21BC7D47" w:rsidR="00AA7FAD" w:rsidRPr="00B24AA6" w:rsidRDefault="00AA7FAD" w:rsidP="009103D5">
            <w:pPr>
              <w:spacing w:after="0" w:line="240" w:lineRule="auto"/>
              <w:contextualSpacing/>
              <w:jc w:val="both"/>
              <w:rPr>
                <w:rFonts w:cs="Calibri"/>
                <w:lang w:eastAsia="en-GB"/>
              </w:rPr>
            </w:pPr>
            <w:r>
              <w:rPr>
                <w:rFonts w:cs="Calibri"/>
              </w:rPr>
              <w:t>Germany</w:t>
            </w:r>
          </w:p>
        </w:tc>
        <w:tc>
          <w:tcPr>
            <w:tcW w:w="0" w:type="auto"/>
            <w:vAlign w:val="center"/>
          </w:tcPr>
          <w:p w14:paraId="471A53FD" w14:textId="571ED0AD"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5814FD2E" w14:textId="54386C6A" w:rsidR="00AA7FAD" w:rsidRPr="00D20E62" w:rsidRDefault="00AA7FAD" w:rsidP="009103D5">
            <w:pPr>
              <w:spacing w:after="0" w:line="240" w:lineRule="auto"/>
              <w:contextualSpacing/>
              <w:jc w:val="right"/>
              <w:rPr>
                <w:rFonts w:cs="Calibri"/>
                <w:lang w:eastAsia="en-GB"/>
              </w:rPr>
            </w:pPr>
            <w:r>
              <w:rPr>
                <w:rFonts w:cs="Calibri"/>
              </w:rPr>
              <w:t>14.7</w:t>
            </w:r>
          </w:p>
        </w:tc>
      </w:tr>
      <w:tr w:rsidR="00AA7FAD" w:rsidRPr="002A3AAE" w14:paraId="25E293BE" w14:textId="77777777" w:rsidTr="00AA7FAD">
        <w:trPr>
          <w:trHeight w:val="314"/>
        </w:trPr>
        <w:tc>
          <w:tcPr>
            <w:tcW w:w="0" w:type="auto"/>
            <w:vAlign w:val="center"/>
          </w:tcPr>
          <w:p w14:paraId="4C7A5EBA" w14:textId="13A40A1C" w:rsidR="00AA7FAD" w:rsidRPr="00B24AA6" w:rsidRDefault="00AA7FAD" w:rsidP="009103D5">
            <w:pPr>
              <w:spacing w:after="0" w:line="240" w:lineRule="auto"/>
              <w:contextualSpacing/>
              <w:jc w:val="both"/>
              <w:rPr>
                <w:rFonts w:cs="Calibri"/>
                <w:lang w:eastAsia="en-GB"/>
              </w:rPr>
            </w:pPr>
            <w:r>
              <w:rPr>
                <w:rFonts w:cs="Calibri"/>
              </w:rPr>
              <w:t>Portugal</w:t>
            </w:r>
          </w:p>
        </w:tc>
        <w:tc>
          <w:tcPr>
            <w:tcW w:w="0" w:type="auto"/>
            <w:vAlign w:val="center"/>
          </w:tcPr>
          <w:p w14:paraId="0D90E33C" w14:textId="1724815B"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0A6A2A39" w14:textId="6E8347D6" w:rsidR="00AA7FAD" w:rsidRPr="00D20E62" w:rsidRDefault="00AA7FAD" w:rsidP="009103D5">
            <w:pPr>
              <w:spacing w:after="0" w:line="240" w:lineRule="auto"/>
              <w:contextualSpacing/>
              <w:jc w:val="right"/>
              <w:rPr>
                <w:rFonts w:cs="Calibri"/>
                <w:lang w:eastAsia="en-GB"/>
              </w:rPr>
            </w:pPr>
            <w:r>
              <w:rPr>
                <w:rFonts w:cs="Calibri"/>
              </w:rPr>
              <w:t>15.4</w:t>
            </w:r>
          </w:p>
        </w:tc>
      </w:tr>
      <w:tr w:rsidR="00AA7FAD" w:rsidRPr="002A3AAE" w14:paraId="772D7FC3" w14:textId="77777777" w:rsidTr="00AA7FAD">
        <w:trPr>
          <w:trHeight w:val="314"/>
        </w:trPr>
        <w:tc>
          <w:tcPr>
            <w:tcW w:w="0" w:type="auto"/>
            <w:vAlign w:val="center"/>
          </w:tcPr>
          <w:p w14:paraId="004A9AFF" w14:textId="3D67DD65" w:rsidR="00AA7FAD" w:rsidRPr="00B24AA6" w:rsidRDefault="00AA7FAD" w:rsidP="009103D5">
            <w:pPr>
              <w:spacing w:after="0" w:line="240" w:lineRule="auto"/>
              <w:contextualSpacing/>
              <w:jc w:val="both"/>
              <w:rPr>
                <w:rFonts w:cs="Calibri"/>
                <w:lang w:eastAsia="en-GB"/>
              </w:rPr>
            </w:pPr>
            <w:r>
              <w:rPr>
                <w:rFonts w:cs="Calibri"/>
              </w:rPr>
              <w:t>Poland</w:t>
            </w:r>
          </w:p>
        </w:tc>
        <w:tc>
          <w:tcPr>
            <w:tcW w:w="0" w:type="auto"/>
            <w:vAlign w:val="center"/>
          </w:tcPr>
          <w:p w14:paraId="4928DA3D" w14:textId="54A540E2"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3F493971" w14:textId="62B70C18" w:rsidR="00AA7FAD" w:rsidRPr="00D20E62" w:rsidRDefault="00AA7FAD" w:rsidP="009103D5">
            <w:pPr>
              <w:spacing w:after="0" w:line="240" w:lineRule="auto"/>
              <w:contextualSpacing/>
              <w:jc w:val="right"/>
              <w:rPr>
                <w:rFonts w:cs="Calibri"/>
                <w:lang w:eastAsia="en-GB"/>
              </w:rPr>
            </w:pPr>
            <w:r>
              <w:rPr>
                <w:rFonts w:cs="Calibri"/>
              </w:rPr>
              <w:t>15.8</w:t>
            </w:r>
          </w:p>
        </w:tc>
      </w:tr>
      <w:tr w:rsidR="00AA7FAD" w:rsidRPr="002A3AAE" w14:paraId="5C9A43F4" w14:textId="77777777" w:rsidTr="00AA7FAD">
        <w:trPr>
          <w:trHeight w:val="314"/>
        </w:trPr>
        <w:tc>
          <w:tcPr>
            <w:tcW w:w="0" w:type="auto"/>
            <w:vAlign w:val="center"/>
          </w:tcPr>
          <w:p w14:paraId="278B4245" w14:textId="295A4CE7" w:rsidR="00AA7FAD" w:rsidRPr="00AA7FAD" w:rsidRDefault="00AA7FAD" w:rsidP="009103D5">
            <w:pPr>
              <w:spacing w:after="0" w:line="240" w:lineRule="auto"/>
              <w:contextualSpacing/>
              <w:jc w:val="both"/>
              <w:rPr>
                <w:rFonts w:cs="Calibri"/>
                <w:lang w:eastAsia="en-GB"/>
              </w:rPr>
            </w:pPr>
            <w:r w:rsidRPr="00AA7FAD">
              <w:rPr>
                <w:rFonts w:ascii="Arial" w:hAnsi="Arial" w:cs="Arial"/>
                <w:sz w:val="20"/>
                <w:szCs w:val="20"/>
              </w:rPr>
              <w:t>Israel</w:t>
            </w:r>
          </w:p>
        </w:tc>
        <w:tc>
          <w:tcPr>
            <w:tcW w:w="0" w:type="auto"/>
            <w:vAlign w:val="center"/>
          </w:tcPr>
          <w:p w14:paraId="247A103C" w14:textId="7E566AAE"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79CD85FD" w14:textId="5447A1DA" w:rsidR="00AA7FAD" w:rsidRPr="00D20E62" w:rsidRDefault="00AA7FAD" w:rsidP="009103D5">
            <w:pPr>
              <w:spacing w:after="0" w:line="240" w:lineRule="auto"/>
              <w:contextualSpacing/>
              <w:jc w:val="right"/>
              <w:rPr>
                <w:rFonts w:cs="Calibri"/>
                <w:lang w:eastAsia="en-GB"/>
              </w:rPr>
            </w:pPr>
            <w:r>
              <w:rPr>
                <w:rFonts w:cs="Calibri"/>
              </w:rPr>
              <w:t>16</w:t>
            </w:r>
          </w:p>
        </w:tc>
      </w:tr>
      <w:tr w:rsidR="00AA7FAD" w:rsidRPr="002A3AAE" w14:paraId="0396D21F" w14:textId="77777777" w:rsidTr="00AA7FAD">
        <w:trPr>
          <w:trHeight w:val="314"/>
        </w:trPr>
        <w:tc>
          <w:tcPr>
            <w:tcW w:w="0" w:type="auto"/>
            <w:vAlign w:val="center"/>
          </w:tcPr>
          <w:p w14:paraId="252DCA06" w14:textId="5B18FFC9" w:rsidR="00AA7FAD" w:rsidRPr="00603786" w:rsidRDefault="00AA7FAD" w:rsidP="009103D5">
            <w:pPr>
              <w:spacing w:after="0" w:line="240" w:lineRule="auto"/>
              <w:contextualSpacing/>
              <w:jc w:val="both"/>
              <w:rPr>
                <w:rFonts w:cs="Calibri"/>
                <w:lang w:eastAsia="en-GB"/>
              </w:rPr>
            </w:pPr>
            <w:r>
              <w:rPr>
                <w:rFonts w:cs="Calibri"/>
              </w:rPr>
              <w:t>Spain</w:t>
            </w:r>
          </w:p>
        </w:tc>
        <w:tc>
          <w:tcPr>
            <w:tcW w:w="0" w:type="auto"/>
            <w:vAlign w:val="center"/>
          </w:tcPr>
          <w:p w14:paraId="68AC0E9C" w14:textId="6919A8D2"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2BB96CFC" w14:textId="186E6239" w:rsidR="00AA7FAD" w:rsidRPr="00D20E62" w:rsidRDefault="00AA7FAD" w:rsidP="009103D5">
            <w:pPr>
              <w:spacing w:after="0" w:line="240" w:lineRule="auto"/>
              <w:contextualSpacing/>
              <w:jc w:val="right"/>
              <w:rPr>
                <w:rFonts w:cs="Calibri"/>
                <w:lang w:eastAsia="en-GB"/>
              </w:rPr>
            </w:pPr>
            <w:r>
              <w:rPr>
                <w:rFonts w:cs="Calibri"/>
              </w:rPr>
              <w:t>16</w:t>
            </w:r>
          </w:p>
        </w:tc>
      </w:tr>
      <w:tr w:rsidR="00AA7FAD" w:rsidRPr="002A3AAE" w14:paraId="62E102BA" w14:textId="77777777" w:rsidTr="00AA7FAD">
        <w:trPr>
          <w:trHeight w:val="314"/>
        </w:trPr>
        <w:tc>
          <w:tcPr>
            <w:tcW w:w="0" w:type="auto"/>
            <w:vAlign w:val="center"/>
          </w:tcPr>
          <w:p w14:paraId="4C07A92E" w14:textId="5DBAE7B1" w:rsidR="00AA7FAD" w:rsidRPr="00B24AA6" w:rsidRDefault="00AA7FAD" w:rsidP="009103D5">
            <w:pPr>
              <w:spacing w:after="0" w:line="240" w:lineRule="auto"/>
              <w:contextualSpacing/>
              <w:jc w:val="both"/>
              <w:rPr>
                <w:rFonts w:cs="Calibri"/>
                <w:lang w:eastAsia="en-GB"/>
              </w:rPr>
            </w:pPr>
            <w:r>
              <w:rPr>
                <w:rFonts w:cs="Calibri"/>
              </w:rPr>
              <w:t>Slovenia</w:t>
            </w:r>
          </w:p>
        </w:tc>
        <w:tc>
          <w:tcPr>
            <w:tcW w:w="0" w:type="auto"/>
            <w:vAlign w:val="center"/>
          </w:tcPr>
          <w:p w14:paraId="5CF23335" w14:textId="665759F9"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52A36EDD" w14:textId="40239C25" w:rsidR="00AA7FAD" w:rsidRPr="00D20E62" w:rsidRDefault="00AA7FAD" w:rsidP="009103D5">
            <w:pPr>
              <w:spacing w:after="0" w:line="240" w:lineRule="auto"/>
              <w:contextualSpacing/>
              <w:jc w:val="right"/>
              <w:rPr>
                <w:rFonts w:cs="Calibri"/>
                <w:lang w:eastAsia="en-GB"/>
              </w:rPr>
            </w:pPr>
            <w:r>
              <w:rPr>
                <w:rFonts w:cs="Calibri"/>
              </w:rPr>
              <w:t>16.4</w:t>
            </w:r>
          </w:p>
        </w:tc>
      </w:tr>
      <w:tr w:rsidR="00AA7FAD" w:rsidRPr="002A3AAE" w14:paraId="4C8CF14C" w14:textId="77777777" w:rsidTr="00AA7FAD">
        <w:trPr>
          <w:trHeight w:val="314"/>
        </w:trPr>
        <w:tc>
          <w:tcPr>
            <w:tcW w:w="0" w:type="auto"/>
            <w:vAlign w:val="center"/>
          </w:tcPr>
          <w:p w14:paraId="6D328FBB" w14:textId="312A067E" w:rsidR="00AA7FAD" w:rsidRPr="00B24AA6" w:rsidRDefault="00AA7FAD" w:rsidP="009103D5">
            <w:pPr>
              <w:spacing w:after="0" w:line="240" w:lineRule="auto"/>
              <w:contextualSpacing/>
              <w:jc w:val="both"/>
              <w:rPr>
                <w:rFonts w:cs="Calibri"/>
                <w:lang w:eastAsia="en-GB"/>
              </w:rPr>
            </w:pPr>
            <w:r>
              <w:rPr>
                <w:rFonts w:cs="Calibri"/>
              </w:rPr>
              <w:t>Estonia</w:t>
            </w:r>
          </w:p>
        </w:tc>
        <w:tc>
          <w:tcPr>
            <w:tcW w:w="0" w:type="auto"/>
            <w:vAlign w:val="center"/>
          </w:tcPr>
          <w:p w14:paraId="47C0E3EE" w14:textId="3447DB74"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4DF509FC" w14:textId="43BAB626" w:rsidR="00AA7FAD" w:rsidRPr="00D20E62" w:rsidRDefault="00AA7FAD" w:rsidP="009103D5">
            <w:pPr>
              <w:spacing w:after="0" w:line="240" w:lineRule="auto"/>
              <w:contextualSpacing/>
              <w:jc w:val="right"/>
              <w:rPr>
                <w:rFonts w:cs="Calibri"/>
                <w:lang w:eastAsia="en-GB"/>
              </w:rPr>
            </w:pPr>
            <w:r>
              <w:rPr>
                <w:rFonts w:cs="Calibri"/>
              </w:rPr>
              <w:t>16.9</w:t>
            </w:r>
          </w:p>
        </w:tc>
      </w:tr>
      <w:tr w:rsidR="00AA7FAD" w:rsidRPr="002A3AAE" w14:paraId="3B5660F5" w14:textId="77777777" w:rsidTr="00AA7FAD">
        <w:trPr>
          <w:trHeight w:val="314"/>
        </w:trPr>
        <w:tc>
          <w:tcPr>
            <w:tcW w:w="0" w:type="auto"/>
            <w:vAlign w:val="center"/>
          </w:tcPr>
          <w:p w14:paraId="5611C7E6" w14:textId="6CEAB4CE" w:rsidR="00AA7FAD" w:rsidRPr="00B24AA6" w:rsidRDefault="00AA7FAD" w:rsidP="009103D5">
            <w:pPr>
              <w:spacing w:after="0" w:line="240" w:lineRule="auto"/>
              <w:contextualSpacing/>
              <w:jc w:val="both"/>
              <w:rPr>
                <w:rFonts w:cs="Calibri"/>
                <w:lang w:eastAsia="en-GB"/>
              </w:rPr>
            </w:pPr>
            <w:r>
              <w:rPr>
                <w:rFonts w:cs="Calibri"/>
              </w:rPr>
              <w:t>Slovak Republic</w:t>
            </w:r>
          </w:p>
        </w:tc>
        <w:tc>
          <w:tcPr>
            <w:tcW w:w="0" w:type="auto"/>
            <w:vAlign w:val="center"/>
          </w:tcPr>
          <w:p w14:paraId="032EB3DA" w14:textId="03273D59" w:rsidR="00AA7FAD" w:rsidRPr="00D20E62" w:rsidRDefault="00AA7FAD" w:rsidP="009103D5">
            <w:pPr>
              <w:spacing w:after="0" w:line="240" w:lineRule="auto"/>
              <w:contextualSpacing/>
              <w:jc w:val="right"/>
              <w:rPr>
                <w:rFonts w:cs="Calibri"/>
                <w:lang w:eastAsia="en-GB"/>
              </w:rPr>
            </w:pPr>
            <w:r>
              <w:rPr>
                <w:rFonts w:cs="Calibri"/>
              </w:rPr>
              <w:t>16.9</w:t>
            </w:r>
          </w:p>
        </w:tc>
        <w:tc>
          <w:tcPr>
            <w:tcW w:w="0" w:type="auto"/>
            <w:vAlign w:val="center"/>
          </w:tcPr>
          <w:p w14:paraId="31B657E3" w14:textId="13693236" w:rsidR="00AA7FAD" w:rsidRPr="00D20E62" w:rsidRDefault="00AA7FAD" w:rsidP="009103D5">
            <w:pPr>
              <w:spacing w:after="0" w:line="240" w:lineRule="auto"/>
              <w:contextualSpacing/>
              <w:jc w:val="right"/>
              <w:rPr>
                <w:rFonts w:cs="Calibri"/>
                <w:lang w:eastAsia="en-GB"/>
              </w:rPr>
            </w:pPr>
            <w:r>
              <w:rPr>
                <w:rFonts w:cs="Calibri"/>
              </w:rPr>
              <w:t>15.1</w:t>
            </w:r>
          </w:p>
        </w:tc>
      </w:tr>
      <w:tr w:rsidR="00AA7FAD" w:rsidRPr="002A3AAE" w14:paraId="07D15C94" w14:textId="77777777" w:rsidTr="00AA7FAD">
        <w:trPr>
          <w:trHeight w:val="314"/>
        </w:trPr>
        <w:tc>
          <w:tcPr>
            <w:tcW w:w="0" w:type="auto"/>
            <w:vAlign w:val="center"/>
          </w:tcPr>
          <w:p w14:paraId="7BD2580A" w14:textId="45B801E8" w:rsidR="00AA7FAD" w:rsidRPr="00B24AA6" w:rsidRDefault="00AA7FAD" w:rsidP="009103D5">
            <w:pPr>
              <w:spacing w:after="0" w:line="240" w:lineRule="auto"/>
              <w:contextualSpacing/>
              <w:jc w:val="both"/>
              <w:rPr>
                <w:rFonts w:cs="Calibri"/>
                <w:lang w:eastAsia="en-GB"/>
              </w:rPr>
            </w:pPr>
            <w:r>
              <w:rPr>
                <w:rFonts w:cs="Calibri"/>
              </w:rPr>
              <w:t>Turkey</w:t>
            </w:r>
          </w:p>
        </w:tc>
        <w:tc>
          <w:tcPr>
            <w:tcW w:w="0" w:type="auto"/>
            <w:vAlign w:val="center"/>
          </w:tcPr>
          <w:p w14:paraId="4F886AF2" w14:textId="3F2E0C47"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3F7BB4BC" w14:textId="6499E851" w:rsidR="00AA7FAD" w:rsidRPr="00D20E62" w:rsidRDefault="00AA7FAD" w:rsidP="009103D5">
            <w:pPr>
              <w:spacing w:after="0" w:line="240" w:lineRule="auto"/>
              <w:contextualSpacing/>
              <w:jc w:val="right"/>
              <w:rPr>
                <w:rFonts w:cs="Calibri"/>
                <w:lang w:eastAsia="en-GB"/>
              </w:rPr>
            </w:pPr>
            <w:r>
              <w:rPr>
                <w:rFonts w:cs="Calibri"/>
              </w:rPr>
              <w:t>16.9</w:t>
            </w:r>
          </w:p>
        </w:tc>
      </w:tr>
      <w:tr w:rsidR="00AA7FAD" w:rsidRPr="002A3AAE" w14:paraId="3227C48F" w14:textId="77777777" w:rsidTr="00AA7FAD">
        <w:trPr>
          <w:trHeight w:val="314"/>
        </w:trPr>
        <w:tc>
          <w:tcPr>
            <w:tcW w:w="0" w:type="auto"/>
            <w:vAlign w:val="center"/>
          </w:tcPr>
          <w:p w14:paraId="05D949CC" w14:textId="7F72542C" w:rsidR="00AA7FAD" w:rsidRPr="00B24AA6" w:rsidRDefault="00AA7FAD" w:rsidP="009103D5">
            <w:pPr>
              <w:spacing w:after="0" w:line="240" w:lineRule="auto"/>
              <w:contextualSpacing/>
              <w:jc w:val="both"/>
              <w:rPr>
                <w:rFonts w:cs="Calibri"/>
                <w:lang w:eastAsia="en-GB"/>
              </w:rPr>
            </w:pPr>
            <w:r>
              <w:rPr>
                <w:rFonts w:cs="Calibri"/>
              </w:rPr>
              <w:t>Greece</w:t>
            </w:r>
          </w:p>
        </w:tc>
        <w:tc>
          <w:tcPr>
            <w:tcW w:w="0" w:type="auto"/>
            <w:vAlign w:val="center"/>
          </w:tcPr>
          <w:p w14:paraId="7BF0DB24" w14:textId="601419A3"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6213F195" w14:textId="7E287394" w:rsidR="00AA7FAD" w:rsidRPr="00D20E62" w:rsidRDefault="00AA7FAD" w:rsidP="009103D5">
            <w:pPr>
              <w:spacing w:after="0" w:line="240" w:lineRule="auto"/>
              <w:contextualSpacing/>
              <w:jc w:val="right"/>
              <w:rPr>
                <w:rFonts w:cs="Calibri"/>
                <w:lang w:eastAsia="en-GB"/>
              </w:rPr>
            </w:pPr>
            <w:r>
              <w:rPr>
                <w:rFonts w:cs="Calibri"/>
              </w:rPr>
              <w:t>17.3</w:t>
            </w:r>
          </w:p>
        </w:tc>
      </w:tr>
      <w:tr w:rsidR="00AA7FAD" w:rsidRPr="002A3AAE" w14:paraId="7A696A65" w14:textId="77777777" w:rsidTr="00AA7FAD">
        <w:trPr>
          <w:trHeight w:val="314"/>
        </w:trPr>
        <w:tc>
          <w:tcPr>
            <w:tcW w:w="0" w:type="auto"/>
            <w:vAlign w:val="center"/>
          </w:tcPr>
          <w:p w14:paraId="3AAC7D36" w14:textId="70E6EE26" w:rsidR="00AA7FAD" w:rsidRPr="00B24AA6" w:rsidRDefault="00AA7FAD" w:rsidP="009103D5">
            <w:pPr>
              <w:spacing w:after="0" w:line="240" w:lineRule="auto"/>
              <w:contextualSpacing/>
              <w:jc w:val="both"/>
              <w:rPr>
                <w:rFonts w:cs="Calibri"/>
                <w:lang w:eastAsia="en-GB"/>
              </w:rPr>
            </w:pPr>
            <w:r>
              <w:rPr>
                <w:rFonts w:cs="Calibri"/>
              </w:rPr>
              <w:t>Finland</w:t>
            </w:r>
          </w:p>
        </w:tc>
        <w:tc>
          <w:tcPr>
            <w:tcW w:w="0" w:type="auto"/>
            <w:vAlign w:val="center"/>
          </w:tcPr>
          <w:p w14:paraId="064C639A" w14:textId="664B0B88" w:rsidR="00AA7FAD" w:rsidRPr="00D20E62" w:rsidRDefault="00AA7FAD" w:rsidP="009103D5">
            <w:pPr>
              <w:spacing w:after="0" w:line="240" w:lineRule="auto"/>
              <w:contextualSpacing/>
              <w:jc w:val="right"/>
              <w:rPr>
                <w:rFonts w:cs="Calibri"/>
                <w:lang w:eastAsia="en-GB"/>
              </w:rPr>
            </w:pPr>
            <w:r>
              <w:rPr>
                <w:rFonts w:cs="Calibri"/>
              </w:rPr>
              <w:t>20.2</w:t>
            </w:r>
          </w:p>
        </w:tc>
        <w:tc>
          <w:tcPr>
            <w:tcW w:w="0" w:type="auto"/>
            <w:vAlign w:val="center"/>
          </w:tcPr>
          <w:p w14:paraId="3B95BC66" w14:textId="6806579D" w:rsidR="00AA7FAD" w:rsidRPr="00D20E62" w:rsidRDefault="00AA7FAD" w:rsidP="009103D5">
            <w:pPr>
              <w:spacing w:after="0" w:line="240" w:lineRule="auto"/>
              <w:contextualSpacing/>
              <w:jc w:val="right"/>
              <w:rPr>
                <w:rFonts w:cs="Calibri"/>
                <w:lang w:eastAsia="en-GB"/>
              </w:rPr>
            </w:pPr>
            <w:r>
              <w:rPr>
                <w:rFonts w:cs="Calibri"/>
              </w:rPr>
              <w:t>15.6</w:t>
            </w:r>
          </w:p>
        </w:tc>
      </w:tr>
      <w:tr w:rsidR="00AA7FAD" w:rsidRPr="002A3AAE" w14:paraId="35738084" w14:textId="77777777" w:rsidTr="00AA7FAD">
        <w:trPr>
          <w:trHeight w:val="314"/>
        </w:trPr>
        <w:tc>
          <w:tcPr>
            <w:tcW w:w="0" w:type="auto"/>
            <w:vAlign w:val="center"/>
          </w:tcPr>
          <w:p w14:paraId="3923A0A0" w14:textId="3E956651" w:rsidR="00AA7FAD" w:rsidRPr="00B24AA6" w:rsidRDefault="00AA7FAD" w:rsidP="009103D5">
            <w:pPr>
              <w:spacing w:after="0" w:line="240" w:lineRule="auto"/>
              <w:contextualSpacing/>
              <w:jc w:val="both"/>
              <w:rPr>
                <w:rFonts w:cs="Calibri"/>
                <w:lang w:eastAsia="en-GB"/>
              </w:rPr>
            </w:pPr>
            <w:r>
              <w:rPr>
                <w:rFonts w:cs="Calibri"/>
              </w:rPr>
              <w:t>Czech Republic</w:t>
            </w:r>
          </w:p>
        </w:tc>
        <w:tc>
          <w:tcPr>
            <w:tcW w:w="0" w:type="auto"/>
            <w:vAlign w:val="center"/>
          </w:tcPr>
          <w:p w14:paraId="26D5DE3D" w14:textId="0482FDC8" w:rsidR="00AA7FAD" w:rsidRPr="00D20E62" w:rsidRDefault="00AA7FAD" w:rsidP="009103D5">
            <w:pPr>
              <w:spacing w:after="0" w:line="240" w:lineRule="auto"/>
              <w:contextualSpacing/>
              <w:jc w:val="right"/>
              <w:rPr>
                <w:rFonts w:cs="Calibri"/>
                <w:lang w:eastAsia="en-GB"/>
              </w:rPr>
            </w:pPr>
            <w:r>
              <w:rPr>
                <w:rFonts w:cs="Calibri"/>
              </w:rPr>
              <w:t>21</w:t>
            </w:r>
          </w:p>
        </w:tc>
        <w:tc>
          <w:tcPr>
            <w:tcW w:w="0" w:type="auto"/>
            <w:vAlign w:val="center"/>
          </w:tcPr>
          <w:p w14:paraId="75BB81E7" w14:textId="304E98A8" w:rsidR="00AA7FAD" w:rsidRPr="00D20E62" w:rsidRDefault="00AA7FAD" w:rsidP="009103D5">
            <w:pPr>
              <w:spacing w:after="0" w:line="240" w:lineRule="auto"/>
              <w:contextualSpacing/>
              <w:jc w:val="right"/>
              <w:rPr>
                <w:rFonts w:cs="Calibri"/>
                <w:lang w:eastAsia="en-GB"/>
              </w:rPr>
            </w:pPr>
            <w:r>
              <w:rPr>
                <w:rFonts w:cs="Calibri"/>
              </w:rPr>
              <w:t>17.4</w:t>
            </w:r>
          </w:p>
        </w:tc>
      </w:tr>
      <w:tr w:rsidR="00AA7FAD" w:rsidRPr="002A3AAE" w14:paraId="760E2EC6" w14:textId="77777777" w:rsidTr="00AA7FAD">
        <w:trPr>
          <w:trHeight w:val="314"/>
        </w:trPr>
        <w:tc>
          <w:tcPr>
            <w:tcW w:w="0" w:type="auto"/>
            <w:vAlign w:val="center"/>
          </w:tcPr>
          <w:p w14:paraId="2B161CB3" w14:textId="524324F2" w:rsidR="00AA7FAD" w:rsidRPr="00B24AA6" w:rsidRDefault="00AA7FAD" w:rsidP="009103D5">
            <w:pPr>
              <w:spacing w:after="0" w:line="240" w:lineRule="auto"/>
              <w:contextualSpacing/>
              <w:jc w:val="both"/>
              <w:rPr>
                <w:rFonts w:cs="Calibri"/>
                <w:lang w:eastAsia="en-GB"/>
              </w:rPr>
            </w:pPr>
            <w:r>
              <w:rPr>
                <w:rFonts w:cs="Calibri"/>
              </w:rPr>
              <w:t>Iceland</w:t>
            </w:r>
          </w:p>
        </w:tc>
        <w:tc>
          <w:tcPr>
            <w:tcW w:w="0" w:type="auto"/>
            <w:vAlign w:val="center"/>
          </w:tcPr>
          <w:p w14:paraId="0A57C337" w14:textId="74ED2F6D" w:rsidR="00AA7FAD" w:rsidRPr="00D20E62" w:rsidRDefault="00AA7FAD" w:rsidP="009103D5">
            <w:pPr>
              <w:spacing w:after="0" w:line="240" w:lineRule="auto"/>
              <w:contextualSpacing/>
              <w:jc w:val="right"/>
              <w:rPr>
                <w:rFonts w:cs="Calibri"/>
                <w:lang w:eastAsia="en-GB"/>
              </w:rPr>
            </w:pPr>
            <w:r>
              <w:rPr>
                <w:rFonts w:cs="Calibri"/>
              </w:rPr>
              <w:t>..</w:t>
            </w:r>
          </w:p>
        </w:tc>
        <w:tc>
          <w:tcPr>
            <w:tcW w:w="0" w:type="auto"/>
            <w:vAlign w:val="center"/>
          </w:tcPr>
          <w:p w14:paraId="63E8D3B2" w14:textId="4A416ECB" w:rsidR="00AA7FAD" w:rsidRPr="00D20E62" w:rsidRDefault="00AA7FAD" w:rsidP="009103D5">
            <w:pPr>
              <w:spacing w:after="0" w:line="240" w:lineRule="auto"/>
              <w:contextualSpacing/>
              <w:jc w:val="right"/>
              <w:rPr>
                <w:rFonts w:cs="Calibri"/>
                <w:lang w:eastAsia="en-GB"/>
              </w:rPr>
            </w:pPr>
            <w:r>
              <w:rPr>
                <w:rFonts w:cs="Calibri"/>
              </w:rPr>
              <w:t>21</w:t>
            </w:r>
          </w:p>
        </w:tc>
      </w:tr>
      <w:tr w:rsidR="00AA7FAD" w:rsidRPr="002A3AAE" w14:paraId="1DCB132E" w14:textId="77777777" w:rsidTr="00AA7FAD">
        <w:trPr>
          <w:trHeight w:val="314"/>
        </w:trPr>
        <w:tc>
          <w:tcPr>
            <w:tcW w:w="0" w:type="auto"/>
            <w:vAlign w:val="center"/>
          </w:tcPr>
          <w:p w14:paraId="19255D57" w14:textId="4B4447DF" w:rsidR="00AA7FAD" w:rsidRPr="00B24AA6" w:rsidRDefault="00AA7FAD" w:rsidP="009103D5">
            <w:pPr>
              <w:spacing w:after="0" w:line="240" w:lineRule="auto"/>
              <w:contextualSpacing/>
              <w:jc w:val="both"/>
              <w:rPr>
                <w:rFonts w:cs="Calibri"/>
                <w:lang w:eastAsia="en-GB"/>
              </w:rPr>
            </w:pPr>
            <w:r>
              <w:rPr>
                <w:rFonts w:cs="Calibri"/>
              </w:rPr>
              <w:t>Luxembourg</w:t>
            </w:r>
          </w:p>
        </w:tc>
        <w:tc>
          <w:tcPr>
            <w:tcW w:w="0" w:type="auto"/>
            <w:vAlign w:val="center"/>
          </w:tcPr>
          <w:p w14:paraId="497A8C60" w14:textId="158625F5" w:rsidR="00AA7FAD" w:rsidRPr="00D20E62" w:rsidRDefault="00AA7FAD" w:rsidP="009103D5">
            <w:pPr>
              <w:spacing w:after="0" w:line="240" w:lineRule="auto"/>
              <w:contextualSpacing/>
              <w:jc w:val="right"/>
              <w:rPr>
                <w:rFonts w:cs="Calibri"/>
                <w:lang w:eastAsia="en-GB"/>
              </w:rPr>
            </w:pPr>
            <w:r>
              <w:rPr>
                <w:rFonts w:cs="Calibri"/>
              </w:rPr>
              <w:t>22.5</w:t>
            </w:r>
          </w:p>
        </w:tc>
        <w:tc>
          <w:tcPr>
            <w:tcW w:w="0" w:type="auto"/>
            <w:vAlign w:val="center"/>
          </w:tcPr>
          <w:p w14:paraId="7D681A6F" w14:textId="566AE9B7" w:rsidR="00AA7FAD" w:rsidRPr="00D20E62" w:rsidRDefault="00AA7FAD" w:rsidP="009103D5">
            <w:pPr>
              <w:spacing w:after="0" w:line="240" w:lineRule="auto"/>
              <w:contextualSpacing/>
              <w:jc w:val="right"/>
              <w:rPr>
                <w:rFonts w:cs="Calibri"/>
                <w:lang w:eastAsia="en-GB"/>
              </w:rPr>
            </w:pPr>
            <w:r>
              <w:rPr>
                <w:rFonts w:cs="Calibri"/>
              </w:rPr>
              <w:t>..</w:t>
            </w:r>
          </w:p>
        </w:tc>
      </w:tr>
      <w:tr w:rsidR="00AA7FAD" w:rsidRPr="002A3AAE" w14:paraId="30BF8D7A" w14:textId="77777777" w:rsidTr="00AA7FAD">
        <w:trPr>
          <w:trHeight w:val="314"/>
        </w:trPr>
        <w:tc>
          <w:tcPr>
            <w:tcW w:w="0" w:type="auto"/>
            <w:vAlign w:val="center"/>
          </w:tcPr>
          <w:p w14:paraId="12AB931F" w14:textId="5E94F6C8" w:rsidR="00AA7FAD" w:rsidRPr="00B24AA6" w:rsidRDefault="00AA7FAD" w:rsidP="009103D5">
            <w:pPr>
              <w:spacing w:after="0" w:line="240" w:lineRule="auto"/>
              <w:contextualSpacing/>
              <w:jc w:val="both"/>
              <w:rPr>
                <w:rFonts w:cs="Calibri"/>
                <w:lang w:eastAsia="en-GB"/>
              </w:rPr>
            </w:pPr>
            <w:r>
              <w:rPr>
                <w:rFonts w:cs="Calibri"/>
              </w:rPr>
              <w:t>Ireland</w:t>
            </w:r>
          </w:p>
        </w:tc>
        <w:tc>
          <w:tcPr>
            <w:tcW w:w="0" w:type="auto"/>
            <w:vAlign w:val="center"/>
          </w:tcPr>
          <w:p w14:paraId="5B37C3B5" w14:textId="13CC46AD" w:rsidR="00AA7FAD" w:rsidRPr="00D20E62" w:rsidRDefault="00AA7FAD" w:rsidP="009103D5">
            <w:pPr>
              <w:spacing w:after="0" w:line="240" w:lineRule="auto"/>
              <w:contextualSpacing/>
              <w:jc w:val="right"/>
              <w:rPr>
                <w:rFonts w:cs="Calibri"/>
                <w:lang w:eastAsia="en-GB"/>
              </w:rPr>
            </w:pPr>
            <w:r>
              <w:rPr>
                <w:rFonts w:cs="Calibri"/>
              </w:rPr>
              <w:t>23</w:t>
            </w:r>
          </w:p>
        </w:tc>
        <w:tc>
          <w:tcPr>
            <w:tcW w:w="0" w:type="auto"/>
            <w:vAlign w:val="center"/>
          </w:tcPr>
          <w:p w14:paraId="055BE07B" w14:textId="1EC02388" w:rsidR="00AA7FAD" w:rsidRPr="00D20E62" w:rsidRDefault="00AA7FAD" w:rsidP="009103D5">
            <w:pPr>
              <w:spacing w:after="0" w:line="240" w:lineRule="auto"/>
              <w:contextualSpacing/>
              <w:jc w:val="right"/>
              <w:rPr>
                <w:rFonts w:cs="Calibri"/>
                <w:lang w:eastAsia="en-GB"/>
              </w:rPr>
            </w:pPr>
            <w:r>
              <w:rPr>
                <w:rFonts w:cs="Calibri"/>
              </w:rPr>
              <w:t>15</w:t>
            </w:r>
          </w:p>
        </w:tc>
      </w:tr>
      <w:tr w:rsidR="00AA7FAD" w:rsidRPr="002A3AAE" w14:paraId="148B19F7" w14:textId="77777777" w:rsidTr="00AA7FAD">
        <w:trPr>
          <w:trHeight w:val="314"/>
        </w:trPr>
        <w:tc>
          <w:tcPr>
            <w:tcW w:w="0" w:type="auto"/>
            <w:vAlign w:val="center"/>
          </w:tcPr>
          <w:p w14:paraId="3FA33D0A" w14:textId="52E4049A" w:rsidR="00AA7FAD" w:rsidRPr="00B24AA6" w:rsidRDefault="00AA7FAD" w:rsidP="009103D5">
            <w:pPr>
              <w:spacing w:after="0" w:line="240" w:lineRule="auto"/>
              <w:contextualSpacing/>
              <w:jc w:val="both"/>
              <w:rPr>
                <w:rFonts w:cs="Calibri"/>
                <w:lang w:eastAsia="en-GB"/>
              </w:rPr>
            </w:pPr>
            <w:r>
              <w:rPr>
                <w:rFonts w:cs="Calibri"/>
              </w:rPr>
              <w:t>Canada</w:t>
            </w:r>
          </w:p>
        </w:tc>
        <w:tc>
          <w:tcPr>
            <w:tcW w:w="0" w:type="auto"/>
            <w:vAlign w:val="center"/>
          </w:tcPr>
          <w:p w14:paraId="7469798D" w14:textId="10917AF7" w:rsidR="00AA7FAD" w:rsidRPr="00D20E62" w:rsidRDefault="00AA7FAD" w:rsidP="009103D5">
            <w:pPr>
              <w:spacing w:after="0" w:line="240" w:lineRule="auto"/>
              <w:contextualSpacing/>
              <w:jc w:val="right"/>
              <w:rPr>
                <w:rFonts w:cs="Calibri"/>
                <w:lang w:eastAsia="en-GB"/>
              </w:rPr>
            </w:pPr>
            <w:r>
              <w:rPr>
                <w:rFonts w:cs="Calibri"/>
              </w:rPr>
              <w:t>24.2</w:t>
            </w:r>
          </w:p>
        </w:tc>
        <w:tc>
          <w:tcPr>
            <w:tcW w:w="0" w:type="auto"/>
            <w:vAlign w:val="center"/>
          </w:tcPr>
          <w:p w14:paraId="0D691D06" w14:textId="3827023D" w:rsidR="00AA7FAD" w:rsidRPr="00D20E62" w:rsidRDefault="00AA7FAD" w:rsidP="009103D5">
            <w:pPr>
              <w:spacing w:after="0" w:line="240" w:lineRule="auto"/>
              <w:contextualSpacing/>
              <w:jc w:val="right"/>
              <w:rPr>
                <w:rFonts w:cs="Calibri"/>
                <w:lang w:eastAsia="en-GB"/>
              </w:rPr>
            </w:pPr>
            <w:r>
              <w:rPr>
                <w:rFonts w:cs="Calibri"/>
              </w:rPr>
              <w:t>17.5</w:t>
            </w:r>
          </w:p>
        </w:tc>
      </w:tr>
      <w:tr w:rsidR="00AA7FAD" w:rsidRPr="002A3AAE" w14:paraId="48FB9B0D" w14:textId="77777777" w:rsidTr="00AA7FAD">
        <w:trPr>
          <w:trHeight w:val="314"/>
        </w:trPr>
        <w:tc>
          <w:tcPr>
            <w:tcW w:w="0" w:type="auto"/>
            <w:vAlign w:val="center"/>
          </w:tcPr>
          <w:p w14:paraId="376FE7B5" w14:textId="163D70A9" w:rsidR="00AA7FAD" w:rsidRPr="00B24AA6" w:rsidRDefault="00AA7FAD" w:rsidP="009103D5">
            <w:pPr>
              <w:spacing w:after="0" w:line="240" w:lineRule="auto"/>
              <w:contextualSpacing/>
              <w:jc w:val="both"/>
              <w:rPr>
                <w:rFonts w:cs="Calibri"/>
                <w:lang w:eastAsia="en-GB"/>
              </w:rPr>
            </w:pPr>
            <w:r>
              <w:rPr>
                <w:rFonts w:cs="Calibri"/>
              </w:rPr>
              <w:t>Australia</w:t>
            </w:r>
          </w:p>
        </w:tc>
        <w:tc>
          <w:tcPr>
            <w:tcW w:w="0" w:type="auto"/>
            <w:vAlign w:val="center"/>
          </w:tcPr>
          <w:p w14:paraId="5B18CF76" w14:textId="4E17AEC7" w:rsidR="00AA7FAD" w:rsidRPr="00D20E62" w:rsidRDefault="00AA7FAD" w:rsidP="009103D5">
            <w:pPr>
              <w:spacing w:after="0" w:line="240" w:lineRule="auto"/>
              <w:contextualSpacing/>
              <w:jc w:val="right"/>
              <w:rPr>
                <w:rFonts w:cs="Calibri"/>
                <w:lang w:eastAsia="en-GB"/>
              </w:rPr>
            </w:pPr>
            <w:r>
              <w:rPr>
                <w:rFonts w:cs="Calibri"/>
              </w:rPr>
              <w:t>24.6</w:t>
            </w:r>
          </w:p>
        </w:tc>
        <w:tc>
          <w:tcPr>
            <w:tcW w:w="0" w:type="auto"/>
            <w:vAlign w:val="center"/>
          </w:tcPr>
          <w:p w14:paraId="61DBD15C" w14:textId="7D98E8A6" w:rsidR="00AA7FAD" w:rsidRPr="00D20E62" w:rsidRDefault="00AA7FAD" w:rsidP="009103D5">
            <w:pPr>
              <w:spacing w:after="0" w:line="240" w:lineRule="auto"/>
              <w:contextualSpacing/>
              <w:jc w:val="right"/>
              <w:rPr>
                <w:rFonts w:cs="Calibri"/>
                <w:lang w:eastAsia="en-GB"/>
              </w:rPr>
            </w:pPr>
            <w:r>
              <w:rPr>
                <w:rFonts w:cs="Calibri"/>
              </w:rPr>
              <w:t>21.3</w:t>
            </w:r>
          </w:p>
        </w:tc>
      </w:tr>
      <w:tr w:rsidR="00AA7FAD" w:rsidRPr="002A3AAE" w14:paraId="191C0F68" w14:textId="77777777" w:rsidTr="00AA7FAD">
        <w:trPr>
          <w:trHeight w:val="314"/>
        </w:trPr>
        <w:tc>
          <w:tcPr>
            <w:tcW w:w="0" w:type="auto"/>
            <w:vAlign w:val="center"/>
          </w:tcPr>
          <w:p w14:paraId="77781963" w14:textId="6E2218C5" w:rsidR="00AA7FAD" w:rsidRPr="00B24AA6" w:rsidRDefault="00AA7FAD" w:rsidP="009103D5">
            <w:pPr>
              <w:spacing w:after="0" w:line="240" w:lineRule="auto"/>
              <w:contextualSpacing/>
              <w:jc w:val="both"/>
              <w:rPr>
                <w:rFonts w:cs="Calibri"/>
                <w:lang w:eastAsia="en-GB"/>
              </w:rPr>
            </w:pPr>
            <w:r>
              <w:rPr>
                <w:rFonts w:cs="Calibri"/>
              </w:rPr>
              <w:t>Chile</w:t>
            </w:r>
          </w:p>
        </w:tc>
        <w:tc>
          <w:tcPr>
            <w:tcW w:w="0" w:type="auto"/>
            <w:vAlign w:val="center"/>
          </w:tcPr>
          <w:p w14:paraId="5572D8BC" w14:textId="2D1D3022" w:rsidR="00AA7FAD" w:rsidRPr="00D20E62" w:rsidRDefault="00AA7FAD" w:rsidP="009103D5">
            <w:pPr>
              <w:spacing w:after="0" w:line="240" w:lineRule="auto"/>
              <w:contextualSpacing/>
              <w:jc w:val="right"/>
              <w:rPr>
                <w:rFonts w:cs="Calibri"/>
                <w:lang w:eastAsia="en-GB"/>
              </w:rPr>
            </w:pPr>
            <w:r>
              <w:rPr>
                <w:rFonts w:cs="Calibri"/>
              </w:rPr>
              <w:t>25.1</w:t>
            </w:r>
          </w:p>
        </w:tc>
        <w:tc>
          <w:tcPr>
            <w:tcW w:w="0" w:type="auto"/>
            <w:vAlign w:val="center"/>
          </w:tcPr>
          <w:p w14:paraId="31F1822F" w14:textId="53CC57D9" w:rsidR="00AA7FAD" w:rsidRPr="00D20E62" w:rsidRDefault="00AA7FAD" w:rsidP="009103D5">
            <w:pPr>
              <w:spacing w:after="0" w:line="240" w:lineRule="auto"/>
              <w:contextualSpacing/>
              <w:jc w:val="right"/>
              <w:rPr>
                <w:rFonts w:cs="Calibri"/>
                <w:lang w:eastAsia="en-GB"/>
              </w:rPr>
            </w:pPr>
            <w:r>
              <w:rPr>
                <w:rFonts w:cs="Calibri"/>
              </w:rPr>
              <w:t>12.1</w:t>
            </w:r>
          </w:p>
        </w:tc>
      </w:tr>
      <w:tr w:rsidR="00AA7FAD" w:rsidRPr="002A3AAE" w14:paraId="56EB8C5B" w14:textId="77777777" w:rsidTr="00AA7FAD">
        <w:trPr>
          <w:trHeight w:val="314"/>
        </w:trPr>
        <w:tc>
          <w:tcPr>
            <w:tcW w:w="0" w:type="auto"/>
            <w:vAlign w:val="center"/>
          </w:tcPr>
          <w:p w14:paraId="6487C373" w14:textId="61531551" w:rsidR="00AA7FAD" w:rsidRPr="00B24AA6" w:rsidRDefault="00AA7FAD" w:rsidP="009103D5">
            <w:pPr>
              <w:spacing w:after="0" w:line="240" w:lineRule="auto"/>
              <w:contextualSpacing/>
              <w:jc w:val="both"/>
              <w:rPr>
                <w:rFonts w:cs="Calibri"/>
                <w:lang w:eastAsia="en-GB"/>
              </w:rPr>
            </w:pPr>
            <w:r>
              <w:rPr>
                <w:rFonts w:cs="Calibri"/>
              </w:rPr>
              <w:t>United Kingdom</w:t>
            </w:r>
          </w:p>
        </w:tc>
        <w:tc>
          <w:tcPr>
            <w:tcW w:w="0" w:type="auto"/>
            <w:vAlign w:val="center"/>
          </w:tcPr>
          <w:p w14:paraId="4761F53C" w14:textId="4B65BD6F" w:rsidR="00AA7FAD" w:rsidRPr="00D20E62" w:rsidRDefault="00AA7FAD" w:rsidP="009103D5">
            <w:pPr>
              <w:spacing w:after="0" w:line="240" w:lineRule="auto"/>
              <w:contextualSpacing/>
              <w:jc w:val="right"/>
              <w:rPr>
                <w:rFonts w:cs="Calibri"/>
                <w:lang w:eastAsia="en-GB"/>
              </w:rPr>
            </w:pPr>
            <w:r>
              <w:rPr>
                <w:rFonts w:cs="Calibri"/>
              </w:rPr>
              <w:t>26.1</w:t>
            </w:r>
          </w:p>
        </w:tc>
        <w:tc>
          <w:tcPr>
            <w:tcW w:w="0" w:type="auto"/>
            <w:vAlign w:val="center"/>
          </w:tcPr>
          <w:p w14:paraId="1409CC33" w14:textId="19213294" w:rsidR="00AA7FAD" w:rsidRPr="00D20E62" w:rsidRDefault="00AA7FAD" w:rsidP="009103D5">
            <w:pPr>
              <w:spacing w:after="0" w:line="240" w:lineRule="auto"/>
              <w:contextualSpacing/>
              <w:jc w:val="right"/>
              <w:rPr>
                <w:rFonts w:cs="Calibri"/>
                <w:lang w:eastAsia="en-GB"/>
              </w:rPr>
            </w:pPr>
            <w:r>
              <w:rPr>
                <w:rFonts w:cs="Calibri"/>
              </w:rPr>
              <w:t>..</w:t>
            </w:r>
          </w:p>
        </w:tc>
      </w:tr>
      <w:tr w:rsidR="00AA7FAD" w:rsidRPr="002A3AAE" w14:paraId="550BD583" w14:textId="77777777" w:rsidTr="00AA7FAD">
        <w:trPr>
          <w:trHeight w:val="314"/>
        </w:trPr>
        <w:tc>
          <w:tcPr>
            <w:tcW w:w="0" w:type="auto"/>
            <w:vAlign w:val="center"/>
          </w:tcPr>
          <w:p w14:paraId="25745202" w14:textId="299E16C8" w:rsidR="00AA7FAD" w:rsidRPr="00B24AA6" w:rsidRDefault="00AA7FAD" w:rsidP="009103D5">
            <w:pPr>
              <w:spacing w:after="0" w:line="240" w:lineRule="auto"/>
              <w:contextualSpacing/>
              <w:jc w:val="both"/>
              <w:rPr>
                <w:rFonts w:cs="Calibri"/>
                <w:lang w:eastAsia="en-GB"/>
              </w:rPr>
            </w:pPr>
            <w:r>
              <w:rPr>
                <w:rFonts w:cs="Calibri"/>
              </w:rPr>
              <w:t>New Zealand</w:t>
            </w:r>
          </w:p>
        </w:tc>
        <w:tc>
          <w:tcPr>
            <w:tcW w:w="0" w:type="auto"/>
            <w:vAlign w:val="center"/>
          </w:tcPr>
          <w:p w14:paraId="7A7ACD1F" w14:textId="30DCC748" w:rsidR="00AA7FAD" w:rsidRPr="00D20E62" w:rsidRDefault="00AA7FAD" w:rsidP="009103D5">
            <w:pPr>
              <w:spacing w:after="0" w:line="240" w:lineRule="auto"/>
              <w:contextualSpacing/>
              <w:jc w:val="right"/>
              <w:rPr>
                <w:rFonts w:cs="Calibri"/>
                <w:lang w:eastAsia="en-GB"/>
              </w:rPr>
            </w:pPr>
            <w:r>
              <w:rPr>
                <w:rFonts w:cs="Calibri"/>
              </w:rPr>
              <w:t>27.8</w:t>
            </w:r>
          </w:p>
        </w:tc>
        <w:tc>
          <w:tcPr>
            <w:tcW w:w="0" w:type="auto"/>
            <w:vAlign w:val="center"/>
          </w:tcPr>
          <w:p w14:paraId="541C1985" w14:textId="20D5D9B8" w:rsidR="00AA7FAD" w:rsidRPr="00D20E62" w:rsidRDefault="00AA7FAD" w:rsidP="009103D5">
            <w:pPr>
              <w:spacing w:after="0" w:line="240" w:lineRule="auto"/>
              <w:contextualSpacing/>
              <w:jc w:val="right"/>
              <w:rPr>
                <w:rFonts w:cs="Calibri"/>
                <w:lang w:eastAsia="en-GB"/>
              </w:rPr>
            </w:pPr>
            <w:r>
              <w:rPr>
                <w:rFonts w:cs="Calibri"/>
              </w:rPr>
              <w:t>..</w:t>
            </w:r>
          </w:p>
        </w:tc>
      </w:tr>
      <w:tr w:rsidR="00AA7FAD" w:rsidRPr="002A3AAE" w14:paraId="29E924B8" w14:textId="77777777" w:rsidTr="00AA7FAD">
        <w:trPr>
          <w:trHeight w:val="314"/>
        </w:trPr>
        <w:tc>
          <w:tcPr>
            <w:tcW w:w="0" w:type="auto"/>
            <w:vAlign w:val="center"/>
          </w:tcPr>
          <w:p w14:paraId="420AE665" w14:textId="470E2309" w:rsidR="00AA7FAD" w:rsidRPr="00B24AA6" w:rsidRDefault="00AA7FAD" w:rsidP="009103D5">
            <w:pPr>
              <w:spacing w:after="0" w:line="240" w:lineRule="auto"/>
              <w:contextualSpacing/>
              <w:jc w:val="both"/>
              <w:rPr>
                <w:rFonts w:cs="Calibri"/>
                <w:lang w:eastAsia="en-GB"/>
              </w:rPr>
            </w:pPr>
            <w:r>
              <w:rPr>
                <w:rFonts w:cs="Calibri"/>
              </w:rPr>
              <w:t>Hungary</w:t>
            </w:r>
          </w:p>
        </w:tc>
        <w:tc>
          <w:tcPr>
            <w:tcW w:w="0" w:type="auto"/>
            <w:vAlign w:val="center"/>
          </w:tcPr>
          <w:p w14:paraId="3735886F" w14:textId="0462FD25" w:rsidR="00AA7FAD" w:rsidRPr="00D20E62" w:rsidRDefault="00AA7FAD" w:rsidP="009103D5">
            <w:pPr>
              <w:spacing w:after="0" w:line="240" w:lineRule="auto"/>
              <w:contextualSpacing/>
              <w:jc w:val="right"/>
              <w:rPr>
                <w:rFonts w:cs="Calibri"/>
                <w:lang w:eastAsia="en-GB"/>
              </w:rPr>
            </w:pPr>
            <w:r>
              <w:rPr>
                <w:rFonts w:cs="Calibri"/>
              </w:rPr>
              <w:t>28.5</w:t>
            </w:r>
          </w:p>
        </w:tc>
        <w:tc>
          <w:tcPr>
            <w:tcW w:w="0" w:type="auto"/>
            <w:vAlign w:val="center"/>
          </w:tcPr>
          <w:p w14:paraId="1BBFD8B4" w14:textId="649624FE" w:rsidR="00AA7FAD" w:rsidRPr="00D20E62" w:rsidRDefault="00AA7FAD" w:rsidP="009103D5">
            <w:pPr>
              <w:spacing w:after="0" w:line="240" w:lineRule="auto"/>
              <w:contextualSpacing/>
              <w:jc w:val="right"/>
              <w:rPr>
                <w:rFonts w:cs="Calibri"/>
                <w:lang w:eastAsia="en-GB"/>
              </w:rPr>
            </w:pPr>
            <w:r>
              <w:rPr>
                <w:rFonts w:cs="Calibri"/>
              </w:rPr>
              <w:t>19.5</w:t>
            </w:r>
          </w:p>
        </w:tc>
      </w:tr>
      <w:tr w:rsidR="00AA7FAD" w:rsidRPr="002A3AAE" w14:paraId="7301EB12" w14:textId="77777777" w:rsidTr="00AA7FAD">
        <w:trPr>
          <w:trHeight w:val="314"/>
        </w:trPr>
        <w:tc>
          <w:tcPr>
            <w:tcW w:w="0" w:type="auto"/>
            <w:vAlign w:val="center"/>
          </w:tcPr>
          <w:p w14:paraId="70326A94" w14:textId="065C6349" w:rsidR="00AA7FAD" w:rsidRPr="00B24AA6" w:rsidRDefault="00AA7FAD" w:rsidP="009103D5">
            <w:pPr>
              <w:spacing w:after="0" w:line="240" w:lineRule="auto"/>
              <w:contextualSpacing/>
              <w:jc w:val="both"/>
              <w:rPr>
                <w:rFonts w:cs="Calibri"/>
                <w:lang w:eastAsia="en-GB"/>
              </w:rPr>
            </w:pPr>
            <w:r>
              <w:rPr>
                <w:rFonts w:cs="Calibri"/>
              </w:rPr>
              <w:t>Mexico</w:t>
            </w:r>
          </w:p>
        </w:tc>
        <w:tc>
          <w:tcPr>
            <w:tcW w:w="0" w:type="auto"/>
            <w:vAlign w:val="center"/>
          </w:tcPr>
          <w:p w14:paraId="592F9165" w14:textId="2159A32A" w:rsidR="00AA7FAD" w:rsidRPr="00D20E62" w:rsidRDefault="00AA7FAD" w:rsidP="009103D5">
            <w:pPr>
              <w:spacing w:after="0" w:line="240" w:lineRule="auto"/>
              <w:contextualSpacing/>
              <w:jc w:val="right"/>
              <w:rPr>
                <w:rFonts w:cs="Calibri"/>
                <w:lang w:eastAsia="en-GB"/>
              </w:rPr>
            </w:pPr>
            <w:r>
              <w:rPr>
                <w:rFonts w:cs="Calibri"/>
              </w:rPr>
              <w:t>30</w:t>
            </w:r>
          </w:p>
        </w:tc>
        <w:tc>
          <w:tcPr>
            <w:tcW w:w="0" w:type="auto"/>
            <w:vAlign w:val="center"/>
          </w:tcPr>
          <w:p w14:paraId="10E9C39C" w14:textId="06D54C37" w:rsidR="00AA7FAD" w:rsidRPr="00D20E62" w:rsidRDefault="00AA7FAD" w:rsidP="009103D5">
            <w:pPr>
              <w:spacing w:after="0" w:line="240" w:lineRule="auto"/>
              <w:contextualSpacing/>
              <w:jc w:val="right"/>
              <w:rPr>
                <w:rFonts w:cs="Calibri"/>
                <w:lang w:eastAsia="en-GB"/>
              </w:rPr>
            </w:pPr>
            <w:r>
              <w:rPr>
                <w:rFonts w:cs="Calibri"/>
              </w:rPr>
              <w:t>..</w:t>
            </w:r>
          </w:p>
        </w:tc>
      </w:tr>
      <w:tr w:rsidR="00AA7FAD" w:rsidRPr="002A3AAE" w14:paraId="39E7253E" w14:textId="77777777" w:rsidTr="00AA7FAD">
        <w:trPr>
          <w:trHeight w:val="330"/>
        </w:trPr>
        <w:tc>
          <w:tcPr>
            <w:tcW w:w="0" w:type="auto"/>
            <w:vAlign w:val="center"/>
          </w:tcPr>
          <w:p w14:paraId="2BA4029C" w14:textId="01B4251B" w:rsidR="00AA7FAD" w:rsidRPr="00B24AA6" w:rsidRDefault="00AA7FAD" w:rsidP="009103D5">
            <w:pPr>
              <w:spacing w:after="0" w:line="240" w:lineRule="auto"/>
              <w:contextualSpacing/>
              <w:jc w:val="both"/>
              <w:rPr>
                <w:rFonts w:cs="Calibri"/>
                <w:lang w:eastAsia="en-GB"/>
              </w:rPr>
            </w:pPr>
            <w:r>
              <w:rPr>
                <w:rFonts w:cs="Calibri"/>
              </w:rPr>
              <w:t>United States</w:t>
            </w:r>
          </w:p>
        </w:tc>
        <w:tc>
          <w:tcPr>
            <w:tcW w:w="0" w:type="auto"/>
            <w:vAlign w:val="center"/>
          </w:tcPr>
          <w:p w14:paraId="4E04D1E5" w14:textId="770033E1" w:rsidR="00AA7FAD" w:rsidRPr="00D20E62" w:rsidRDefault="00AA7FAD" w:rsidP="009103D5">
            <w:pPr>
              <w:spacing w:after="0" w:line="240" w:lineRule="auto"/>
              <w:contextualSpacing/>
              <w:jc w:val="right"/>
              <w:rPr>
                <w:rFonts w:cs="Calibri"/>
                <w:lang w:eastAsia="en-GB"/>
              </w:rPr>
            </w:pPr>
            <w:r>
              <w:rPr>
                <w:rFonts w:cs="Calibri"/>
              </w:rPr>
              <w:t>35.9</w:t>
            </w:r>
          </w:p>
        </w:tc>
        <w:tc>
          <w:tcPr>
            <w:tcW w:w="0" w:type="auto"/>
            <w:vAlign w:val="center"/>
          </w:tcPr>
          <w:p w14:paraId="29F51303" w14:textId="5DD32BFC" w:rsidR="00AA7FAD" w:rsidRPr="00D20E62" w:rsidRDefault="00AA7FAD" w:rsidP="009103D5">
            <w:pPr>
              <w:spacing w:after="0" w:line="240" w:lineRule="auto"/>
              <w:contextualSpacing/>
              <w:jc w:val="right"/>
              <w:rPr>
                <w:rFonts w:cs="Calibri"/>
                <w:lang w:eastAsia="en-GB"/>
              </w:rPr>
            </w:pPr>
            <w:r>
              <w:rPr>
                <w:rFonts w:cs="Calibri"/>
              </w:rPr>
              <w:t>28.1</w:t>
            </w:r>
          </w:p>
        </w:tc>
      </w:tr>
    </w:tbl>
    <w:p w14:paraId="738C9C7A" w14:textId="77777777" w:rsidR="009103D5" w:rsidRDefault="009103D5" w:rsidP="009103D5">
      <w:pPr>
        <w:spacing w:after="0" w:line="240" w:lineRule="auto"/>
        <w:contextualSpacing/>
        <w:jc w:val="both"/>
        <w:rPr>
          <w:rFonts w:cs="Calibri"/>
        </w:rPr>
      </w:pPr>
    </w:p>
    <w:p w14:paraId="745BF62B" w14:textId="77777777" w:rsidR="009103D5" w:rsidRPr="002A3AAE" w:rsidRDefault="009103D5" w:rsidP="009103D5">
      <w:pPr>
        <w:spacing w:after="0" w:line="240" w:lineRule="auto"/>
        <w:contextualSpacing/>
        <w:jc w:val="both"/>
        <w:rPr>
          <w:rFonts w:cs="Calibri"/>
        </w:rPr>
        <w:sectPr w:rsidR="009103D5" w:rsidRPr="002A3AAE" w:rsidSect="00777FED">
          <w:endnotePr>
            <w:numFmt w:val="decimal"/>
          </w:endnotePr>
          <w:pgSz w:w="11906" w:h="16838"/>
          <w:pgMar w:top="1440" w:right="1440" w:bottom="1440" w:left="1440" w:header="708" w:footer="708" w:gutter="0"/>
          <w:cols w:space="708"/>
          <w:docGrid w:linePitch="360"/>
        </w:sectPr>
      </w:pPr>
    </w:p>
    <w:p w14:paraId="472F4484" w14:textId="48E73955" w:rsidR="00961979" w:rsidRPr="001E788E" w:rsidRDefault="00E3073B" w:rsidP="004A2741">
      <w:pPr>
        <w:spacing w:after="0"/>
        <w:rPr>
          <w:rFonts w:cs="Calibri"/>
          <w:b/>
          <w:bCs/>
        </w:rPr>
      </w:pPr>
      <w:r>
        <w:rPr>
          <w:rFonts w:cs="Calibri"/>
          <w:b/>
          <w:bCs/>
        </w:rPr>
        <w:lastRenderedPageBreak/>
        <w:t>References</w:t>
      </w:r>
      <w:r w:rsidR="002038BD">
        <w:rPr>
          <w:rFonts w:cs="Calibri"/>
          <w:b/>
          <w:bCs/>
        </w:rPr>
        <w:t xml:space="preserve"> </w:t>
      </w:r>
    </w:p>
    <w:sectPr w:rsidR="00961979" w:rsidRPr="001E788E" w:rsidSect="003626E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38D38" w14:textId="77777777" w:rsidR="000C4610" w:rsidRDefault="000C4610" w:rsidP="00E828D8">
      <w:pPr>
        <w:spacing w:after="0" w:line="240" w:lineRule="auto"/>
      </w:pPr>
    </w:p>
  </w:endnote>
  <w:endnote w:type="continuationSeparator" w:id="0">
    <w:p w14:paraId="0499FEFF" w14:textId="77777777" w:rsidR="000C4610" w:rsidRDefault="000C4610" w:rsidP="00E828D8">
      <w:pPr>
        <w:spacing w:after="0" w:line="240" w:lineRule="auto"/>
      </w:pPr>
    </w:p>
  </w:endnote>
  <w:endnote w:type="continuationNotice" w:id="1">
    <w:p w14:paraId="6A0B62BE" w14:textId="77777777" w:rsidR="000C4610" w:rsidRDefault="000C4610">
      <w:pPr>
        <w:spacing w:after="0" w:line="240" w:lineRule="auto"/>
      </w:pPr>
    </w:p>
  </w:endnote>
  <w:endnote w:id="2">
    <w:p w14:paraId="3E45FA50" w14:textId="439EE34C"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World Health Organisation.</w:t>
      </w:r>
      <w:proofErr w:type="gramEnd"/>
      <w:r w:rsidRPr="001E788E">
        <w:rPr>
          <w:rFonts w:asciiTheme="minorHAnsi" w:hAnsiTheme="minorHAnsi" w:cstheme="minorHAnsi"/>
          <w:sz w:val="20"/>
          <w:szCs w:val="20"/>
        </w:rPr>
        <w:t xml:space="preserve"> (2007) WHO publishes key world health </w:t>
      </w:r>
      <w:proofErr w:type="gramStart"/>
      <w:r w:rsidRPr="001E788E">
        <w:rPr>
          <w:rFonts w:asciiTheme="minorHAnsi" w:hAnsiTheme="minorHAnsi" w:cstheme="minorHAnsi"/>
          <w:sz w:val="20"/>
          <w:szCs w:val="20"/>
        </w:rPr>
        <w:t>statistics  [</w:t>
      </w:r>
      <w:proofErr w:type="gramEnd"/>
      <w:r w:rsidRPr="001E788E">
        <w:rPr>
          <w:rFonts w:asciiTheme="minorHAnsi" w:hAnsiTheme="minorHAnsi" w:cstheme="minorHAnsi"/>
          <w:sz w:val="20"/>
          <w:szCs w:val="20"/>
        </w:rPr>
        <w:t>WWW document]. URL http://www.who.int/mediacentre/news/notes/2007/np24/en/index.html</w:t>
      </w:r>
    </w:p>
  </w:endnote>
  <w:endnote w:id="3">
    <w:p w14:paraId="1DA0B15F"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Wilkinson JR, </w:t>
      </w:r>
      <w:hyperlink r:id="rId1" w:history="1">
        <w:proofErr w:type="spellStart"/>
        <w:r w:rsidRPr="001E788E">
          <w:rPr>
            <w:rFonts w:asciiTheme="minorHAnsi" w:hAnsiTheme="minorHAnsi" w:cstheme="minorHAnsi"/>
            <w:sz w:val="20"/>
            <w:szCs w:val="20"/>
          </w:rPr>
          <w:t>Walrond</w:t>
        </w:r>
        <w:proofErr w:type="spellEnd"/>
        <w:r w:rsidRPr="001E788E">
          <w:rPr>
            <w:rFonts w:asciiTheme="minorHAnsi" w:hAnsiTheme="minorHAnsi" w:cstheme="minorHAnsi"/>
            <w:sz w:val="20"/>
            <w:szCs w:val="20"/>
          </w:rPr>
          <w:t xml:space="preserve"> S</w:t>
        </w:r>
      </w:hyperlink>
      <w:r w:rsidRPr="001E788E">
        <w:rPr>
          <w:rFonts w:asciiTheme="minorHAnsi" w:hAnsiTheme="minorHAnsi" w:cstheme="minorHAnsi"/>
          <w:sz w:val="20"/>
          <w:szCs w:val="20"/>
        </w:rPr>
        <w:t xml:space="preserve">, </w:t>
      </w:r>
      <w:hyperlink r:id="rId2" w:history="1">
        <w:r w:rsidRPr="001E788E">
          <w:rPr>
            <w:rFonts w:asciiTheme="minorHAnsi" w:hAnsiTheme="minorHAnsi" w:cstheme="minorHAnsi"/>
            <w:sz w:val="20"/>
            <w:szCs w:val="20"/>
          </w:rPr>
          <w:t>Ells LJ</w:t>
        </w:r>
      </w:hyperlink>
      <w:r w:rsidRPr="001E788E">
        <w:rPr>
          <w:rFonts w:asciiTheme="minorHAnsi" w:hAnsiTheme="minorHAnsi" w:cstheme="minorHAnsi"/>
          <w:sz w:val="20"/>
          <w:szCs w:val="20"/>
        </w:rPr>
        <w:t xml:space="preserve">, </w:t>
      </w:r>
      <w:hyperlink r:id="rId3" w:history="1">
        <w:proofErr w:type="spellStart"/>
        <w:r w:rsidRPr="001E788E">
          <w:rPr>
            <w:rFonts w:asciiTheme="minorHAnsi" w:hAnsiTheme="minorHAnsi" w:cstheme="minorHAnsi"/>
            <w:sz w:val="20"/>
            <w:szCs w:val="20"/>
          </w:rPr>
          <w:t>Summerbell</w:t>
        </w:r>
        <w:proofErr w:type="spellEnd"/>
        <w:r w:rsidRPr="001E788E">
          <w:rPr>
            <w:rFonts w:asciiTheme="minorHAnsi" w:hAnsiTheme="minorHAnsi" w:cstheme="minorHAnsi"/>
            <w:sz w:val="20"/>
            <w:szCs w:val="20"/>
          </w:rPr>
          <w:t xml:space="preserve"> CD</w:t>
        </w:r>
      </w:hyperlink>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Surveillance and monitoring.</w:t>
      </w:r>
      <w:proofErr w:type="gramEnd"/>
      <w:r w:rsidRPr="001E788E">
        <w:rPr>
          <w:rFonts w:asciiTheme="minorHAnsi" w:hAnsiTheme="minorHAnsi" w:cstheme="minorHAnsi"/>
          <w:sz w:val="20"/>
          <w:szCs w:val="20"/>
        </w:rPr>
        <w:t xml:space="preserve"> </w:t>
      </w:r>
      <w:proofErr w:type="spellStart"/>
      <w:r w:rsidRPr="001E788E">
        <w:rPr>
          <w:rStyle w:val="highlight"/>
          <w:rFonts w:asciiTheme="minorHAnsi" w:hAnsiTheme="minorHAnsi" w:cstheme="minorHAnsi"/>
          <w:i/>
          <w:sz w:val="20"/>
          <w:szCs w:val="20"/>
        </w:rPr>
        <w:t>Obes</w:t>
      </w:r>
      <w:proofErr w:type="spellEnd"/>
      <w:r w:rsidRPr="001E788E">
        <w:rPr>
          <w:rStyle w:val="highlight"/>
          <w:rFonts w:asciiTheme="minorHAnsi" w:hAnsiTheme="minorHAnsi" w:cstheme="minorHAnsi"/>
          <w:i/>
          <w:sz w:val="20"/>
          <w:szCs w:val="20"/>
        </w:rPr>
        <w:t xml:space="preserve"> Rev</w:t>
      </w:r>
      <w:r w:rsidRPr="001E788E">
        <w:rPr>
          <w:rFonts w:asciiTheme="minorHAnsi" w:hAnsiTheme="minorHAnsi" w:cstheme="minorHAnsi"/>
          <w:i/>
          <w:sz w:val="20"/>
          <w:szCs w:val="20"/>
        </w:rPr>
        <w:t>.</w:t>
      </w:r>
      <w:r w:rsidRPr="001E788E">
        <w:rPr>
          <w:rFonts w:asciiTheme="minorHAnsi" w:hAnsiTheme="minorHAnsi" w:cstheme="minorHAnsi"/>
          <w:sz w:val="20"/>
          <w:szCs w:val="20"/>
        </w:rPr>
        <w:t xml:space="preserve"> </w:t>
      </w:r>
      <w:r w:rsidRPr="001E788E">
        <w:rPr>
          <w:rStyle w:val="highlight"/>
          <w:rFonts w:asciiTheme="minorHAnsi" w:hAnsiTheme="minorHAnsi" w:cstheme="minorHAnsi"/>
          <w:sz w:val="20"/>
          <w:szCs w:val="20"/>
        </w:rPr>
        <w:t>2007</w:t>
      </w:r>
      <w:r w:rsidRPr="001E788E">
        <w:rPr>
          <w:rFonts w:asciiTheme="minorHAnsi" w:hAnsiTheme="minorHAnsi" w:cstheme="minorHAnsi"/>
          <w:sz w:val="20"/>
          <w:szCs w:val="20"/>
        </w:rPr>
        <w:t xml:space="preserve">; </w:t>
      </w:r>
      <w:r w:rsidRPr="001E788E">
        <w:rPr>
          <w:rFonts w:asciiTheme="minorHAnsi" w:hAnsiTheme="minorHAnsi" w:cstheme="minorHAnsi"/>
          <w:b/>
          <w:sz w:val="20"/>
          <w:szCs w:val="20"/>
        </w:rPr>
        <w:t>8</w:t>
      </w:r>
      <w:r w:rsidRPr="001E788E">
        <w:rPr>
          <w:rFonts w:asciiTheme="minorHAnsi" w:hAnsiTheme="minorHAnsi" w:cstheme="minorHAnsi"/>
          <w:sz w:val="20"/>
          <w:szCs w:val="20"/>
        </w:rPr>
        <w:t>:23-9.</w:t>
      </w:r>
    </w:p>
  </w:endnote>
  <w:endnote w:id="4">
    <w:p w14:paraId="29286D04" w14:textId="207EE872"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BF387A">
        <w:rPr>
          <w:rFonts w:asciiTheme="minorHAnsi" w:hAnsiTheme="minorHAnsi" w:cstheme="minorHAnsi"/>
          <w:sz w:val="20"/>
          <w:szCs w:val="20"/>
        </w:rPr>
        <w:t>EHES (</w:t>
      </w:r>
      <w:r w:rsidRPr="001E788E">
        <w:rPr>
          <w:rFonts w:asciiTheme="minorHAnsi" w:hAnsiTheme="minorHAnsi" w:cstheme="minorHAnsi"/>
          <w:sz w:val="20"/>
          <w:szCs w:val="20"/>
        </w:rPr>
        <w:t xml:space="preserve">2011) The EHES manual [WWW document] URL </w:t>
      </w:r>
      <w:hyperlink r:id="rId4" w:history="1">
        <w:r w:rsidRPr="001E788E">
          <w:rPr>
            <w:rStyle w:val="Hyperlink"/>
            <w:rFonts w:asciiTheme="minorHAnsi" w:hAnsiTheme="minorHAnsi" w:cstheme="minorHAnsi"/>
            <w:sz w:val="20"/>
            <w:szCs w:val="20"/>
          </w:rPr>
          <w:t>http://www.ehes.info/manuals.htm</w:t>
        </w:r>
      </w:hyperlink>
      <w:r w:rsidRPr="001E788E">
        <w:rPr>
          <w:rFonts w:asciiTheme="minorHAnsi" w:hAnsiTheme="minorHAnsi" w:cstheme="minorHAnsi"/>
          <w:sz w:val="20"/>
          <w:szCs w:val="20"/>
        </w:rPr>
        <w:t xml:space="preserve"> </w:t>
      </w:r>
    </w:p>
  </w:endnote>
  <w:endnote w:id="5">
    <w:p w14:paraId="2E8ACBBD" w14:textId="11EC5F7D"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Van der </w:t>
      </w:r>
      <w:proofErr w:type="spellStart"/>
      <w:r w:rsidRPr="001E788E">
        <w:rPr>
          <w:rFonts w:asciiTheme="minorHAnsi" w:hAnsiTheme="minorHAnsi" w:cstheme="minorHAnsi"/>
          <w:sz w:val="20"/>
          <w:szCs w:val="20"/>
        </w:rPr>
        <w:t>Heyden</w:t>
      </w:r>
      <w:proofErr w:type="spellEnd"/>
      <w:r w:rsidRPr="001E788E">
        <w:rPr>
          <w:rFonts w:asciiTheme="minorHAnsi" w:hAnsiTheme="minorHAnsi" w:cstheme="minorHAnsi"/>
          <w:sz w:val="20"/>
          <w:szCs w:val="20"/>
        </w:rPr>
        <w:t xml:space="preserve"> J. (2011) </w:t>
      </w:r>
      <w:proofErr w:type="gramStart"/>
      <w:r w:rsidRPr="001E788E">
        <w:rPr>
          <w:rFonts w:asciiTheme="minorHAnsi" w:hAnsiTheme="minorHAnsi" w:cstheme="minorHAnsi"/>
          <w:sz w:val="20"/>
          <w:szCs w:val="20"/>
        </w:rPr>
        <w:t>Is</w:t>
      </w:r>
      <w:proofErr w:type="gramEnd"/>
      <w:r w:rsidRPr="001E788E">
        <w:rPr>
          <w:rFonts w:asciiTheme="minorHAnsi" w:hAnsiTheme="minorHAnsi" w:cstheme="minorHAnsi"/>
          <w:sz w:val="20"/>
          <w:szCs w:val="20"/>
        </w:rPr>
        <w:t xml:space="preserve"> a Health Examination Survey relevant for Belgium? [WWW document] URL </w:t>
      </w:r>
      <w:hyperlink r:id="rId5" w:history="1">
        <w:r w:rsidRPr="001E788E">
          <w:rPr>
            <w:rStyle w:val="Hyperlink"/>
            <w:rFonts w:asciiTheme="minorHAnsi" w:hAnsiTheme="minorHAnsi" w:cstheme="minorHAnsi"/>
            <w:sz w:val="20"/>
            <w:szCs w:val="20"/>
          </w:rPr>
          <w:t>https://nrchm.wiv-isp.be/nl/ref_centra_labo/Antibiotica_resistente_Pseudomonas_en_Acinetobacter/Aanvraagformulier/Formulier%20ARSPA%20101.pdf</w:t>
        </w:r>
      </w:hyperlink>
      <w:r w:rsidRPr="001E788E">
        <w:rPr>
          <w:rFonts w:asciiTheme="minorHAnsi" w:hAnsiTheme="minorHAnsi" w:cstheme="minorHAnsi"/>
          <w:sz w:val="20"/>
          <w:szCs w:val="20"/>
        </w:rPr>
        <w:t xml:space="preserve"> </w:t>
      </w:r>
    </w:p>
  </w:endnote>
  <w:endnote w:id="6">
    <w:p w14:paraId="6A1972E3" w14:textId="07B53636" w:rsidR="000C4610" w:rsidRPr="001E788E" w:rsidRDefault="000C4610" w:rsidP="001E788E">
      <w:pPr>
        <w:spacing w:after="0" w:line="240" w:lineRule="auto"/>
        <w:rPr>
          <w:rFonts w:asciiTheme="minorHAnsi" w:eastAsia="Times New Roman" w:hAnsiTheme="minorHAnsi" w:cstheme="minorHAnsi"/>
          <w:color w:val="0000FF"/>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OECD (2012) </w:t>
      </w:r>
      <w:r w:rsidRPr="001E788E">
        <w:rPr>
          <w:rFonts w:asciiTheme="minorHAnsi" w:eastAsia="Times New Roman" w:hAnsiTheme="minorHAnsi" w:cstheme="minorHAnsi"/>
          <w:i/>
          <w:color w:val="000000"/>
          <w:sz w:val="20"/>
          <w:szCs w:val="20"/>
          <w:lang w:val="x-none" w:eastAsia="en-GB"/>
        </w:rPr>
        <w:t>OECD Health Data 2012</w:t>
      </w:r>
      <w:r w:rsidRPr="001E788E">
        <w:rPr>
          <w:rFonts w:asciiTheme="minorHAnsi" w:eastAsia="Times New Roman" w:hAnsiTheme="minorHAnsi" w:cstheme="minorHAnsi"/>
          <w:i/>
          <w:color w:val="000000"/>
          <w:sz w:val="20"/>
          <w:szCs w:val="20"/>
          <w:lang w:eastAsia="en-GB"/>
        </w:rPr>
        <w:t xml:space="preserve">: </w:t>
      </w:r>
      <w:r w:rsidRPr="001E788E">
        <w:rPr>
          <w:rFonts w:asciiTheme="minorHAnsi" w:eastAsia="Times New Roman" w:hAnsiTheme="minorHAnsi" w:cstheme="minorHAnsi"/>
          <w:i/>
          <w:color w:val="000000"/>
          <w:sz w:val="20"/>
          <w:szCs w:val="20"/>
          <w:lang w:val="x-none" w:eastAsia="en-GB"/>
        </w:rPr>
        <w:t>Definitions, Sources and Methods</w:t>
      </w:r>
      <w:r w:rsidRPr="001E788E">
        <w:rPr>
          <w:rFonts w:asciiTheme="minorHAnsi" w:eastAsia="Times New Roman" w:hAnsiTheme="minorHAnsi" w:cstheme="minorHAnsi"/>
          <w:i/>
          <w:color w:val="000000"/>
          <w:sz w:val="20"/>
          <w:szCs w:val="20"/>
          <w:lang w:eastAsia="en-GB"/>
        </w:rPr>
        <w:t xml:space="preserve"> </w:t>
      </w:r>
      <w:r w:rsidRPr="001E788E">
        <w:rPr>
          <w:rFonts w:asciiTheme="minorHAnsi" w:eastAsia="Times New Roman" w:hAnsiTheme="minorHAnsi" w:cstheme="minorHAnsi"/>
          <w:color w:val="000000"/>
          <w:sz w:val="20"/>
          <w:szCs w:val="20"/>
          <w:lang w:eastAsia="en-GB"/>
        </w:rPr>
        <w:t xml:space="preserve">2012 </w:t>
      </w:r>
      <w:r w:rsidRPr="001E788E">
        <w:rPr>
          <w:rFonts w:asciiTheme="minorHAnsi" w:eastAsia="Times New Roman" w:hAnsiTheme="minorHAnsi" w:cstheme="minorHAnsi"/>
          <w:color w:val="0000FF"/>
          <w:sz w:val="20"/>
          <w:szCs w:val="20"/>
          <w:lang w:val="x-none" w:eastAsia="en-GB"/>
        </w:rPr>
        <w:t>http://www.oecd.org/health/healthdata.</w:t>
      </w:r>
    </w:p>
  </w:endnote>
  <w:endnote w:id="7">
    <w:p w14:paraId="6D596706"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bookmarkStart w:id="3" w:name="note26"/>
      <w:r w:rsidRPr="001E788E">
        <w:rPr>
          <w:rFonts w:asciiTheme="minorHAnsi" w:hAnsiTheme="minorHAnsi" w:cstheme="minorHAnsi"/>
          <w:sz w:val="20"/>
          <w:szCs w:val="20"/>
        </w:rPr>
        <w:t xml:space="preserve">Acheson D. </w:t>
      </w:r>
      <w:r w:rsidRPr="001E788E">
        <w:rPr>
          <w:rFonts w:asciiTheme="minorHAnsi" w:hAnsiTheme="minorHAnsi" w:cstheme="minorHAnsi"/>
          <w:i/>
          <w:iCs/>
          <w:sz w:val="20"/>
          <w:szCs w:val="20"/>
        </w:rPr>
        <w:t>Public Health in England: the Report of the Committee of Inquiry into the Future Development of the Public Health Function</w:t>
      </w:r>
      <w:r w:rsidRPr="001E788E">
        <w:rPr>
          <w:rFonts w:asciiTheme="minorHAnsi" w:hAnsiTheme="minorHAnsi" w:cstheme="minorHAnsi"/>
          <w:sz w:val="20"/>
          <w:szCs w:val="20"/>
        </w:rPr>
        <w:t>, Cm289, 1988.</w:t>
      </w:r>
      <w:bookmarkEnd w:id="3"/>
    </w:p>
  </w:endnote>
  <w:endnote w:id="8">
    <w:p w14:paraId="19D234FD" w14:textId="77777777" w:rsidR="000C4610" w:rsidRPr="001E788E" w:rsidRDefault="000C4610" w:rsidP="001E788E">
      <w:pPr>
        <w:spacing w:after="0" w:line="240" w:lineRule="auto"/>
        <w:rPr>
          <w:rFonts w:asciiTheme="minorHAnsi" w:hAnsiTheme="minorHAnsi" w:cstheme="minorHAnsi"/>
          <w:sz w:val="20"/>
          <w:szCs w:val="20"/>
          <w:lang w:val="en"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lang w:val="en" w:eastAsia="en-GB"/>
        </w:rPr>
        <w:t>Department of Health.</w:t>
      </w:r>
      <w:proofErr w:type="gramEnd"/>
      <w:r w:rsidRPr="001E788E">
        <w:rPr>
          <w:rFonts w:asciiTheme="minorHAnsi" w:hAnsiTheme="minorHAnsi" w:cstheme="minorHAnsi"/>
          <w:sz w:val="20"/>
          <w:szCs w:val="20"/>
          <w:lang w:val="en" w:eastAsia="en-GB"/>
        </w:rPr>
        <w:t xml:space="preserve"> </w:t>
      </w:r>
      <w:r w:rsidRPr="001E788E">
        <w:rPr>
          <w:rFonts w:asciiTheme="minorHAnsi" w:hAnsiTheme="minorHAnsi" w:cstheme="minorHAnsi"/>
          <w:i/>
          <w:sz w:val="20"/>
          <w:szCs w:val="20"/>
          <w:lang w:val="en" w:eastAsia="en-GB"/>
        </w:rPr>
        <w:t>The health of the nation: a strategy for health in England.</w:t>
      </w:r>
      <w:r w:rsidRPr="001E788E">
        <w:rPr>
          <w:rFonts w:asciiTheme="minorHAnsi" w:hAnsiTheme="minorHAnsi" w:cstheme="minorHAnsi"/>
          <w:sz w:val="20"/>
          <w:szCs w:val="20"/>
          <w:lang w:val="en" w:eastAsia="en-GB"/>
        </w:rPr>
        <w:t xml:space="preserve"> </w:t>
      </w:r>
      <w:proofErr w:type="gramStart"/>
      <w:r w:rsidRPr="001E788E">
        <w:rPr>
          <w:rFonts w:asciiTheme="minorHAnsi" w:hAnsiTheme="minorHAnsi" w:cstheme="minorHAnsi"/>
          <w:sz w:val="20"/>
          <w:szCs w:val="20"/>
          <w:lang w:val="en" w:eastAsia="en-GB"/>
        </w:rPr>
        <w:t>London HMSO, 1992.</w:t>
      </w:r>
      <w:proofErr w:type="gramEnd"/>
    </w:p>
  </w:endnote>
  <w:endnote w:id="9">
    <w:p w14:paraId="30477F4A"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Rosenbaum S, Skinner RK, Knight IB, </w:t>
      </w:r>
      <w:proofErr w:type="spellStart"/>
      <w:r w:rsidRPr="001E788E">
        <w:rPr>
          <w:rFonts w:asciiTheme="minorHAnsi" w:hAnsiTheme="minorHAnsi" w:cstheme="minorHAnsi"/>
          <w:sz w:val="20"/>
          <w:szCs w:val="20"/>
        </w:rPr>
        <w:t>Garrow</w:t>
      </w:r>
      <w:proofErr w:type="spellEnd"/>
      <w:r w:rsidRPr="001E788E">
        <w:rPr>
          <w:rFonts w:asciiTheme="minorHAnsi" w:hAnsiTheme="minorHAnsi" w:cstheme="minorHAnsi"/>
          <w:sz w:val="20"/>
          <w:szCs w:val="20"/>
        </w:rPr>
        <w:t xml:space="preserve"> JS. </w:t>
      </w:r>
      <w:proofErr w:type="gramStart"/>
      <w:r w:rsidRPr="001E788E">
        <w:rPr>
          <w:rFonts w:asciiTheme="minorHAnsi" w:hAnsiTheme="minorHAnsi" w:cstheme="minorHAnsi"/>
          <w:sz w:val="20"/>
          <w:szCs w:val="20"/>
        </w:rPr>
        <w:t>The heights and weights of adults in Great Britain, 1980.</w:t>
      </w:r>
      <w:proofErr w:type="gramEnd"/>
      <w:r w:rsidRPr="001E788E">
        <w:rPr>
          <w:rFonts w:asciiTheme="minorHAnsi" w:hAnsiTheme="minorHAnsi" w:cstheme="minorHAnsi"/>
          <w:sz w:val="20"/>
          <w:szCs w:val="20"/>
        </w:rPr>
        <w:t xml:space="preserve"> </w:t>
      </w:r>
      <w:r w:rsidRPr="001E788E">
        <w:rPr>
          <w:rFonts w:asciiTheme="minorHAnsi" w:hAnsiTheme="minorHAnsi" w:cstheme="minorHAnsi"/>
          <w:i/>
          <w:sz w:val="20"/>
          <w:szCs w:val="20"/>
        </w:rPr>
        <w:t>Annals of Human Biology</w:t>
      </w:r>
      <w:r w:rsidRPr="001E788E">
        <w:rPr>
          <w:rFonts w:asciiTheme="minorHAnsi" w:hAnsiTheme="minorHAnsi" w:cstheme="minorHAnsi"/>
          <w:sz w:val="20"/>
          <w:szCs w:val="20"/>
        </w:rPr>
        <w:t xml:space="preserve"> 1985; </w:t>
      </w:r>
      <w:r w:rsidRPr="001E788E">
        <w:rPr>
          <w:rFonts w:asciiTheme="minorHAnsi" w:hAnsiTheme="minorHAnsi" w:cstheme="minorHAnsi"/>
          <w:b/>
          <w:sz w:val="20"/>
          <w:szCs w:val="20"/>
        </w:rPr>
        <w:t>12</w:t>
      </w:r>
      <w:proofErr w:type="gramStart"/>
      <w:r w:rsidRPr="001E788E">
        <w:rPr>
          <w:rFonts w:asciiTheme="minorHAnsi" w:hAnsiTheme="minorHAnsi" w:cstheme="minorHAnsi"/>
          <w:sz w:val="20"/>
          <w:szCs w:val="20"/>
        </w:rPr>
        <w:t>;2</w:t>
      </w:r>
      <w:proofErr w:type="gramEnd"/>
      <w:r w:rsidRPr="001E788E">
        <w:rPr>
          <w:rFonts w:asciiTheme="minorHAnsi" w:hAnsiTheme="minorHAnsi" w:cstheme="minorHAnsi"/>
          <w:sz w:val="20"/>
          <w:szCs w:val="20"/>
        </w:rPr>
        <w:t>;115-127.</w:t>
      </w:r>
    </w:p>
  </w:endnote>
  <w:endnote w:id="10">
    <w:p w14:paraId="41EB0842" w14:textId="0EC19418" w:rsidR="000C4610" w:rsidRPr="001E788E" w:rsidRDefault="000C4610" w:rsidP="001E788E">
      <w:pPr>
        <w:spacing w:after="0" w:line="240" w:lineRule="auto"/>
        <w:rPr>
          <w:rFonts w:asciiTheme="minorHAnsi" w:hAnsiTheme="minorHAnsi" w:cstheme="minorHAnsi"/>
          <w:color w:val="000000"/>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Gregory J, Foster K, Tyler H</w:t>
      </w:r>
      <w:r w:rsidRPr="001E788E">
        <w:rPr>
          <w:rFonts w:asciiTheme="minorHAnsi" w:hAnsiTheme="minorHAnsi" w:cstheme="minorHAnsi"/>
          <w:sz w:val="20"/>
          <w:szCs w:val="20"/>
        </w:rPr>
        <w:t>,</w:t>
      </w:r>
      <w:r w:rsidRPr="001E788E">
        <w:rPr>
          <w:rFonts w:asciiTheme="minorHAnsi" w:hAnsiTheme="minorHAnsi" w:cstheme="minorHAnsi"/>
          <w:sz w:val="20"/>
          <w:szCs w:val="20"/>
          <w:lang w:eastAsia="en-GB"/>
        </w:rPr>
        <w:t xml:space="preserve"> Wiseman M. </w:t>
      </w:r>
      <w:r w:rsidRPr="001E788E">
        <w:rPr>
          <w:rFonts w:asciiTheme="minorHAnsi" w:hAnsiTheme="minorHAnsi" w:cstheme="minorHAnsi"/>
          <w:i/>
          <w:sz w:val="20"/>
          <w:szCs w:val="20"/>
          <w:lang w:eastAsia="en-GB"/>
        </w:rPr>
        <w:t>Dietary and Nutritional Survey of British Adults</w:t>
      </w:r>
      <w:r w:rsidRPr="001E788E">
        <w:rPr>
          <w:rFonts w:asciiTheme="minorHAnsi" w:hAnsiTheme="minorHAnsi" w:cstheme="minorHAnsi"/>
          <w:sz w:val="20"/>
          <w:szCs w:val="20"/>
          <w:lang w:eastAsia="en-GB"/>
        </w:rPr>
        <w:t xml:space="preserve"> 1986-1987. (1990) London: HMSO.</w:t>
      </w:r>
    </w:p>
  </w:endnote>
  <w:endnote w:id="11">
    <w:p w14:paraId="70A8A5AA"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National Centre for Social Research and University College London.</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 xml:space="preserve">Department of Epidemiology and Public Health, </w:t>
      </w:r>
      <w:r w:rsidRPr="001E788E">
        <w:rPr>
          <w:rFonts w:asciiTheme="minorHAnsi" w:hAnsiTheme="minorHAnsi" w:cstheme="minorHAnsi"/>
          <w:i/>
          <w:iCs/>
          <w:sz w:val="20"/>
          <w:szCs w:val="20"/>
        </w:rPr>
        <w:t>Health Survey for England, 2005</w:t>
      </w:r>
      <w:r w:rsidRPr="001E788E">
        <w:rPr>
          <w:rFonts w:asciiTheme="minorHAnsi" w:hAnsiTheme="minorHAnsi" w:cstheme="minorHAnsi"/>
          <w:sz w:val="20"/>
          <w:szCs w:val="20"/>
        </w:rPr>
        <w:t xml:space="preserve"> [computer file].</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i/>
          <w:iCs/>
          <w:sz w:val="20"/>
          <w:szCs w:val="20"/>
        </w:rPr>
        <w:t>3rd Edition.</w:t>
      </w:r>
      <w:proofErr w:type="gramEnd"/>
      <w:r w:rsidRPr="001E788E">
        <w:rPr>
          <w:rFonts w:asciiTheme="minorHAnsi" w:hAnsiTheme="minorHAnsi" w:cstheme="minorHAnsi"/>
          <w:sz w:val="20"/>
          <w:szCs w:val="20"/>
        </w:rPr>
        <w:t xml:space="preserve"> Colchester, Essex: UK Data Archive [distributor], July 2011.</w:t>
      </w:r>
    </w:p>
  </w:endnote>
  <w:endnote w:id="12">
    <w:p w14:paraId="10E854DC"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White </w:t>
      </w:r>
      <w:proofErr w:type="gramStart"/>
      <w:r w:rsidRPr="001E788E">
        <w:rPr>
          <w:rFonts w:asciiTheme="minorHAnsi" w:hAnsiTheme="minorHAnsi" w:cstheme="minorHAnsi"/>
          <w:sz w:val="20"/>
          <w:szCs w:val="20"/>
        </w:rPr>
        <w:t>A</w:t>
      </w:r>
      <w:proofErr w:type="gramEnd"/>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rPr>
        <w:t>Nicolaas</w:t>
      </w:r>
      <w:proofErr w:type="spellEnd"/>
      <w:r w:rsidRPr="001E788E">
        <w:rPr>
          <w:rFonts w:asciiTheme="minorHAnsi" w:hAnsiTheme="minorHAnsi" w:cstheme="minorHAnsi"/>
          <w:sz w:val="20"/>
          <w:szCs w:val="20"/>
        </w:rPr>
        <w:t xml:space="preserve"> G, Foster K, Browne F, Carey S (</w:t>
      </w:r>
      <w:proofErr w:type="spellStart"/>
      <w:r w:rsidRPr="001E788E">
        <w:rPr>
          <w:rFonts w:asciiTheme="minorHAnsi" w:hAnsiTheme="minorHAnsi" w:cstheme="minorHAnsi"/>
          <w:sz w:val="20"/>
          <w:szCs w:val="20"/>
        </w:rPr>
        <w:t>eds</w:t>
      </w:r>
      <w:proofErr w:type="spellEnd"/>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Health Survey for England 1991.</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London HMSO.</w:t>
      </w:r>
      <w:proofErr w:type="gramEnd"/>
    </w:p>
  </w:endnote>
  <w:endnote w:id="13">
    <w:p w14:paraId="3C0C3731"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1E788E">
        <w:rPr>
          <w:rFonts w:asciiTheme="minorHAnsi" w:eastAsia="Times New Roman" w:hAnsiTheme="minorHAnsi" w:cstheme="minorHAnsi"/>
          <w:sz w:val="20"/>
          <w:szCs w:val="20"/>
          <w:lang w:val="x-none" w:eastAsia="en-GB"/>
        </w:rPr>
        <w:t>Cole</w:t>
      </w:r>
      <w:r w:rsidRPr="001E788E">
        <w:rPr>
          <w:rFonts w:asciiTheme="minorHAnsi" w:eastAsia="Times New Roman" w:hAnsiTheme="minorHAnsi" w:cstheme="minorHAnsi"/>
          <w:sz w:val="20"/>
          <w:szCs w:val="20"/>
          <w:lang w:eastAsia="en-GB"/>
        </w:rPr>
        <w:t xml:space="preserve"> T.</w:t>
      </w:r>
      <w:r w:rsidRPr="001E788E">
        <w:rPr>
          <w:rFonts w:asciiTheme="minorHAnsi" w:eastAsia="Times New Roman" w:hAnsiTheme="minorHAnsi" w:cstheme="minorHAnsi"/>
          <w:sz w:val="20"/>
          <w:szCs w:val="20"/>
          <w:lang w:val="x-none" w:eastAsia="en-GB"/>
        </w:rPr>
        <w:t xml:space="preserve"> </w:t>
      </w:r>
      <w:r w:rsidRPr="001E788E">
        <w:rPr>
          <w:rFonts w:asciiTheme="minorHAnsi" w:eastAsia="Times New Roman" w:hAnsiTheme="minorHAnsi" w:cstheme="minorHAnsi"/>
          <w:i/>
          <w:sz w:val="20"/>
          <w:szCs w:val="20"/>
          <w:lang w:val="x-none" w:eastAsia="en-GB"/>
        </w:rPr>
        <w:t>Growth monitoring with the British 1990 growth reference</w:t>
      </w:r>
      <w:r w:rsidRPr="001E788E">
        <w:rPr>
          <w:rFonts w:asciiTheme="minorHAnsi" w:eastAsia="Times New Roman" w:hAnsiTheme="minorHAnsi" w:cstheme="minorHAnsi"/>
          <w:sz w:val="20"/>
          <w:szCs w:val="20"/>
          <w:lang w:val="x-none" w:eastAsia="en-GB"/>
        </w:rPr>
        <w:t xml:space="preserve">. Arch Dis Child.1997; </w:t>
      </w:r>
      <w:r w:rsidRPr="001E788E">
        <w:rPr>
          <w:rFonts w:asciiTheme="minorHAnsi" w:eastAsia="Times New Roman" w:hAnsiTheme="minorHAnsi" w:cstheme="minorHAnsi"/>
          <w:b/>
          <w:sz w:val="20"/>
          <w:szCs w:val="20"/>
          <w:lang w:val="x-none" w:eastAsia="en-GB"/>
        </w:rPr>
        <w:t>76</w:t>
      </w:r>
      <w:r w:rsidRPr="001E788E">
        <w:rPr>
          <w:rFonts w:asciiTheme="minorHAnsi" w:eastAsia="Times New Roman" w:hAnsiTheme="minorHAnsi" w:cstheme="minorHAnsi"/>
          <w:sz w:val="20"/>
          <w:szCs w:val="20"/>
          <w:lang w:val="x-none" w:eastAsia="en-GB"/>
        </w:rPr>
        <w:t>: 47-49</w:t>
      </w:r>
    </w:p>
  </w:endnote>
  <w:endnote w:id="14">
    <w:p w14:paraId="3BAE2047" w14:textId="01CE4EA6" w:rsidR="000C4610" w:rsidRPr="001E788E" w:rsidRDefault="000C4610" w:rsidP="001E788E">
      <w:pPr>
        <w:spacing w:after="0" w:line="240" w:lineRule="auto"/>
        <w:rPr>
          <w:rFonts w:asciiTheme="minorHAnsi" w:hAnsiTheme="minorHAnsi" w:cstheme="minorHAnsi"/>
          <w: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Craig, R., Mindell, J. (eds.) (2012) Health Survey for England 2011. The NHS Information Centre, London.</w:t>
      </w:r>
    </w:p>
  </w:endnote>
  <w:endnote w:id="15">
    <w:p w14:paraId="22191697"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(2003). </w:t>
      </w:r>
      <w:proofErr w:type="gramStart"/>
      <w:r w:rsidRPr="001E788E">
        <w:rPr>
          <w:rFonts w:asciiTheme="minorHAnsi" w:hAnsiTheme="minorHAnsi" w:cstheme="minorHAnsi"/>
          <w:sz w:val="20"/>
          <w:szCs w:val="20"/>
        </w:rPr>
        <w:t>On</w:t>
      </w:r>
      <w:proofErr w:type="gramEnd"/>
      <w:r w:rsidRPr="001E788E">
        <w:rPr>
          <w:rFonts w:asciiTheme="minorHAnsi" w:hAnsiTheme="minorHAnsi" w:cstheme="minorHAnsi"/>
          <w:sz w:val="20"/>
          <w:szCs w:val="20"/>
        </w:rPr>
        <w:t xml:space="preserve"> the state of Public Health: Annual Report of the Chief Medical Officer 2003 </w:t>
      </w:r>
      <w:r w:rsidRPr="001E788E">
        <w:rPr>
          <w:rFonts w:asciiTheme="minorHAnsi" w:hAnsiTheme="minorHAnsi" w:cstheme="minorHAnsi"/>
          <w:sz w:val="20"/>
          <w:szCs w:val="20"/>
          <w:lang w:val="en"/>
        </w:rPr>
        <w:t>[WWW document]. URL http://www.dh.gov.uk/prod_consum_dh/groups/dh_digitalassets/@dh/@en/documents/digitalasset/dh_4081860.pdf</w:t>
      </w:r>
    </w:p>
  </w:endnote>
  <w:endnote w:id="16">
    <w:p w14:paraId="37846DAE"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(2004). </w:t>
      </w:r>
      <w:proofErr w:type="gramStart"/>
      <w:r w:rsidRPr="001E788E">
        <w:rPr>
          <w:rFonts w:asciiTheme="minorHAnsi" w:hAnsiTheme="minorHAnsi" w:cstheme="minorHAnsi"/>
          <w:sz w:val="20"/>
          <w:szCs w:val="20"/>
        </w:rPr>
        <w:t>On</w:t>
      </w:r>
      <w:proofErr w:type="gramEnd"/>
      <w:r w:rsidRPr="001E788E">
        <w:rPr>
          <w:rFonts w:asciiTheme="minorHAnsi" w:hAnsiTheme="minorHAnsi" w:cstheme="minorHAnsi"/>
          <w:sz w:val="20"/>
          <w:szCs w:val="20"/>
        </w:rPr>
        <w:t xml:space="preserve"> the state of Public Health: Annual Report of the Chief Medical Officer 2003 </w:t>
      </w:r>
      <w:r w:rsidRPr="001E788E">
        <w:rPr>
          <w:rFonts w:asciiTheme="minorHAnsi" w:hAnsiTheme="minorHAnsi" w:cstheme="minorHAnsi"/>
          <w:sz w:val="20"/>
          <w:szCs w:val="20"/>
          <w:lang w:val="en"/>
        </w:rPr>
        <w:t>[WWW document]. URL http://www.dh.gov.uk/prod_consum_dh/groups/dh_digitalassets/@dh/@en/documents/digitalasset/dh_4086811.pdf</w:t>
      </w:r>
    </w:p>
  </w:endnote>
  <w:endnote w:id="17">
    <w:p w14:paraId="6E708958"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(2005). Annual Report of the Chief Medical Officer 2004: On the state of Public Health. </w:t>
      </w:r>
      <w:proofErr w:type="gramStart"/>
      <w:r w:rsidRPr="001E788E">
        <w:rPr>
          <w:rFonts w:asciiTheme="minorHAnsi" w:hAnsiTheme="minorHAnsi" w:cstheme="minorHAnsi"/>
          <w:sz w:val="20"/>
          <w:szCs w:val="20"/>
          <w:lang w:val="en"/>
        </w:rPr>
        <w:t>[WWW document].</w:t>
      </w:r>
      <w:proofErr w:type="gramEnd"/>
      <w:r w:rsidRPr="001E788E">
        <w:rPr>
          <w:rFonts w:asciiTheme="minorHAnsi" w:hAnsiTheme="minorHAnsi" w:cstheme="minorHAnsi"/>
          <w:sz w:val="20"/>
          <w:szCs w:val="20"/>
          <w:lang w:val="en"/>
        </w:rPr>
        <w:t xml:space="preserve"> URL http://www.dh.gov.uk/prod_consum_dh/groups/dh_digitalassets/@dh/@en/documents/digitalasset/dh_4115781.pdf</w:t>
      </w:r>
    </w:p>
  </w:endnote>
  <w:endnote w:id="18">
    <w:p w14:paraId="6E51ECB4"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(2006). </w:t>
      </w:r>
      <w:proofErr w:type="gramStart"/>
      <w:r w:rsidRPr="001E788E">
        <w:rPr>
          <w:rFonts w:asciiTheme="minorHAnsi" w:hAnsiTheme="minorHAnsi" w:cstheme="minorHAnsi"/>
          <w:sz w:val="20"/>
          <w:szCs w:val="20"/>
        </w:rPr>
        <w:t>On</w:t>
      </w:r>
      <w:proofErr w:type="gramEnd"/>
      <w:r w:rsidRPr="001E788E">
        <w:rPr>
          <w:rFonts w:asciiTheme="minorHAnsi" w:hAnsiTheme="minorHAnsi" w:cstheme="minorHAnsi"/>
          <w:sz w:val="20"/>
          <w:szCs w:val="20"/>
        </w:rPr>
        <w:t xml:space="preserve"> the state of Public Health: Annual Report of the Chief Medical Officer 2005 </w:t>
      </w:r>
      <w:r w:rsidRPr="001E788E">
        <w:rPr>
          <w:rFonts w:asciiTheme="minorHAnsi" w:hAnsiTheme="minorHAnsi" w:cstheme="minorHAnsi"/>
          <w:sz w:val="20"/>
          <w:szCs w:val="20"/>
          <w:lang w:val="en"/>
        </w:rPr>
        <w:t>[WWW document]. URL http://www.dh.gov.uk/prod_consum_dh/groups/dh_digitalassets/@dh/@en/documents/digitalasset/dh_4137367.pdf</w:t>
      </w:r>
    </w:p>
  </w:endnote>
  <w:endnote w:id="19">
    <w:p w14:paraId="57F29945"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Donaldson L. (2008). Obesity - what's in a word? </w:t>
      </w:r>
      <w:proofErr w:type="gramStart"/>
      <w:r w:rsidRPr="001E788E">
        <w:rPr>
          <w:rFonts w:asciiTheme="minorHAnsi" w:hAnsiTheme="minorHAnsi" w:cstheme="minorHAnsi"/>
          <w:sz w:val="20"/>
          <w:szCs w:val="20"/>
        </w:rPr>
        <w:t>[WWW document].</w:t>
      </w:r>
      <w:proofErr w:type="gramEnd"/>
      <w:r w:rsidRPr="001E788E">
        <w:rPr>
          <w:rFonts w:asciiTheme="minorHAnsi" w:hAnsiTheme="minorHAnsi" w:cstheme="minorHAnsi"/>
          <w:sz w:val="20"/>
          <w:szCs w:val="20"/>
        </w:rPr>
        <w:t xml:space="preserve"> URL http://news.bbc.co.uk/1/hi/health/7785195.stm</w:t>
      </w:r>
    </w:p>
  </w:endnote>
  <w:endnote w:id="20">
    <w:p w14:paraId="10EECADB"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Department of Health Public Health Research Consortium, Law C, Power C, Graham H, Merrick D. </w:t>
      </w:r>
      <w:r w:rsidRPr="001E788E">
        <w:rPr>
          <w:rStyle w:val="highlight"/>
          <w:rFonts w:asciiTheme="minorHAnsi" w:hAnsiTheme="minorHAnsi" w:cstheme="minorHAnsi"/>
          <w:i/>
          <w:sz w:val="20"/>
          <w:szCs w:val="20"/>
        </w:rPr>
        <w:t>Obesity</w:t>
      </w:r>
      <w:r w:rsidRPr="001E788E">
        <w:rPr>
          <w:rFonts w:asciiTheme="minorHAnsi" w:hAnsiTheme="minorHAnsi" w:cstheme="minorHAnsi"/>
          <w:i/>
          <w:sz w:val="20"/>
          <w:szCs w:val="20"/>
        </w:rPr>
        <w:t xml:space="preserve"> and health inequalities</w:t>
      </w:r>
      <w:r w:rsidRPr="001E788E">
        <w:rPr>
          <w:rFonts w:asciiTheme="minorHAnsi" w:hAnsiTheme="minorHAnsi" w:cstheme="minorHAnsi"/>
          <w:sz w:val="20"/>
          <w:szCs w:val="20"/>
        </w:rPr>
        <w:t xml:space="preserve">. </w:t>
      </w:r>
      <w:proofErr w:type="spellStart"/>
      <w:r w:rsidRPr="001E788E">
        <w:rPr>
          <w:rStyle w:val="highlight"/>
          <w:rFonts w:asciiTheme="minorHAnsi" w:hAnsiTheme="minorHAnsi" w:cstheme="minorHAnsi"/>
          <w:sz w:val="20"/>
          <w:szCs w:val="20"/>
        </w:rPr>
        <w:t>Obes</w:t>
      </w:r>
      <w:proofErr w:type="spellEnd"/>
      <w:r w:rsidRPr="001E788E">
        <w:rPr>
          <w:rStyle w:val="highlight"/>
          <w:rFonts w:asciiTheme="minorHAnsi" w:hAnsiTheme="minorHAnsi" w:cstheme="minorHAnsi"/>
          <w:sz w:val="20"/>
          <w:szCs w:val="20"/>
        </w:rPr>
        <w:t xml:space="preserve"> Rev</w:t>
      </w:r>
      <w:r w:rsidRPr="001E788E">
        <w:rPr>
          <w:rFonts w:asciiTheme="minorHAnsi" w:hAnsiTheme="minorHAnsi" w:cstheme="minorHAnsi"/>
          <w:sz w:val="20"/>
          <w:szCs w:val="20"/>
        </w:rPr>
        <w:t>. 2007 Mar</w:t>
      </w:r>
      <w:proofErr w:type="gramStart"/>
      <w:r w:rsidRPr="001E788E">
        <w:rPr>
          <w:rFonts w:asciiTheme="minorHAnsi" w:hAnsiTheme="minorHAnsi" w:cstheme="minorHAnsi"/>
          <w:sz w:val="20"/>
          <w:szCs w:val="20"/>
        </w:rPr>
        <w:t>;8</w:t>
      </w:r>
      <w:proofErr w:type="gramEnd"/>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rPr>
        <w:t>Suppl</w:t>
      </w:r>
      <w:proofErr w:type="spellEnd"/>
      <w:r w:rsidRPr="001E788E">
        <w:rPr>
          <w:rFonts w:asciiTheme="minorHAnsi" w:hAnsiTheme="minorHAnsi" w:cstheme="minorHAnsi"/>
          <w:sz w:val="20"/>
          <w:szCs w:val="20"/>
        </w:rPr>
        <w:t xml:space="preserve"> 1:19-22.</w:t>
      </w:r>
    </w:p>
  </w:endnote>
  <w:endnote w:id="21">
    <w:p w14:paraId="33E8DE6B"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Independent Inquiry into Inequalities in Health (Acheson Inquiry) (1998) Report of the Independent Inquiry into Inequalities in Health.</w:t>
      </w:r>
    </w:p>
  </w:endnote>
  <w:endnote w:id="22">
    <w:p w14:paraId="07A984D1"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Tennant PW, Rankin J, Bell R.</w:t>
      </w:r>
      <w:r w:rsidRPr="001E788E">
        <w:rPr>
          <w:rStyle w:val="highlight"/>
          <w:rFonts w:asciiTheme="minorHAnsi" w:hAnsiTheme="minorHAnsi" w:cstheme="minorHAnsi"/>
          <w:sz w:val="20"/>
          <w:szCs w:val="20"/>
        </w:rPr>
        <w:t xml:space="preserve"> Maternal</w:t>
      </w:r>
      <w:r w:rsidRPr="001E788E">
        <w:rPr>
          <w:rFonts w:asciiTheme="minorHAnsi" w:hAnsiTheme="minorHAnsi" w:cstheme="minorHAnsi"/>
          <w:sz w:val="20"/>
          <w:szCs w:val="20"/>
        </w:rPr>
        <w:t xml:space="preserve"> body mass index and the risk of </w:t>
      </w:r>
      <w:proofErr w:type="spellStart"/>
      <w:r w:rsidRPr="001E788E">
        <w:rPr>
          <w:rFonts w:asciiTheme="minorHAnsi" w:hAnsiTheme="minorHAnsi" w:cstheme="minorHAnsi"/>
          <w:sz w:val="20"/>
          <w:szCs w:val="20"/>
        </w:rPr>
        <w:t>fetal</w:t>
      </w:r>
      <w:proofErr w:type="spellEnd"/>
      <w:r w:rsidRPr="001E788E">
        <w:rPr>
          <w:rFonts w:asciiTheme="minorHAnsi" w:hAnsiTheme="minorHAnsi" w:cstheme="minorHAnsi"/>
          <w:sz w:val="20"/>
          <w:szCs w:val="20"/>
        </w:rPr>
        <w:t xml:space="preserve"> and infant death: a cohort study from the North of England. Hum </w:t>
      </w:r>
      <w:proofErr w:type="spellStart"/>
      <w:r w:rsidRPr="001E788E">
        <w:rPr>
          <w:rFonts w:asciiTheme="minorHAnsi" w:hAnsiTheme="minorHAnsi" w:cstheme="minorHAnsi"/>
          <w:sz w:val="20"/>
          <w:szCs w:val="20"/>
        </w:rPr>
        <w:t>Reprod</w:t>
      </w:r>
      <w:proofErr w:type="spellEnd"/>
      <w:r w:rsidRPr="001E788E">
        <w:rPr>
          <w:rFonts w:asciiTheme="minorHAnsi" w:hAnsiTheme="minorHAnsi" w:cstheme="minorHAnsi"/>
          <w:sz w:val="20"/>
          <w:szCs w:val="20"/>
        </w:rPr>
        <w:t xml:space="preserve">. 2011 </w:t>
      </w:r>
      <w:r w:rsidRPr="001E788E">
        <w:rPr>
          <w:rFonts w:asciiTheme="minorHAnsi" w:hAnsiTheme="minorHAnsi" w:cstheme="minorHAnsi"/>
          <w:b/>
          <w:sz w:val="20"/>
          <w:szCs w:val="20"/>
        </w:rPr>
        <w:t>26</w:t>
      </w:r>
      <w:r w:rsidRPr="001E788E">
        <w:rPr>
          <w:rFonts w:asciiTheme="minorHAnsi" w:hAnsiTheme="minorHAnsi" w:cstheme="minorHAnsi"/>
          <w:sz w:val="20"/>
          <w:szCs w:val="20"/>
        </w:rPr>
        <w:t>(6):1501-11.</w:t>
      </w:r>
    </w:p>
  </w:endnote>
  <w:endnote w:id="23">
    <w:p w14:paraId="0D590684" w14:textId="0B42750B"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rPr>
        <w:t>Heslehurst</w:t>
      </w:r>
      <w:proofErr w:type="spellEnd"/>
      <w:r w:rsidRPr="001E788E">
        <w:rPr>
          <w:rFonts w:asciiTheme="minorHAnsi" w:hAnsiTheme="minorHAnsi" w:cstheme="minorHAnsi"/>
          <w:sz w:val="20"/>
          <w:szCs w:val="20"/>
        </w:rPr>
        <w:t xml:space="preserve"> N, Simpson H,</w:t>
      </w:r>
      <w:r w:rsidR="001A2433">
        <w:rPr>
          <w:rFonts w:asciiTheme="minorHAnsi" w:hAnsiTheme="minorHAnsi" w:cstheme="minorHAnsi"/>
          <w:sz w:val="20"/>
          <w:szCs w:val="20"/>
        </w:rPr>
        <w:t xml:space="preserve"> Ells LJ et al</w:t>
      </w:r>
      <w:r w:rsidRPr="001E788E">
        <w:rPr>
          <w:rFonts w:asciiTheme="minorHAnsi" w:hAnsiTheme="minorHAnsi" w:cstheme="minorHAnsi"/>
          <w:sz w:val="20"/>
          <w:szCs w:val="20"/>
        </w:rPr>
        <w:t xml:space="preserve">. </w:t>
      </w:r>
      <w:r w:rsidRPr="001E788E">
        <w:rPr>
          <w:rFonts w:asciiTheme="minorHAnsi" w:hAnsiTheme="minorHAnsi" w:cstheme="minorHAnsi"/>
          <w:i/>
          <w:sz w:val="20"/>
          <w:szCs w:val="20"/>
        </w:rPr>
        <w:t xml:space="preserve">The impact of </w:t>
      </w:r>
      <w:r w:rsidRPr="001E788E">
        <w:rPr>
          <w:rStyle w:val="highlight"/>
          <w:rFonts w:asciiTheme="minorHAnsi" w:hAnsiTheme="minorHAnsi" w:cstheme="minorHAnsi"/>
          <w:i/>
          <w:sz w:val="20"/>
          <w:szCs w:val="20"/>
        </w:rPr>
        <w:t>maternal</w:t>
      </w:r>
      <w:r w:rsidRPr="001E788E">
        <w:rPr>
          <w:rFonts w:asciiTheme="minorHAnsi" w:hAnsiTheme="minorHAnsi" w:cstheme="minorHAnsi"/>
          <w:i/>
          <w:sz w:val="20"/>
          <w:szCs w:val="20"/>
        </w:rPr>
        <w:t xml:space="preserve"> BMI status on pregnancy outcomes with immediate short-term obstetric resource implications: a meta-analysis</w:t>
      </w:r>
      <w:r w:rsidRPr="001E788E">
        <w:rPr>
          <w:rFonts w:asciiTheme="minorHAnsi" w:hAnsiTheme="minorHAnsi" w:cstheme="minorHAnsi"/>
          <w:sz w:val="20"/>
          <w:szCs w:val="20"/>
        </w:rPr>
        <w:t>.</w:t>
      </w:r>
      <w:r w:rsidRPr="001E788E">
        <w:rPr>
          <w:rStyle w:val="highlight"/>
          <w:rFonts w:asciiTheme="minorHAnsi" w:hAnsiTheme="minorHAnsi" w:cstheme="minorHAnsi"/>
          <w:sz w:val="20"/>
          <w:szCs w:val="20"/>
          <w:u w:val="single"/>
        </w:rPr>
        <w:t xml:space="preserve"> </w:t>
      </w:r>
      <w:proofErr w:type="spellStart"/>
      <w:r w:rsidRPr="001E788E">
        <w:rPr>
          <w:rStyle w:val="highlight"/>
          <w:rFonts w:asciiTheme="minorHAnsi" w:hAnsiTheme="minorHAnsi" w:cstheme="minorHAnsi"/>
          <w:sz w:val="20"/>
          <w:szCs w:val="20"/>
        </w:rPr>
        <w:t>Obes</w:t>
      </w:r>
      <w:proofErr w:type="spellEnd"/>
      <w:r w:rsidRPr="001E788E">
        <w:rPr>
          <w:rStyle w:val="highlight"/>
          <w:rFonts w:asciiTheme="minorHAnsi" w:hAnsiTheme="minorHAnsi" w:cstheme="minorHAnsi"/>
          <w:sz w:val="20"/>
          <w:szCs w:val="20"/>
        </w:rPr>
        <w:t xml:space="preserve"> Rev</w:t>
      </w:r>
      <w:r w:rsidRPr="001E788E">
        <w:rPr>
          <w:rFonts w:asciiTheme="minorHAnsi" w:hAnsiTheme="minorHAnsi" w:cstheme="minorHAnsi"/>
          <w:sz w:val="20"/>
          <w:szCs w:val="20"/>
        </w:rPr>
        <w:t>. 2008</w:t>
      </w:r>
      <w:proofErr w:type="gramStart"/>
      <w:r w:rsidRPr="001E788E">
        <w:rPr>
          <w:rFonts w:asciiTheme="minorHAnsi" w:hAnsiTheme="minorHAnsi" w:cstheme="minorHAnsi"/>
          <w:sz w:val="20"/>
          <w:szCs w:val="20"/>
        </w:rPr>
        <w:t>;</w:t>
      </w:r>
      <w:r w:rsidRPr="001E788E">
        <w:rPr>
          <w:rFonts w:asciiTheme="minorHAnsi" w:hAnsiTheme="minorHAnsi" w:cstheme="minorHAnsi"/>
          <w:b/>
          <w:sz w:val="20"/>
          <w:szCs w:val="20"/>
        </w:rPr>
        <w:t>9</w:t>
      </w:r>
      <w:proofErr w:type="gramEnd"/>
      <w:r w:rsidRPr="001E788E">
        <w:rPr>
          <w:rFonts w:asciiTheme="minorHAnsi" w:hAnsiTheme="minorHAnsi" w:cstheme="minorHAnsi"/>
          <w:sz w:val="20"/>
          <w:szCs w:val="20"/>
        </w:rPr>
        <w:t>(6):635-83.</w:t>
      </w:r>
    </w:p>
  </w:endnote>
  <w:endnote w:id="24">
    <w:p w14:paraId="2B5BBF76"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1E788E">
        <w:rPr>
          <w:rStyle w:val="Heading3Char"/>
          <w:rFonts w:asciiTheme="minorHAnsi" w:hAnsiTheme="minorHAnsi" w:cstheme="minorHAnsi"/>
          <w:b w:val="0"/>
          <w:bCs w:val="0"/>
          <w:i w:val="0"/>
          <w:sz w:val="20"/>
          <w:szCs w:val="20"/>
        </w:rPr>
        <w:t>HM Treasury. Public Service Agreements 2005-2008. HMSO; 2004</w:t>
      </w:r>
    </w:p>
  </w:endnote>
  <w:endnote w:id="25">
    <w:p w14:paraId="79CCCC9C"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 xml:space="preserve">Tackling Health Inequalities: 10 Years On A review of developments in tackling health inequalities in England over the last 10 years </w:t>
      </w:r>
      <w:r w:rsidRPr="001E788E">
        <w:rPr>
          <w:rFonts w:asciiTheme="minorHAnsi" w:hAnsiTheme="minorHAnsi" w:cstheme="minorHAnsi"/>
          <w:sz w:val="20"/>
          <w:szCs w:val="20"/>
        </w:rPr>
        <w:t xml:space="preserve">(2009) </w:t>
      </w:r>
      <w:r w:rsidRPr="001E788E">
        <w:rPr>
          <w:rFonts w:asciiTheme="minorHAnsi" w:hAnsiTheme="minorHAnsi" w:cstheme="minorHAnsi"/>
          <w:sz w:val="20"/>
          <w:szCs w:val="20"/>
          <w:lang w:eastAsia="en-GB"/>
        </w:rPr>
        <w:t>[WWW document] URL http://www.dh.gov.uk/prod_consum_dh/groups/dh_digitalassets/documents/digitalasset/dh_098934.pdf</w:t>
      </w:r>
    </w:p>
  </w:endnote>
  <w:endnote w:id="26">
    <w:p w14:paraId="40D26619" w14:textId="77777777" w:rsidR="000C4610" w:rsidRPr="001E788E" w:rsidRDefault="000C4610" w:rsidP="001E788E">
      <w:pPr>
        <w:spacing w:after="0" w:line="240" w:lineRule="auto"/>
        <w:rPr>
          <w:rFonts w:asciiTheme="minorHAnsi" w:hAnsiTheme="minorHAnsi" w:cstheme="minorHAnsi"/>
          <w:color w:val="000000"/>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WHO Commission on Social Determinants of Health Closing the Gap in a Generation.</w:t>
      </w:r>
      <w:r w:rsidRPr="001E788E">
        <w:rPr>
          <w:rFonts w:asciiTheme="minorHAnsi" w:hAnsiTheme="minorHAnsi" w:cstheme="minorHAnsi"/>
          <w:sz w:val="20"/>
          <w:szCs w:val="20"/>
        </w:rPr>
        <w:t xml:space="preserve"> (2008) </w:t>
      </w:r>
      <w:r w:rsidRPr="001E788E">
        <w:rPr>
          <w:rFonts w:asciiTheme="minorHAnsi" w:hAnsiTheme="minorHAnsi" w:cstheme="minorHAnsi"/>
          <w:sz w:val="20"/>
          <w:szCs w:val="20"/>
          <w:lang w:eastAsia="en-GB"/>
        </w:rPr>
        <w:t>[WWW document] URL http://whqlibdoc.who.int/publications/2008/9789241563703_eng.pdf</w:t>
      </w:r>
    </w:p>
  </w:endnote>
  <w:endnote w:id="27">
    <w:p w14:paraId="62A3966F" w14:textId="6E316AA2"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lang w:eastAsia="en-GB"/>
        </w:rPr>
        <w:t>Butland</w:t>
      </w:r>
      <w:proofErr w:type="spellEnd"/>
      <w:r w:rsidRPr="001E788E">
        <w:rPr>
          <w:rFonts w:asciiTheme="minorHAnsi" w:hAnsiTheme="minorHAnsi" w:cstheme="minorHAnsi"/>
          <w:sz w:val="20"/>
          <w:szCs w:val="20"/>
          <w:lang w:eastAsia="en-GB"/>
        </w:rPr>
        <w:t xml:space="preserve"> </w:t>
      </w:r>
      <w:r w:rsidR="001A2433">
        <w:rPr>
          <w:rFonts w:asciiTheme="minorHAnsi" w:hAnsiTheme="minorHAnsi" w:cstheme="minorHAnsi"/>
          <w:color w:val="000000"/>
          <w:sz w:val="20"/>
          <w:szCs w:val="20"/>
          <w:lang w:eastAsia="en-GB"/>
        </w:rPr>
        <w:t xml:space="preserve">B, </w:t>
      </w:r>
      <w:proofErr w:type="spellStart"/>
      <w:r w:rsidR="001A2433">
        <w:rPr>
          <w:rFonts w:asciiTheme="minorHAnsi" w:hAnsiTheme="minorHAnsi" w:cstheme="minorHAnsi"/>
          <w:color w:val="000000"/>
          <w:sz w:val="20"/>
          <w:szCs w:val="20"/>
          <w:lang w:eastAsia="en-GB"/>
        </w:rPr>
        <w:t>Jebb</w:t>
      </w:r>
      <w:proofErr w:type="spellEnd"/>
      <w:r w:rsidR="001A2433">
        <w:rPr>
          <w:rFonts w:asciiTheme="minorHAnsi" w:hAnsiTheme="minorHAnsi" w:cstheme="minorHAnsi"/>
          <w:color w:val="000000"/>
          <w:sz w:val="20"/>
          <w:szCs w:val="20"/>
          <w:lang w:eastAsia="en-GB"/>
        </w:rPr>
        <w:t xml:space="preserve"> S, </w:t>
      </w:r>
      <w:proofErr w:type="spellStart"/>
      <w:r w:rsidR="001A2433">
        <w:rPr>
          <w:rFonts w:asciiTheme="minorHAnsi" w:hAnsiTheme="minorHAnsi" w:cstheme="minorHAnsi"/>
          <w:color w:val="000000"/>
          <w:sz w:val="20"/>
          <w:szCs w:val="20"/>
          <w:lang w:eastAsia="en-GB"/>
        </w:rPr>
        <w:t>Kopelman</w:t>
      </w:r>
      <w:proofErr w:type="spellEnd"/>
      <w:r w:rsidR="001A2433">
        <w:rPr>
          <w:rFonts w:asciiTheme="minorHAnsi" w:hAnsiTheme="minorHAnsi" w:cstheme="minorHAnsi"/>
          <w:color w:val="000000"/>
          <w:sz w:val="20"/>
          <w:szCs w:val="20"/>
          <w:lang w:eastAsia="en-GB"/>
        </w:rPr>
        <w:t xml:space="preserve"> P et al</w:t>
      </w:r>
      <w:r w:rsidRPr="001E788E">
        <w:rPr>
          <w:rFonts w:asciiTheme="minorHAnsi" w:hAnsiTheme="minorHAnsi" w:cstheme="minorHAnsi"/>
          <w:color w:val="000000"/>
          <w:sz w:val="20"/>
          <w:szCs w:val="20"/>
          <w:lang w:eastAsia="en-GB"/>
        </w:rPr>
        <w:t xml:space="preserve">. </w:t>
      </w:r>
      <w:r w:rsidRPr="001E788E">
        <w:rPr>
          <w:rFonts w:asciiTheme="minorHAnsi" w:hAnsiTheme="minorHAnsi" w:cstheme="minorHAnsi"/>
          <w:i/>
          <w:sz w:val="20"/>
          <w:szCs w:val="20"/>
          <w:lang w:eastAsia="en-GB"/>
        </w:rPr>
        <w:t>Foresight Tackling Obesities: Future Choices Project report.</w:t>
      </w:r>
      <w:r w:rsidRPr="001E788E">
        <w:rPr>
          <w:rFonts w:asciiTheme="minorHAnsi" w:hAnsiTheme="minorHAnsi" w:cstheme="minorHAnsi"/>
          <w:sz w:val="20"/>
          <w:szCs w:val="20"/>
          <w:lang w:eastAsia="en-GB"/>
        </w:rPr>
        <w:t xml:space="preserve"> [WWW document] URL</w:t>
      </w:r>
      <w:r w:rsidRPr="001E788E">
        <w:rPr>
          <w:rFonts w:asciiTheme="minorHAnsi" w:hAnsiTheme="minorHAnsi" w:cstheme="minorHAnsi"/>
          <w:i/>
          <w:color w:val="FF0000"/>
          <w:sz w:val="20"/>
          <w:szCs w:val="20"/>
        </w:rPr>
        <w:t xml:space="preserve"> </w:t>
      </w:r>
      <w:r w:rsidRPr="001E788E">
        <w:rPr>
          <w:rFonts w:asciiTheme="minorHAnsi" w:hAnsiTheme="minorHAnsi" w:cstheme="minorHAnsi"/>
          <w:sz w:val="20"/>
          <w:szCs w:val="20"/>
        </w:rPr>
        <w:t>http://www.bis.gov.uk/assets/foresight/docs/obesity/17.pdf</w:t>
      </w:r>
    </w:p>
  </w:endnote>
  <w:endnote w:id="28">
    <w:p w14:paraId="38CF19DC"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lang w:eastAsia="en-GB"/>
        </w:rPr>
        <w:t>Cross-Government Obesity Unit.</w:t>
      </w:r>
      <w:proofErr w:type="gramEnd"/>
      <w:r w:rsidRPr="001E788E">
        <w:rPr>
          <w:rFonts w:asciiTheme="minorHAnsi" w:hAnsiTheme="minorHAnsi" w:cstheme="minorHAnsi"/>
          <w:sz w:val="20"/>
          <w:szCs w:val="20"/>
          <w:lang w:eastAsia="en-GB"/>
        </w:rPr>
        <w:t xml:space="preserve"> </w:t>
      </w:r>
      <w:r w:rsidRPr="001E788E">
        <w:rPr>
          <w:rFonts w:asciiTheme="minorHAnsi" w:hAnsiTheme="minorHAnsi" w:cstheme="minorHAnsi"/>
          <w:i/>
          <w:sz w:val="20"/>
          <w:szCs w:val="20"/>
          <w:lang w:eastAsia="en-GB"/>
        </w:rPr>
        <w:t>Healthy Weight, Healthy Lives: A Cross-Government Strategy for England</w:t>
      </w:r>
      <w:r w:rsidRPr="001E788E">
        <w:rPr>
          <w:rFonts w:asciiTheme="minorHAnsi" w:hAnsiTheme="minorHAnsi" w:cstheme="minorHAnsi"/>
          <w:sz w:val="20"/>
          <w:szCs w:val="20"/>
          <w:lang w:eastAsia="en-GB"/>
        </w:rPr>
        <w:t>. (2008) [WWW document] URL http://www.dh.gov.uk/en/Publicationsandstatistics/Publications/PublicationsPolicyAndGuidance/DH_082378</w:t>
      </w:r>
    </w:p>
  </w:endnote>
  <w:endnote w:id="29">
    <w:p w14:paraId="7C1FD839"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Healthy Lives, Healthy People: A call to action on obesity in England (2011)</w:t>
      </w:r>
      <w:r w:rsidRPr="001E788E">
        <w:rPr>
          <w:rFonts w:asciiTheme="minorHAnsi" w:hAnsiTheme="minorHAnsi" w:cstheme="minorHAnsi"/>
          <w:sz w:val="20"/>
          <w:szCs w:val="20"/>
          <w:lang w:eastAsia="en-GB"/>
        </w:rPr>
        <w:t xml:space="preserve"> [WWW document] URL </w:t>
      </w:r>
      <w:r w:rsidRPr="001E788E">
        <w:rPr>
          <w:rFonts w:asciiTheme="minorHAnsi" w:hAnsiTheme="minorHAnsi" w:cstheme="minorHAnsi"/>
          <w:sz w:val="20"/>
          <w:szCs w:val="20"/>
        </w:rPr>
        <w:t>http://www.dh.gov.uk/prod_consum_dh/groups/dh_digitalassets/documents/digitalasset/dh_130487.pdf</w:t>
      </w:r>
    </w:p>
  </w:endnote>
  <w:endnote w:id="30">
    <w:p w14:paraId="6CB6F199" w14:textId="77777777" w:rsidR="000C4610" w:rsidRPr="001E788E" w:rsidRDefault="000C4610" w:rsidP="001E788E">
      <w:pPr>
        <w:spacing w:after="0" w:line="240" w:lineRule="auto"/>
        <w:rPr>
          <w:rFonts w:asciiTheme="minorHAnsi" w:eastAsia="Times New Roman" w:hAnsiTheme="minorHAnsi" w:cstheme="minorHAnsi"/>
          <w:color w:val="000000"/>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1E788E">
        <w:rPr>
          <w:rFonts w:asciiTheme="minorHAnsi" w:eastAsia="Times New Roman" w:hAnsiTheme="minorHAnsi" w:cstheme="minorHAnsi"/>
          <w:sz w:val="20"/>
          <w:szCs w:val="20"/>
          <w:lang w:val="x-none" w:eastAsia="en-GB"/>
        </w:rPr>
        <w:t>McPherson</w:t>
      </w:r>
      <w:r w:rsidRPr="001E788E">
        <w:rPr>
          <w:rFonts w:asciiTheme="minorHAnsi" w:eastAsia="Times New Roman" w:hAnsiTheme="minorHAnsi" w:cstheme="minorHAnsi"/>
          <w:sz w:val="20"/>
          <w:szCs w:val="20"/>
          <w:lang w:eastAsia="en-GB"/>
        </w:rPr>
        <w:t xml:space="preserve"> K</w:t>
      </w:r>
      <w:r w:rsidRPr="001E788E">
        <w:rPr>
          <w:rFonts w:asciiTheme="minorHAnsi" w:eastAsia="Times New Roman" w:hAnsiTheme="minorHAnsi" w:cstheme="minorHAnsi"/>
          <w:sz w:val="20"/>
          <w:szCs w:val="20"/>
          <w:lang w:val="x-none" w:eastAsia="en-GB"/>
        </w:rPr>
        <w:t>, Brown</w:t>
      </w:r>
      <w:r w:rsidRPr="001E788E">
        <w:rPr>
          <w:rFonts w:asciiTheme="minorHAnsi" w:eastAsia="Times New Roman" w:hAnsiTheme="minorHAnsi" w:cstheme="minorHAnsi"/>
          <w:sz w:val="20"/>
          <w:szCs w:val="20"/>
          <w:lang w:eastAsia="en-GB"/>
        </w:rPr>
        <w:t xml:space="preserve"> M</w:t>
      </w:r>
      <w:r w:rsidRPr="001E788E">
        <w:rPr>
          <w:rFonts w:asciiTheme="minorHAnsi" w:eastAsia="Times New Roman" w:hAnsiTheme="minorHAnsi" w:cstheme="minorHAnsi"/>
          <w:sz w:val="20"/>
          <w:szCs w:val="20"/>
          <w:lang w:val="x-none" w:eastAsia="en-GB"/>
        </w:rPr>
        <w:t xml:space="preserve">, Marsh </w:t>
      </w:r>
      <w:r w:rsidRPr="001E788E">
        <w:rPr>
          <w:rFonts w:asciiTheme="minorHAnsi" w:eastAsia="Times New Roman" w:hAnsiTheme="minorHAnsi" w:cstheme="minorHAnsi"/>
          <w:sz w:val="20"/>
          <w:szCs w:val="20"/>
          <w:lang w:eastAsia="en-GB"/>
        </w:rPr>
        <w:t>T,</w:t>
      </w:r>
      <w:r w:rsidRPr="001E788E">
        <w:rPr>
          <w:rFonts w:asciiTheme="minorHAnsi" w:eastAsia="Times New Roman" w:hAnsiTheme="minorHAnsi" w:cstheme="minorHAnsi"/>
          <w:sz w:val="20"/>
          <w:szCs w:val="20"/>
          <w:lang w:val="x-none" w:eastAsia="en-GB"/>
        </w:rPr>
        <w:t xml:space="preserve"> </w:t>
      </w:r>
      <w:proofErr w:type="spellStart"/>
      <w:r w:rsidRPr="001E788E">
        <w:rPr>
          <w:rFonts w:asciiTheme="minorHAnsi" w:eastAsia="Times New Roman" w:hAnsiTheme="minorHAnsi" w:cstheme="minorHAnsi"/>
          <w:sz w:val="20"/>
          <w:szCs w:val="20"/>
          <w:lang w:val="x-none" w:eastAsia="en-GB"/>
        </w:rPr>
        <w:t>Byatt</w:t>
      </w:r>
      <w:proofErr w:type="spellEnd"/>
      <w:r w:rsidRPr="001E788E">
        <w:rPr>
          <w:rFonts w:asciiTheme="minorHAnsi" w:eastAsia="Times New Roman" w:hAnsiTheme="minorHAnsi" w:cstheme="minorHAnsi"/>
          <w:sz w:val="20"/>
          <w:szCs w:val="20"/>
          <w:lang w:eastAsia="en-GB"/>
        </w:rPr>
        <w:t xml:space="preserve"> T.</w:t>
      </w:r>
      <w:r w:rsidRPr="001E788E">
        <w:rPr>
          <w:rFonts w:asciiTheme="minorHAnsi" w:hAnsiTheme="minorHAnsi" w:cstheme="minorHAnsi"/>
          <w:sz w:val="20"/>
          <w:szCs w:val="20"/>
        </w:rPr>
        <w:t xml:space="preserve"> Obesity: Recent Trends in Children Aged 2-11y and 12-19y (2009)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sz w:val="20"/>
          <w:szCs w:val="20"/>
        </w:rPr>
        <w:t>http://nhfshare.heartforum.org.uk/RMAssets/NHFreports/Child_Obesity_short_Oct_09.pdf</w:t>
      </w:r>
    </w:p>
  </w:endnote>
  <w:endnote w:id="31">
    <w:p w14:paraId="415F7431"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r w:rsidRPr="001E788E">
        <w:rPr>
          <w:rFonts w:asciiTheme="minorHAnsi" w:eastAsia="Times New Roman" w:hAnsiTheme="minorHAnsi" w:cstheme="minorHAnsi"/>
          <w:sz w:val="20"/>
          <w:szCs w:val="20"/>
          <w:lang w:val="x-none" w:eastAsia="en-GB"/>
        </w:rPr>
        <w:t>Brown</w:t>
      </w:r>
      <w:r w:rsidRPr="001E788E">
        <w:rPr>
          <w:rFonts w:asciiTheme="minorHAnsi" w:eastAsia="Times New Roman" w:hAnsiTheme="minorHAnsi" w:cstheme="minorHAnsi"/>
          <w:sz w:val="20"/>
          <w:szCs w:val="20"/>
          <w:lang w:eastAsia="en-GB"/>
        </w:rPr>
        <w:t xml:space="preserve"> M,</w:t>
      </w:r>
      <w:r w:rsidRPr="001E788E">
        <w:rPr>
          <w:rFonts w:asciiTheme="minorHAnsi" w:eastAsia="Times New Roman" w:hAnsiTheme="minorHAnsi" w:cstheme="minorHAnsi"/>
          <w:sz w:val="20"/>
          <w:szCs w:val="20"/>
          <w:lang w:val="x-none" w:eastAsia="en-GB"/>
        </w:rPr>
        <w:t xml:space="preserve"> </w:t>
      </w:r>
      <w:proofErr w:type="spellStart"/>
      <w:r w:rsidRPr="001E788E">
        <w:rPr>
          <w:rFonts w:asciiTheme="minorHAnsi" w:eastAsia="Times New Roman" w:hAnsiTheme="minorHAnsi" w:cstheme="minorHAnsi"/>
          <w:sz w:val="20"/>
          <w:szCs w:val="20"/>
          <w:lang w:val="x-none" w:eastAsia="en-GB"/>
        </w:rPr>
        <w:t>Byatt</w:t>
      </w:r>
      <w:proofErr w:type="spellEnd"/>
      <w:r w:rsidRPr="001E788E">
        <w:rPr>
          <w:rFonts w:asciiTheme="minorHAnsi" w:eastAsia="Times New Roman" w:hAnsiTheme="minorHAnsi" w:cstheme="minorHAnsi"/>
          <w:sz w:val="20"/>
          <w:szCs w:val="20"/>
          <w:lang w:eastAsia="en-GB"/>
        </w:rPr>
        <w:t xml:space="preserve"> T,</w:t>
      </w:r>
      <w:r w:rsidRPr="001E788E">
        <w:rPr>
          <w:rFonts w:asciiTheme="minorHAnsi" w:eastAsia="Times New Roman" w:hAnsiTheme="minorHAnsi" w:cstheme="minorHAnsi"/>
          <w:sz w:val="20"/>
          <w:szCs w:val="20"/>
          <w:lang w:val="x-none" w:eastAsia="en-GB"/>
        </w:rPr>
        <w:t xml:space="preserve"> Marsh </w:t>
      </w:r>
      <w:r w:rsidRPr="001E788E">
        <w:rPr>
          <w:rFonts w:asciiTheme="minorHAnsi" w:eastAsia="Times New Roman" w:hAnsiTheme="minorHAnsi" w:cstheme="minorHAnsi"/>
          <w:sz w:val="20"/>
          <w:szCs w:val="20"/>
          <w:lang w:eastAsia="en-GB"/>
        </w:rPr>
        <w:t>T,</w:t>
      </w:r>
      <w:r w:rsidRPr="001E788E">
        <w:rPr>
          <w:rFonts w:asciiTheme="minorHAnsi" w:eastAsia="Times New Roman" w:hAnsiTheme="minorHAnsi" w:cstheme="minorHAnsi"/>
          <w:sz w:val="20"/>
          <w:szCs w:val="20"/>
          <w:lang w:val="x-none" w:eastAsia="en-GB"/>
        </w:rPr>
        <w:t xml:space="preserve"> </w:t>
      </w:r>
      <w:r w:rsidRPr="001E788E">
        <w:rPr>
          <w:rFonts w:asciiTheme="minorHAnsi" w:eastAsia="Times New Roman" w:hAnsiTheme="minorHAnsi" w:cstheme="minorHAnsi"/>
          <w:sz w:val="20"/>
          <w:szCs w:val="20"/>
          <w:lang w:eastAsia="en-GB"/>
        </w:rPr>
        <w:t xml:space="preserve"> </w:t>
      </w:r>
      <w:r w:rsidRPr="001E788E">
        <w:rPr>
          <w:rFonts w:asciiTheme="minorHAnsi" w:eastAsia="Times New Roman" w:hAnsiTheme="minorHAnsi" w:cstheme="minorHAnsi"/>
          <w:sz w:val="20"/>
          <w:szCs w:val="20"/>
          <w:lang w:val="x-none" w:eastAsia="en-GB"/>
        </w:rPr>
        <w:t>McPherson</w:t>
      </w:r>
      <w:r w:rsidRPr="001E788E">
        <w:rPr>
          <w:rFonts w:asciiTheme="minorHAnsi" w:eastAsia="Times New Roman" w:hAnsiTheme="minorHAnsi" w:cstheme="minorHAnsi"/>
          <w:sz w:val="20"/>
          <w:szCs w:val="20"/>
          <w:lang w:eastAsia="en-GB"/>
        </w:rPr>
        <w:t xml:space="preserve"> K.</w:t>
      </w:r>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Obesity Trends for Adults Analysis from the Health Survey for England 1993 – 2007 (2010) [WWW document] URL http://nhfshare.heartforum.org.uk/RMAssets/NHFreports/NHF_adultobese_long_170210.pdf</w:t>
      </w:r>
    </w:p>
  </w:endnote>
  <w:endnote w:id="32">
    <w:p w14:paraId="05F94E27" w14:textId="77777777" w:rsidR="000C4610" w:rsidRPr="001E788E" w:rsidRDefault="000C4610" w:rsidP="001E788E">
      <w:pPr>
        <w:spacing w:after="0" w:line="240" w:lineRule="auto"/>
        <w:rPr>
          <w:rFonts w:asciiTheme="minorHAnsi" w:hAnsiTheme="minorHAnsi" w:cstheme="minorHAnsi"/>
          <w:color w:val="FF0000"/>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lang w:eastAsia="en-GB"/>
        </w:rPr>
        <w:t>Wanless</w:t>
      </w:r>
      <w:proofErr w:type="spellEnd"/>
      <w:r w:rsidRPr="001E788E">
        <w:rPr>
          <w:rFonts w:asciiTheme="minorHAnsi" w:hAnsiTheme="minorHAnsi" w:cstheme="minorHAnsi"/>
          <w:sz w:val="20"/>
          <w:szCs w:val="20"/>
          <w:lang w:eastAsia="en-GB"/>
        </w:rPr>
        <w:t xml:space="preserve"> D. </w:t>
      </w:r>
      <w:r w:rsidRPr="001E788E">
        <w:rPr>
          <w:rFonts w:asciiTheme="minorHAnsi" w:hAnsiTheme="minorHAnsi" w:cstheme="minorHAnsi"/>
          <w:i/>
          <w:sz w:val="20"/>
          <w:szCs w:val="20"/>
          <w:lang w:eastAsia="en-GB"/>
        </w:rPr>
        <w:t xml:space="preserve">Securing our Future Health: Taking a Long-Term View. </w:t>
      </w:r>
      <w:r w:rsidRPr="001E788E">
        <w:rPr>
          <w:rFonts w:asciiTheme="minorHAnsi" w:hAnsiTheme="minorHAnsi" w:cstheme="minorHAnsi"/>
          <w:sz w:val="20"/>
          <w:szCs w:val="20"/>
          <w:lang w:eastAsia="en-GB"/>
        </w:rPr>
        <w:t>London: HM Treasury, 2002.</w:t>
      </w:r>
    </w:p>
  </w:endnote>
  <w:endnote w:id="33">
    <w:p w14:paraId="4837D32F" w14:textId="77777777" w:rsidR="000C4610" w:rsidRPr="001E788E" w:rsidRDefault="000C4610" w:rsidP="001E788E">
      <w:pPr>
        <w:spacing w:after="0" w:line="240" w:lineRule="auto"/>
        <w:rPr>
          <w:rFonts w:asciiTheme="minorHAnsi" w:hAnsiTheme="minorHAnsi" w:cstheme="minorHAnsi"/>
          <w: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lang w:eastAsia="en-GB"/>
        </w:rPr>
        <w:t>Wanless</w:t>
      </w:r>
      <w:proofErr w:type="spellEnd"/>
      <w:r w:rsidRPr="001E788E">
        <w:rPr>
          <w:rFonts w:asciiTheme="minorHAnsi" w:hAnsiTheme="minorHAnsi" w:cstheme="minorHAnsi"/>
          <w:sz w:val="20"/>
          <w:szCs w:val="20"/>
          <w:lang w:eastAsia="en-GB"/>
        </w:rPr>
        <w:t xml:space="preserve"> D. </w:t>
      </w:r>
      <w:r w:rsidRPr="001E788E">
        <w:rPr>
          <w:rFonts w:asciiTheme="minorHAnsi" w:hAnsiTheme="minorHAnsi" w:cstheme="minorHAnsi"/>
          <w:i/>
          <w:sz w:val="20"/>
          <w:szCs w:val="20"/>
          <w:lang w:eastAsia="en-GB"/>
        </w:rPr>
        <w:t>Securing good health for the whole population: final report</w:t>
      </w:r>
      <w:r w:rsidRPr="001E788E">
        <w:rPr>
          <w:rFonts w:asciiTheme="minorHAnsi" w:hAnsiTheme="minorHAnsi" w:cstheme="minorHAnsi"/>
          <w:sz w:val="20"/>
          <w:szCs w:val="20"/>
          <w:lang w:eastAsia="en-GB"/>
        </w:rPr>
        <w:t>. London: HM Treasury, 2004.</w:t>
      </w:r>
    </w:p>
  </w:endnote>
  <w:endnote w:id="34">
    <w:p w14:paraId="20AD8193"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lang w:eastAsia="en-GB"/>
        </w:rPr>
        <w:t>Cross-Government Obesity Unit.</w:t>
      </w:r>
      <w:proofErr w:type="gramEnd"/>
      <w:r w:rsidRPr="001E788E">
        <w:rPr>
          <w:rFonts w:asciiTheme="minorHAnsi" w:hAnsiTheme="minorHAnsi" w:cstheme="minorHAnsi"/>
          <w:sz w:val="20"/>
          <w:szCs w:val="20"/>
          <w:lang w:eastAsia="en-GB"/>
        </w:rPr>
        <w:t xml:space="preserve"> </w:t>
      </w:r>
      <w:r w:rsidRPr="001E788E">
        <w:rPr>
          <w:rFonts w:asciiTheme="minorHAnsi" w:hAnsiTheme="minorHAnsi" w:cstheme="minorHAnsi"/>
          <w:i/>
          <w:sz w:val="20"/>
          <w:szCs w:val="20"/>
          <w:lang w:eastAsia="en-GB"/>
        </w:rPr>
        <w:t>Healthy Weight, Healthy Lives: A Cross-Government Strategy for England. Equality Impact Assessment</w:t>
      </w:r>
      <w:r w:rsidRPr="001E788E">
        <w:rPr>
          <w:rFonts w:asciiTheme="minorHAnsi" w:hAnsiTheme="minorHAnsi" w:cstheme="minorHAnsi"/>
          <w:sz w:val="20"/>
          <w:szCs w:val="20"/>
          <w:lang w:eastAsia="en-GB"/>
        </w:rPr>
        <w:t xml:space="preserve"> (2008) [WWW document] URL http://www.dh.gov.uk/prod_consum_dh/groups/dh_digitalassets/documents/digitalasset/dh_082408.pdf</w:t>
      </w:r>
    </w:p>
  </w:endnote>
  <w:endnote w:id="35">
    <w:p w14:paraId="3B50B387"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r w:rsidRPr="001E788E">
        <w:rPr>
          <w:rFonts w:asciiTheme="minorHAnsi" w:hAnsiTheme="minorHAnsi" w:cstheme="minorHAnsi"/>
          <w:i/>
          <w:sz w:val="20"/>
          <w:szCs w:val="20"/>
        </w:rPr>
        <w:t>A call to action on obesity in England Equality Analysis</w:t>
      </w:r>
      <w:r w:rsidRPr="001E788E">
        <w:rPr>
          <w:rFonts w:asciiTheme="minorHAnsi" w:hAnsiTheme="minorHAnsi" w:cstheme="minorHAnsi"/>
          <w:sz w:val="20"/>
          <w:szCs w:val="20"/>
        </w:rPr>
        <w:t xml:space="preserve"> (2011)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sz w:val="20"/>
          <w:szCs w:val="20"/>
        </w:rPr>
        <w:t>http://www.dh.gov.uk/prod_consum_dh/groups/dh_digitalassets/documents/digitalasset/dh_130511.pdf</w:t>
      </w:r>
    </w:p>
  </w:endnote>
  <w:endnote w:id="36">
    <w:p w14:paraId="220414B1"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r w:rsidRPr="001E788E">
        <w:rPr>
          <w:rFonts w:asciiTheme="minorHAnsi" w:hAnsiTheme="minorHAnsi" w:cstheme="minorHAnsi"/>
          <w:i/>
          <w:sz w:val="20"/>
          <w:szCs w:val="20"/>
        </w:rPr>
        <w:t>Change for Life: One Year On</w:t>
      </w:r>
      <w:r w:rsidRPr="001E788E">
        <w:rPr>
          <w:rFonts w:asciiTheme="minorHAnsi" w:hAnsiTheme="minorHAnsi" w:cstheme="minorHAnsi"/>
          <w:sz w:val="20"/>
          <w:szCs w:val="20"/>
        </w:rPr>
        <w:t xml:space="preserve"> (2010)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sz w:val="20"/>
          <w:szCs w:val="20"/>
        </w:rPr>
        <w:t>http://www.dh.gov.uk/prod_consum_dh/groups/dh_digitalassets/@dh/@en/documents/digitalasset/dh_115511.pdf</w:t>
      </w:r>
    </w:p>
  </w:endnote>
  <w:endnote w:id="37">
    <w:p w14:paraId="119A8B31" w14:textId="77777777" w:rsidR="000C4610" w:rsidRPr="001E788E" w:rsidRDefault="000C4610" w:rsidP="001E788E">
      <w:pPr>
        <w:spacing w:after="0" w:line="240" w:lineRule="auto"/>
        <w:rPr>
          <w:rFonts w:asciiTheme="minorHAnsi" w:eastAsia="Times New Roman" w:hAnsiTheme="minorHAnsi" w:cstheme="minorHAnsi"/>
          <w:color w:val="000000"/>
          <w:sz w:val="20"/>
          <w:szCs w:val="20"/>
          <w:lang w:val="x-none"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National Institute of Clinical Excellence.</w:t>
      </w:r>
      <w:proofErr w:type="gramEnd"/>
      <w:r w:rsidRPr="001E788E">
        <w:rPr>
          <w:rFonts w:asciiTheme="minorHAnsi" w:hAnsiTheme="minorHAnsi" w:cstheme="minorHAnsi"/>
          <w:sz w:val="20"/>
          <w:szCs w:val="20"/>
        </w:rPr>
        <w:t xml:space="preserve"> </w:t>
      </w:r>
      <w:r w:rsidRPr="001E788E">
        <w:rPr>
          <w:rFonts w:asciiTheme="minorHAnsi" w:eastAsia="Times New Roman" w:hAnsiTheme="minorHAnsi" w:cstheme="minorHAnsi"/>
          <w:i/>
          <w:color w:val="000000"/>
          <w:sz w:val="20"/>
          <w:szCs w:val="20"/>
          <w:lang w:val="x-none" w:eastAsia="en-GB"/>
        </w:rPr>
        <w:t>Obesity: the prevention, identification,</w:t>
      </w:r>
      <w:r w:rsidRPr="001E788E">
        <w:rPr>
          <w:rFonts w:asciiTheme="minorHAnsi" w:eastAsia="Times New Roman" w:hAnsiTheme="minorHAnsi" w:cstheme="minorHAnsi"/>
          <w:i/>
          <w:color w:val="000000"/>
          <w:sz w:val="20"/>
          <w:szCs w:val="20"/>
          <w:lang w:eastAsia="en-GB"/>
        </w:rPr>
        <w:t xml:space="preserve"> </w:t>
      </w:r>
      <w:r w:rsidRPr="001E788E">
        <w:rPr>
          <w:rFonts w:asciiTheme="minorHAnsi" w:eastAsia="Times New Roman" w:hAnsiTheme="minorHAnsi" w:cstheme="minorHAnsi"/>
          <w:i/>
          <w:color w:val="000000"/>
          <w:sz w:val="20"/>
          <w:szCs w:val="20"/>
          <w:lang w:val="x-none" w:eastAsia="en-GB"/>
        </w:rPr>
        <w:t>assessment and management of overweight and</w:t>
      </w:r>
      <w:r w:rsidRPr="001E788E">
        <w:rPr>
          <w:rFonts w:asciiTheme="minorHAnsi" w:eastAsia="Times New Roman" w:hAnsiTheme="minorHAnsi" w:cstheme="minorHAnsi"/>
          <w:i/>
          <w:color w:val="000000"/>
          <w:sz w:val="20"/>
          <w:szCs w:val="20"/>
          <w:lang w:eastAsia="en-GB"/>
        </w:rPr>
        <w:t xml:space="preserve"> </w:t>
      </w:r>
      <w:r w:rsidRPr="001E788E">
        <w:rPr>
          <w:rFonts w:asciiTheme="minorHAnsi" w:eastAsia="Times New Roman" w:hAnsiTheme="minorHAnsi" w:cstheme="minorHAnsi"/>
          <w:i/>
          <w:color w:val="000000"/>
          <w:sz w:val="20"/>
          <w:szCs w:val="20"/>
          <w:lang w:val="x-none" w:eastAsia="en-GB"/>
        </w:rPr>
        <w:t>obesity in adults and childre</w:t>
      </w:r>
      <w:r w:rsidRPr="001E788E">
        <w:rPr>
          <w:rFonts w:asciiTheme="minorHAnsi" w:eastAsia="Times New Roman" w:hAnsiTheme="minorHAnsi" w:cstheme="minorHAnsi"/>
          <w:i/>
          <w:color w:val="000000"/>
          <w:sz w:val="20"/>
          <w:szCs w:val="20"/>
          <w:lang w:eastAsia="en-GB"/>
        </w:rPr>
        <w:t>n</w:t>
      </w:r>
      <w:r w:rsidRPr="001E788E">
        <w:rPr>
          <w:rFonts w:asciiTheme="minorHAnsi" w:eastAsia="Times New Roman" w:hAnsiTheme="minorHAnsi" w:cstheme="minorHAnsi"/>
          <w:color w:val="000000"/>
          <w:sz w:val="20"/>
          <w:szCs w:val="20"/>
          <w:lang w:eastAsia="en-GB"/>
        </w:rPr>
        <w:t xml:space="preserve"> (2006)</w:t>
      </w:r>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sz w:val="20"/>
          <w:szCs w:val="20"/>
        </w:rPr>
        <w:t>http://guidance.nice.org.uk/CG43/Guidance/Section</w:t>
      </w:r>
    </w:p>
  </w:endnote>
  <w:endnote w:id="38">
    <w:p w14:paraId="70DA95D0"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rPr>
        <w:t>Macran</w:t>
      </w:r>
      <w:proofErr w:type="spellEnd"/>
      <w:r w:rsidRPr="001E788E">
        <w:rPr>
          <w:rFonts w:asciiTheme="minorHAnsi" w:hAnsiTheme="minorHAnsi" w:cstheme="minorHAnsi"/>
          <w:sz w:val="20"/>
          <w:szCs w:val="20"/>
        </w:rPr>
        <w:t xml:space="preserve"> S. </w:t>
      </w:r>
      <w:r w:rsidRPr="001E788E">
        <w:rPr>
          <w:rFonts w:asciiTheme="minorHAnsi" w:hAnsiTheme="minorHAnsi" w:cstheme="minorHAnsi"/>
          <w:i/>
          <w:sz w:val="20"/>
          <w:szCs w:val="20"/>
          <w:lang w:eastAsia="en-GB"/>
        </w:rPr>
        <w:t>The Relationship between Body Mass Index and Health-Related Quality of Life</w:t>
      </w:r>
      <w:r w:rsidRPr="001E788E">
        <w:rPr>
          <w:rFonts w:asciiTheme="minorHAnsi" w:hAnsiTheme="minorHAnsi" w:cstheme="minorHAnsi"/>
          <w:sz w:val="20"/>
          <w:szCs w:val="20"/>
          <w:lang w:eastAsia="en-GB"/>
        </w:rPr>
        <w:t xml:space="preserve"> (2004) [WWW document] URL</w:t>
      </w:r>
      <w:r w:rsidRPr="001E788E">
        <w:rPr>
          <w:rFonts w:asciiTheme="minorHAnsi" w:hAnsiTheme="minorHAnsi" w:cstheme="minorHAnsi"/>
          <w:sz w:val="20"/>
          <w:szCs w:val="20"/>
        </w:rPr>
        <w:t xml:space="preserve"> https://www.york.ac.uk/media/che/documents/papers/discussionpapers/CHE%20Discussion%20Paper%20190.pdf</w:t>
      </w:r>
    </w:p>
  </w:endnote>
  <w:endnote w:id="39">
    <w:p w14:paraId="0CB2438D"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Scientific Advisory Committee on Nutrition.</w:t>
      </w:r>
      <w:proofErr w:type="gramEnd"/>
      <w:r w:rsidRPr="001E788E">
        <w:rPr>
          <w:rFonts w:asciiTheme="minorHAnsi" w:hAnsiTheme="minorHAnsi" w:cstheme="minorHAnsi"/>
          <w:sz w:val="20"/>
          <w:szCs w:val="20"/>
        </w:rPr>
        <w:t xml:space="preserve"> Dietary Reference Values for Energy (2011) </w:t>
      </w:r>
      <w:r w:rsidRPr="001E788E">
        <w:rPr>
          <w:rFonts w:asciiTheme="minorHAnsi" w:hAnsiTheme="minorHAnsi" w:cstheme="minorHAnsi"/>
          <w:sz w:val="20"/>
          <w:szCs w:val="20"/>
          <w:lang w:eastAsia="en-GB"/>
        </w:rPr>
        <w:t>[WWW document] URL</w:t>
      </w:r>
      <w:r w:rsidRPr="001E788E">
        <w:rPr>
          <w:rFonts w:asciiTheme="minorHAnsi" w:hAnsiTheme="minorHAnsi" w:cstheme="minorHAnsi"/>
          <w:sz w:val="20"/>
          <w:szCs w:val="20"/>
        </w:rPr>
        <w:t xml:space="preserve"> http://www.sacn.gov.uk/pdfs/sacn_dietary_reference_values_for_energy.pdf</w:t>
      </w:r>
    </w:p>
  </w:endnote>
  <w:endnote w:id="40">
    <w:p w14:paraId="2DD63CC9"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Statistics Commission.</w:t>
      </w:r>
      <w:proofErr w:type="gramEnd"/>
      <w:r w:rsidRPr="001E788E">
        <w:rPr>
          <w:rFonts w:asciiTheme="minorHAnsi" w:hAnsiTheme="minorHAnsi" w:cstheme="minorHAnsi"/>
          <w:sz w:val="20"/>
          <w:szCs w:val="20"/>
        </w:rPr>
        <w:t xml:space="preserve"> </w:t>
      </w:r>
      <w:r w:rsidRPr="001E788E">
        <w:rPr>
          <w:rFonts w:asciiTheme="minorHAnsi" w:hAnsiTheme="minorHAnsi" w:cstheme="minorHAnsi"/>
          <w:i/>
          <w:sz w:val="20"/>
          <w:szCs w:val="20"/>
        </w:rPr>
        <w:t>Statistics Commission Report No. 2 PSA Targets: The Devil in the Detail</w:t>
      </w:r>
      <w:r w:rsidRPr="001E788E">
        <w:rPr>
          <w:rFonts w:asciiTheme="minorHAnsi" w:hAnsiTheme="minorHAnsi" w:cstheme="minorHAnsi"/>
          <w:sz w:val="20"/>
          <w:szCs w:val="20"/>
        </w:rPr>
        <w:t>. London: HM Treasury, 2006.</w:t>
      </w:r>
    </w:p>
  </w:endnote>
  <w:endnote w:id="41">
    <w:p w14:paraId="0EE6A637"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i/>
          <w:sz w:val="20"/>
          <w:szCs w:val="20"/>
        </w:rPr>
        <w:t>Calorie Reduction</w:t>
      </w:r>
      <w:r w:rsidRPr="001E788E">
        <w:rPr>
          <w:rFonts w:asciiTheme="minorHAnsi" w:hAnsiTheme="minorHAnsi" w:cstheme="minorHAnsi"/>
          <w:sz w:val="20"/>
          <w:szCs w:val="20"/>
        </w:rPr>
        <w:t>.</w:t>
      </w:r>
      <w:proofErr w:type="gramEnd"/>
      <w:r w:rsidRPr="001E788E">
        <w:rPr>
          <w:rFonts w:asciiTheme="minorHAnsi" w:hAnsiTheme="minorHAnsi" w:cstheme="minorHAnsi"/>
          <w:sz w:val="20"/>
          <w:szCs w:val="20"/>
        </w:rPr>
        <w:t xml:space="preserve"> (2012) </w:t>
      </w:r>
      <w:r w:rsidRPr="001E788E">
        <w:rPr>
          <w:rFonts w:asciiTheme="minorHAnsi" w:hAnsiTheme="minorHAnsi" w:cstheme="minorHAnsi"/>
          <w:sz w:val="20"/>
          <w:szCs w:val="20"/>
          <w:lang w:eastAsia="en-GB"/>
        </w:rPr>
        <w:t>[WWW document] URL</w:t>
      </w:r>
      <w:r w:rsidRPr="001E788E">
        <w:rPr>
          <w:rFonts w:asciiTheme="minorHAnsi" w:hAnsiTheme="minorHAnsi" w:cstheme="minorHAnsi"/>
          <w:sz w:val="20"/>
          <w:szCs w:val="20"/>
        </w:rPr>
        <w:t xml:space="preserve"> </w:t>
      </w:r>
      <w:hyperlink r:id="rId6" w:history="1">
        <w:r w:rsidRPr="001E788E">
          <w:rPr>
            <w:rStyle w:val="Hyperlink"/>
            <w:rFonts w:asciiTheme="minorHAnsi" w:hAnsiTheme="minorHAnsi" w:cstheme="minorHAnsi"/>
            <w:color w:val="auto"/>
            <w:sz w:val="20"/>
            <w:szCs w:val="20"/>
            <w:u w:val="none"/>
          </w:rPr>
          <w:t>http://responsibilitydeal.dh.gov.uk/2012/03/26/f4-factsheet/</w:t>
        </w:r>
      </w:hyperlink>
    </w:p>
  </w:endnote>
  <w:endnote w:id="42">
    <w:p w14:paraId="4183527D"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i/>
          <w:sz w:val="20"/>
          <w:szCs w:val="20"/>
        </w:rPr>
        <w:t>Monitoring Healthy Weight Healthy Lives.</w:t>
      </w:r>
      <w:proofErr w:type="gramEnd"/>
      <w:r w:rsidRPr="001E788E">
        <w:rPr>
          <w:rFonts w:asciiTheme="minorHAnsi" w:hAnsiTheme="minorHAnsi" w:cstheme="minorHAnsi"/>
          <w:sz w:val="20"/>
          <w:szCs w:val="20"/>
        </w:rPr>
        <w:t xml:space="preserve"> (2010)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sz w:val="20"/>
          <w:szCs w:val="20"/>
        </w:rPr>
        <w:t>http://webarchive.nationalarchives.gov.uk/20100407220245/http://www.dh.gov.uk/prod_consum_dh/groups/dh_digitalassets/documents/digitalasset/dh_113496.pdf</w:t>
      </w:r>
    </w:p>
  </w:endnote>
  <w:endnote w:id="43">
    <w:p w14:paraId="66005C53"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r w:rsidRPr="001E788E">
        <w:rPr>
          <w:rStyle w:val="Heading3Char"/>
          <w:rFonts w:asciiTheme="minorHAnsi" w:hAnsiTheme="minorHAnsi" w:cstheme="minorHAnsi"/>
          <w:b w:val="0"/>
          <w:bCs w:val="0"/>
          <w:sz w:val="20"/>
          <w:szCs w:val="20"/>
        </w:rPr>
        <w:t>Healthy Weight, Healthy Lives: Two Years On</w:t>
      </w:r>
      <w:r w:rsidRPr="001E788E">
        <w:rPr>
          <w:rFonts w:asciiTheme="minorHAnsi" w:hAnsiTheme="minorHAnsi" w:cstheme="minorHAnsi"/>
          <w:sz w:val="20"/>
          <w:szCs w:val="20"/>
        </w:rPr>
        <w:t xml:space="preserve">. (2010)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sz w:val="20"/>
          <w:szCs w:val="20"/>
        </w:rPr>
        <w:t>http://webarchive.nationalarchives.gov.uk/20100407220245/http://www.dh.gov.uk/prod_consum_dh/groups/dh_digitalassets/documents/digitalasset/dh_114895.pdf</w:t>
      </w:r>
    </w:p>
  </w:endnote>
  <w:endnote w:id="44">
    <w:p w14:paraId="36E2D0F7"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The Information Centre.</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i/>
          <w:sz w:val="20"/>
          <w:szCs w:val="20"/>
          <w:lang w:eastAsia="en-GB"/>
        </w:rPr>
        <w:t>Quality and Outcomes Framework Achievement, prevalence and exceptions data 2011/12</w:t>
      </w:r>
      <w:r w:rsidRPr="001E788E">
        <w:rPr>
          <w:rFonts w:asciiTheme="minorHAnsi" w:hAnsiTheme="minorHAnsi" w:cstheme="minorHAnsi"/>
          <w:sz w:val="20"/>
          <w:szCs w:val="20"/>
          <w:lang w:eastAsia="en-GB"/>
        </w:rPr>
        <w:t>.</w:t>
      </w:r>
      <w:proofErr w:type="gramEnd"/>
      <w:r w:rsidRPr="001E788E">
        <w:rPr>
          <w:rFonts w:asciiTheme="minorHAnsi" w:hAnsiTheme="minorHAnsi" w:cstheme="minorHAnsi"/>
          <w:sz w:val="20"/>
          <w:szCs w:val="20"/>
          <w:lang w:eastAsia="en-GB"/>
        </w:rPr>
        <w:t xml:space="preserve"> (2012) [WWW document] URL</w:t>
      </w:r>
      <w:r w:rsidRPr="001E788E">
        <w:rPr>
          <w:rFonts w:asciiTheme="minorHAnsi" w:hAnsiTheme="minorHAnsi" w:cstheme="minorHAnsi"/>
          <w:sz w:val="20"/>
          <w:szCs w:val="20"/>
        </w:rPr>
        <w:t xml:space="preserve"> http://www.ic.nhs.uk/webfiles/publications/002_Audits/QOF_2011-12/qual_outc_fram_achi_prev_exce_eng_2011_12_rep.pdf</w:t>
      </w:r>
    </w:p>
  </w:endnote>
  <w:endnote w:id="45">
    <w:p w14:paraId="36777464"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The Information Centre.</w:t>
      </w:r>
      <w:proofErr w:type="gramEnd"/>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 xml:space="preserve">National Child Measurement Programme: England, 2010/11 school year </w:t>
      </w:r>
      <w:r w:rsidRPr="001E788E">
        <w:rPr>
          <w:rFonts w:asciiTheme="minorHAnsi" w:hAnsiTheme="minorHAnsi" w:cstheme="minorHAnsi"/>
          <w:sz w:val="20"/>
          <w:szCs w:val="20"/>
        </w:rPr>
        <w:t xml:space="preserve"> (2011) </w:t>
      </w:r>
      <w:r w:rsidRPr="001E788E">
        <w:rPr>
          <w:rFonts w:asciiTheme="minorHAnsi" w:hAnsiTheme="minorHAnsi" w:cstheme="minorHAnsi"/>
          <w:sz w:val="20"/>
          <w:szCs w:val="20"/>
          <w:lang w:eastAsia="en-GB"/>
        </w:rPr>
        <w:t>[WWW document] URL</w:t>
      </w:r>
      <w:r w:rsidRPr="001E788E">
        <w:rPr>
          <w:rFonts w:asciiTheme="minorHAnsi" w:hAnsiTheme="minorHAnsi" w:cstheme="minorHAnsi"/>
          <w:sz w:val="20"/>
          <w:szCs w:val="20"/>
        </w:rPr>
        <w:t xml:space="preserve"> http://www.ic.nhs.uk/webfiles/publications/003_Health_Lifestyles/ncmp%202010-11/NCMP_2010_11_Report.pdf</w:t>
      </w:r>
    </w:p>
  </w:endnote>
  <w:endnote w:id="46">
    <w:p w14:paraId="1FB8DFF2" w14:textId="0893F663"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proofErr w:type="gramStart"/>
      <w:r w:rsidRPr="001E788E">
        <w:rPr>
          <w:rFonts w:asciiTheme="minorHAnsi" w:hAnsiTheme="minorHAnsi" w:cstheme="minorHAnsi"/>
          <w:sz w:val="20"/>
          <w:szCs w:val="20"/>
        </w:rPr>
        <w:t>Gorber</w:t>
      </w:r>
      <w:proofErr w:type="spellEnd"/>
      <w:r w:rsidRPr="001E788E">
        <w:rPr>
          <w:rFonts w:asciiTheme="minorHAnsi" w:hAnsiTheme="minorHAnsi" w:cstheme="minorHAnsi"/>
          <w:sz w:val="20"/>
          <w:szCs w:val="20"/>
        </w:rPr>
        <w:t xml:space="preserve"> SC, Tremblay M, </w:t>
      </w:r>
      <w:proofErr w:type="spellStart"/>
      <w:r w:rsidRPr="001E788E">
        <w:rPr>
          <w:rFonts w:asciiTheme="minorHAnsi" w:hAnsiTheme="minorHAnsi" w:cstheme="minorHAnsi"/>
          <w:sz w:val="20"/>
          <w:szCs w:val="20"/>
        </w:rPr>
        <w:t>Moher</w:t>
      </w:r>
      <w:proofErr w:type="spellEnd"/>
      <w:r w:rsidRPr="001E788E">
        <w:rPr>
          <w:rFonts w:asciiTheme="minorHAnsi" w:hAnsiTheme="minorHAnsi" w:cstheme="minorHAnsi"/>
          <w:sz w:val="20"/>
          <w:szCs w:val="20"/>
        </w:rPr>
        <w:t xml:space="preserve">, D, </w:t>
      </w:r>
      <w:proofErr w:type="spellStart"/>
      <w:r w:rsidRPr="001E788E">
        <w:rPr>
          <w:rFonts w:asciiTheme="minorHAnsi" w:hAnsiTheme="minorHAnsi" w:cstheme="minorHAnsi"/>
          <w:sz w:val="20"/>
          <w:szCs w:val="20"/>
        </w:rPr>
        <w:t>Gorber</w:t>
      </w:r>
      <w:proofErr w:type="spellEnd"/>
      <w:r w:rsidRPr="001E788E">
        <w:rPr>
          <w:rFonts w:asciiTheme="minorHAnsi" w:hAnsiTheme="minorHAnsi" w:cstheme="minorHAnsi"/>
          <w:sz w:val="20"/>
          <w:szCs w:val="20"/>
        </w:rPr>
        <w:t>, B.</w:t>
      </w:r>
      <w:proofErr w:type="gramEnd"/>
      <w:r w:rsidRPr="001E788E">
        <w:rPr>
          <w:rFonts w:asciiTheme="minorHAnsi" w:hAnsiTheme="minorHAnsi" w:cstheme="minorHAnsi"/>
          <w:sz w:val="20"/>
          <w:szCs w:val="20"/>
        </w:rPr>
        <w:t xml:space="preserve"> A comparison of direct vs. self-report measures for assessing height, weight and body mass index: a systematic review. </w:t>
      </w:r>
      <w:r w:rsidRPr="001E788E">
        <w:rPr>
          <w:rFonts w:asciiTheme="minorHAnsi" w:hAnsiTheme="minorHAnsi" w:cstheme="minorHAnsi"/>
          <w:i/>
          <w:sz w:val="20"/>
          <w:szCs w:val="20"/>
        </w:rPr>
        <w:t>Obesity Reviews</w:t>
      </w:r>
      <w:r w:rsidRPr="001E788E">
        <w:rPr>
          <w:rFonts w:asciiTheme="minorHAnsi" w:hAnsiTheme="minorHAnsi" w:cstheme="minorHAnsi"/>
          <w:sz w:val="20"/>
          <w:szCs w:val="20"/>
        </w:rPr>
        <w:t xml:space="preserve"> (2007) </w:t>
      </w:r>
      <w:r w:rsidRPr="001E788E">
        <w:rPr>
          <w:rFonts w:asciiTheme="minorHAnsi" w:hAnsiTheme="minorHAnsi" w:cstheme="minorHAnsi"/>
          <w:b/>
          <w:sz w:val="20"/>
          <w:szCs w:val="20"/>
        </w:rPr>
        <w:t>8</w:t>
      </w:r>
      <w:r w:rsidRPr="001E788E">
        <w:rPr>
          <w:rFonts w:asciiTheme="minorHAnsi" w:hAnsiTheme="minorHAnsi" w:cstheme="minorHAnsi"/>
          <w:sz w:val="20"/>
          <w:szCs w:val="20"/>
        </w:rPr>
        <w:t>: 307–326.</w:t>
      </w:r>
    </w:p>
  </w:endnote>
  <w:endnote w:id="47">
    <w:p w14:paraId="1274028F"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hyperlink r:id="rId7" w:history="1">
        <w:proofErr w:type="spellStart"/>
        <w:r w:rsidRPr="001E788E">
          <w:rPr>
            <w:rStyle w:val="highlight"/>
            <w:rFonts w:asciiTheme="minorHAnsi" w:hAnsiTheme="minorHAnsi" w:cstheme="minorHAnsi"/>
            <w:sz w:val="20"/>
            <w:szCs w:val="20"/>
          </w:rPr>
          <w:t>Brestoff</w:t>
        </w:r>
        <w:proofErr w:type="spellEnd"/>
        <w:r w:rsidRPr="001E788E">
          <w:rPr>
            <w:rStyle w:val="Hyperlink"/>
            <w:rFonts w:asciiTheme="minorHAnsi" w:hAnsiTheme="minorHAnsi" w:cstheme="minorHAnsi"/>
            <w:color w:val="auto"/>
            <w:sz w:val="20"/>
            <w:szCs w:val="20"/>
            <w:u w:val="none"/>
          </w:rPr>
          <w:t xml:space="preserve"> JR</w:t>
        </w:r>
      </w:hyperlink>
      <w:r w:rsidRPr="001E788E">
        <w:rPr>
          <w:rFonts w:asciiTheme="minorHAnsi" w:hAnsiTheme="minorHAnsi" w:cstheme="minorHAnsi"/>
          <w:sz w:val="20"/>
          <w:szCs w:val="20"/>
        </w:rPr>
        <w:t xml:space="preserve">, </w:t>
      </w:r>
      <w:hyperlink r:id="rId8" w:history="1">
        <w:r w:rsidRPr="001E788E">
          <w:rPr>
            <w:rStyle w:val="Hyperlink"/>
            <w:rFonts w:asciiTheme="minorHAnsi" w:hAnsiTheme="minorHAnsi" w:cstheme="minorHAnsi"/>
            <w:color w:val="auto"/>
            <w:sz w:val="20"/>
            <w:szCs w:val="20"/>
            <w:u w:val="none"/>
          </w:rPr>
          <w:t>Perry IJ</w:t>
        </w:r>
      </w:hyperlink>
      <w:r w:rsidRPr="001E788E">
        <w:rPr>
          <w:rFonts w:asciiTheme="minorHAnsi" w:hAnsiTheme="minorHAnsi" w:cstheme="minorHAnsi"/>
          <w:sz w:val="20"/>
          <w:szCs w:val="20"/>
        </w:rPr>
        <w:t xml:space="preserve">, </w:t>
      </w:r>
      <w:hyperlink r:id="rId9" w:history="1">
        <w:r w:rsidRPr="001E788E">
          <w:rPr>
            <w:rStyle w:val="Hyperlink"/>
            <w:rFonts w:asciiTheme="minorHAnsi" w:hAnsiTheme="minorHAnsi" w:cstheme="minorHAnsi"/>
            <w:color w:val="auto"/>
            <w:sz w:val="20"/>
            <w:szCs w:val="20"/>
            <w:u w:val="none"/>
          </w:rPr>
          <w:t xml:space="preserve">Van den </w:t>
        </w:r>
        <w:proofErr w:type="spellStart"/>
        <w:r w:rsidRPr="001E788E">
          <w:rPr>
            <w:rStyle w:val="Hyperlink"/>
            <w:rFonts w:asciiTheme="minorHAnsi" w:hAnsiTheme="minorHAnsi" w:cstheme="minorHAnsi"/>
            <w:color w:val="auto"/>
            <w:sz w:val="20"/>
            <w:szCs w:val="20"/>
            <w:u w:val="none"/>
          </w:rPr>
          <w:t>Broeck</w:t>
        </w:r>
        <w:proofErr w:type="spellEnd"/>
        <w:r w:rsidRPr="001E788E">
          <w:rPr>
            <w:rStyle w:val="Hyperlink"/>
            <w:rFonts w:asciiTheme="minorHAnsi" w:hAnsiTheme="minorHAnsi" w:cstheme="minorHAnsi"/>
            <w:color w:val="auto"/>
            <w:sz w:val="20"/>
            <w:szCs w:val="20"/>
            <w:u w:val="none"/>
          </w:rPr>
          <w:t xml:space="preserve"> J</w:t>
        </w:r>
      </w:hyperlink>
      <w:r w:rsidRPr="001E788E">
        <w:rPr>
          <w:rFonts w:asciiTheme="minorHAnsi" w:hAnsiTheme="minorHAnsi" w:cstheme="minorHAnsi"/>
          <w:sz w:val="20"/>
          <w:szCs w:val="20"/>
        </w:rPr>
        <w:t xml:space="preserve">. </w:t>
      </w:r>
      <w:proofErr w:type="gramStart"/>
      <w:r w:rsidRPr="001E788E">
        <w:rPr>
          <w:rFonts w:asciiTheme="minorHAnsi" w:hAnsiTheme="minorHAnsi" w:cstheme="minorHAnsi"/>
          <w:i/>
          <w:sz w:val="20"/>
          <w:szCs w:val="20"/>
        </w:rPr>
        <w:t>Challenging the role of social norms regarding body weight as an explanation for weight, height, and BMI misreporting biases: development and application of a new approach to examining misreporting and misclassification bias in surveys</w:t>
      </w:r>
      <w:r w:rsidRPr="001E788E">
        <w:rPr>
          <w:rFonts w:asciiTheme="minorHAnsi" w:hAnsiTheme="minorHAnsi" w:cstheme="minorHAnsi"/>
          <w:sz w:val="20"/>
          <w:szCs w:val="20"/>
        </w:rPr>
        <w:t>.</w:t>
      </w:r>
      <w:proofErr w:type="gramEnd"/>
      <w:r w:rsidRPr="001E788E">
        <w:rPr>
          <w:rFonts w:asciiTheme="minorHAnsi" w:hAnsiTheme="minorHAnsi" w:cstheme="minorHAnsi"/>
          <w:sz w:val="20"/>
          <w:szCs w:val="20"/>
        </w:rPr>
        <w:t xml:space="preserve"> </w:t>
      </w:r>
      <w:hyperlink r:id="rId10" w:tooltip="BMC public health." w:history="1">
        <w:proofErr w:type="gramStart"/>
        <w:r w:rsidRPr="001E788E">
          <w:rPr>
            <w:rStyle w:val="Hyperlink"/>
            <w:rFonts w:asciiTheme="minorHAnsi" w:hAnsiTheme="minorHAnsi" w:cstheme="minorHAnsi"/>
            <w:color w:val="auto"/>
            <w:sz w:val="20"/>
            <w:szCs w:val="20"/>
            <w:u w:val="none"/>
          </w:rPr>
          <w:t>BMC Public Health.</w:t>
        </w:r>
        <w:proofErr w:type="gramEnd"/>
      </w:hyperlink>
      <w:r w:rsidRPr="001E788E">
        <w:rPr>
          <w:rFonts w:asciiTheme="minorHAnsi" w:hAnsiTheme="minorHAnsi" w:cstheme="minorHAnsi"/>
          <w:sz w:val="20"/>
          <w:szCs w:val="20"/>
        </w:rPr>
        <w:t xml:space="preserve"> </w:t>
      </w:r>
      <w:r w:rsidRPr="001E788E">
        <w:rPr>
          <w:rStyle w:val="highlight"/>
          <w:rFonts w:asciiTheme="minorHAnsi" w:hAnsiTheme="minorHAnsi" w:cstheme="minorHAnsi"/>
          <w:sz w:val="20"/>
          <w:szCs w:val="20"/>
        </w:rPr>
        <w:t>2011</w:t>
      </w:r>
      <w:proofErr w:type="gramStart"/>
      <w:r w:rsidRPr="001E788E">
        <w:rPr>
          <w:rFonts w:asciiTheme="minorHAnsi" w:hAnsiTheme="minorHAnsi" w:cstheme="minorHAnsi"/>
          <w:sz w:val="20"/>
          <w:szCs w:val="20"/>
        </w:rPr>
        <w:t>;11:331</w:t>
      </w:r>
      <w:proofErr w:type="gramEnd"/>
      <w:r w:rsidRPr="001E788E">
        <w:rPr>
          <w:rFonts w:asciiTheme="minorHAnsi" w:hAnsiTheme="minorHAnsi" w:cstheme="minorHAnsi"/>
          <w:sz w:val="20"/>
          <w:szCs w:val="20"/>
        </w:rPr>
        <w:t>.</w:t>
      </w:r>
    </w:p>
  </w:endnote>
  <w:endnote w:id="48">
    <w:p w14:paraId="0792F1E8" w14:textId="36C98D6D"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hyperlink r:id="rId11" w:history="1">
        <w:proofErr w:type="spellStart"/>
        <w:r w:rsidRPr="001E788E">
          <w:rPr>
            <w:rStyle w:val="highlight"/>
            <w:rFonts w:asciiTheme="minorHAnsi" w:hAnsiTheme="minorHAnsi" w:cstheme="minorHAnsi"/>
            <w:sz w:val="20"/>
            <w:szCs w:val="20"/>
          </w:rPr>
          <w:t>Shiely</w:t>
        </w:r>
        <w:proofErr w:type="spellEnd"/>
        <w:r w:rsidRPr="001E788E">
          <w:rPr>
            <w:rStyle w:val="Hyperlink"/>
            <w:rFonts w:asciiTheme="minorHAnsi" w:hAnsiTheme="minorHAnsi" w:cstheme="minorHAnsi"/>
            <w:color w:val="auto"/>
            <w:sz w:val="20"/>
            <w:szCs w:val="20"/>
            <w:u w:val="none"/>
          </w:rPr>
          <w:t xml:space="preserve"> F</w:t>
        </w:r>
      </w:hyperlink>
      <w:r w:rsidRPr="001E788E">
        <w:rPr>
          <w:rFonts w:asciiTheme="minorHAnsi" w:hAnsiTheme="minorHAnsi" w:cstheme="minorHAnsi"/>
          <w:sz w:val="20"/>
          <w:szCs w:val="20"/>
        </w:rPr>
        <w:t xml:space="preserve">, </w:t>
      </w:r>
      <w:hyperlink r:id="rId12" w:history="1">
        <w:r w:rsidRPr="001E788E">
          <w:rPr>
            <w:rStyle w:val="Hyperlink"/>
            <w:rFonts w:asciiTheme="minorHAnsi" w:hAnsiTheme="minorHAnsi" w:cstheme="minorHAnsi"/>
            <w:color w:val="auto"/>
            <w:sz w:val="20"/>
            <w:szCs w:val="20"/>
            <w:u w:val="none"/>
          </w:rPr>
          <w:t>Perry IJ</w:t>
        </w:r>
      </w:hyperlink>
      <w:r w:rsidRPr="001E788E">
        <w:rPr>
          <w:rFonts w:asciiTheme="minorHAnsi" w:hAnsiTheme="minorHAnsi" w:cstheme="minorHAnsi"/>
          <w:sz w:val="20"/>
          <w:szCs w:val="20"/>
        </w:rPr>
        <w:t xml:space="preserve">, </w:t>
      </w:r>
      <w:hyperlink r:id="rId13" w:history="1">
        <w:proofErr w:type="spellStart"/>
        <w:r w:rsidRPr="001E788E">
          <w:rPr>
            <w:rStyle w:val="Hyperlink"/>
            <w:rFonts w:asciiTheme="minorHAnsi" w:hAnsiTheme="minorHAnsi" w:cstheme="minorHAnsi"/>
            <w:color w:val="auto"/>
            <w:sz w:val="20"/>
            <w:szCs w:val="20"/>
            <w:u w:val="none"/>
          </w:rPr>
          <w:t>Lutomski</w:t>
        </w:r>
        <w:proofErr w:type="spellEnd"/>
        <w:r w:rsidRPr="001E788E">
          <w:rPr>
            <w:rStyle w:val="Hyperlink"/>
            <w:rFonts w:asciiTheme="minorHAnsi" w:hAnsiTheme="minorHAnsi" w:cstheme="minorHAnsi"/>
            <w:color w:val="auto"/>
            <w:sz w:val="20"/>
            <w:szCs w:val="20"/>
            <w:u w:val="none"/>
          </w:rPr>
          <w:t xml:space="preserve"> J</w:t>
        </w:r>
      </w:hyperlink>
      <w:r w:rsidR="001A2433">
        <w:rPr>
          <w:rFonts w:asciiTheme="minorHAnsi" w:hAnsiTheme="minorHAnsi" w:cstheme="minorHAnsi"/>
          <w:sz w:val="20"/>
          <w:szCs w:val="20"/>
        </w:rPr>
        <w:t xml:space="preserve"> et al</w:t>
      </w:r>
      <w:r w:rsidRPr="001E788E">
        <w:rPr>
          <w:rFonts w:asciiTheme="minorHAnsi" w:hAnsiTheme="minorHAnsi" w:cstheme="minorHAnsi"/>
          <w:sz w:val="20"/>
          <w:szCs w:val="20"/>
        </w:rPr>
        <w:t xml:space="preserve">. </w:t>
      </w:r>
      <w:r w:rsidRPr="001E788E">
        <w:rPr>
          <w:rFonts w:asciiTheme="minorHAnsi" w:hAnsiTheme="minorHAnsi" w:cstheme="minorHAnsi"/>
          <w:i/>
          <w:sz w:val="20"/>
          <w:szCs w:val="20"/>
        </w:rPr>
        <w:t>Temporal trends in misclassification patterns of measured and self-report based body mass index categories--findings from three population surveys in Ireland</w:t>
      </w:r>
      <w:r w:rsidRPr="001E788E">
        <w:rPr>
          <w:rFonts w:asciiTheme="minorHAnsi" w:hAnsiTheme="minorHAnsi" w:cstheme="minorHAnsi"/>
          <w:sz w:val="20"/>
          <w:szCs w:val="20"/>
        </w:rPr>
        <w:t xml:space="preserve">. </w:t>
      </w:r>
      <w:hyperlink r:id="rId14" w:tooltip="BMC public health." w:history="1">
        <w:proofErr w:type="gramStart"/>
        <w:r w:rsidRPr="001E788E">
          <w:rPr>
            <w:rStyle w:val="Hyperlink"/>
            <w:rFonts w:asciiTheme="minorHAnsi" w:hAnsiTheme="minorHAnsi" w:cstheme="minorHAnsi"/>
            <w:color w:val="auto"/>
            <w:sz w:val="20"/>
            <w:szCs w:val="20"/>
            <w:u w:val="none"/>
          </w:rPr>
          <w:t>BMC Public Health.</w:t>
        </w:r>
        <w:proofErr w:type="gramEnd"/>
      </w:hyperlink>
      <w:r w:rsidRPr="001E788E">
        <w:rPr>
          <w:rFonts w:asciiTheme="minorHAnsi" w:hAnsiTheme="minorHAnsi" w:cstheme="minorHAnsi"/>
          <w:sz w:val="20"/>
          <w:szCs w:val="20"/>
        </w:rPr>
        <w:t xml:space="preserve"> 2010</w:t>
      </w:r>
      <w:proofErr w:type="gramStart"/>
      <w:r w:rsidRPr="001E788E">
        <w:rPr>
          <w:rFonts w:asciiTheme="minorHAnsi" w:hAnsiTheme="minorHAnsi" w:cstheme="minorHAnsi"/>
          <w:sz w:val="20"/>
          <w:szCs w:val="20"/>
        </w:rPr>
        <w:t>;10:560</w:t>
      </w:r>
      <w:proofErr w:type="gramEnd"/>
      <w:r w:rsidRPr="001E788E">
        <w:rPr>
          <w:rFonts w:asciiTheme="minorHAnsi" w:hAnsiTheme="minorHAnsi" w:cstheme="minorHAnsi"/>
          <w:sz w:val="20"/>
          <w:szCs w:val="20"/>
        </w:rPr>
        <w:t>.</w:t>
      </w:r>
    </w:p>
  </w:endnote>
  <w:endnote w:id="49">
    <w:p w14:paraId="60BF7F2C" w14:textId="60BBFB9F"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hyperlink r:id="rId15" w:history="1">
        <w:proofErr w:type="spellStart"/>
        <w:r w:rsidRPr="001E788E">
          <w:rPr>
            <w:rFonts w:asciiTheme="minorHAnsi" w:hAnsiTheme="minorHAnsi" w:cstheme="minorHAnsi"/>
            <w:color w:val="2F4A8B"/>
            <w:sz w:val="20"/>
            <w:szCs w:val="20"/>
            <w:u w:val="single"/>
          </w:rPr>
          <w:t>Verweij</w:t>
        </w:r>
        <w:proofErr w:type="spellEnd"/>
        <w:r w:rsidRPr="001E788E">
          <w:rPr>
            <w:rFonts w:asciiTheme="minorHAnsi" w:hAnsiTheme="minorHAnsi" w:cstheme="minorHAnsi"/>
            <w:color w:val="2F4A8B"/>
            <w:sz w:val="20"/>
            <w:szCs w:val="20"/>
            <w:u w:val="single"/>
          </w:rPr>
          <w:t xml:space="preserve"> LM</w:t>
        </w:r>
      </w:hyperlink>
      <w:r w:rsidRPr="001E788E">
        <w:rPr>
          <w:rFonts w:asciiTheme="minorHAnsi" w:hAnsiTheme="minorHAnsi" w:cstheme="minorHAnsi"/>
          <w:sz w:val="20"/>
          <w:szCs w:val="20"/>
        </w:rPr>
        <w:t xml:space="preserve">, </w:t>
      </w:r>
      <w:hyperlink r:id="rId16" w:history="1">
        <w:proofErr w:type="spellStart"/>
        <w:r w:rsidRPr="001E788E">
          <w:rPr>
            <w:rFonts w:asciiTheme="minorHAnsi" w:hAnsiTheme="minorHAnsi" w:cstheme="minorHAnsi"/>
            <w:color w:val="2F4A8B"/>
            <w:sz w:val="20"/>
            <w:szCs w:val="20"/>
            <w:u w:val="single"/>
          </w:rPr>
          <w:t>Terwee</w:t>
        </w:r>
        <w:proofErr w:type="spellEnd"/>
        <w:r w:rsidRPr="001E788E">
          <w:rPr>
            <w:rFonts w:asciiTheme="minorHAnsi" w:hAnsiTheme="minorHAnsi" w:cstheme="minorHAnsi"/>
            <w:color w:val="2F4A8B"/>
            <w:sz w:val="20"/>
            <w:szCs w:val="20"/>
            <w:u w:val="single"/>
          </w:rPr>
          <w:t xml:space="preserve"> CB</w:t>
        </w:r>
      </w:hyperlink>
      <w:r w:rsidRPr="001E788E">
        <w:rPr>
          <w:rFonts w:asciiTheme="minorHAnsi" w:hAnsiTheme="minorHAnsi" w:cstheme="minorHAnsi"/>
          <w:sz w:val="20"/>
          <w:szCs w:val="20"/>
        </w:rPr>
        <w:t xml:space="preserve">, </w:t>
      </w:r>
      <w:hyperlink r:id="rId17" w:history="1">
        <w:r w:rsidRPr="001E788E">
          <w:rPr>
            <w:rFonts w:asciiTheme="minorHAnsi" w:hAnsiTheme="minorHAnsi" w:cstheme="minorHAnsi"/>
            <w:color w:val="2F4A8B"/>
            <w:sz w:val="20"/>
            <w:szCs w:val="20"/>
            <w:u w:val="single"/>
          </w:rPr>
          <w:t>Proper KI</w:t>
        </w:r>
      </w:hyperlink>
      <w:r w:rsidRPr="001E788E">
        <w:rPr>
          <w:rFonts w:asciiTheme="minorHAnsi" w:hAnsiTheme="minorHAnsi" w:cstheme="minorHAnsi"/>
          <w:sz w:val="20"/>
          <w:szCs w:val="20"/>
        </w:rPr>
        <w:t xml:space="preserve">, </w:t>
      </w:r>
      <w:hyperlink r:id="rId18" w:history="1">
        <w:r w:rsidRPr="001E788E">
          <w:rPr>
            <w:rFonts w:asciiTheme="minorHAnsi" w:hAnsiTheme="minorHAnsi" w:cstheme="minorHAnsi"/>
            <w:color w:val="2F4A8B"/>
            <w:sz w:val="20"/>
            <w:szCs w:val="20"/>
            <w:u w:val="single"/>
          </w:rPr>
          <w:t>Hulshof CT</w:t>
        </w:r>
      </w:hyperlink>
      <w:r w:rsidRPr="001E788E">
        <w:rPr>
          <w:rFonts w:asciiTheme="minorHAnsi" w:hAnsiTheme="minorHAnsi" w:cstheme="minorHAnsi"/>
          <w:sz w:val="20"/>
          <w:szCs w:val="20"/>
        </w:rPr>
        <w:t xml:space="preserve">, </w:t>
      </w:r>
      <w:hyperlink r:id="rId19" w:history="1">
        <w:r w:rsidRPr="001E788E">
          <w:rPr>
            <w:rFonts w:asciiTheme="minorHAnsi" w:hAnsiTheme="minorHAnsi" w:cstheme="minorHAnsi"/>
            <w:color w:val="2F4A8B"/>
            <w:sz w:val="20"/>
            <w:szCs w:val="20"/>
            <w:u w:val="single"/>
          </w:rPr>
          <w:t xml:space="preserve">van </w:t>
        </w:r>
        <w:proofErr w:type="spellStart"/>
        <w:r w:rsidRPr="001E788E">
          <w:rPr>
            <w:rFonts w:asciiTheme="minorHAnsi" w:hAnsiTheme="minorHAnsi" w:cstheme="minorHAnsi"/>
            <w:color w:val="2F4A8B"/>
            <w:sz w:val="20"/>
            <w:szCs w:val="20"/>
            <w:u w:val="single"/>
          </w:rPr>
          <w:t>Mechelen</w:t>
        </w:r>
        <w:proofErr w:type="spellEnd"/>
        <w:r w:rsidRPr="001E788E">
          <w:rPr>
            <w:rFonts w:asciiTheme="minorHAnsi" w:hAnsiTheme="minorHAnsi" w:cstheme="minorHAnsi"/>
            <w:color w:val="2F4A8B"/>
            <w:sz w:val="20"/>
            <w:szCs w:val="20"/>
            <w:u w:val="single"/>
          </w:rPr>
          <w:t xml:space="preserve"> W</w:t>
        </w:r>
      </w:hyperlink>
      <w:r w:rsidRPr="001E788E">
        <w:rPr>
          <w:rFonts w:asciiTheme="minorHAnsi" w:hAnsiTheme="minorHAnsi" w:cstheme="minorHAnsi"/>
          <w:sz w:val="20"/>
          <w:szCs w:val="20"/>
        </w:rPr>
        <w:t xml:space="preserve">. Measurement error of waist circumference: gaps in knowledge. </w:t>
      </w:r>
      <w:hyperlink r:id="rId20" w:tooltip="Public health nutrition." w:history="1">
        <w:proofErr w:type="gramStart"/>
        <w:r w:rsidRPr="001E788E">
          <w:rPr>
            <w:rFonts w:asciiTheme="minorHAnsi" w:hAnsiTheme="minorHAnsi" w:cstheme="minorHAnsi"/>
            <w:color w:val="2F4A8B"/>
            <w:sz w:val="20"/>
            <w:szCs w:val="20"/>
            <w:u w:val="single"/>
          </w:rPr>
          <w:t>Public Health Nutrition.</w:t>
        </w:r>
        <w:proofErr w:type="gramEnd"/>
      </w:hyperlink>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(2012) 25:1-8.</w:t>
      </w:r>
      <w:proofErr w:type="gramEnd"/>
    </w:p>
  </w:endnote>
  <w:endnote w:id="50">
    <w:p w14:paraId="79741249" w14:textId="58554082"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rPr>
        <w:t>Mäki-Opas</w:t>
      </w:r>
      <w:proofErr w:type="spellEnd"/>
      <w:r w:rsidRPr="001E788E">
        <w:rPr>
          <w:rFonts w:asciiTheme="minorHAnsi" w:hAnsiTheme="minorHAnsi" w:cstheme="minorHAnsi"/>
          <w:sz w:val="20"/>
          <w:szCs w:val="20"/>
        </w:rPr>
        <w:t xml:space="preserve"> J, </w:t>
      </w:r>
      <w:proofErr w:type="spellStart"/>
      <w:r w:rsidRPr="001E788E">
        <w:rPr>
          <w:rFonts w:asciiTheme="minorHAnsi" w:hAnsiTheme="minorHAnsi" w:cstheme="minorHAnsi"/>
          <w:sz w:val="20"/>
          <w:szCs w:val="20"/>
        </w:rPr>
        <w:t>Koponen</w:t>
      </w:r>
      <w:proofErr w:type="spellEnd"/>
      <w:r w:rsidRPr="001E788E">
        <w:rPr>
          <w:rFonts w:asciiTheme="minorHAnsi" w:hAnsiTheme="minorHAnsi" w:cstheme="minorHAnsi"/>
          <w:sz w:val="20"/>
          <w:szCs w:val="20"/>
        </w:rPr>
        <w:t xml:space="preserve"> P, </w:t>
      </w:r>
      <w:proofErr w:type="spellStart"/>
      <w:proofErr w:type="gramStart"/>
      <w:r w:rsidRPr="001E788E">
        <w:rPr>
          <w:rFonts w:asciiTheme="minorHAnsi" w:hAnsiTheme="minorHAnsi" w:cstheme="minorHAnsi"/>
          <w:sz w:val="20"/>
          <w:szCs w:val="20"/>
        </w:rPr>
        <w:t>Tolonen</w:t>
      </w:r>
      <w:proofErr w:type="spellEnd"/>
      <w:r w:rsidRPr="001E788E">
        <w:rPr>
          <w:rFonts w:asciiTheme="minorHAnsi" w:hAnsiTheme="minorHAnsi" w:cstheme="minorHAnsi"/>
          <w:sz w:val="20"/>
          <w:szCs w:val="20"/>
        </w:rPr>
        <w:t xml:space="preserve">  H</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section</w:t>
      </w:r>
      <w:proofErr w:type="gramEnd"/>
      <w:r w:rsidRPr="001E788E">
        <w:rPr>
          <w:rFonts w:asciiTheme="minorHAnsi" w:hAnsiTheme="minorHAnsi" w:cstheme="minorHAnsi"/>
          <w:sz w:val="20"/>
          <w:szCs w:val="20"/>
        </w:rPr>
        <w:t xml:space="preserve"> 5.4 Waist Circumference. </w:t>
      </w:r>
      <w:proofErr w:type="gramStart"/>
      <w:r w:rsidRPr="001E788E">
        <w:rPr>
          <w:rFonts w:asciiTheme="minorHAnsi" w:hAnsiTheme="minorHAnsi" w:cstheme="minorHAnsi"/>
          <w:sz w:val="20"/>
          <w:szCs w:val="20"/>
        </w:rPr>
        <w:t>In Chapter 5.</w:t>
      </w:r>
      <w:proofErr w:type="gramEnd"/>
      <w:r w:rsidRPr="001E788E">
        <w:rPr>
          <w:rFonts w:asciiTheme="minorHAnsi" w:hAnsiTheme="minorHAnsi" w:cstheme="minorHAnsi"/>
          <w:sz w:val="20"/>
          <w:szCs w:val="20"/>
        </w:rPr>
        <w:t xml:space="preserve"> Core measurements, In European Health Examination survey (EHES) Manual Part B. Fieldwork. (2011) [WWW document] URL </w:t>
      </w:r>
      <w:hyperlink r:id="rId21" w:history="1">
        <w:r w:rsidRPr="001E788E">
          <w:rPr>
            <w:rStyle w:val="Hyperlink"/>
            <w:rFonts w:asciiTheme="minorHAnsi" w:hAnsiTheme="minorHAnsi" w:cstheme="minorHAnsi"/>
            <w:sz w:val="20"/>
            <w:szCs w:val="20"/>
          </w:rPr>
          <w:t>http://www.ehes.info/manuals/EHES_manual/PartB/Chapter5.pdf</w:t>
        </w:r>
      </w:hyperlink>
      <w:r w:rsidRPr="001E788E">
        <w:rPr>
          <w:rFonts w:asciiTheme="minorHAnsi" w:hAnsiTheme="minorHAnsi" w:cstheme="minorHAnsi"/>
          <w:sz w:val="20"/>
          <w:szCs w:val="20"/>
        </w:rPr>
        <w:t xml:space="preserve"> (p30)</w:t>
      </w:r>
    </w:p>
  </w:endnote>
  <w:endnote w:id="51">
    <w:p w14:paraId="4BDE4AB1" w14:textId="4BBA3D00"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hyperlink r:id="rId22" w:history="1">
        <w:r w:rsidRPr="001E788E">
          <w:rPr>
            <w:rFonts w:asciiTheme="minorHAnsi" w:hAnsiTheme="minorHAnsi" w:cstheme="minorHAnsi"/>
            <w:color w:val="2F4A8B"/>
            <w:sz w:val="20"/>
            <w:szCs w:val="20"/>
            <w:u w:val="single"/>
          </w:rPr>
          <w:t>Ma WY</w:t>
        </w:r>
      </w:hyperlink>
      <w:r w:rsidRPr="001E788E">
        <w:rPr>
          <w:rFonts w:asciiTheme="minorHAnsi" w:hAnsiTheme="minorHAnsi" w:cstheme="minorHAnsi"/>
          <w:sz w:val="20"/>
          <w:szCs w:val="20"/>
        </w:rPr>
        <w:t xml:space="preserve">, </w:t>
      </w:r>
      <w:hyperlink r:id="rId23" w:history="1">
        <w:r w:rsidRPr="001E788E">
          <w:rPr>
            <w:rFonts w:asciiTheme="minorHAnsi" w:hAnsiTheme="minorHAnsi" w:cstheme="minorHAnsi"/>
            <w:color w:val="2F4A8B"/>
            <w:sz w:val="20"/>
            <w:szCs w:val="20"/>
            <w:u w:val="single"/>
          </w:rPr>
          <w:t>Yang CY</w:t>
        </w:r>
      </w:hyperlink>
      <w:r w:rsidRPr="001E788E">
        <w:rPr>
          <w:rFonts w:asciiTheme="minorHAnsi" w:hAnsiTheme="minorHAnsi" w:cstheme="minorHAnsi"/>
          <w:sz w:val="20"/>
          <w:szCs w:val="20"/>
        </w:rPr>
        <w:t xml:space="preserve">, </w:t>
      </w:r>
      <w:hyperlink r:id="rId24" w:history="1">
        <w:r w:rsidRPr="001E788E">
          <w:rPr>
            <w:rFonts w:asciiTheme="minorHAnsi" w:hAnsiTheme="minorHAnsi" w:cstheme="minorHAnsi"/>
            <w:color w:val="2F4A8B"/>
            <w:sz w:val="20"/>
            <w:szCs w:val="20"/>
            <w:u w:val="single"/>
          </w:rPr>
          <w:t>Shih SR</w:t>
        </w:r>
      </w:hyperlink>
      <w:r w:rsidR="001A2433">
        <w:rPr>
          <w:rFonts w:asciiTheme="minorHAnsi" w:hAnsiTheme="minorHAnsi" w:cstheme="minorHAnsi"/>
          <w:sz w:val="20"/>
          <w:szCs w:val="20"/>
        </w:rPr>
        <w:t xml:space="preserve"> et al</w:t>
      </w:r>
      <w:r w:rsidRPr="001E788E">
        <w:rPr>
          <w:rFonts w:asciiTheme="minorHAnsi" w:hAnsiTheme="minorHAnsi" w:cstheme="minorHAnsi"/>
          <w:sz w:val="20"/>
          <w:szCs w:val="20"/>
        </w:rPr>
        <w:t xml:space="preserve">. Measurement of Waist Circumference: </w:t>
      </w:r>
      <w:proofErr w:type="spellStart"/>
      <w:r w:rsidRPr="001E788E">
        <w:rPr>
          <w:rFonts w:asciiTheme="minorHAnsi" w:hAnsiTheme="minorHAnsi" w:cstheme="minorHAnsi"/>
          <w:sz w:val="20"/>
          <w:szCs w:val="20"/>
        </w:rPr>
        <w:t>Midabdominal</w:t>
      </w:r>
      <w:proofErr w:type="spellEnd"/>
      <w:r w:rsidRPr="001E788E">
        <w:rPr>
          <w:rFonts w:asciiTheme="minorHAnsi" w:hAnsiTheme="minorHAnsi" w:cstheme="minorHAnsi"/>
          <w:sz w:val="20"/>
          <w:szCs w:val="20"/>
        </w:rPr>
        <w:t xml:space="preserve"> or iliac crest? </w:t>
      </w:r>
      <w:hyperlink r:id="rId25" w:tooltip="Diabetes care." w:history="1">
        <w:proofErr w:type="gramStart"/>
        <w:r w:rsidRPr="001E788E">
          <w:rPr>
            <w:rFonts w:asciiTheme="minorHAnsi" w:hAnsiTheme="minorHAnsi" w:cstheme="minorHAnsi"/>
            <w:color w:val="2F4A8B"/>
            <w:sz w:val="20"/>
            <w:szCs w:val="20"/>
            <w:u w:val="single"/>
          </w:rPr>
          <w:t>Diabetes Care.</w:t>
        </w:r>
        <w:proofErr w:type="gramEnd"/>
      </w:hyperlink>
      <w:r w:rsidRPr="001E788E">
        <w:rPr>
          <w:rFonts w:asciiTheme="minorHAnsi" w:hAnsiTheme="minorHAnsi" w:cstheme="minorHAnsi"/>
          <w:sz w:val="20"/>
          <w:szCs w:val="20"/>
        </w:rPr>
        <w:t xml:space="preserve"> (2012).</w:t>
      </w:r>
    </w:p>
  </w:endnote>
  <w:endnote w:id="52">
    <w:p w14:paraId="5CD2BED5" w14:textId="2BCAB5FF"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Oyebode O, Bell R, Mindell J. Use of the Health Survey for England: A Qualitative Study.</w:t>
      </w:r>
      <w:r w:rsidR="001A2433">
        <w:rPr>
          <w:rFonts w:asciiTheme="minorHAnsi" w:hAnsiTheme="minorHAnsi" w:cstheme="minorHAnsi"/>
          <w:sz w:val="20"/>
          <w:szCs w:val="20"/>
        </w:rPr>
        <w:t xml:space="preserve"> (Manuscript in preparation</w:t>
      </w:r>
      <w:r w:rsidRPr="001E788E">
        <w:rPr>
          <w:rFonts w:asciiTheme="minorHAnsi" w:hAnsiTheme="minorHAnsi" w:cstheme="minorHAnsi"/>
          <w:sz w:val="20"/>
          <w:szCs w:val="20"/>
        </w:rPr>
        <w:t xml:space="preserve">) </w:t>
      </w:r>
    </w:p>
  </w:endnote>
  <w:endnote w:id="53">
    <w:p w14:paraId="45F965A8"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1999. </w:t>
      </w:r>
      <w:r w:rsidRPr="001E788E">
        <w:rPr>
          <w:rFonts w:asciiTheme="minorHAnsi" w:hAnsiTheme="minorHAnsi" w:cstheme="minorHAnsi"/>
          <w:i/>
          <w:sz w:val="20"/>
          <w:szCs w:val="20"/>
        </w:rPr>
        <w:t>Saving Lives: Our Healthier Nation</w:t>
      </w:r>
      <w:r w:rsidRPr="001E788E">
        <w:rPr>
          <w:rFonts w:asciiTheme="minorHAnsi" w:hAnsiTheme="minorHAnsi" w:cstheme="minorHAnsi"/>
          <w:sz w:val="20"/>
          <w:szCs w:val="20"/>
        </w:rPr>
        <w:t>. London: TSO.</w:t>
      </w:r>
    </w:p>
  </w:endnote>
  <w:endnote w:id="54">
    <w:p w14:paraId="0BBDA990"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lang w:eastAsia="en-GB"/>
        </w:rPr>
        <w:t>National Audit Office.</w:t>
      </w:r>
      <w:proofErr w:type="gramEnd"/>
      <w:r w:rsidRPr="001E788E">
        <w:rPr>
          <w:rFonts w:asciiTheme="minorHAnsi" w:hAnsiTheme="minorHAnsi" w:cstheme="minorHAnsi"/>
          <w:sz w:val="20"/>
          <w:szCs w:val="20"/>
          <w:lang w:eastAsia="en-GB"/>
        </w:rPr>
        <w:t xml:space="preserve"> 2001. </w:t>
      </w:r>
      <w:r w:rsidRPr="001E788E">
        <w:rPr>
          <w:rFonts w:asciiTheme="minorHAnsi" w:hAnsiTheme="minorHAnsi" w:cstheme="minorHAnsi"/>
          <w:i/>
          <w:sz w:val="20"/>
          <w:szCs w:val="20"/>
          <w:lang w:eastAsia="en-GB"/>
        </w:rPr>
        <w:t>Tackling Obesity in England</w:t>
      </w:r>
      <w:r w:rsidRPr="001E788E">
        <w:rPr>
          <w:rFonts w:asciiTheme="minorHAnsi" w:hAnsiTheme="minorHAnsi" w:cstheme="minorHAnsi"/>
          <w:sz w:val="20"/>
          <w:szCs w:val="20"/>
          <w:lang w:eastAsia="en-GB"/>
        </w:rPr>
        <w:t>. London: TSO.</w:t>
      </w:r>
    </w:p>
  </w:endnote>
  <w:endnote w:id="55">
    <w:p w14:paraId="061EB063"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lang w:eastAsia="en-GB"/>
        </w:rPr>
        <w:t>Medical Research Council Association for the Study of Obesity.</w:t>
      </w:r>
      <w:proofErr w:type="gramEnd"/>
      <w:r w:rsidRPr="001E788E">
        <w:rPr>
          <w:rFonts w:asciiTheme="minorHAnsi" w:hAnsiTheme="minorHAnsi" w:cstheme="minorHAnsi"/>
          <w:sz w:val="20"/>
          <w:szCs w:val="20"/>
          <w:lang w:eastAsia="en-GB"/>
        </w:rPr>
        <w:t xml:space="preserve"> </w:t>
      </w:r>
      <w:r w:rsidRPr="001E788E">
        <w:rPr>
          <w:rFonts w:asciiTheme="minorHAnsi" w:hAnsiTheme="minorHAnsi" w:cstheme="minorHAnsi"/>
          <w:i/>
          <w:sz w:val="20"/>
          <w:szCs w:val="20"/>
          <w:lang w:eastAsia="en-GB"/>
        </w:rPr>
        <w:t xml:space="preserve">A leaner fitter future: options for action. </w:t>
      </w:r>
      <w:proofErr w:type="gramStart"/>
      <w:r w:rsidRPr="001E788E">
        <w:rPr>
          <w:rFonts w:asciiTheme="minorHAnsi" w:hAnsiTheme="minorHAnsi" w:cstheme="minorHAnsi"/>
          <w:i/>
          <w:sz w:val="20"/>
          <w:szCs w:val="20"/>
          <w:lang w:eastAsia="en-GB"/>
        </w:rPr>
        <w:t>A multi-</w:t>
      </w:r>
      <w:proofErr w:type="spellStart"/>
      <w:r w:rsidRPr="001E788E">
        <w:rPr>
          <w:rFonts w:asciiTheme="minorHAnsi" w:hAnsiTheme="minorHAnsi" w:cstheme="minorHAnsi"/>
          <w:i/>
          <w:sz w:val="20"/>
          <w:szCs w:val="20"/>
          <w:lang w:eastAsia="en-GB"/>
        </w:rPr>
        <w:t>sectoral</w:t>
      </w:r>
      <w:proofErr w:type="spellEnd"/>
      <w:r w:rsidRPr="001E788E">
        <w:rPr>
          <w:rFonts w:asciiTheme="minorHAnsi" w:hAnsiTheme="minorHAnsi" w:cstheme="minorHAnsi"/>
          <w:i/>
          <w:sz w:val="20"/>
          <w:szCs w:val="20"/>
          <w:lang w:eastAsia="en-GB"/>
        </w:rPr>
        <w:t xml:space="preserve"> perspective on overweight in children</w:t>
      </w:r>
      <w:r w:rsidRPr="001E788E">
        <w:rPr>
          <w:rFonts w:asciiTheme="minorHAnsi" w:hAnsiTheme="minorHAnsi" w:cstheme="minorHAnsi"/>
          <w:sz w:val="20"/>
          <w:szCs w:val="20"/>
          <w:lang w:eastAsia="en-GB"/>
        </w:rPr>
        <w:t>.</w:t>
      </w:r>
      <w:proofErr w:type="gramEnd"/>
      <w:r w:rsidRPr="001E788E">
        <w:rPr>
          <w:rFonts w:asciiTheme="minorHAnsi" w:hAnsiTheme="minorHAnsi" w:cstheme="minorHAnsi"/>
          <w:sz w:val="20"/>
          <w:szCs w:val="20"/>
          <w:lang w:eastAsia="en-GB"/>
        </w:rPr>
        <w:t xml:space="preserve"> London: London School of Hygiene and Tropical Medicine. 2003.</w:t>
      </w:r>
    </w:p>
  </w:endnote>
  <w:endnote w:id="56">
    <w:p w14:paraId="62618CD8"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Parliamentary Business (2003) </w:t>
      </w:r>
      <w:r w:rsidRPr="001E788E">
        <w:rPr>
          <w:rFonts w:asciiTheme="minorHAnsi" w:hAnsiTheme="minorHAnsi" w:cstheme="minorHAnsi"/>
          <w:sz w:val="20"/>
          <w:szCs w:val="20"/>
          <w:lang w:eastAsia="en-GB"/>
        </w:rPr>
        <w:t>[WWW document] URL</w:t>
      </w:r>
      <w:r w:rsidRPr="001E788E">
        <w:rPr>
          <w:rFonts w:asciiTheme="minorHAnsi" w:hAnsiTheme="minorHAnsi" w:cstheme="minorHAnsi"/>
          <w:sz w:val="20"/>
          <w:szCs w:val="20"/>
        </w:rPr>
        <w:t xml:space="preserve"> </w:t>
      </w:r>
      <w:hyperlink r:id="rId26" w:history="1">
        <w:r w:rsidRPr="001E788E">
          <w:rPr>
            <w:rStyle w:val="Hyperlink"/>
            <w:rFonts w:asciiTheme="minorHAnsi" w:hAnsiTheme="minorHAnsi" w:cstheme="minorHAnsi"/>
            <w:color w:val="auto"/>
            <w:sz w:val="20"/>
            <w:szCs w:val="20"/>
            <w:u w:val="none"/>
            <w:lang w:eastAsia="en-GB"/>
          </w:rPr>
          <w:t>http://www.publications.parliament.uk/pa/cm200304/cmselect/cmhealth/23/3071710.htm</w:t>
        </w:r>
      </w:hyperlink>
    </w:p>
  </w:endnote>
  <w:endnote w:id="57">
    <w:p w14:paraId="5365343A" w14:textId="77777777" w:rsidR="000C4610" w:rsidRPr="001E788E" w:rsidRDefault="000C4610" w:rsidP="001E788E">
      <w:pPr>
        <w:spacing w:after="0" w:line="240" w:lineRule="auto"/>
        <w:rPr>
          <w:rFonts w:asciiTheme="minorHAnsi" w:hAnsiTheme="minorHAnsi" w:cstheme="minorHAnsi"/>
          <w:color w:val="FF0000"/>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Elliott A. </w:t>
      </w:r>
      <w:r w:rsidRPr="001E788E">
        <w:rPr>
          <w:rFonts w:asciiTheme="minorHAnsi" w:hAnsiTheme="minorHAnsi" w:cstheme="minorHAnsi"/>
          <w:i/>
          <w:sz w:val="20"/>
          <w:szCs w:val="20"/>
        </w:rPr>
        <w:t>Government faces pressure to tackle obesity.</w:t>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BMJ.</w:t>
      </w:r>
      <w:proofErr w:type="gramEnd"/>
      <w:r w:rsidRPr="001E788E">
        <w:rPr>
          <w:rFonts w:asciiTheme="minorHAnsi" w:hAnsiTheme="minorHAnsi" w:cstheme="minorHAnsi"/>
          <w:sz w:val="20"/>
          <w:szCs w:val="20"/>
        </w:rPr>
        <w:t xml:space="preserve"> 2003; 327(7424):1125</w:t>
      </w:r>
    </w:p>
  </w:endnote>
  <w:endnote w:id="58">
    <w:p w14:paraId="6C917547"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Royal College of Physicians.</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i/>
          <w:sz w:val="20"/>
          <w:szCs w:val="20"/>
        </w:rPr>
        <w:t>Storing up Future Problems: The medical case for a slimmer nation.</w:t>
      </w:r>
      <w:proofErr w:type="gramEnd"/>
      <w:r w:rsidRPr="001E788E">
        <w:rPr>
          <w:rFonts w:asciiTheme="minorHAnsi" w:hAnsiTheme="minorHAnsi" w:cstheme="minorHAnsi"/>
          <w:sz w:val="20"/>
          <w:szCs w:val="20"/>
        </w:rPr>
        <w:t xml:space="preserve"> London: RCP Bookshop. 2004</w:t>
      </w:r>
    </w:p>
  </w:endnote>
  <w:endnote w:id="59">
    <w:p w14:paraId="234D0753"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lang w:eastAsia="en-GB"/>
        </w:rPr>
        <w:t>House of Commons Health Select Committee.</w:t>
      </w:r>
      <w:proofErr w:type="gramEnd"/>
      <w:r w:rsidRPr="001E788E">
        <w:rPr>
          <w:rFonts w:asciiTheme="minorHAnsi" w:hAnsiTheme="minorHAnsi" w:cstheme="minorHAnsi"/>
          <w:sz w:val="20"/>
          <w:szCs w:val="20"/>
          <w:lang w:eastAsia="en-GB"/>
        </w:rPr>
        <w:t xml:space="preserve"> 2004. Obesity: Third Report of Session 2003/04. London: The Stationery Office.</w:t>
      </w:r>
    </w:p>
  </w:endnote>
  <w:endnote w:id="60">
    <w:p w14:paraId="5D1ECF98"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Choosing Health: Making Healthy Choices Easier (2004) [WWW document] URL</w:t>
      </w:r>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http://webarchive.nationalarchives.gov.uk/+/dh.gov.uk/en/publicationsandstatistics/publications/publicationspolicyandguidance/dh_4094550</w:t>
      </w:r>
    </w:p>
  </w:endnote>
  <w:endnote w:id="61">
    <w:p w14:paraId="020EEF43"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British Medical Association Board of Science.</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lang w:eastAsia="en-GB"/>
        </w:rPr>
        <w:t>Preventing Childhood obesity.</w:t>
      </w:r>
      <w:proofErr w:type="gramEnd"/>
      <w:r w:rsidRPr="001E788E">
        <w:rPr>
          <w:rFonts w:asciiTheme="minorHAnsi" w:hAnsiTheme="minorHAnsi" w:cstheme="minorHAnsi"/>
          <w:sz w:val="20"/>
          <w:szCs w:val="20"/>
          <w:lang w:eastAsia="en-GB"/>
        </w:rPr>
        <w:t xml:space="preserve"> (2005)  [WWW document] URL</w:t>
      </w:r>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http://www.iaso.org/site_media/uploads/Preventing_childhood_obesity_2005.pdf</w:t>
      </w:r>
    </w:p>
  </w:endnote>
  <w:endnote w:id="62">
    <w:p w14:paraId="11FD862E"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Department of Health (2005) </w:t>
      </w:r>
      <w:r w:rsidRPr="001E788E">
        <w:rPr>
          <w:rFonts w:asciiTheme="minorHAnsi" w:hAnsiTheme="minorHAnsi" w:cstheme="minorHAnsi"/>
          <w:sz w:val="20"/>
          <w:szCs w:val="20"/>
          <w:lang w:eastAsia="en-GB"/>
        </w:rPr>
        <w:t>Choosing a better diet: A food and health action plan. [WWW document] URL http://www.dh.gov.uk/prod_consum_dh/groups/dh_digitalassets/@dh/@en/documents/digitalasset/dh_4105709.pdf</w:t>
      </w:r>
    </w:p>
  </w:endnote>
  <w:endnote w:id="63">
    <w:p w14:paraId="461145F7"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Association of Public Health Observatories.</w:t>
      </w:r>
      <w:proofErr w:type="gramEnd"/>
      <w:r w:rsidRPr="001E788E">
        <w:rPr>
          <w:rFonts w:asciiTheme="minorHAnsi" w:hAnsiTheme="minorHAnsi" w:cstheme="minorHAnsi"/>
          <w:sz w:val="20"/>
          <w:szCs w:val="20"/>
        </w:rPr>
        <w:t xml:space="preserve"> </w:t>
      </w:r>
      <w:proofErr w:type="gramStart"/>
      <w:r w:rsidRPr="001E788E">
        <w:rPr>
          <w:rFonts w:asciiTheme="minorHAnsi" w:hAnsiTheme="minorHAnsi" w:cstheme="minorHAnsi"/>
          <w:color w:val="000000"/>
          <w:sz w:val="20"/>
          <w:szCs w:val="20"/>
          <w:lang w:eastAsia="en-GB"/>
        </w:rPr>
        <w:t>Health Profile of England and Local Health profiles.</w:t>
      </w:r>
      <w:proofErr w:type="gramEnd"/>
      <w:r w:rsidRPr="001E788E">
        <w:rPr>
          <w:rFonts w:asciiTheme="minorHAnsi" w:hAnsiTheme="minorHAnsi" w:cstheme="minorHAnsi"/>
          <w:color w:val="000000"/>
          <w:sz w:val="20"/>
          <w:szCs w:val="20"/>
          <w:lang w:eastAsia="en-GB"/>
        </w:rPr>
        <w:t xml:space="preserve">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color w:val="000000"/>
          <w:sz w:val="20"/>
          <w:szCs w:val="20"/>
          <w:lang w:eastAsia="en-GB"/>
        </w:rPr>
        <w:t>http://www.apho.org.uk/default.aspx?QN=P_HEALTH_PROFILES</w:t>
      </w:r>
    </w:p>
  </w:endnote>
  <w:endnote w:id="64">
    <w:p w14:paraId="1FB5E881"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National Obesity Observatory.</w:t>
      </w:r>
      <w:proofErr w:type="gramEnd"/>
      <w:r w:rsidRPr="001E788E">
        <w:rPr>
          <w:rFonts w:asciiTheme="minorHAnsi" w:hAnsiTheme="minorHAnsi" w:cstheme="minorHAnsi"/>
          <w:sz w:val="20"/>
          <w:szCs w:val="20"/>
        </w:rPr>
        <w:t xml:space="preserve"> </w:t>
      </w:r>
      <w:r w:rsidRPr="001E788E">
        <w:rPr>
          <w:rFonts w:asciiTheme="minorHAnsi" w:hAnsiTheme="minorHAnsi" w:cstheme="minorHAnsi"/>
          <w:sz w:val="20"/>
          <w:szCs w:val="20"/>
          <w:lang w:eastAsia="en-GB"/>
        </w:rPr>
        <w:t xml:space="preserve">[WWW document] URL </w:t>
      </w:r>
      <w:r w:rsidRPr="001E788E">
        <w:rPr>
          <w:rFonts w:asciiTheme="minorHAnsi" w:hAnsiTheme="minorHAnsi" w:cstheme="minorHAnsi"/>
          <w:sz w:val="20"/>
          <w:szCs w:val="20"/>
        </w:rPr>
        <w:t>http://www.noo.org.uk/NOO_pub</w:t>
      </w:r>
    </w:p>
  </w:endnote>
  <w:endnote w:id="65">
    <w:p w14:paraId="20A55330"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Department of Health.</w:t>
      </w:r>
      <w:proofErr w:type="gramEnd"/>
      <w:r w:rsidRPr="001E788E">
        <w:rPr>
          <w:rFonts w:asciiTheme="minorHAnsi" w:hAnsiTheme="minorHAnsi" w:cstheme="minorHAnsi"/>
          <w:sz w:val="20"/>
          <w:szCs w:val="20"/>
        </w:rPr>
        <w:t xml:space="preserve"> </w:t>
      </w:r>
      <w:r w:rsidRPr="001E788E">
        <w:rPr>
          <w:rFonts w:asciiTheme="minorHAnsi" w:hAnsiTheme="minorHAnsi" w:cstheme="minorHAnsi"/>
          <w:i/>
          <w:color w:val="000000"/>
          <w:sz w:val="20"/>
          <w:szCs w:val="20"/>
          <w:lang w:eastAsia="en-GB"/>
        </w:rPr>
        <w:t>Healthy lives, healthy people: our strategy for public health in England</w:t>
      </w:r>
      <w:r w:rsidRPr="001E788E">
        <w:rPr>
          <w:rFonts w:asciiTheme="minorHAnsi" w:hAnsiTheme="minorHAnsi" w:cstheme="minorHAnsi"/>
          <w:color w:val="000000"/>
          <w:sz w:val="20"/>
          <w:szCs w:val="20"/>
          <w:lang w:eastAsia="en-GB"/>
        </w:rPr>
        <w:t xml:space="preserve"> (2011) </w:t>
      </w:r>
      <w:r w:rsidRPr="001E788E">
        <w:rPr>
          <w:rFonts w:asciiTheme="minorHAnsi" w:hAnsiTheme="minorHAnsi" w:cstheme="minorHAnsi"/>
          <w:sz w:val="20"/>
          <w:szCs w:val="20"/>
          <w:lang w:eastAsia="en-GB"/>
        </w:rPr>
        <w:t>[WWW document] URL</w:t>
      </w:r>
      <w:r w:rsidRPr="001E788E">
        <w:rPr>
          <w:rFonts w:asciiTheme="minorHAnsi" w:hAnsiTheme="minorHAnsi" w:cstheme="minorHAnsi"/>
          <w:color w:val="000000"/>
          <w:sz w:val="20"/>
          <w:szCs w:val="20"/>
          <w:lang w:eastAsia="en-GB"/>
        </w:rPr>
        <w:t xml:space="preserve"> http://www.dh.gov.uk/prod_consum_dh/groups/dh_digitalassets/documents/digitalasset/dh_127424.pdf</w:t>
      </w:r>
    </w:p>
  </w:endnote>
  <w:endnote w:id="66">
    <w:p w14:paraId="0175265E"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Parliamentary Questions </w:t>
      </w:r>
      <w:r w:rsidRPr="001E788E">
        <w:rPr>
          <w:rFonts w:asciiTheme="minorHAnsi" w:hAnsiTheme="minorHAnsi" w:cstheme="minorHAnsi"/>
          <w:color w:val="000000"/>
          <w:sz w:val="20"/>
          <w:szCs w:val="20"/>
        </w:rPr>
        <w:t>http://www.parliament.uk/search/advanced/</w:t>
      </w:r>
    </w:p>
  </w:endnote>
  <w:endnote w:id="67">
    <w:p w14:paraId="064D9408" w14:textId="77777777"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color w:val="000000"/>
          <w:sz w:val="20"/>
          <w:szCs w:val="20"/>
        </w:rPr>
        <w:t>The House of Commons Health Committee on Health Inequalities.</w:t>
      </w:r>
      <w:proofErr w:type="gramEnd"/>
      <w:r w:rsidRPr="001E788E">
        <w:rPr>
          <w:rFonts w:asciiTheme="minorHAnsi" w:hAnsiTheme="minorHAnsi" w:cstheme="minorHAnsi"/>
          <w:color w:val="000000"/>
          <w:sz w:val="20"/>
          <w:szCs w:val="20"/>
        </w:rPr>
        <w:t xml:space="preserve"> 2009. Health Inequalities: Third report of the Session 2008/09. London: TSO.</w:t>
      </w:r>
    </w:p>
  </w:endnote>
  <w:endnote w:id="68">
    <w:p w14:paraId="6E3CB292" w14:textId="4A0A4C94" w:rsidR="000C4610" w:rsidRPr="001E788E" w:rsidRDefault="000C4610" w:rsidP="001E788E">
      <w:pPr>
        <w:spacing w:after="0" w:line="240" w:lineRule="auto"/>
        <w:rPr>
          <w:rFonts w:asciiTheme="minorHAnsi" w:hAnsiTheme="minorHAnsi" w:cstheme="minorHAnsi"/>
          <w:sz w:val="20"/>
          <w:szCs w:val="20"/>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gramStart"/>
      <w:r w:rsidRPr="001E788E">
        <w:rPr>
          <w:rFonts w:asciiTheme="minorHAnsi" w:hAnsiTheme="minorHAnsi" w:cstheme="minorHAnsi"/>
          <w:sz w:val="20"/>
          <w:szCs w:val="20"/>
        </w:rPr>
        <w:t>Marmot Review Team UCL Institute of Health Equity.</w:t>
      </w:r>
      <w:proofErr w:type="gramEnd"/>
      <w:r w:rsidRPr="001E788E">
        <w:rPr>
          <w:rFonts w:asciiTheme="minorHAnsi" w:hAnsiTheme="minorHAnsi" w:cstheme="minorHAnsi"/>
          <w:sz w:val="20"/>
          <w:szCs w:val="20"/>
        </w:rPr>
        <w:t xml:space="preserve"> 2010 Fair Society Health Lives: Strategic Review of Health Inequalities in England Post 2010. London: The Marmot Review.</w:t>
      </w:r>
    </w:p>
  </w:endnote>
  <w:endnote w:id="69">
    <w:p w14:paraId="6934AD01" w14:textId="77777777" w:rsidR="000C4610" w:rsidRPr="001E788E" w:rsidRDefault="000C4610" w:rsidP="001E788E">
      <w:pPr>
        <w:spacing w:after="0" w:line="240" w:lineRule="auto"/>
        <w:rPr>
          <w:rFonts w:asciiTheme="minorHAnsi" w:hAnsiTheme="minorHAnsi" w:cstheme="minorHAnsi"/>
          <w:sz w:val="20"/>
          <w:szCs w:val="20"/>
          <w:lang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w:t>
      </w:r>
      <w:proofErr w:type="spellStart"/>
      <w:r w:rsidRPr="001E788E">
        <w:rPr>
          <w:rFonts w:asciiTheme="minorHAnsi" w:hAnsiTheme="minorHAnsi" w:cstheme="minorHAnsi"/>
          <w:sz w:val="20"/>
          <w:szCs w:val="20"/>
          <w:lang w:val="x-none" w:eastAsia="en-GB"/>
        </w:rPr>
        <w:t>Zaninotto</w:t>
      </w:r>
      <w:proofErr w:type="spellEnd"/>
      <w:r w:rsidRPr="001E788E">
        <w:rPr>
          <w:rFonts w:asciiTheme="minorHAnsi" w:hAnsiTheme="minorHAnsi" w:cstheme="minorHAnsi"/>
          <w:sz w:val="20"/>
          <w:szCs w:val="20"/>
          <w:lang w:eastAsia="en-GB"/>
        </w:rPr>
        <w:t xml:space="preserve"> P</w:t>
      </w:r>
      <w:r w:rsidRPr="001E788E">
        <w:rPr>
          <w:rFonts w:asciiTheme="minorHAnsi" w:hAnsiTheme="minorHAnsi" w:cstheme="minorHAnsi"/>
          <w:sz w:val="20"/>
          <w:szCs w:val="20"/>
          <w:lang w:val="x-none" w:eastAsia="en-GB"/>
        </w:rPr>
        <w:t>, Wardle</w:t>
      </w:r>
      <w:r w:rsidRPr="001E788E">
        <w:rPr>
          <w:rFonts w:asciiTheme="minorHAnsi" w:hAnsiTheme="minorHAnsi" w:cstheme="minorHAnsi"/>
          <w:sz w:val="20"/>
          <w:szCs w:val="20"/>
          <w:lang w:eastAsia="en-GB"/>
        </w:rPr>
        <w:t xml:space="preserve"> H</w:t>
      </w:r>
      <w:r w:rsidRPr="001E788E">
        <w:rPr>
          <w:rFonts w:asciiTheme="minorHAnsi" w:hAnsiTheme="minorHAnsi" w:cstheme="minorHAnsi"/>
          <w:sz w:val="20"/>
          <w:szCs w:val="20"/>
          <w:lang w:val="x-none" w:eastAsia="en-GB"/>
        </w:rPr>
        <w:t xml:space="preserve">, </w:t>
      </w:r>
      <w:proofErr w:type="spellStart"/>
      <w:r w:rsidRPr="001E788E">
        <w:rPr>
          <w:rFonts w:asciiTheme="minorHAnsi" w:hAnsiTheme="minorHAnsi" w:cstheme="minorHAnsi"/>
          <w:sz w:val="20"/>
          <w:szCs w:val="20"/>
          <w:lang w:val="x-none" w:eastAsia="en-GB"/>
        </w:rPr>
        <w:t>Stamatakis</w:t>
      </w:r>
      <w:proofErr w:type="spellEnd"/>
      <w:r w:rsidRPr="001E788E">
        <w:rPr>
          <w:rFonts w:asciiTheme="minorHAnsi" w:hAnsiTheme="minorHAnsi" w:cstheme="minorHAnsi"/>
          <w:sz w:val="20"/>
          <w:szCs w:val="20"/>
          <w:lang w:eastAsia="en-GB"/>
        </w:rPr>
        <w:t xml:space="preserve"> E</w:t>
      </w:r>
      <w:r w:rsidRPr="001E788E">
        <w:rPr>
          <w:rFonts w:asciiTheme="minorHAnsi" w:hAnsiTheme="minorHAnsi" w:cstheme="minorHAnsi"/>
          <w:sz w:val="20"/>
          <w:szCs w:val="20"/>
          <w:lang w:val="x-none" w:eastAsia="en-GB"/>
        </w:rPr>
        <w:t xml:space="preserve">, Mindell </w:t>
      </w:r>
      <w:r w:rsidRPr="001E788E">
        <w:rPr>
          <w:rFonts w:asciiTheme="minorHAnsi" w:hAnsiTheme="minorHAnsi" w:cstheme="minorHAnsi"/>
          <w:sz w:val="20"/>
          <w:szCs w:val="20"/>
          <w:lang w:eastAsia="en-GB"/>
        </w:rPr>
        <w:t>J, H</w:t>
      </w:r>
      <w:proofErr w:type="spellStart"/>
      <w:r w:rsidRPr="001E788E">
        <w:rPr>
          <w:rFonts w:asciiTheme="minorHAnsi" w:hAnsiTheme="minorHAnsi" w:cstheme="minorHAnsi"/>
          <w:sz w:val="20"/>
          <w:szCs w:val="20"/>
          <w:lang w:val="x-none" w:eastAsia="en-GB"/>
        </w:rPr>
        <w:t>ead</w:t>
      </w:r>
      <w:proofErr w:type="spellEnd"/>
      <w:r w:rsidRPr="001E788E">
        <w:rPr>
          <w:rFonts w:asciiTheme="minorHAnsi" w:hAnsiTheme="minorHAnsi" w:cstheme="minorHAnsi"/>
          <w:sz w:val="20"/>
          <w:szCs w:val="20"/>
          <w:lang w:eastAsia="en-GB"/>
        </w:rPr>
        <w:t xml:space="preserve"> J. </w:t>
      </w:r>
      <w:proofErr w:type="gramStart"/>
      <w:r w:rsidRPr="001E788E">
        <w:rPr>
          <w:rFonts w:asciiTheme="minorHAnsi" w:hAnsiTheme="minorHAnsi" w:cstheme="minorHAnsi"/>
          <w:sz w:val="20"/>
          <w:szCs w:val="20"/>
          <w:lang w:eastAsia="en-GB"/>
        </w:rPr>
        <w:t>Forecasting Obesity to 2010.</w:t>
      </w:r>
      <w:proofErr w:type="gramEnd"/>
      <w:r w:rsidRPr="001E788E">
        <w:rPr>
          <w:rFonts w:asciiTheme="minorHAnsi" w:hAnsiTheme="minorHAnsi" w:cstheme="minorHAnsi"/>
          <w:sz w:val="20"/>
          <w:szCs w:val="20"/>
          <w:lang w:eastAsia="en-GB"/>
        </w:rPr>
        <w:t xml:space="preserve"> (2006) [WWW document] URL </w:t>
      </w:r>
      <w:r w:rsidRPr="001E788E">
        <w:rPr>
          <w:rFonts w:asciiTheme="minorHAnsi" w:hAnsiTheme="minorHAnsi" w:cstheme="minorHAnsi"/>
          <w:sz w:val="20"/>
          <w:szCs w:val="20"/>
        </w:rPr>
        <w:t>http://www.dh.gov.uk/prod_consum_dh/groups/dh_digitalassets/documents/digitalasset/dh_073033.pdf</w:t>
      </w:r>
    </w:p>
  </w:endnote>
  <w:endnote w:id="70">
    <w:p w14:paraId="24DDEA40" w14:textId="77777777" w:rsidR="000C4610" w:rsidRPr="0040217D" w:rsidRDefault="000C4610" w:rsidP="001E788E">
      <w:pPr>
        <w:spacing w:after="0" w:line="240" w:lineRule="auto"/>
        <w:rPr>
          <w:rFonts w:eastAsia="Times New Roman"/>
          <w:lang w:val="x-none" w:eastAsia="en-GB"/>
        </w:rPr>
      </w:pPr>
      <w:r w:rsidRPr="001E788E">
        <w:rPr>
          <w:rStyle w:val="EndnoteReference"/>
          <w:rFonts w:asciiTheme="minorHAnsi" w:hAnsiTheme="minorHAnsi" w:cstheme="minorHAnsi"/>
          <w:sz w:val="20"/>
          <w:szCs w:val="20"/>
        </w:rPr>
        <w:endnoteRef/>
      </w:r>
      <w:r w:rsidRPr="001E788E">
        <w:rPr>
          <w:rFonts w:asciiTheme="minorHAnsi" w:hAnsiTheme="minorHAnsi" w:cstheme="minorHAnsi"/>
          <w:sz w:val="20"/>
          <w:szCs w:val="20"/>
        </w:rPr>
        <w:t xml:space="preserve"> Department of Health. Public Health Outcomes Framework: </w:t>
      </w:r>
      <w:r w:rsidRPr="001E788E">
        <w:rPr>
          <w:rFonts w:asciiTheme="minorHAnsi" w:eastAsia="Times New Roman" w:hAnsiTheme="minorHAnsi" w:cstheme="minorHAnsi"/>
          <w:sz w:val="20"/>
          <w:szCs w:val="20"/>
          <w:lang w:val="x-none" w:eastAsia="en-GB"/>
        </w:rPr>
        <w:t>Summary technical specifications of public</w:t>
      </w:r>
      <w:r w:rsidRPr="001E788E">
        <w:rPr>
          <w:rFonts w:asciiTheme="minorHAnsi" w:eastAsia="Times New Roman" w:hAnsiTheme="minorHAnsi" w:cstheme="minorHAnsi"/>
          <w:sz w:val="20"/>
          <w:szCs w:val="20"/>
          <w:lang w:eastAsia="en-GB"/>
        </w:rPr>
        <w:t xml:space="preserve"> </w:t>
      </w:r>
      <w:r w:rsidRPr="001E788E">
        <w:rPr>
          <w:rFonts w:asciiTheme="minorHAnsi" w:eastAsia="Times New Roman" w:hAnsiTheme="minorHAnsi" w:cstheme="minorHAnsi"/>
          <w:sz w:val="20"/>
          <w:szCs w:val="20"/>
          <w:lang w:val="x-none" w:eastAsia="en-GB"/>
        </w:rPr>
        <w:t>health indicators</w:t>
      </w:r>
      <w:r w:rsidRPr="001E788E">
        <w:rPr>
          <w:rFonts w:asciiTheme="minorHAnsi" w:eastAsia="Times New Roman" w:hAnsiTheme="minorHAnsi" w:cstheme="minorHAnsi"/>
          <w:sz w:val="20"/>
          <w:szCs w:val="20"/>
          <w:lang w:eastAsia="en-GB"/>
        </w:rPr>
        <w:t>. (</w:t>
      </w:r>
      <w:r w:rsidRPr="001E788E">
        <w:rPr>
          <w:rFonts w:asciiTheme="minorHAnsi" w:eastAsia="Times New Roman" w:hAnsiTheme="minorHAnsi" w:cstheme="minorHAnsi"/>
          <w:sz w:val="20"/>
          <w:szCs w:val="20"/>
          <w:lang w:val="x-none" w:eastAsia="en-GB"/>
        </w:rPr>
        <w:t>2012</w:t>
      </w:r>
      <w:r w:rsidRPr="001E788E">
        <w:rPr>
          <w:rFonts w:asciiTheme="minorHAnsi" w:eastAsia="Times New Roman" w:hAnsiTheme="minorHAnsi" w:cstheme="minorHAnsi"/>
          <w:sz w:val="20"/>
          <w:szCs w:val="20"/>
          <w:lang w:eastAsia="en-GB"/>
        </w:rPr>
        <w:t>)</w:t>
      </w:r>
      <w:r w:rsidRPr="001E788E">
        <w:rPr>
          <w:rFonts w:asciiTheme="minorHAnsi" w:hAnsiTheme="minorHAnsi" w:cstheme="minorHAnsi"/>
          <w:sz w:val="20"/>
          <w:szCs w:val="20"/>
          <w:lang w:eastAsia="en-GB"/>
        </w:rPr>
        <w:t xml:space="preserve"> [WWW document] URL</w:t>
      </w:r>
      <w:r w:rsidRPr="001E788E">
        <w:rPr>
          <w:rFonts w:asciiTheme="minorHAnsi" w:hAnsiTheme="minorHAnsi" w:cstheme="minorHAnsi"/>
          <w:color w:val="000000"/>
          <w:sz w:val="20"/>
          <w:szCs w:val="20"/>
        </w:rPr>
        <w:t xml:space="preserve"> http://www.dh.gov.uk/prod_consum_dh/groups/dh_digitalassets/@dh/@en/documents/digitalasset/dh_132558.pdf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234539"/>
      <w:docPartObj>
        <w:docPartGallery w:val="Page Numbers (Bottom of Page)"/>
        <w:docPartUnique/>
      </w:docPartObj>
    </w:sdtPr>
    <w:sdtEndPr>
      <w:rPr>
        <w:noProof/>
      </w:rPr>
    </w:sdtEndPr>
    <w:sdtContent>
      <w:p w14:paraId="7070642D" w14:textId="77777777" w:rsidR="000C4610" w:rsidRDefault="000C4610">
        <w:pPr>
          <w:pStyle w:val="Footer"/>
          <w:jc w:val="center"/>
        </w:pPr>
        <w:r>
          <w:fldChar w:fldCharType="begin"/>
        </w:r>
        <w:r>
          <w:instrText xml:space="preserve"> PAGE   \* MERGEFORMAT </w:instrText>
        </w:r>
        <w:r>
          <w:fldChar w:fldCharType="separate"/>
        </w:r>
        <w:r w:rsidR="003D4F13">
          <w:rPr>
            <w:noProof/>
          </w:rPr>
          <w:t>18</w:t>
        </w:r>
        <w:r>
          <w:rPr>
            <w:noProof/>
          </w:rPr>
          <w:fldChar w:fldCharType="end"/>
        </w:r>
      </w:p>
    </w:sdtContent>
  </w:sdt>
  <w:p w14:paraId="22C004C4" w14:textId="77777777" w:rsidR="000C4610" w:rsidRDefault="000C4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0FDBD" w14:textId="77777777" w:rsidR="000C4610" w:rsidRDefault="000C4610" w:rsidP="00E828D8">
      <w:pPr>
        <w:spacing w:after="0" w:line="240" w:lineRule="auto"/>
      </w:pPr>
      <w:r>
        <w:separator/>
      </w:r>
    </w:p>
  </w:footnote>
  <w:footnote w:type="continuationSeparator" w:id="0">
    <w:p w14:paraId="43F908DC" w14:textId="77777777" w:rsidR="000C4610" w:rsidRDefault="000C4610" w:rsidP="00E828D8">
      <w:pPr>
        <w:spacing w:after="0" w:line="240" w:lineRule="auto"/>
      </w:pPr>
      <w:r>
        <w:continuationSeparator/>
      </w:r>
    </w:p>
  </w:footnote>
  <w:footnote w:type="continuationNotice" w:id="1">
    <w:p w14:paraId="3EBC521B" w14:textId="77777777" w:rsidR="000C4610" w:rsidRDefault="000C461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8A0C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8C5D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62B3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23EF3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750B0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989E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94D1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00EC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1AD6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D2A826"/>
    <w:lvl w:ilvl="0">
      <w:start w:val="1"/>
      <w:numFmt w:val="bullet"/>
      <w:lvlText w:val=""/>
      <w:lvlJc w:val="left"/>
      <w:pPr>
        <w:tabs>
          <w:tab w:val="num" w:pos="360"/>
        </w:tabs>
        <w:ind w:left="360" w:hanging="360"/>
      </w:pPr>
      <w:rPr>
        <w:rFonts w:ascii="Symbol" w:hAnsi="Symbol" w:hint="default"/>
      </w:rPr>
    </w:lvl>
  </w:abstractNum>
  <w:abstractNum w:abstractNumId="10">
    <w:nsid w:val="00932A8D"/>
    <w:multiLevelType w:val="hybridMultilevel"/>
    <w:tmpl w:val="1C14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792350"/>
    <w:multiLevelType w:val="hybridMultilevel"/>
    <w:tmpl w:val="CC2C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72C496A"/>
    <w:multiLevelType w:val="hybridMultilevel"/>
    <w:tmpl w:val="503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5E2221"/>
    <w:multiLevelType w:val="hybridMultilevel"/>
    <w:tmpl w:val="196C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41576A"/>
    <w:multiLevelType w:val="multilevel"/>
    <w:tmpl w:val="A5D0A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141013"/>
    <w:multiLevelType w:val="hybridMultilevel"/>
    <w:tmpl w:val="BA3E91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1FCD2EDA"/>
    <w:multiLevelType w:val="multilevel"/>
    <w:tmpl w:val="3B2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362D84"/>
    <w:multiLevelType w:val="multilevel"/>
    <w:tmpl w:val="D08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CF7701"/>
    <w:multiLevelType w:val="hybridMultilevel"/>
    <w:tmpl w:val="4B660B66"/>
    <w:lvl w:ilvl="0" w:tplc="845EA48A">
      <w:start w:val="1"/>
      <w:numFmt w:val="bullet"/>
      <w:lvlText w:val="•"/>
      <w:lvlJc w:val="left"/>
      <w:pPr>
        <w:tabs>
          <w:tab w:val="num" w:pos="720"/>
        </w:tabs>
        <w:ind w:left="720" w:hanging="360"/>
      </w:pPr>
      <w:rPr>
        <w:rFonts w:ascii="Arial" w:hAnsi="Arial" w:hint="default"/>
      </w:rPr>
    </w:lvl>
    <w:lvl w:ilvl="1" w:tplc="F0523AB6" w:tentative="1">
      <w:start w:val="1"/>
      <w:numFmt w:val="bullet"/>
      <w:lvlText w:val="•"/>
      <w:lvlJc w:val="left"/>
      <w:pPr>
        <w:tabs>
          <w:tab w:val="num" w:pos="1440"/>
        </w:tabs>
        <w:ind w:left="1440" w:hanging="360"/>
      </w:pPr>
      <w:rPr>
        <w:rFonts w:ascii="Arial" w:hAnsi="Arial" w:hint="default"/>
      </w:rPr>
    </w:lvl>
    <w:lvl w:ilvl="2" w:tplc="A860F296" w:tentative="1">
      <w:start w:val="1"/>
      <w:numFmt w:val="bullet"/>
      <w:lvlText w:val="•"/>
      <w:lvlJc w:val="left"/>
      <w:pPr>
        <w:tabs>
          <w:tab w:val="num" w:pos="2160"/>
        </w:tabs>
        <w:ind w:left="2160" w:hanging="360"/>
      </w:pPr>
      <w:rPr>
        <w:rFonts w:ascii="Arial" w:hAnsi="Arial" w:hint="default"/>
      </w:rPr>
    </w:lvl>
    <w:lvl w:ilvl="3" w:tplc="2BF016CA" w:tentative="1">
      <w:start w:val="1"/>
      <w:numFmt w:val="bullet"/>
      <w:lvlText w:val="•"/>
      <w:lvlJc w:val="left"/>
      <w:pPr>
        <w:tabs>
          <w:tab w:val="num" w:pos="2880"/>
        </w:tabs>
        <w:ind w:left="2880" w:hanging="360"/>
      </w:pPr>
      <w:rPr>
        <w:rFonts w:ascii="Arial" w:hAnsi="Arial" w:hint="default"/>
      </w:rPr>
    </w:lvl>
    <w:lvl w:ilvl="4" w:tplc="C7C0CDEE" w:tentative="1">
      <w:start w:val="1"/>
      <w:numFmt w:val="bullet"/>
      <w:lvlText w:val="•"/>
      <w:lvlJc w:val="left"/>
      <w:pPr>
        <w:tabs>
          <w:tab w:val="num" w:pos="3600"/>
        </w:tabs>
        <w:ind w:left="3600" w:hanging="360"/>
      </w:pPr>
      <w:rPr>
        <w:rFonts w:ascii="Arial" w:hAnsi="Arial" w:hint="default"/>
      </w:rPr>
    </w:lvl>
    <w:lvl w:ilvl="5" w:tplc="B3F07716" w:tentative="1">
      <w:start w:val="1"/>
      <w:numFmt w:val="bullet"/>
      <w:lvlText w:val="•"/>
      <w:lvlJc w:val="left"/>
      <w:pPr>
        <w:tabs>
          <w:tab w:val="num" w:pos="4320"/>
        </w:tabs>
        <w:ind w:left="4320" w:hanging="360"/>
      </w:pPr>
      <w:rPr>
        <w:rFonts w:ascii="Arial" w:hAnsi="Arial" w:hint="default"/>
      </w:rPr>
    </w:lvl>
    <w:lvl w:ilvl="6" w:tplc="16F40486" w:tentative="1">
      <w:start w:val="1"/>
      <w:numFmt w:val="bullet"/>
      <w:lvlText w:val="•"/>
      <w:lvlJc w:val="left"/>
      <w:pPr>
        <w:tabs>
          <w:tab w:val="num" w:pos="5040"/>
        </w:tabs>
        <w:ind w:left="5040" w:hanging="360"/>
      </w:pPr>
      <w:rPr>
        <w:rFonts w:ascii="Arial" w:hAnsi="Arial" w:hint="default"/>
      </w:rPr>
    </w:lvl>
    <w:lvl w:ilvl="7" w:tplc="04348A1E" w:tentative="1">
      <w:start w:val="1"/>
      <w:numFmt w:val="bullet"/>
      <w:lvlText w:val="•"/>
      <w:lvlJc w:val="left"/>
      <w:pPr>
        <w:tabs>
          <w:tab w:val="num" w:pos="5760"/>
        </w:tabs>
        <w:ind w:left="5760" w:hanging="360"/>
      </w:pPr>
      <w:rPr>
        <w:rFonts w:ascii="Arial" w:hAnsi="Arial" w:hint="default"/>
      </w:rPr>
    </w:lvl>
    <w:lvl w:ilvl="8" w:tplc="15C69250" w:tentative="1">
      <w:start w:val="1"/>
      <w:numFmt w:val="bullet"/>
      <w:lvlText w:val="•"/>
      <w:lvlJc w:val="left"/>
      <w:pPr>
        <w:tabs>
          <w:tab w:val="num" w:pos="6480"/>
        </w:tabs>
        <w:ind w:left="6480" w:hanging="360"/>
      </w:pPr>
      <w:rPr>
        <w:rFonts w:ascii="Arial" w:hAnsi="Arial" w:hint="default"/>
      </w:rPr>
    </w:lvl>
  </w:abstractNum>
  <w:abstractNum w:abstractNumId="19">
    <w:nsid w:val="2F3D6581"/>
    <w:multiLevelType w:val="multilevel"/>
    <w:tmpl w:val="C3A8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C3752F"/>
    <w:multiLevelType w:val="multilevel"/>
    <w:tmpl w:val="DBA8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100EB"/>
    <w:multiLevelType w:val="hybridMultilevel"/>
    <w:tmpl w:val="BDD0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E7119E"/>
    <w:multiLevelType w:val="hybridMultilevel"/>
    <w:tmpl w:val="BE40554A"/>
    <w:lvl w:ilvl="0" w:tplc="38A8DBB2">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16C7F"/>
    <w:multiLevelType w:val="multilevel"/>
    <w:tmpl w:val="2F7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1B6542"/>
    <w:multiLevelType w:val="hybridMultilevel"/>
    <w:tmpl w:val="2974B8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B37F24"/>
    <w:multiLevelType w:val="multilevel"/>
    <w:tmpl w:val="A1A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74BE2"/>
    <w:multiLevelType w:val="multilevel"/>
    <w:tmpl w:val="D56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A42071"/>
    <w:multiLevelType w:val="multilevel"/>
    <w:tmpl w:val="ABA6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FD437C"/>
    <w:multiLevelType w:val="multilevel"/>
    <w:tmpl w:val="6344BC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06F5232"/>
    <w:multiLevelType w:val="multilevel"/>
    <w:tmpl w:val="281C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B76C78"/>
    <w:multiLevelType w:val="multilevel"/>
    <w:tmpl w:val="2C56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7A77EF"/>
    <w:multiLevelType w:val="multilevel"/>
    <w:tmpl w:val="9D4E4E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DD810E4"/>
    <w:multiLevelType w:val="hybridMultilevel"/>
    <w:tmpl w:val="E636302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3">
    <w:nsid w:val="7FD84394"/>
    <w:multiLevelType w:val="multilevel"/>
    <w:tmpl w:val="9D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6"/>
  </w:num>
  <w:num w:numId="4">
    <w:abstractNumId w:val="18"/>
  </w:num>
  <w:num w:numId="5">
    <w:abstractNumId w:val="28"/>
  </w:num>
  <w:num w:numId="6">
    <w:abstractNumId w:val="13"/>
  </w:num>
  <w:num w:numId="7">
    <w:abstractNumId w:val="33"/>
  </w:num>
  <w:num w:numId="8">
    <w:abstractNumId w:val="25"/>
  </w:num>
  <w:num w:numId="9">
    <w:abstractNumId w:val="19"/>
  </w:num>
  <w:num w:numId="10">
    <w:abstractNumId w:val="27"/>
  </w:num>
  <w:num w:numId="11">
    <w:abstractNumId w:val="31"/>
  </w:num>
  <w:num w:numId="12">
    <w:abstractNumId w:val="23"/>
  </w:num>
  <w:num w:numId="13">
    <w:abstractNumId w:val="15"/>
  </w:num>
  <w:num w:numId="14">
    <w:abstractNumId w:val="11"/>
  </w:num>
  <w:num w:numId="15">
    <w:abstractNumId w:val="12"/>
  </w:num>
  <w:num w:numId="16">
    <w:abstractNumId w:val="20"/>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2"/>
  </w:num>
  <w:num w:numId="29">
    <w:abstractNumId w:val="29"/>
  </w:num>
  <w:num w:numId="30">
    <w:abstractNumId w:val="30"/>
  </w:num>
  <w:num w:numId="31">
    <w:abstractNumId w:val="16"/>
  </w:num>
  <w:num w:numId="32">
    <w:abstractNumId w:val="14"/>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D5"/>
    <w:rsid w:val="00005129"/>
    <w:rsid w:val="000108B8"/>
    <w:rsid w:val="000148D8"/>
    <w:rsid w:val="00015878"/>
    <w:rsid w:val="00022F24"/>
    <w:rsid w:val="0003530F"/>
    <w:rsid w:val="00035B18"/>
    <w:rsid w:val="00043CAB"/>
    <w:rsid w:val="00045169"/>
    <w:rsid w:val="000472E0"/>
    <w:rsid w:val="00050551"/>
    <w:rsid w:val="00051A9D"/>
    <w:rsid w:val="00053252"/>
    <w:rsid w:val="000622E0"/>
    <w:rsid w:val="00062EC7"/>
    <w:rsid w:val="0006793B"/>
    <w:rsid w:val="00067AEA"/>
    <w:rsid w:val="0007696D"/>
    <w:rsid w:val="0008683D"/>
    <w:rsid w:val="0009654F"/>
    <w:rsid w:val="0009792B"/>
    <w:rsid w:val="000A3DB9"/>
    <w:rsid w:val="000A4E31"/>
    <w:rsid w:val="000A7E5B"/>
    <w:rsid w:val="000B4C30"/>
    <w:rsid w:val="000C228D"/>
    <w:rsid w:val="000C4610"/>
    <w:rsid w:val="000C6947"/>
    <w:rsid w:val="000D610D"/>
    <w:rsid w:val="000D6695"/>
    <w:rsid w:val="000E07E5"/>
    <w:rsid w:val="000E412C"/>
    <w:rsid w:val="000E66DB"/>
    <w:rsid w:val="000F1235"/>
    <w:rsid w:val="001058CF"/>
    <w:rsid w:val="00125F2A"/>
    <w:rsid w:val="00134FBA"/>
    <w:rsid w:val="00137D82"/>
    <w:rsid w:val="00140B76"/>
    <w:rsid w:val="00141D19"/>
    <w:rsid w:val="001442E6"/>
    <w:rsid w:val="00146BAC"/>
    <w:rsid w:val="00184BC9"/>
    <w:rsid w:val="00185B2E"/>
    <w:rsid w:val="00192089"/>
    <w:rsid w:val="001955CF"/>
    <w:rsid w:val="001A2433"/>
    <w:rsid w:val="001A7190"/>
    <w:rsid w:val="001B0277"/>
    <w:rsid w:val="001B2D65"/>
    <w:rsid w:val="001B37DA"/>
    <w:rsid w:val="001C2FDC"/>
    <w:rsid w:val="001C3A3C"/>
    <w:rsid w:val="001C71B3"/>
    <w:rsid w:val="001D0395"/>
    <w:rsid w:val="001D2988"/>
    <w:rsid w:val="001D603C"/>
    <w:rsid w:val="001E183F"/>
    <w:rsid w:val="001E4A44"/>
    <w:rsid w:val="001E4C44"/>
    <w:rsid w:val="001E6559"/>
    <w:rsid w:val="001E788E"/>
    <w:rsid w:val="001F6D86"/>
    <w:rsid w:val="001F76E5"/>
    <w:rsid w:val="001F7A8C"/>
    <w:rsid w:val="002038BD"/>
    <w:rsid w:val="002054D6"/>
    <w:rsid w:val="00206213"/>
    <w:rsid w:val="00221FF2"/>
    <w:rsid w:val="00230CD7"/>
    <w:rsid w:val="002355A7"/>
    <w:rsid w:val="0023564C"/>
    <w:rsid w:val="00237FE1"/>
    <w:rsid w:val="00254EA0"/>
    <w:rsid w:val="002558B2"/>
    <w:rsid w:val="002565B9"/>
    <w:rsid w:val="002578A7"/>
    <w:rsid w:val="00265365"/>
    <w:rsid w:val="00265BDB"/>
    <w:rsid w:val="00274193"/>
    <w:rsid w:val="002762CF"/>
    <w:rsid w:val="0027693E"/>
    <w:rsid w:val="00282193"/>
    <w:rsid w:val="00282528"/>
    <w:rsid w:val="00284E1F"/>
    <w:rsid w:val="00295920"/>
    <w:rsid w:val="002A04CC"/>
    <w:rsid w:val="002A0641"/>
    <w:rsid w:val="002A0E7F"/>
    <w:rsid w:val="002A32BE"/>
    <w:rsid w:val="002A377D"/>
    <w:rsid w:val="002A3AAE"/>
    <w:rsid w:val="002D368E"/>
    <w:rsid w:val="002D4768"/>
    <w:rsid w:val="002D7E37"/>
    <w:rsid w:val="002E2B75"/>
    <w:rsid w:val="002E674F"/>
    <w:rsid w:val="002F0C1E"/>
    <w:rsid w:val="002F11B1"/>
    <w:rsid w:val="00300B1F"/>
    <w:rsid w:val="00302533"/>
    <w:rsid w:val="00306408"/>
    <w:rsid w:val="003124C7"/>
    <w:rsid w:val="00312D7E"/>
    <w:rsid w:val="003136BC"/>
    <w:rsid w:val="00324F93"/>
    <w:rsid w:val="00327A14"/>
    <w:rsid w:val="00334A08"/>
    <w:rsid w:val="00352952"/>
    <w:rsid w:val="003626E7"/>
    <w:rsid w:val="00366930"/>
    <w:rsid w:val="00372E97"/>
    <w:rsid w:val="00374EF4"/>
    <w:rsid w:val="003778C0"/>
    <w:rsid w:val="00377CFF"/>
    <w:rsid w:val="00380976"/>
    <w:rsid w:val="00383991"/>
    <w:rsid w:val="0039351A"/>
    <w:rsid w:val="003963CA"/>
    <w:rsid w:val="003A15FE"/>
    <w:rsid w:val="003A1D1A"/>
    <w:rsid w:val="003A4634"/>
    <w:rsid w:val="003A55FB"/>
    <w:rsid w:val="003B11ED"/>
    <w:rsid w:val="003C204D"/>
    <w:rsid w:val="003C7CAD"/>
    <w:rsid w:val="003D2111"/>
    <w:rsid w:val="003D46D7"/>
    <w:rsid w:val="003D4F13"/>
    <w:rsid w:val="003E3349"/>
    <w:rsid w:val="003E517F"/>
    <w:rsid w:val="003E7C37"/>
    <w:rsid w:val="003F7E7C"/>
    <w:rsid w:val="00401CDB"/>
    <w:rsid w:val="0040217D"/>
    <w:rsid w:val="00402C95"/>
    <w:rsid w:val="00403FFF"/>
    <w:rsid w:val="00412468"/>
    <w:rsid w:val="004167D4"/>
    <w:rsid w:val="004248C4"/>
    <w:rsid w:val="004257E5"/>
    <w:rsid w:val="004325FD"/>
    <w:rsid w:val="00444C3F"/>
    <w:rsid w:val="00445CB6"/>
    <w:rsid w:val="00451223"/>
    <w:rsid w:val="0049010F"/>
    <w:rsid w:val="0049057A"/>
    <w:rsid w:val="00493743"/>
    <w:rsid w:val="00493CE0"/>
    <w:rsid w:val="00497519"/>
    <w:rsid w:val="004A2741"/>
    <w:rsid w:val="004A5662"/>
    <w:rsid w:val="004B1C13"/>
    <w:rsid w:val="004B7F38"/>
    <w:rsid w:val="004C4532"/>
    <w:rsid w:val="004D3326"/>
    <w:rsid w:val="004D3D00"/>
    <w:rsid w:val="004E41BD"/>
    <w:rsid w:val="004E5A69"/>
    <w:rsid w:val="004F32C7"/>
    <w:rsid w:val="004F5429"/>
    <w:rsid w:val="004F686F"/>
    <w:rsid w:val="00503E64"/>
    <w:rsid w:val="00506C66"/>
    <w:rsid w:val="00516086"/>
    <w:rsid w:val="0052055D"/>
    <w:rsid w:val="0052646F"/>
    <w:rsid w:val="0053070D"/>
    <w:rsid w:val="00532C30"/>
    <w:rsid w:val="00534DF1"/>
    <w:rsid w:val="0054111B"/>
    <w:rsid w:val="00545DF5"/>
    <w:rsid w:val="005510E4"/>
    <w:rsid w:val="00553B9E"/>
    <w:rsid w:val="0055683C"/>
    <w:rsid w:val="00556C2A"/>
    <w:rsid w:val="00556DEA"/>
    <w:rsid w:val="00557067"/>
    <w:rsid w:val="005621C8"/>
    <w:rsid w:val="005649D9"/>
    <w:rsid w:val="005654C3"/>
    <w:rsid w:val="00565B3F"/>
    <w:rsid w:val="005730FE"/>
    <w:rsid w:val="00576971"/>
    <w:rsid w:val="005814E5"/>
    <w:rsid w:val="00585AEB"/>
    <w:rsid w:val="005A2011"/>
    <w:rsid w:val="005B30FC"/>
    <w:rsid w:val="005B6510"/>
    <w:rsid w:val="005C10A9"/>
    <w:rsid w:val="005C15DF"/>
    <w:rsid w:val="005C78DF"/>
    <w:rsid w:val="005D3C4B"/>
    <w:rsid w:val="005E1254"/>
    <w:rsid w:val="005E1EAC"/>
    <w:rsid w:val="005F70B1"/>
    <w:rsid w:val="00603786"/>
    <w:rsid w:val="00614A4E"/>
    <w:rsid w:val="00630660"/>
    <w:rsid w:val="00635CBA"/>
    <w:rsid w:val="0064032A"/>
    <w:rsid w:val="00646702"/>
    <w:rsid w:val="00666B79"/>
    <w:rsid w:val="00670D35"/>
    <w:rsid w:val="00674193"/>
    <w:rsid w:val="00677397"/>
    <w:rsid w:val="0069502A"/>
    <w:rsid w:val="00697DB2"/>
    <w:rsid w:val="006C4E20"/>
    <w:rsid w:val="006C5BF1"/>
    <w:rsid w:val="006D090B"/>
    <w:rsid w:val="006D182D"/>
    <w:rsid w:val="006F46C9"/>
    <w:rsid w:val="006F576C"/>
    <w:rsid w:val="007014DF"/>
    <w:rsid w:val="00712CDB"/>
    <w:rsid w:val="0071776B"/>
    <w:rsid w:val="00724D71"/>
    <w:rsid w:val="007256D6"/>
    <w:rsid w:val="00726D51"/>
    <w:rsid w:val="007351D8"/>
    <w:rsid w:val="00741F63"/>
    <w:rsid w:val="007424F4"/>
    <w:rsid w:val="00753E29"/>
    <w:rsid w:val="007645F6"/>
    <w:rsid w:val="0076595B"/>
    <w:rsid w:val="007720DA"/>
    <w:rsid w:val="007744F1"/>
    <w:rsid w:val="00775A5C"/>
    <w:rsid w:val="00777FED"/>
    <w:rsid w:val="0078360B"/>
    <w:rsid w:val="00786A4D"/>
    <w:rsid w:val="007871B9"/>
    <w:rsid w:val="00796DA2"/>
    <w:rsid w:val="007A0DB8"/>
    <w:rsid w:val="007A4ADD"/>
    <w:rsid w:val="007B1205"/>
    <w:rsid w:val="007B1F95"/>
    <w:rsid w:val="007B468C"/>
    <w:rsid w:val="007B7FAC"/>
    <w:rsid w:val="007C6B30"/>
    <w:rsid w:val="007C6FD8"/>
    <w:rsid w:val="007D3D89"/>
    <w:rsid w:val="007F2A24"/>
    <w:rsid w:val="007F7BE4"/>
    <w:rsid w:val="008006BB"/>
    <w:rsid w:val="00803260"/>
    <w:rsid w:val="00807381"/>
    <w:rsid w:val="00810ABF"/>
    <w:rsid w:val="00812B2E"/>
    <w:rsid w:val="00823939"/>
    <w:rsid w:val="008252CE"/>
    <w:rsid w:val="00834769"/>
    <w:rsid w:val="00835B6D"/>
    <w:rsid w:val="008377AB"/>
    <w:rsid w:val="00842EFD"/>
    <w:rsid w:val="00847F38"/>
    <w:rsid w:val="0086093B"/>
    <w:rsid w:val="00861433"/>
    <w:rsid w:val="00863894"/>
    <w:rsid w:val="00865093"/>
    <w:rsid w:val="00872B1C"/>
    <w:rsid w:val="00874984"/>
    <w:rsid w:val="00874F2E"/>
    <w:rsid w:val="0087629C"/>
    <w:rsid w:val="00876F8A"/>
    <w:rsid w:val="00880448"/>
    <w:rsid w:val="00881014"/>
    <w:rsid w:val="0088377A"/>
    <w:rsid w:val="008852F2"/>
    <w:rsid w:val="00887BC6"/>
    <w:rsid w:val="00896150"/>
    <w:rsid w:val="008A6EA7"/>
    <w:rsid w:val="008B45E1"/>
    <w:rsid w:val="008C4A99"/>
    <w:rsid w:val="008D1F63"/>
    <w:rsid w:val="008E3363"/>
    <w:rsid w:val="008E3480"/>
    <w:rsid w:val="008F0819"/>
    <w:rsid w:val="00905508"/>
    <w:rsid w:val="0090695F"/>
    <w:rsid w:val="009103D5"/>
    <w:rsid w:val="00916478"/>
    <w:rsid w:val="009203FD"/>
    <w:rsid w:val="00922068"/>
    <w:rsid w:val="00927BE3"/>
    <w:rsid w:val="00930FC8"/>
    <w:rsid w:val="00932522"/>
    <w:rsid w:val="009406A8"/>
    <w:rsid w:val="0094532D"/>
    <w:rsid w:val="009462C5"/>
    <w:rsid w:val="00955AAB"/>
    <w:rsid w:val="00956D11"/>
    <w:rsid w:val="009578CF"/>
    <w:rsid w:val="00961979"/>
    <w:rsid w:val="00963157"/>
    <w:rsid w:val="00980C9B"/>
    <w:rsid w:val="009877E0"/>
    <w:rsid w:val="009906D5"/>
    <w:rsid w:val="009A2C82"/>
    <w:rsid w:val="009D49E2"/>
    <w:rsid w:val="009E2E14"/>
    <w:rsid w:val="009E677B"/>
    <w:rsid w:val="009F3828"/>
    <w:rsid w:val="00A00B24"/>
    <w:rsid w:val="00A10EAE"/>
    <w:rsid w:val="00A218F6"/>
    <w:rsid w:val="00A25929"/>
    <w:rsid w:val="00A307F3"/>
    <w:rsid w:val="00A46A6B"/>
    <w:rsid w:val="00A46B4E"/>
    <w:rsid w:val="00A54833"/>
    <w:rsid w:val="00A57B8F"/>
    <w:rsid w:val="00A6272D"/>
    <w:rsid w:val="00A84277"/>
    <w:rsid w:val="00A879F7"/>
    <w:rsid w:val="00A91801"/>
    <w:rsid w:val="00A918DE"/>
    <w:rsid w:val="00AA095A"/>
    <w:rsid w:val="00AA4CD5"/>
    <w:rsid w:val="00AA7FAD"/>
    <w:rsid w:val="00AB2091"/>
    <w:rsid w:val="00AC3548"/>
    <w:rsid w:val="00AC41C0"/>
    <w:rsid w:val="00AE071D"/>
    <w:rsid w:val="00AE4BBF"/>
    <w:rsid w:val="00AE4C03"/>
    <w:rsid w:val="00AE6B03"/>
    <w:rsid w:val="00AF42C4"/>
    <w:rsid w:val="00AF6B98"/>
    <w:rsid w:val="00B053CE"/>
    <w:rsid w:val="00B0727A"/>
    <w:rsid w:val="00B10EBE"/>
    <w:rsid w:val="00B11E8B"/>
    <w:rsid w:val="00B1248B"/>
    <w:rsid w:val="00B24AA6"/>
    <w:rsid w:val="00B3471D"/>
    <w:rsid w:val="00B34D13"/>
    <w:rsid w:val="00B3715C"/>
    <w:rsid w:val="00B42925"/>
    <w:rsid w:val="00B53782"/>
    <w:rsid w:val="00B7070F"/>
    <w:rsid w:val="00B74359"/>
    <w:rsid w:val="00B90668"/>
    <w:rsid w:val="00B91509"/>
    <w:rsid w:val="00B96B10"/>
    <w:rsid w:val="00B97A1C"/>
    <w:rsid w:val="00BA3BC1"/>
    <w:rsid w:val="00BA6F85"/>
    <w:rsid w:val="00BB0054"/>
    <w:rsid w:val="00BB569D"/>
    <w:rsid w:val="00BB6C4B"/>
    <w:rsid w:val="00BC0203"/>
    <w:rsid w:val="00BC2E57"/>
    <w:rsid w:val="00BC3D03"/>
    <w:rsid w:val="00BC77EE"/>
    <w:rsid w:val="00BD0B06"/>
    <w:rsid w:val="00BD12F2"/>
    <w:rsid w:val="00BD2298"/>
    <w:rsid w:val="00BD34E9"/>
    <w:rsid w:val="00BD3BCE"/>
    <w:rsid w:val="00BD6768"/>
    <w:rsid w:val="00BE42EE"/>
    <w:rsid w:val="00BF387A"/>
    <w:rsid w:val="00BF56F3"/>
    <w:rsid w:val="00C0447D"/>
    <w:rsid w:val="00C06995"/>
    <w:rsid w:val="00C205FE"/>
    <w:rsid w:val="00C23319"/>
    <w:rsid w:val="00C25A7C"/>
    <w:rsid w:val="00C313F1"/>
    <w:rsid w:val="00C3716B"/>
    <w:rsid w:val="00C37313"/>
    <w:rsid w:val="00C403A9"/>
    <w:rsid w:val="00C41B6C"/>
    <w:rsid w:val="00C43054"/>
    <w:rsid w:val="00C442A6"/>
    <w:rsid w:val="00C444EC"/>
    <w:rsid w:val="00C51624"/>
    <w:rsid w:val="00C51D9D"/>
    <w:rsid w:val="00C5316C"/>
    <w:rsid w:val="00C56AD2"/>
    <w:rsid w:val="00C60D14"/>
    <w:rsid w:val="00C628B0"/>
    <w:rsid w:val="00C63316"/>
    <w:rsid w:val="00C71DD8"/>
    <w:rsid w:val="00C803D1"/>
    <w:rsid w:val="00C80F5F"/>
    <w:rsid w:val="00C91C12"/>
    <w:rsid w:val="00CA0AB3"/>
    <w:rsid w:val="00CB5381"/>
    <w:rsid w:val="00CC0E25"/>
    <w:rsid w:val="00CC1962"/>
    <w:rsid w:val="00CC5262"/>
    <w:rsid w:val="00CC5D11"/>
    <w:rsid w:val="00CD2EB4"/>
    <w:rsid w:val="00CD5C45"/>
    <w:rsid w:val="00CD687F"/>
    <w:rsid w:val="00CE2675"/>
    <w:rsid w:val="00CF1A47"/>
    <w:rsid w:val="00CF5D6B"/>
    <w:rsid w:val="00CF6323"/>
    <w:rsid w:val="00CF7787"/>
    <w:rsid w:val="00D01700"/>
    <w:rsid w:val="00D02431"/>
    <w:rsid w:val="00D11C34"/>
    <w:rsid w:val="00D137F2"/>
    <w:rsid w:val="00D1562E"/>
    <w:rsid w:val="00D15AEB"/>
    <w:rsid w:val="00D2016D"/>
    <w:rsid w:val="00D20E62"/>
    <w:rsid w:val="00D257E4"/>
    <w:rsid w:val="00D27BA0"/>
    <w:rsid w:val="00D4387A"/>
    <w:rsid w:val="00D45BB8"/>
    <w:rsid w:val="00D52447"/>
    <w:rsid w:val="00D562E1"/>
    <w:rsid w:val="00D5682D"/>
    <w:rsid w:val="00D62AC0"/>
    <w:rsid w:val="00D744EC"/>
    <w:rsid w:val="00D80D29"/>
    <w:rsid w:val="00D83296"/>
    <w:rsid w:val="00D8459F"/>
    <w:rsid w:val="00D9153E"/>
    <w:rsid w:val="00D93832"/>
    <w:rsid w:val="00DA3E44"/>
    <w:rsid w:val="00DA6171"/>
    <w:rsid w:val="00DB017A"/>
    <w:rsid w:val="00DB0834"/>
    <w:rsid w:val="00DB4BB1"/>
    <w:rsid w:val="00DB7716"/>
    <w:rsid w:val="00DC485D"/>
    <w:rsid w:val="00DD233E"/>
    <w:rsid w:val="00DD30E0"/>
    <w:rsid w:val="00DF0C6F"/>
    <w:rsid w:val="00DF728E"/>
    <w:rsid w:val="00DF74F1"/>
    <w:rsid w:val="00E023CF"/>
    <w:rsid w:val="00E07164"/>
    <w:rsid w:val="00E11D9A"/>
    <w:rsid w:val="00E11F63"/>
    <w:rsid w:val="00E12EC1"/>
    <w:rsid w:val="00E1303F"/>
    <w:rsid w:val="00E148E0"/>
    <w:rsid w:val="00E2496C"/>
    <w:rsid w:val="00E259D2"/>
    <w:rsid w:val="00E26373"/>
    <w:rsid w:val="00E3073B"/>
    <w:rsid w:val="00E30E4B"/>
    <w:rsid w:val="00E32849"/>
    <w:rsid w:val="00E33375"/>
    <w:rsid w:val="00E33855"/>
    <w:rsid w:val="00E40754"/>
    <w:rsid w:val="00E44AEB"/>
    <w:rsid w:val="00E45C3E"/>
    <w:rsid w:val="00E507E7"/>
    <w:rsid w:val="00E61576"/>
    <w:rsid w:val="00E67C33"/>
    <w:rsid w:val="00E73D46"/>
    <w:rsid w:val="00E815DA"/>
    <w:rsid w:val="00E828D8"/>
    <w:rsid w:val="00E87B74"/>
    <w:rsid w:val="00E90E36"/>
    <w:rsid w:val="00E9335C"/>
    <w:rsid w:val="00E943FD"/>
    <w:rsid w:val="00EA1D88"/>
    <w:rsid w:val="00EA37B1"/>
    <w:rsid w:val="00EA4B13"/>
    <w:rsid w:val="00EA73DD"/>
    <w:rsid w:val="00EB08C3"/>
    <w:rsid w:val="00EB60F9"/>
    <w:rsid w:val="00EB67E6"/>
    <w:rsid w:val="00ED17D0"/>
    <w:rsid w:val="00ED463B"/>
    <w:rsid w:val="00ED4A60"/>
    <w:rsid w:val="00EE5432"/>
    <w:rsid w:val="00EF30FC"/>
    <w:rsid w:val="00F02861"/>
    <w:rsid w:val="00F04082"/>
    <w:rsid w:val="00F05AC9"/>
    <w:rsid w:val="00F22600"/>
    <w:rsid w:val="00F22CBD"/>
    <w:rsid w:val="00F25347"/>
    <w:rsid w:val="00F26F24"/>
    <w:rsid w:val="00F33DD0"/>
    <w:rsid w:val="00F3654E"/>
    <w:rsid w:val="00F43315"/>
    <w:rsid w:val="00F43B55"/>
    <w:rsid w:val="00F44D8F"/>
    <w:rsid w:val="00F522DC"/>
    <w:rsid w:val="00F528B3"/>
    <w:rsid w:val="00F529C5"/>
    <w:rsid w:val="00F52A96"/>
    <w:rsid w:val="00F52BFA"/>
    <w:rsid w:val="00F54556"/>
    <w:rsid w:val="00F60542"/>
    <w:rsid w:val="00F64A73"/>
    <w:rsid w:val="00F659FC"/>
    <w:rsid w:val="00F73B65"/>
    <w:rsid w:val="00F74010"/>
    <w:rsid w:val="00F7539D"/>
    <w:rsid w:val="00F829D2"/>
    <w:rsid w:val="00F82B6E"/>
    <w:rsid w:val="00F83720"/>
    <w:rsid w:val="00F85DE7"/>
    <w:rsid w:val="00F93EF8"/>
    <w:rsid w:val="00F954E1"/>
    <w:rsid w:val="00FA0FC6"/>
    <w:rsid w:val="00FA101E"/>
    <w:rsid w:val="00FA2A25"/>
    <w:rsid w:val="00FB2441"/>
    <w:rsid w:val="00FC110D"/>
    <w:rsid w:val="00FD41B7"/>
    <w:rsid w:val="00FD59C8"/>
    <w:rsid w:val="00FE05E0"/>
    <w:rsid w:val="00FE0938"/>
    <w:rsid w:val="00FE39EA"/>
    <w:rsid w:val="00FE49CD"/>
    <w:rsid w:val="00FF48DA"/>
    <w:rsid w:val="00FF5E0A"/>
    <w:rsid w:val="00FF5E62"/>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GB" w:eastAsia="en-GB"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6D5"/>
    <w:pPr>
      <w:spacing w:after="200" w:line="276" w:lineRule="auto"/>
    </w:pPr>
    <w:rPr>
      <w:rFonts w:cs="Times New Roman"/>
      <w:lang w:eastAsia="en-US" w:bidi="ar-SA"/>
    </w:rPr>
  </w:style>
  <w:style w:type="paragraph" w:styleId="Heading1">
    <w:name w:val="heading 1"/>
    <w:basedOn w:val="Normal"/>
    <w:next w:val="Normal"/>
    <w:link w:val="Heading1Char"/>
    <w:uiPriority w:val="99"/>
    <w:qFormat/>
    <w:rsid w:val="009906D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1303F"/>
    <w:pPr>
      <w:keepNext/>
      <w:spacing w:before="240" w:after="60"/>
      <w:outlineLvl w:val="1"/>
    </w:pPr>
    <w:rPr>
      <w:rFonts w:eastAsia="Times New Roman"/>
      <w:b/>
      <w:bCs/>
      <w:sz w:val="28"/>
      <w:szCs w:val="28"/>
    </w:rPr>
  </w:style>
  <w:style w:type="paragraph" w:styleId="Heading3">
    <w:name w:val="heading 3"/>
    <w:basedOn w:val="Normal"/>
    <w:next w:val="Normal"/>
    <w:link w:val="Heading3Char"/>
    <w:uiPriority w:val="99"/>
    <w:qFormat/>
    <w:rsid w:val="00E1303F"/>
    <w:pPr>
      <w:keepNext/>
      <w:spacing w:before="240" w:after="60"/>
      <w:outlineLvl w:val="2"/>
    </w:pPr>
    <w:rPr>
      <w:rFonts w:eastAsia="Times New Roman"/>
      <w:b/>
      <w:bCs/>
      <w:i/>
      <w:iCs/>
      <w:sz w:val="24"/>
      <w:szCs w:val="24"/>
      <w:lang w:eastAsia="en-GB"/>
    </w:rPr>
  </w:style>
  <w:style w:type="paragraph" w:styleId="Heading4">
    <w:name w:val="heading 4"/>
    <w:basedOn w:val="Normal"/>
    <w:next w:val="Normal"/>
    <w:link w:val="Heading4Char"/>
    <w:uiPriority w:val="99"/>
    <w:qFormat/>
    <w:rsid w:val="00CF632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6D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1303F"/>
    <w:rPr>
      <w:rFonts w:ascii="Calibri" w:hAnsi="Calibri" w:cs="Times New Roman"/>
      <w:b/>
      <w:bCs/>
      <w:sz w:val="28"/>
      <w:szCs w:val="28"/>
      <w:lang w:val="en-GB" w:eastAsia="en-US" w:bidi="ar-SA"/>
    </w:rPr>
  </w:style>
  <w:style w:type="character" w:customStyle="1" w:styleId="Heading3Char">
    <w:name w:val="Heading 3 Char"/>
    <w:basedOn w:val="DefaultParagraphFont"/>
    <w:link w:val="Heading3"/>
    <w:uiPriority w:val="99"/>
    <w:locked/>
    <w:rsid w:val="00E1303F"/>
    <w:rPr>
      <w:rFonts w:ascii="Calibri" w:hAnsi="Calibri" w:cs="Times New Roman"/>
      <w:b/>
      <w:bCs/>
      <w:i/>
      <w:iCs/>
      <w:sz w:val="24"/>
      <w:szCs w:val="24"/>
      <w:lang w:val="en-GB" w:eastAsia="en-GB" w:bidi="ar-SA"/>
    </w:rPr>
  </w:style>
  <w:style w:type="character" w:customStyle="1" w:styleId="Heading4Char">
    <w:name w:val="Heading 4 Char"/>
    <w:basedOn w:val="DefaultParagraphFont"/>
    <w:link w:val="Heading4"/>
    <w:uiPriority w:val="99"/>
    <w:locked/>
    <w:rsid w:val="00CF6323"/>
    <w:rPr>
      <w:rFonts w:ascii="Cambria" w:hAnsi="Cambria" w:cs="Times New Roman"/>
      <w:b/>
      <w:bCs/>
      <w:i/>
      <w:iCs/>
      <w:color w:val="4F81BD"/>
    </w:rPr>
  </w:style>
  <w:style w:type="character" w:styleId="Hyperlink">
    <w:name w:val="Hyperlink"/>
    <w:basedOn w:val="DefaultParagraphFont"/>
    <w:uiPriority w:val="99"/>
    <w:rsid w:val="009906D5"/>
    <w:rPr>
      <w:rFonts w:cs="Times New Roman"/>
      <w:color w:val="0000FF"/>
      <w:u w:val="single"/>
    </w:rPr>
  </w:style>
  <w:style w:type="paragraph" w:styleId="BalloonText">
    <w:name w:val="Balloon Text"/>
    <w:basedOn w:val="Normal"/>
    <w:link w:val="BalloonTextChar"/>
    <w:uiPriority w:val="99"/>
    <w:semiHidden/>
    <w:rsid w:val="0099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6D5"/>
    <w:rPr>
      <w:rFonts w:ascii="Tahoma" w:hAnsi="Tahoma" w:cs="Tahoma"/>
      <w:sz w:val="16"/>
      <w:szCs w:val="16"/>
    </w:rPr>
  </w:style>
  <w:style w:type="paragraph" w:styleId="NoSpacing">
    <w:name w:val="No Spacing"/>
    <w:uiPriority w:val="99"/>
    <w:qFormat/>
    <w:rsid w:val="009906D5"/>
    <w:rPr>
      <w:rFonts w:cs="Times New Roman"/>
      <w:lang w:eastAsia="en-US" w:bidi="ar-SA"/>
    </w:rPr>
  </w:style>
  <w:style w:type="paragraph" w:styleId="ListParagraph">
    <w:name w:val="List Paragraph"/>
    <w:basedOn w:val="Normal"/>
    <w:uiPriority w:val="99"/>
    <w:qFormat/>
    <w:rsid w:val="00C442A6"/>
    <w:pPr>
      <w:spacing w:after="0" w:line="240" w:lineRule="auto"/>
      <w:ind w:left="720"/>
      <w:contextualSpacing/>
    </w:pPr>
    <w:rPr>
      <w:rFonts w:ascii="Times New Roman" w:eastAsia="Times New Roman" w:hAnsi="Times New Roman"/>
      <w:sz w:val="24"/>
      <w:szCs w:val="24"/>
      <w:lang w:eastAsia="en-GB"/>
    </w:rPr>
  </w:style>
  <w:style w:type="paragraph" w:styleId="NormalWeb">
    <w:name w:val="Normal (Web)"/>
    <w:basedOn w:val="Normal"/>
    <w:uiPriority w:val="99"/>
    <w:rsid w:val="00146BA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ixed-citation">
    <w:name w:val="mixed-citation"/>
    <w:basedOn w:val="DefaultParagraphFont"/>
    <w:uiPriority w:val="99"/>
    <w:rsid w:val="002355A7"/>
    <w:rPr>
      <w:rFonts w:cs="Times New Roman"/>
    </w:rPr>
  </w:style>
  <w:style w:type="character" w:customStyle="1" w:styleId="ref-journal">
    <w:name w:val="ref-journal"/>
    <w:basedOn w:val="DefaultParagraphFont"/>
    <w:uiPriority w:val="99"/>
    <w:rsid w:val="002355A7"/>
    <w:rPr>
      <w:rFonts w:cs="Times New Roman"/>
    </w:rPr>
  </w:style>
  <w:style w:type="character" w:customStyle="1" w:styleId="ref-vol">
    <w:name w:val="ref-vol"/>
    <w:basedOn w:val="DefaultParagraphFont"/>
    <w:uiPriority w:val="99"/>
    <w:rsid w:val="002355A7"/>
    <w:rPr>
      <w:rFonts w:cs="Times New Roman"/>
    </w:rPr>
  </w:style>
  <w:style w:type="paragraph" w:styleId="EndnoteText">
    <w:name w:val="endnote text"/>
    <w:basedOn w:val="Normal"/>
    <w:link w:val="EndnoteTextChar"/>
    <w:uiPriority w:val="99"/>
    <w:semiHidden/>
    <w:rsid w:val="00E828D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828D8"/>
    <w:rPr>
      <w:rFonts w:ascii="Calibri" w:hAnsi="Calibri" w:cs="Times New Roman"/>
      <w:sz w:val="20"/>
      <w:szCs w:val="20"/>
    </w:rPr>
  </w:style>
  <w:style w:type="character" w:styleId="EndnoteReference">
    <w:name w:val="endnote reference"/>
    <w:basedOn w:val="DefaultParagraphFont"/>
    <w:uiPriority w:val="99"/>
    <w:semiHidden/>
    <w:rsid w:val="00E828D8"/>
    <w:rPr>
      <w:rFonts w:cs="Times New Roman"/>
      <w:vertAlign w:val="superscript"/>
    </w:rPr>
  </w:style>
  <w:style w:type="character" w:styleId="Strong">
    <w:name w:val="Strong"/>
    <w:basedOn w:val="DefaultParagraphFont"/>
    <w:uiPriority w:val="99"/>
    <w:qFormat/>
    <w:rsid w:val="00F04082"/>
    <w:rPr>
      <w:rFonts w:cs="Times New Roman"/>
      <w:b/>
      <w:bCs/>
    </w:rPr>
  </w:style>
  <w:style w:type="character" w:styleId="CommentReference">
    <w:name w:val="annotation reference"/>
    <w:basedOn w:val="DefaultParagraphFont"/>
    <w:uiPriority w:val="99"/>
    <w:semiHidden/>
    <w:rsid w:val="00F04082"/>
    <w:rPr>
      <w:rFonts w:cs="Times New Roman"/>
      <w:sz w:val="16"/>
      <w:szCs w:val="16"/>
    </w:rPr>
  </w:style>
  <w:style w:type="paragraph" w:styleId="CommentText">
    <w:name w:val="annotation text"/>
    <w:basedOn w:val="Normal"/>
    <w:link w:val="CommentTextChar"/>
    <w:uiPriority w:val="99"/>
    <w:semiHidden/>
    <w:rsid w:val="00F0408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040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04082"/>
    <w:rPr>
      <w:b/>
      <w:bCs/>
    </w:rPr>
  </w:style>
  <w:style w:type="character" w:customStyle="1" w:styleId="CommentSubjectChar">
    <w:name w:val="Comment Subject Char"/>
    <w:basedOn w:val="CommentTextChar"/>
    <w:link w:val="CommentSubject"/>
    <w:uiPriority w:val="99"/>
    <w:semiHidden/>
    <w:locked/>
    <w:rsid w:val="00F04082"/>
    <w:rPr>
      <w:rFonts w:ascii="Calibri" w:hAnsi="Calibri" w:cs="Times New Roman"/>
      <w:b/>
      <w:bCs/>
      <w:sz w:val="20"/>
      <w:szCs w:val="20"/>
    </w:rPr>
  </w:style>
  <w:style w:type="character" w:customStyle="1" w:styleId="ref-journal1">
    <w:name w:val="ref-journal1"/>
    <w:basedOn w:val="DefaultParagraphFont"/>
    <w:uiPriority w:val="99"/>
    <w:rsid w:val="00050551"/>
    <w:rPr>
      <w:rFonts w:cs="Times New Roman"/>
      <w:i/>
      <w:iCs/>
    </w:rPr>
  </w:style>
  <w:style w:type="character" w:customStyle="1" w:styleId="ref-vol1">
    <w:name w:val="ref-vol1"/>
    <w:basedOn w:val="DefaultParagraphFont"/>
    <w:uiPriority w:val="99"/>
    <w:rsid w:val="00050551"/>
    <w:rPr>
      <w:rFonts w:cs="Times New Roman"/>
      <w:b/>
      <w:bCs/>
    </w:rPr>
  </w:style>
  <w:style w:type="character" w:styleId="Emphasis">
    <w:name w:val="Emphasis"/>
    <w:basedOn w:val="DefaultParagraphFont"/>
    <w:uiPriority w:val="99"/>
    <w:qFormat/>
    <w:rsid w:val="00451223"/>
    <w:rPr>
      <w:rFonts w:cs="Times New Roman"/>
      <w:i/>
      <w:iCs/>
    </w:rPr>
  </w:style>
  <w:style w:type="character" w:styleId="FollowedHyperlink">
    <w:name w:val="FollowedHyperlink"/>
    <w:basedOn w:val="DefaultParagraphFont"/>
    <w:uiPriority w:val="99"/>
    <w:semiHidden/>
    <w:rsid w:val="003B11ED"/>
    <w:rPr>
      <w:rFonts w:cs="Times New Roman"/>
      <w:color w:val="800080"/>
      <w:u w:val="single"/>
    </w:rPr>
  </w:style>
  <w:style w:type="paragraph" w:styleId="Quote">
    <w:name w:val="Quote"/>
    <w:basedOn w:val="Normal"/>
    <w:next w:val="Normal"/>
    <w:link w:val="QuoteChar"/>
    <w:uiPriority w:val="99"/>
    <w:qFormat/>
    <w:rsid w:val="007A4ADD"/>
    <w:rPr>
      <w:i/>
      <w:iCs/>
      <w:color w:val="000000"/>
    </w:rPr>
  </w:style>
  <w:style w:type="character" w:customStyle="1" w:styleId="QuoteChar">
    <w:name w:val="Quote Char"/>
    <w:basedOn w:val="DefaultParagraphFont"/>
    <w:link w:val="Quote"/>
    <w:uiPriority w:val="99"/>
    <w:locked/>
    <w:rsid w:val="007A4ADD"/>
    <w:rPr>
      <w:rFonts w:cs="Times New Roman"/>
      <w:i/>
      <w:iCs/>
      <w:color w:val="000000"/>
      <w:lang w:eastAsia="en-US" w:bidi="ar-SA"/>
    </w:rPr>
  </w:style>
  <w:style w:type="table" w:styleId="TableGrid">
    <w:name w:val="Table Grid"/>
    <w:basedOn w:val="TableNormal"/>
    <w:uiPriority w:val="99"/>
    <w:locked/>
    <w:rsid w:val="00F028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3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8BD"/>
    <w:rPr>
      <w:rFonts w:cs="Times New Roman"/>
      <w:lang w:eastAsia="en-US" w:bidi="ar-SA"/>
    </w:rPr>
  </w:style>
  <w:style w:type="paragraph" w:styleId="Footer">
    <w:name w:val="footer"/>
    <w:basedOn w:val="Normal"/>
    <w:link w:val="FooterChar"/>
    <w:uiPriority w:val="99"/>
    <w:unhideWhenUsed/>
    <w:rsid w:val="00203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8BD"/>
    <w:rPr>
      <w:rFonts w:cs="Times New Roman"/>
      <w:lang w:eastAsia="en-US" w:bidi="ar-SA"/>
    </w:rPr>
  </w:style>
  <w:style w:type="character" w:customStyle="1" w:styleId="highlight">
    <w:name w:val="highlight"/>
    <w:basedOn w:val="DefaultParagraphFont"/>
    <w:rsid w:val="00E9335C"/>
  </w:style>
  <w:style w:type="character" w:customStyle="1" w:styleId="cit-auth">
    <w:name w:val="cit-auth"/>
    <w:basedOn w:val="DefaultParagraphFont"/>
    <w:rsid w:val="00140B76"/>
  </w:style>
  <w:style w:type="character" w:styleId="HTMLCite">
    <w:name w:val="HTML Cite"/>
    <w:basedOn w:val="DefaultParagraphFont"/>
    <w:uiPriority w:val="99"/>
    <w:semiHidden/>
    <w:unhideWhenUsed/>
    <w:rsid w:val="00140B76"/>
    <w:rPr>
      <w:i/>
      <w:iCs/>
    </w:rPr>
  </w:style>
  <w:style w:type="character" w:customStyle="1" w:styleId="cit-source">
    <w:name w:val="cit-source"/>
    <w:basedOn w:val="DefaultParagraphFont"/>
    <w:rsid w:val="00140B76"/>
  </w:style>
  <w:style w:type="character" w:customStyle="1" w:styleId="cit-publ-loc">
    <w:name w:val="cit-publ-loc"/>
    <w:basedOn w:val="DefaultParagraphFont"/>
    <w:rsid w:val="00140B76"/>
  </w:style>
  <w:style w:type="character" w:customStyle="1" w:styleId="cit-publ-name">
    <w:name w:val="cit-publ-name"/>
    <w:basedOn w:val="DefaultParagraphFont"/>
    <w:rsid w:val="00140B76"/>
  </w:style>
  <w:style w:type="character" w:customStyle="1" w:styleId="cit-pub-date">
    <w:name w:val="cit-pub-date"/>
    <w:basedOn w:val="DefaultParagraphFont"/>
    <w:rsid w:val="00140B76"/>
  </w:style>
  <w:style w:type="character" w:customStyle="1" w:styleId="editor">
    <w:name w:val="editor"/>
    <w:basedOn w:val="DefaultParagraphFont"/>
    <w:rsid w:val="005621C8"/>
  </w:style>
  <w:style w:type="character" w:customStyle="1" w:styleId="pubyear">
    <w:name w:val="pubyear"/>
    <w:basedOn w:val="DefaultParagraphFont"/>
    <w:rsid w:val="005621C8"/>
  </w:style>
  <w:style w:type="character" w:customStyle="1" w:styleId="booktitle3">
    <w:name w:val="booktitle3"/>
    <w:basedOn w:val="DefaultParagraphFont"/>
    <w:rsid w:val="005621C8"/>
    <w:rPr>
      <w:i/>
      <w:iCs/>
    </w:rPr>
  </w:style>
  <w:style w:type="character" w:customStyle="1" w:styleId="publisherlocation">
    <w:name w:val="publisherlocation"/>
    <w:basedOn w:val="DefaultParagraphFont"/>
    <w:rsid w:val="005621C8"/>
  </w:style>
  <w:style w:type="paragraph" w:styleId="Revision">
    <w:name w:val="Revision"/>
    <w:hidden/>
    <w:uiPriority w:val="99"/>
    <w:semiHidden/>
    <w:rsid w:val="002D7E37"/>
    <w:rPr>
      <w:rFonts w:cs="Times New Roman"/>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GB" w:eastAsia="en-GB"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6D5"/>
    <w:pPr>
      <w:spacing w:after="200" w:line="276" w:lineRule="auto"/>
    </w:pPr>
    <w:rPr>
      <w:rFonts w:cs="Times New Roman"/>
      <w:lang w:eastAsia="en-US" w:bidi="ar-SA"/>
    </w:rPr>
  </w:style>
  <w:style w:type="paragraph" w:styleId="Heading1">
    <w:name w:val="heading 1"/>
    <w:basedOn w:val="Normal"/>
    <w:next w:val="Normal"/>
    <w:link w:val="Heading1Char"/>
    <w:uiPriority w:val="99"/>
    <w:qFormat/>
    <w:rsid w:val="009906D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1303F"/>
    <w:pPr>
      <w:keepNext/>
      <w:spacing w:before="240" w:after="60"/>
      <w:outlineLvl w:val="1"/>
    </w:pPr>
    <w:rPr>
      <w:rFonts w:eastAsia="Times New Roman"/>
      <w:b/>
      <w:bCs/>
      <w:sz w:val="28"/>
      <w:szCs w:val="28"/>
    </w:rPr>
  </w:style>
  <w:style w:type="paragraph" w:styleId="Heading3">
    <w:name w:val="heading 3"/>
    <w:basedOn w:val="Normal"/>
    <w:next w:val="Normal"/>
    <w:link w:val="Heading3Char"/>
    <w:uiPriority w:val="99"/>
    <w:qFormat/>
    <w:rsid w:val="00E1303F"/>
    <w:pPr>
      <w:keepNext/>
      <w:spacing w:before="240" w:after="60"/>
      <w:outlineLvl w:val="2"/>
    </w:pPr>
    <w:rPr>
      <w:rFonts w:eastAsia="Times New Roman"/>
      <w:b/>
      <w:bCs/>
      <w:i/>
      <w:iCs/>
      <w:sz w:val="24"/>
      <w:szCs w:val="24"/>
      <w:lang w:eastAsia="en-GB"/>
    </w:rPr>
  </w:style>
  <w:style w:type="paragraph" w:styleId="Heading4">
    <w:name w:val="heading 4"/>
    <w:basedOn w:val="Normal"/>
    <w:next w:val="Normal"/>
    <w:link w:val="Heading4Char"/>
    <w:uiPriority w:val="99"/>
    <w:qFormat/>
    <w:rsid w:val="00CF6323"/>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6D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1303F"/>
    <w:rPr>
      <w:rFonts w:ascii="Calibri" w:hAnsi="Calibri" w:cs="Times New Roman"/>
      <w:b/>
      <w:bCs/>
      <w:sz w:val="28"/>
      <w:szCs w:val="28"/>
      <w:lang w:val="en-GB" w:eastAsia="en-US" w:bidi="ar-SA"/>
    </w:rPr>
  </w:style>
  <w:style w:type="character" w:customStyle="1" w:styleId="Heading3Char">
    <w:name w:val="Heading 3 Char"/>
    <w:basedOn w:val="DefaultParagraphFont"/>
    <w:link w:val="Heading3"/>
    <w:uiPriority w:val="99"/>
    <w:locked/>
    <w:rsid w:val="00E1303F"/>
    <w:rPr>
      <w:rFonts w:ascii="Calibri" w:hAnsi="Calibri" w:cs="Times New Roman"/>
      <w:b/>
      <w:bCs/>
      <w:i/>
      <w:iCs/>
      <w:sz w:val="24"/>
      <w:szCs w:val="24"/>
      <w:lang w:val="en-GB" w:eastAsia="en-GB" w:bidi="ar-SA"/>
    </w:rPr>
  </w:style>
  <w:style w:type="character" w:customStyle="1" w:styleId="Heading4Char">
    <w:name w:val="Heading 4 Char"/>
    <w:basedOn w:val="DefaultParagraphFont"/>
    <w:link w:val="Heading4"/>
    <w:uiPriority w:val="99"/>
    <w:locked/>
    <w:rsid w:val="00CF6323"/>
    <w:rPr>
      <w:rFonts w:ascii="Cambria" w:hAnsi="Cambria" w:cs="Times New Roman"/>
      <w:b/>
      <w:bCs/>
      <w:i/>
      <w:iCs/>
      <w:color w:val="4F81BD"/>
    </w:rPr>
  </w:style>
  <w:style w:type="character" w:styleId="Hyperlink">
    <w:name w:val="Hyperlink"/>
    <w:basedOn w:val="DefaultParagraphFont"/>
    <w:uiPriority w:val="99"/>
    <w:rsid w:val="009906D5"/>
    <w:rPr>
      <w:rFonts w:cs="Times New Roman"/>
      <w:color w:val="0000FF"/>
      <w:u w:val="single"/>
    </w:rPr>
  </w:style>
  <w:style w:type="paragraph" w:styleId="BalloonText">
    <w:name w:val="Balloon Text"/>
    <w:basedOn w:val="Normal"/>
    <w:link w:val="BalloonTextChar"/>
    <w:uiPriority w:val="99"/>
    <w:semiHidden/>
    <w:rsid w:val="00990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6D5"/>
    <w:rPr>
      <w:rFonts w:ascii="Tahoma" w:hAnsi="Tahoma" w:cs="Tahoma"/>
      <w:sz w:val="16"/>
      <w:szCs w:val="16"/>
    </w:rPr>
  </w:style>
  <w:style w:type="paragraph" w:styleId="NoSpacing">
    <w:name w:val="No Spacing"/>
    <w:uiPriority w:val="99"/>
    <w:qFormat/>
    <w:rsid w:val="009906D5"/>
    <w:rPr>
      <w:rFonts w:cs="Times New Roman"/>
      <w:lang w:eastAsia="en-US" w:bidi="ar-SA"/>
    </w:rPr>
  </w:style>
  <w:style w:type="paragraph" w:styleId="ListParagraph">
    <w:name w:val="List Paragraph"/>
    <w:basedOn w:val="Normal"/>
    <w:uiPriority w:val="99"/>
    <w:qFormat/>
    <w:rsid w:val="00C442A6"/>
    <w:pPr>
      <w:spacing w:after="0" w:line="240" w:lineRule="auto"/>
      <w:ind w:left="720"/>
      <w:contextualSpacing/>
    </w:pPr>
    <w:rPr>
      <w:rFonts w:ascii="Times New Roman" w:eastAsia="Times New Roman" w:hAnsi="Times New Roman"/>
      <w:sz w:val="24"/>
      <w:szCs w:val="24"/>
      <w:lang w:eastAsia="en-GB"/>
    </w:rPr>
  </w:style>
  <w:style w:type="paragraph" w:styleId="NormalWeb">
    <w:name w:val="Normal (Web)"/>
    <w:basedOn w:val="Normal"/>
    <w:uiPriority w:val="99"/>
    <w:rsid w:val="00146BA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ixed-citation">
    <w:name w:val="mixed-citation"/>
    <w:basedOn w:val="DefaultParagraphFont"/>
    <w:uiPriority w:val="99"/>
    <w:rsid w:val="002355A7"/>
    <w:rPr>
      <w:rFonts w:cs="Times New Roman"/>
    </w:rPr>
  </w:style>
  <w:style w:type="character" w:customStyle="1" w:styleId="ref-journal">
    <w:name w:val="ref-journal"/>
    <w:basedOn w:val="DefaultParagraphFont"/>
    <w:uiPriority w:val="99"/>
    <w:rsid w:val="002355A7"/>
    <w:rPr>
      <w:rFonts w:cs="Times New Roman"/>
    </w:rPr>
  </w:style>
  <w:style w:type="character" w:customStyle="1" w:styleId="ref-vol">
    <w:name w:val="ref-vol"/>
    <w:basedOn w:val="DefaultParagraphFont"/>
    <w:uiPriority w:val="99"/>
    <w:rsid w:val="002355A7"/>
    <w:rPr>
      <w:rFonts w:cs="Times New Roman"/>
    </w:rPr>
  </w:style>
  <w:style w:type="paragraph" w:styleId="EndnoteText">
    <w:name w:val="endnote text"/>
    <w:basedOn w:val="Normal"/>
    <w:link w:val="EndnoteTextChar"/>
    <w:uiPriority w:val="99"/>
    <w:semiHidden/>
    <w:rsid w:val="00E828D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828D8"/>
    <w:rPr>
      <w:rFonts w:ascii="Calibri" w:hAnsi="Calibri" w:cs="Times New Roman"/>
      <w:sz w:val="20"/>
      <w:szCs w:val="20"/>
    </w:rPr>
  </w:style>
  <w:style w:type="character" w:styleId="EndnoteReference">
    <w:name w:val="endnote reference"/>
    <w:basedOn w:val="DefaultParagraphFont"/>
    <w:uiPriority w:val="99"/>
    <w:semiHidden/>
    <w:rsid w:val="00E828D8"/>
    <w:rPr>
      <w:rFonts w:cs="Times New Roman"/>
      <w:vertAlign w:val="superscript"/>
    </w:rPr>
  </w:style>
  <w:style w:type="character" w:styleId="Strong">
    <w:name w:val="Strong"/>
    <w:basedOn w:val="DefaultParagraphFont"/>
    <w:uiPriority w:val="99"/>
    <w:qFormat/>
    <w:rsid w:val="00F04082"/>
    <w:rPr>
      <w:rFonts w:cs="Times New Roman"/>
      <w:b/>
      <w:bCs/>
    </w:rPr>
  </w:style>
  <w:style w:type="character" w:styleId="CommentReference">
    <w:name w:val="annotation reference"/>
    <w:basedOn w:val="DefaultParagraphFont"/>
    <w:uiPriority w:val="99"/>
    <w:semiHidden/>
    <w:rsid w:val="00F04082"/>
    <w:rPr>
      <w:rFonts w:cs="Times New Roman"/>
      <w:sz w:val="16"/>
      <w:szCs w:val="16"/>
    </w:rPr>
  </w:style>
  <w:style w:type="paragraph" w:styleId="CommentText">
    <w:name w:val="annotation text"/>
    <w:basedOn w:val="Normal"/>
    <w:link w:val="CommentTextChar"/>
    <w:uiPriority w:val="99"/>
    <w:semiHidden/>
    <w:rsid w:val="00F0408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0408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04082"/>
    <w:rPr>
      <w:b/>
      <w:bCs/>
    </w:rPr>
  </w:style>
  <w:style w:type="character" w:customStyle="1" w:styleId="CommentSubjectChar">
    <w:name w:val="Comment Subject Char"/>
    <w:basedOn w:val="CommentTextChar"/>
    <w:link w:val="CommentSubject"/>
    <w:uiPriority w:val="99"/>
    <w:semiHidden/>
    <w:locked/>
    <w:rsid w:val="00F04082"/>
    <w:rPr>
      <w:rFonts w:ascii="Calibri" w:hAnsi="Calibri" w:cs="Times New Roman"/>
      <w:b/>
      <w:bCs/>
      <w:sz w:val="20"/>
      <w:szCs w:val="20"/>
    </w:rPr>
  </w:style>
  <w:style w:type="character" w:customStyle="1" w:styleId="ref-journal1">
    <w:name w:val="ref-journal1"/>
    <w:basedOn w:val="DefaultParagraphFont"/>
    <w:uiPriority w:val="99"/>
    <w:rsid w:val="00050551"/>
    <w:rPr>
      <w:rFonts w:cs="Times New Roman"/>
      <w:i/>
      <w:iCs/>
    </w:rPr>
  </w:style>
  <w:style w:type="character" w:customStyle="1" w:styleId="ref-vol1">
    <w:name w:val="ref-vol1"/>
    <w:basedOn w:val="DefaultParagraphFont"/>
    <w:uiPriority w:val="99"/>
    <w:rsid w:val="00050551"/>
    <w:rPr>
      <w:rFonts w:cs="Times New Roman"/>
      <w:b/>
      <w:bCs/>
    </w:rPr>
  </w:style>
  <w:style w:type="character" w:styleId="Emphasis">
    <w:name w:val="Emphasis"/>
    <w:basedOn w:val="DefaultParagraphFont"/>
    <w:uiPriority w:val="99"/>
    <w:qFormat/>
    <w:rsid w:val="00451223"/>
    <w:rPr>
      <w:rFonts w:cs="Times New Roman"/>
      <w:i/>
      <w:iCs/>
    </w:rPr>
  </w:style>
  <w:style w:type="character" w:styleId="FollowedHyperlink">
    <w:name w:val="FollowedHyperlink"/>
    <w:basedOn w:val="DefaultParagraphFont"/>
    <w:uiPriority w:val="99"/>
    <w:semiHidden/>
    <w:rsid w:val="003B11ED"/>
    <w:rPr>
      <w:rFonts w:cs="Times New Roman"/>
      <w:color w:val="800080"/>
      <w:u w:val="single"/>
    </w:rPr>
  </w:style>
  <w:style w:type="paragraph" w:styleId="Quote">
    <w:name w:val="Quote"/>
    <w:basedOn w:val="Normal"/>
    <w:next w:val="Normal"/>
    <w:link w:val="QuoteChar"/>
    <w:uiPriority w:val="99"/>
    <w:qFormat/>
    <w:rsid w:val="007A4ADD"/>
    <w:rPr>
      <w:i/>
      <w:iCs/>
      <w:color w:val="000000"/>
    </w:rPr>
  </w:style>
  <w:style w:type="character" w:customStyle="1" w:styleId="QuoteChar">
    <w:name w:val="Quote Char"/>
    <w:basedOn w:val="DefaultParagraphFont"/>
    <w:link w:val="Quote"/>
    <w:uiPriority w:val="99"/>
    <w:locked/>
    <w:rsid w:val="007A4ADD"/>
    <w:rPr>
      <w:rFonts w:cs="Times New Roman"/>
      <w:i/>
      <w:iCs/>
      <w:color w:val="000000"/>
      <w:lang w:eastAsia="en-US" w:bidi="ar-SA"/>
    </w:rPr>
  </w:style>
  <w:style w:type="table" w:styleId="TableGrid">
    <w:name w:val="Table Grid"/>
    <w:basedOn w:val="TableNormal"/>
    <w:uiPriority w:val="99"/>
    <w:locked/>
    <w:rsid w:val="00F028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3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8BD"/>
    <w:rPr>
      <w:rFonts w:cs="Times New Roman"/>
      <w:lang w:eastAsia="en-US" w:bidi="ar-SA"/>
    </w:rPr>
  </w:style>
  <w:style w:type="paragraph" w:styleId="Footer">
    <w:name w:val="footer"/>
    <w:basedOn w:val="Normal"/>
    <w:link w:val="FooterChar"/>
    <w:uiPriority w:val="99"/>
    <w:unhideWhenUsed/>
    <w:rsid w:val="00203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8BD"/>
    <w:rPr>
      <w:rFonts w:cs="Times New Roman"/>
      <w:lang w:eastAsia="en-US" w:bidi="ar-SA"/>
    </w:rPr>
  </w:style>
  <w:style w:type="character" w:customStyle="1" w:styleId="highlight">
    <w:name w:val="highlight"/>
    <w:basedOn w:val="DefaultParagraphFont"/>
    <w:rsid w:val="00E9335C"/>
  </w:style>
  <w:style w:type="character" w:customStyle="1" w:styleId="cit-auth">
    <w:name w:val="cit-auth"/>
    <w:basedOn w:val="DefaultParagraphFont"/>
    <w:rsid w:val="00140B76"/>
  </w:style>
  <w:style w:type="character" w:styleId="HTMLCite">
    <w:name w:val="HTML Cite"/>
    <w:basedOn w:val="DefaultParagraphFont"/>
    <w:uiPriority w:val="99"/>
    <w:semiHidden/>
    <w:unhideWhenUsed/>
    <w:rsid w:val="00140B76"/>
    <w:rPr>
      <w:i/>
      <w:iCs/>
    </w:rPr>
  </w:style>
  <w:style w:type="character" w:customStyle="1" w:styleId="cit-source">
    <w:name w:val="cit-source"/>
    <w:basedOn w:val="DefaultParagraphFont"/>
    <w:rsid w:val="00140B76"/>
  </w:style>
  <w:style w:type="character" w:customStyle="1" w:styleId="cit-publ-loc">
    <w:name w:val="cit-publ-loc"/>
    <w:basedOn w:val="DefaultParagraphFont"/>
    <w:rsid w:val="00140B76"/>
  </w:style>
  <w:style w:type="character" w:customStyle="1" w:styleId="cit-publ-name">
    <w:name w:val="cit-publ-name"/>
    <w:basedOn w:val="DefaultParagraphFont"/>
    <w:rsid w:val="00140B76"/>
  </w:style>
  <w:style w:type="character" w:customStyle="1" w:styleId="cit-pub-date">
    <w:name w:val="cit-pub-date"/>
    <w:basedOn w:val="DefaultParagraphFont"/>
    <w:rsid w:val="00140B76"/>
  </w:style>
  <w:style w:type="character" w:customStyle="1" w:styleId="editor">
    <w:name w:val="editor"/>
    <w:basedOn w:val="DefaultParagraphFont"/>
    <w:rsid w:val="005621C8"/>
  </w:style>
  <w:style w:type="character" w:customStyle="1" w:styleId="pubyear">
    <w:name w:val="pubyear"/>
    <w:basedOn w:val="DefaultParagraphFont"/>
    <w:rsid w:val="005621C8"/>
  </w:style>
  <w:style w:type="character" w:customStyle="1" w:styleId="booktitle3">
    <w:name w:val="booktitle3"/>
    <w:basedOn w:val="DefaultParagraphFont"/>
    <w:rsid w:val="005621C8"/>
    <w:rPr>
      <w:i/>
      <w:iCs/>
    </w:rPr>
  </w:style>
  <w:style w:type="character" w:customStyle="1" w:styleId="publisherlocation">
    <w:name w:val="publisherlocation"/>
    <w:basedOn w:val="DefaultParagraphFont"/>
    <w:rsid w:val="005621C8"/>
  </w:style>
  <w:style w:type="paragraph" w:styleId="Revision">
    <w:name w:val="Revision"/>
    <w:hidden/>
    <w:uiPriority w:val="99"/>
    <w:semiHidden/>
    <w:rsid w:val="002D7E37"/>
    <w:rPr>
      <w:rFonts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7689">
      <w:bodyDiv w:val="1"/>
      <w:marLeft w:val="0"/>
      <w:marRight w:val="0"/>
      <w:marTop w:val="0"/>
      <w:marBottom w:val="0"/>
      <w:divBdr>
        <w:top w:val="none" w:sz="0" w:space="0" w:color="auto"/>
        <w:left w:val="none" w:sz="0" w:space="0" w:color="auto"/>
        <w:bottom w:val="none" w:sz="0" w:space="0" w:color="auto"/>
        <w:right w:val="none" w:sz="0" w:space="0" w:color="auto"/>
      </w:divBdr>
      <w:divsChild>
        <w:div w:id="1705406122">
          <w:marLeft w:val="0"/>
          <w:marRight w:val="0"/>
          <w:marTop w:val="0"/>
          <w:marBottom w:val="0"/>
          <w:divBdr>
            <w:top w:val="none" w:sz="0" w:space="0" w:color="auto"/>
            <w:left w:val="none" w:sz="0" w:space="0" w:color="auto"/>
            <w:bottom w:val="none" w:sz="0" w:space="0" w:color="auto"/>
            <w:right w:val="none" w:sz="0" w:space="0" w:color="auto"/>
          </w:divBdr>
          <w:divsChild>
            <w:div w:id="1434011555">
              <w:marLeft w:val="0"/>
              <w:marRight w:val="0"/>
              <w:marTop w:val="0"/>
              <w:marBottom w:val="0"/>
              <w:divBdr>
                <w:top w:val="none" w:sz="0" w:space="0" w:color="auto"/>
                <w:left w:val="none" w:sz="0" w:space="0" w:color="auto"/>
                <w:bottom w:val="none" w:sz="0" w:space="0" w:color="auto"/>
                <w:right w:val="none" w:sz="0" w:space="0" w:color="auto"/>
              </w:divBdr>
              <w:divsChild>
                <w:div w:id="2118061186">
                  <w:marLeft w:val="0"/>
                  <w:marRight w:val="0"/>
                  <w:marTop w:val="0"/>
                  <w:marBottom w:val="0"/>
                  <w:divBdr>
                    <w:top w:val="none" w:sz="0" w:space="0" w:color="auto"/>
                    <w:left w:val="none" w:sz="0" w:space="0" w:color="auto"/>
                    <w:bottom w:val="none" w:sz="0" w:space="0" w:color="auto"/>
                    <w:right w:val="none" w:sz="0" w:space="0" w:color="auto"/>
                  </w:divBdr>
                  <w:divsChild>
                    <w:div w:id="1691955330">
                      <w:marLeft w:val="0"/>
                      <w:marRight w:val="0"/>
                      <w:marTop w:val="0"/>
                      <w:marBottom w:val="0"/>
                      <w:divBdr>
                        <w:top w:val="none" w:sz="0" w:space="0" w:color="auto"/>
                        <w:left w:val="none" w:sz="0" w:space="0" w:color="auto"/>
                        <w:bottom w:val="none" w:sz="0" w:space="0" w:color="auto"/>
                        <w:right w:val="none" w:sz="0" w:space="0" w:color="auto"/>
                      </w:divBdr>
                      <w:divsChild>
                        <w:div w:id="719401420">
                          <w:marLeft w:val="0"/>
                          <w:marRight w:val="0"/>
                          <w:marTop w:val="0"/>
                          <w:marBottom w:val="0"/>
                          <w:divBdr>
                            <w:top w:val="none" w:sz="0" w:space="0" w:color="auto"/>
                            <w:left w:val="none" w:sz="0" w:space="0" w:color="auto"/>
                            <w:bottom w:val="none" w:sz="0" w:space="0" w:color="auto"/>
                            <w:right w:val="none" w:sz="0" w:space="0" w:color="auto"/>
                          </w:divBdr>
                          <w:divsChild>
                            <w:div w:id="444932833">
                              <w:marLeft w:val="0"/>
                              <w:marRight w:val="0"/>
                              <w:marTop w:val="0"/>
                              <w:marBottom w:val="0"/>
                              <w:divBdr>
                                <w:top w:val="none" w:sz="0" w:space="0" w:color="auto"/>
                                <w:left w:val="none" w:sz="0" w:space="0" w:color="auto"/>
                                <w:bottom w:val="none" w:sz="0" w:space="0" w:color="auto"/>
                                <w:right w:val="none" w:sz="0" w:space="0" w:color="auto"/>
                              </w:divBdr>
                              <w:divsChild>
                                <w:div w:id="590621966">
                                  <w:marLeft w:val="0"/>
                                  <w:marRight w:val="0"/>
                                  <w:marTop w:val="0"/>
                                  <w:marBottom w:val="0"/>
                                  <w:divBdr>
                                    <w:top w:val="none" w:sz="0" w:space="0" w:color="auto"/>
                                    <w:left w:val="none" w:sz="0" w:space="0" w:color="auto"/>
                                    <w:bottom w:val="none" w:sz="0" w:space="0" w:color="auto"/>
                                    <w:right w:val="none" w:sz="0" w:space="0" w:color="auto"/>
                                  </w:divBdr>
                                  <w:divsChild>
                                    <w:div w:id="1762332410">
                                      <w:marLeft w:val="0"/>
                                      <w:marRight w:val="0"/>
                                      <w:marTop w:val="0"/>
                                      <w:marBottom w:val="0"/>
                                      <w:divBdr>
                                        <w:top w:val="none" w:sz="0" w:space="0" w:color="auto"/>
                                        <w:left w:val="none" w:sz="0" w:space="0" w:color="auto"/>
                                        <w:bottom w:val="none" w:sz="0" w:space="0" w:color="auto"/>
                                        <w:right w:val="none" w:sz="0" w:space="0" w:color="auto"/>
                                      </w:divBdr>
                                    </w:div>
                                    <w:div w:id="6097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712243">
      <w:bodyDiv w:val="1"/>
      <w:marLeft w:val="0"/>
      <w:marRight w:val="0"/>
      <w:marTop w:val="0"/>
      <w:marBottom w:val="0"/>
      <w:divBdr>
        <w:top w:val="none" w:sz="0" w:space="0" w:color="auto"/>
        <w:left w:val="none" w:sz="0" w:space="0" w:color="auto"/>
        <w:bottom w:val="none" w:sz="0" w:space="0" w:color="auto"/>
        <w:right w:val="none" w:sz="0" w:space="0" w:color="auto"/>
      </w:divBdr>
      <w:divsChild>
        <w:div w:id="656303765">
          <w:marLeft w:val="0"/>
          <w:marRight w:val="0"/>
          <w:marTop w:val="0"/>
          <w:marBottom w:val="0"/>
          <w:divBdr>
            <w:top w:val="none" w:sz="0" w:space="0" w:color="auto"/>
            <w:left w:val="none" w:sz="0" w:space="0" w:color="auto"/>
            <w:bottom w:val="none" w:sz="0" w:space="0" w:color="auto"/>
            <w:right w:val="none" w:sz="0" w:space="0" w:color="auto"/>
          </w:divBdr>
          <w:divsChild>
            <w:div w:id="842353153">
              <w:marLeft w:val="0"/>
              <w:marRight w:val="0"/>
              <w:marTop w:val="0"/>
              <w:marBottom w:val="0"/>
              <w:divBdr>
                <w:top w:val="none" w:sz="0" w:space="0" w:color="auto"/>
                <w:left w:val="none" w:sz="0" w:space="0" w:color="auto"/>
                <w:bottom w:val="none" w:sz="0" w:space="0" w:color="auto"/>
                <w:right w:val="none" w:sz="0" w:space="0" w:color="auto"/>
              </w:divBdr>
              <w:divsChild>
                <w:div w:id="2002000055">
                  <w:marLeft w:val="0"/>
                  <w:marRight w:val="0"/>
                  <w:marTop w:val="0"/>
                  <w:marBottom w:val="0"/>
                  <w:divBdr>
                    <w:top w:val="none" w:sz="0" w:space="0" w:color="auto"/>
                    <w:left w:val="none" w:sz="0" w:space="0" w:color="auto"/>
                    <w:bottom w:val="none" w:sz="0" w:space="0" w:color="auto"/>
                    <w:right w:val="none" w:sz="0" w:space="0" w:color="auto"/>
                  </w:divBdr>
                  <w:divsChild>
                    <w:div w:id="257325948">
                      <w:marLeft w:val="0"/>
                      <w:marRight w:val="0"/>
                      <w:marTop w:val="0"/>
                      <w:marBottom w:val="0"/>
                      <w:divBdr>
                        <w:top w:val="none" w:sz="0" w:space="0" w:color="auto"/>
                        <w:left w:val="none" w:sz="0" w:space="0" w:color="auto"/>
                        <w:bottom w:val="none" w:sz="0" w:space="0" w:color="auto"/>
                        <w:right w:val="none" w:sz="0" w:space="0" w:color="auto"/>
                      </w:divBdr>
                      <w:divsChild>
                        <w:div w:id="1216314887">
                          <w:marLeft w:val="0"/>
                          <w:marRight w:val="0"/>
                          <w:marTop w:val="0"/>
                          <w:marBottom w:val="0"/>
                          <w:divBdr>
                            <w:top w:val="none" w:sz="0" w:space="0" w:color="auto"/>
                            <w:left w:val="none" w:sz="0" w:space="0" w:color="auto"/>
                            <w:bottom w:val="none" w:sz="0" w:space="0" w:color="auto"/>
                            <w:right w:val="none" w:sz="0" w:space="0" w:color="auto"/>
                          </w:divBdr>
                          <w:divsChild>
                            <w:div w:id="67776517">
                              <w:marLeft w:val="0"/>
                              <w:marRight w:val="0"/>
                              <w:marTop w:val="0"/>
                              <w:marBottom w:val="0"/>
                              <w:divBdr>
                                <w:top w:val="none" w:sz="0" w:space="0" w:color="auto"/>
                                <w:left w:val="none" w:sz="0" w:space="0" w:color="auto"/>
                                <w:bottom w:val="none" w:sz="0" w:space="0" w:color="auto"/>
                                <w:right w:val="none" w:sz="0" w:space="0" w:color="auto"/>
                              </w:divBdr>
                              <w:divsChild>
                                <w:div w:id="504515599">
                                  <w:marLeft w:val="0"/>
                                  <w:marRight w:val="0"/>
                                  <w:marTop w:val="0"/>
                                  <w:marBottom w:val="0"/>
                                  <w:divBdr>
                                    <w:top w:val="none" w:sz="0" w:space="0" w:color="auto"/>
                                    <w:left w:val="none" w:sz="0" w:space="0" w:color="auto"/>
                                    <w:bottom w:val="none" w:sz="0" w:space="0" w:color="auto"/>
                                    <w:right w:val="none" w:sz="0" w:space="0" w:color="auto"/>
                                  </w:divBdr>
                                  <w:divsChild>
                                    <w:div w:id="1261063542">
                                      <w:marLeft w:val="0"/>
                                      <w:marRight w:val="0"/>
                                      <w:marTop w:val="0"/>
                                      <w:marBottom w:val="0"/>
                                      <w:divBdr>
                                        <w:top w:val="none" w:sz="0" w:space="0" w:color="auto"/>
                                        <w:left w:val="none" w:sz="0" w:space="0" w:color="auto"/>
                                        <w:bottom w:val="none" w:sz="0" w:space="0" w:color="auto"/>
                                        <w:right w:val="none" w:sz="0" w:space="0" w:color="auto"/>
                                      </w:divBdr>
                                    </w:div>
                                    <w:div w:id="9719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433968">
      <w:bodyDiv w:val="1"/>
      <w:marLeft w:val="0"/>
      <w:marRight w:val="0"/>
      <w:marTop w:val="0"/>
      <w:marBottom w:val="0"/>
      <w:divBdr>
        <w:top w:val="none" w:sz="0" w:space="0" w:color="auto"/>
        <w:left w:val="none" w:sz="0" w:space="0" w:color="auto"/>
        <w:bottom w:val="none" w:sz="0" w:space="0" w:color="auto"/>
        <w:right w:val="none" w:sz="0" w:space="0" w:color="auto"/>
      </w:divBdr>
      <w:divsChild>
        <w:div w:id="153224243">
          <w:marLeft w:val="0"/>
          <w:marRight w:val="1"/>
          <w:marTop w:val="0"/>
          <w:marBottom w:val="0"/>
          <w:divBdr>
            <w:top w:val="none" w:sz="0" w:space="0" w:color="auto"/>
            <w:left w:val="none" w:sz="0" w:space="0" w:color="auto"/>
            <w:bottom w:val="none" w:sz="0" w:space="0" w:color="auto"/>
            <w:right w:val="none" w:sz="0" w:space="0" w:color="auto"/>
          </w:divBdr>
          <w:divsChild>
            <w:div w:id="159586362">
              <w:marLeft w:val="0"/>
              <w:marRight w:val="0"/>
              <w:marTop w:val="0"/>
              <w:marBottom w:val="0"/>
              <w:divBdr>
                <w:top w:val="none" w:sz="0" w:space="0" w:color="auto"/>
                <w:left w:val="none" w:sz="0" w:space="0" w:color="auto"/>
                <w:bottom w:val="none" w:sz="0" w:space="0" w:color="auto"/>
                <w:right w:val="none" w:sz="0" w:space="0" w:color="auto"/>
              </w:divBdr>
              <w:divsChild>
                <w:div w:id="2015301393">
                  <w:marLeft w:val="0"/>
                  <w:marRight w:val="1"/>
                  <w:marTop w:val="0"/>
                  <w:marBottom w:val="0"/>
                  <w:divBdr>
                    <w:top w:val="none" w:sz="0" w:space="0" w:color="auto"/>
                    <w:left w:val="none" w:sz="0" w:space="0" w:color="auto"/>
                    <w:bottom w:val="none" w:sz="0" w:space="0" w:color="auto"/>
                    <w:right w:val="none" w:sz="0" w:space="0" w:color="auto"/>
                  </w:divBdr>
                  <w:divsChild>
                    <w:div w:id="2000190162">
                      <w:marLeft w:val="0"/>
                      <w:marRight w:val="0"/>
                      <w:marTop w:val="0"/>
                      <w:marBottom w:val="0"/>
                      <w:divBdr>
                        <w:top w:val="none" w:sz="0" w:space="0" w:color="auto"/>
                        <w:left w:val="none" w:sz="0" w:space="0" w:color="auto"/>
                        <w:bottom w:val="none" w:sz="0" w:space="0" w:color="auto"/>
                        <w:right w:val="none" w:sz="0" w:space="0" w:color="auto"/>
                      </w:divBdr>
                      <w:divsChild>
                        <w:div w:id="1265109553">
                          <w:marLeft w:val="0"/>
                          <w:marRight w:val="0"/>
                          <w:marTop w:val="0"/>
                          <w:marBottom w:val="0"/>
                          <w:divBdr>
                            <w:top w:val="none" w:sz="0" w:space="0" w:color="auto"/>
                            <w:left w:val="none" w:sz="0" w:space="0" w:color="auto"/>
                            <w:bottom w:val="none" w:sz="0" w:space="0" w:color="auto"/>
                            <w:right w:val="none" w:sz="0" w:space="0" w:color="auto"/>
                          </w:divBdr>
                          <w:divsChild>
                            <w:div w:id="1567570643">
                              <w:marLeft w:val="0"/>
                              <w:marRight w:val="0"/>
                              <w:marTop w:val="120"/>
                              <w:marBottom w:val="360"/>
                              <w:divBdr>
                                <w:top w:val="none" w:sz="0" w:space="0" w:color="auto"/>
                                <w:left w:val="none" w:sz="0" w:space="0" w:color="auto"/>
                                <w:bottom w:val="none" w:sz="0" w:space="0" w:color="auto"/>
                                <w:right w:val="none" w:sz="0" w:space="0" w:color="auto"/>
                              </w:divBdr>
                              <w:divsChild>
                                <w:div w:id="4483095">
                                  <w:marLeft w:val="0"/>
                                  <w:marRight w:val="0"/>
                                  <w:marTop w:val="0"/>
                                  <w:marBottom w:val="0"/>
                                  <w:divBdr>
                                    <w:top w:val="none" w:sz="0" w:space="0" w:color="auto"/>
                                    <w:left w:val="none" w:sz="0" w:space="0" w:color="auto"/>
                                    <w:bottom w:val="none" w:sz="0" w:space="0" w:color="auto"/>
                                    <w:right w:val="none" w:sz="0" w:space="0" w:color="auto"/>
                                  </w:divBdr>
                                </w:div>
                                <w:div w:id="14365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38935">
      <w:bodyDiv w:val="1"/>
      <w:marLeft w:val="0"/>
      <w:marRight w:val="0"/>
      <w:marTop w:val="0"/>
      <w:marBottom w:val="0"/>
      <w:divBdr>
        <w:top w:val="none" w:sz="0" w:space="0" w:color="auto"/>
        <w:left w:val="none" w:sz="0" w:space="0" w:color="auto"/>
        <w:bottom w:val="none" w:sz="0" w:space="0" w:color="auto"/>
        <w:right w:val="none" w:sz="0" w:space="0" w:color="auto"/>
      </w:divBdr>
    </w:div>
    <w:div w:id="671301510">
      <w:bodyDiv w:val="1"/>
      <w:marLeft w:val="0"/>
      <w:marRight w:val="0"/>
      <w:marTop w:val="0"/>
      <w:marBottom w:val="0"/>
      <w:divBdr>
        <w:top w:val="none" w:sz="0" w:space="0" w:color="auto"/>
        <w:left w:val="none" w:sz="0" w:space="0" w:color="auto"/>
        <w:bottom w:val="none" w:sz="0" w:space="0" w:color="auto"/>
        <w:right w:val="none" w:sz="0" w:space="0" w:color="auto"/>
      </w:divBdr>
      <w:divsChild>
        <w:div w:id="1005744274">
          <w:marLeft w:val="0"/>
          <w:marRight w:val="0"/>
          <w:marTop w:val="0"/>
          <w:marBottom w:val="0"/>
          <w:divBdr>
            <w:top w:val="none" w:sz="0" w:space="0" w:color="auto"/>
            <w:left w:val="none" w:sz="0" w:space="0" w:color="auto"/>
            <w:bottom w:val="none" w:sz="0" w:space="0" w:color="auto"/>
            <w:right w:val="none" w:sz="0" w:space="0" w:color="auto"/>
          </w:divBdr>
          <w:divsChild>
            <w:div w:id="922952728">
              <w:marLeft w:val="0"/>
              <w:marRight w:val="0"/>
              <w:marTop w:val="0"/>
              <w:marBottom w:val="0"/>
              <w:divBdr>
                <w:top w:val="none" w:sz="0" w:space="0" w:color="auto"/>
                <w:left w:val="none" w:sz="0" w:space="0" w:color="auto"/>
                <w:bottom w:val="none" w:sz="0" w:space="0" w:color="auto"/>
                <w:right w:val="none" w:sz="0" w:space="0" w:color="auto"/>
              </w:divBdr>
              <w:divsChild>
                <w:div w:id="2083940874">
                  <w:marLeft w:val="0"/>
                  <w:marRight w:val="0"/>
                  <w:marTop w:val="0"/>
                  <w:marBottom w:val="0"/>
                  <w:divBdr>
                    <w:top w:val="none" w:sz="0" w:space="0" w:color="auto"/>
                    <w:left w:val="none" w:sz="0" w:space="0" w:color="auto"/>
                    <w:bottom w:val="none" w:sz="0" w:space="0" w:color="auto"/>
                    <w:right w:val="none" w:sz="0" w:space="0" w:color="auto"/>
                  </w:divBdr>
                  <w:divsChild>
                    <w:div w:id="1685203454">
                      <w:marLeft w:val="0"/>
                      <w:marRight w:val="0"/>
                      <w:marTop w:val="0"/>
                      <w:marBottom w:val="0"/>
                      <w:divBdr>
                        <w:top w:val="none" w:sz="0" w:space="0" w:color="auto"/>
                        <w:left w:val="none" w:sz="0" w:space="0" w:color="auto"/>
                        <w:bottom w:val="none" w:sz="0" w:space="0" w:color="auto"/>
                        <w:right w:val="none" w:sz="0" w:space="0" w:color="auto"/>
                      </w:divBdr>
                      <w:divsChild>
                        <w:div w:id="93980935">
                          <w:marLeft w:val="0"/>
                          <w:marRight w:val="0"/>
                          <w:marTop w:val="0"/>
                          <w:marBottom w:val="0"/>
                          <w:divBdr>
                            <w:top w:val="none" w:sz="0" w:space="0" w:color="auto"/>
                            <w:left w:val="none" w:sz="0" w:space="0" w:color="auto"/>
                            <w:bottom w:val="none" w:sz="0" w:space="0" w:color="auto"/>
                            <w:right w:val="none" w:sz="0" w:space="0" w:color="auto"/>
                          </w:divBdr>
                          <w:divsChild>
                            <w:div w:id="1068185794">
                              <w:marLeft w:val="0"/>
                              <w:marRight w:val="0"/>
                              <w:marTop w:val="0"/>
                              <w:marBottom w:val="0"/>
                              <w:divBdr>
                                <w:top w:val="none" w:sz="0" w:space="0" w:color="auto"/>
                                <w:left w:val="none" w:sz="0" w:space="0" w:color="auto"/>
                                <w:bottom w:val="none" w:sz="0" w:space="0" w:color="auto"/>
                                <w:right w:val="none" w:sz="0" w:space="0" w:color="auto"/>
                              </w:divBdr>
                              <w:divsChild>
                                <w:div w:id="1590038744">
                                  <w:marLeft w:val="0"/>
                                  <w:marRight w:val="0"/>
                                  <w:marTop w:val="0"/>
                                  <w:marBottom w:val="0"/>
                                  <w:divBdr>
                                    <w:top w:val="none" w:sz="0" w:space="0" w:color="auto"/>
                                    <w:left w:val="none" w:sz="0" w:space="0" w:color="auto"/>
                                    <w:bottom w:val="none" w:sz="0" w:space="0" w:color="auto"/>
                                    <w:right w:val="none" w:sz="0" w:space="0" w:color="auto"/>
                                  </w:divBdr>
                                  <w:divsChild>
                                    <w:div w:id="486015244">
                                      <w:marLeft w:val="0"/>
                                      <w:marRight w:val="0"/>
                                      <w:marTop w:val="0"/>
                                      <w:marBottom w:val="0"/>
                                      <w:divBdr>
                                        <w:top w:val="none" w:sz="0" w:space="0" w:color="auto"/>
                                        <w:left w:val="none" w:sz="0" w:space="0" w:color="auto"/>
                                        <w:bottom w:val="none" w:sz="0" w:space="0" w:color="auto"/>
                                        <w:right w:val="none" w:sz="0" w:space="0" w:color="auto"/>
                                      </w:divBdr>
                                    </w:div>
                                    <w:div w:id="5583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937020">
      <w:bodyDiv w:val="1"/>
      <w:marLeft w:val="0"/>
      <w:marRight w:val="0"/>
      <w:marTop w:val="0"/>
      <w:marBottom w:val="0"/>
      <w:divBdr>
        <w:top w:val="none" w:sz="0" w:space="0" w:color="auto"/>
        <w:left w:val="none" w:sz="0" w:space="0" w:color="auto"/>
        <w:bottom w:val="none" w:sz="0" w:space="0" w:color="auto"/>
        <w:right w:val="none" w:sz="0" w:space="0" w:color="auto"/>
      </w:divBdr>
      <w:divsChild>
        <w:div w:id="458188491">
          <w:marLeft w:val="0"/>
          <w:marRight w:val="0"/>
          <w:marTop w:val="0"/>
          <w:marBottom w:val="0"/>
          <w:divBdr>
            <w:top w:val="none" w:sz="0" w:space="0" w:color="auto"/>
            <w:left w:val="none" w:sz="0" w:space="0" w:color="auto"/>
            <w:bottom w:val="none" w:sz="0" w:space="0" w:color="auto"/>
            <w:right w:val="none" w:sz="0" w:space="0" w:color="auto"/>
          </w:divBdr>
          <w:divsChild>
            <w:div w:id="1852911516">
              <w:marLeft w:val="0"/>
              <w:marRight w:val="0"/>
              <w:marTop w:val="0"/>
              <w:marBottom w:val="0"/>
              <w:divBdr>
                <w:top w:val="none" w:sz="0" w:space="0" w:color="auto"/>
                <w:left w:val="none" w:sz="0" w:space="0" w:color="auto"/>
                <w:bottom w:val="none" w:sz="0" w:space="0" w:color="auto"/>
                <w:right w:val="none" w:sz="0" w:space="0" w:color="auto"/>
              </w:divBdr>
              <w:divsChild>
                <w:div w:id="1046372038">
                  <w:marLeft w:val="150"/>
                  <w:marRight w:val="150"/>
                  <w:marTop w:val="0"/>
                  <w:marBottom w:val="0"/>
                  <w:divBdr>
                    <w:top w:val="none" w:sz="0" w:space="0" w:color="auto"/>
                    <w:left w:val="none" w:sz="0" w:space="0" w:color="auto"/>
                    <w:bottom w:val="none" w:sz="0" w:space="0" w:color="auto"/>
                    <w:right w:val="none" w:sz="0" w:space="0" w:color="auto"/>
                  </w:divBdr>
                  <w:divsChild>
                    <w:div w:id="801923060">
                      <w:marLeft w:val="150"/>
                      <w:marRight w:val="150"/>
                      <w:marTop w:val="0"/>
                      <w:marBottom w:val="0"/>
                      <w:divBdr>
                        <w:top w:val="none" w:sz="0" w:space="0" w:color="auto"/>
                        <w:left w:val="none" w:sz="0" w:space="0" w:color="auto"/>
                        <w:bottom w:val="none" w:sz="0" w:space="0" w:color="auto"/>
                        <w:right w:val="none" w:sz="0" w:space="0" w:color="auto"/>
                      </w:divBdr>
                      <w:divsChild>
                        <w:div w:id="966817424">
                          <w:marLeft w:val="0"/>
                          <w:marRight w:val="0"/>
                          <w:marTop w:val="0"/>
                          <w:marBottom w:val="0"/>
                          <w:divBdr>
                            <w:top w:val="none" w:sz="0" w:space="0" w:color="auto"/>
                            <w:left w:val="none" w:sz="0" w:space="0" w:color="auto"/>
                            <w:bottom w:val="none" w:sz="0" w:space="0" w:color="auto"/>
                            <w:right w:val="none" w:sz="0" w:space="0" w:color="auto"/>
                          </w:divBdr>
                          <w:divsChild>
                            <w:div w:id="1507356334">
                              <w:marLeft w:val="0"/>
                              <w:marRight w:val="0"/>
                              <w:marTop w:val="0"/>
                              <w:marBottom w:val="0"/>
                              <w:divBdr>
                                <w:top w:val="none" w:sz="0" w:space="0" w:color="auto"/>
                                <w:left w:val="none" w:sz="0" w:space="0" w:color="auto"/>
                                <w:bottom w:val="none" w:sz="0" w:space="0" w:color="auto"/>
                                <w:right w:val="none" w:sz="0" w:space="0" w:color="auto"/>
                              </w:divBdr>
                              <w:divsChild>
                                <w:div w:id="1864324248">
                                  <w:marLeft w:val="0"/>
                                  <w:marRight w:val="0"/>
                                  <w:marTop w:val="0"/>
                                  <w:marBottom w:val="0"/>
                                  <w:divBdr>
                                    <w:top w:val="none" w:sz="0" w:space="0" w:color="auto"/>
                                    <w:left w:val="none" w:sz="0" w:space="0" w:color="auto"/>
                                    <w:bottom w:val="none" w:sz="0" w:space="0" w:color="auto"/>
                                    <w:right w:val="none" w:sz="0" w:space="0" w:color="auto"/>
                                  </w:divBdr>
                                  <w:divsChild>
                                    <w:div w:id="1316951875">
                                      <w:marLeft w:val="0"/>
                                      <w:marRight w:val="0"/>
                                      <w:marTop w:val="0"/>
                                      <w:marBottom w:val="0"/>
                                      <w:divBdr>
                                        <w:top w:val="none" w:sz="0" w:space="0" w:color="auto"/>
                                        <w:left w:val="none" w:sz="0" w:space="0" w:color="auto"/>
                                        <w:bottom w:val="none" w:sz="0" w:space="0" w:color="auto"/>
                                        <w:right w:val="none" w:sz="0" w:space="0" w:color="auto"/>
                                      </w:divBdr>
                                      <w:divsChild>
                                        <w:div w:id="1652322811">
                                          <w:marLeft w:val="0"/>
                                          <w:marRight w:val="0"/>
                                          <w:marTop w:val="0"/>
                                          <w:marBottom w:val="0"/>
                                          <w:divBdr>
                                            <w:top w:val="none" w:sz="0" w:space="0" w:color="auto"/>
                                            <w:left w:val="none" w:sz="0" w:space="0" w:color="auto"/>
                                            <w:bottom w:val="none" w:sz="0" w:space="0" w:color="auto"/>
                                            <w:right w:val="none" w:sz="0" w:space="0" w:color="auto"/>
                                          </w:divBdr>
                                          <w:divsChild>
                                            <w:div w:id="1249996480">
                                              <w:marLeft w:val="0"/>
                                              <w:marRight w:val="0"/>
                                              <w:marTop w:val="0"/>
                                              <w:marBottom w:val="0"/>
                                              <w:divBdr>
                                                <w:top w:val="none" w:sz="0" w:space="0" w:color="auto"/>
                                                <w:left w:val="none" w:sz="0" w:space="0" w:color="auto"/>
                                                <w:bottom w:val="none" w:sz="0" w:space="0" w:color="auto"/>
                                                <w:right w:val="none" w:sz="0" w:space="0" w:color="auto"/>
                                              </w:divBdr>
                                              <w:divsChild>
                                                <w:div w:id="666858339">
                                                  <w:marLeft w:val="0"/>
                                                  <w:marRight w:val="0"/>
                                                  <w:marTop w:val="0"/>
                                                  <w:marBottom w:val="0"/>
                                                  <w:divBdr>
                                                    <w:top w:val="none" w:sz="0" w:space="0" w:color="auto"/>
                                                    <w:left w:val="none" w:sz="0" w:space="0" w:color="auto"/>
                                                    <w:bottom w:val="none" w:sz="0" w:space="0" w:color="auto"/>
                                                    <w:right w:val="none" w:sz="0" w:space="0" w:color="auto"/>
                                                  </w:divBdr>
                                                  <w:divsChild>
                                                    <w:div w:id="1000616377">
                                                      <w:marLeft w:val="0"/>
                                                      <w:marRight w:val="0"/>
                                                      <w:marTop w:val="0"/>
                                                      <w:marBottom w:val="0"/>
                                                      <w:divBdr>
                                                        <w:top w:val="none" w:sz="0" w:space="0" w:color="auto"/>
                                                        <w:left w:val="none" w:sz="0" w:space="0" w:color="auto"/>
                                                        <w:bottom w:val="none" w:sz="0" w:space="0" w:color="auto"/>
                                                        <w:right w:val="none" w:sz="0" w:space="0" w:color="auto"/>
                                                      </w:divBdr>
                                                      <w:divsChild>
                                                        <w:div w:id="188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23589">
      <w:bodyDiv w:val="1"/>
      <w:marLeft w:val="0"/>
      <w:marRight w:val="0"/>
      <w:marTop w:val="0"/>
      <w:marBottom w:val="0"/>
      <w:divBdr>
        <w:top w:val="none" w:sz="0" w:space="0" w:color="auto"/>
        <w:left w:val="none" w:sz="0" w:space="0" w:color="auto"/>
        <w:bottom w:val="none" w:sz="0" w:space="0" w:color="auto"/>
        <w:right w:val="none" w:sz="0" w:space="0" w:color="auto"/>
      </w:divBdr>
      <w:divsChild>
        <w:div w:id="880169044">
          <w:marLeft w:val="0"/>
          <w:marRight w:val="0"/>
          <w:marTop w:val="0"/>
          <w:marBottom w:val="0"/>
          <w:divBdr>
            <w:top w:val="none" w:sz="0" w:space="0" w:color="auto"/>
            <w:left w:val="none" w:sz="0" w:space="0" w:color="auto"/>
            <w:bottom w:val="none" w:sz="0" w:space="0" w:color="auto"/>
            <w:right w:val="none" w:sz="0" w:space="0" w:color="auto"/>
          </w:divBdr>
          <w:divsChild>
            <w:div w:id="1803383290">
              <w:marLeft w:val="0"/>
              <w:marRight w:val="0"/>
              <w:marTop w:val="0"/>
              <w:marBottom w:val="0"/>
              <w:divBdr>
                <w:top w:val="none" w:sz="0" w:space="0" w:color="auto"/>
                <w:left w:val="none" w:sz="0" w:space="0" w:color="auto"/>
                <w:bottom w:val="none" w:sz="0" w:space="0" w:color="auto"/>
                <w:right w:val="none" w:sz="0" w:space="0" w:color="auto"/>
              </w:divBdr>
              <w:divsChild>
                <w:div w:id="1716391653">
                  <w:marLeft w:val="0"/>
                  <w:marRight w:val="0"/>
                  <w:marTop w:val="0"/>
                  <w:marBottom w:val="0"/>
                  <w:divBdr>
                    <w:top w:val="none" w:sz="0" w:space="0" w:color="auto"/>
                    <w:left w:val="none" w:sz="0" w:space="0" w:color="auto"/>
                    <w:bottom w:val="none" w:sz="0" w:space="0" w:color="auto"/>
                    <w:right w:val="none" w:sz="0" w:space="0" w:color="auto"/>
                  </w:divBdr>
                  <w:divsChild>
                    <w:div w:id="375203965">
                      <w:marLeft w:val="0"/>
                      <w:marRight w:val="0"/>
                      <w:marTop w:val="0"/>
                      <w:marBottom w:val="0"/>
                      <w:divBdr>
                        <w:top w:val="none" w:sz="0" w:space="0" w:color="auto"/>
                        <w:left w:val="none" w:sz="0" w:space="0" w:color="auto"/>
                        <w:bottom w:val="none" w:sz="0" w:space="0" w:color="auto"/>
                        <w:right w:val="none" w:sz="0" w:space="0" w:color="auto"/>
                      </w:divBdr>
                      <w:divsChild>
                        <w:div w:id="1859270160">
                          <w:marLeft w:val="0"/>
                          <w:marRight w:val="0"/>
                          <w:marTop w:val="0"/>
                          <w:marBottom w:val="0"/>
                          <w:divBdr>
                            <w:top w:val="none" w:sz="0" w:space="0" w:color="auto"/>
                            <w:left w:val="none" w:sz="0" w:space="0" w:color="auto"/>
                            <w:bottom w:val="none" w:sz="0" w:space="0" w:color="auto"/>
                            <w:right w:val="none" w:sz="0" w:space="0" w:color="auto"/>
                          </w:divBdr>
                          <w:divsChild>
                            <w:div w:id="383137999">
                              <w:marLeft w:val="0"/>
                              <w:marRight w:val="0"/>
                              <w:marTop w:val="0"/>
                              <w:marBottom w:val="0"/>
                              <w:divBdr>
                                <w:top w:val="none" w:sz="0" w:space="0" w:color="auto"/>
                                <w:left w:val="none" w:sz="0" w:space="0" w:color="auto"/>
                                <w:bottom w:val="none" w:sz="0" w:space="0" w:color="auto"/>
                                <w:right w:val="none" w:sz="0" w:space="0" w:color="auto"/>
                              </w:divBdr>
                              <w:divsChild>
                                <w:div w:id="442117474">
                                  <w:marLeft w:val="0"/>
                                  <w:marRight w:val="0"/>
                                  <w:marTop w:val="0"/>
                                  <w:marBottom w:val="0"/>
                                  <w:divBdr>
                                    <w:top w:val="none" w:sz="0" w:space="0" w:color="auto"/>
                                    <w:left w:val="none" w:sz="0" w:space="0" w:color="auto"/>
                                    <w:bottom w:val="none" w:sz="0" w:space="0" w:color="auto"/>
                                    <w:right w:val="none" w:sz="0" w:space="0" w:color="auto"/>
                                  </w:divBdr>
                                  <w:divsChild>
                                    <w:div w:id="743645499">
                                      <w:marLeft w:val="0"/>
                                      <w:marRight w:val="0"/>
                                      <w:marTop w:val="0"/>
                                      <w:marBottom w:val="0"/>
                                      <w:divBdr>
                                        <w:top w:val="none" w:sz="0" w:space="0" w:color="auto"/>
                                        <w:left w:val="none" w:sz="0" w:space="0" w:color="auto"/>
                                        <w:bottom w:val="none" w:sz="0" w:space="0" w:color="auto"/>
                                        <w:right w:val="none" w:sz="0" w:space="0" w:color="auto"/>
                                      </w:divBdr>
                                    </w:div>
                                    <w:div w:id="18248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606259">
      <w:bodyDiv w:val="1"/>
      <w:marLeft w:val="0"/>
      <w:marRight w:val="0"/>
      <w:marTop w:val="0"/>
      <w:marBottom w:val="0"/>
      <w:divBdr>
        <w:top w:val="none" w:sz="0" w:space="0" w:color="auto"/>
        <w:left w:val="none" w:sz="0" w:space="0" w:color="auto"/>
        <w:bottom w:val="none" w:sz="0" w:space="0" w:color="auto"/>
        <w:right w:val="none" w:sz="0" w:space="0" w:color="auto"/>
      </w:divBdr>
      <w:divsChild>
        <w:div w:id="1953896322">
          <w:marLeft w:val="0"/>
          <w:marRight w:val="1"/>
          <w:marTop w:val="0"/>
          <w:marBottom w:val="0"/>
          <w:divBdr>
            <w:top w:val="none" w:sz="0" w:space="0" w:color="auto"/>
            <w:left w:val="none" w:sz="0" w:space="0" w:color="auto"/>
            <w:bottom w:val="none" w:sz="0" w:space="0" w:color="auto"/>
            <w:right w:val="none" w:sz="0" w:space="0" w:color="auto"/>
          </w:divBdr>
          <w:divsChild>
            <w:div w:id="462118071">
              <w:marLeft w:val="0"/>
              <w:marRight w:val="0"/>
              <w:marTop w:val="0"/>
              <w:marBottom w:val="0"/>
              <w:divBdr>
                <w:top w:val="none" w:sz="0" w:space="0" w:color="auto"/>
                <w:left w:val="none" w:sz="0" w:space="0" w:color="auto"/>
                <w:bottom w:val="none" w:sz="0" w:space="0" w:color="auto"/>
                <w:right w:val="none" w:sz="0" w:space="0" w:color="auto"/>
              </w:divBdr>
              <w:divsChild>
                <w:div w:id="716199676">
                  <w:marLeft w:val="0"/>
                  <w:marRight w:val="1"/>
                  <w:marTop w:val="0"/>
                  <w:marBottom w:val="0"/>
                  <w:divBdr>
                    <w:top w:val="none" w:sz="0" w:space="0" w:color="auto"/>
                    <w:left w:val="none" w:sz="0" w:space="0" w:color="auto"/>
                    <w:bottom w:val="none" w:sz="0" w:space="0" w:color="auto"/>
                    <w:right w:val="none" w:sz="0" w:space="0" w:color="auto"/>
                  </w:divBdr>
                  <w:divsChild>
                    <w:div w:id="1838300636">
                      <w:marLeft w:val="0"/>
                      <w:marRight w:val="0"/>
                      <w:marTop w:val="0"/>
                      <w:marBottom w:val="0"/>
                      <w:divBdr>
                        <w:top w:val="none" w:sz="0" w:space="0" w:color="auto"/>
                        <w:left w:val="none" w:sz="0" w:space="0" w:color="auto"/>
                        <w:bottom w:val="none" w:sz="0" w:space="0" w:color="auto"/>
                        <w:right w:val="none" w:sz="0" w:space="0" w:color="auto"/>
                      </w:divBdr>
                      <w:divsChild>
                        <w:div w:id="962615508">
                          <w:marLeft w:val="0"/>
                          <w:marRight w:val="0"/>
                          <w:marTop w:val="0"/>
                          <w:marBottom w:val="0"/>
                          <w:divBdr>
                            <w:top w:val="none" w:sz="0" w:space="0" w:color="auto"/>
                            <w:left w:val="none" w:sz="0" w:space="0" w:color="auto"/>
                            <w:bottom w:val="none" w:sz="0" w:space="0" w:color="auto"/>
                            <w:right w:val="none" w:sz="0" w:space="0" w:color="auto"/>
                          </w:divBdr>
                          <w:divsChild>
                            <w:div w:id="1353722387">
                              <w:marLeft w:val="0"/>
                              <w:marRight w:val="0"/>
                              <w:marTop w:val="120"/>
                              <w:marBottom w:val="360"/>
                              <w:divBdr>
                                <w:top w:val="none" w:sz="0" w:space="0" w:color="auto"/>
                                <w:left w:val="none" w:sz="0" w:space="0" w:color="auto"/>
                                <w:bottom w:val="none" w:sz="0" w:space="0" w:color="auto"/>
                                <w:right w:val="none" w:sz="0" w:space="0" w:color="auto"/>
                              </w:divBdr>
                              <w:divsChild>
                                <w:div w:id="1506746770">
                                  <w:marLeft w:val="0"/>
                                  <w:marRight w:val="0"/>
                                  <w:marTop w:val="0"/>
                                  <w:marBottom w:val="0"/>
                                  <w:divBdr>
                                    <w:top w:val="none" w:sz="0" w:space="0" w:color="auto"/>
                                    <w:left w:val="none" w:sz="0" w:space="0" w:color="auto"/>
                                    <w:bottom w:val="none" w:sz="0" w:space="0" w:color="auto"/>
                                    <w:right w:val="none" w:sz="0" w:space="0" w:color="auto"/>
                                  </w:divBdr>
                                </w:div>
                                <w:div w:id="1844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662735">
      <w:bodyDiv w:val="1"/>
      <w:marLeft w:val="0"/>
      <w:marRight w:val="0"/>
      <w:marTop w:val="0"/>
      <w:marBottom w:val="0"/>
      <w:divBdr>
        <w:top w:val="none" w:sz="0" w:space="0" w:color="auto"/>
        <w:left w:val="none" w:sz="0" w:space="0" w:color="auto"/>
        <w:bottom w:val="none" w:sz="0" w:space="0" w:color="auto"/>
        <w:right w:val="none" w:sz="0" w:space="0" w:color="auto"/>
      </w:divBdr>
      <w:divsChild>
        <w:div w:id="1968049872">
          <w:marLeft w:val="0"/>
          <w:marRight w:val="0"/>
          <w:marTop w:val="0"/>
          <w:marBottom w:val="0"/>
          <w:divBdr>
            <w:top w:val="none" w:sz="0" w:space="0" w:color="auto"/>
            <w:left w:val="none" w:sz="0" w:space="0" w:color="auto"/>
            <w:bottom w:val="none" w:sz="0" w:space="0" w:color="auto"/>
            <w:right w:val="none" w:sz="0" w:space="0" w:color="auto"/>
          </w:divBdr>
          <w:divsChild>
            <w:div w:id="697589156">
              <w:marLeft w:val="0"/>
              <w:marRight w:val="0"/>
              <w:marTop w:val="0"/>
              <w:marBottom w:val="0"/>
              <w:divBdr>
                <w:top w:val="none" w:sz="0" w:space="0" w:color="auto"/>
                <w:left w:val="none" w:sz="0" w:space="0" w:color="auto"/>
                <w:bottom w:val="none" w:sz="0" w:space="0" w:color="auto"/>
                <w:right w:val="none" w:sz="0" w:space="0" w:color="auto"/>
              </w:divBdr>
              <w:divsChild>
                <w:div w:id="760486798">
                  <w:marLeft w:val="0"/>
                  <w:marRight w:val="0"/>
                  <w:marTop w:val="0"/>
                  <w:marBottom w:val="0"/>
                  <w:divBdr>
                    <w:top w:val="none" w:sz="0" w:space="0" w:color="auto"/>
                    <w:left w:val="none" w:sz="0" w:space="0" w:color="auto"/>
                    <w:bottom w:val="none" w:sz="0" w:space="0" w:color="auto"/>
                    <w:right w:val="none" w:sz="0" w:space="0" w:color="auto"/>
                  </w:divBdr>
                  <w:divsChild>
                    <w:div w:id="769931756">
                      <w:marLeft w:val="0"/>
                      <w:marRight w:val="0"/>
                      <w:marTop w:val="0"/>
                      <w:marBottom w:val="0"/>
                      <w:divBdr>
                        <w:top w:val="none" w:sz="0" w:space="0" w:color="auto"/>
                        <w:left w:val="none" w:sz="0" w:space="0" w:color="auto"/>
                        <w:bottom w:val="none" w:sz="0" w:space="0" w:color="auto"/>
                        <w:right w:val="none" w:sz="0" w:space="0" w:color="auto"/>
                      </w:divBdr>
                      <w:divsChild>
                        <w:div w:id="335960695">
                          <w:marLeft w:val="0"/>
                          <w:marRight w:val="0"/>
                          <w:marTop w:val="0"/>
                          <w:marBottom w:val="0"/>
                          <w:divBdr>
                            <w:top w:val="none" w:sz="0" w:space="0" w:color="auto"/>
                            <w:left w:val="none" w:sz="0" w:space="0" w:color="auto"/>
                            <w:bottom w:val="none" w:sz="0" w:space="0" w:color="auto"/>
                            <w:right w:val="none" w:sz="0" w:space="0" w:color="auto"/>
                          </w:divBdr>
                          <w:divsChild>
                            <w:div w:id="518664202">
                              <w:marLeft w:val="0"/>
                              <w:marRight w:val="0"/>
                              <w:marTop w:val="0"/>
                              <w:marBottom w:val="0"/>
                              <w:divBdr>
                                <w:top w:val="none" w:sz="0" w:space="0" w:color="auto"/>
                                <w:left w:val="none" w:sz="0" w:space="0" w:color="auto"/>
                                <w:bottom w:val="none" w:sz="0" w:space="0" w:color="auto"/>
                                <w:right w:val="none" w:sz="0" w:space="0" w:color="auto"/>
                              </w:divBdr>
                              <w:divsChild>
                                <w:div w:id="1529219727">
                                  <w:marLeft w:val="0"/>
                                  <w:marRight w:val="0"/>
                                  <w:marTop w:val="0"/>
                                  <w:marBottom w:val="0"/>
                                  <w:divBdr>
                                    <w:top w:val="none" w:sz="0" w:space="0" w:color="auto"/>
                                    <w:left w:val="none" w:sz="0" w:space="0" w:color="auto"/>
                                    <w:bottom w:val="none" w:sz="0" w:space="0" w:color="auto"/>
                                    <w:right w:val="none" w:sz="0" w:space="0" w:color="auto"/>
                                  </w:divBdr>
                                  <w:divsChild>
                                    <w:div w:id="1914849908">
                                      <w:marLeft w:val="0"/>
                                      <w:marRight w:val="0"/>
                                      <w:marTop w:val="0"/>
                                      <w:marBottom w:val="0"/>
                                      <w:divBdr>
                                        <w:top w:val="none" w:sz="0" w:space="0" w:color="auto"/>
                                        <w:left w:val="none" w:sz="0" w:space="0" w:color="auto"/>
                                        <w:bottom w:val="none" w:sz="0" w:space="0" w:color="auto"/>
                                        <w:right w:val="none" w:sz="0" w:space="0" w:color="auto"/>
                                      </w:divBdr>
                                    </w:div>
                                    <w:div w:id="17774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192159">
      <w:bodyDiv w:val="1"/>
      <w:marLeft w:val="0"/>
      <w:marRight w:val="0"/>
      <w:marTop w:val="0"/>
      <w:marBottom w:val="0"/>
      <w:divBdr>
        <w:top w:val="none" w:sz="0" w:space="0" w:color="auto"/>
        <w:left w:val="none" w:sz="0" w:space="0" w:color="auto"/>
        <w:bottom w:val="none" w:sz="0" w:space="0" w:color="auto"/>
        <w:right w:val="none" w:sz="0" w:space="0" w:color="auto"/>
      </w:divBdr>
      <w:divsChild>
        <w:div w:id="175729164">
          <w:marLeft w:val="0"/>
          <w:marRight w:val="0"/>
          <w:marTop w:val="0"/>
          <w:marBottom w:val="0"/>
          <w:divBdr>
            <w:top w:val="none" w:sz="0" w:space="0" w:color="auto"/>
            <w:left w:val="none" w:sz="0" w:space="0" w:color="auto"/>
            <w:bottom w:val="none" w:sz="0" w:space="0" w:color="auto"/>
            <w:right w:val="none" w:sz="0" w:space="0" w:color="auto"/>
          </w:divBdr>
          <w:divsChild>
            <w:div w:id="821583442">
              <w:marLeft w:val="0"/>
              <w:marRight w:val="0"/>
              <w:marTop w:val="0"/>
              <w:marBottom w:val="0"/>
              <w:divBdr>
                <w:top w:val="none" w:sz="0" w:space="0" w:color="auto"/>
                <w:left w:val="none" w:sz="0" w:space="0" w:color="auto"/>
                <w:bottom w:val="none" w:sz="0" w:space="0" w:color="auto"/>
                <w:right w:val="none" w:sz="0" w:space="0" w:color="auto"/>
              </w:divBdr>
              <w:divsChild>
                <w:div w:id="1087768404">
                  <w:marLeft w:val="0"/>
                  <w:marRight w:val="0"/>
                  <w:marTop w:val="0"/>
                  <w:marBottom w:val="0"/>
                  <w:divBdr>
                    <w:top w:val="none" w:sz="0" w:space="0" w:color="auto"/>
                    <w:left w:val="none" w:sz="0" w:space="0" w:color="auto"/>
                    <w:bottom w:val="none" w:sz="0" w:space="0" w:color="auto"/>
                    <w:right w:val="none" w:sz="0" w:space="0" w:color="auto"/>
                  </w:divBdr>
                  <w:divsChild>
                    <w:div w:id="464398844">
                      <w:marLeft w:val="0"/>
                      <w:marRight w:val="0"/>
                      <w:marTop w:val="0"/>
                      <w:marBottom w:val="0"/>
                      <w:divBdr>
                        <w:top w:val="none" w:sz="0" w:space="0" w:color="auto"/>
                        <w:left w:val="none" w:sz="0" w:space="0" w:color="auto"/>
                        <w:bottom w:val="none" w:sz="0" w:space="0" w:color="auto"/>
                        <w:right w:val="none" w:sz="0" w:space="0" w:color="auto"/>
                      </w:divBdr>
                      <w:divsChild>
                        <w:div w:id="1233732627">
                          <w:marLeft w:val="0"/>
                          <w:marRight w:val="0"/>
                          <w:marTop w:val="0"/>
                          <w:marBottom w:val="0"/>
                          <w:divBdr>
                            <w:top w:val="none" w:sz="0" w:space="0" w:color="auto"/>
                            <w:left w:val="none" w:sz="0" w:space="0" w:color="auto"/>
                            <w:bottom w:val="none" w:sz="0" w:space="0" w:color="auto"/>
                            <w:right w:val="none" w:sz="0" w:space="0" w:color="auto"/>
                          </w:divBdr>
                          <w:divsChild>
                            <w:div w:id="1572614316">
                              <w:marLeft w:val="0"/>
                              <w:marRight w:val="0"/>
                              <w:marTop w:val="0"/>
                              <w:marBottom w:val="0"/>
                              <w:divBdr>
                                <w:top w:val="none" w:sz="0" w:space="0" w:color="auto"/>
                                <w:left w:val="none" w:sz="0" w:space="0" w:color="auto"/>
                                <w:bottom w:val="none" w:sz="0" w:space="0" w:color="auto"/>
                                <w:right w:val="none" w:sz="0" w:space="0" w:color="auto"/>
                              </w:divBdr>
                              <w:divsChild>
                                <w:div w:id="3367271">
                                  <w:marLeft w:val="0"/>
                                  <w:marRight w:val="0"/>
                                  <w:marTop w:val="0"/>
                                  <w:marBottom w:val="0"/>
                                  <w:divBdr>
                                    <w:top w:val="none" w:sz="0" w:space="0" w:color="auto"/>
                                    <w:left w:val="none" w:sz="0" w:space="0" w:color="auto"/>
                                    <w:bottom w:val="none" w:sz="0" w:space="0" w:color="auto"/>
                                    <w:right w:val="none" w:sz="0" w:space="0" w:color="auto"/>
                                  </w:divBdr>
                                  <w:divsChild>
                                    <w:div w:id="1801725282">
                                      <w:marLeft w:val="0"/>
                                      <w:marRight w:val="0"/>
                                      <w:marTop w:val="0"/>
                                      <w:marBottom w:val="0"/>
                                      <w:divBdr>
                                        <w:top w:val="none" w:sz="0" w:space="0" w:color="auto"/>
                                        <w:left w:val="none" w:sz="0" w:space="0" w:color="auto"/>
                                        <w:bottom w:val="none" w:sz="0" w:space="0" w:color="auto"/>
                                        <w:right w:val="none" w:sz="0" w:space="0" w:color="auto"/>
                                      </w:divBdr>
                                    </w:div>
                                    <w:div w:id="6445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960326">
      <w:marLeft w:val="0"/>
      <w:marRight w:val="0"/>
      <w:marTop w:val="0"/>
      <w:marBottom w:val="0"/>
      <w:divBdr>
        <w:top w:val="none" w:sz="0" w:space="0" w:color="auto"/>
        <w:left w:val="none" w:sz="0" w:space="0" w:color="auto"/>
        <w:bottom w:val="none" w:sz="0" w:space="0" w:color="auto"/>
        <w:right w:val="none" w:sz="0" w:space="0" w:color="auto"/>
      </w:divBdr>
    </w:div>
    <w:div w:id="1819960328">
      <w:marLeft w:val="0"/>
      <w:marRight w:val="120"/>
      <w:marTop w:val="0"/>
      <w:marBottom w:val="0"/>
      <w:divBdr>
        <w:top w:val="none" w:sz="0" w:space="0" w:color="auto"/>
        <w:left w:val="none" w:sz="0" w:space="0" w:color="auto"/>
        <w:bottom w:val="none" w:sz="0" w:space="0" w:color="auto"/>
        <w:right w:val="none" w:sz="0" w:space="0" w:color="auto"/>
      </w:divBdr>
      <w:divsChild>
        <w:div w:id="1819960417">
          <w:marLeft w:val="0"/>
          <w:marRight w:val="0"/>
          <w:marTop w:val="0"/>
          <w:marBottom w:val="0"/>
          <w:divBdr>
            <w:top w:val="none" w:sz="0" w:space="0" w:color="auto"/>
            <w:left w:val="none" w:sz="0" w:space="0" w:color="auto"/>
            <w:bottom w:val="none" w:sz="0" w:space="0" w:color="auto"/>
            <w:right w:val="none" w:sz="0" w:space="0" w:color="auto"/>
          </w:divBdr>
          <w:divsChild>
            <w:div w:id="1819960382">
              <w:marLeft w:val="0"/>
              <w:marRight w:val="0"/>
              <w:marTop w:val="0"/>
              <w:marBottom w:val="0"/>
              <w:divBdr>
                <w:top w:val="none" w:sz="0" w:space="0" w:color="auto"/>
                <w:left w:val="none" w:sz="0" w:space="0" w:color="auto"/>
                <w:bottom w:val="none" w:sz="0" w:space="0" w:color="auto"/>
                <w:right w:val="none" w:sz="0" w:space="0" w:color="auto"/>
              </w:divBdr>
              <w:divsChild>
                <w:div w:id="1819960390">
                  <w:marLeft w:val="0"/>
                  <w:marRight w:val="0"/>
                  <w:marTop w:val="0"/>
                  <w:marBottom w:val="0"/>
                  <w:divBdr>
                    <w:top w:val="none" w:sz="0" w:space="0" w:color="auto"/>
                    <w:left w:val="none" w:sz="0" w:space="0" w:color="auto"/>
                    <w:bottom w:val="none" w:sz="0" w:space="0" w:color="auto"/>
                    <w:right w:val="none" w:sz="0" w:space="0" w:color="auto"/>
                  </w:divBdr>
                  <w:divsChild>
                    <w:div w:id="1819960384">
                      <w:marLeft w:val="0"/>
                      <w:marRight w:val="0"/>
                      <w:marTop w:val="0"/>
                      <w:marBottom w:val="0"/>
                      <w:divBdr>
                        <w:top w:val="none" w:sz="0" w:space="0" w:color="auto"/>
                        <w:left w:val="none" w:sz="0" w:space="0" w:color="auto"/>
                        <w:bottom w:val="none" w:sz="0" w:space="0" w:color="auto"/>
                        <w:right w:val="none" w:sz="0" w:space="0" w:color="auto"/>
                      </w:divBdr>
                      <w:divsChild>
                        <w:div w:id="1819960413">
                          <w:marLeft w:val="0"/>
                          <w:marRight w:val="0"/>
                          <w:marTop w:val="0"/>
                          <w:marBottom w:val="0"/>
                          <w:divBdr>
                            <w:top w:val="single" w:sz="6" w:space="12" w:color="97A5B0"/>
                            <w:left w:val="none" w:sz="0" w:space="0" w:color="auto"/>
                            <w:bottom w:val="none" w:sz="0" w:space="0" w:color="auto"/>
                            <w:right w:val="none" w:sz="0" w:space="0" w:color="auto"/>
                          </w:divBdr>
                          <w:divsChild>
                            <w:div w:id="1819960333">
                              <w:marLeft w:val="0"/>
                              <w:marRight w:val="0"/>
                              <w:marTop w:val="0"/>
                              <w:marBottom w:val="0"/>
                              <w:divBdr>
                                <w:top w:val="none" w:sz="0" w:space="0" w:color="auto"/>
                                <w:left w:val="none" w:sz="0" w:space="0" w:color="auto"/>
                                <w:bottom w:val="none" w:sz="0" w:space="0" w:color="auto"/>
                                <w:right w:val="none" w:sz="0" w:space="0" w:color="auto"/>
                              </w:divBdr>
                              <w:divsChild>
                                <w:div w:id="1819960329">
                                  <w:marLeft w:val="0"/>
                                  <w:marRight w:val="0"/>
                                  <w:marTop w:val="0"/>
                                  <w:marBottom w:val="288"/>
                                  <w:divBdr>
                                    <w:top w:val="none" w:sz="0" w:space="0" w:color="auto"/>
                                    <w:left w:val="none" w:sz="0" w:space="0" w:color="auto"/>
                                    <w:bottom w:val="none" w:sz="0" w:space="0" w:color="auto"/>
                                    <w:right w:val="none" w:sz="0" w:space="0" w:color="auto"/>
                                  </w:divBdr>
                                  <w:divsChild>
                                    <w:div w:id="1819960396">
                                      <w:marLeft w:val="0"/>
                                      <w:marRight w:val="0"/>
                                      <w:marTop w:val="0"/>
                                      <w:marBottom w:val="0"/>
                                      <w:divBdr>
                                        <w:top w:val="none" w:sz="0" w:space="0" w:color="auto"/>
                                        <w:left w:val="none" w:sz="0" w:space="0" w:color="auto"/>
                                        <w:bottom w:val="none" w:sz="0" w:space="0" w:color="auto"/>
                                        <w:right w:val="none" w:sz="0" w:space="0" w:color="auto"/>
                                      </w:divBdr>
                                      <w:divsChild>
                                        <w:div w:id="181996040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960330">
      <w:marLeft w:val="0"/>
      <w:marRight w:val="0"/>
      <w:marTop w:val="0"/>
      <w:marBottom w:val="0"/>
      <w:divBdr>
        <w:top w:val="none" w:sz="0" w:space="0" w:color="auto"/>
        <w:left w:val="none" w:sz="0" w:space="0" w:color="auto"/>
        <w:bottom w:val="none" w:sz="0" w:space="0" w:color="auto"/>
        <w:right w:val="none" w:sz="0" w:space="0" w:color="auto"/>
      </w:divBdr>
      <w:divsChild>
        <w:div w:id="1819960366">
          <w:marLeft w:val="547"/>
          <w:marRight w:val="0"/>
          <w:marTop w:val="154"/>
          <w:marBottom w:val="0"/>
          <w:divBdr>
            <w:top w:val="none" w:sz="0" w:space="0" w:color="auto"/>
            <w:left w:val="none" w:sz="0" w:space="0" w:color="auto"/>
            <w:bottom w:val="none" w:sz="0" w:space="0" w:color="auto"/>
            <w:right w:val="none" w:sz="0" w:space="0" w:color="auto"/>
          </w:divBdr>
        </w:div>
        <w:div w:id="1819960391">
          <w:marLeft w:val="547"/>
          <w:marRight w:val="0"/>
          <w:marTop w:val="154"/>
          <w:marBottom w:val="0"/>
          <w:divBdr>
            <w:top w:val="none" w:sz="0" w:space="0" w:color="auto"/>
            <w:left w:val="none" w:sz="0" w:space="0" w:color="auto"/>
            <w:bottom w:val="none" w:sz="0" w:space="0" w:color="auto"/>
            <w:right w:val="none" w:sz="0" w:space="0" w:color="auto"/>
          </w:divBdr>
        </w:div>
      </w:divsChild>
    </w:div>
    <w:div w:id="1819960341">
      <w:marLeft w:val="0"/>
      <w:marRight w:val="0"/>
      <w:marTop w:val="0"/>
      <w:marBottom w:val="0"/>
      <w:divBdr>
        <w:top w:val="none" w:sz="0" w:space="0" w:color="auto"/>
        <w:left w:val="none" w:sz="0" w:space="0" w:color="auto"/>
        <w:bottom w:val="none" w:sz="0" w:space="0" w:color="auto"/>
        <w:right w:val="none" w:sz="0" w:space="0" w:color="auto"/>
      </w:divBdr>
      <w:divsChild>
        <w:div w:id="1819960353">
          <w:marLeft w:val="0"/>
          <w:marRight w:val="0"/>
          <w:marTop w:val="0"/>
          <w:marBottom w:val="0"/>
          <w:divBdr>
            <w:top w:val="none" w:sz="0" w:space="0" w:color="auto"/>
            <w:left w:val="none" w:sz="0" w:space="0" w:color="auto"/>
            <w:bottom w:val="none" w:sz="0" w:space="0" w:color="auto"/>
            <w:right w:val="none" w:sz="0" w:space="0" w:color="auto"/>
          </w:divBdr>
          <w:divsChild>
            <w:div w:id="1819960394">
              <w:marLeft w:val="0"/>
              <w:marRight w:val="0"/>
              <w:marTop w:val="0"/>
              <w:marBottom w:val="0"/>
              <w:divBdr>
                <w:top w:val="none" w:sz="0" w:space="0" w:color="auto"/>
                <w:left w:val="none" w:sz="0" w:space="0" w:color="auto"/>
                <w:bottom w:val="none" w:sz="0" w:space="0" w:color="auto"/>
                <w:right w:val="none" w:sz="0" w:space="0" w:color="auto"/>
              </w:divBdr>
              <w:divsChild>
                <w:div w:id="1819960332">
                  <w:marLeft w:val="0"/>
                  <w:marRight w:val="0"/>
                  <w:marTop w:val="0"/>
                  <w:marBottom w:val="0"/>
                  <w:divBdr>
                    <w:top w:val="none" w:sz="0" w:space="0" w:color="auto"/>
                    <w:left w:val="none" w:sz="0" w:space="0" w:color="auto"/>
                    <w:bottom w:val="none" w:sz="0" w:space="0" w:color="auto"/>
                    <w:right w:val="none" w:sz="0" w:space="0" w:color="auto"/>
                  </w:divBdr>
                  <w:divsChild>
                    <w:div w:id="1819960372">
                      <w:marLeft w:val="0"/>
                      <w:marRight w:val="0"/>
                      <w:marTop w:val="0"/>
                      <w:marBottom w:val="0"/>
                      <w:divBdr>
                        <w:top w:val="none" w:sz="0" w:space="0" w:color="auto"/>
                        <w:left w:val="none" w:sz="0" w:space="0" w:color="auto"/>
                        <w:bottom w:val="none" w:sz="0" w:space="0" w:color="auto"/>
                        <w:right w:val="none" w:sz="0" w:space="0" w:color="auto"/>
                      </w:divBdr>
                      <w:divsChild>
                        <w:div w:id="1819960407">
                          <w:marLeft w:val="0"/>
                          <w:marRight w:val="0"/>
                          <w:marTop w:val="0"/>
                          <w:marBottom w:val="0"/>
                          <w:divBdr>
                            <w:top w:val="none" w:sz="0" w:space="0" w:color="auto"/>
                            <w:left w:val="none" w:sz="0" w:space="0" w:color="auto"/>
                            <w:bottom w:val="none" w:sz="0" w:space="0" w:color="auto"/>
                            <w:right w:val="none" w:sz="0" w:space="0" w:color="auto"/>
                          </w:divBdr>
                          <w:divsChild>
                            <w:div w:id="1819960406">
                              <w:marLeft w:val="0"/>
                              <w:marRight w:val="0"/>
                              <w:marTop w:val="0"/>
                              <w:marBottom w:val="0"/>
                              <w:divBdr>
                                <w:top w:val="none" w:sz="0" w:space="0" w:color="auto"/>
                                <w:left w:val="none" w:sz="0" w:space="0" w:color="auto"/>
                                <w:bottom w:val="none" w:sz="0" w:space="0" w:color="auto"/>
                                <w:right w:val="none" w:sz="0" w:space="0" w:color="auto"/>
                              </w:divBdr>
                              <w:divsChild>
                                <w:div w:id="1819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960345">
      <w:marLeft w:val="0"/>
      <w:marRight w:val="0"/>
      <w:marTop w:val="0"/>
      <w:marBottom w:val="0"/>
      <w:divBdr>
        <w:top w:val="none" w:sz="0" w:space="0" w:color="auto"/>
        <w:left w:val="none" w:sz="0" w:space="0" w:color="auto"/>
        <w:bottom w:val="none" w:sz="0" w:space="0" w:color="auto"/>
        <w:right w:val="none" w:sz="0" w:space="0" w:color="auto"/>
      </w:divBdr>
      <w:divsChild>
        <w:div w:id="1819960408">
          <w:marLeft w:val="0"/>
          <w:marRight w:val="0"/>
          <w:marTop w:val="0"/>
          <w:marBottom w:val="0"/>
          <w:divBdr>
            <w:top w:val="none" w:sz="0" w:space="0" w:color="auto"/>
            <w:left w:val="none" w:sz="0" w:space="0" w:color="auto"/>
            <w:bottom w:val="none" w:sz="0" w:space="0" w:color="auto"/>
            <w:right w:val="none" w:sz="0" w:space="0" w:color="auto"/>
          </w:divBdr>
          <w:divsChild>
            <w:div w:id="1819960370">
              <w:marLeft w:val="0"/>
              <w:marRight w:val="0"/>
              <w:marTop w:val="0"/>
              <w:marBottom w:val="0"/>
              <w:divBdr>
                <w:top w:val="none" w:sz="0" w:space="0" w:color="auto"/>
                <w:left w:val="none" w:sz="0" w:space="0" w:color="auto"/>
                <w:bottom w:val="none" w:sz="0" w:space="0" w:color="auto"/>
                <w:right w:val="none" w:sz="0" w:space="0" w:color="auto"/>
              </w:divBdr>
              <w:divsChild>
                <w:div w:id="1819960421">
                  <w:marLeft w:val="0"/>
                  <w:marRight w:val="0"/>
                  <w:marTop w:val="0"/>
                  <w:marBottom w:val="0"/>
                  <w:divBdr>
                    <w:top w:val="none" w:sz="0" w:space="0" w:color="auto"/>
                    <w:left w:val="none" w:sz="0" w:space="0" w:color="auto"/>
                    <w:bottom w:val="none" w:sz="0" w:space="0" w:color="auto"/>
                    <w:right w:val="none" w:sz="0" w:space="0" w:color="auto"/>
                  </w:divBdr>
                  <w:divsChild>
                    <w:div w:id="1819960419">
                      <w:marLeft w:val="0"/>
                      <w:marRight w:val="0"/>
                      <w:marTop w:val="0"/>
                      <w:marBottom w:val="0"/>
                      <w:divBdr>
                        <w:top w:val="none" w:sz="0" w:space="0" w:color="auto"/>
                        <w:left w:val="none" w:sz="0" w:space="0" w:color="auto"/>
                        <w:bottom w:val="none" w:sz="0" w:space="0" w:color="auto"/>
                        <w:right w:val="none" w:sz="0" w:space="0" w:color="auto"/>
                      </w:divBdr>
                      <w:divsChild>
                        <w:div w:id="1819960339">
                          <w:marLeft w:val="0"/>
                          <w:marRight w:val="0"/>
                          <w:marTop w:val="0"/>
                          <w:marBottom w:val="0"/>
                          <w:divBdr>
                            <w:top w:val="none" w:sz="0" w:space="0" w:color="auto"/>
                            <w:left w:val="none" w:sz="0" w:space="0" w:color="auto"/>
                            <w:bottom w:val="none" w:sz="0" w:space="0" w:color="auto"/>
                            <w:right w:val="none" w:sz="0" w:space="0" w:color="auto"/>
                          </w:divBdr>
                          <w:divsChild>
                            <w:div w:id="1819960335">
                              <w:marLeft w:val="0"/>
                              <w:marRight w:val="0"/>
                              <w:marTop w:val="0"/>
                              <w:marBottom w:val="0"/>
                              <w:divBdr>
                                <w:top w:val="none" w:sz="0" w:space="0" w:color="auto"/>
                                <w:left w:val="none" w:sz="0" w:space="0" w:color="auto"/>
                                <w:bottom w:val="none" w:sz="0" w:space="0" w:color="auto"/>
                                <w:right w:val="none" w:sz="0" w:space="0" w:color="auto"/>
                              </w:divBdr>
                              <w:divsChild>
                                <w:div w:id="1819960365">
                                  <w:marLeft w:val="0"/>
                                  <w:marRight w:val="0"/>
                                  <w:marTop w:val="0"/>
                                  <w:marBottom w:val="0"/>
                                  <w:divBdr>
                                    <w:top w:val="none" w:sz="0" w:space="0" w:color="auto"/>
                                    <w:left w:val="none" w:sz="0" w:space="0" w:color="auto"/>
                                    <w:bottom w:val="none" w:sz="0" w:space="0" w:color="auto"/>
                                    <w:right w:val="none" w:sz="0" w:space="0" w:color="auto"/>
                                  </w:divBdr>
                                  <w:divsChild>
                                    <w:div w:id="1819960368">
                                      <w:marLeft w:val="0"/>
                                      <w:marRight w:val="0"/>
                                      <w:marTop w:val="0"/>
                                      <w:marBottom w:val="0"/>
                                      <w:divBdr>
                                        <w:top w:val="none" w:sz="0" w:space="0" w:color="auto"/>
                                        <w:left w:val="none" w:sz="0" w:space="0" w:color="auto"/>
                                        <w:bottom w:val="none" w:sz="0" w:space="0" w:color="auto"/>
                                        <w:right w:val="none" w:sz="0" w:space="0" w:color="auto"/>
                                      </w:divBdr>
                                      <w:divsChild>
                                        <w:div w:id="1819960389">
                                          <w:marLeft w:val="0"/>
                                          <w:marRight w:val="0"/>
                                          <w:marTop w:val="0"/>
                                          <w:marBottom w:val="0"/>
                                          <w:divBdr>
                                            <w:top w:val="none" w:sz="0" w:space="0" w:color="auto"/>
                                            <w:left w:val="none" w:sz="0" w:space="0" w:color="auto"/>
                                            <w:bottom w:val="none" w:sz="0" w:space="0" w:color="auto"/>
                                            <w:right w:val="none" w:sz="0" w:space="0" w:color="auto"/>
                                          </w:divBdr>
                                          <w:divsChild>
                                            <w:div w:id="1819960361">
                                              <w:marLeft w:val="0"/>
                                              <w:marRight w:val="0"/>
                                              <w:marTop w:val="0"/>
                                              <w:marBottom w:val="0"/>
                                              <w:divBdr>
                                                <w:top w:val="none" w:sz="0" w:space="0" w:color="auto"/>
                                                <w:left w:val="none" w:sz="0" w:space="0" w:color="auto"/>
                                                <w:bottom w:val="none" w:sz="0" w:space="0" w:color="auto"/>
                                                <w:right w:val="none" w:sz="0" w:space="0" w:color="auto"/>
                                              </w:divBdr>
                                              <w:divsChild>
                                                <w:div w:id="1819960349">
                                                  <w:marLeft w:val="0"/>
                                                  <w:marRight w:val="0"/>
                                                  <w:marTop w:val="0"/>
                                                  <w:marBottom w:val="0"/>
                                                  <w:divBdr>
                                                    <w:top w:val="none" w:sz="0" w:space="0" w:color="auto"/>
                                                    <w:left w:val="none" w:sz="0" w:space="0" w:color="auto"/>
                                                    <w:bottom w:val="none" w:sz="0" w:space="0" w:color="auto"/>
                                                    <w:right w:val="none" w:sz="0" w:space="0" w:color="auto"/>
                                                  </w:divBdr>
                                                  <w:divsChild>
                                                    <w:div w:id="18199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960346">
      <w:marLeft w:val="0"/>
      <w:marRight w:val="0"/>
      <w:marTop w:val="0"/>
      <w:marBottom w:val="0"/>
      <w:divBdr>
        <w:top w:val="none" w:sz="0" w:space="0" w:color="auto"/>
        <w:left w:val="none" w:sz="0" w:space="0" w:color="auto"/>
        <w:bottom w:val="none" w:sz="0" w:space="0" w:color="auto"/>
        <w:right w:val="none" w:sz="0" w:space="0" w:color="auto"/>
      </w:divBdr>
    </w:div>
    <w:div w:id="1819960359">
      <w:marLeft w:val="0"/>
      <w:marRight w:val="0"/>
      <w:marTop w:val="0"/>
      <w:marBottom w:val="0"/>
      <w:divBdr>
        <w:top w:val="none" w:sz="0" w:space="0" w:color="auto"/>
        <w:left w:val="none" w:sz="0" w:space="0" w:color="auto"/>
        <w:bottom w:val="none" w:sz="0" w:space="0" w:color="auto"/>
        <w:right w:val="none" w:sz="0" w:space="0" w:color="auto"/>
      </w:divBdr>
      <w:divsChild>
        <w:div w:id="1819960377">
          <w:marLeft w:val="0"/>
          <w:marRight w:val="0"/>
          <w:marTop w:val="0"/>
          <w:marBottom w:val="0"/>
          <w:divBdr>
            <w:top w:val="none" w:sz="0" w:space="0" w:color="auto"/>
            <w:left w:val="none" w:sz="0" w:space="0" w:color="auto"/>
            <w:bottom w:val="none" w:sz="0" w:space="0" w:color="auto"/>
            <w:right w:val="none" w:sz="0" w:space="0" w:color="auto"/>
          </w:divBdr>
          <w:divsChild>
            <w:div w:id="1819960388">
              <w:marLeft w:val="0"/>
              <w:marRight w:val="0"/>
              <w:marTop w:val="150"/>
              <w:marBottom w:val="0"/>
              <w:divBdr>
                <w:top w:val="none" w:sz="0" w:space="0" w:color="auto"/>
                <w:left w:val="none" w:sz="0" w:space="0" w:color="auto"/>
                <w:bottom w:val="none" w:sz="0" w:space="0" w:color="auto"/>
                <w:right w:val="none" w:sz="0" w:space="0" w:color="auto"/>
              </w:divBdr>
              <w:divsChild>
                <w:div w:id="1819960371">
                  <w:marLeft w:val="0"/>
                  <w:marRight w:val="0"/>
                  <w:marTop w:val="0"/>
                  <w:marBottom w:val="0"/>
                  <w:divBdr>
                    <w:top w:val="none" w:sz="0" w:space="0" w:color="auto"/>
                    <w:left w:val="none" w:sz="0" w:space="0" w:color="auto"/>
                    <w:bottom w:val="none" w:sz="0" w:space="0" w:color="auto"/>
                    <w:right w:val="none" w:sz="0" w:space="0" w:color="auto"/>
                  </w:divBdr>
                  <w:divsChild>
                    <w:div w:id="1819960354">
                      <w:marLeft w:val="0"/>
                      <w:marRight w:val="-5700"/>
                      <w:marTop w:val="0"/>
                      <w:marBottom w:val="0"/>
                      <w:divBdr>
                        <w:top w:val="none" w:sz="0" w:space="0" w:color="auto"/>
                        <w:left w:val="none" w:sz="0" w:space="0" w:color="auto"/>
                        <w:bottom w:val="none" w:sz="0" w:space="0" w:color="auto"/>
                        <w:right w:val="none" w:sz="0" w:space="0" w:color="auto"/>
                      </w:divBdr>
                      <w:divsChild>
                        <w:div w:id="1819960378">
                          <w:marLeft w:val="300"/>
                          <w:marRight w:val="6000"/>
                          <w:marTop w:val="150"/>
                          <w:marBottom w:val="0"/>
                          <w:divBdr>
                            <w:top w:val="none" w:sz="0" w:space="0" w:color="auto"/>
                            <w:left w:val="none" w:sz="0" w:space="0" w:color="auto"/>
                            <w:bottom w:val="none" w:sz="0" w:space="0" w:color="auto"/>
                            <w:right w:val="none" w:sz="0" w:space="0" w:color="auto"/>
                          </w:divBdr>
                          <w:divsChild>
                            <w:div w:id="1819960412">
                              <w:marLeft w:val="0"/>
                              <w:marRight w:val="0"/>
                              <w:marTop w:val="0"/>
                              <w:marBottom w:val="0"/>
                              <w:divBdr>
                                <w:top w:val="none" w:sz="0" w:space="0" w:color="auto"/>
                                <w:left w:val="none" w:sz="0" w:space="0" w:color="auto"/>
                                <w:bottom w:val="none" w:sz="0" w:space="0" w:color="auto"/>
                                <w:right w:val="none" w:sz="0" w:space="0" w:color="auto"/>
                              </w:divBdr>
                              <w:divsChild>
                                <w:div w:id="18199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960360">
      <w:marLeft w:val="0"/>
      <w:marRight w:val="0"/>
      <w:marTop w:val="0"/>
      <w:marBottom w:val="0"/>
      <w:divBdr>
        <w:top w:val="none" w:sz="0" w:space="0" w:color="auto"/>
        <w:left w:val="none" w:sz="0" w:space="0" w:color="auto"/>
        <w:bottom w:val="none" w:sz="0" w:space="0" w:color="auto"/>
        <w:right w:val="none" w:sz="0" w:space="0" w:color="auto"/>
      </w:divBdr>
    </w:div>
    <w:div w:id="1819960363">
      <w:marLeft w:val="0"/>
      <w:marRight w:val="0"/>
      <w:marTop w:val="0"/>
      <w:marBottom w:val="0"/>
      <w:divBdr>
        <w:top w:val="none" w:sz="0" w:space="0" w:color="auto"/>
        <w:left w:val="none" w:sz="0" w:space="0" w:color="auto"/>
        <w:bottom w:val="none" w:sz="0" w:space="0" w:color="auto"/>
        <w:right w:val="none" w:sz="0" w:space="0" w:color="auto"/>
      </w:divBdr>
      <w:divsChild>
        <w:div w:id="1819960410">
          <w:marLeft w:val="0"/>
          <w:marRight w:val="0"/>
          <w:marTop w:val="100"/>
          <w:marBottom w:val="100"/>
          <w:divBdr>
            <w:top w:val="none" w:sz="0" w:space="0" w:color="auto"/>
            <w:left w:val="none" w:sz="0" w:space="0" w:color="auto"/>
            <w:bottom w:val="none" w:sz="0" w:space="0" w:color="auto"/>
            <w:right w:val="none" w:sz="0" w:space="0" w:color="auto"/>
          </w:divBdr>
          <w:divsChild>
            <w:div w:id="181996038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819960369">
      <w:marLeft w:val="0"/>
      <w:marRight w:val="0"/>
      <w:marTop w:val="0"/>
      <w:marBottom w:val="0"/>
      <w:divBdr>
        <w:top w:val="none" w:sz="0" w:space="0" w:color="auto"/>
        <w:left w:val="none" w:sz="0" w:space="0" w:color="auto"/>
        <w:bottom w:val="none" w:sz="0" w:space="0" w:color="auto"/>
        <w:right w:val="none" w:sz="0" w:space="0" w:color="auto"/>
      </w:divBdr>
      <w:divsChild>
        <w:div w:id="1819960420">
          <w:marLeft w:val="0"/>
          <w:marRight w:val="0"/>
          <w:marTop w:val="0"/>
          <w:marBottom w:val="0"/>
          <w:divBdr>
            <w:top w:val="none" w:sz="0" w:space="0" w:color="auto"/>
            <w:left w:val="none" w:sz="0" w:space="0" w:color="auto"/>
            <w:bottom w:val="none" w:sz="0" w:space="0" w:color="auto"/>
            <w:right w:val="none" w:sz="0" w:space="0" w:color="auto"/>
          </w:divBdr>
          <w:divsChild>
            <w:div w:id="1819960334">
              <w:marLeft w:val="0"/>
              <w:marRight w:val="1"/>
              <w:marTop w:val="0"/>
              <w:marBottom w:val="0"/>
              <w:divBdr>
                <w:top w:val="none" w:sz="0" w:space="0" w:color="auto"/>
                <w:left w:val="none" w:sz="0" w:space="0" w:color="auto"/>
                <w:bottom w:val="none" w:sz="0" w:space="0" w:color="auto"/>
                <w:right w:val="none" w:sz="0" w:space="0" w:color="auto"/>
              </w:divBdr>
              <w:divsChild>
                <w:div w:id="1819960340">
                  <w:marLeft w:val="384"/>
                  <w:marRight w:val="384"/>
                  <w:marTop w:val="0"/>
                  <w:marBottom w:val="0"/>
                  <w:divBdr>
                    <w:top w:val="none" w:sz="0" w:space="0" w:color="auto"/>
                    <w:left w:val="none" w:sz="0" w:space="0" w:color="auto"/>
                    <w:bottom w:val="none" w:sz="0" w:space="0" w:color="auto"/>
                    <w:right w:val="none" w:sz="0" w:space="0" w:color="auto"/>
                  </w:divBdr>
                  <w:divsChild>
                    <w:div w:id="1819960416">
                      <w:marLeft w:val="0"/>
                      <w:marRight w:val="1"/>
                      <w:marTop w:val="0"/>
                      <w:marBottom w:val="0"/>
                      <w:divBdr>
                        <w:top w:val="none" w:sz="0" w:space="0" w:color="auto"/>
                        <w:left w:val="none" w:sz="0" w:space="0" w:color="auto"/>
                        <w:bottom w:val="none" w:sz="0" w:space="0" w:color="auto"/>
                        <w:right w:val="none" w:sz="0" w:space="0" w:color="auto"/>
                      </w:divBdr>
                      <w:divsChild>
                        <w:div w:id="1819960352">
                          <w:marLeft w:val="0"/>
                          <w:marRight w:val="0"/>
                          <w:marTop w:val="0"/>
                          <w:marBottom w:val="0"/>
                          <w:divBdr>
                            <w:top w:val="none" w:sz="0" w:space="0" w:color="auto"/>
                            <w:left w:val="none" w:sz="0" w:space="0" w:color="auto"/>
                            <w:bottom w:val="none" w:sz="0" w:space="0" w:color="auto"/>
                            <w:right w:val="none" w:sz="0" w:space="0" w:color="auto"/>
                          </w:divBdr>
                          <w:divsChild>
                            <w:div w:id="1819960399">
                              <w:marLeft w:val="0"/>
                              <w:marRight w:val="0"/>
                              <w:marTop w:val="0"/>
                              <w:marBottom w:val="0"/>
                              <w:divBdr>
                                <w:top w:val="none" w:sz="0" w:space="0" w:color="auto"/>
                                <w:left w:val="none" w:sz="0" w:space="0" w:color="auto"/>
                                <w:bottom w:val="none" w:sz="0" w:space="0" w:color="auto"/>
                                <w:right w:val="none" w:sz="0" w:space="0" w:color="auto"/>
                              </w:divBdr>
                              <w:divsChild>
                                <w:div w:id="18199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960376">
      <w:marLeft w:val="0"/>
      <w:marRight w:val="0"/>
      <w:marTop w:val="0"/>
      <w:marBottom w:val="0"/>
      <w:divBdr>
        <w:top w:val="none" w:sz="0" w:space="0" w:color="auto"/>
        <w:left w:val="none" w:sz="0" w:space="0" w:color="auto"/>
        <w:bottom w:val="none" w:sz="0" w:space="0" w:color="auto"/>
        <w:right w:val="none" w:sz="0" w:space="0" w:color="auto"/>
      </w:divBdr>
      <w:divsChild>
        <w:div w:id="1819960400">
          <w:marLeft w:val="0"/>
          <w:marRight w:val="0"/>
          <w:marTop w:val="0"/>
          <w:marBottom w:val="0"/>
          <w:divBdr>
            <w:top w:val="none" w:sz="0" w:space="0" w:color="auto"/>
            <w:left w:val="none" w:sz="0" w:space="0" w:color="auto"/>
            <w:bottom w:val="none" w:sz="0" w:space="0" w:color="auto"/>
            <w:right w:val="none" w:sz="0" w:space="0" w:color="auto"/>
          </w:divBdr>
          <w:divsChild>
            <w:div w:id="1819960415">
              <w:marLeft w:val="0"/>
              <w:marRight w:val="0"/>
              <w:marTop w:val="0"/>
              <w:marBottom w:val="0"/>
              <w:divBdr>
                <w:top w:val="none" w:sz="0" w:space="0" w:color="auto"/>
                <w:left w:val="none" w:sz="0" w:space="0" w:color="auto"/>
                <w:bottom w:val="none" w:sz="0" w:space="0" w:color="auto"/>
                <w:right w:val="none" w:sz="0" w:space="0" w:color="auto"/>
              </w:divBdr>
              <w:divsChild>
                <w:div w:id="1819960348">
                  <w:marLeft w:val="0"/>
                  <w:marRight w:val="0"/>
                  <w:marTop w:val="270"/>
                  <w:marBottom w:val="270"/>
                  <w:divBdr>
                    <w:top w:val="none" w:sz="0" w:space="0" w:color="auto"/>
                    <w:left w:val="none" w:sz="0" w:space="0" w:color="auto"/>
                    <w:bottom w:val="none" w:sz="0" w:space="0" w:color="auto"/>
                    <w:right w:val="none" w:sz="0" w:space="0" w:color="auto"/>
                  </w:divBdr>
                  <w:divsChild>
                    <w:div w:id="18199604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19960385">
      <w:marLeft w:val="0"/>
      <w:marRight w:val="0"/>
      <w:marTop w:val="0"/>
      <w:marBottom w:val="0"/>
      <w:divBdr>
        <w:top w:val="none" w:sz="0" w:space="0" w:color="auto"/>
        <w:left w:val="none" w:sz="0" w:space="0" w:color="auto"/>
        <w:bottom w:val="none" w:sz="0" w:space="0" w:color="auto"/>
        <w:right w:val="none" w:sz="0" w:space="0" w:color="auto"/>
      </w:divBdr>
      <w:divsChild>
        <w:div w:id="1819960379">
          <w:marLeft w:val="0"/>
          <w:marRight w:val="0"/>
          <w:marTop w:val="0"/>
          <w:marBottom w:val="0"/>
          <w:divBdr>
            <w:top w:val="none" w:sz="0" w:space="0" w:color="auto"/>
            <w:left w:val="none" w:sz="0" w:space="0" w:color="auto"/>
            <w:bottom w:val="none" w:sz="0" w:space="0" w:color="auto"/>
            <w:right w:val="none" w:sz="0" w:space="0" w:color="auto"/>
          </w:divBdr>
          <w:divsChild>
            <w:div w:id="1819960350">
              <w:marLeft w:val="0"/>
              <w:marRight w:val="1"/>
              <w:marTop w:val="0"/>
              <w:marBottom w:val="0"/>
              <w:divBdr>
                <w:top w:val="none" w:sz="0" w:space="0" w:color="auto"/>
                <w:left w:val="none" w:sz="0" w:space="0" w:color="auto"/>
                <w:bottom w:val="none" w:sz="0" w:space="0" w:color="auto"/>
                <w:right w:val="none" w:sz="0" w:space="0" w:color="auto"/>
              </w:divBdr>
              <w:divsChild>
                <w:div w:id="1819960404">
                  <w:marLeft w:val="384"/>
                  <w:marRight w:val="384"/>
                  <w:marTop w:val="0"/>
                  <w:marBottom w:val="0"/>
                  <w:divBdr>
                    <w:top w:val="none" w:sz="0" w:space="0" w:color="auto"/>
                    <w:left w:val="none" w:sz="0" w:space="0" w:color="auto"/>
                    <w:bottom w:val="none" w:sz="0" w:space="0" w:color="auto"/>
                    <w:right w:val="none" w:sz="0" w:space="0" w:color="auto"/>
                  </w:divBdr>
                  <w:divsChild>
                    <w:div w:id="1819960343">
                      <w:marLeft w:val="0"/>
                      <w:marRight w:val="1"/>
                      <w:marTop w:val="0"/>
                      <w:marBottom w:val="0"/>
                      <w:divBdr>
                        <w:top w:val="none" w:sz="0" w:space="0" w:color="auto"/>
                        <w:left w:val="none" w:sz="0" w:space="0" w:color="auto"/>
                        <w:bottom w:val="none" w:sz="0" w:space="0" w:color="auto"/>
                        <w:right w:val="none" w:sz="0" w:space="0" w:color="auto"/>
                      </w:divBdr>
                      <w:divsChild>
                        <w:div w:id="1819960402">
                          <w:marLeft w:val="0"/>
                          <w:marRight w:val="0"/>
                          <w:marTop w:val="0"/>
                          <w:marBottom w:val="0"/>
                          <w:divBdr>
                            <w:top w:val="none" w:sz="0" w:space="0" w:color="auto"/>
                            <w:left w:val="none" w:sz="0" w:space="0" w:color="auto"/>
                            <w:bottom w:val="none" w:sz="0" w:space="0" w:color="auto"/>
                            <w:right w:val="none" w:sz="0" w:space="0" w:color="auto"/>
                          </w:divBdr>
                          <w:divsChild>
                            <w:div w:id="1819960401">
                              <w:marLeft w:val="0"/>
                              <w:marRight w:val="0"/>
                              <w:marTop w:val="0"/>
                              <w:marBottom w:val="0"/>
                              <w:divBdr>
                                <w:top w:val="none" w:sz="0" w:space="0" w:color="auto"/>
                                <w:left w:val="none" w:sz="0" w:space="0" w:color="auto"/>
                                <w:bottom w:val="none" w:sz="0" w:space="0" w:color="auto"/>
                                <w:right w:val="none" w:sz="0" w:space="0" w:color="auto"/>
                              </w:divBdr>
                              <w:divsChild>
                                <w:div w:id="1819960380">
                                  <w:marLeft w:val="0"/>
                                  <w:marRight w:val="0"/>
                                  <w:marTop w:val="0"/>
                                  <w:marBottom w:val="0"/>
                                  <w:divBdr>
                                    <w:top w:val="none" w:sz="0" w:space="0" w:color="auto"/>
                                    <w:left w:val="none" w:sz="0" w:space="0" w:color="auto"/>
                                    <w:bottom w:val="none" w:sz="0" w:space="0" w:color="auto"/>
                                    <w:right w:val="none" w:sz="0" w:space="0" w:color="auto"/>
                                  </w:divBdr>
                                  <w:divsChild>
                                    <w:div w:id="18199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960392">
      <w:marLeft w:val="0"/>
      <w:marRight w:val="0"/>
      <w:marTop w:val="0"/>
      <w:marBottom w:val="0"/>
      <w:divBdr>
        <w:top w:val="none" w:sz="0" w:space="0" w:color="auto"/>
        <w:left w:val="none" w:sz="0" w:space="0" w:color="auto"/>
        <w:bottom w:val="none" w:sz="0" w:space="0" w:color="auto"/>
        <w:right w:val="none" w:sz="0" w:space="0" w:color="auto"/>
      </w:divBdr>
      <w:divsChild>
        <w:div w:id="1819960337">
          <w:marLeft w:val="0"/>
          <w:marRight w:val="0"/>
          <w:marTop w:val="100"/>
          <w:marBottom w:val="100"/>
          <w:divBdr>
            <w:top w:val="none" w:sz="0" w:space="0" w:color="auto"/>
            <w:left w:val="none" w:sz="0" w:space="0" w:color="auto"/>
            <w:bottom w:val="none" w:sz="0" w:space="0" w:color="auto"/>
            <w:right w:val="none" w:sz="0" w:space="0" w:color="auto"/>
          </w:divBdr>
          <w:divsChild>
            <w:div w:id="181996041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819960397">
      <w:marLeft w:val="0"/>
      <w:marRight w:val="0"/>
      <w:marTop w:val="0"/>
      <w:marBottom w:val="0"/>
      <w:divBdr>
        <w:top w:val="none" w:sz="0" w:space="0" w:color="auto"/>
        <w:left w:val="none" w:sz="0" w:space="0" w:color="auto"/>
        <w:bottom w:val="none" w:sz="0" w:space="0" w:color="auto"/>
        <w:right w:val="none" w:sz="0" w:space="0" w:color="auto"/>
      </w:divBdr>
      <w:divsChild>
        <w:div w:id="1819960342">
          <w:marLeft w:val="0"/>
          <w:marRight w:val="0"/>
          <w:marTop w:val="0"/>
          <w:marBottom w:val="0"/>
          <w:divBdr>
            <w:top w:val="none" w:sz="0" w:space="0" w:color="auto"/>
            <w:left w:val="none" w:sz="0" w:space="0" w:color="auto"/>
            <w:bottom w:val="none" w:sz="0" w:space="0" w:color="auto"/>
            <w:right w:val="none" w:sz="0" w:space="0" w:color="auto"/>
          </w:divBdr>
          <w:divsChild>
            <w:div w:id="1819960327">
              <w:marLeft w:val="90"/>
              <w:marRight w:val="105"/>
              <w:marTop w:val="0"/>
              <w:marBottom w:val="0"/>
              <w:divBdr>
                <w:top w:val="none" w:sz="0" w:space="0" w:color="auto"/>
                <w:left w:val="none" w:sz="0" w:space="0" w:color="auto"/>
                <w:bottom w:val="none" w:sz="0" w:space="0" w:color="auto"/>
                <w:right w:val="none" w:sz="0" w:space="0" w:color="auto"/>
              </w:divBdr>
              <w:divsChild>
                <w:div w:id="1819960364">
                  <w:marLeft w:val="0"/>
                  <w:marRight w:val="0"/>
                  <w:marTop w:val="0"/>
                  <w:marBottom w:val="0"/>
                  <w:divBdr>
                    <w:top w:val="single" w:sz="2" w:space="0" w:color="auto"/>
                    <w:left w:val="single" w:sz="48" w:space="0" w:color="F8F8F8"/>
                    <w:bottom w:val="single" w:sz="2" w:space="0" w:color="auto"/>
                    <w:right w:val="single" w:sz="48" w:space="0" w:color="F8F8F8"/>
                  </w:divBdr>
                  <w:divsChild>
                    <w:div w:id="1819960355">
                      <w:marLeft w:val="0"/>
                      <w:marRight w:val="0"/>
                      <w:marTop w:val="0"/>
                      <w:marBottom w:val="0"/>
                      <w:divBdr>
                        <w:top w:val="single" w:sz="2" w:space="0" w:color="auto"/>
                        <w:left w:val="single" w:sz="2" w:space="0" w:color="auto"/>
                        <w:bottom w:val="single" w:sz="2" w:space="0" w:color="auto"/>
                        <w:right w:val="single" w:sz="2" w:space="0" w:color="auto"/>
                      </w:divBdr>
                      <w:divsChild>
                        <w:div w:id="1819960395">
                          <w:marLeft w:val="-15"/>
                          <w:marRight w:val="-15"/>
                          <w:marTop w:val="0"/>
                          <w:marBottom w:val="0"/>
                          <w:divBdr>
                            <w:top w:val="none" w:sz="0" w:space="0" w:color="auto"/>
                            <w:left w:val="none" w:sz="0" w:space="0" w:color="auto"/>
                            <w:bottom w:val="none" w:sz="0" w:space="0" w:color="auto"/>
                            <w:right w:val="none" w:sz="0" w:space="0" w:color="auto"/>
                          </w:divBdr>
                          <w:divsChild>
                            <w:div w:id="18199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60405">
      <w:marLeft w:val="0"/>
      <w:marRight w:val="0"/>
      <w:marTop w:val="0"/>
      <w:marBottom w:val="0"/>
      <w:divBdr>
        <w:top w:val="none" w:sz="0" w:space="0" w:color="auto"/>
        <w:left w:val="none" w:sz="0" w:space="0" w:color="auto"/>
        <w:bottom w:val="none" w:sz="0" w:space="0" w:color="auto"/>
        <w:right w:val="none" w:sz="0" w:space="0" w:color="auto"/>
      </w:divBdr>
    </w:div>
    <w:div w:id="1819960414">
      <w:marLeft w:val="0"/>
      <w:marRight w:val="0"/>
      <w:marTop w:val="0"/>
      <w:marBottom w:val="0"/>
      <w:divBdr>
        <w:top w:val="none" w:sz="0" w:space="0" w:color="auto"/>
        <w:left w:val="none" w:sz="0" w:space="0" w:color="auto"/>
        <w:bottom w:val="none" w:sz="0" w:space="0" w:color="auto"/>
        <w:right w:val="none" w:sz="0" w:space="0" w:color="auto"/>
      </w:divBdr>
      <w:divsChild>
        <w:div w:id="1819960373">
          <w:marLeft w:val="0"/>
          <w:marRight w:val="0"/>
          <w:marTop w:val="0"/>
          <w:marBottom w:val="0"/>
          <w:divBdr>
            <w:top w:val="none" w:sz="0" w:space="0" w:color="auto"/>
            <w:left w:val="none" w:sz="0" w:space="0" w:color="auto"/>
            <w:bottom w:val="none" w:sz="0" w:space="0" w:color="auto"/>
            <w:right w:val="none" w:sz="0" w:space="0" w:color="auto"/>
          </w:divBdr>
          <w:divsChild>
            <w:div w:id="1819960403">
              <w:marLeft w:val="90"/>
              <w:marRight w:val="105"/>
              <w:marTop w:val="0"/>
              <w:marBottom w:val="0"/>
              <w:divBdr>
                <w:top w:val="none" w:sz="0" w:space="0" w:color="auto"/>
                <w:left w:val="none" w:sz="0" w:space="0" w:color="auto"/>
                <w:bottom w:val="none" w:sz="0" w:space="0" w:color="auto"/>
                <w:right w:val="none" w:sz="0" w:space="0" w:color="auto"/>
              </w:divBdr>
              <w:divsChild>
                <w:div w:id="1819960351">
                  <w:marLeft w:val="0"/>
                  <w:marRight w:val="0"/>
                  <w:marTop w:val="0"/>
                  <w:marBottom w:val="0"/>
                  <w:divBdr>
                    <w:top w:val="single" w:sz="2" w:space="0" w:color="auto"/>
                    <w:left w:val="single" w:sz="48" w:space="0" w:color="F8F8F8"/>
                    <w:bottom w:val="single" w:sz="2" w:space="0" w:color="auto"/>
                    <w:right w:val="single" w:sz="48" w:space="0" w:color="F8F8F8"/>
                  </w:divBdr>
                  <w:divsChild>
                    <w:div w:id="1819960347">
                      <w:marLeft w:val="0"/>
                      <w:marRight w:val="0"/>
                      <w:marTop w:val="0"/>
                      <w:marBottom w:val="0"/>
                      <w:divBdr>
                        <w:top w:val="single" w:sz="2" w:space="0" w:color="auto"/>
                        <w:left w:val="single" w:sz="2" w:space="0" w:color="auto"/>
                        <w:bottom w:val="single" w:sz="2" w:space="0" w:color="auto"/>
                        <w:right w:val="single" w:sz="2" w:space="0" w:color="auto"/>
                      </w:divBdr>
                      <w:divsChild>
                        <w:div w:id="1819960387">
                          <w:marLeft w:val="-15"/>
                          <w:marRight w:val="-15"/>
                          <w:marTop w:val="0"/>
                          <w:marBottom w:val="0"/>
                          <w:divBdr>
                            <w:top w:val="none" w:sz="0" w:space="0" w:color="auto"/>
                            <w:left w:val="none" w:sz="0" w:space="0" w:color="auto"/>
                            <w:bottom w:val="none" w:sz="0" w:space="0" w:color="auto"/>
                            <w:right w:val="none" w:sz="0" w:space="0" w:color="auto"/>
                          </w:divBdr>
                          <w:divsChild>
                            <w:div w:id="18199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60418">
      <w:marLeft w:val="0"/>
      <w:marRight w:val="0"/>
      <w:marTop w:val="0"/>
      <w:marBottom w:val="0"/>
      <w:divBdr>
        <w:top w:val="none" w:sz="0" w:space="0" w:color="auto"/>
        <w:left w:val="none" w:sz="0" w:space="0" w:color="auto"/>
        <w:bottom w:val="none" w:sz="0" w:space="0" w:color="auto"/>
        <w:right w:val="none" w:sz="0" w:space="0" w:color="auto"/>
      </w:divBdr>
      <w:divsChild>
        <w:div w:id="1819960357">
          <w:marLeft w:val="0"/>
          <w:marRight w:val="0"/>
          <w:marTop w:val="0"/>
          <w:marBottom w:val="0"/>
          <w:divBdr>
            <w:top w:val="none" w:sz="0" w:space="0" w:color="auto"/>
            <w:left w:val="none" w:sz="0" w:space="0" w:color="auto"/>
            <w:bottom w:val="none" w:sz="0" w:space="0" w:color="auto"/>
            <w:right w:val="none" w:sz="0" w:space="0" w:color="auto"/>
          </w:divBdr>
          <w:divsChild>
            <w:div w:id="1819960381">
              <w:marLeft w:val="0"/>
              <w:marRight w:val="0"/>
              <w:marTop w:val="0"/>
              <w:marBottom w:val="0"/>
              <w:divBdr>
                <w:top w:val="none" w:sz="0" w:space="0" w:color="auto"/>
                <w:left w:val="none" w:sz="0" w:space="0" w:color="auto"/>
                <w:bottom w:val="none" w:sz="0" w:space="0" w:color="auto"/>
                <w:right w:val="none" w:sz="0" w:space="0" w:color="auto"/>
              </w:divBdr>
              <w:divsChild>
                <w:div w:id="1819960362">
                  <w:marLeft w:val="0"/>
                  <w:marRight w:val="0"/>
                  <w:marTop w:val="0"/>
                  <w:marBottom w:val="0"/>
                  <w:divBdr>
                    <w:top w:val="none" w:sz="0" w:space="0" w:color="auto"/>
                    <w:left w:val="none" w:sz="0" w:space="0" w:color="auto"/>
                    <w:bottom w:val="none" w:sz="0" w:space="0" w:color="auto"/>
                    <w:right w:val="none" w:sz="0" w:space="0" w:color="auto"/>
                  </w:divBdr>
                  <w:divsChild>
                    <w:div w:id="1819960358">
                      <w:marLeft w:val="0"/>
                      <w:marRight w:val="0"/>
                      <w:marTop w:val="0"/>
                      <w:marBottom w:val="0"/>
                      <w:divBdr>
                        <w:top w:val="none" w:sz="0" w:space="0" w:color="auto"/>
                        <w:left w:val="none" w:sz="0" w:space="0" w:color="auto"/>
                        <w:bottom w:val="none" w:sz="0" w:space="0" w:color="auto"/>
                        <w:right w:val="none" w:sz="0" w:space="0" w:color="auto"/>
                      </w:divBdr>
                      <w:divsChild>
                        <w:div w:id="1819960393">
                          <w:marLeft w:val="0"/>
                          <w:marRight w:val="0"/>
                          <w:marTop w:val="0"/>
                          <w:marBottom w:val="0"/>
                          <w:divBdr>
                            <w:top w:val="none" w:sz="0" w:space="0" w:color="auto"/>
                            <w:left w:val="none" w:sz="0" w:space="0" w:color="auto"/>
                            <w:bottom w:val="none" w:sz="0" w:space="0" w:color="auto"/>
                            <w:right w:val="none" w:sz="0" w:space="0" w:color="auto"/>
                          </w:divBdr>
                          <w:divsChild>
                            <w:div w:id="1819960398">
                              <w:marLeft w:val="0"/>
                              <w:marRight w:val="0"/>
                              <w:marTop w:val="0"/>
                              <w:marBottom w:val="0"/>
                              <w:divBdr>
                                <w:top w:val="none" w:sz="0" w:space="0" w:color="auto"/>
                                <w:left w:val="none" w:sz="0" w:space="0" w:color="auto"/>
                                <w:bottom w:val="none" w:sz="0" w:space="0" w:color="auto"/>
                                <w:right w:val="none" w:sz="0" w:space="0" w:color="auto"/>
                              </w:divBdr>
                              <w:divsChild>
                                <w:div w:id="1819960367">
                                  <w:marLeft w:val="0"/>
                                  <w:marRight w:val="0"/>
                                  <w:marTop w:val="0"/>
                                  <w:marBottom w:val="0"/>
                                  <w:divBdr>
                                    <w:top w:val="none" w:sz="0" w:space="0" w:color="auto"/>
                                    <w:left w:val="none" w:sz="0" w:space="0" w:color="auto"/>
                                    <w:bottom w:val="none" w:sz="0" w:space="0" w:color="auto"/>
                                    <w:right w:val="none" w:sz="0" w:space="0" w:color="auto"/>
                                  </w:divBdr>
                                  <w:divsChild>
                                    <w:div w:id="18199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960423">
      <w:marLeft w:val="0"/>
      <w:marRight w:val="0"/>
      <w:marTop w:val="0"/>
      <w:marBottom w:val="0"/>
      <w:divBdr>
        <w:top w:val="none" w:sz="0" w:space="0" w:color="auto"/>
        <w:left w:val="none" w:sz="0" w:space="0" w:color="auto"/>
        <w:bottom w:val="none" w:sz="0" w:space="0" w:color="auto"/>
        <w:right w:val="none" w:sz="0" w:space="0" w:color="auto"/>
      </w:divBdr>
    </w:div>
    <w:div w:id="1819960424">
      <w:marLeft w:val="0"/>
      <w:marRight w:val="0"/>
      <w:marTop w:val="0"/>
      <w:marBottom w:val="0"/>
      <w:divBdr>
        <w:top w:val="none" w:sz="0" w:space="0" w:color="auto"/>
        <w:left w:val="none" w:sz="0" w:space="0" w:color="auto"/>
        <w:bottom w:val="none" w:sz="0" w:space="0" w:color="auto"/>
        <w:right w:val="none" w:sz="0" w:space="0" w:color="auto"/>
      </w:divBdr>
    </w:div>
    <w:div w:id="1819960425">
      <w:marLeft w:val="0"/>
      <w:marRight w:val="0"/>
      <w:marTop w:val="0"/>
      <w:marBottom w:val="0"/>
      <w:divBdr>
        <w:top w:val="none" w:sz="0" w:space="0" w:color="auto"/>
        <w:left w:val="none" w:sz="0" w:space="0" w:color="auto"/>
        <w:bottom w:val="none" w:sz="0" w:space="0" w:color="auto"/>
        <w:right w:val="none" w:sz="0" w:space="0" w:color="auto"/>
      </w:divBdr>
    </w:div>
    <w:div w:id="1819960426">
      <w:marLeft w:val="0"/>
      <w:marRight w:val="0"/>
      <w:marTop w:val="0"/>
      <w:marBottom w:val="0"/>
      <w:divBdr>
        <w:top w:val="none" w:sz="0" w:space="0" w:color="auto"/>
        <w:left w:val="none" w:sz="0" w:space="0" w:color="auto"/>
        <w:bottom w:val="none" w:sz="0" w:space="0" w:color="auto"/>
        <w:right w:val="none" w:sz="0" w:space="0" w:color="auto"/>
      </w:divBdr>
    </w:div>
    <w:div w:id="1819960427">
      <w:marLeft w:val="0"/>
      <w:marRight w:val="0"/>
      <w:marTop w:val="0"/>
      <w:marBottom w:val="0"/>
      <w:divBdr>
        <w:top w:val="none" w:sz="0" w:space="0" w:color="auto"/>
        <w:left w:val="none" w:sz="0" w:space="0" w:color="auto"/>
        <w:bottom w:val="none" w:sz="0" w:space="0" w:color="auto"/>
        <w:right w:val="none" w:sz="0" w:space="0" w:color="auto"/>
      </w:divBdr>
    </w:div>
    <w:div w:id="1819960428">
      <w:marLeft w:val="0"/>
      <w:marRight w:val="0"/>
      <w:marTop w:val="0"/>
      <w:marBottom w:val="0"/>
      <w:divBdr>
        <w:top w:val="none" w:sz="0" w:space="0" w:color="auto"/>
        <w:left w:val="none" w:sz="0" w:space="0" w:color="auto"/>
        <w:bottom w:val="none" w:sz="0" w:space="0" w:color="auto"/>
        <w:right w:val="none" w:sz="0" w:space="0" w:color="auto"/>
      </w:divBdr>
    </w:div>
    <w:div w:id="2023047636">
      <w:bodyDiv w:val="1"/>
      <w:marLeft w:val="0"/>
      <w:marRight w:val="0"/>
      <w:marTop w:val="0"/>
      <w:marBottom w:val="0"/>
      <w:divBdr>
        <w:top w:val="none" w:sz="0" w:space="0" w:color="auto"/>
        <w:left w:val="none" w:sz="0" w:space="0" w:color="auto"/>
        <w:bottom w:val="none" w:sz="0" w:space="0" w:color="auto"/>
        <w:right w:val="none" w:sz="0" w:space="0" w:color="auto"/>
      </w:divBdr>
      <w:divsChild>
        <w:div w:id="1933201867">
          <w:marLeft w:val="0"/>
          <w:marRight w:val="0"/>
          <w:marTop w:val="0"/>
          <w:marBottom w:val="0"/>
          <w:divBdr>
            <w:top w:val="none" w:sz="0" w:space="0" w:color="auto"/>
            <w:left w:val="none" w:sz="0" w:space="0" w:color="auto"/>
            <w:bottom w:val="none" w:sz="0" w:space="0" w:color="auto"/>
            <w:right w:val="none" w:sz="0" w:space="0" w:color="auto"/>
          </w:divBdr>
          <w:divsChild>
            <w:div w:id="19624621">
              <w:marLeft w:val="0"/>
              <w:marRight w:val="0"/>
              <w:marTop w:val="0"/>
              <w:marBottom w:val="0"/>
              <w:divBdr>
                <w:top w:val="none" w:sz="0" w:space="0" w:color="auto"/>
                <w:left w:val="none" w:sz="0" w:space="0" w:color="auto"/>
                <w:bottom w:val="none" w:sz="0" w:space="0" w:color="auto"/>
                <w:right w:val="none" w:sz="0" w:space="0" w:color="auto"/>
              </w:divBdr>
              <w:divsChild>
                <w:div w:id="1191576469">
                  <w:marLeft w:val="0"/>
                  <w:marRight w:val="0"/>
                  <w:marTop w:val="0"/>
                  <w:marBottom w:val="0"/>
                  <w:divBdr>
                    <w:top w:val="none" w:sz="0" w:space="0" w:color="auto"/>
                    <w:left w:val="none" w:sz="0" w:space="0" w:color="auto"/>
                    <w:bottom w:val="none" w:sz="0" w:space="0" w:color="auto"/>
                    <w:right w:val="none" w:sz="0" w:space="0" w:color="auto"/>
                  </w:divBdr>
                  <w:divsChild>
                    <w:div w:id="276721527">
                      <w:marLeft w:val="0"/>
                      <w:marRight w:val="0"/>
                      <w:marTop w:val="0"/>
                      <w:marBottom w:val="0"/>
                      <w:divBdr>
                        <w:top w:val="none" w:sz="0" w:space="0" w:color="auto"/>
                        <w:left w:val="none" w:sz="0" w:space="0" w:color="auto"/>
                        <w:bottom w:val="none" w:sz="0" w:space="0" w:color="auto"/>
                        <w:right w:val="none" w:sz="0" w:space="0" w:color="auto"/>
                      </w:divBdr>
                      <w:divsChild>
                        <w:div w:id="1856457717">
                          <w:marLeft w:val="0"/>
                          <w:marRight w:val="0"/>
                          <w:marTop w:val="0"/>
                          <w:marBottom w:val="0"/>
                          <w:divBdr>
                            <w:top w:val="none" w:sz="0" w:space="0" w:color="auto"/>
                            <w:left w:val="none" w:sz="0" w:space="0" w:color="auto"/>
                            <w:bottom w:val="none" w:sz="0" w:space="0" w:color="auto"/>
                            <w:right w:val="none" w:sz="0" w:space="0" w:color="auto"/>
                          </w:divBdr>
                          <w:divsChild>
                            <w:div w:id="2258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s.oecd.org/Index.aspx?DataSetCode=HEALTH_LVN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oyebode@ucl.ac.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term=Perry%20IJ%5BAuthor%5D&amp;cauthor=true&amp;cauthor_uid=21592341" TargetMode="External"/><Relationship Id="rId13" Type="http://schemas.openxmlformats.org/officeDocument/2006/relationships/hyperlink" Target="http://www.ncbi.nlm.nih.gov/pubmed?term=Lutomski%20J%5BAuthor%5D&amp;cauthor=true&amp;cauthor_uid=20849632" TargetMode="External"/><Relationship Id="rId18" Type="http://schemas.openxmlformats.org/officeDocument/2006/relationships/hyperlink" Target="http://www.ncbi.nlm.nih.gov/pubmed?term=Hulshof%20CT%5BAuthor%5D&amp;cauthor=true&amp;cauthor_uid=22626254" TargetMode="External"/><Relationship Id="rId26" Type="http://schemas.openxmlformats.org/officeDocument/2006/relationships/hyperlink" Target="http://www.publications.parliament.uk/pa/cm200304/cmselect/cmhealth/23/3071710.htm" TargetMode="External"/><Relationship Id="rId3" Type="http://schemas.openxmlformats.org/officeDocument/2006/relationships/hyperlink" Target="http://www.ncbi.nlm.nih.gov/pubmed?term=Summerbell%20CD%5BAuthor%5D&amp;cauthor=true&amp;cauthor_uid=17316297" TargetMode="External"/><Relationship Id="rId21" Type="http://schemas.openxmlformats.org/officeDocument/2006/relationships/hyperlink" Target="http://www.ehes.info/manuals/EHES_manual/PartB/Chapter5.pdf" TargetMode="External"/><Relationship Id="rId7" Type="http://schemas.openxmlformats.org/officeDocument/2006/relationships/hyperlink" Target="http://www.ncbi.nlm.nih.gov/pubmed?term=Brestoff%20JR%5BAuthor%5D&amp;cauthor=true&amp;cauthor_uid=21592341" TargetMode="External"/><Relationship Id="rId12" Type="http://schemas.openxmlformats.org/officeDocument/2006/relationships/hyperlink" Target="http://www.ncbi.nlm.nih.gov/pubmed?term=Perry%20IJ%5BAuthor%5D&amp;cauthor=true&amp;cauthor_uid=20849632" TargetMode="External"/><Relationship Id="rId17" Type="http://schemas.openxmlformats.org/officeDocument/2006/relationships/hyperlink" Target="http://www.ncbi.nlm.nih.gov/pubmed?term=Proper%20KI%5BAuthor%5D&amp;cauthor=true&amp;cauthor_uid=22626254" TargetMode="External"/><Relationship Id="rId25" Type="http://schemas.openxmlformats.org/officeDocument/2006/relationships/hyperlink" Target="http://www.ncbi.nlm.nih.gov/pubmed/23275359" TargetMode="External"/><Relationship Id="rId2" Type="http://schemas.openxmlformats.org/officeDocument/2006/relationships/hyperlink" Target="http://www.ncbi.nlm.nih.gov/pubmed?term=Ells%20LJ%5BAuthor%5D&amp;cauthor=true&amp;cauthor_uid=17316297" TargetMode="External"/><Relationship Id="rId16" Type="http://schemas.openxmlformats.org/officeDocument/2006/relationships/hyperlink" Target="http://www.ncbi.nlm.nih.gov/pubmed?term=Terwee%20CB%5BAuthor%5D&amp;cauthor=true&amp;cauthor_uid=22626254" TargetMode="External"/><Relationship Id="rId20" Type="http://schemas.openxmlformats.org/officeDocument/2006/relationships/hyperlink" Target="http://www.ncbi.nlm.nih.gov/pubmed/22626254" TargetMode="External"/><Relationship Id="rId1" Type="http://schemas.openxmlformats.org/officeDocument/2006/relationships/hyperlink" Target="http://www.ncbi.nlm.nih.gov/pubmed?term=Walrond%20S%5BAuthor%5D&amp;cauthor=true&amp;cauthor_uid=17316297" TargetMode="External"/><Relationship Id="rId6" Type="http://schemas.openxmlformats.org/officeDocument/2006/relationships/hyperlink" Target="http://responsibilitydeal.dh.gov.uk/2012/03/26/f4-factsheet/" TargetMode="External"/><Relationship Id="rId11" Type="http://schemas.openxmlformats.org/officeDocument/2006/relationships/hyperlink" Target="http://www.ncbi.nlm.nih.gov/pubmed?term=Shiely%20F%5BAuthor%5D&amp;cauthor=true&amp;cauthor_uid=20849632" TargetMode="External"/><Relationship Id="rId24" Type="http://schemas.openxmlformats.org/officeDocument/2006/relationships/hyperlink" Target="http://www.ncbi.nlm.nih.gov/pubmed?term=Shih%20SR%5BAuthor%5D&amp;cauthor=true&amp;cauthor_uid=23275359" TargetMode="External"/><Relationship Id="rId5" Type="http://schemas.openxmlformats.org/officeDocument/2006/relationships/hyperlink" Target="https://nrchm.wiv-isp.be/nl/ref_centra_labo/Antibiotica_resistente_Pseudomonas_en_Acinetobacter/Aanvraagformulier/Formulier%20ARSPA%20101.pdf" TargetMode="External"/><Relationship Id="rId15" Type="http://schemas.openxmlformats.org/officeDocument/2006/relationships/hyperlink" Target="http://www.ncbi.nlm.nih.gov/pubmed?term=Verweij%20LM%5BAuthor%5D&amp;cauthor=true&amp;cauthor_uid=22626254" TargetMode="External"/><Relationship Id="rId23" Type="http://schemas.openxmlformats.org/officeDocument/2006/relationships/hyperlink" Target="http://www.ncbi.nlm.nih.gov/pubmed?term=Yang%20CY%5BAuthor%5D&amp;cauthor=true&amp;cauthor_uid=23275359" TargetMode="External"/><Relationship Id="rId10" Type="http://schemas.openxmlformats.org/officeDocument/2006/relationships/hyperlink" Target="http://www.ncbi.nlm.nih.gov/pubmed/21592341" TargetMode="External"/><Relationship Id="rId19" Type="http://schemas.openxmlformats.org/officeDocument/2006/relationships/hyperlink" Target="http://www.ncbi.nlm.nih.gov/pubmed?term=van%20Mechelen%20W%5BAuthor%5D&amp;cauthor=true&amp;cauthor_uid=22626254" TargetMode="External"/><Relationship Id="rId4" Type="http://schemas.openxmlformats.org/officeDocument/2006/relationships/hyperlink" Target="http://www.ehes.info/manuals.htm" TargetMode="External"/><Relationship Id="rId9" Type="http://schemas.openxmlformats.org/officeDocument/2006/relationships/hyperlink" Target="http://www.ncbi.nlm.nih.gov/pubmed?term=Van%20den%20Broeck%20J%5BAuthor%5D&amp;cauthor=true&amp;cauthor_uid=21592341" TargetMode="External"/><Relationship Id="rId14" Type="http://schemas.openxmlformats.org/officeDocument/2006/relationships/hyperlink" Target="http://www.ncbi.nlm.nih.gov/pubmed/20849632" TargetMode="External"/><Relationship Id="rId22" Type="http://schemas.openxmlformats.org/officeDocument/2006/relationships/hyperlink" Target="http://www.ncbi.nlm.nih.gov/pubmed?term=Ma%20WY%5BAuthor%5D&amp;cauthor=true&amp;cauthor_uid=23275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0C87-175F-42E9-BFD5-2B71F903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D24A9C21.dotm</Template>
  <TotalTime>10</TotalTime>
  <Pages>20</Pages>
  <Words>7659</Words>
  <Characters>43304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www</vt:lpstr>
    </vt:vector>
  </TitlesOfParts>
  <Company>FBS AISC</Company>
  <LinksUpToDate>false</LinksUpToDate>
  <CharactersWithSpaces>50862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Oyinlola Oyebode</dc:creator>
  <cp:lastModifiedBy>Oyinlola Oyebode</cp:lastModifiedBy>
  <cp:revision>5</cp:revision>
  <cp:lastPrinted>2013-01-07T14:34:00Z</cp:lastPrinted>
  <dcterms:created xsi:type="dcterms:W3CDTF">2013-01-23T11:45:00Z</dcterms:created>
  <dcterms:modified xsi:type="dcterms:W3CDTF">2013-01-28T13:18:00Z</dcterms:modified>
</cp:coreProperties>
</file>