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3F037" w14:textId="64DBD8D1" w:rsidR="00C871E4" w:rsidRPr="0038404A" w:rsidRDefault="0037524D">
      <w:pPr>
        <w:rPr>
          <w:b/>
          <w:bCs/>
          <w:color w:val="000000" w:themeColor="text1"/>
        </w:rPr>
      </w:pPr>
      <w:r w:rsidRPr="0038404A">
        <w:rPr>
          <w:b/>
          <w:bCs/>
          <w:color w:val="000000" w:themeColor="text1"/>
        </w:rPr>
        <w:t xml:space="preserve">Supplemental </w:t>
      </w:r>
      <w:r w:rsidR="00545CCC" w:rsidRPr="0038404A">
        <w:rPr>
          <w:b/>
          <w:bCs/>
          <w:color w:val="000000" w:themeColor="text1"/>
        </w:rPr>
        <w:t>M</w:t>
      </w:r>
      <w:r w:rsidRPr="0038404A">
        <w:rPr>
          <w:b/>
          <w:bCs/>
          <w:color w:val="000000" w:themeColor="text1"/>
        </w:rPr>
        <w:t>aterial</w:t>
      </w:r>
      <w:r w:rsidR="00545CCC" w:rsidRPr="0038404A">
        <w:rPr>
          <w:b/>
          <w:bCs/>
          <w:color w:val="000000" w:themeColor="text1"/>
        </w:rPr>
        <w:t xml:space="preserve"> </w:t>
      </w:r>
      <w:r w:rsidR="00C9416D" w:rsidRPr="0038404A">
        <w:rPr>
          <w:b/>
          <w:bCs/>
          <w:color w:val="000000" w:themeColor="text1"/>
        </w:rPr>
        <w:t>A</w:t>
      </w:r>
    </w:p>
    <w:p w14:paraId="2F2326DA" w14:textId="77777777" w:rsidR="0037524D" w:rsidRPr="0038404A" w:rsidRDefault="0037524D">
      <w:pPr>
        <w:rPr>
          <w:color w:val="000000" w:themeColor="text1"/>
        </w:rPr>
      </w:pPr>
    </w:p>
    <w:p w14:paraId="0B35FADE" w14:textId="5B5050C4" w:rsidR="0037524D" w:rsidRPr="0038404A" w:rsidRDefault="0037524D" w:rsidP="0037524D">
      <w:pPr>
        <w:spacing w:line="360" w:lineRule="auto"/>
        <w:rPr>
          <w:rFonts w:ascii="Calibri" w:hAnsi="Calibri" w:cs="Calibri"/>
          <w:b/>
          <w:bCs/>
          <w:color w:val="000000" w:themeColor="text1"/>
        </w:rPr>
      </w:pPr>
      <w:r w:rsidRPr="0038404A">
        <w:rPr>
          <w:rFonts w:ascii="Calibri" w:hAnsi="Calibri" w:cs="Calibri"/>
          <w:b/>
          <w:bCs/>
          <w:color w:val="000000" w:themeColor="text1"/>
        </w:rPr>
        <w:t xml:space="preserve">Table </w:t>
      </w:r>
      <w:r w:rsidR="00C9416D" w:rsidRPr="0038404A">
        <w:rPr>
          <w:rFonts w:ascii="Calibri" w:hAnsi="Calibri" w:cs="Calibri"/>
          <w:b/>
          <w:bCs/>
          <w:color w:val="000000" w:themeColor="text1"/>
        </w:rPr>
        <w:t>of s</w:t>
      </w:r>
      <w:r w:rsidRPr="0038404A">
        <w:rPr>
          <w:rFonts w:ascii="Calibri" w:hAnsi="Calibri" w:cs="Calibri"/>
          <w:b/>
          <w:bCs/>
          <w:color w:val="000000" w:themeColor="text1"/>
        </w:rPr>
        <w:t xml:space="preserve">tages of the </w:t>
      </w:r>
      <w:r w:rsidR="0038404A">
        <w:rPr>
          <w:rFonts w:ascii="Calibri" w:hAnsi="Calibri" w:cs="Calibri"/>
          <w:b/>
          <w:bCs/>
          <w:color w:val="000000" w:themeColor="text1"/>
        </w:rPr>
        <w:t xml:space="preserve">Employ Autism network (EAN) </w:t>
      </w:r>
      <w:r w:rsidRPr="0038404A">
        <w:rPr>
          <w:rFonts w:ascii="Calibri" w:hAnsi="Calibri" w:cs="Calibri"/>
          <w:b/>
          <w:bCs/>
          <w:color w:val="000000" w:themeColor="text1"/>
        </w:rPr>
        <w:t>stages for (potential) interns and employers.</w:t>
      </w:r>
      <w:r w:rsidRPr="0038404A">
        <w:rPr>
          <w:rFonts w:ascii="Calibri" w:hAnsi="Calibri" w:cs="Calibri"/>
          <w:i/>
          <w:iCs/>
          <w:color w:val="000000" w:themeColor="text1"/>
        </w:rPr>
        <w:t xml:space="preserve"> </w:t>
      </w:r>
    </w:p>
    <w:tbl>
      <w:tblPr>
        <w:tblW w:w="9781" w:type="dxa"/>
        <w:tblLook w:val="04A0" w:firstRow="1" w:lastRow="0" w:firstColumn="1" w:lastColumn="0" w:noHBand="0" w:noVBand="1"/>
      </w:tblPr>
      <w:tblGrid>
        <w:gridCol w:w="1843"/>
        <w:gridCol w:w="3969"/>
        <w:gridCol w:w="3969"/>
      </w:tblGrid>
      <w:tr w:rsidR="0038404A" w:rsidRPr="0038404A" w14:paraId="105BB813" w14:textId="77777777" w:rsidTr="00222B17">
        <w:trPr>
          <w:trHeight w:val="335"/>
        </w:trPr>
        <w:tc>
          <w:tcPr>
            <w:tcW w:w="1843" w:type="dxa"/>
            <w:tcBorders>
              <w:top w:val="single" w:sz="4" w:space="0" w:color="auto"/>
              <w:left w:val="nil"/>
              <w:bottom w:val="single" w:sz="4" w:space="0" w:color="auto"/>
              <w:right w:val="nil"/>
            </w:tcBorders>
            <w:shd w:val="clear" w:color="auto" w:fill="auto"/>
            <w:noWrap/>
            <w:vAlign w:val="center"/>
            <w:hideMark/>
          </w:tcPr>
          <w:p w14:paraId="30E5D990" w14:textId="77777777" w:rsidR="0037524D" w:rsidRPr="0038404A" w:rsidRDefault="0037524D" w:rsidP="00222B17">
            <w:pPr>
              <w:spacing w:line="276" w:lineRule="auto"/>
              <w:jc w:val="center"/>
              <w:rPr>
                <w:rFonts w:ascii="Calibri" w:hAnsi="Calibri" w:cs="Calibri"/>
                <w:b/>
                <w:bCs/>
                <w:color w:val="000000" w:themeColor="text1"/>
              </w:rPr>
            </w:pPr>
            <w:r w:rsidRPr="0038404A">
              <w:rPr>
                <w:rFonts w:ascii="Calibri" w:hAnsi="Calibri" w:cs="Calibri"/>
                <w:b/>
                <w:bCs/>
                <w:color w:val="000000" w:themeColor="text1"/>
              </w:rPr>
              <w:t>Stage</w:t>
            </w:r>
          </w:p>
        </w:tc>
        <w:tc>
          <w:tcPr>
            <w:tcW w:w="3969" w:type="dxa"/>
            <w:tcBorders>
              <w:top w:val="single" w:sz="4" w:space="0" w:color="auto"/>
              <w:left w:val="nil"/>
              <w:bottom w:val="single" w:sz="4" w:space="0" w:color="auto"/>
              <w:right w:val="nil"/>
            </w:tcBorders>
            <w:shd w:val="clear" w:color="auto" w:fill="auto"/>
            <w:vAlign w:val="center"/>
            <w:hideMark/>
          </w:tcPr>
          <w:p w14:paraId="7CD824A7" w14:textId="77777777" w:rsidR="0037524D" w:rsidRPr="0038404A" w:rsidRDefault="0037524D" w:rsidP="00222B17">
            <w:pPr>
              <w:spacing w:line="276" w:lineRule="auto"/>
              <w:jc w:val="center"/>
              <w:rPr>
                <w:rFonts w:ascii="Calibri" w:hAnsi="Calibri" w:cs="Calibri"/>
                <w:b/>
                <w:bCs/>
                <w:color w:val="000000" w:themeColor="text1"/>
              </w:rPr>
            </w:pPr>
            <w:r w:rsidRPr="0038404A">
              <w:rPr>
                <w:rFonts w:ascii="Calibri" w:hAnsi="Calibri" w:cs="Calibri"/>
                <w:b/>
                <w:bCs/>
                <w:color w:val="000000" w:themeColor="text1"/>
              </w:rPr>
              <w:t>Intern</w:t>
            </w:r>
          </w:p>
        </w:tc>
        <w:tc>
          <w:tcPr>
            <w:tcW w:w="3969" w:type="dxa"/>
            <w:tcBorders>
              <w:top w:val="single" w:sz="4" w:space="0" w:color="auto"/>
              <w:left w:val="nil"/>
              <w:bottom w:val="single" w:sz="4" w:space="0" w:color="auto"/>
              <w:right w:val="nil"/>
            </w:tcBorders>
            <w:shd w:val="clear" w:color="auto" w:fill="auto"/>
            <w:noWrap/>
            <w:vAlign w:val="center"/>
            <w:hideMark/>
          </w:tcPr>
          <w:p w14:paraId="0B03157B" w14:textId="77777777" w:rsidR="0037524D" w:rsidRPr="0038404A" w:rsidRDefault="0037524D" w:rsidP="00222B17">
            <w:pPr>
              <w:spacing w:line="276" w:lineRule="auto"/>
              <w:jc w:val="center"/>
              <w:rPr>
                <w:rFonts w:ascii="Calibri" w:hAnsi="Calibri" w:cs="Calibri"/>
                <w:b/>
                <w:bCs/>
                <w:color w:val="000000" w:themeColor="text1"/>
              </w:rPr>
            </w:pPr>
            <w:r w:rsidRPr="0038404A">
              <w:rPr>
                <w:rFonts w:ascii="Calibri" w:hAnsi="Calibri" w:cs="Calibri"/>
                <w:b/>
                <w:bCs/>
                <w:color w:val="000000" w:themeColor="text1"/>
              </w:rPr>
              <w:t>Employer</w:t>
            </w:r>
          </w:p>
        </w:tc>
      </w:tr>
      <w:tr w:rsidR="0038404A" w:rsidRPr="0038404A" w14:paraId="499D4ED2" w14:textId="77777777" w:rsidTr="00222B17">
        <w:trPr>
          <w:trHeight w:val="3122"/>
        </w:trPr>
        <w:tc>
          <w:tcPr>
            <w:tcW w:w="1843" w:type="dxa"/>
            <w:tcBorders>
              <w:top w:val="nil"/>
              <w:left w:val="nil"/>
              <w:bottom w:val="single" w:sz="4" w:space="0" w:color="000000"/>
              <w:right w:val="nil"/>
            </w:tcBorders>
            <w:shd w:val="clear" w:color="auto" w:fill="auto"/>
            <w:noWrap/>
          </w:tcPr>
          <w:p w14:paraId="7EC6694F" w14:textId="6B6457E1" w:rsidR="00243940" w:rsidRPr="0038404A" w:rsidRDefault="00243940" w:rsidP="00222B17">
            <w:pPr>
              <w:spacing w:line="276" w:lineRule="auto"/>
              <w:rPr>
                <w:rFonts w:ascii="Calibri" w:hAnsi="Calibri" w:cs="Calibri"/>
                <w:b/>
                <w:bCs/>
                <w:color w:val="000000" w:themeColor="text1"/>
              </w:rPr>
            </w:pPr>
            <w:r w:rsidRPr="0038404A">
              <w:rPr>
                <w:rFonts w:ascii="Calibri" w:hAnsi="Calibri" w:cs="Calibri"/>
                <w:b/>
                <w:bCs/>
                <w:color w:val="000000" w:themeColor="text1"/>
              </w:rPr>
              <w:t xml:space="preserve">Recruiting organisations to </w:t>
            </w:r>
            <w:r w:rsidR="0038404A">
              <w:rPr>
                <w:rFonts w:ascii="Calibri" w:hAnsi="Calibri" w:cs="Calibri"/>
                <w:b/>
                <w:bCs/>
                <w:color w:val="000000" w:themeColor="text1"/>
              </w:rPr>
              <w:t>Employ Autism network</w:t>
            </w:r>
          </w:p>
        </w:tc>
        <w:tc>
          <w:tcPr>
            <w:tcW w:w="3969" w:type="dxa"/>
            <w:tcBorders>
              <w:top w:val="nil"/>
              <w:left w:val="nil"/>
              <w:bottom w:val="nil"/>
              <w:right w:val="nil"/>
            </w:tcBorders>
            <w:shd w:val="clear" w:color="auto" w:fill="auto"/>
          </w:tcPr>
          <w:p w14:paraId="1CC2F34A" w14:textId="4CB16200" w:rsidR="00243940" w:rsidRPr="0038404A" w:rsidRDefault="00243940" w:rsidP="00243940">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Not applicable</w:t>
            </w:r>
            <w:r w:rsidR="006E6F3A" w:rsidRPr="0038404A">
              <w:rPr>
                <w:rFonts w:ascii="Calibri" w:hAnsi="Calibri" w:cs="Calibri"/>
                <w:color w:val="000000" w:themeColor="text1"/>
              </w:rPr>
              <w:t>.</w:t>
            </w:r>
          </w:p>
        </w:tc>
        <w:tc>
          <w:tcPr>
            <w:tcW w:w="3969" w:type="dxa"/>
            <w:tcBorders>
              <w:top w:val="nil"/>
              <w:left w:val="nil"/>
              <w:bottom w:val="nil"/>
              <w:right w:val="nil"/>
            </w:tcBorders>
            <w:shd w:val="clear" w:color="auto" w:fill="auto"/>
          </w:tcPr>
          <w:p w14:paraId="04B8A899" w14:textId="6E65E2CA" w:rsidR="00243940" w:rsidRPr="0038404A" w:rsidRDefault="0038404A" w:rsidP="00222B17">
            <w:pPr>
              <w:pStyle w:val="ListParagraph"/>
              <w:numPr>
                <w:ilvl w:val="0"/>
                <w:numId w:val="1"/>
              </w:numPr>
              <w:spacing w:line="276" w:lineRule="auto"/>
              <w:rPr>
                <w:rFonts w:ascii="Calibri" w:hAnsi="Calibri" w:cs="Calibri"/>
                <w:color w:val="000000" w:themeColor="text1"/>
              </w:rPr>
            </w:pPr>
            <w:r>
              <w:rPr>
                <w:rFonts w:ascii="Calibri" w:hAnsi="Calibri" w:cs="Calibri"/>
                <w:color w:val="000000" w:themeColor="text1"/>
              </w:rPr>
              <w:t xml:space="preserve">Ambitious about Autism (AaA) </w:t>
            </w:r>
            <w:r w:rsidRPr="0038404A">
              <w:rPr>
                <w:rFonts w:ascii="Calibri" w:hAnsi="Calibri" w:cs="Calibri"/>
                <w:color w:val="000000" w:themeColor="text1"/>
              </w:rPr>
              <w:t>promotes</w:t>
            </w:r>
            <w:r w:rsidR="00243940" w:rsidRPr="0038404A">
              <w:rPr>
                <w:rFonts w:ascii="Calibri" w:hAnsi="Calibri" w:cs="Calibri"/>
                <w:color w:val="000000" w:themeColor="text1"/>
              </w:rPr>
              <w:t xml:space="preserve"> the </w:t>
            </w:r>
            <w:r>
              <w:rPr>
                <w:rFonts w:ascii="Calibri" w:hAnsi="Calibri" w:cs="Calibri"/>
                <w:color w:val="000000" w:themeColor="text1"/>
              </w:rPr>
              <w:t>Employ Autism network</w:t>
            </w:r>
            <w:r w:rsidR="00243940" w:rsidRPr="0038404A">
              <w:rPr>
                <w:rFonts w:ascii="Calibri" w:hAnsi="Calibri" w:cs="Calibri"/>
                <w:color w:val="000000" w:themeColor="text1"/>
              </w:rPr>
              <w:t xml:space="preserve"> via various marketing and networking strategies </w:t>
            </w:r>
            <w:r w:rsidR="006E6F3A" w:rsidRPr="0038404A">
              <w:rPr>
                <w:rFonts w:ascii="Calibri" w:hAnsi="Calibri" w:cs="Calibri"/>
                <w:color w:val="000000" w:themeColor="text1"/>
              </w:rPr>
              <w:t xml:space="preserve">both </w:t>
            </w:r>
            <w:r w:rsidR="00243940" w:rsidRPr="0038404A">
              <w:rPr>
                <w:rFonts w:ascii="Calibri" w:hAnsi="Calibri" w:cs="Calibri"/>
                <w:color w:val="000000" w:themeColor="text1"/>
              </w:rPr>
              <w:t xml:space="preserve">online and </w:t>
            </w:r>
            <w:r w:rsidR="00FC3E08" w:rsidRPr="0038404A">
              <w:rPr>
                <w:rFonts w:ascii="Calibri" w:hAnsi="Calibri" w:cs="Calibri"/>
                <w:color w:val="000000" w:themeColor="text1"/>
              </w:rPr>
              <w:t xml:space="preserve">in person events </w:t>
            </w:r>
            <w:r w:rsidR="00243940" w:rsidRPr="0038404A">
              <w:rPr>
                <w:rFonts w:ascii="Calibri" w:hAnsi="Calibri" w:cs="Calibri"/>
                <w:color w:val="000000" w:themeColor="text1"/>
              </w:rPr>
              <w:t>with potential host organisations.</w:t>
            </w:r>
          </w:p>
          <w:p w14:paraId="7DFC0D75" w14:textId="072294F3" w:rsidR="00243940" w:rsidRPr="0038404A" w:rsidRDefault="00243940" w:rsidP="00222B17">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The organisation volunteer</w:t>
            </w:r>
            <w:r w:rsidR="005E4573" w:rsidRPr="0038404A">
              <w:rPr>
                <w:rFonts w:ascii="Calibri" w:hAnsi="Calibri" w:cs="Calibri"/>
                <w:color w:val="000000" w:themeColor="text1"/>
              </w:rPr>
              <w:t>s</w:t>
            </w:r>
            <w:r w:rsidRPr="0038404A">
              <w:rPr>
                <w:rFonts w:ascii="Calibri" w:hAnsi="Calibri" w:cs="Calibri"/>
                <w:color w:val="000000" w:themeColor="text1"/>
              </w:rPr>
              <w:t xml:space="preserve"> to join the </w:t>
            </w:r>
            <w:r w:rsidR="0038404A">
              <w:rPr>
                <w:rFonts w:ascii="Calibri" w:hAnsi="Calibri" w:cs="Calibri"/>
                <w:color w:val="000000" w:themeColor="text1"/>
              </w:rPr>
              <w:t>EAN</w:t>
            </w:r>
            <w:r w:rsidR="005E4573" w:rsidRPr="0038404A">
              <w:rPr>
                <w:rFonts w:ascii="Calibri" w:hAnsi="Calibri" w:cs="Calibri"/>
                <w:color w:val="000000" w:themeColor="text1"/>
              </w:rPr>
              <w:t xml:space="preserve">, and begins liaising with staff at </w:t>
            </w:r>
            <w:r w:rsidR="0038404A">
              <w:rPr>
                <w:rFonts w:ascii="Calibri" w:hAnsi="Calibri" w:cs="Calibri"/>
                <w:color w:val="000000" w:themeColor="text1"/>
              </w:rPr>
              <w:t>AaA</w:t>
            </w:r>
            <w:r w:rsidR="005E4573" w:rsidRPr="0038404A">
              <w:rPr>
                <w:rFonts w:ascii="Calibri" w:hAnsi="Calibri" w:cs="Calibri"/>
                <w:color w:val="000000" w:themeColor="text1"/>
              </w:rPr>
              <w:t xml:space="preserve"> to setup the internship.</w:t>
            </w:r>
          </w:p>
        </w:tc>
      </w:tr>
      <w:tr w:rsidR="0038404A" w:rsidRPr="0038404A" w14:paraId="63679F8F" w14:textId="77777777" w:rsidTr="00222B17">
        <w:trPr>
          <w:trHeight w:val="3122"/>
        </w:trPr>
        <w:tc>
          <w:tcPr>
            <w:tcW w:w="1843" w:type="dxa"/>
            <w:vMerge w:val="restart"/>
            <w:tcBorders>
              <w:top w:val="nil"/>
              <w:left w:val="nil"/>
              <w:bottom w:val="single" w:sz="4" w:space="0" w:color="000000"/>
              <w:right w:val="nil"/>
            </w:tcBorders>
            <w:shd w:val="clear" w:color="auto" w:fill="auto"/>
            <w:noWrap/>
            <w:hideMark/>
          </w:tcPr>
          <w:p w14:paraId="29B160B5" w14:textId="77777777" w:rsidR="0037524D" w:rsidRPr="0038404A" w:rsidRDefault="0037524D" w:rsidP="00222B17">
            <w:pPr>
              <w:spacing w:line="276" w:lineRule="auto"/>
              <w:rPr>
                <w:rFonts w:ascii="Calibri" w:hAnsi="Calibri" w:cs="Calibri"/>
                <w:b/>
                <w:bCs/>
                <w:color w:val="000000" w:themeColor="text1"/>
              </w:rPr>
            </w:pPr>
            <w:r w:rsidRPr="0038404A">
              <w:rPr>
                <w:rFonts w:ascii="Calibri" w:hAnsi="Calibri" w:cs="Calibri"/>
                <w:b/>
                <w:bCs/>
                <w:color w:val="000000" w:themeColor="text1"/>
              </w:rPr>
              <w:t>Pre-application</w:t>
            </w:r>
          </w:p>
        </w:tc>
        <w:tc>
          <w:tcPr>
            <w:tcW w:w="3969" w:type="dxa"/>
            <w:tcBorders>
              <w:top w:val="nil"/>
              <w:left w:val="nil"/>
              <w:bottom w:val="nil"/>
              <w:right w:val="nil"/>
            </w:tcBorders>
            <w:shd w:val="clear" w:color="auto" w:fill="auto"/>
            <w:hideMark/>
          </w:tcPr>
          <w:p w14:paraId="14D7D540" w14:textId="54B94F46" w:rsidR="0037524D" w:rsidRPr="0038404A" w:rsidRDefault="0037524D" w:rsidP="00222B17">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 xml:space="preserve">Roles are advertised on the </w:t>
            </w:r>
            <w:r w:rsidR="0038404A">
              <w:rPr>
                <w:rFonts w:ascii="Calibri" w:hAnsi="Calibri" w:cs="Calibri"/>
                <w:color w:val="000000" w:themeColor="text1"/>
              </w:rPr>
              <w:t>AaA</w:t>
            </w:r>
            <w:r w:rsidR="00541853" w:rsidRPr="0038404A">
              <w:rPr>
                <w:rFonts w:ascii="Calibri" w:hAnsi="Calibri" w:cs="Calibri"/>
                <w:color w:val="000000" w:themeColor="text1"/>
              </w:rPr>
              <w:t xml:space="preserve"> </w:t>
            </w:r>
            <w:r w:rsidRPr="0038404A">
              <w:rPr>
                <w:rFonts w:ascii="Calibri" w:hAnsi="Calibri" w:cs="Calibri"/>
                <w:color w:val="000000" w:themeColor="text1"/>
              </w:rPr>
              <w:t xml:space="preserve">website, and sent to those signed up to the </w:t>
            </w:r>
            <w:r w:rsidR="0038404A">
              <w:rPr>
                <w:rFonts w:ascii="Calibri" w:hAnsi="Calibri" w:cs="Calibri"/>
                <w:color w:val="000000" w:themeColor="text1"/>
              </w:rPr>
              <w:t>EAN</w:t>
            </w:r>
            <w:r w:rsidRPr="0038404A">
              <w:rPr>
                <w:rFonts w:ascii="Calibri" w:hAnsi="Calibri" w:cs="Calibri"/>
                <w:color w:val="000000" w:themeColor="text1"/>
              </w:rPr>
              <w:t xml:space="preserve"> network mailing list.</w:t>
            </w:r>
          </w:p>
        </w:tc>
        <w:tc>
          <w:tcPr>
            <w:tcW w:w="3969" w:type="dxa"/>
            <w:tcBorders>
              <w:top w:val="nil"/>
              <w:left w:val="nil"/>
              <w:bottom w:val="nil"/>
              <w:right w:val="nil"/>
            </w:tcBorders>
            <w:shd w:val="clear" w:color="auto" w:fill="auto"/>
            <w:hideMark/>
          </w:tcPr>
          <w:p w14:paraId="371CB564" w14:textId="7D0E4FF3" w:rsidR="0037524D" w:rsidRPr="0038404A" w:rsidRDefault="0037524D" w:rsidP="00222B17">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 xml:space="preserve">Employers attend online training hosted by </w:t>
            </w:r>
            <w:r w:rsidR="0038404A">
              <w:rPr>
                <w:rFonts w:ascii="Calibri" w:hAnsi="Calibri" w:cs="Calibri"/>
                <w:color w:val="000000" w:themeColor="text1"/>
              </w:rPr>
              <w:t>AaA</w:t>
            </w:r>
            <w:r w:rsidRPr="0038404A">
              <w:rPr>
                <w:rFonts w:ascii="Calibri" w:hAnsi="Calibri" w:cs="Calibri"/>
                <w:color w:val="000000" w:themeColor="text1"/>
              </w:rPr>
              <w:t xml:space="preserve">, </w:t>
            </w:r>
            <w:r w:rsidRPr="0038404A">
              <w:rPr>
                <w:rFonts w:ascii="Calibri" w:hAnsi="Calibri" w:cs="Calibri"/>
                <w:i/>
                <w:iCs/>
                <w:color w:val="000000" w:themeColor="text1"/>
              </w:rPr>
              <w:t>Understanding Autism in the Workplace</w:t>
            </w:r>
            <w:r w:rsidRPr="0038404A">
              <w:rPr>
                <w:rFonts w:ascii="Calibri" w:hAnsi="Calibri" w:cs="Calibri"/>
                <w:color w:val="000000" w:themeColor="text1"/>
              </w:rPr>
              <w:t xml:space="preserve">, that aims to equip employers with knowledge about autism and provide practical ways to support their interns and make their workplace more inclusive. </w:t>
            </w:r>
          </w:p>
        </w:tc>
      </w:tr>
      <w:tr w:rsidR="0038404A" w:rsidRPr="0038404A" w14:paraId="5EF73F21" w14:textId="77777777" w:rsidTr="00222B17">
        <w:trPr>
          <w:trHeight w:val="1861"/>
        </w:trPr>
        <w:tc>
          <w:tcPr>
            <w:tcW w:w="1843" w:type="dxa"/>
            <w:vMerge/>
            <w:tcBorders>
              <w:top w:val="nil"/>
              <w:left w:val="nil"/>
              <w:bottom w:val="single" w:sz="4" w:space="0" w:color="000000"/>
              <w:right w:val="nil"/>
            </w:tcBorders>
            <w:hideMark/>
          </w:tcPr>
          <w:p w14:paraId="19610FD0"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nil"/>
              <w:right w:val="nil"/>
            </w:tcBorders>
            <w:shd w:val="clear" w:color="auto" w:fill="auto"/>
            <w:hideMark/>
          </w:tcPr>
          <w:p w14:paraId="3BA85064" w14:textId="3009F35B" w:rsidR="0037524D" w:rsidRPr="0038404A" w:rsidRDefault="0037524D" w:rsidP="00222B17">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 xml:space="preserve">Questions about the role and application process can be emailed to a specific email address and someone from the </w:t>
            </w:r>
            <w:r w:rsidR="0038404A">
              <w:rPr>
                <w:rFonts w:ascii="Calibri" w:hAnsi="Calibri" w:cs="Calibri"/>
                <w:color w:val="000000" w:themeColor="text1"/>
              </w:rPr>
              <w:t>AaA</w:t>
            </w:r>
            <w:r w:rsidRPr="0038404A">
              <w:rPr>
                <w:rFonts w:ascii="Calibri" w:hAnsi="Calibri" w:cs="Calibri"/>
                <w:color w:val="000000" w:themeColor="text1"/>
              </w:rPr>
              <w:t xml:space="preserve"> team can help.</w:t>
            </w:r>
          </w:p>
        </w:tc>
        <w:tc>
          <w:tcPr>
            <w:tcW w:w="3969" w:type="dxa"/>
            <w:tcBorders>
              <w:top w:val="nil"/>
              <w:left w:val="nil"/>
              <w:bottom w:val="nil"/>
              <w:right w:val="nil"/>
            </w:tcBorders>
            <w:shd w:val="clear" w:color="auto" w:fill="auto"/>
            <w:noWrap/>
            <w:hideMark/>
          </w:tcPr>
          <w:p w14:paraId="4320DE26" w14:textId="77777777" w:rsidR="0037524D" w:rsidRPr="0038404A" w:rsidRDefault="0037524D" w:rsidP="00222B17">
            <w:pPr>
              <w:spacing w:line="276" w:lineRule="auto"/>
              <w:rPr>
                <w:rFonts w:ascii="Calibri" w:hAnsi="Calibri" w:cs="Calibri"/>
                <w:color w:val="000000" w:themeColor="text1"/>
              </w:rPr>
            </w:pPr>
          </w:p>
        </w:tc>
      </w:tr>
      <w:tr w:rsidR="0038404A" w:rsidRPr="0038404A" w14:paraId="4554A7D3" w14:textId="77777777" w:rsidTr="00222B17">
        <w:trPr>
          <w:trHeight w:val="1344"/>
        </w:trPr>
        <w:tc>
          <w:tcPr>
            <w:tcW w:w="1843" w:type="dxa"/>
            <w:vMerge/>
            <w:tcBorders>
              <w:top w:val="nil"/>
              <w:left w:val="nil"/>
              <w:bottom w:val="single" w:sz="4" w:space="0" w:color="000000"/>
              <w:right w:val="nil"/>
            </w:tcBorders>
            <w:hideMark/>
          </w:tcPr>
          <w:p w14:paraId="4E3DC156"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single" w:sz="4" w:space="0" w:color="auto"/>
              <w:right w:val="nil"/>
            </w:tcBorders>
            <w:shd w:val="clear" w:color="auto" w:fill="auto"/>
            <w:hideMark/>
          </w:tcPr>
          <w:p w14:paraId="322ECCBF" w14:textId="77777777" w:rsidR="0037524D" w:rsidRPr="0038404A" w:rsidRDefault="0037524D" w:rsidP="00222B17">
            <w:pPr>
              <w:pStyle w:val="ListParagraph"/>
              <w:numPr>
                <w:ilvl w:val="0"/>
                <w:numId w:val="1"/>
              </w:numPr>
              <w:spacing w:line="276" w:lineRule="auto"/>
              <w:rPr>
                <w:rFonts w:ascii="Calibri" w:hAnsi="Calibri" w:cs="Calibri"/>
                <w:color w:val="000000" w:themeColor="text1"/>
              </w:rPr>
            </w:pPr>
            <w:r w:rsidRPr="0038404A">
              <w:rPr>
                <w:rFonts w:ascii="Calibri" w:hAnsi="Calibri" w:cs="Calibri"/>
                <w:color w:val="000000" w:themeColor="text1"/>
              </w:rPr>
              <w:t xml:space="preserve">An optional pre-application meeting can be arranged with someone the team to discuss suitability to the role, and/or get advice on CVs and the application task. </w:t>
            </w:r>
          </w:p>
        </w:tc>
        <w:tc>
          <w:tcPr>
            <w:tcW w:w="3969" w:type="dxa"/>
            <w:tcBorders>
              <w:top w:val="nil"/>
              <w:left w:val="nil"/>
              <w:bottom w:val="single" w:sz="4" w:space="0" w:color="auto"/>
              <w:right w:val="nil"/>
            </w:tcBorders>
            <w:shd w:val="clear" w:color="auto" w:fill="auto"/>
            <w:noWrap/>
            <w:hideMark/>
          </w:tcPr>
          <w:p w14:paraId="48718052" w14:textId="77777777" w:rsidR="0037524D" w:rsidRPr="0038404A" w:rsidRDefault="0037524D" w:rsidP="00222B17">
            <w:pPr>
              <w:spacing w:line="276" w:lineRule="auto"/>
              <w:rPr>
                <w:rFonts w:ascii="Calibri" w:hAnsi="Calibri" w:cs="Calibri"/>
                <w:color w:val="000000" w:themeColor="text1"/>
              </w:rPr>
            </w:pPr>
            <w:r w:rsidRPr="0038404A">
              <w:rPr>
                <w:rFonts w:ascii="Calibri" w:hAnsi="Calibri" w:cs="Calibri"/>
                <w:color w:val="000000" w:themeColor="text1"/>
              </w:rPr>
              <w:t> </w:t>
            </w:r>
          </w:p>
        </w:tc>
      </w:tr>
      <w:tr w:rsidR="0038404A" w:rsidRPr="0038404A" w14:paraId="1812C8CE" w14:textId="77777777" w:rsidTr="00222B17">
        <w:trPr>
          <w:trHeight w:val="1681"/>
        </w:trPr>
        <w:tc>
          <w:tcPr>
            <w:tcW w:w="1843" w:type="dxa"/>
            <w:vMerge w:val="restart"/>
            <w:tcBorders>
              <w:top w:val="nil"/>
              <w:left w:val="nil"/>
              <w:bottom w:val="single" w:sz="4" w:space="0" w:color="000000"/>
              <w:right w:val="nil"/>
            </w:tcBorders>
            <w:shd w:val="clear" w:color="auto" w:fill="auto"/>
            <w:noWrap/>
            <w:hideMark/>
          </w:tcPr>
          <w:p w14:paraId="5BB721EB" w14:textId="77777777" w:rsidR="0037524D" w:rsidRPr="0038404A" w:rsidRDefault="0037524D" w:rsidP="00222B17">
            <w:pPr>
              <w:spacing w:line="276" w:lineRule="auto"/>
              <w:rPr>
                <w:rFonts w:ascii="Calibri" w:hAnsi="Calibri" w:cs="Calibri"/>
                <w:b/>
                <w:bCs/>
                <w:color w:val="000000" w:themeColor="text1"/>
              </w:rPr>
            </w:pPr>
            <w:r w:rsidRPr="0038404A">
              <w:rPr>
                <w:rFonts w:ascii="Calibri" w:hAnsi="Calibri" w:cs="Calibri"/>
                <w:b/>
                <w:bCs/>
                <w:color w:val="000000" w:themeColor="text1"/>
              </w:rPr>
              <w:lastRenderedPageBreak/>
              <w:t>Application</w:t>
            </w:r>
          </w:p>
        </w:tc>
        <w:tc>
          <w:tcPr>
            <w:tcW w:w="3969" w:type="dxa"/>
            <w:tcBorders>
              <w:top w:val="nil"/>
              <w:left w:val="nil"/>
              <w:bottom w:val="nil"/>
              <w:right w:val="nil"/>
            </w:tcBorders>
            <w:shd w:val="clear" w:color="auto" w:fill="auto"/>
            <w:hideMark/>
          </w:tcPr>
          <w:p w14:paraId="1B9D0D2A" w14:textId="3CB85F65"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 </w:t>
            </w:r>
            <w:r w:rsidR="0038404A">
              <w:rPr>
                <w:rFonts w:ascii="Calibri" w:hAnsi="Calibri" w:cs="Calibri"/>
                <w:color w:val="000000" w:themeColor="text1"/>
              </w:rPr>
              <w:t>AaA</w:t>
            </w:r>
            <w:r w:rsidRPr="0038404A">
              <w:rPr>
                <w:rFonts w:ascii="Calibri" w:hAnsi="Calibri" w:cs="Calibri"/>
                <w:color w:val="000000" w:themeColor="text1"/>
              </w:rPr>
              <w:t xml:space="preserve"> team is available for any questions regarding the application form and information about the application task. </w:t>
            </w:r>
          </w:p>
        </w:tc>
        <w:tc>
          <w:tcPr>
            <w:tcW w:w="3969" w:type="dxa"/>
            <w:tcBorders>
              <w:top w:val="nil"/>
              <w:left w:val="nil"/>
              <w:bottom w:val="nil"/>
              <w:right w:val="nil"/>
            </w:tcBorders>
            <w:shd w:val="clear" w:color="auto" w:fill="auto"/>
            <w:hideMark/>
          </w:tcPr>
          <w:p w14:paraId="730EC119" w14:textId="46E43E3A"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Employers are offered tailored resources, support, and expertise from the team at </w:t>
            </w:r>
            <w:r w:rsidR="0038404A">
              <w:rPr>
                <w:rFonts w:ascii="Calibri" w:hAnsi="Calibri" w:cs="Calibri"/>
                <w:color w:val="000000" w:themeColor="text1"/>
              </w:rPr>
              <w:t>AaA</w:t>
            </w:r>
            <w:r w:rsidRPr="0038404A">
              <w:rPr>
                <w:rFonts w:ascii="Calibri" w:hAnsi="Calibri" w:cs="Calibri"/>
                <w:color w:val="000000" w:themeColor="text1"/>
              </w:rPr>
              <w:t xml:space="preserve"> to make the interview process and any application task appropriate and accessible.</w:t>
            </w:r>
          </w:p>
        </w:tc>
      </w:tr>
      <w:tr w:rsidR="0038404A" w:rsidRPr="0038404A" w14:paraId="2BED19A3" w14:textId="77777777" w:rsidTr="00222B17">
        <w:trPr>
          <w:trHeight w:val="1681"/>
        </w:trPr>
        <w:tc>
          <w:tcPr>
            <w:tcW w:w="1843" w:type="dxa"/>
            <w:vMerge/>
            <w:tcBorders>
              <w:top w:val="nil"/>
              <w:left w:val="nil"/>
              <w:bottom w:val="single" w:sz="4" w:space="0" w:color="000000"/>
              <w:right w:val="nil"/>
            </w:tcBorders>
            <w:hideMark/>
          </w:tcPr>
          <w:p w14:paraId="23AE4FE5"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single" w:sz="4" w:space="0" w:color="auto"/>
              <w:right w:val="nil"/>
            </w:tcBorders>
            <w:shd w:val="clear" w:color="auto" w:fill="auto"/>
            <w:hideMark/>
          </w:tcPr>
          <w:p w14:paraId="713BBB7C" w14:textId="73DB1012" w:rsidR="00222B17"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All applicants receive feedback on their application whether they are successful or not, and unsuccessful applicants are offered a meeting with a careers advisor to discuss the feedback. </w:t>
            </w:r>
          </w:p>
        </w:tc>
        <w:tc>
          <w:tcPr>
            <w:tcW w:w="3969" w:type="dxa"/>
            <w:tcBorders>
              <w:top w:val="nil"/>
              <w:left w:val="nil"/>
              <w:bottom w:val="single" w:sz="4" w:space="0" w:color="auto"/>
              <w:right w:val="nil"/>
            </w:tcBorders>
            <w:shd w:val="clear" w:color="auto" w:fill="auto"/>
            <w:noWrap/>
            <w:hideMark/>
          </w:tcPr>
          <w:p w14:paraId="1B948633" w14:textId="77777777" w:rsidR="0037524D" w:rsidRPr="0038404A" w:rsidRDefault="0037524D" w:rsidP="00222B17">
            <w:pPr>
              <w:spacing w:line="276" w:lineRule="auto"/>
              <w:rPr>
                <w:rFonts w:ascii="Calibri" w:hAnsi="Calibri" w:cs="Calibri"/>
                <w:color w:val="000000" w:themeColor="text1"/>
              </w:rPr>
            </w:pPr>
            <w:r w:rsidRPr="0038404A">
              <w:rPr>
                <w:rFonts w:ascii="Calibri" w:hAnsi="Calibri" w:cs="Calibri"/>
                <w:color w:val="000000" w:themeColor="text1"/>
              </w:rPr>
              <w:t> </w:t>
            </w:r>
          </w:p>
        </w:tc>
      </w:tr>
      <w:tr w:rsidR="0038404A" w:rsidRPr="0038404A" w14:paraId="7B7D0730" w14:textId="77777777" w:rsidTr="00222B17">
        <w:trPr>
          <w:trHeight w:val="1681"/>
        </w:trPr>
        <w:tc>
          <w:tcPr>
            <w:tcW w:w="1843" w:type="dxa"/>
            <w:vMerge w:val="restart"/>
            <w:tcBorders>
              <w:top w:val="nil"/>
              <w:left w:val="nil"/>
              <w:bottom w:val="single" w:sz="4" w:space="0" w:color="000000"/>
              <w:right w:val="nil"/>
            </w:tcBorders>
            <w:shd w:val="clear" w:color="auto" w:fill="auto"/>
            <w:noWrap/>
            <w:hideMark/>
          </w:tcPr>
          <w:p w14:paraId="41FD4427" w14:textId="77777777" w:rsidR="0037524D" w:rsidRPr="0038404A" w:rsidRDefault="0037524D" w:rsidP="00222B17">
            <w:pPr>
              <w:spacing w:line="276" w:lineRule="auto"/>
              <w:rPr>
                <w:rFonts w:ascii="Calibri" w:hAnsi="Calibri" w:cs="Calibri"/>
                <w:b/>
                <w:bCs/>
                <w:color w:val="000000" w:themeColor="text1"/>
              </w:rPr>
            </w:pPr>
            <w:r w:rsidRPr="0038404A">
              <w:rPr>
                <w:rFonts w:ascii="Calibri" w:hAnsi="Calibri" w:cs="Calibri"/>
                <w:b/>
                <w:bCs/>
                <w:color w:val="000000" w:themeColor="text1"/>
              </w:rPr>
              <w:t>Interview</w:t>
            </w:r>
          </w:p>
        </w:tc>
        <w:tc>
          <w:tcPr>
            <w:tcW w:w="3969" w:type="dxa"/>
            <w:tcBorders>
              <w:top w:val="nil"/>
              <w:left w:val="nil"/>
              <w:bottom w:val="nil"/>
              <w:right w:val="nil"/>
            </w:tcBorders>
            <w:shd w:val="clear" w:color="auto" w:fill="auto"/>
            <w:hideMark/>
          </w:tcPr>
          <w:p w14:paraId="2C2C6004" w14:textId="10123C7C" w:rsidR="0037524D" w:rsidRPr="0038404A" w:rsidRDefault="0037524D" w:rsidP="00222B17">
            <w:pPr>
              <w:pStyle w:val="ListParagraph"/>
              <w:numPr>
                <w:ilvl w:val="0"/>
                <w:numId w:val="3"/>
              </w:numPr>
              <w:spacing w:line="276" w:lineRule="auto"/>
              <w:rPr>
                <w:rFonts w:ascii="Calibri" w:hAnsi="Calibri" w:cs="Calibri"/>
                <w:color w:val="000000" w:themeColor="text1"/>
              </w:rPr>
            </w:pPr>
            <w:r w:rsidRPr="0038404A">
              <w:rPr>
                <w:rFonts w:ascii="Calibri" w:hAnsi="Calibri" w:cs="Calibri"/>
                <w:color w:val="000000" w:themeColor="text1"/>
              </w:rPr>
              <w:t xml:space="preserve">For candidates offered an interview, the </w:t>
            </w:r>
            <w:r w:rsidR="0038404A">
              <w:rPr>
                <w:rFonts w:ascii="Calibri" w:hAnsi="Calibri" w:cs="Calibri"/>
                <w:color w:val="000000" w:themeColor="text1"/>
              </w:rPr>
              <w:t>AaA</w:t>
            </w:r>
            <w:r w:rsidRPr="0038404A">
              <w:rPr>
                <w:rFonts w:ascii="Calibri" w:hAnsi="Calibri" w:cs="Calibri"/>
                <w:color w:val="000000" w:themeColor="text1"/>
              </w:rPr>
              <w:t xml:space="preserve"> team can help with preparation in-person or virtually. </w:t>
            </w:r>
          </w:p>
        </w:tc>
        <w:tc>
          <w:tcPr>
            <w:tcW w:w="3969" w:type="dxa"/>
            <w:tcBorders>
              <w:top w:val="nil"/>
              <w:left w:val="nil"/>
              <w:bottom w:val="nil"/>
              <w:right w:val="nil"/>
            </w:tcBorders>
            <w:shd w:val="clear" w:color="auto" w:fill="auto"/>
            <w:hideMark/>
          </w:tcPr>
          <w:p w14:paraId="3D6C36BF" w14:textId="77777777"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Employers share interview questions with candidates, interview the candidates, review the quality of any tasks set for the application, and decide on the successful candidate/s.</w:t>
            </w:r>
          </w:p>
        </w:tc>
      </w:tr>
      <w:tr w:rsidR="0038404A" w:rsidRPr="0038404A" w14:paraId="2F98923C" w14:textId="77777777" w:rsidTr="00222B17">
        <w:trPr>
          <w:trHeight w:val="1507"/>
        </w:trPr>
        <w:tc>
          <w:tcPr>
            <w:tcW w:w="1843" w:type="dxa"/>
            <w:vMerge/>
            <w:tcBorders>
              <w:top w:val="nil"/>
              <w:left w:val="nil"/>
              <w:bottom w:val="single" w:sz="4" w:space="0" w:color="000000"/>
              <w:right w:val="nil"/>
            </w:tcBorders>
            <w:hideMark/>
          </w:tcPr>
          <w:p w14:paraId="0689B96C"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nil"/>
              <w:right w:val="nil"/>
            </w:tcBorders>
            <w:shd w:val="clear" w:color="auto" w:fill="auto"/>
            <w:hideMark/>
          </w:tcPr>
          <w:p w14:paraId="6C9B16CF" w14:textId="77777777"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Interview questions and one-page profiles of the interviewer are shared with the candidate ahead of the interview.</w:t>
            </w:r>
          </w:p>
        </w:tc>
        <w:tc>
          <w:tcPr>
            <w:tcW w:w="3969" w:type="dxa"/>
            <w:tcBorders>
              <w:top w:val="nil"/>
              <w:left w:val="nil"/>
              <w:bottom w:val="nil"/>
              <w:right w:val="nil"/>
            </w:tcBorders>
            <w:shd w:val="clear" w:color="auto" w:fill="auto"/>
            <w:noWrap/>
            <w:hideMark/>
          </w:tcPr>
          <w:p w14:paraId="14C6F458" w14:textId="77777777" w:rsidR="0037524D" w:rsidRPr="0038404A" w:rsidRDefault="0037524D" w:rsidP="00222B17">
            <w:pPr>
              <w:spacing w:line="276" w:lineRule="auto"/>
              <w:ind w:left="360"/>
              <w:rPr>
                <w:rFonts w:ascii="Calibri" w:hAnsi="Calibri" w:cs="Calibri"/>
                <w:color w:val="000000" w:themeColor="text1"/>
              </w:rPr>
            </w:pPr>
          </w:p>
        </w:tc>
      </w:tr>
      <w:tr w:rsidR="0038404A" w:rsidRPr="0038404A" w14:paraId="6C12E5E7" w14:textId="77777777" w:rsidTr="00222B17">
        <w:trPr>
          <w:trHeight w:val="2535"/>
        </w:trPr>
        <w:tc>
          <w:tcPr>
            <w:tcW w:w="1843" w:type="dxa"/>
            <w:vMerge/>
            <w:tcBorders>
              <w:top w:val="nil"/>
              <w:left w:val="nil"/>
              <w:bottom w:val="single" w:sz="4" w:space="0" w:color="000000"/>
              <w:right w:val="nil"/>
            </w:tcBorders>
            <w:hideMark/>
          </w:tcPr>
          <w:p w14:paraId="0B2EDF77"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single" w:sz="4" w:space="0" w:color="auto"/>
              <w:right w:val="nil"/>
            </w:tcBorders>
            <w:shd w:val="clear" w:color="auto" w:fill="auto"/>
            <w:hideMark/>
          </w:tcPr>
          <w:p w14:paraId="203F9FA4" w14:textId="77777777"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 candidate meets with a member of the team to develop a ‘candidate profile’, a document shared with the line manager and other interviewer that highlights strengths, interests, and any workplace adjustments required. </w:t>
            </w:r>
          </w:p>
        </w:tc>
        <w:tc>
          <w:tcPr>
            <w:tcW w:w="3969" w:type="dxa"/>
            <w:tcBorders>
              <w:top w:val="nil"/>
              <w:left w:val="nil"/>
              <w:bottom w:val="single" w:sz="4" w:space="0" w:color="auto"/>
              <w:right w:val="nil"/>
            </w:tcBorders>
            <w:shd w:val="clear" w:color="auto" w:fill="auto"/>
            <w:noWrap/>
            <w:hideMark/>
          </w:tcPr>
          <w:p w14:paraId="43DC0E06" w14:textId="47463EEC" w:rsidR="0037524D" w:rsidRPr="0038404A" w:rsidRDefault="0037524D" w:rsidP="00222B17">
            <w:pPr>
              <w:spacing w:line="276" w:lineRule="auto"/>
              <w:ind w:left="360"/>
              <w:rPr>
                <w:rFonts w:ascii="Calibri" w:hAnsi="Calibri" w:cs="Calibri"/>
                <w:color w:val="000000" w:themeColor="text1"/>
              </w:rPr>
            </w:pPr>
          </w:p>
        </w:tc>
      </w:tr>
      <w:tr w:rsidR="0038404A" w:rsidRPr="0038404A" w14:paraId="04B039CB" w14:textId="77777777" w:rsidTr="00222B17">
        <w:trPr>
          <w:trHeight w:val="1835"/>
        </w:trPr>
        <w:tc>
          <w:tcPr>
            <w:tcW w:w="1843" w:type="dxa"/>
            <w:vMerge w:val="restart"/>
            <w:tcBorders>
              <w:top w:val="nil"/>
              <w:left w:val="nil"/>
              <w:bottom w:val="single" w:sz="4" w:space="0" w:color="000000"/>
              <w:right w:val="nil"/>
            </w:tcBorders>
            <w:shd w:val="clear" w:color="auto" w:fill="auto"/>
            <w:noWrap/>
            <w:hideMark/>
          </w:tcPr>
          <w:p w14:paraId="2C0AB413" w14:textId="77777777" w:rsidR="0037524D" w:rsidRPr="0038404A" w:rsidRDefault="0037524D" w:rsidP="00222B17">
            <w:pPr>
              <w:spacing w:line="276" w:lineRule="auto"/>
              <w:rPr>
                <w:rFonts w:ascii="Calibri" w:hAnsi="Calibri" w:cs="Calibri"/>
                <w:b/>
                <w:bCs/>
                <w:color w:val="000000" w:themeColor="text1"/>
              </w:rPr>
            </w:pPr>
            <w:r w:rsidRPr="0038404A">
              <w:rPr>
                <w:rFonts w:ascii="Calibri" w:hAnsi="Calibri" w:cs="Calibri"/>
                <w:b/>
                <w:bCs/>
                <w:color w:val="000000" w:themeColor="text1"/>
              </w:rPr>
              <w:t>During the internship</w:t>
            </w:r>
          </w:p>
        </w:tc>
        <w:tc>
          <w:tcPr>
            <w:tcW w:w="3969" w:type="dxa"/>
            <w:tcBorders>
              <w:top w:val="nil"/>
              <w:left w:val="nil"/>
              <w:bottom w:val="nil"/>
              <w:right w:val="nil"/>
            </w:tcBorders>
            <w:shd w:val="clear" w:color="auto" w:fill="auto"/>
            <w:hideMark/>
          </w:tcPr>
          <w:p w14:paraId="31AAF8C5" w14:textId="77777777"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There is a pre-placement call a week before the internship starts to ensure the young person has everything they need and to answer any questions. </w:t>
            </w:r>
          </w:p>
        </w:tc>
        <w:tc>
          <w:tcPr>
            <w:tcW w:w="3969" w:type="dxa"/>
            <w:tcBorders>
              <w:top w:val="nil"/>
              <w:left w:val="nil"/>
              <w:bottom w:val="nil"/>
              <w:right w:val="nil"/>
            </w:tcBorders>
            <w:shd w:val="clear" w:color="auto" w:fill="auto"/>
            <w:hideMark/>
          </w:tcPr>
          <w:p w14:paraId="475D9937" w14:textId="752F6ECD" w:rsidR="005E4573" w:rsidRPr="0038404A" w:rsidRDefault="005E4573"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Employers provide workplace adjustments with the support of staff at </w:t>
            </w:r>
            <w:r w:rsidR="0038404A">
              <w:rPr>
                <w:rFonts w:ascii="Calibri" w:hAnsi="Calibri" w:cs="Calibri"/>
                <w:color w:val="000000" w:themeColor="text1"/>
              </w:rPr>
              <w:t>AaA</w:t>
            </w:r>
            <w:r w:rsidRPr="0038404A">
              <w:rPr>
                <w:rFonts w:ascii="Calibri" w:hAnsi="Calibri" w:cs="Calibri"/>
                <w:color w:val="000000" w:themeColor="text1"/>
              </w:rPr>
              <w:t xml:space="preserve"> who </w:t>
            </w:r>
            <w:r w:rsidR="006E6F3A" w:rsidRPr="0038404A">
              <w:rPr>
                <w:rFonts w:ascii="Calibri" w:hAnsi="Calibri" w:cs="Calibri"/>
                <w:color w:val="000000" w:themeColor="text1"/>
              </w:rPr>
              <w:t>can help the employers implement the adjustment appropriately</w:t>
            </w:r>
            <w:r w:rsidR="00554FDC" w:rsidRPr="0038404A">
              <w:rPr>
                <w:rFonts w:ascii="Calibri" w:hAnsi="Calibri" w:cs="Calibri"/>
                <w:color w:val="000000" w:themeColor="text1"/>
              </w:rPr>
              <w:t xml:space="preserve">. Examples of workplace adjustments include changes to working hours, logistics (e.g., how </w:t>
            </w:r>
            <w:r w:rsidR="00554FDC" w:rsidRPr="0038404A">
              <w:rPr>
                <w:rFonts w:ascii="Calibri" w:hAnsi="Calibri" w:cs="Calibri"/>
                <w:color w:val="000000" w:themeColor="text1"/>
              </w:rPr>
              <w:lastRenderedPageBreak/>
              <w:t xml:space="preserve">to travel into the office), communication preferences (e.g., written versus oral communication), reduced social obligation, changes to equipment, changes to the role, changes to clothing or appearance, the physical environment, flexible working location, or changes to supports (e.g., information resources, mentors). </w:t>
            </w:r>
          </w:p>
          <w:p w14:paraId="07167C6E" w14:textId="106A0D8F"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 team at </w:t>
            </w:r>
            <w:r w:rsidR="0038404A">
              <w:rPr>
                <w:rFonts w:ascii="Calibri" w:hAnsi="Calibri" w:cs="Calibri"/>
                <w:color w:val="000000" w:themeColor="text1"/>
              </w:rPr>
              <w:t>AaA</w:t>
            </w:r>
            <w:r w:rsidRPr="0038404A">
              <w:rPr>
                <w:rFonts w:ascii="Calibri" w:hAnsi="Calibri" w:cs="Calibri"/>
                <w:color w:val="000000" w:themeColor="text1"/>
              </w:rPr>
              <w:t xml:space="preserve"> are available throughout the internship to offer support</w:t>
            </w:r>
            <w:r w:rsidR="00554FDC" w:rsidRPr="0038404A">
              <w:rPr>
                <w:rFonts w:ascii="Calibri" w:hAnsi="Calibri" w:cs="Calibri"/>
                <w:color w:val="000000" w:themeColor="text1"/>
              </w:rPr>
              <w:t xml:space="preserve"> by answering questions from employers or providing relevant advice or information</w:t>
            </w:r>
            <w:r w:rsidRPr="0038404A">
              <w:rPr>
                <w:rFonts w:ascii="Calibri" w:hAnsi="Calibri" w:cs="Calibri"/>
                <w:color w:val="000000" w:themeColor="text1"/>
              </w:rPr>
              <w:t xml:space="preserve">.  </w:t>
            </w:r>
          </w:p>
        </w:tc>
      </w:tr>
      <w:tr w:rsidR="0038404A" w:rsidRPr="0038404A" w14:paraId="704F42E3" w14:textId="77777777" w:rsidTr="00222B17">
        <w:trPr>
          <w:trHeight w:val="3675"/>
        </w:trPr>
        <w:tc>
          <w:tcPr>
            <w:tcW w:w="1843" w:type="dxa"/>
            <w:vMerge/>
            <w:tcBorders>
              <w:top w:val="nil"/>
              <w:left w:val="nil"/>
              <w:bottom w:val="single" w:sz="4" w:space="0" w:color="000000"/>
              <w:right w:val="nil"/>
            </w:tcBorders>
            <w:hideMark/>
          </w:tcPr>
          <w:p w14:paraId="77A5CC34"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nil"/>
              <w:right w:val="nil"/>
            </w:tcBorders>
            <w:shd w:val="clear" w:color="auto" w:fill="auto"/>
            <w:hideMark/>
          </w:tcPr>
          <w:p w14:paraId="2E97CE38" w14:textId="6BD2DBE9"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 team at </w:t>
            </w:r>
            <w:r w:rsidR="0038404A">
              <w:rPr>
                <w:rFonts w:ascii="Calibri" w:hAnsi="Calibri" w:cs="Calibri"/>
                <w:color w:val="000000" w:themeColor="text1"/>
              </w:rPr>
              <w:t>AaA</w:t>
            </w:r>
            <w:r w:rsidRPr="0038404A">
              <w:rPr>
                <w:rFonts w:ascii="Calibri" w:hAnsi="Calibri" w:cs="Calibri"/>
                <w:color w:val="000000" w:themeColor="text1"/>
              </w:rPr>
              <w:t xml:space="preserve"> are available for questions or extra assistance for the onboarding process, for regular (but not mandatory) check ins with the intern throughout the placement, and can assist with requesting workplace adjustments or liaising other issues the young people are not comfortable discussing with their line manager. </w:t>
            </w:r>
          </w:p>
        </w:tc>
        <w:tc>
          <w:tcPr>
            <w:tcW w:w="3969" w:type="dxa"/>
            <w:tcBorders>
              <w:top w:val="nil"/>
              <w:left w:val="nil"/>
              <w:bottom w:val="nil"/>
              <w:right w:val="nil"/>
            </w:tcBorders>
            <w:shd w:val="clear" w:color="auto" w:fill="auto"/>
            <w:hideMark/>
          </w:tcPr>
          <w:p w14:paraId="10CF0068" w14:textId="4F46C5C2"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The </w:t>
            </w:r>
            <w:r w:rsidR="0038404A">
              <w:rPr>
                <w:rFonts w:ascii="Calibri" w:hAnsi="Calibri" w:cs="Calibri"/>
                <w:color w:val="000000" w:themeColor="text1"/>
              </w:rPr>
              <w:t>AaA</w:t>
            </w:r>
            <w:r w:rsidRPr="0038404A">
              <w:rPr>
                <w:rFonts w:ascii="Calibri" w:hAnsi="Calibri" w:cs="Calibri"/>
                <w:color w:val="000000" w:themeColor="text1"/>
              </w:rPr>
              <w:t xml:space="preserve"> team can also act as a liaison between the intern and the employer/s for any issues, such as requesting or implementing workplace adjustments. </w:t>
            </w:r>
          </w:p>
        </w:tc>
      </w:tr>
      <w:tr w:rsidR="0038404A" w:rsidRPr="0038404A" w14:paraId="6BA7931B" w14:textId="77777777" w:rsidTr="00222B17">
        <w:trPr>
          <w:trHeight w:val="1008"/>
        </w:trPr>
        <w:tc>
          <w:tcPr>
            <w:tcW w:w="1843" w:type="dxa"/>
            <w:vMerge/>
            <w:tcBorders>
              <w:top w:val="nil"/>
              <w:left w:val="nil"/>
              <w:bottom w:val="nil"/>
              <w:right w:val="nil"/>
            </w:tcBorders>
            <w:hideMark/>
          </w:tcPr>
          <w:p w14:paraId="2BC5E5A5" w14:textId="77777777" w:rsidR="0037524D" w:rsidRPr="0038404A" w:rsidRDefault="0037524D" w:rsidP="00222B17">
            <w:pPr>
              <w:spacing w:line="276" w:lineRule="auto"/>
              <w:rPr>
                <w:rFonts w:ascii="Calibri" w:hAnsi="Calibri" w:cs="Calibri"/>
                <w:b/>
                <w:bCs/>
                <w:color w:val="000000" w:themeColor="text1"/>
              </w:rPr>
            </w:pPr>
          </w:p>
        </w:tc>
        <w:tc>
          <w:tcPr>
            <w:tcW w:w="3969" w:type="dxa"/>
            <w:tcBorders>
              <w:top w:val="nil"/>
              <w:left w:val="nil"/>
              <w:bottom w:val="nil"/>
              <w:right w:val="nil"/>
            </w:tcBorders>
            <w:shd w:val="clear" w:color="auto" w:fill="auto"/>
            <w:hideMark/>
          </w:tcPr>
          <w:p w14:paraId="6207A310" w14:textId="2A2F8BAE"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 xml:space="preserve">At the end of the internship, there is a final check-in with the team from </w:t>
            </w:r>
            <w:r w:rsidR="0038404A">
              <w:rPr>
                <w:rFonts w:ascii="Calibri" w:hAnsi="Calibri" w:cs="Calibri"/>
                <w:color w:val="000000" w:themeColor="text1"/>
              </w:rPr>
              <w:t>AaA</w:t>
            </w:r>
            <w:r w:rsidRPr="0038404A">
              <w:rPr>
                <w:rFonts w:ascii="Calibri" w:hAnsi="Calibri" w:cs="Calibri"/>
                <w:color w:val="000000" w:themeColor="text1"/>
              </w:rPr>
              <w:t xml:space="preserve"> to review the time on the internship. </w:t>
            </w:r>
          </w:p>
        </w:tc>
        <w:tc>
          <w:tcPr>
            <w:tcW w:w="3969" w:type="dxa"/>
            <w:tcBorders>
              <w:top w:val="nil"/>
              <w:left w:val="nil"/>
              <w:bottom w:val="nil"/>
              <w:right w:val="nil"/>
            </w:tcBorders>
            <w:shd w:val="clear" w:color="auto" w:fill="auto"/>
            <w:noWrap/>
            <w:hideMark/>
          </w:tcPr>
          <w:p w14:paraId="5A077886" w14:textId="77777777" w:rsidR="0037524D" w:rsidRPr="0038404A" w:rsidRDefault="0037524D" w:rsidP="00222B17">
            <w:pPr>
              <w:spacing w:line="276" w:lineRule="auto"/>
              <w:rPr>
                <w:rFonts w:ascii="Calibri" w:hAnsi="Calibri" w:cs="Calibri"/>
                <w:color w:val="000000" w:themeColor="text1"/>
              </w:rPr>
            </w:pPr>
            <w:r w:rsidRPr="0038404A">
              <w:rPr>
                <w:rFonts w:ascii="Calibri" w:hAnsi="Calibri" w:cs="Calibri"/>
                <w:color w:val="000000" w:themeColor="text1"/>
              </w:rPr>
              <w:t> </w:t>
            </w:r>
          </w:p>
        </w:tc>
      </w:tr>
      <w:tr w:rsidR="0037524D" w:rsidRPr="0038404A" w14:paraId="2C72CE0E" w14:textId="77777777" w:rsidTr="00222B17">
        <w:trPr>
          <w:trHeight w:val="1008"/>
        </w:trPr>
        <w:tc>
          <w:tcPr>
            <w:tcW w:w="1843" w:type="dxa"/>
            <w:tcBorders>
              <w:top w:val="single" w:sz="4" w:space="0" w:color="auto"/>
              <w:left w:val="nil"/>
              <w:bottom w:val="single" w:sz="4" w:space="0" w:color="000000"/>
              <w:right w:val="nil"/>
            </w:tcBorders>
          </w:tcPr>
          <w:p w14:paraId="16C35844" w14:textId="77777777" w:rsidR="0037524D" w:rsidRPr="0038404A" w:rsidRDefault="0037524D" w:rsidP="00222B17">
            <w:pPr>
              <w:spacing w:line="276" w:lineRule="auto"/>
              <w:rPr>
                <w:rFonts w:ascii="Calibri" w:hAnsi="Calibri" w:cs="Calibri"/>
                <w:b/>
                <w:bCs/>
                <w:color w:val="000000" w:themeColor="text1"/>
              </w:rPr>
            </w:pPr>
            <w:r w:rsidRPr="0038404A">
              <w:rPr>
                <w:rFonts w:ascii="Calibri" w:hAnsi="Calibri" w:cs="Calibri"/>
                <w:b/>
                <w:bCs/>
                <w:color w:val="000000" w:themeColor="text1"/>
              </w:rPr>
              <w:t>After the internship</w:t>
            </w:r>
          </w:p>
        </w:tc>
        <w:tc>
          <w:tcPr>
            <w:tcW w:w="3969" w:type="dxa"/>
            <w:tcBorders>
              <w:top w:val="single" w:sz="4" w:space="0" w:color="auto"/>
              <w:left w:val="nil"/>
              <w:bottom w:val="single" w:sz="4" w:space="0" w:color="auto"/>
              <w:right w:val="nil"/>
            </w:tcBorders>
            <w:shd w:val="clear" w:color="auto" w:fill="auto"/>
          </w:tcPr>
          <w:p w14:paraId="5F1DDA14" w14:textId="77777777" w:rsidR="0037524D" w:rsidRPr="0038404A" w:rsidRDefault="0037524D" w:rsidP="00222B17">
            <w:pPr>
              <w:pStyle w:val="ListParagraph"/>
              <w:numPr>
                <w:ilvl w:val="0"/>
                <w:numId w:val="2"/>
              </w:numPr>
              <w:spacing w:line="276" w:lineRule="auto"/>
              <w:rPr>
                <w:rFonts w:ascii="Calibri" w:hAnsi="Calibri" w:cs="Calibri"/>
                <w:color w:val="000000" w:themeColor="text1"/>
              </w:rPr>
            </w:pPr>
            <w:r w:rsidRPr="0038404A">
              <w:rPr>
                <w:rFonts w:ascii="Calibri" w:hAnsi="Calibri" w:cs="Calibri"/>
                <w:color w:val="000000" w:themeColor="text1"/>
              </w:rPr>
              <w:t>The young people are offered access to careers meeting with a careers’ advisor.</w:t>
            </w:r>
          </w:p>
        </w:tc>
        <w:tc>
          <w:tcPr>
            <w:tcW w:w="3969" w:type="dxa"/>
            <w:tcBorders>
              <w:top w:val="single" w:sz="4" w:space="0" w:color="auto"/>
              <w:left w:val="nil"/>
              <w:bottom w:val="single" w:sz="4" w:space="0" w:color="auto"/>
              <w:right w:val="nil"/>
            </w:tcBorders>
            <w:shd w:val="clear" w:color="auto" w:fill="auto"/>
            <w:noWrap/>
          </w:tcPr>
          <w:p w14:paraId="17442602" w14:textId="77777777" w:rsidR="0037524D" w:rsidRPr="0038404A" w:rsidRDefault="0037524D" w:rsidP="00222B17">
            <w:pPr>
              <w:spacing w:line="276" w:lineRule="auto"/>
              <w:rPr>
                <w:rFonts w:ascii="Calibri" w:hAnsi="Calibri" w:cs="Calibri"/>
                <w:color w:val="000000" w:themeColor="text1"/>
              </w:rPr>
            </w:pPr>
          </w:p>
        </w:tc>
      </w:tr>
    </w:tbl>
    <w:p w14:paraId="4B57B2D2" w14:textId="77777777" w:rsidR="0037524D" w:rsidRPr="0038404A" w:rsidRDefault="0037524D">
      <w:pPr>
        <w:rPr>
          <w:color w:val="000000" w:themeColor="text1"/>
        </w:rPr>
      </w:pPr>
    </w:p>
    <w:p w14:paraId="7E7403EB" w14:textId="77777777" w:rsidR="0037524D" w:rsidRPr="0038404A" w:rsidRDefault="0037524D">
      <w:pPr>
        <w:rPr>
          <w:color w:val="000000" w:themeColor="text1"/>
        </w:rPr>
      </w:pPr>
    </w:p>
    <w:sectPr w:rsidR="0037524D" w:rsidRPr="003840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66220"/>
    <w:multiLevelType w:val="hybridMultilevel"/>
    <w:tmpl w:val="73C01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8D03DCB"/>
    <w:multiLevelType w:val="hybridMultilevel"/>
    <w:tmpl w:val="79868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63A2E3B"/>
    <w:multiLevelType w:val="hybridMultilevel"/>
    <w:tmpl w:val="72B27C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73794372">
    <w:abstractNumId w:val="1"/>
  </w:num>
  <w:num w:numId="2" w16cid:durableId="1186363597">
    <w:abstractNumId w:val="0"/>
  </w:num>
  <w:num w:numId="3" w16cid:durableId="1039862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4D"/>
    <w:rsid w:val="000A2BF5"/>
    <w:rsid w:val="00222B17"/>
    <w:rsid w:val="00243940"/>
    <w:rsid w:val="002C4CB0"/>
    <w:rsid w:val="00331B20"/>
    <w:rsid w:val="0037524D"/>
    <w:rsid w:val="0038404A"/>
    <w:rsid w:val="00541853"/>
    <w:rsid w:val="00545CCC"/>
    <w:rsid w:val="00554FDC"/>
    <w:rsid w:val="005E4573"/>
    <w:rsid w:val="006E6F3A"/>
    <w:rsid w:val="00C871E4"/>
    <w:rsid w:val="00C9416D"/>
    <w:rsid w:val="00FC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4397"/>
  <w15:chartTrackingRefBased/>
  <w15:docId w15:val="{6D2CA707-0A10-634A-AE45-6F2214D2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7524D"/>
    <w:rPr>
      <w:sz w:val="16"/>
      <w:szCs w:val="16"/>
    </w:rPr>
  </w:style>
  <w:style w:type="paragraph" w:styleId="CommentText">
    <w:name w:val="annotation text"/>
    <w:basedOn w:val="Normal"/>
    <w:link w:val="CommentTextChar"/>
    <w:uiPriority w:val="99"/>
    <w:unhideWhenUsed/>
    <w:rsid w:val="000A2BF5"/>
    <w:rPr>
      <w:sz w:val="20"/>
      <w:szCs w:val="20"/>
    </w:rPr>
  </w:style>
  <w:style w:type="character" w:customStyle="1" w:styleId="CommentTextChar">
    <w:name w:val="Comment Text Char"/>
    <w:basedOn w:val="DefaultParagraphFont"/>
    <w:link w:val="CommentText"/>
    <w:uiPriority w:val="99"/>
    <w:rsid w:val="000A2BF5"/>
    <w:rPr>
      <w:sz w:val="20"/>
      <w:szCs w:val="20"/>
    </w:rPr>
  </w:style>
  <w:style w:type="paragraph" w:styleId="CommentSubject">
    <w:name w:val="annotation subject"/>
    <w:basedOn w:val="CommentText"/>
    <w:next w:val="CommentText"/>
    <w:link w:val="CommentSubjectChar"/>
    <w:uiPriority w:val="99"/>
    <w:semiHidden/>
    <w:unhideWhenUsed/>
    <w:rsid w:val="000A2BF5"/>
    <w:rPr>
      <w:b/>
      <w:bCs/>
    </w:rPr>
  </w:style>
  <w:style w:type="character" w:customStyle="1" w:styleId="CommentSubjectChar">
    <w:name w:val="Comment Subject Char"/>
    <w:basedOn w:val="CommentTextChar"/>
    <w:link w:val="CommentSubject"/>
    <w:uiPriority w:val="99"/>
    <w:semiHidden/>
    <w:rsid w:val="000A2BF5"/>
    <w:rPr>
      <w:b/>
      <w:bCs/>
      <w:sz w:val="20"/>
      <w:szCs w:val="20"/>
    </w:rPr>
  </w:style>
  <w:style w:type="paragraph" w:styleId="Revision">
    <w:name w:val="Revision"/>
    <w:hidden/>
    <w:uiPriority w:val="99"/>
    <w:semiHidden/>
    <w:rsid w:val="00222B17"/>
  </w:style>
  <w:style w:type="paragraph" w:styleId="ListParagraph">
    <w:name w:val="List Paragraph"/>
    <w:basedOn w:val="Normal"/>
    <w:uiPriority w:val="34"/>
    <w:qFormat/>
    <w:rsid w:val="00222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5657A7BF36064A9D947492BECD904B" ma:contentTypeVersion="16" ma:contentTypeDescription="Create a new document." ma:contentTypeScope="" ma:versionID="a097485085b9e86967ef1c49d2103d97">
  <xsd:schema xmlns:xsd="http://www.w3.org/2001/XMLSchema" xmlns:xs="http://www.w3.org/2001/XMLSchema" xmlns:p="http://schemas.microsoft.com/office/2006/metadata/properties" xmlns:ns2="afb52804-9a6d-4fd7-9450-6190198db254" xmlns:ns3="4decd399-cb45-4891-b426-67079610ebb6" targetNamespace="http://schemas.microsoft.com/office/2006/metadata/properties" ma:root="true" ma:fieldsID="155ca71efc2e58023819cc99d7dccabf" ns2:_="" ns3:_="">
    <xsd:import namespace="afb52804-9a6d-4fd7-9450-6190198db254"/>
    <xsd:import namespace="4decd399-cb45-4891-b426-67079610eb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b52804-9a6d-4fd7-9450-6190198db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1580137-4ab1-4d54-8160-c1b72fa6f2b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ecd399-cb45-4891-b426-67079610eb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69eee8-28e5-41b3-990c-abe944a6a92b}" ma:internalName="TaxCatchAll" ma:showField="CatchAllData" ma:web="4decd399-cb45-4891-b426-67079610e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1A46C-A6B9-44CA-A7E6-99CD106D5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b52804-9a6d-4fd7-9450-6190198db254"/>
    <ds:schemaRef ds:uri="4decd399-cb45-4891-b426-67079610e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14F28-5058-4D2F-A77A-E0D8646A5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Ashworth</dc:creator>
  <cp:keywords/>
  <dc:description/>
  <cp:lastModifiedBy>Maria Ashworth</cp:lastModifiedBy>
  <cp:revision>2</cp:revision>
  <dcterms:created xsi:type="dcterms:W3CDTF">2023-10-30T13:26:00Z</dcterms:created>
  <dcterms:modified xsi:type="dcterms:W3CDTF">2023-10-30T13:26:00Z</dcterms:modified>
</cp:coreProperties>
</file>