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36FC" w14:textId="77777777" w:rsidR="00424AF3" w:rsidRDefault="00424AF3" w:rsidP="00424AF3">
      <w:pPr>
        <w:autoSpaceDE w:val="0"/>
        <w:autoSpaceDN w:val="0"/>
        <w:adjustRightInd w:val="0"/>
        <w:spacing w:after="0" w:line="480" w:lineRule="auto"/>
        <w:rPr>
          <w:rFonts w:ascii="Arial" w:eastAsia="OTNEJMQuadraat" w:hAnsi="Arial" w:cs="Arial"/>
          <w:b/>
          <w:sz w:val="24"/>
          <w:szCs w:val="24"/>
          <w:lang w:val="en-US"/>
        </w:rPr>
      </w:pPr>
    </w:p>
    <w:p w14:paraId="6D6A85F9" w14:textId="33F5681C" w:rsidR="00893F61" w:rsidRPr="000F32A7" w:rsidRDefault="00893F61" w:rsidP="00893F61">
      <w:pPr>
        <w:autoSpaceDE w:val="0"/>
        <w:autoSpaceDN w:val="0"/>
        <w:adjustRightInd w:val="0"/>
        <w:spacing w:after="0" w:line="480" w:lineRule="auto"/>
        <w:jc w:val="center"/>
        <w:rPr>
          <w:rFonts w:ascii="Arial" w:eastAsia="OTNEJMQuadraat" w:hAnsi="Arial" w:cs="Arial"/>
          <w:b/>
          <w:sz w:val="24"/>
          <w:szCs w:val="24"/>
          <w:lang w:val="en-US"/>
        </w:rPr>
      </w:pPr>
      <w:r w:rsidRPr="000F32A7">
        <w:rPr>
          <w:rFonts w:ascii="Arial" w:eastAsia="OTNEJMQuadraat" w:hAnsi="Arial" w:cs="Arial"/>
          <w:b/>
          <w:sz w:val="24"/>
          <w:szCs w:val="24"/>
          <w:lang w:val="en-US"/>
        </w:rPr>
        <w:t>Supplementary Appendix</w:t>
      </w:r>
      <w:r w:rsidR="00424AF3">
        <w:rPr>
          <w:rFonts w:ascii="Arial" w:eastAsia="OTNEJMQuadraat" w:hAnsi="Arial" w:cs="Arial"/>
          <w:b/>
          <w:sz w:val="24"/>
          <w:szCs w:val="24"/>
          <w:lang w:val="en-US"/>
        </w:rPr>
        <w:t>_R2 version</w:t>
      </w:r>
    </w:p>
    <w:p w14:paraId="2AA29F30" w14:textId="77777777" w:rsidR="00893F61" w:rsidRPr="000F32A7" w:rsidRDefault="00893F61" w:rsidP="00893F61">
      <w:pPr>
        <w:autoSpaceDE w:val="0"/>
        <w:autoSpaceDN w:val="0"/>
        <w:adjustRightInd w:val="0"/>
        <w:spacing w:after="0" w:line="480" w:lineRule="auto"/>
        <w:rPr>
          <w:rFonts w:ascii="Arial" w:eastAsia="OTNEJMQuadraat" w:hAnsi="Arial" w:cs="Arial"/>
          <w:sz w:val="24"/>
          <w:szCs w:val="24"/>
          <w:lang w:val="en-US"/>
        </w:rPr>
      </w:pPr>
    </w:p>
    <w:p w14:paraId="3BC1C67C" w14:textId="77777777" w:rsidR="00893F61" w:rsidRPr="000F32A7" w:rsidRDefault="00893F61" w:rsidP="00893F61">
      <w:pPr>
        <w:autoSpaceDE w:val="0"/>
        <w:autoSpaceDN w:val="0"/>
        <w:adjustRightInd w:val="0"/>
        <w:spacing w:after="0" w:line="480" w:lineRule="auto"/>
        <w:rPr>
          <w:rFonts w:ascii="Arial" w:eastAsia="OTNEJMQuadraat" w:hAnsi="Arial" w:cs="Arial"/>
          <w:sz w:val="24"/>
          <w:szCs w:val="24"/>
          <w:lang w:val="en-US"/>
        </w:rPr>
      </w:pPr>
      <w:r w:rsidRPr="000F32A7">
        <w:rPr>
          <w:rFonts w:ascii="Arial" w:eastAsia="OTNEJMQuadraat" w:hAnsi="Arial" w:cs="Arial"/>
          <w:sz w:val="24"/>
          <w:szCs w:val="24"/>
          <w:lang w:val="en-US"/>
        </w:rPr>
        <w:t>This appendix has been provided by the authors to give readers additional information about their work.</w:t>
      </w:r>
    </w:p>
    <w:p w14:paraId="13E858EB" w14:textId="77777777" w:rsidR="00893F61" w:rsidRPr="00F33119" w:rsidRDefault="00893F61" w:rsidP="00893F61">
      <w:pPr>
        <w:autoSpaceDE w:val="0"/>
        <w:autoSpaceDN w:val="0"/>
        <w:adjustRightInd w:val="0"/>
        <w:spacing w:after="0" w:line="480" w:lineRule="auto"/>
        <w:rPr>
          <w:rFonts w:ascii="Arial" w:eastAsia="OTNEJMQuadraat" w:hAnsi="Arial" w:cs="Arial"/>
          <w:sz w:val="24"/>
          <w:szCs w:val="24"/>
          <w:lang w:val="en-US"/>
        </w:rPr>
        <w:sectPr w:rsidR="00893F61" w:rsidRPr="00F33119" w:rsidSect="00380921">
          <w:headerReference w:type="default" r:id="rId9"/>
          <w:pgSz w:w="11906" w:h="16838"/>
          <w:pgMar w:top="720" w:right="720" w:bottom="720" w:left="720" w:header="708" w:footer="708" w:gutter="0"/>
          <w:cols w:space="708"/>
          <w:docGrid w:linePitch="360"/>
        </w:sectPr>
      </w:pPr>
      <w:r w:rsidRPr="000F32A7">
        <w:rPr>
          <w:rFonts w:ascii="Arial" w:eastAsia="OTNEJMQuadraat" w:hAnsi="Arial" w:cs="Arial"/>
          <w:sz w:val="24"/>
          <w:szCs w:val="24"/>
          <w:lang w:val="en-US"/>
        </w:rPr>
        <w:t>Supplement to</w:t>
      </w:r>
      <w:r>
        <w:rPr>
          <w:rFonts w:ascii="Arial" w:eastAsia="OTNEJMQuadraat" w:hAnsi="Arial" w:cs="Arial"/>
          <w:sz w:val="24"/>
          <w:szCs w:val="24"/>
          <w:lang w:val="en-US"/>
        </w:rPr>
        <w:t>:</w:t>
      </w:r>
      <w:r w:rsidRPr="0022113F">
        <w:rPr>
          <w:rFonts w:ascii="Arial" w:hAnsi="Arial" w:cs="Arial"/>
          <w:sz w:val="24"/>
          <w:szCs w:val="24"/>
          <w:lang w:val="en-US"/>
        </w:rPr>
        <w:t xml:space="preserve"> </w:t>
      </w:r>
      <w:r w:rsidRPr="001F5FEF">
        <w:rPr>
          <w:rFonts w:ascii="Arial" w:hAnsi="Arial" w:cs="Arial"/>
          <w:sz w:val="24"/>
          <w:szCs w:val="24"/>
          <w:lang w:val="en-US"/>
        </w:rPr>
        <w:t>European Association for the Study of the Liver</w:t>
      </w:r>
      <w:r w:rsidRPr="000F32A7">
        <w:rPr>
          <w:rFonts w:ascii="Arial" w:eastAsia="OTNEJMQuadraat" w:hAnsi="Arial" w:cs="Arial"/>
          <w:sz w:val="24"/>
          <w:szCs w:val="24"/>
          <w:lang w:val="en-US"/>
        </w:rPr>
        <w:t xml:space="preserve">: </w:t>
      </w:r>
      <w:r w:rsidRPr="001F5FEF">
        <w:rPr>
          <w:rFonts w:ascii="Arial" w:hAnsi="Arial" w:cs="Arial"/>
          <w:b/>
          <w:sz w:val="24"/>
          <w:szCs w:val="24"/>
          <w:lang w:val="en-US"/>
        </w:rPr>
        <w:t>EASL Clinical Practice Guidelines on acute-on-chronic liver failure</w:t>
      </w:r>
    </w:p>
    <w:p w14:paraId="53A7E8FD" w14:textId="77777777" w:rsidR="00893F61" w:rsidRDefault="00893F61" w:rsidP="00893F61">
      <w:pPr>
        <w:rPr>
          <w:rFonts w:ascii="Arial" w:hAnsi="Arial" w:cs="Arial"/>
          <w:sz w:val="24"/>
          <w:szCs w:val="24"/>
          <w:lang w:val="en-US"/>
        </w:rPr>
      </w:pPr>
    </w:p>
    <w:p w14:paraId="6BA225E6" w14:textId="77777777" w:rsidR="00893F61" w:rsidRPr="000F32A7" w:rsidRDefault="00893F61" w:rsidP="00893F61">
      <w:pPr>
        <w:spacing w:after="0" w:line="360" w:lineRule="auto"/>
        <w:jc w:val="center"/>
        <w:rPr>
          <w:rFonts w:ascii="Arial" w:hAnsi="Arial" w:cs="Arial"/>
          <w:b/>
          <w:color w:val="000000" w:themeColor="text1"/>
          <w:sz w:val="24"/>
          <w:szCs w:val="24"/>
          <w:lang w:val="en-US"/>
        </w:rPr>
      </w:pPr>
      <w:r w:rsidRPr="000F32A7">
        <w:rPr>
          <w:rFonts w:ascii="Arial" w:hAnsi="Arial" w:cs="Arial"/>
          <w:b/>
          <w:color w:val="000000" w:themeColor="text1"/>
          <w:sz w:val="24"/>
          <w:szCs w:val="24"/>
          <w:lang w:val="en-US"/>
        </w:rPr>
        <w:t>Table of Content</w:t>
      </w:r>
    </w:p>
    <w:tbl>
      <w:tblPr>
        <w:tblStyle w:val="TableGrid"/>
        <w:tblW w:w="10768" w:type="dxa"/>
        <w:tblLook w:val="04A0" w:firstRow="1" w:lastRow="0" w:firstColumn="1" w:lastColumn="0" w:noHBand="0" w:noVBand="1"/>
      </w:tblPr>
      <w:tblGrid>
        <w:gridCol w:w="9493"/>
        <w:gridCol w:w="1275"/>
      </w:tblGrid>
      <w:tr w:rsidR="00893F61" w:rsidRPr="000F32A7" w14:paraId="37D1ACFD" w14:textId="77777777" w:rsidTr="00CF0108">
        <w:tc>
          <w:tcPr>
            <w:tcW w:w="9493" w:type="dxa"/>
          </w:tcPr>
          <w:p w14:paraId="4694C949" w14:textId="77777777" w:rsidR="00893F61" w:rsidRPr="000F32A7" w:rsidRDefault="00893F61" w:rsidP="00CF0108">
            <w:pPr>
              <w:spacing w:line="360" w:lineRule="auto"/>
              <w:rPr>
                <w:rFonts w:ascii="Arial" w:hAnsi="Arial" w:cs="Arial"/>
                <w:color w:val="000000" w:themeColor="text1"/>
                <w:sz w:val="24"/>
                <w:szCs w:val="24"/>
                <w:lang w:val="en-US"/>
              </w:rPr>
            </w:pPr>
            <w:r w:rsidRPr="000F32A7">
              <w:rPr>
                <w:rFonts w:ascii="Arial" w:hAnsi="Arial" w:cs="Arial"/>
                <w:color w:val="000000" w:themeColor="text1"/>
                <w:sz w:val="24"/>
                <w:szCs w:val="24"/>
                <w:lang w:val="en-US"/>
              </w:rPr>
              <w:t>Document</w:t>
            </w:r>
          </w:p>
        </w:tc>
        <w:tc>
          <w:tcPr>
            <w:tcW w:w="1275" w:type="dxa"/>
          </w:tcPr>
          <w:p w14:paraId="54FAE28A" w14:textId="77777777" w:rsidR="00893F61" w:rsidRPr="000F32A7" w:rsidRDefault="00893F61" w:rsidP="00CF0108">
            <w:pPr>
              <w:spacing w:line="360" w:lineRule="auto"/>
              <w:rPr>
                <w:rFonts w:ascii="Arial" w:hAnsi="Arial" w:cs="Arial"/>
                <w:color w:val="000000" w:themeColor="text1"/>
                <w:sz w:val="24"/>
                <w:szCs w:val="24"/>
                <w:lang w:val="en-US"/>
              </w:rPr>
            </w:pPr>
            <w:r w:rsidRPr="000F32A7">
              <w:rPr>
                <w:rFonts w:ascii="Arial" w:hAnsi="Arial" w:cs="Arial"/>
                <w:color w:val="000000" w:themeColor="text1"/>
                <w:sz w:val="24"/>
                <w:szCs w:val="24"/>
                <w:lang w:val="en-US"/>
              </w:rPr>
              <w:t>Pages</w:t>
            </w:r>
          </w:p>
        </w:tc>
      </w:tr>
      <w:tr w:rsidR="00152A69" w:rsidRPr="000F32A7" w14:paraId="44DCFB46" w14:textId="77777777" w:rsidTr="00CF0108">
        <w:tc>
          <w:tcPr>
            <w:tcW w:w="9493" w:type="dxa"/>
          </w:tcPr>
          <w:p w14:paraId="01E62C1F" w14:textId="77777777" w:rsidR="00152A69" w:rsidRPr="000F32A7" w:rsidRDefault="00152A69" w:rsidP="00CF0108">
            <w:pPr>
              <w:spacing w:line="360" w:lineRule="auto"/>
              <w:rPr>
                <w:rFonts w:ascii="Arial" w:hAnsi="Arial" w:cs="Arial"/>
                <w:color w:val="000000" w:themeColor="text1"/>
                <w:sz w:val="24"/>
                <w:szCs w:val="24"/>
                <w:lang w:val="en-US"/>
              </w:rPr>
            </w:pPr>
            <w:r w:rsidRPr="0038192C">
              <w:rPr>
                <w:rFonts w:ascii="Arial" w:hAnsi="Arial" w:cs="Arial"/>
                <w:color w:val="FF0000"/>
                <w:sz w:val="24"/>
                <w:szCs w:val="24"/>
                <w:lang w:val="en-US"/>
              </w:rPr>
              <w:t xml:space="preserve">Supplemental </w:t>
            </w:r>
            <w:r w:rsidR="00B4251D">
              <w:rPr>
                <w:rFonts w:ascii="Arial" w:hAnsi="Arial" w:cs="Arial"/>
                <w:color w:val="FF0000"/>
                <w:sz w:val="24"/>
                <w:szCs w:val="24"/>
                <w:lang w:val="en-US"/>
              </w:rPr>
              <w:t xml:space="preserve">questions, </w:t>
            </w:r>
            <w:r w:rsidRPr="0038192C">
              <w:rPr>
                <w:rFonts w:ascii="Arial" w:hAnsi="Arial" w:cs="Arial"/>
                <w:color w:val="FF0000"/>
                <w:sz w:val="24"/>
                <w:szCs w:val="24"/>
                <w:lang w:val="en-US"/>
              </w:rPr>
              <w:t>recommendations</w:t>
            </w:r>
            <w:r w:rsidR="00481023">
              <w:rPr>
                <w:rFonts w:ascii="Arial" w:hAnsi="Arial" w:cs="Arial"/>
                <w:color w:val="FF0000"/>
                <w:sz w:val="24"/>
                <w:szCs w:val="24"/>
                <w:lang w:val="en-US"/>
              </w:rPr>
              <w:t xml:space="preserve">, </w:t>
            </w:r>
            <w:proofErr w:type="gramStart"/>
            <w:r w:rsidR="00481023">
              <w:rPr>
                <w:rFonts w:ascii="Arial" w:hAnsi="Arial" w:cs="Arial"/>
                <w:color w:val="FF0000"/>
                <w:sz w:val="24"/>
                <w:szCs w:val="24"/>
                <w:lang w:val="en-US"/>
              </w:rPr>
              <w:t>statements</w:t>
            </w:r>
            <w:proofErr w:type="gramEnd"/>
            <w:r w:rsidRPr="0038192C">
              <w:rPr>
                <w:rFonts w:ascii="Arial" w:hAnsi="Arial" w:cs="Arial"/>
                <w:color w:val="FF0000"/>
                <w:sz w:val="24"/>
                <w:szCs w:val="24"/>
                <w:lang w:val="en-US"/>
              </w:rPr>
              <w:t xml:space="preserve"> and </w:t>
            </w:r>
            <w:r w:rsidR="00ED16F8">
              <w:rPr>
                <w:rFonts w:ascii="Arial" w:hAnsi="Arial" w:cs="Arial"/>
                <w:color w:val="FF0000"/>
                <w:sz w:val="24"/>
                <w:szCs w:val="24"/>
                <w:lang w:val="en-US"/>
              </w:rPr>
              <w:t>companion</w:t>
            </w:r>
            <w:r w:rsidR="00481023">
              <w:rPr>
                <w:rFonts w:ascii="Arial" w:hAnsi="Arial" w:cs="Arial"/>
                <w:color w:val="FF0000"/>
                <w:sz w:val="24"/>
                <w:szCs w:val="24"/>
                <w:lang w:val="en-US"/>
              </w:rPr>
              <w:t xml:space="preserve"> </w:t>
            </w:r>
            <w:r w:rsidRPr="0038192C">
              <w:rPr>
                <w:rFonts w:ascii="Arial" w:hAnsi="Arial" w:cs="Arial"/>
                <w:color w:val="FF0000"/>
                <w:sz w:val="24"/>
                <w:szCs w:val="24"/>
                <w:lang w:val="en-US"/>
              </w:rPr>
              <w:t>text</w:t>
            </w:r>
            <w:r w:rsidR="00543CDC">
              <w:rPr>
                <w:rFonts w:ascii="Arial" w:hAnsi="Arial" w:cs="Arial"/>
                <w:color w:val="FF0000"/>
                <w:sz w:val="24"/>
                <w:szCs w:val="24"/>
                <w:lang w:val="en-US"/>
              </w:rPr>
              <w:t>s</w:t>
            </w:r>
          </w:p>
        </w:tc>
        <w:tc>
          <w:tcPr>
            <w:tcW w:w="1275" w:type="dxa"/>
          </w:tcPr>
          <w:p w14:paraId="76375C4D" w14:textId="29361079" w:rsidR="00152A69"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3</w:t>
            </w:r>
          </w:p>
        </w:tc>
      </w:tr>
      <w:tr w:rsidR="00893F61" w:rsidRPr="000F32A7" w14:paraId="709E7CB3" w14:textId="77777777" w:rsidTr="00CF0108">
        <w:tc>
          <w:tcPr>
            <w:tcW w:w="9493" w:type="dxa"/>
          </w:tcPr>
          <w:p w14:paraId="6CA07C3A" w14:textId="77777777" w:rsidR="00893F61" w:rsidRPr="00360E03" w:rsidRDefault="00893F61" w:rsidP="00CF0108">
            <w:pPr>
              <w:spacing w:line="360" w:lineRule="auto"/>
              <w:rPr>
                <w:rFonts w:ascii="Arial" w:hAnsi="Arial" w:cs="Arial"/>
                <w:color w:val="000000" w:themeColor="text1"/>
                <w:sz w:val="24"/>
                <w:szCs w:val="24"/>
                <w:lang w:val="en-US"/>
              </w:rPr>
            </w:pPr>
            <w:r w:rsidRPr="00360E03">
              <w:rPr>
                <w:rFonts w:ascii="Arial" w:hAnsi="Arial" w:cs="Arial"/>
                <w:bCs/>
                <w:sz w:val="24"/>
                <w:szCs w:val="24"/>
                <w:lang w:val="en-US"/>
              </w:rPr>
              <w:t>Table S1. The Chronic Liver Failure-Consortium Organ Failure scoring system</w:t>
            </w:r>
          </w:p>
        </w:tc>
        <w:tc>
          <w:tcPr>
            <w:tcW w:w="1275" w:type="dxa"/>
          </w:tcPr>
          <w:p w14:paraId="63CAA811" w14:textId="4F760883"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14</w:t>
            </w:r>
          </w:p>
        </w:tc>
      </w:tr>
      <w:tr w:rsidR="00893F61" w:rsidRPr="000F32A7" w14:paraId="32F7A92A" w14:textId="77777777" w:rsidTr="00CF0108">
        <w:tc>
          <w:tcPr>
            <w:tcW w:w="9493" w:type="dxa"/>
          </w:tcPr>
          <w:p w14:paraId="0B22C7C8" w14:textId="77777777" w:rsidR="00893F61" w:rsidRPr="00360E03" w:rsidRDefault="00893F61" w:rsidP="00CF0108">
            <w:pPr>
              <w:spacing w:line="360" w:lineRule="auto"/>
              <w:rPr>
                <w:rFonts w:ascii="Arial" w:hAnsi="Arial" w:cs="Arial"/>
                <w:color w:val="000000" w:themeColor="text1"/>
                <w:sz w:val="24"/>
                <w:szCs w:val="24"/>
                <w:lang w:val="en-US"/>
              </w:rPr>
            </w:pPr>
            <w:r w:rsidRPr="00360E03">
              <w:rPr>
                <w:rFonts w:ascii="Arial" w:hAnsi="Arial" w:cs="Arial"/>
                <w:color w:val="000000"/>
                <w:sz w:val="24"/>
                <w:szCs w:val="24"/>
                <w:lang w:val="en-US"/>
              </w:rPr>
              <w:t>Table S2. Stratification of patients with acutely decompensated cirrhosis according to EASL-CLIF criteria</w:t>
            </w:r>
          </w:p>
        </w:tc>
        <w:tc>
          <w:tcPr>
            <w:tcW w:w="1275" w:type="dxa"/>
          </w:tcPr>
          <w:p w14:paraId="5056F4BC" w14:textId="15C376CF"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15</w:t>
            </w:r>
          </w:p>
        </w:tc>
      </w:tr>
      <w:tr w:rsidR="00893F61" w:rsidRPr="000F32A7" w14:paraId="05E7D3A7" w14:textId="77777777" w:rsidTr="00CF0108">
        <w:tc>
          <w:tcPr>
            <w:tcW w:w="9493" w:type="dxa"/>
          </w:tcPr>
          <w:p w14:paraId="62217411" w14:textId="77777777" w:rsidR="00893F61" w:rsidRPr="00360E03" w:rsidRDefault="00893F61" w:rsidP="00CF0108">
            <w:pPr>
              <w:spacing w:line="360" w:lineRule="auto"/>
              <w:rPr>
                <w:rFonts w:ascii="Arial" w:hAnsi="Arial" w:cs="Arial"/>
                <w:bCs/>
                <w:sz w:val="24"/>
                <w:szCs w:val="24"/>
                <w:lang w:val="en-US"/>
              </w:rPr>
            </w:pPr>
            <w:r>
              <w:rPr>
                <w:rFonts w:ascii="Arial" w:hAnsi="Arial" w:cs="Arial"/>
                <w:bCs/>
                <w:sz w:val="24"/>
                <w:szCs w:val="24"/>
                <w:lang w:val="en-US"/>
              </w:rPr>
              <w:t xml:space="preserve">Table S3. </w:t>
            </w:r>
            <w:r w:rsidRPr="00360E03">
              <w:rPr>
                <w:rFonts w:ascii="Arial" w:hAnsi="Arial" w:cs="Arial"/>
                <w:color w:val="000000"/>
                <w:sz w:val="24"/>
                <w:szCs w:val="24"/>
                <w:lang w:val="en-US"/>
              </w:rPr>
              <w:t>Stratification of patients with</w:t>
            </w:r>
            <w:r>
              <w:rPr>
                <w:rFonts w:ascii="Arial" w:hAnsi="Arial" w:cs="Arial"/>
                <w:color w:val="000000"/>
                <w:sz w:val="24"/>
                <w:szCs w:val="24"/>
                <w:lang w:val="en-US"/>
              </w:rPr>
              <w:t xml:space="preserve"> acutely decompensated HBV-related chronic liver disease</w:t>
            </w:r>
            <w:r w:rsidRPr="00360E03">
              <w:rPr>
                <w:rFonts w:ascii="Arial" w:hAnsi="Arial" w:cs="Arial"/>
                <w:color w:val="000000"/>
                <w:sz w:val="24"/>
                <w:szCs w:val="24"/>
                <w:lang w:val="en-US"/>
              </w:rPr>
              <w:t xml:space="preserve"> </w:t>
            </w:r>
            <w:r>
              <w:rPr>
                <w:rFonts w:ascii="Arial" w:hAnsi="Arial" w:cs="Arial"/>
                <w:color w:val="000000"/>
                <w:sz w:val="24"/>
                <w:szCs w:val="24"/>
                <w:lang w:val="en-US"/>
              </w:rPr>
              <w:t xml:space="preserve">according to the </w:t>
            </w:r>
            <w:r w:rsidRPr="00360E03">
              <w:rPr>
                <w:rFonts w:ascii="Arial" w:hAnsi="Arial" w:cs="Arial"/>
                <w:sz w:val="24"/>
                <w:szCs w:val="24"/>
                <w:lang w:val="en-US"/>
              </w:rPr>
              <w:t>Chinese Group on the Study of Severe Hepatitis B (COSSH)</w:t>
            </w:r>
          </w:p>
        </w:tc>
        <w:tc>
          <w:tcPr>
            <w:tcW w:w="1275" w:type="dxa"/>
          </w:tcPr>
          <w:p w14:paraId="386E98C7" w14:textId="34C05681"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16</w:t>
            </w:r>
          </w:p>
        </w:tc>
      </w:tr>
      <w:tr w:rsidR="00893F61" w:rsidRPr="000F32A7" w14:paraId="686053A7" w14:textId="77777777" w:rsidTr="00CF0108">
        <w:tc>
          <w:tcPr>
            <w:tcW w:w="9493" w:type="dxa"/>
          </w:tcPr>
          <w:p w14:paraId="29AF5A7A" w14:textId="77777777" w:rsidR="00893F61" w:rsidRPr="00360E03" w:rsidRDefault="00893F61" w:rsidP="00CF0108">
            <w:pPr>
              <w:spacing w:line="360" w:lineRule="auto"/>
              <w:rPr>
                <w:rFonts w:ascii="Arial" w:hAnsi="Arial" w:cs="Arial"/>
                <w:color w:val="000000" w:themeColor="text1"/>
                <w:sz w:val="24"/>
                <w:szCs w:val="24"/>
                <w:lang w:val="en-US"/>
              </w:rPr>
            </w:pPr>
            <w:r>
              <w:rPr>
                <w:rFonts w:ascii="Arial" w:hAnsi="Arial" w:cs="Arial"/>
                <w:bCs/>
                <w:sz w:val="24"/>
                <w:szCs w:val="24"/>
                <w:lang w:val="en-US"/>
              </w:rPr>
              <w:t>Table S4</w:t>
            </w:r>
            <w:r w:rsidRPr="00360E03">
              <w:rPr>
                <w:rFonts w:ascii="Arial" w:hAnsi="Arial" w:cs="Arial"/>
                <w:bCs/>
                <w:sz w:val="24"/>
                <w:szCs w:val="24"/>
                <w:lang w:val="en-US"/>
              </w:rPr>
              <w:t>.</w:t>
            </w:r>
            <w:r>
              <w:rPr>
                <w:rFonts w:ascii="Arial" w:hAnsi="Arial" w:cs="Arial"/>
                <w:bCs/>
                <w:sz w:val="24"/>
                <w:szCs w:val="24"/>
                <w:lang w:val="en-US"/>
              </w:rPr>
              <w:t xml:space="preserve"> D</w:t>
            </w:r>
            <w:r w:rsidRPr="00360E03">
              <w:rPr>
                <w:rFonts w:ascii="Arial" w:hAnsi="Arial" w:cs="Arial"/>
                <w:bCs/>
                <w:sz w:val="24"/>
                <w:szCs w:val="24"/>
                <w:lang w:val="en-US"/>
              </w:rPr>
              <w:t>efinition of organ system failures by the NACSELD (North American Consortium for the Study of End-stage Liver Disease)</w:t>
            </w:r>
          </w:p>
        </w:tc>
        <w:tc>
          <w:tcPr>
            <w:tcW w:w="1275" w:type="dxa"/>
          </w:tcPr>
          <w:p w14:paraId="472EC5A0" w14:textId="461B3E33"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17</w:t>
            </w:r>
          </w:p>
        </w:tc>
      </w:tr>
      <w:tr w:rsidR="00893F61" w:rsidRPr="000F32A7" w14:paraId="00A8CD97" w14:textId="77777777" w:rsidTr="00CF0108">
        <w:tc>
          <w:tcPr>
            <w:tcW w:w="9493" w:type="dxa"/>
          </w:tcPr>
          <w:p w14:paraId="52762747" w14:textId="77777777" w:rsidR="00893F61" w:rsidRPr="00360E03" w:rsidRDefault="00893F61" w:rsidP="00CF0108">
            <w:pPr>
              <w:spacing w:line="360" w:lineRule="auto"/>
              <w:rPr>
                <w:rFonts w:ascii="Arial" w:hAnsi="Arial" w:cs="Arial"/>
                <w:color w:val="000000" w:themeColor="text1"/>
                <w:sz w:val="24"/>
                <w:szCs w:val="24"/>
                <w:lang w:val="en-US"/>
              </w:rPr>
            </w:pPr>
            <w:r>
              <w:rPr>
                <w:rFonts w:ascii="Arial" w:hAnsi="Arial" w:cs="Arial"/>
                <w:bCs/>
                <w:sz w:val="24"/>
                <w:szCs w:val="24"/>
                <w:lang w:val="en-GB"/>
              </w:rPr>
              <w:t>Table S5</w:t>
            </w:r>
            <w:r w:rsidRPr="00360E03">
              <w:rPr>
                <w:rFonts w:ascii="Arial" w:hAnsi="Arial" w:cs="Arial"/>
                <w:bCs/>
                <w:sz w:val="24"/>
                <w:szCs w:val="24"/>
                <w:lang w:val="en-GB"/>
              </w:rPr>
              <w:t xml:space="preserve">. </w:t>
            </w:r>
            <w:r w:rsidRPr="00360E03">
              <w:rPr>
                <w:rFonts w:ascii="Arial" w:hAnsi="Arial" w:cs="Arial"/>
                <w:sz w:val="24"/>
                <w:szCs w:val="24"/>
                <w:lang w:val="en-US"/>
              </w:rPr>
              <w:t xml:space="preserve">Asian Pacific Association for the Study of the Liver ACLF Research Consortium (AARC) </w:t>
            </w:r>
            <w:r w:rsidRPr="00360E03">
              <w:rPr>
                <w:rFonts w:ascii="Arial" w:hAnsi="Arial" w:cs="Arial"/>
                <w:bCs/>
                <w:sz w:val="24"/>
                <w:szCs w:val="24"/>
                <w:lang w:val="en-GB"/>
              </w:rPr>
              <w:t>scoring system</w:t>
            </w:r>
          </w:p>
        </w:tc>
        <w:tc>
          <w:tcPr>
            <w:tcW w:w="1275" w:type="dxa"/>
          </w:tcPr>
          <w:p w14:paraId="19CDA111" w14:textId="0A7061E4"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18</w:t>
            </w:r>
          </w:p>
        </w:tc>
      </w:tr>
      <w:tr w:rsidR="00893F61" w:rsidRPr="000F32A7" w14:paraId="67DF3C26" w14:textId="77777777" w:rsidTr="00CF0108">
        <w:tc>
          <w:tcPr>
            <w:tcW w:w="9493" w:type="dxa"/>
          </w:tcPr>
          <w:p w14:paraId="66E3C71C" w14:textId="77777777" w:rsidR="00893F61" w:rsidRPr="000F32A7" w:rsidRDefault="00893F61" w:rsidP="00CF0108">
            <w:p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Table S6. </w:t>
            </w:r>
            <w:r>
              <w:rPr>
                <w:rFonts w:ascii="Arial" w:hAnsi="Arial" w:cs="Arial"/>
                <w:sz w:val="24"/>
                <w:szCs w:val="24"/>
                <w:lang w:val="en-US"/>
              </w:rPr>
              <w:t>L</w:t>
            </w:r>
            <w:r w:rsidRPr="007A2B96">
              <w:rPr>
                <w:rFonts w:ascii="Arial" w:hAnsi="Arial" w:cs="Arial"/>
                <w:sz w:val="24"/>
                <w:szCs w:val="24"/>
                <w:lang w:val="en-US"/>
              </w:rPr>
              <w:t xml:space="preserve">ist of drugs that may cause </w:t>
            </w:r>
            <w:r>
              <w:rPr>
                <w:rFonts w:ascii="Arial" w:hAnsi="Arial" w:cs="Arial"/>
                <w:sz w:val="24"/>
                <w:szCs w:val="24"/>
                <w:lang w:val="en-US"/>
              </w:rPr>
              <w:t xml:space="preserve">acute </w:t>
            </w:r>
            <w:r w:rsidRPr="007A2B96">
              <w:rPr>
                <w:rFonts w:ascii="Arial" w:hAnsi="Arial" w:cs="Arial"/>
                <w:sz w:val="24"/>
                <w:szCs w:val="24"/>
                <w:lang w:val="en-US"/>
              </w:rPr>
              <w:t>kidn</w:t>
            </w:r>
            <w:r>
              <w:rPr>
                <w:rFonts w:ascii="Arial" w:hAnsi="Arial" w:cs="Arial"/>
                <w:sz w:val="24"/>
                <w:szCs w:val="24"/>
                <w:lang w:val="en-US"/>
              </w:rPr>
              <w:t>ey injury (separate document)</w:t>
            </w:r>
          </w:p>
        </w:tc>
        <w:tc>
          <w:tcPr>
            <w:tcW w:w="1275" w:type="dxa"/>
          </w:tcPr>
          <w:p w14:paraId="4B5A7249" w14:textId="77777777" w:rsidR="00893F61" w:rsidRPr="000F32A7" w:rsidRDefault="00893F61" w:rsidP="00CF0108">
            <w:p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Separate document</w:t>
            </w:r>
          </w:p>
        </w:tc>
      </w:tr>
      <w:tr w:rsidR="00893F61" w:rsidRPr="000F32A7" w14:paraId="0D45B690" w14:textId="77777777" w:rsidTr="00CF0108">
        <w:tc>
          <w:tcPr>
            <w:tcW w:w="9493" w:type="dxa"/>
          </w:tcPr>
          <w:p w14:paraId="7A1371A4" w14:textId="77777777" w:rsidR="00893F61" w:rsidRPr="00360E03" w:rsidRDefault="00893F61" w:rsidP="00CF0108">
            <w:pPr>
              <w:spacing w:line="360" w:lineRule="auto"/>
              <w:rPr>
                <w:rFonts w:ascii="Arial" w:hAnsi="Arial" w:cs="Arial"/>
                <w:color w:val="000000" w:themeColor="text1"/>
                <w:sz w:val="24"/>
                <w:szCs w:val="24"/>
                <w:lang w:val="en-US"/>
              </w:rPr>
            </w:pPr>
            <w:r>
              <w:rPr>
                <w:rFonts w:ascii="Arial" w:hAnsi="Arial" w:cs="Arial"/>
                <w:bCs/>
                <w:sz w:val="24"/>
                <w:szCs w:val="24"/>
                <w:lang w:val="en-US"/>
              </w:rPr>
              <w:t>Table S7</w:t>
            </w:r>
            <w:r w:rsidRPr="00360E03">
              <w:rPr>
                <w:rFonts w:ascii="Arial" w:hAnsi="Arial" w:cs="Arial"/>
                <w:bCs/>
                <w:sz w:val="24"/>
                <w:szCs w:val="24"/>
                <w:lang w:val="en-US"/>
              </w:rPr>
              <w:t xml:space="preserve">. Organ system assessment with the HBV-SOFA scoring system developed by the </w:t>
            </w:r>
            <w:r w:rsidRPr="00360E03">
              <w:rPr>
                <w:rFonts w:ascii="Arial" w:hAnsi="Arial" w:cs="Arial"/>
                <w:sz w:val="24"/>
                <w:szCs w:val="24"/>
                <w:lang w:val="en-US"/>
              </w:rPr>
              <w:t>Chinese Group on the Study of Severe Hepatitis B (COSSH)</w:t>
            </w:r>
          </w:p>
        </w:tc>
        <w:tc>
          <w:tcPr>
            <w:tcW w:w="1275" w:type="dxa"/>
          </w:tcPr>
          <w:p w14:paraId="56FB99BC" w14:textId="61B8862C"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19</w:t>
            </w:r>
          </w:p>
        </w:tc>
      </w:tr>
      <w:tr w:rsidR="00893F61" w:rsidRPr="000F32A7" w14:paraId="32B0457F" w14:textId="77777777" w:rsidTr="00CF0108">
        <w:tc>
          <w:tcPr>
            <w:tcW w:w="9493" w:type="dxa"/>
          </w:tcPr>
          <w:p w14:paraId="4679700E" w14:textId="77777777" w:rsidR="00893F61" w:rsidRPr="00813461" w:rsidRDefault="00893F61" w:rsidP="00CF0108">
            <w:pPr>
              <w:pStyle w:val="ListParagraph"/>
              <w:spacing w:line="480" w:lineRule="auto"/>
              <w:ind w:left="0"/>
              <w:contextualSpacing w:val="0"/>
              <w:rPr>
                <w:rFonts w:ascii="Arial" w:hAnsi="Arial" w:cs="Arial"/>
                <w:b/>
                <w:bCs/>
                <w:color w:val="FF0000"/>
                <w:sz w:val="24"/>
                <w:szCs w:val="24"/>
                <w:shd w:val="clear" w:color="auto" w:fill="FFFFFF"/>
                <w:lang w:val="en-US" w:eastAsia="es-ES_tradnl"/>
              </w:rPr>
            </w:pPr>
            <w:r w:rsidRPr="00813461">
              <w:rPr>
                <w:rFonts w:ascii="Arial" w:hAnsi="Arial" w:cs="Arial"/>
                <w:bCs/>
                <w:color w:val="FF0000"/>
                <w:sz w:val="24"/>
                <w:szCs w:val="24"/>
                <w:shd w:val="clear" w:color="auto" w:fill="FFFFFF"/>
                <w:lang w:val="en-US" w:eastAsia="es-ES_tradnl"/>
              </w:rPr>
              <w:t>Table S8. General ICU management of ACLF</w:t>
            </w:r>
          </w:p>
        </w:tc>
        <w:tc>
          <w:tcPr>
            <w:tcW w:w="1275" w:type="dxa"/>
          </w:tcPr>
          <w:p w14:paraId="3BCC9656" w14:textId="323902E8"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20</w:t>
            </w:r>
          </w:p>
        </w:tc>
      </w:tr>
      <w:tr w:rsidR="00893F61" w:rsidRPr="000F32A7" w14:paraId="7A855731" w14:textId="77777777" w:rsidTr="00CF0108">
        <w:tc>
          <w:tcPr>
            <w:tcW w:w="9493" w:type="dxa"/>
          </w:tcPr>
          <w:p w14:paraId="2F66F453" w14:textId="77777777" w:rsidR="00893F61" w:rsidRPr="000F32A7" w:rsidRDefault="00893F61" w:rsidP="00CF0108">
            <w:pPr>
              <w:spacing w:line="360" w:lineRule="auto"/>
              <w:rPr>
                <w:rFonts w:ascii="Arial" w:hAnsi="Arial" w:cs="Arial"/>
                <w:color w:val="000000" w:themeColor="text1"/>
                <w:sz w:val="24"/>
                <w:szCs w:val="24"/>
                <w:lang w:val="en-US"/>
              </w:rPr>
            </w:pPr>
            <w:r w:rsidRPr="000F32A7">
              <w:rPr>
                <w:rFonts w:ascii="Arial" w:hAnsi="Arial" w:cs="Arial"/>
                <w:color w:val="000000" w:themeColor="text1"/>
                <w:sz w:val="24"/>
                <w:szCs w:val="24"/>
                <w:lang w:val="en-US"/>
              </w:rPr>
              <w:t>References</w:t>
            </w:r>
          </w:p>
        </w:tc>
        <w:tc>
          <w:tcPr>
            <w:tcW w:w="1275" w:type="dxa"/>
          </w:tcPr>
          <w:p w14:paraId="1BB7F02B" w14:textId="4E6DBB5C" w:rsidR="00893F61" w:rsidRPr="00AC3CD6" w:rsidRDefault="00F30933" w:rsidP="00CF0108">
            <w:pPr>
              <w:spacing w:line="360" w:lineRule="auto"/>
              <w:rPr>
                <w:rFonts w:ascii="Arial" w:hAnsi="Arial" w:cs="Arial"/>
                <w:color w:val="FF0000"/>
                <w:sz w:val="24"/>
                <w:szCs w:val="24"/>
                <w:lang w:val="en-US"/>
              </w:rPr>
            </w:pPr>
            <w:r w:rsidRPr="00AC3CD6">
              <w:rPr>
                <w:rFonts w:ascii="Arial" w:hAnsi="Arial" w:cs="Arial"/>
                <w:color w:val="FF0000"/>
                <w:sz w:val="24"/>
                <w:szCs w:val="24"/>
                <w:lang w:val="en-US"/>
              </w:rPr>
              <w:t>25</w:t>
            </w:r>
          </w:p>
        </w:tc>
      </w:tr>
    </w:tbl>
    <w:p w14:paraId="686EEE21" w14:textId="77777777" w:rsidR="004E502D" w:rsidRDefault="004E502D" w:rsidP="00893F61">
      <w:pPr>
        <w:rPr>
          <w:rFonts w:ascii="Arial" w:hAnsi="Arial" w:cs="Arial"/>
          <w:sz w:val="24"/>
          <w:szCs w:val="24"/>
          <w:lang w:val="en-US"/>
        </w:rPr>
        <w:sectPr w:rsidR="004E502D" w:rsidSect="00380921">
          <w:pgSz w:w="11906" w:h="16838"/>
          <w:pgMar w:top="720" w:right="720" w:bottom="720" w:left="720" w:header="708" w:footer="708" w:gutter="0"/>
          <w:cols w:space="708"/>
          <w:docGrid w:linePitch="360"/>
        </w:sectPr>
      </w:pPr>
    </w:p>
    <w:p w14:paraId="02B26798" w14:textId="77777777" w:rsidR="00893F61" w:rsidRPr="00253B39" w:rsidRDefault="004E502D" w:rsidP="00957C4A">
      <w:pPr>
        <w:spacing w:after="0" w:line="480" w:lineRule="auto"/>
        <w:rPr>
          <w:rFonts w:ascii="Arial" w:hAnsi="Arial" w:cs="Arial"/>
          <w:b/>
          <w:color w:val="FF0000"/>
          <w:sz w:val="24"/>
          <w:szCs w:val="24"/>
          <w:lang w:val="en-US"/>
        </w:rPr>
      </w:pPr>
      <w:r w:rsidRPr="00253B39">
        <w:rPr>
          <w:rFonts w:ascii="Arial" w:hAnsi="Arial" w:cs="Arial"/>
          <w:b/>
          <w:color w:val="FF0000"/>
          <w:sz w:val="24"/>
          <w:szCs w:val="24"/>
          <w:lang w:val="en-US"/>
        </w:rPr>
        <w:lastRenderedPageBreak/>
        <w:t xml:space="preserve">Supplemental </w:t>
      </w:r>
      <w:r w:rsidR="00B4251D">
        <w:rPr>
          <w:rFonts w:ascii="Arial" w:hAnsi="Arial" w:cs="Arial"/>
          <w:b/>
          <w:color w:val="FF0000"/>
          <w:sz w:val="24"/>
          <w:szCs w:val="24"/>
          <w:lang w:val="en-US"/>
        </w:rPr>
        <w:t xml:space="preserve">questions, </w:t>
      </w:r>
      <w:r w:rsidRPr="00253B39">
        <w:rPr>
          <w:rFonts w:ascii="Arial" w:hAnsi="Arial" w:cs="Arial"/>
          <w:b/>
          <w:color w:val="FF0000"/>
          <w:sz w:val="24"/>
          <w:szCs w:val="24"/>
          <w:lang w:val="en-US"/>
        </w:rPr>
        <w:t>recommendations</w:t>
      </w:r>
      <w:r w:rsidR="00F54314" w:rsidRPr="00253B39">
        <w:rPr>
          <w:rFonts w:ascii="Arial" w:hAnsi="Arial" w:cs="Arial"/>
          <w:b/>
          <w:color w:val="FF0000"/>
          <w:sz w:val="24"/>
          <w:szCs w:val="24"/>
          <w:lang w:val="en-US"/>
        </w:rPr>
        <w:t xml:space="preserve">, </w:t>
      </w:r>
      <w:proofErr w:type="gramStart"/>
      <w:r w:rsidR="00F54314" w:rsidRPr="00253B39">
        <w:rPr>
          <w:rFonts w:ascii="Arial" w:hAnsi="Arial" w:cs="Arial"/>
          <w:b/>
          <w:color w:val="FF0000"/>
          <w:sz w:val="24"/>
          <w:szCs w:val="24"/>
          <w:lang w:val="en-US"/>
        </w:rPr>
        <w:t>statements</w:t>
      </w:r>
      <w:proofErr w:type="gramEnd"/>
      <w:r w:rsidRPr="00253B39">
        <w:rPr>
          <w:rFonts w:ascii="Arial" w:hAnsi="Arial" w:cs="Arial"/>
          <w:b/>
          <w:color w:val="FF0000"/>
          <w:sz w:val="24"/>
          <w:szCs w:val="24"/>
          <w:lang w:val="en-US"/>
        </w:rPr>
        <w:t xml:space="preserve"> and </w:t>
      </w:r>
      <w:r w:rsidR="00A50D80">
        <w:rPr>
          <w:rFonts w:ascii="Arial" w:hAnsi="Arial" w:cs="Arial"/>
          <w:b/>
          <w:color w:val="FF0000"/>
          <w:sz w:val="24"/>
          <w:szCs w:val="24"/>
          <w:lang w:val="en-US"/>
        </w:rPr>
        <w:t>companion</w:t>
      </w:r>
      <w:r w:rsidR="00F54314" w:rsidRPr="00253B39">
        <w:rPr>
          <w:rFonts w:ascii="Arial" w:hAnsi="Arial" w:cs="Arial"/>
          <w:b/>
          <w:color w:val="FF0000"/>
          <w:sz w:val="24"/>
          <w:szCs w:val="24"/>
          <w:lang w:val="en-US"/>
        </w:rPr>
        <w:t xml:space="preserve"> </w:t>
      </w:r>
      <w:r w:rsidRPr="00253B39">
        <w:rPr>
          <w:rFonts w:ascii="Arial" w:hAnsi="Arial" w:cs="Arial"/>
          <w:b/>
          <w:color w:val="FF0000"/>
          <w:sz w:val="24"/>
          <w:szCs w:val="24"/>
          <w:lang w:val="en-US"/>
        </w:rPr>
        <w:t>text</w:t>
      </w:r>
      <w:r w:rsidR="00543CDC">
        <w:rPr>
          <w:rFonts w:ascii="Arial" w:hAnsi="Arial" w:cs="Arial"/>
          <w:b/>
          <w:color w:val="FF0000"/>
          <w:sz w:val="24"/>
          <w:szCs w:val="24"/>
          <w:lang w:val="en-US"/>
        </w:rPr>
        <w:t>s</w:t>
      </w:r>
    </w:p>
    <w:p w14:paraId="113CF283" w14:textId="77777777" w:rsidR="004E502D" w:rsidRDefault="004E502D" w:rsidP="00957C4A">
      <w:pPr>
        <w:spacing w:after="0" w:line="480" w:lineRule="auto"/>
        <w:rPr>
          <w:rFonts w:ascii="Arial" w:hAnsi="Arial" w:cs="Arial"/>
          <w:sz w:val="24"/>
          <w:szCs w:val="24"/>
          <w:lang w:val="en-US"/>
        </w:rPr>
      </w:pPr>
    </w:p>
    <w:p w14:paraId="6A303939" w14:textId="77777777" w:rsidR="00FD634D" w:rsidRDefault="00FD634D" w:rsidP="00FD634D">
      <w:pPr>
        <w:pStyle w:val="ListParagraph"/>
        <w:spacing w:after="0" w:line="480" w:lineRule="auto"/>
        <w:ind w:left="0"/>
        <w:contextualSpacing w:val="0"/>
        <w:jc w:val="both"/>
        <w:rPr>
          <w:rFonts w:ascii="Arial" w:hAnsi="Arial" w:cs="Arial"/>
          <w:b/>
          <w:color w:val="FF0000"/>
          <w:sz w:val="24"/>
          <w:szCs w:val="24"/>
          <w:lang w:val="en-US"/>
        </w:rPr>
      </w:pPr>
      <w:r w:rsidRPr="00760F24">
        <w:rPr>
          <w:rFonts w:ascii="Arial" w:hAnsi="Arial" w:cs="Arial"/>
          <w:b/>
          <w:color w:val="FF0000"/>
          <w:sz w:val="24"/>
          <w:szCs w:val="24"/>
          <w:lang w:val="en-US"/>
        </w:rPr>
        <w:t xml:space="preserve">Related to the section entitled: Resuscitation for hypotension requiring vasopressor </w:t>
      </w:r>
      <w:proofErr w:type="gramStart"/>
      <w:r w:rsidRPr="00760F24">
        <w:rPr>
          <w:rFonts w:ascii="Arial" w:hAnsi="Arial" w:cs="Arial"/>
          <w:b/>
          <w:color w:val="FF0000"/>
          <w:sz w:val="24"/>
          <w:szCs w:val="24"/>
          <w:lang w:val="en-US"/>
        </w:rPr>
        <w:t>therapy</w:t>
      </w:r>
      <w:proofErr w:type="gramEnd"/>
    </w:p>
    <w:p w14:paraId="571021F0" w14:textId="77777777" w:rsidR="00543CDC" w:rsidRPr="004554E1" w:rsidRDefault="00543CDC" w:rsidP="004554E1">
      <w:pPr>
        <w:spacing w:after="0" w:line="480" w:lineRule="auto"/>
        <w:jc w:val="both"/>
        <w:rPr>
          <w:rFonts w:ascii="Arial" w:hAnsi="Arial" w:cs="Arial"/>
          <w:b/>
          <w:color w:val="FF0000"/>
          <w:sz w:val="24"/>
          <w:szCs w:val="24"/>
          <w:lang w:val="en-US"/>
        </w:rPr>
      </w:pPr>
      <w:r w:rsidRPr="004554E1">
        <w:rPr>
          <w:rFonts w:ascii="Arial" w:hAnsi="Arial" w:cs="Arial"/>
          <w:b/>
          <w:color w:val="FF0000"/>
          <w:sz w:val="24"/>
          <w:szCs w:val="24"/>
          <w:lang w:val="en-US"/>
        </w:rPr>
        <w:t>Does the use of albumin during the resuscitation process improve outcomes in patients with ACLF who require vasopressors for hypotension?</w:t>
      </w:r>
    </w:p>
    <w:p w14:paraId="20F2D30D" w14:textId="77777777" w:rsidR="00543CDC" w:rsidRPr="004554E1" w:rsidRDefault="00543CDC" w:rsidP="004554E1">
      <w:pPr>
        <w:spacing w:after="0" w:line="480" w:lineRule="auto"/>
        <w:jc w:val="both"/>
        <w:rPr>
          <w:rFonts w:ascii="Arial" w:hAnsi="Arial" w:cs="Arial"/>
          <w:bCs/>
          <w:color w:val="FF0000"/>
          <w:sz w:val="24"/>
          <w:szCs w:val="24"/>
          <w:lang w:val="en-US"/>
        </w:rPr>
      </w:pPr>
    </w:p>
    <w:p w14:paraId="1E974B8D"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Patient and population:</w:t>
      </w:r>
      <w:r w:rsidRPr="004554E1">
        <w:rPr>
          <w:rFonts w:ascii="Arial" w:hAnsi="Arial" w:cs="Arial"/>
          <w:color w:val="FF0000"/>
          <w:sz w:val="24"/>
          <w:szCs w:val="24"/>
          <w:lang w:val="en-US"/>
        </w:rPr>
        <w:t xml:space="preserve"> Patients with ACLF who require vasopressors for </w:t>
      </w:r>
      <w:proofErr w:type="gramStart"/>
      <w:r w:rsidRPr="004554E1">
        <w:rPr>
          <w:rFonts w:ascii="Arial" w:hAnsi="Arial" w:cs="Arial"/>
          <w:color w:val="FF0000"/>
          <w:sz w:val="24"/>
          <w:szCs w:val="24"/>
          <w:lang w:val="en-US"/>
        </w:rPr>
        <w:t>hypotension</w:t>
      </w:r>
      <w:proofErr w:type="gramEnd"/>
    </w:p>
    <w:p w14:paraId="2D3A320C"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Intervention:</w:t>
      </w:r>
      <w:r w:rsidRPr="004554E1">
        <w:rPr>
          <w:rFonts w:ascii="Arial" w:hAnsi="Arial" w:cs="Arial"/>
          <w:color w:val="FF0000"/>
          <w:sz w:val="24"/>
          <w:szCs w:val="24"/>
          <w:lang w:val="en-US"/>
        </w:rPr>
        <w:t xml:space="preserve"> Resuscitation using concentrated human albumin (4-5-20%) </w:t>
      </w:r>
    </w:p>
    <w:p w14:paraId="2C9EB753"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Comparison:</w:t>
      </w:r>
      <w:r w:rsidRPr="004554E1">
        <w:rPr>
          <w:rFonts w:ascii="Arial" w:hAnsi="Arial" w:cs="Arial"/>
          <w:color w:val="FF0000"/>
          <w:sz w:val="24"/>
          <w:szCs w:val="24"/>
          <w:lang w:val="en-US"/>
        </w:rPr>
        <w:t xml:space="preserve"> Crystalloid solutions (balanced and unbalanced fluids)</w:t>
      </w:r>
    </w:p>
    <w:p w14:paraId="5FEBB122" w14:textId="77777777" w:rsidR="00543CDC" w:rsidRPr="004554E1" w:rsidRDefault="00543CDC" w:rsidP="004554E1">
      <w:pPr>
        <w:spacing w:after="0" w:line="480" w:lineRule="auto"/>
        <w:jc w:val="both"/>
        <w:rPr>
          <w:rFonts w:ascii="Arial" w:hAnsi="Arial" w:cs="Arial"/>
          <w:color w:val="FF0000"/>
          <w:sz w:val="24"/>
          <w:szCs w:val="24"/>
          <w:lang w:val="en-US"/>
        </w:rPr>
      </w:pPr>
      <w:r w:rsidRPr="004554E1">
        <w:rPr>
          <w:rFonts w:ascii="Arial" w:hAnsi="Arial" w:cs="Arial"/>
          <w:b/>
          <w:bCs/>
          <w:color w:val="FF0000"/>
          <w:sz w:val="24"/>
          <w:szCs w:val="24"/>
          <w:lang w:val="en-US"/>
        </w:rPr>
        <w:t>Outcome:</w:t>
      </w:r>
      <w:r w:rsidRPr="004554E1">
        <w:rPr>
          <w:rFonts w:ascii="Arial" w:hAnsi="Arial" w:cs="Arial"/>
          <w:color w:val="FF0000"/>
          <w:sz w:val="24"/>
          <w:szCs w:val="24"/>
          <w:lang w:val="en-US"/>
        </w:rPr>
        <w:t xml:space="preserve"> Resolution of shock, AKI, renal-replacement therapy, dynamics of ACLF course (either increases, no change or decreases in ACLF grade) during the first week after admission, 28 and 90-day transplantation-free mortality</w:t>
      </w:r>
    </w:p>
    <w:p w14:paraId="6FF75837" w14:textId="77777777" w:rsidR="00543CDC" w:rsidRPr="004554E1" w:rsidRDefault="00543CDC" w:rsidP="004554E1">
      <w:pPr>
        <w:spacing w:after="0" w:line="480" w:lineRule="auto"/>
        <w:jc w:val="both"/>
        <w:rPr>
          <w:rFonts w:ascii="Arial" w:hAnsi="Arial" w:cs="Arial"/>
          <w:bCs/>
          <w:color w:val="FF0000"/>
          <w:sz w:val="24"/>
          <w:szCs w:val="24"/>
          <w:lang w:val="en-US"/>
        </w:rPr>
      </w:pPr>
    </w:p>
    <w:p w14:paraId="7F002146"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Recommendations</w:t>
      </w:r>
    </w:p>
    <w:p w14:paraId="43097ED4" w14:textId="77777777" w:rsidR="00543CDC" w:rsidRPr="004554E1" w:rsidRDefault="00543CDC" w:rsidP="004554E1">
      <w:pPr>
        <w:pStyle w:val="ListParagraph"/>
        <w:numPr>
          <w:ilvl w:val="0"/>
          <w:numId w:val="6"/>
        </w:numPr>
        <w:spacing w:after="0" w:line="480" w:lineRule="auto"/>
        <w:contextualSpacing w:val="0"/>
        <w:jc w:val="both"/>
        <w:rPr>
          <w:rFonts w:ascii="Arial" w:hAnsi="Arial" w:cs="Arial"/>
          <w:color w:val="FF0000"/>
          <w:sz w:val="24"/>
          <w:szCs w:val="24"/>
          <w:lang w:val="en-US"/>
        </w:rPr>
      </w:pPr>
      <w:r w:rsidRPr="004554E1">
        <w:rPr>
          <w:rFonts w:ascii="Arial" w:hAnsi="Arial" w:cs="Arial"/>
          <w:color w:val="FF0000"/>
          <w:sz w:val="24"/>
          <w:szCs w:val="24"/>
          <w:lang w:val="en-US"/>
        </w:rPr>
        <w:t>In patients with ACLF and hypotension, human albumin or crystalloids should be used for initial fluid therapy (</w:t>
      </w:r>
      <w:r w:rsidRPr="004554E1">
        <w:rPr>
          <w:rFonts w:ascii="Arial" w:hAnsi="Arial" w:cs="Arial"/>
          <w:b/>
          <w:bCs/>
          <w:color w:val="FF0000"/>
          <w:sz w:val="24"/>
          <w:szCs w:val="24"/>
          <w:lang w:val="en-US"/>
        </w:rPr>
        <w:t>LoE 4, strong recommendation, consensus</w:t>
      </w:r>
      <w:r w:rsidRPr="004554E1">
        <w:rPr>
          <w:rFonts w:ascii="Arial" w:hAnsi="Arial" w:cs="Arial"/>
          <w:color w:val="FF0000"/>
          <w:sz w:val="24"/>
          <w:szCs w:val="24"/>
          <w:lang w:val="en-US"/>
        </w:rPr>
        <w:t>).</w:t>
      </w:r>
    </w:p>
    <w:p w14:paraId="5E53635B" w14:textId="77777777" w:rsidR="00543CDC" w:rsidRPr="004554E1" w:rsidRDefault="00543CDC" w:rsidP="004554E1">
      <w:pPr>
        <w:pStyle w:val="ListParagraph"/>
        <w:numPr>
          <w:ilvl w:val="0"/>
          <w:numId w:val="6"/>
        </w:numPr>
        <w:spacing w:after="0" w:line="480" w:lineRule="auto"/>
        <w:contextualSpacing w:val="0"/>
        <w:jc w:val="both"/>
        <w:rPr>
          <w:rFonts w:ascii="Arial" w:hAnsi="Arial" w:cs="Arial"/>
          <w:b/>
          <w:bCs/>
          <w:color w:val="FF0000"/>
          <w:sz w:val="24"/>
          <w:szCs w:val="24"/>
          <w:lang w:val="en-US"/>
        </w:rPr>
      </w:pPr>
      <w:r w:rsidRPr="004554E1">
        <w:rPr>
          <w:rFonts w:ascii="Arial" w:hAnsi="Arial" w:cs="Arial"/>
          <w:color w:val="FF0000"/>
          <w:sz w:val="24"/>
          <w:szCs w:val="24"/>
          <w:lang w:val="en-US"/>
        </w:rPr>
        <w:t>Human albumin is recommended for the treatment of ACLF patients requiring substantial amounts of fluids and vasopressors (</w:t>
      </w:r>
      <w:r w:rsidRPr="004554E1">
        <w:rPr>
          <w:rFonts w:ascii="Arial" w:hAnsi="Arial" w:cs="Arial"/>
          <w:b/>
          <w:bCs/>
          <w:color w:val="FF0000"/>
          <w:sz w:val="24"/>
          <w:szCs w:val="24"/>
          <w:lang w:val="en-US"/>
        </w:rPr>
        <w:t>LoE 5, weak recommendation, consensus</w:t>
      </w:r>
      <w:r w:rsidRPr="004554E1">
        <w:rPr>
          <w:rFonts w:ascii="Arial" w:hAnsi="Arial" w:cs="Arial"/>
          <w:color w:val="FF0000"/>
          <w:sz w:val="24"/>
          <w:szCs w:val="24"/>
          <w:lang w:val="en-US"/>
        </w:rPr>
        <w:t>).</w:t>
      </w:r>
    </w:p>
    <w:p w14:paraId="401779D1" w14:textId="77777777" w:rsidR="00543CDC" w:rsidRPr="004554E1" w:rsidRDefault="00543CDC" w:rsidP="004554E1">
      <w:pPr>
        <w:spacing w:after="0" w:line="480" w:lineRule="auto"/>
        <w:jc w:val="both"/>
        <w:rPr>
          <w:rFonts w:ascii="Arial" w:hAnsi="Arial" w:cs="Arial"/>
          <w:color w:val="FF0000"/>
          <w:sz w:val="24"/>
          <w:szCs w:val="24"/>
          <w:shd w:val="clear" w:color="auto" w:fill="FFFFFF"/>
          <w:lang w:val="en-US"/>
        </w:rPr>
      </w:pPr>
    </w:p>
    <w:p w14:paraId="5FA92602" w14:textId="5832E6B5" w:rsidR="00543CDC" w:rsidRPr="004554E1" w:rsidRDefault="00543CDC" w:rsidP="004554E1">
      <w:pPr>
        <w:pStyle w:val="ListParagraph"/>
        <w:spacing w:after="0" w:line="480" w:lineRule="auto"/>
        <w:ind w:left="0"/>
        <w:contextualSpacing w:val="0"/>
        <w:jc w:val="both"/>
        <w:rPr>
          <w:rStyle w:val="docsum-authors"/>
          <w:rFonts w:ascii="Arial" w:hAnsi="Arial" w:cs="Arial"/>
          <w:color w:val="FF0000"/>
          <w:sz w:val="24"/>
          <w:szCs w:val="24"/>
          <w:lang w:val="en-US"/>
        </w:rPr>
      </w:pPr>
      <w:r w:rsidRPr="004554E1">
        <w:rPr>
          <w:rFonts w:ascii="Arial" w:hAnsi="Arial" w:cs="Arial"/>
          <w:color w:val="FF0000"/>
          <w:sz w:val="24"/>
          <w:szCs w:val="24"/>
          <w:shd w:val="clear" w:color="auto" w:fill="FFFFFF"/>
          <w:lang w:val="en-US"/>
        </w:rPr>
        <w:t>Timely restoration of plasma volume is the first therapeutic goal in patients with septic shock. It prevents tissue hypoxia and mitochondrial dysfunction and preserves organ function.</w:t>
      </w:r>
      <w:r w:rsidRPr="004554E1">
        <w:rPr>
          <w:rFonts w:ascii="Arial" w:hAnsi="Arial" w:cs="Arial"/>
          <w:color w:val="FF0000"/>
          <w:sz w:val="24"/>
          <w:szCs w:val="24"/>
          <w:shd w:val="clear" w:color="auto" w:fill="FFFFFF"/>
          <w:vertAlign w:val="superscript"/>
          <w:lang w:val="en-US"/>
        </w:rPr>
        <w:t>1</w:t>
      </w:r>
      <w:r w:rsidRPr="004554E1">
        <w:rPr>
          <w:rFonts w:ascii="Arial" w:hAnsi="Arial" w:cs="Arial"/>
          <w:color w:val="FF0000"/>
          <w:sz w:val="24"/>
          <w:szCs w:val="24"/>
          <w:shd w:val="clear" w:color="auto" w:fill="FFFFFF"/>
          <w:lang w:val="en-US"/>
        </w:rPr>
        <w:t xml:space="preserve"> Both crystalloids and colloids are used as intravenous fluid therapy in this </w:t>
      </w:r>
      <w:r w:rsidRPr="004554E1">
        <w:rPr>
          <w:rFonts w:ascii="Arial" w:hAnsi="Arial" w:cs="Arial"/>
          <w:color w:val="FF0000"/>
          <w:sz w:val="24"/>
          <w:szCs w:val="24"/>
          <w:shd w:val="clear" w:color="auto" w:fill="FFFFFF"/>
          <w:lang w:val="en-US"/>
        </w:rPr>
        <w:lastRenderedPageBreak/>
        <w:t>setting. Data derived from studies performed in the general population suggest crystalloids as first-line therapy in patients with hypotension and signs of hypoperfusion.</w:t>
      </w:r>
      <w:r w:rsidRPr="004554E1">
        <w:rPr>
          <w:rFonts w:ascii="Arial" w:hAnsi="Arial" w:cs="Arial"/>
          <w:color w:val="FF0000"/>
          <w:sz w:val="24"/>
          <w:szCs w:val="24"/>
          <w:shd w:val="clear" w:color="auto" w:fill="FFFFFF"/>
          <w:vertAlign w:val="superscript"/>
          <w:lang w:val="en-US"/>
        </w:rPr>
        <w:t>2</w:t>
      </w:r>
      <w:r w:rsidRPr="004554E1">
        <w:rPr>
          <w:rFonts w:ascii="Arial" w:hAnsi="Arial" w:cs="Arial"/>
          <w:color w:val="FF0000"/>
          <w:sz w:val="24"/>
          <w:szCs w:val="24"/>
          <w:shd w:val="clear" w:color="auto" w:fill="FFFFFF"/>
          <w:lang w:val="en-US"/>
        </w:rPr>
        <w:t>Among crystalloids, balanced solutions are preferred to 0.9% saline given the risk of hyperchloremic acidosis and renal failure.</w:t>
      </w:r>
      <w:r w:rsidRPr="004554E1">
        <w:rPr>
          <w:rFonts w:ascii="Arial" w:hAnsi="Arial" w:cs="Arial"/>
          <w:color w:val="FF0000"/>
          <w:sz w:val="24"/>
          <w:szCs w:val="24"/>
          <w:shd w:val="clear" w:color="auto" w:fill="FFFFFF"/>
          <w:vertAlign w:val="superscript"/>
          <w:lang w:val="en-US"/>
        </w:rPr>
        <w:t>3</w:t>
      </w:r>
      <w:r w:rsidRPr="004554E1">
        <w:rPr>
          <w:rFonts w:ascii="Arial" w:hAnsi="Arial" w:cs="Arial"/>
          <w:color w:val="FF0000"/>
          <w:sz w:val="24"/>
          <w:szCs w:val="24"/>
          <w:shd w:val="clear" w:color="auto" w:fill="FFFFFF"/>
          <w:lang w:val="en-US"/>
        </w:rPr>
        <w:t xml:space="preserve"> However, balanced crystalloids should be avoided in patients with hyperkalemia or severe renal failure due to their high concentration in potassium.</w:t>
      </w:r>
      <w:r w:rsidRPr="004554E1">
        <w:rPr>
          <w:rFonts w:ascii="Arial" w:hAnsi="Arial" w:cs="Arial"/>
          <w:color w:val="FF0000"/>
          <w:sz w:val="24"/>
          <w:szCs w:val="24"/>
          <w:shd w:val="clear" w:color="auto" w:fill="FFFFFF"/>
          <w:vertAlign w:val="superscript"/>
          <w:lang w:val="en-US"/>
        </w:rPr>
        <w:t>4</w:t>
      </w:r>
    </w:p>
    <w:p w14:paraId="772407D2" w14:textId="27CDE6B3" w:rsidR="00543CDC" w:rsidRPr="004554E1" w:rsidRDefault="00543CDC" w:rsidP="004554E1">
      <w:pPr>
        <w:pStyle w:val="ListParagraph"/>
        <w:spacing w:after="0" w:line="480" w:lineRule="auto"/>
        <w:ind w:left="0" w:firstLine="708"/>
        <w:contextualSpacing w:val="0"/>
        <w:jc w:val="both"/>
        <w:rPr>
          <w:rFonts w:ascii="Arial" w:hAnsi="Arial" w:cs="Arial"/>
          <w:color w:val="FF0000"/>
          <w:sz w:val="24"/>
          <w:szCs w:val="24"/>
          <w:lang w:val="en-US"/>
        </w:rPr>
      </w:pPr>
      <w:r w:rsidRPr="004554E1">
        <w:rPr>
          <w:rFonts w:ascii="Arial" w:hAnsi="Arial" w:cs="Arial"/>
          <w:color w:val="FF0000"/>
          <w:sz w:val="24"/>
          <w:szCs w:val="24"/>
          <w:shd w:val="clear" w:color="auto" w:fill="FFFFFF"/>
          <w:lang w:val="en-US"/>
        </w:rPr>
        <w:t xml:space="preserve">Albumin (4-5%-20%) is the only colloid solution currently recommended in patients with septic shock. Gelatins, starches and </w:t>
      </w:r>
      <w:proofErr w:type="spellStart"/>
      <w:r w:rsidRPr="004554E1">
        <w:rPr>
          <w:rFonts w:ascii="Arial" w:hAnsi="Arial" w:cs="Arial"/>
          <w:color w:val="FF0000"/>
          <w:sz w:val="24"/>
          <w:szCs w:val="24"/>
          <w:shd w:val="clear" w:color="auto" w:fill="FFFFFF"/>
          <w:lang w:val="en-US"/>
        </w:rPr>
        <w:t>dextrans</w:t>
      </w:r>
      <w:proofErr w:type="spellEnd"/>
      <w:r w:rsidRPr="004554E1">
        <w:rPr>
          <w:rFonts w:ascii="Arial" w:hAnsi="Arial" w:cs="Arial"/>
          <w:color w:val="FF0000"/>
          <w:sz w:val="24"/>
          <w:szCs w:val="24"/>
          <w:shd w:val="clear" w:color="auto" w:fill="FFFFFF"/>
          <w:lang w:val="en-US"/>
        </w:rPr>
        <w:t xml:space="preserve"> are contraindicated in this setting given the risk of AKI.</w:t>
      </w:r>
      <w:r w:rsidR="000D6E62" w:rsidRPr="000D6E62">
        <w:rPr>
          <w:rFonts w:ascii="Arial" w:hAnsi="Arial" w:cs="Arial"/>
          <w:color w:val="FF0000"/>
          <w:sz w:val="24"/>
          <w:szCs w:val="24"/>
          <w:shd w:val="clear" w:color="auto" w:fill="FFFFFF"/>
          <w:vertAlign w:val="superscript"/>
          <w:lang w:val="en-US"/>
        </w:rPr>
        <w:t>5</w:t>
      </w:r>
      <w:r w:rsidRPr="004554E1">
        <w:rPr>
          <w:rFonts w:ascii="Arial" w:hAnsi="Arial" w:cs="Arial"/>
          <w:color w:val="FF0000"/>
          <w:sz w:val="24"/>
          <w:szCs w:val="24"/>
          <w:shd w:val="clear" w:color="auto" w:fill="FFFFFF"/>
          <w:lang w:val="en-US"/>
        </w:rPr>
        <w:t xml:space="preserve"> Despite not being superior to crystalloids in studies performed in the general population, current </w:t>
      </w:r>
      <w:r w:rsidRPr="004554E1">
        <w:rPr>
          <w:rFonts w:ascii="Arial" w:hAnsi="Arial" w:cs="Arial"/>
          <w:color w:val="FF0000"/>
          <w:sz w:val="24"/>
          <w:szCs w:val="24"/>
          <w:lang w:val="en-US"/>
        </w:rPr>
        <w:t>Surviving Sepsis Campaign guidelines</w:t>
      </w:r>
      <w:r w:rsidRPr="004554E1">
        <w:rPr>
          <w:rFonts w:ascii="Arial" w:hAnsi="Arial" w:cs="Arial"/>
          <w:color w:val="FF0000"/>
          <w:sz w:val="24"/>
          <w:szCs w:val="24"/>
          <w:shd w:val="clear" w:color="auto" w:fill="FFFFFF"/>
          <w:lang w:val="en-US"/>
        </w:rPr>
        <w:t xml:space="preserve"> recommend the use of albumin solutions after initial resuscitation with crystalloids, especially in patients </w:t>
      </w:r>
      <w:r w:rsidRPr="004554E1">
        <w:rPr>
          <w:rFonts w:ascii="Arial" w:hAnsi="Arial" w:cs="Arial"/>
          <w:color w:val="FF0000"/>
          <w:sz w:val="24"/>
          <w:szCs w:val="24"/>
          <w:lang w:val="en-US"/>
        </w:rPr>
        <w:t>requiring substantial amounts of fluids.</w:t>
      </w:r>
      <w:r w:rsidRPr="004554E1">
        <w:rPr>
          <w:rFonts w:ascii="Arial" w:hAnsi="Arial" w:cs="Arial"/>
          <w:color w:val="FF0000"/>
          <w:sz w:val="24"/>
          <w:szCs w:val="24"/>
          <w:vertAlign w:val="superscript"/>
          <w:lang w:val="en-US"/>
        </w:rPr>
        <w:t>2</w:t>
      </w:r>
      <w:r w:rsidRPr="004554E1">
        <w:rPr>
          <w:rFonts w:ascii="Arial" w:hAnsi="Arial" w:cs="Arial"/>
          <w:color w:val="FF0000"/>
          <w:sz w:val="24"/>
          <w:szCs w:val="24"/>
          <w:shd w:val="clear" w:color="auto" w:fill="FFFFFF"/>
          <w:lang w:val="en-US"/>
        </w:rPr>
        <w:t xml:space="preserve"> </w:t>
      </w:r>
      <w:r w:rsidRPr="004554E1">
        <w:rPr>
          <w:rFonts w:ascii="Arial" w:hAnsi="Arial" w:cs="Arial"/>
          <w:color w:val="FF0000"/>
          <w:sz w:val="24"/>
          <w:szCs w:val="24"/>
          <w:lang w:val="en-US"/>
        </w:rPr>
        <w:t>Albumin has</w:t>
      </w:r>
      <w:r w:rsidRPr="004554E1">
        <w:rPr>
          <w:rFonts w:ascii="Arial" w:hAnsi="Arial" w:cs="Arial"/>
          <w:color w:val="FF0000"/>
          <w:sz w:val="24"/>
          <w:szCs w:val="24"/>
          <w:shd w:val="clear" w:color="auto" w:fill="FFFFFF"/>
          <w:lang w:val="en-US"/>
        </w:rPr>
        <w:t xml:space="preserve"> oncotic effects and non-oncotic functions including antioxidant, immunomodulatory, scavenging and endothelium protective properties that could be beneficial in patients with sepsis and septic shock.</w:t>
      </w:r>
      <w:r w:rsidR="000D6E62">
        <w:rPr>
          <w:rFonts w:ascii="Arial" w:hAnsi="Arial" w:cs="Arial"/>
          <w:color w:val="FF0000"/>
          <w:sz w:val="24"/>
          <w:szCs w:val="24"/>
          <w:shd w:val="clear" w:color="auto" w:fill="FFFFFF"/>
          <w:vertAlign w:val="superscript"/>
          <w:lang w:val="en-US"/>
        </w:rPr>
        <w:t>6</w:t>
      </w:r>
    </w:p>
    <w:p w14:paraId="3C4CEF1D" w14:textId="6A56C7A0" w:rsidR="00543CDC" w:rsidRPr="004554E1" w:rsidRDefault="00543CDC" w:rsidP="004554E1">
      <w:pPr>
        <w:spacing w:after="0" w:line="480" w:lineRule="auto"/>
        <w:ind w:firstLine="708"/>
        <w:jc w:val="both"/>
        <w:rPr>
          <w:rFonts w:ascii="Arial" w:hAnsi="Arial" w:cs="Arial"/>
          <w:color w:val="FF0000"/>
          <w:sz w:val="24"/>
          <w:szCs w:val="24"/>
          <w:lang w:val="en-US"/>
        </w:rPr>
      </w:pPr>
      <w:r w:rsidRPr="004554E1">
        <w:rPr>
          <w:rFonts w:ascii="Arial" w:hAnsi="Arial" w:cs="Arial"/>
          <w:color w:val="FF0000"/>
          <w:sz w:val="24"/>
          <w:szCs w:val="24"/>
          <w:lang w:val="en-US"/>
        </w:rPr>
        <w:t>T</w:t>
      </w:r>
      <w:r w:rsidRPr="004554E1">
        <w:rPr>
          <w:rFonts w:ascii="Arial" w:hAnsi="Arial" w:cs="Arial"/>
          <w:color w:val="FF0000"/>
          <w:sz w:val="24"/>
          <w:szCs w:val="24"/>
          <w:shd w:val="clear" w:color="auto" w:fill="FFFFFF"/>
          <w:lang w:val="en-US"/>
        </w:rPr>
        <w:t xml:space="preserve">he rational for albumin administration in patients with ACLF and hypotension requiring vasopressors is probably stronger than in other populations. These patients present a marked proinflammatory and pro-oxidant state that </w:t>
      </w:r>
      <w:r w:rsidRPr="004554E1">
        <w:rPr>
          <w:rFonts w:ascii="Arial" w:hAnsi="Arial" w:cs="Arial"/>
          <w:color w:val="FF0000"/>
          <w:sz w:val="24"/>
          <w:szCs w:val="24"/>
          <w:lang w:val="en-US"/>
        </w:rPr>
        <w:t>contribute to organ failure. Both alterations could be attenuated by albumin therapy</w:t>
      </w:r>
      <w:r w:rsidRPr="004554E1">
        <w:rPr>
          <w:rFonts w:ascii="Arial" w:hAnsi="Arial" w:cs="Arial"/>
          <w:color w:val="FF0000"/>
          <w:sz w:val="24"/>
          <w:szCs w:val="24"/>
          <w:shd w:val="clear" w:color="auto" w:fill="FFFFFF"/>
          <w:lang w:val="en-US"/>
        </w:rPr>
        <w:t>. Hypoalbuminemia and albumin dysfunction, almost universal in patients with ACLF, can also be partially reverted by albumin infusion.</w:t>
      </w:r>
      <w:r w:rsidR="000D6E62">
        <w:rPr>
          <w:rFonts w:ascii="Arial" w:hAnsi="Arial" w:cs="Arial"/>
          <w:color w:val="FF0000"/>
          <w:sz w:val="24"/>
          <w:szCs w:val="24"/>
          <w:shd w:val="clear" w:color="auto" w:fill="FFFFFF"/>
          <w:vertAlign w:val="superscript"/>
          <w:lang w:val="en-US"/>
        </w:rPr>
        <w:t>7</w:t>
      </w:r>
      <w:r w:rsidRPr="004554E1">
        <w:rPr>
          <w:rFonts w:ascii="Arial" w:hAnsi="Arial" w:cs="Arial"/>
          <w:color w:val="FF0000"/>
          <w:sz w:val="24"/>
          <w:szCs w:val="24"/>
          <w:shd w:val="clear" w:color="auto" w:fill="FFFFFF"/>
          <w:lang w:val="en-US"/>
        </w:rPr>
        <w:t xml:space="preserve"> </w:t>
      </w:r>
    </w:p>
    <w:p w14:paraId="6E7DEDB2" w14:textId="53913C17" w:rsidR="00543CDC" w:rsidRPr="004554E1" w:rsidRDefault="00543CDC" w:rsidP="004554E1">
      <w:pPr>
        <w:pStyle w:val="ListParagraph"/>
        <w:spacing w:after="0" w:line="480" w:lineRule="auto"/>
        <w:ind w:left="0" w:firstLine="708"/>
        <w:contextualSpacing w:val="0"/>
        <w:jc w:val="both"/>
        <w:rPr>
          <w:rFonts w:ascii="Arial" w:hAnsi="Arial" w:cs="Arial"/>
          <w:color w:val="FF0000"/>
          <w:sz w:val="24"/>
          <w:szCs w:val="24"/>
          <w:lang w:val="en-US"/>
        </w:rPr>
      </w:pPr>
      <w:r w:rsidRPr="004554E1">
        <w:rPr>
          <w:rFonts w:ascii="Arial" w:hAnsi="Arial" w:cs="Arial"/>
          <w:color w:val="FF0000"/>
          <w:sz w:val="24"/>
          <w:szCs w:val="24"/>
          <w:shd w:val="clear" w:color="auto" w:fill="FFFFFF"/>
          <w:lang w:val="en-US"/>
        </w:rPr>
        <w:t xml:space="preserve">Only two studies have evaluated the efficacy and clinical impact of different intravenous solutions in patients with ACLF and septic shock. Both investigations reported contradictory data on albumin safety and impact on survival. In an open-label single center RCT, 308 patients with cirrhosis and sepsis-induced hypotension were </w:t>
      </w:r>
      <w:r w:rsidRPr="004554E1">
        <w:rPr>
          <w:rFonts w:ascii="Arial" w:hAnsi="Arial" w:cs="Arial"/>
          <w:color w:val="FF0000"/>
          <w:sz w:val="24"/>
          <w:szCs w:val="24"/>
          <w:shd w:val="clear" w:color="auto" w:fill="FFFFFF"/>
          <w:lang w:val="en-US"/>
        </w:rPr>
        <w:lastRenderedPageBreak/>
        <w:t xml:space="preserve">randomized to receive 5% albumin or saline serum. Albumin was more effective than crystalloids in the early resuscitation of these patients, was well-tolerated and improved 1-week survival (43.5% </w:t>
      </w:r>
      <w:r w:rsidRPr="004554E1">
        <w:rPr>
          <w:rFonts w:ascii="Arial" w:hAnsi="Arial" w:cs="Arial"/>
          <w:i/>
          <w:color w:val="FF0000"/>
          <w:sz w:val="24"/>
          <w:szCs w:val="24"/>
          <w:lang w:val="en-US"/>
        </w:rPr>
        <w:t>vs.</w:t>
      </w:r>
      <w:r w:rsidRPr="004554E1">
        <w:rPr>
          <w:rFonts w:ascii="Arial" w:hAnsi="Arial" w:cs="Arial"/>
          <w:color w:val="FF0000"/>
          <w:sz w:val="24"/>
          <w:szCs w:val="24"/>
          <w:lang w:val="en-US"/>
        </w:rPr>
        <w:t xml:space="preserve"> </w:t>
      </w:r>
      <w:r w:rsidRPr="004554E1">
        <w:rPr>
          <w:rFonts w:ascii="Arial" w:hAnsi="Arial" w:cs="Arial"/>
          <w:color w:val="FF0000"/>
          <w:sz w:val="24"/>
          <w:szCs w:val="24"/>
          <w:shd w:val="clear" w:color="auto" w:fill="FFFFFF"/>
          <w:lang w:val="en-US"/>
        </w:rPr>
        <w:t>38.3%, p=0.03).</w:t>
      </w:r>
      <w:r w:rsidR="000D6E62">
        <w:rPr>
          <w:rFonts w:ascii="Arial" w:hAnsi="Arial" w:cs="Arial"/>
          <w:color w:val="FF0000"/>
          <w:sz w:val="24"/>
          <w:szCs w:val="24"/>
          <w:shd w:val="clear" w:color="auto" w:fill="FFFFFF"/>
          <w:vertAlign w:val="superscript"/>
          <w:lang w:val="en-US"/>
        </w:rPr>
        <w:t xml:space="preserve">8 </w:t>
      </w:r>
      <w:r w:rsidRPr="004554E1">
        <w:rPr>
          <w:rFonts w:ascii="Arial" w:hAnsi="Arial" w:cs="Arial"/>
          <w:color w:val="FF0000"/>
          <w:sz w:val="24"/>
          <w:szCs w:val="24"/>
          <w:shd w:val="clear" w:color="auto" w:fill="FFFFFF"/>
          <w:lang w:val="en-US"/>
        </w:rPr>
        <w:t>Another investigation published recently compared the efficacy and safety of 20% albumin (0.5-1 g/kg over 3 h) to balanced crystalloid (</w:t>
      </w:r>
      <w:proofErr w:type="spellStart"/>
      <w:r w:rsidRPr="004554E1">
        <w:rPr>
          <w:rFonts w:ascii="Arial" w:hAnsi="Arial" w:cs="Arial"/>
          <w:color w:val="FF0000"/>
          <w:sz w:val="24"/>
          <w:szCs w:val="24"/>
          <w:shd w:val="clear" w:color="auto" w:fill="FFFFFF"/>
          <w:lang w:val="en-US"/>
        </w:rPr>
        <w:t>plasmalyte</w:t>
      </w:r>
      <w:proofErr w:type="spellEnd"/>
      <w:r w:rsidRPr="004554E1">
        <w:rPr>
          <w:rFonts w:ascii="Arial" w:hAnsi="Arial" w:cs="Arial"/>
          <w:color w:val="FF0000"/>
          <w:sz w:val="24"/>
          <w:szCs w:val="24"/>
          <w:shd w:val="clear" w:color="auto" w:fill="FFFFFF"/>
          <w:lang w:val="en-US"/>
        </w:rPr>
        <w:t>: 30 ml/kg over 3 h) in 100 cirrhotic patients with sepsis-induced hypotension.</w:t>
      </w:r>
      <w:r w:rsidR="000D6E62">
        <w:rPr>
          <w:rFonts w:ascii="Arial" w:hAnsi="Arial" w:cs="Arial"/>
          <w:color w:val="FF0000"/>
          <w:sz w:val="24"/>
          <w:szCs w:val="24"/>
          <w:shd w:val="clear" w:color="auto" w:fill="FFFFFF"/>
          <w:vertAlign w:val="superscript"/>
          <w:lang w:val="en-US"/>
        </w:rPr>
        <w:t>9</w:t>
      </w:r>
      <w:r w:rsidRPr="004554E1">
        <w:rPr>
          <w:rFonts w:ascii="Arial" w:hAnsi="Arial" w:cs="Arial"/>
          <w:color w:val="FF0000"/>
          <w:sz w:val="24"/>
          <w:szCs w:val="24"/>
          <w:lang w:val="en-US"/>
        </w:rPr>
        <w:t xml:space="preserve"> </w:t>
      </w:r>
      <w:r w:rsidRPr="004554E1">
        <w:rPr>
          <w:rFonts w:ascii="Arial" w:hAnsi="Arial" w:cs="Arial"/>
          <w:color w:val="FF0000"/>
          <w:sz w:val="24"/>
          <w:szCs w:val="24"/>
          <w:shd w:val="clear" w:color="auto" w:fill="FFFFFF"/>
          <w:lang w:val="en-US"/>
        </w:rPr>
        <w:t xml:space="preserve">Again, albumin was more effective than crystalloids in the early resuscitation of these patients (mean arterial pressure [MAP] &gt;65 mm Hg at 3 h: 62% </w:t>
      </w:r>
      <w:r w:rsidRPr="004554E1">
        <w:rPr>
          <w:rFonts w:ascii="Arial" w:hAnsi="Arial" w:cs="Arial"/>
          <w:i/>
          <w:color w:val="FF0000"/>
          <w:sz w:val="24"/>
          <w:szCs w:val="24"/>
          <w:lang w:val="en-US"/>
        </w:rPr>
        <w:t>vs.</w:t>
      </w:r>
      <w:r w:rsidRPr="004554E1">
        <w:rPr>
          <w:rFonts w:ascii="Arial" w:hAnsi="Arial" w:cs="Arial"/>
          <w:color w:val="FF0000"/>
          <w:sz w:val="24"/>
          <w:szCs w:val="24"/>
          <w:lang w:val="en-US"/>
        </w:rPr>
        <w:t xml:space="preserve"> </w:t>
      </w:r>
      <w:r w:rsidRPr="004554E1">
        <w:rPr>
          <w:rFonts w:ascii="Arial" w:hAnsi="Arial" w:cs="Arial"/>
          <w:color w:val="FF0000"/>
          <w:sz w:val="24"/>
          <w:szCs w:val="24"/>
          <w:shd w:val="clear" w:color="auto" w:fill="FFFFFF"/>
          <w:lang w:val="en-US"/>
        </w:rPr>
        <w:t xml:space="preserve">22%, respectively; p&lt;0.001). However, its administration was associated with a higher rate of pulmonary complications. Treatment was interrupted in 22% of patients in the albumin group compared to no discontinuation in the </w:t>
      </w:r>
      <w:proofErr w:type="spellStart"/>
      <w:r w:rsidRPr="004554E1">
        <w:rPr>
          <w:rFonts w:ascii="Arial" w:hAnsi="Arial" w:cs="Arial"/>
          <w:color w:val="FF0000"/>
          <w:sz w:val="24"/>
          <w:szCs w:val="24"/>
          <w:shd w:val="clear" w:color="auto" w:fill="FFFFFF"/>
          <w:lang w:val="en-US"/>
        </w:rPr>
        <w:t>plasmalyte</w:t>
      </w:r>
      <w:proofErr w:type="spellEnd"/>
      <w:r w:rsidRPr="004554E1">
        <w:rPr>
          <w:rFonts w:ascii="Arial" w:hAnsi="Arial" w:cs="Arial"/>
          <w:color w:val="FF0000"/>
          <w:sz w:val="24"/>
          <w:szCs w:val="24"/>
          <w:shd w:val="clear" w:color="auto" w:fill="FFFFFF"/>
          <w:lang w:val="en-US"/>
        </w:rPr>
        <w:t xml:space="preserve"> group. Short-term survival was similar between groups (58% </w:t>
      </w:r>
      <w:r w:rsidRPr="004554E1">
        <w:rPr>
          <w:rFonts w:ascii="Arial" w:hAnsi="Arial" w:cs="Arial"/>
          <w:i/>
          <w:color w:val="FF0000"/>
          <w:sz w:val="24"/>
          <w:szCs w:val="24"/>
          <w:lang w:val="en-US"/>
        </w:rPr>
        <w:t>vs.</w:t>
      </w:r>
      <w:r w:rsidRPr="004554E1">
        <w:rPr>
          <w:rFonts w:ascii="Arial" w:hAnsi="Arial" w:cs="Arial"/>
          <w:color w:val="FF0000"/>
          <w:sz w:val="24"/>
          <w:szCs w:val="24"/>
          <w:lang w:val="en-US"/>
        </w:rPr>
        <w:t xml:space="preserve"> </w:t>
      </w:r>
      <w:r w:rsidRPr="004554E1">
        <w:rPr>
          <w:rFonts w:ascii="Arial" w:hAnsi="Arial" w:cs="Arial"/>
          <w:color w:val="FF0000"/>
          <w:sz w:val="24"/>
          <w:szCs w:val="24"/>
          <w:shd w:val="clear" w:color="auto" w:fill="FFFFFF"/>
          <w:lang w:val="en-US"/>
        </w:rPr>
        <w:t>62%, respectively). The a</w:t>
      </w:r>
      <w:r w:rsidRPr="004554E1">
        <w:rPr>
          <w:rFonts w:ascii="Arial" w:hAnsi="Arial" w:cs="Arial"/>
          <w:color w:val="FF0000"/>
          <w:sz w:val="24"/>
          <w:szCs w:val="24"/>
          <w:lang w:val="en-US"/>
        </w:rPr>
        <w:t xml:space="preserve">uthors concluded that </w:t>
      </w:r>
      <w:proofErr w:type="spellStart"/>
      <w:r w:rsidRPr="004554E1">
        <w:rPr>
          <w:rFonts w:ascii="Arial" w:hAnsi="Arial" w:cs="Arial"/>
          <w:color w:val="FF0000"/>
          <w:sz w:val="24"/>
          <w:szCs w:val="24"/>
          <w:lang w:val="en-US"/>
        </w:rPr>
        <w:t>plasmalyte</w:t>
      </w:r>
      <w:proofErr w:type="spellEnd"/>
      <w:r w:rsidRPr="004554E1">
        <w:rPr>
          <w:rFonts w:ascii="Arial" w:hAnsi="Arial" w:cs="Arial"/>
          <w:color w:val="FF0000"/>
          <w:sz w:val="24"/>
          <w:szCs w:val="24"/>
          <w:lang w:val="en-US"/>
        </w:rPr>
        <w:t xml:space="preserve"> is safer and better tolerated than 20% albumin in patients with cirrhosis and sepsis induced hypotension. Further larger RCT are specifically needed to address this controversial area. </w:t>
      </w:r>
    </w:p>
    <w:p w14:paraId="7014AE69" w14:textId="77777777" w:rsidR="00543CDC" w:rsidRPr="004554E1" w:rsidRDefault="00543CDC" w:rsidP="004554E1">
      <w:pPr>
        <w:spacing w:after="0" w:line="480" w:lineRule="auto"/>
        <w:ind w:firstLine="708"/>
        <w:jc w:val="both"/>
        <w:rPr>
          <w:rFonts w:ascii="Arial" w:hAnsi="Arial" w:cs="Arial"/>
          <w:color w:val="FF0000"/>
          <w:sz w:val="24"/>
          <w:szCs w:val="24"/>
          <w:lang w:val="en-US"/>
        </w:rPr>
      </w:pPr>
      <w:r w:rsidRPr="004554E1">
        <w:rPr>
          <w:rFonts w:ascii="Arial" w:hAnsi="Arial" w:cs="Arial"/>
          <w:color w:val="FF0000"/>
          <w:sz w:val="24"/>
          <w:szCs w:val="24"/>
          <w:shd w:val="clear" w:color="auto" w:fill="FFFFFF"/>
          <w:lang w:val="en-US"/>
        </w:rPr>
        <w:t xml:space="preserve">Considering the data currently available we recommend the use of human albumin (4%, 5%, 20%) or crystalloids (mainly balanced solutions) in the early resuscitation of hypotensive patients with ACLF. </w:t>
      </w:r>
      <w:r w:rsidRPr="004554E1">
        <w:rPr>
          <w:rFonts w:ascii="Arial" w:hAnsi="Arial" w:cs="Arial"/>
          <w:color w:val="FF0000"/>
          <w:sz w:val="24"/>
          <w:szCs w:val="24"/>
          <w:lang w:val="en-US"/>
        </w:rPr>
        <w:t xml:space="preserve">Patients requiring substantial amounts of fluids and vasopressors should be treated with albumin solutions. Fluid administration should always be guided by dynamic parameters to avoid fluid overload (Table 6). </w:t>
      </w:r>
      <w:r w:rsidRPr="004554E1">
        <w:rPr>
          <w:rFonts w:ascii="Arial" w:hAnsi="Arial" w:cs="Arial"/>
          <w:iCs/>
          <w:color w:val="FF0000"/>
          <w:sz w:val="24"/>
          <w:szCs w:val="24"/>
          <w:lang w:val="en-US"/>
        </w:rPr>
        <w:t xml:space="preserve">In any case, </w:t>
      </w:r>
      <w:r w:rsidRPr="004554E1">
        <w:rPr>
          <w:rFonts w:ascii="Arial" w:hAnsi="Arial" w:cs="Arial"/>
          <w:color w:val="FF0000"/>
          <w:sz w:val="24"/>
          <w:szCs w:val="24"/>
          <w:lang w:val="en-US"/>
        </w:rPr>
        <w:t>further larger trials are specifically needed in the ACLF population to address this controversial area.</w:t>
      </w:r>
    </w:p>
    <w:p w14:paraId="6473EFF2" w14:textId="77777777" w:rsidR="00543CDC" w:rsidRPr="004554E1" w:rsidRDefault="00543CDC" w:rsidP="004554E1">
      <w:pPr>
        <w:spacing w:after="0" w:line="480" w:lineRule="auto"/>
        <w:jc w:val="both"/>
        <w:rPr>
          <w:rFonts w:ascii="Arial" w:hAnsi="Arial" w:cs="Arial"/>
          <w:color w:val="FF0000"/>
          <w:sz w:val="24"/>
          <w:szCs w:val="24"/>
          <w:shd w:val="clear" w:color="auto" w:fill="FFFFFF"/>
          <w:lang w:val="en-US"/>
        </w:rPr>
      </w:pPr>
    </w:p>
    <w:p w14:paraId="4EC91637" w14:textId="77777777" w:rsidR="00543CDC" w:rsidRPr="004554E1" w:rsidRDefault="00543CDC" w:rsidP="004554E1">
      <w:pPr>
        <w:spacing w:after="0" w:line="480" w:lineRule="auto"/>
        <w:jc w:val="both"/>
        <w:rPr>
          <w:rFonts w:ascii="Arial" w:hAnsi="Arial" w:cs="Arial"/>
          <w:b/>
          <w:color w:val="FF0000"/>
          <w:sz w:val="24"/>
          <w:szCs w:val="24"/>
          <w:lang w:val="en-US"/>
        </w:rPr>
      </w:pPr>
      <w:r w:rsidRPr="004554E1">
        <w:rPr>
          <w:rFonts w:ascii="Arial" w:hAnsi="Arial" w:cs="Arial"/>
          <w:b/>
          <w:color w:val="FF0000"/>
          <w:sz w:val="24"/>
          <w:szCs w:val="24"/>
          <w:lang w:val="en-US"/>
        </w:rPr>
        <w:t>Is norepinephrine more effective and safer than vasopressin or its analogue terlipressin (continuous infusion) as the first vasopressor in patients with ACLF who require vasopressors for hypotension?</w:t>
      </w:r>
    </w:p>
    <w:p w14:paraId="13662D20" w14:textId="77777777" w:rsidR="00543CDC" w:rsidRPr="004554E1" w:rsidRDefault="00543CDC" w:rsidP="004554E1">
      <w:pPr>
        <w:spacing w:after="0" w:line="480" w:lineRule="auto"/>
        <w:jc w:val="both"/>
        <w:rPr>
          <w:rFonts w:ascii="Arial" w:hAnsi="Arial" w:cs="Arial"/>
          <w:b/>
          <w:bCs/>
          <w:color w:val="FF0000"/>
          <w:sz w:val="24"/>
          <w:szCs w:val="24"/>
          <w:lang w:val="en-US"/>
        </w:rPr>
      </w:pPr>
    </w:p>
    <w:p w14:paraId="51DDE2BD"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Patient and population:</w:t>
      </w:r>
      <w:r w:rsidRPr="004554E1">
        <w:rPr>
          <w:rFonts w:ascii="Arial" w:hAnsi="Arial" w:cs="Arial"/>
          <w:color w:val="FF0000"/>
          <w:sz w:val="24"/>
          <w:szCs w:val="24"/>
          <w:lang w:val="en-US"/>
        </w:rPr>
        <w:t xml:space="preserve"> Patients with ACLF who require vasopressors for </w:t>
      </w:r>
      <w:proofErr w:type="gramStart"/>
      <w:r w:rsidRPr="004554E1">
        <w:rPr>
          <w:rFonts w:ascii="Arial" w:hAnsi="Arial" w:cs="Arial"/>
          <w:color w:val="FF0000"/>
          <w:sz w:val="24"/>
          <w:szCs w:val="24"/>
          <w:lang w:val="en-US"/>
        </w:rPr>
        <w:t>hypotension</w:t>
      </w:r>
      <w:proofErr w:type="gramEnd"/>
    </w:p>
    <w:p w14:paraId="48505CC1"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Intervention:</w:t>
      </w:r>
      <w:r w:rsidRPr="004554E1">
        <w:rPr>
          <w:rFonts w:ascii="Arial" w:hAnsi="Arial" w:cs="Arial"/>
          <w:color w:val="FF0000"/>
          <w:sz w:val="24"/>
          <w:szCs w:val="24"/>
          <w:lang w:val="en-US"/>
        </w:rPr>
        <w:t xml:space="preserve"> Norepinephrine</w:t>
      </w:r>
    </w:p>
    <w:p w14:paraId="4E0327C3"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Comparison:</w:t>
      </w:r>
      <w:r w:rsidRPr="004554E1">
        <w:rPr>
          <w:rFonts w:ascii="Arial" w:hAnsi="Arial" w:cs="Arial"/>
          <w:color w:val="FF0000"/>
          <w:sz w:val="24"/>
          <w:szCs w:val="24"/>
          <w:lang w:val="en-US"/>
        </w:rPr>
        <w:t xml:space="preserve"> Vasopressin or terlipressin in continuous infusion</w:t>
      </w:r>
    </w:p>
    <w:p w14:paraId="6A1940E6" w14:textId="77777777" w:rsidR="00543CDC" w:rsidRPr="004554E1" w:rsidRDefault="00543CDC" w:rsidP="004554E1">
      <w:pPr>
        <w:spacing w:after="0" w:line="480" w:lineRule="auto"/>
        <w:jc w:val="both"/>
        <w:rPr>
          <w:rFonts w:ascii="Arial" w:hAnsi="Arial" w:cs="Arial"/>
          <w:color w:val="FF0000"/>
          <w:sz w:val="24"/>
          <w:szCs w:val="24"/>
          <w:lang w:val="en-US"/>
        </w:rPr>
      </w:pPr>
      <w:r w:rsidRPr="004554E1">
        <w:rPr>
          <w:rFonts w:ascii="Arial" w:hAnsi="Arial" w:cs="Arial"/>
          <w:b/>
          <w:bCs/>
          <w:color w:val="FF0000"/>
          <w:sz w:val="24"/>
          <w:szCs w:val="24"/>
          <w:lang w:val="en-US"/>
        </w:rPr>
        <w:t>Outcome:</w:t>
      </w:r>
      <w:r w:rsidRPr="004554E1">
        <w:rPr>
          <w:rFonts w:ascii="Arial" w:hAnsi="Arial" w:cs="Arial"/>
          <w:color w:val="FF0000"/>
          <w:sz w:val="24"/>
          <w:szCs w:val="24"/>
          <w:lang w:val="en-US"/>
        </w:rPr>
        <w:t xml:space="preserve"> Resolution of shock, side-effects (including ischemic events and respiratory failure/pulmonary edema), AKI, renal-replacement therapy, dynamics of ACLF course (either increases, no change or decreases in ACLF grade) during the first week after admission, 28-day and 90-day transplantation-free transplantation mortality </w:t>
      </w:r>
    </w:p>
    <w:p w14:paraId="65DBA852" w14:textId="77777777" w:rsidR="00543CDC" w:rsidRPr="004554E1" w:rsidRDefault="00543CDC" w:rsidP="004554E1">
      <w:pPr>
        <w:spacing w:after="0" w:line="480" w:lineRule="auto"/>
        <w:jc w:val="both"/>
        <w:rPr>
          <w:rFonts w:ascii="Arial" w:hAnsi="Arial" w:cs="Arial"/>
          <w:color w:val="FF0000"/>
          <w:sz w:val="24"/>
          <w:szCs w:val="24"/>
          <w:lang w:val="en-US"/>
        </w:rPr>
      </w:pPr>
    </w:p>
    <w:p w14:paraId="36D539CA" w14:textId="77777777" w:rsidR="00543CDC" w:rsidRPr="004554E1" w:rsidRDefault="00543CDC" w:rsidP="004554E1">
      <w:pPr>
        <w:spacing w:after="0" w:line="480" w:lineRule="auto"/>
        <w:jc w:val="both"/>
        <w:rPr>
          <w:rFonts w:ascii="Arial" w:hAnsi="Arial" w:cs="Arial"/>
          <w:b/>
          <w:color w:val="FF0000"/>
          <w:sz w:val="24"/>
          <w:szCs w:val="24"/>
          <w:lang w:val="en-US"/>
        </w:rPr>
      </w:pPr>
      <w:r w:rsidRPr="004554E1">
        <w:rPr>
          <w:rFonts w:ascii="Arial" w:hAnsi="Arial" w:cs="Arial"/>
          <w:b/>
          <w:color w:val="FF0000"/>
          <w:sz w:val="24"/>
          <w:szCs w:val="24"/>
          <w:lang w:val="en-US"/>
        </w:rPr>
        <w:t>Recommendation</w:t>
      </w:r>
    </w:p>
    <w:p w14:paraId="2D16D8B8" w14:textId="77777777" w:rsidR="00543CDC" w:rsidRPr="004554E1" w:rsidRDefault="00543CDC" w:rsidP="004554E1">
      <w:pPr>
        <w:pStyle w:val="ListParagraph"/>
        <w:numPr>
          <w:ilvl w:val="0"/>
          <w:numId w:val="8"/>
        </w:numPr>
        <w:spacing w:after="0" w:line="480" w:lineRule="auto"/>
        <w:contextualSpacing w:val="0"/>
        <w:jc w:val="both"/>
        <w:rPr>
          <w:rFonts w:ascii="Arial" w:hAnsi="Arial" w:cs="Arial"/>
          <w:color w:val="FF0000"/>
          <w:sz w:val="24"/>
          <w:szCs w:val="24"/>
          <w:lang w:val="en-US"/>
        </w:rPr>
      </w:pPr>
      <w:r w:rsidRPr="004554E1">
        <w:rPr>
          <w:rFonts w:ascii="Arial" w:hAnsi="Arial" w:cs="Arial"/>
          <w:color w:val="FF0000"/>
          <w:sz w:val="24"/>
          <w:szCs w:val="24"/>
          <w:lang w:val="en-US"/>
        </w:rPr>
        <w:t>Based on data coming from the ICU general population, norepinephrine is the first-line vasopressor for patients with ACLF and hypotension unresponsive to fluid therapy (</w:t>
      </w:r>
      <w:r w:rsidRPr="004554E1">
        <w:rPr>
          <w:rFonts w:ascii="Arial" w:hAnsi="Arial" w:cs="Arial"/>
          <w:b/>
          <w:bCs/>
          <w:color w:val="FF0000"/>
          <w:sz w:val="24"/>
          <w:szCs w:val="24"/>
          <w:lang w:val="en-US"/>
        </w:rPr>
        <w:t>LoE 4, strong recommendation, strong consensus</w:t>
      </w:r>
      <w:r w:rsidRPr="004554E1">
        <w:rPr>
          <w:rFonts w:ascii="Arial" w:hAnsi="Arial" w:cs="Arial"/>
          <w:color w:val="FF0000"/>
          <w:sz w:val="24"/>
          <w:szCs w:val="24"/>
          <w:lang w:val="en-US"/>
        </w:rPr>
        <w:t>).</w:t>
      </w:r>
    </w:p>
    <w:p w14:paraId="6084D89E" w14:textId="77777777" w:rsidR="00543CDC" w:rsidRPr="004554E1" w:rsidRDefault="00543CDC" w:rsidP="004554E1">
      <w:pPr>
        <w:pStyle w:val="ListParagraph"/>
        <w:numPr>
          <w:ilvl w:val="0"/>
          <w:numId w:val="8"/>
        </w:numPr>
        <w:spacing w:after="0" w:line="480" w:lineRule="auto"/>
        <w:contextualSpacing w:val="0"/>
        <w:jc w:val="both"/>
        <w:rPr>
          <w:rFonts w:ascii="Arial" w:hAnsi="Arial" w:cs="Arial"/>
          <w:color w:val="FF0000"/>
          <w:sz w:val="24"/>
          <w:szCs w:val="24"/>
          <w:lang w:val="en-US"/>
        </w:rPr>
      </w:pPr>
      <w:r w:rsidRPr="004554E1">
        <w:rPr>
          <w:rFonts w:ascii="Arial" w:hAnsi="Arial" w:cs="Arial"/>
          <w:color w:val="FF0000"/>
          <w:sz w:val="24"/>
          <w:szCs w:val="24"/>
          <w:lang w:val="en-US"/>
        </w:rPr>
        <w:t>Dopamine is not recommended in patients with ACLF (</w:t>
      </w:r>
      <w:r w:rsidRPr="004554E1">
        <w:rPr>
          <w:rFonts w:ascii="Arial" w:hAnsi="Arial" w:cs="Arial"/>
          <w:b/>
          <w:color w:val="FF0000"/>
          <w:sz w:val="24"/>
          <w:szCs w:val="24"/>
          <w:lang w:val="en-US"/>
        </w:rPr>
        <w:t>LoE 4, strong</w:t>
      </w:r>
      <w:r w:rsidRPr="004554E1">
        <w:rPr>
          <w:rFonts w:ascii="Arial" w:hAnsi="Arial" w:cs="Arial"/>
          <w:color w:val="FF0000"/>
          <w:sz w:val="24"/>
          <w:szCs w:val="24"/>
          <w:lang w:val="en-US"/>
        </w:rPr>
        <w:t xml:space="preserve"> </w:t>
      </w:r>
      <w:r w:rsidRPr="004554E1">
        <w:rPr>
          <w:rFonts w:ascii="Arial" w:hAnsi="Arial" w:cs="Arial"/>
          <w:b/>
          <w:color w:val="FF0000"/>
          <w:sz w:val="24"/>
          <w:szCs w:val="24"/>
          <w:lang w:val="en-US"/>
        </w:rPr>
        <w:t>recommendation, strong consensus</w:t>
      </w:r>
      <w:r w:rsidRPr="004554E1">
        <w:rPr>
          <w:rFonts w:ascii="Arial" w:hAnsi="Arial" w:cs="Arial"/>
          <w:color w:val="FF0000"/>
          <w:sz w:val="24"/>
          <w:szCs w:val="24"/>
          <w:lang w:val="en-US"/>
        </w:rPr>
        <w:t xml:space="preserve">). </w:t>
      </w:r>
    </w:p>
    <w:p w14:paraId="63771411" w14:textId="77777777" w:rsidR="00543CDC" w:rsidRPr="004554E1" w:rsidRDefault="00543CDC" w:rsidP="004554E1">
      <w:pPr>
        <w:spacing w:after="0" w:line="480" w:lineRule="auto"/>
        <w:jc w:val="both"/>
        <w:rPr>
          <w:rFonts w:ascii="Arial" w:hAnsi="Arial" w:cs="Arial"/>
          <w:color w:val="FF0000"/>
          <w:sz w:val="24"/>
          <w:szCs w:val="24"/>
          <w:lang w:val="en-US"/>
        </w:rPr>
      </w:pPr>
    </w:p>
    <w:p w14:paraId="6A49B4E1" w14:textId="77777777" w:rsidR="00543CDC" w:rsidRPr="004554E1" w:rsidRDefault="00543CDC" w:rsidP="004554E1">
      <w:pPr>
        <w:spacing w:after="0" w:line="480" w:lineRule="auto"/>
        <w:jc w:val="both"/>
        <w:rPr>
          <w:rFonts w:ascii="Arial" w:hAnsi="Arial" w:cs="Arial"/>
          <w:b/>
          <w:bCs/>
          <w:color w:val="FF0000"/>
          <w:sz w:val="24"/>
          <w:szCs w:val="24"/>
          <w:lang w:val="en-US"/>
        </w:rPr>
      </w:pPr>
      <w:r w:rsidRPr="004554E1">
        <w:rPr>
          <w:rFonts w:ascii="Arial" w:hAnsi="Arial" w:cs="Arial"/>
          <w:b/>
          <w:bCs/>
          <w:color w:val="FF0000"/>
          <w:sz w:val="24"/>
          <w:szCs w:val="24"/>
          <w:lang w:val="en-US"/>
        </w:rPr>
        <w:t>Statements</w:t>
      </w:r>
    </w:p>
    <w:p w14:paraId="28ACFA60" w14:textId="77777777" w:rsidR="00543CDC" w:rsidRPr="004554E1" w:rsidRDefault="00543CDC" w:rsidP="004554E1">
      <w:pPr>
        <w:pStyle w:val="ListParagraph"/>
        <w:numPr>
          <w:ilvl w:val="0"/>
          <w:numId w:val="7"/>
        </w:numPr>
        <w:spacing w:after="0" w:line="480" w:lineRule="auto"/>
        <w:contextualSpacing w:val="0"/>
        <w:jc w:val="both"/>
        <w:rPr>
          <w:rFonts w:ascii="Arial" w:hAnsi="Arial" w:cs="Arial"/>
          <w:color w:val="FF0000"/>
          <w:sz w:val="24"/>
          <w:szCs w:val="24"/>
          <w:lang w:val="en-US"/>
        </w:rPr>
      </w:pPr>
      <w:r w:rsidRPr="004554E1">
        <w:rPr>
          <w:rFonts w:ascii="Arial" w:hAnsi="Arial" w:cs="Arial"/>
          <w:color w:val="FF0000"/>
          <w:sz w:val="24"/>
          <w:szCs w:val="24"/>
          <w:lang w:val="en-US"/>
        </w:rPr>
        <w:t>Continuous infusion of terlipressin or vasopressin are potential second-line agents in patients with poor response to norepinephrine (</w:t>
      </w:r>
      <w:r w:rsidRPr="004554E1">
        <w:rPr>
          <w:rFonts w:ascii="Arial" w:hAnsi="Arial" w:cs="Arial"/>
          <w:b/>
          <w:bCs/>
          <w:color w:val="FF0000"/>
          <w:sz w:val="24"/>
          <w:szCs w:val="24"/>
          <w:lang w:val="en-US"/>
        </w:rPr>
        <w:t>LoE 4, consensus</w:t>
      </w:r>
      <w:r w:rsidRPr="004554E1">
        <w:rPr>
          <w:rFonts w:ascii="Arial" w:hAnsi="Arial" w:cs="Arial"/>
          <w:color w:val="FF0000"/>
          <w:sz w:val="24"/>
          <w:szCs w:val="24"/>
          <w:lang w:val="en-US"/>
        </w:rPr>
        <w:t>).</w:t>
      </w:r>
    </w:p>
    <w:p w14:paraId="0F0DF82A" w14:textId="77777777" w:rsidR="00543CDC" w:rsidRPr="004554E1" w:rsidRDefault="00543CDC" w:rsidP="004554E1">
      <w:pPr>
        <w:spacing w:after="0" w:line="480" w:lineRule="auto"/>
        <w:jc w:val="both"/>
        <w:rPr>
          <w:rFonts w:ascii="Arial" w:hAnsi="Arial" w:cs="Arial"/>
          <w:color w:val="FF0000"/>
          <w:sz w:val="24"/>
          <w:szCs w:val="24"/>
          <w:lang w:val="en-US"/>
        </w:rPr>
      </w:pPr>
    </w:p>
    <w:p w14:paraId="25F61B15" w14:textId="150F5E68" w:rsidR="00543CDC" w:rsidRPr="004554E1" w:rsidRDefault="00543CDC" w:rsidP="004554E1">
      <w:pPr>
        <w:pStyle w:val="ListParagraph"/>
        <w:spacing w:after="0" w:line="480" w:lineRule="auto"/>
        <w:ind w:left="0"/>
        <w:contextualSpacing w:val="0"/>
        <w:jc w:val="both"/>
        <w:rPr>
          <w:rFonts w:ascii="Arial" w:hAnsi="Arial" w:cs="Arial"/>
          <w:color w:val="FF0000"/>
          <w:sz w:val="24"/>
          <w:szCs w:val="24"/>
          <w:lang w:val="en-US"/>
        </w:rPr>
      </w:pPr>
      <w:r w:rsidRPr="004554E1">
        <w:rPr>
          <w:rFonts w:ascii="Arial" w:hAnsi="Arial" w:cs="Arial"/>
          <w:color w:val="FF0000"/>
          <w:sz w:val="24"/>
          <w:szCs w:val="24"/>
          <w:lang w:val="en-US"/>
        </w:rPr>
        <w:t xml:space="preserve">Patients not responding to fluid therapy require the rapid initiation of vasopressors to preserve organ perfusion and prevent organ damage. Current Surviving Sepsis Campaign guidelines recommend the use of norepinephrine, a potent α-1 and β-1 adrenergic receptor agonist, as first-line vasopressor in patients with septic shock from </w:t>
      </w:r>
      <w:r w:rsidRPr="004554E1">
        <w:rPr>
          <w:rFonts w:ascii="Arial" w:hAnsi="Arial" w:cs="Arial"/>
          <w:color w:val="FF0000"/>
          <w:sz w:val="24"/>
          <w:szCs w:val="24"/>
          <w:lang w:val="en-US"/>
        </w:rPr>
        <w:lastRenderedPageBreak/>
        <w:t>the general population.</w:t>
      </w:r>
      <w:r w:rsidRPr="004554E1">
        <w:rPr>
          <w:rFonts w:ascii="Arial" w:hAnsi="Arial" w:cs="Arial"/>
          <w:color w:val="FF0000"/>
          <w:sz w:val="24"/>
          <w:szCs w:val="24"/>
          <w:vertAlign w:val="superscript"/>
          <w:lang w:val="en-US"/>
        </w:rPr>
        <w:t>2</w:t>
      </w:r>
      <w:r w:rsidRPr="004554E1">
        <w:rPr>
          <w:rFonts w:ascii="Arial" w:hAnsi="Arial" w:cs="Arial"/>
          <w:color w:val="FF0000"/>
          <w:sz w:val="24"/>
          <w:szCs w:val="24"/>
          <w:lang w:val="en-US"/>
        </w:rPr>
        <w:t xml:space="preserve"> Patients with inadequate response to norepinephrine (low MAP despite moderate-to-high doses of norepinephrine: 0.25–0.5 μg/kg/min) should receive vasopressin, a V</w:t>
      </w:r>
      <w:r w:rsidRPr="004554E1">
        <w:rPr>
          <w:rFonts w:ascii="Arial" w:hAnsi="Arial" w:cs="Arial"/>
          <w:color w:val="FF0000"/>
          <w:position w:val="-4"/>
          <w:sz w:val="24"/>
          <w:szCs w:val="24"/>
          <w:vertAlign w:val="subscript"/>
          <w:lang w:val="en-US"/>
        </w:rPr>
        <w:t>1</w:t>
      </w:r>
      <w:r w:rsidRPr="004554E1">
        <w:rPr>
          <w:rFonts w:ascii="Arial" w:hAnsi="Arial" w:cs="Arial"/>
          <w:color w:val="FF0000"/>
          <w:position w:val="-4"/>
          <w:sz w:val="24"/>
          <w:szCs w:val="24"/>
          <w:vertAlign w:val="superscript"/>
          <w:lang w:val="en-US"/>
        </w:rPr>
        <w:t>-</w:t>
      </w:r>
      <w:r w:rsidRPr="004554E1">
        <w:rPr>
          <w:rFonts w:ascii="Arial" w:hAnsi="Arial" w:cs="Arial"/>
          <w:color w:val="FF0000"/>
          <w:sz w:val="24"/>
          <w:szCs w:val="24"/>
          <w:lang w:val="en-US"/>
        </w:rPr>
        <w:t>receptor agonist. Resistance to norepinephrine is frequently caused by the internalization of its receptors due to tissue hypoxia. The combination of both drugs reduces the catecholamine burden, and the risk of arrhythmias and could improve survival, especially in patients with less severe forms of septic shock.</w:t>
      </w:r>
      <w:r w:rsidR="000D6E62">
        <w:rPr>
          <w:rFonts w:ascii="Arial" w:hAnsi="Arial" w:cs="Arial"/>
          <w:color w:val="FF0000"/>
          <w:sz w:val="24"/>
          <w:szCs w:val="24"/>
          <w:vertAlign w:val="superscript"/>
          <w:lang w:val="en-US"/>
        </w:rPr>
        <w:t>10</w:t>
      </w:r>
      <w:r w:rsidRPr="004554E1">
        <w:rPr>
          <w:rStyle w:val="docsum-pmid"/>
          <w:rFonts w:ascii="Arial" w:eastAsia="Calibri" w:hAnsi="Arial" w:cs="Arial"/>
          <w:color w:val="FF0000"/>
          <w:sz w:val="24"/>
          <w:szCs w:val="24"/>
          <w:lang w:val="en-US"/>
        </w:rPr>
        <w:t xml:space="preserve"> Epinephrine is only recommended in patients who do not respond to the combination of norepinephrine and vasopressin </w:t>
      </w:r>
      <w:r w:rsidRPr="004554E1">
        <w:rPr>
          <w:rFonts w:ascii="Arial" w:hAnsi="Arial" w:cs="Arial"/>
          <w:color w:val="FF0000"/>
          <w:sz w:val="24"/>
          <w:szCs w:val="24"/>
          <w:lang w:val="en-US"/>
        </w:rPr>
        <w:t>due to the high risk of ischemic events</w:t>
      </w:r>
      <w:r w:rsidRPr="004554E1">
        <w:rPr>
          <w:rStyle w:val="docsum-pmid"/>
          <w:rFonts w:ascii="Arial" w:eastAsia="Calibri" w:hAnsi="Arial" w:cs="Arial"/>
          <w:color w:val="FF0000"/>
          <w:sz w:val="24"/>
          <w:szCs w:val="24"/>
          <w:lang w:val="en-US"/>
        </w:rPr>
        <w:t xml:space="preserve">. </w:t>
      </w:r>
      <w:r w:rsidRPr="004554E1">
        <w:rPr>
          <w:rFonts w:ascii="Arial" w:hAnsi="Arial" w:cs="Arial"/>
          <w:color w:val="FF0000"/>
          <w:sz w:val="24"/>
          <w:szCs w:val="24"/>
          <w:lang w:val="en-US"/>
        </w:rPr>
        <w:t xml:space="preserve">Dopamine, an α-1, β-1 adrenergic and dopaminergic receptor agonist, is no longer recommended in the management of septic shock. It </w:t>
      </w:r>
      <w:r w:rsidRPr="004554E1">
        <w:rPr>
          <w:rFonts w:ascii="Arial" w:hAnsi="Arial" w:cs="Arial"/>
          <w:color w:val="FF0000"/>
          <w:sz w:val="24"/>
          <w:szCs w:val="24"/>
          <w:shd w:val="clear" w:color="auto" w:fill="FFFFFF"/>
          <w:lang w:val="en-US"/>
        </w:rPr>
        <w:t xml:space="preserve">increases the risk of major adverse events, mainly cardiac arrhythmias (24.1% </w:t>
      </w:r>
      <w:r w:rsidRPr="004554E1">
        <w:rPr>
          <w:rFonts w:ascii="Arial" w:hAnsi="Arial" w:cs="Arial"/>
          <w:i/>
          <w:color w:val="FF0000"/>
          <w:sz w:val="24"/>
          <w:szCs w:val="24"/>
          <w:shd w:val="clear" w:color="auto" w:fill="FFFFFF"/>
          <w:lang w:val="en-US"/>
        </w:rPr>
        <w:t>vs.</w:t>
      </w:r>
      <w:r w:rsidRPr="004554E1">
        <w:rPr>
          <w:rFonts w:ascii="Arial" w:hAnsi="Arial" w:cs="Arial"/>
          <w:color w:val="FF0000"/>
          <w:sz w:val="24"/>
          <w:szCs w:val="24"/>
          <w:shd w:val="clear" w:color="auto" w:fill="FFFFFF"/>
          <w:lang w:val="en-US"/>
        </w:rPr>
        <w:t xml:space="preserve"> 12.4%, p&lt;0.001) and short-term mortality</w:t>
      </w:r>
      <w:r w:rsidRPr="004554E1">
        <w:rPr>
          <w:rFonts w:ascii="Arial" w:hAnsi="Arial" w:cs="Arial"/>
          <w:color w:val="FF0000"/>
          <w:sz w:val="24"/>
          <w:szCs w:val="24"/>
          <w:lang w:val="en-US"/>
        </w:rPr>
        <w:t xml:space="preserve"> in comparison with n</w:t>
      </w:r>
      <w:r w:rsidRPr="004554E1">
        <w:rPr>
          <w:rFonts w:ascii="Arial" w:hAnsi="Arial" w:cs="Arial"/>
          <w:color w:val="FF0000"/>
          <w:sz w:val="24"/>
          <w:szCs w:val="24"/>
          <w:shd w:val="clear" w:color="auto" w:fill="FFFFFF"/>
          <w:lang w:val="en-US"/>
        </w:rPr>
        <w:t>orepinephrine.</w:t>
      </w:r>
      <w:r w:rsidRPr="004554E1">
        <w:rPr>
          <w:rFonts w:ascii="Arial" w:hAnsi="Arial" w:cs="Arial"/>
          <w:color w:val="FF0000"/>
          <w:sz w:val="24"/>
          <w:szCs w:val="24"/>
          <w:shd w:val="clear" w:color="auto" w:fill="FFFFFF"/>
          <w:vertAlign w:val="superscript"/>
          <w:lang w:val="en-US"/>
        </w:rPr>
        <w:t>1</w:t>
      </w:r>
      <w:r w:rsidR="000D6E62">
        <w:rPr>
          <w:rFonts w:ascii="Arial" w:hAnsi="Arial" w:cs="Arial"/>
          <w:color w:val="FF0000"/>
          <w:sz w:val="24"/>
          <w:szCs w:val="24"/>
          <w:shd w:val="clear" w:color="auto" w:fill="FFFFFF"/>
          <w:vertAlign w:val="superscript"/>
          <w:lang w:val="en-US"/>
        </w:rPr>
        <w:t>1,</w:t>
      </w:r>
      <w:proofErr w:type="gramStart"/>
      <w:r w:rsidR="000D6E62">
        <w:rPr>
          <w:rFonts w:ascii="Arial" w:hAnsi="Arial" w:cs="Arial"/>
          <w:color w:val="FF0000"/>
          <w:sz w:val="24"/>
          <w:szCs w:val="24"/>
          <w:shd w:val="clear" w:color="auto" w:fill="FFFFFF"/>
          <w:vertAlign w:val="superscript"/>
          <w:lang w:val="en-US"/>
        </w:rPr>
        <w:t>12</w:t>
      </w:r>
      <w:proofErr w:type="gramEnd"/>
      <w:r w:rsidRPr="004554E1">
        <w:rPr>
          <w:rFonts w:ascii="Arial" w:hAnsi="Arial" w:cs="Arial"/>
          <w:color w:val="FF0000"/>
          <w:sz w:val="24"/>
          <w:szCs w:val="24"/>
          <w:lang w:val="en-US"/>
        </w:rPr>
        <w:t xml:space="preserve"> </w:t>
      </w:r>
    </w:p>
    <w:p w14:paraId="6D79B477" w14:textId="13481056" w:rsidR="00543CDC" w:rsidRPr="004554E1" w:rsidRDefault="00543CDC" w:rsidP="004554E1">
      <w:pPr>
        <w:pStyle w:val="NormalWeb"/>
        <w:spacing w:before="0" w:beforeAutospacing="0" w:after="0" w:afterAutospacing="0" w:line="480" w:lineRule="auto"/>
        <w:ind w:firstLine="708"/>
        <w:jc w:val="both"/>
        <w:rPr>
          <w:rFonts w:ascii="Arial" w:hAnsi="Arial" w:cs="Arial"/>
          <w:color w:val="FF0000"/>
          <w:vertAlign w:val="superscript"/>
          <w:lang w:val="en-US"/>
        </w:rPr>
      </w:pPr>
      <w:r w:rsidRPr="004554E1">
        <w:rPr>
          <w:rFonts w:ascii="Arial" w:hAnsi="Arial" w:cs="Arial"/>
          <w:color w:val="FF0000"/>
          <w:lang w:val="en-US"/>
        </w:rPr>
        <w:t>Following the recommendations established in the general ICU population, norepinephrine is considered the first-line vasopressor to be initiated in ACLF patients due to its safe profile. Continuous infusion of terlipressin or vasopressin are potential second-line agents in patients with refractory septic shock.</w:t>
      </w:r>
      <w:r w:rsidR="000D6E62">
        <w:rPr>
          <w:rFonts w:ascii="Arial" w:hAnsi="Arial" w:cs="Arial"/>
          <w:color w:val="FF0000"/>
          <w:vertAlign w:val="superscript"/>
          <w:lang w:val="en-US"/>
        </w:rPr>
        <w:t>7</w:t>
      </w:r>
      <w:r w:rsidRPr="004554E1">
        <w:rPr>
          <w:rFonts w:ascii="Arial" w:hAnsi="Arial" w:cs="Arial"/>
          <w:color w:val="FF0000"/>
          <w:vertAlign w:val="superscript"/>
          <w:lang w:val="en-US"/>
        </w:rPr>
        <w:t xml:space="preserve"> </w:t>
      </w:r>
      <w:r w:rsidRPr="004554E1">
        <w:rPr>
          <w:rFonts w:ascii="Arial" w:hAnsi="Arial" w:cs="Arial"/>
          <w:color w:val="FF0000"/>
          <w:lang w:val="en-US"/>
        </w:rPr>
        <w:t xml:space="preserve">An open label investigation including 82 patients with septic shock compared the efficacy and safety of norepinephrine (7.5-60 µ/min) and terlipressin (2-8 mg over 24 h) as first line therapy in cirrhotic patients with septic shock. Terlipressin was associated with a more rapid hemodynamic stabilization, lower risk of variceal bleeding (0% </w:t>
      </w:r>
      <w:r w:rsidRPr="004554E1">
        <w:rPr>
          <w:rFonts w:ascii="Arial" w:hAnsi="Arial" w:cs="Arial"/>
          <w:i/>
          <w:color w:val="FF0000"/>
          <w:lang w:val="en-US"/>
        </w:rPr>
        <w:t>vs.</w:t>
      </w:r>
      <w:r w:rsidRPr="004554E1">
        <w:rPr>
          <w:rFonts w:ascii="Arial" w:hAnsi="Arial" w:cs="Arial"/>
          <w:color w:val="FF0000"/>
          <w:lang w:val="en-US"/>
        </w:rPr>
        <w:t xml:space="preserve"> 9.5%, p=0.01) and improved survival at 48h (95.2% </w:t>
      </w:r>
      <w:r w:rsidRPr="004554E1">
        <w:rPr>
          <w:rFonts w:ascii="Arial" w:hAnsi="Arial" w:cs="Arial"/>
          <w:i/>
          <w:color w:val="FF0000"/>
          <w:lang w:val="en-US"/>
        </w:rPr>
        <w:t>vs.</w:t>
      </w:r>
      <w:r w:rsidRPr="004554E1">
        <w:rPr>
          <w:rFonts w:ascii="Arial" w:hAnsi="Arial" w:cs="Arial"/>
          <w:color w:val="FF0000"/>
          <w:lang w:val="en-US"/>
        </w:rPr>
        <w:t xml:space="preserve"> 71.4%, p=0.003). Hospital survival was markedly low and similar between groups. A higher rate of adverse effect (40% </w:t>
      </w:r>
      <w:r w:rsidRPr="004554E1">
        <w:rPr>
          <w:rFonts w:ascii="Arial" w:hAnsi="Arial" w:cs="Arial"/>
          <w:i/>
          <w:color w:val="FF0000"/>
          <w:lang w:val="en-US"/>
        </w:rPr>
        <w:t>vs.</w:t>
      </w:r>
      <w:r w:rsidRPr="004554E1">
        <w:rPr>
          <w:rFonts w:ascii="Arial" w:hAnsi="Arial" w:cs="Arial"/>
          <w:color w:val="FF0000"/>
          <w:lang w:val="en-US"/>
        </w:rPr>
        <w:t xml:space="preserve"> 21%, p=0.06), mainly peripheral ischemia and lactic acidosis, was observed in patients on terlipressin therapy.</w:t>
      </w:r>
      <w:r w:rsidR="000D6E62" w:rsidRPr="000D6E62">
        <w:rPr>
          <w:rFonts w:ascii="Arial" w:hAnsi="Arial" w:cs="Arial"/>
          <w:color w:val="FF0000"/>
          <w:vertAlign w:val="superscript"/>
          <w:lang w:val="en-US"/>
        </w:rPr>
        <w:t>7</w:t>
      </w:r>
      <w:r w:rsidRPr="004554E1">
        <w:rPr>
          <w:rFonts w:ascii="Arial" w:hAnsi="Arial" w:cs="Arial"/>
          <w:color w:val="FF0000"/>
          <w:vertAlign w:val="superscript"/>
          <w:lang w:val="en-US"/>
        </w:rPr>
        <w:t>,1</w:t>
      </w:r>
      <w:r w:rsidR="000D6E62">
        <w:rPr>
          <w:rFonts w:ascii="Arial" w:hAnsi="Arial" w:cs="Arial"/>
          <w:color w:val="FF0000"/>
          <w:vertAlign w:val="superscript"/>
          <w:lang w:val="en-US"/>
        </w:rPr>
        <w:t>3</w:t>
      </w:r>
      <w:r w:rsidRPr="004554E1">
        <w:rPr>
          <w:rFonts w:ascii="Arial" w:hAnsi="Arial" w:cs="Arial"/>
          <w:color w:val="FF0000"/>
          <w:lang w:val="en-US"/>
        </w:rPr>
        <w:t xml:space="preserve"> New RCT are needed before considering terlipressin a safe alternative to norepinephrine in patients with ACLF and septic shock. On the contrary, continuous </w:t>
      </w:r>
      <w:r w:rsidRPr="004554E1">
        <w:rPr>
          <w:rFonts w:ascii="Arial" w:hAnsi="Arial" w:cs="Arial"/>
          <w:color w:val="FF0000"/>
          <w:lang w:val="en-US"/>
        </w:rPr>
        <w:lastRenderedPageBreak/>
        <w:t>infusion of terlipressin is considered the first-line option in patients with hepatorenal syndrome (HRS, now known as HRS-AKI).</w:t>
      </w:r>
      <w:r w:rsidRPr="004554E1">
        <w:rPr>
          <w:rFonts w:ascii="Arial" w:hAnsi="Arial" w:cs="Arial"/>
          <w:color w:val="FF0000"/>
          <w:vertAlign w:val="superscript"/>
          <w:lang w:val="en-US"/>
        </w:rPr>
        <w:t>1</w:t>
      </w:r>
      <w:r w:rsidR="000D6E62">
        <w:rPr>
          <w:rFonts w:ascii="Arial" w:hAnsi="Arial" w:cs="Arial"/>
          <w:color w:val="FF0000"/>
          <w:vertAlign w:val="superscript"/>
          <w:lang w:val="en-US"/>
        </w:rPr>
        <w:t>4</w:t>
      </w:r>
    </w:p>
    <w:p w14:paraId="710D3024" w14:textId="77777777" w:rsidR="00543CDC" w:rsidRPr="004554E1" w:rsidRDefault="00543CDC" w:rsidP="004554E1">
      <w:pPr>
        <w:pStyle w:val="ListParagraph"/>
        <w:spacing w:after="0" w:line="480" w:lineRule="auto"/>
        <w:ind w:left="0"/>
        <w:contextualSpacing w:val="0"/>
        <w:jc w:val="both"/>
        <w:rPr>
          <w:rFonts w:ascii="Arial" w:hAnsi="Arial" w:cs="Arial"/>
          <w:b/>
          <w:bCs/>
          <w:caps/>
          <w:color w:val="FF0000"/>
          <w:sz w:val="24"/>
          <w:szCs w:val="24"/>
          <w:lang w:val="en-US"/>
        </w:rPr>
      </w:pPr>
    </w:p>
    <w:p w14:paraId="21FCB91C" w14:textId="77777777" w:rsidR="00505CAC" w:rsidRPr="00253B39" w:rsidRDefault="00505CAC" w:rsidP="004554E1">
      <w:pPr>
        <w:spacing w:after="0" w:line="480" w:lineRule="auto"/>
        <w:jc w:val="both"/>
        <w:rPr>
          <w:rFonts w:ascii="Arial" w:hAnsi="Arial" w:cs="Arial"/>
          <w:b/>
          <w:bCs/>
          <w:color w:val="FF0000"/>
          <w:sz w:val="24"/>
          <w:szCs w:val="24"/>
          <w:lang w:val="en-US"/>
        </w:rPr>
      </w:pPr>
      <w:r w:rsidRPr="004554E1">
        <w:rPr>
          <w:rFonts w:ascii="Arial" w:hAnsi="Arial" w:cs="Arial"/>
          <w:b/>
          <w:color w:val="FF0000"/>
          <w:sz w:val="24"/>
          <w:szCs w:val="24"/>
          <w:lang w:val="en-US"/>
        </w:rPr>
        <w:t xml:space="preserve">Does a MAP target of 65 to 70 mm Hg improve prognosis in patients </w:t>
      </w:r>
      <w:r w:rsidRPr="00253B39">
        <w:rPr>
          <w:rFonts w:ascii="Arial" w:hAnsi="Arial" w:cs="Arial"/>
          <w:b/>
          <w:color w:val="FF0000"/>
          <w:sz w:val="24"/>
          <w:szCs w:val="24"/>
          <w:lang w:val="en-US"/>
        </w:rPr>
        <w:t>with ACLF who require vasopressors for hypotension?</w:t>
      </w:r>
    </w:p>
    <w:p w14:paraId="77562D87" w14:textId="77777777" w:rsidR="00505CAC" w:rsidRPr="00253B39" w:rsidRDefault="00505CAC" w:rsidP="004554E1">
      <w:pPr>
        <w:spacing w:after="0" w:line="480" w:lineRule="auto"/>
        <w:jc w:val="both"/>
        <w:rPr>
          <w:rFonts w:ascii="Arial" w:hAnsi="Arial" w:cs="Arial"/>
          <w:b/>
          <w:bCs/>
          <w:color w:val="FF0000"/>
          <w:sz w:val="24"/>
          <w:szCs w:val="24"/>
          <w:lang w:val="en-US"/>
        </w:rPr>
      </w:pPr>
    </w:p>
    <w:p w14:paraId="401D8363" w14:textId="77777777" w:rsidR="00505CAC" w:rsidRPr="00253B39" w:rsidRDefault="00505CAC" w:rsidP="004554E1">
      <w:pPr>
        <w:spacing w:after="0" w:line="480" w:lineRule="auto"/>
        <w:jc w:val="both"/>
        <w:rPr>
          <w:rFonts w:ascii="Arial" w:hAnsi="Arial" w:cs="Arial"/>
          <w:b/>
          <w:bCs/>
          <w:color w:val="FF0000"/>
          <w:sz w:val="24"/>
          <w:szCs w:val="24"/>
          <w:lang w:val="en-US"/>
        </w:rPr>
      </w:pPr>
      <w:r w:rsidRPr="00253B39">
        <w:rPr>
          <w:rFonts w:ascii="Arial" w:hAnsi="Arial" w:cs="Arial"/>
          <w:b/>
          <w:bCs/>
          <w:color w:val="FF0000"/>
          <w:sz w:val="24"/>
          <w:szCs w:val="24"/>
          <w:lang w:val="en-US"/>
        </w:rPr>
        <w:t>Patient and population:</w:t>
      </w:r>
      <w:r w:rsidRPr="00253B39">
        <w:rPr>
          <w:rFonts w:ascii="Arial" w:hAnsi="Arial" w:cs="Arial"/>
          <w:color w:val="FF0000"/>
          <w:sz w:val="24"/>
          <w:szCs w:val="24"/>
          <w:lang w:val="en-US"/>
        </w:rPr>
        <w:t xml:space="preserve"> Patients with ACLF who require vasopressors for </w:t>
      </w:r>
      <w:proofErr w:type="gramStart"/>
      <w:r w:rsidRPr="00253B39">
        <w:rPr>
          <w:rFonts w:ascii="Arial" w:hAnsi="Arial" w:cs="Arial"/>
          <w:color w:val="FF0000"/>
          <w:sz w:val="24"/>
          <w:szCs w:val="24"/>
          <w:lang w:val="en-US"/>
        </w:rPr>
        <w:t>hypotension</w:t>
      </w:r>
      <w:proofErr w:type="gramEnd"/>
    </w:p>
    <w:p w14:paraId="474643CE" w14:textId="77777777" w:rsidR="00505CAC" w:rsidRPr="00253B39" w:rsidRDefault="00505CAC" w:rsidP="004554E1">
      <w:pPr>
        <w:spacing w:after="0" w:line="480" w:lineRule="auto"/>
        <w:jc w:val="both"/>
        <w:rPr>
          <w:rFonts w:ascii="Arial" w:hAnsi="Arial" w:cs="Arial"/>
          <w:b/>
          <w:bCs/>
          <w:color w:val="FF0000"/>
          <w:sz w:val="24"/>
          <w:szCs w:val="24"/>
          <w:lang w:val="en-US"/>
        </w:rPr>
      </w:pPr>
      <w:r w:rsidRPr="00253B39">
        <w:rPr>
          <w:rFonts w:ascii="Arial" w:hAnsi="Arial" w:cs="Arial"/>
          <w:b/>
          <w:bCs/>
          <w:color w:val="FF0000"/>
          <w:sz w:val="24"/>
          <w:szCs w:val="24"/>
          <w:lang w:val="en-US"/>
        </w:rPr>
        <w:t>Intervention:</w:t>
      </w:r>
      <w:r w:rsidRPr="00253B39">
        <w:rPr>
          <w:rFonts w:ascii="Arial" w:hAnsi="Arial" w:cs="Arial"/>
          <w:color w:val="FF0000"/>
          <w:sz w:val="24"/>
          <w:szCs w:val="24"/>
          <w:lang w:val="en-US"/>
        </w:rPr>
        <w:t xml:space="preserve"> MAP target of 65-70 mm Hg</w:t>
      </w:r>
    </w:p>
    <w:p w14:paraId="6DA423AE" w14:textId="77777777" w:rsidR="00505CAC" w:rsidRPr="00253B39" w:rsidRDefault="00505CAC" w:rsidP="004554E1">
      <w:pPr>
        <w:spacing w:after="0" w:line="480" w:lineRule="auto"/>
        <w:jc w:val="both"/>
        <w:rPr>
          <w:rFonts w:ascii="Arial" w:hAnsi="Arial" w:cs="Arial"/>
          <w:b/>
          <w:bCs/>
          <w:color w:val="FF0000"/>
          <w:sz w:val="24"/>
          <w:szCs w:val="24"/>
          <w:lang w:val="en-US"/>
        </w:rPr>
      </w:pPr>
      <w:r w:rsidRPr="00253B39">
        <w:rPr>
          <w:rFonts w:ascii="Arial" w:hAnsi="Arial" w:cs="Arial"/>
          <w:b/>
          <w:bCs/>
          <w:color w:val="FF0000"/>
          <w:sz w:val="24"/>
          <w:szCs w:val="24"/>
          <w:lang w:val="en-US"/>
        </w:rPr>
        <w:t>Comparison:</w:t>
      </w:r>
      <w:r w:rsidRPr="00253B39">
        <w:rPr>
          <w:rFonts w:ascii="Arial" w:hAnsi="Arial" w:cs="Arial"/>
          <w:color w:val="FF0000"/>
          <w:sz w:val="24"/>
          <w:szCs w:val="24"/>
          <w:lang w:val="en-US"/>
        </w:rPr>
        <w:t xml:space="preserve"> MAP target of 60 mm Hg</w:t>
      </w:r>
    </w:p>
    <w:p w14:paraId="4CF9AEFD" w14:textId="77777777" w:rsidR="00505CAC" w:rsidRPr="00253B39" w:rsidRDefault="00505CAC" w:rsidP="004554E1">
      <w:pPr>
        <w:spacing w:after="0" w:line="480" w:lineRule="auto"/>
        <w:jc w:val="both"/>
        <w:rPr>
          <w:rFonts w:ascii="Arial" w:hAnsi="Arial" w:cs="Arial"/>
          <w:color w:val="FF0000"/>
          <w:sz w:val="24"/>
          <w:szCs w:val="24"/>
          <w:lang w:val="en-US"/>
        </w:rPr>
      </w:pPr>
      <w:r w:rsidRPr="00253B39">
        <w:rPr>
          <w:rFonts w:ascii="Arial" w:hAnsi="Arial" w:cs="Arial"/>
          <w:b/>
          <w:bCs/>
          <w:color w:val="FF0000"/>
          <w:sz w:val="24"/>
          <w:szCs w:val="24"/>
          <w:lang w:val="en-US"/>
        </w:rPr>
        <w:t>Outcome:</w:t>
      </w:r>
      <w:r w:rsidRPr="00253B39">
        <w:rPr>
          <w:rFonts w:ascii="Arial" w:hAnsi="Arial" w:cs="Arial"/>
          <w:color w:val="FF0000"/>
          <w:sz w:val="24"/>
          <w:szCs w:val="24"/>
          <w:lang w:val="en-US"/>
        </w:rPr>
        <w:t xml:space="preserve"> Resolution of shock, AKI, renal-replacement therapy, dynamics of ACLF course (either increases, no change or decreases in ACLF grade) during the first week after admission, 28- and 90-day transplantation-free mortality</w:t>
      </w:r>
    </w:p>
    <w:p w14:paraId="21BB0597" w14:textId="77777777" w:rsidR="00505CAC" w:rsidRPr="00253B39" w:rsidRDefault="00505CAC" w:rsidP="004554E1">
      <w:pPr>
        <w:spacing w:after="0" w:line="480" w:lineRule="auto"/>
        <w:jc w:val="both"/>
        <w:rPr>
          <w:rFonts w:ascii="Arial" w:hAnsi="Arial" w:cs="Arial"/>
          <w:bCs/>
          <w:color w:val="FF0000"/>
          <w:sz w:val="24"/>
          <w:szCs w:val="24"/>
          <w:lang w:val="en-US"/>
        </w:rPr>
      </w:pPr>
    </w:p>
    <w:p w14:paraId="1ED237FE" w14:textId="77777777" w:rsidR="00505CAC" w:rsidRPr="00253B39" w:rsidRDefault="00505CAC" w:rsidP="004554E1">
      <w:pPr>
        <w:spacing w:after="0" w:line="480" w:lineRule="auto"/>
        <w:jc w:val="both"/>
        <w:rPr>
          <w:rFonts w:ascii="Arial" w:hAnsi="Arial" w:cs="Arial"/>
          <w:b/>
          <w:bCs/>
          <w:color w:val="FF0000"/>
          <w:sz w:val="24"/>
          <w:szCs w:val="24"/>
          <w:lang w:val="en-US"/>
        </w:rPr>
      </w:pPr>
      <w:r w:rsidRPr="00253B39">
        <w:rPr>
          <w:rFonts w:ascii="Arial" w:hAnsi="Arial" w:cs="Arial"/>
          <w:b/>
          <w:bCs/>
          <w:color w:val="FF0000"/>
          <w:sz w:val="24"/>
          <w:szCs w:val="24"/>
          <w:lang w:val="en-US"/>
        </w:rPr>
        <w:t>Recommendation</w:t>
      </w:r>
    </w:p>
    <w:p w14:paraId="01BABF5A" w14:textId="77777777" w:rsidR="00505CAC" w:rsidRPr="00253B39" w:rsidRDefault="00505CAC" w:rsidP="004554E1">
      <w:pPr>
        <w:pStyle w:val="ListParagraph"/>
        <w:numPr>
          <w:ilvl w:val="0"/>
          <w:numId w:val="5"/>
        </w:numPr>
        <w:spacing w:after="0" w:line="480" w:lineRule="auto"/>
        <w:contextualSpacing w:val="0"/>
        <w:jc w:val="both"/>
        <w:rPr>
          <w:rFonts w:ascii="Arial" w:hAnsi="Arial" w:cs="Arial"/>
          <w:color w:val="FF0000"/>
          <w:sz w:val="24"/>
          <w:szCs w:val="24"/>
          <w:lang w:val="en-US"/>
        </w:rPr>
      </w:pPr>
      <w:r w:rsidRPr="00253B39">
        <w:rPr>
          <w:rFonts w:ascii="Arial" w:hAnsi="Arial" w:cs="Arial"/>
          <w:color w:val="FF0000"/>
          <w:sz w:val="24"/>
          <w:szCs w:val="24"/>
          <w:lang w:val="en-US"/>
        </w:rPr>
        <w:t>In patients with ACLF who require vasopressors for hypotension, we recommend a strategy to achieve a MAP equal or more than 65 mm Hg (</w:t>
      </w:r>
      <w:r w:rsidRPr="00253B39">
        <w:rPr>
          <w:rFonts w:ascii="Arial" w:hAnsi="Arial" w:cs="Arial"/>
          <w:b/>
          <w:bCs/>
          <w:color w:val="FF0000"/>
          <w:sz w:val="24"/>
          <w:szCs w:val="24"/>
          <w:lang w:val="en-US"/>
        </w:rPr>
        <w:t>LoE 5, strong recommendation, consensus</w:t>
      </w:r>
      <w:r w:rsidRPr="00253B39">
        <w:rPr>
          <w:rFonts w:ascii="Arial" w:hAnsi="Arial" w:cs="Arial"/>
          <w:color w:val="FF0000"/>
          <w:sz w:val="24"/>
          <w:szCs w:val="24"/>
          <w:lang w:val="en-US"/>
        </w:rPr>
        <w:t>).</w:t>
      </w:r>
    </w:p>
    <w:p w14:paraId="744B9C62" w14:textId="77777777" w:rsidR="00505CAC" w:rsidRPr="00253B39" w:rsidRDefault="00505CAC" w:rsidP="004554E1">
      <w:pPr>
        <w:pStyle w:val="NormalWeb"/>
        <w:spacing w:before="0" w:beforeAutospacing="0" w:after="0" w:afterAutospacing="0" w:line="480" w:lineRule="auto"/>
        <w:jc w:val="both"/>
        <w:rPr>
          <w:rFonts w:ascii="Arial" w:hAnsi="Arial" w:cs="Arial"/>
          <w:color w:val="FF0000"/>
          <w:lang w:val="en-US"/>
        </w:rPr>
      </w:pPr>
    </w:p>
    <w:p w14:paraId="13BB60C1" w14:textId="0376E804" w:rsidR="00505CAC" w:rsidRPr="00253B39" w:rsidRDefault="00505CAC" w:rsidP="004554E1">
      <w:pPr>
        <w:pStyle w:val="NormalWeb"/>
        <w:spacing w:before="0" w:beforeAutospacing="0" w:after="0" w:afterAutospacing="0" w:line="480" w:lineRule="auto"/>
        <w:jc w:val="both"/>
        <w:rPr>
          <w:rFonts w:ascii="Arial" w:hAnsi="Arial" w:cs="Arial"/>
          <w:color w:val="FF0000"/>
          <w:lang w:val="en-US"/>
        </w:rPr>
      </w:pPr>
      <w:r w:rsidRPr="00253B39">
        <w:rPr>
          <w:rFonts w:ascii="Arial" w:hAnsi="Arial" w:cs="Arial"/>
          <w:color w:val="FF0000"/>
          <w:lang w:val="en-US"/>
        </w:rPr>
        <w:t>MAP determines systemic filling pressure and tissue blood flow. Organ perfusion decreases when it falls below 60 mm Hg. Consequently, the standard target for resuscitation recommended in the general ICU</w:t>
      </w:r>
      <w:r w:rsidR="00E956CA" w:rsidRPr="00253B39">
        <w:rPr>
          <w:rFonts w:ascii="Arial" w:hAnsi="Arial" w:cs="Arial"/>
          <w:color w:val="FF0000"/>
          <w:lang w:val="en-US"/>
        </w:rPr>
        <w:t xml:space="preserve"> patients with shock is a MAP ≥</w:t>
      </w:r>
      <w:r w:rsidRPr="00253B39">
        <w:rPr>
          <w:rFonts w:ascii="Arial" w:hAnsi="Arial" w:cs="Arial"/>
          <w:color w:val="FF0000"/>
          <w:lang w:val="en-US"/>
        </w:rPr>
        <w:t>65 mm Hg. Higher arterial pressures (75-85 mm Hg) are recommended in patients with systemic hypertension since they are associated with lower requirements of dialysis.</w:t>
      </w:r>
      <w:r w:rsidRPr="00253B39">
        <w:rPr>
          <w:rFonts w:ascii="Arial" w:hAnsi="Arial" w:cs="Arial"/>
          <w:color w:val="FF0000"/>
          <w:vertAlign w:val="superscript"/>
          <w:lang w:val="en-US"/>
        </w:rPr>
        <w:t>1</w:t>
      </w:r>
      <w:r w:rsidR="000D6E62">
        <w:rPr>
          <w:rFonts w:ascii="Arial" w:hAnsi="Arial" w:cs="Arial"/>
          <w:color w:val="FF0000"/>
          <w:vertAlign w:val="superscript"/>
          <w:lang w:val="en-US"/>
        </w:rPr>
        <w:t>5</w:t>
      </w:r>
    </w:p>
    <w:p w14:paraId="167B8DFA" w14:textId="018A55AD" w:rsidR="00505CAC" w:rsidRPr="00253B39" w:rsidRDefault="00505CAC" w:rsidP="004554E1">
      <w:pPr>
        <w:pStyle w:val="NormalWeb"/>
        <w:spacing w:before="0" w:beforeAutospacing="0" w:after="0" w:afterAutospacing="0" w:line="480" w:lineRule="auto"/>
        <w:ind w:firstLine="708"/>
        <w:jc w:val="both"/>
        <w:rPr>
          <w:rFonts w:ascii="Arial" w:hAnsi="Arial" w:cs="Arial"/>
          <w:color w:val="FF0000"/>
          <w:lang w:val="en-US"/>
        </w:rPr>
      </w:pPr>
      <w:r w:rsidRPr="00253B39">
        <w:rPr>
          <w:rFonts w:ascii="Arial" w:hAnsi="Arial" w:cs="Arial"/>
          <w:color w:val="FF0000"/>
          <w:lang w:val="en-US"/>
        </w:rPr>
        <w:lastRenderedPageBreak/>
        <w:t>Since patients with ACLF show lower arterial pressure than general ICU patients, some experts suggest reach a lower MAP target (60 mm Hg) in patients with hypotension requiring vasopressors. However, this threshold could compromise organ hypoperfusion and induce organ failure(s).</w:t>
      </w:r>
      <w:r w:rsidR="000D6E62">
        <w:rPr>
          <w:rFonts w:ascii="Arial" w:hAnsi="Arial" w:cs="Arial"/>
          <w:color w:val="FF0000"/>
          <w:vertAlign w:val="superscript"/>
          <w:lang w:val="en-US"/>
        </w:rPr>
        <w:t>7</w:t>
      </w:r>
      <w:r w:rsidRPr="00253B39">
        <w:rPr>
          <w:rFonts w:ascii="Arial" w:hAnsi="Arial" w:cs="Arial"/>
          <w:color w:val="FF0000"/>
          <w:lang w:val="en-US"/>
        </w:rPr>
        <w:t xml:space="preserve"> Permissive hypotension strategies have never been compared to “usual care” (MAP ≥65 mm Hg) in patients with ACLF who require vasopressors. Until this point is clarified, we recommend a target of a MAP ≥65 mm Hg in patients with ACLF and shock, as suggested in the general population (Surviving Sepsis Campaign guidelines).</w:t>
      </w:r>
      <w:r w:rsidRPr="00253B39">
        <w:rPr>
          <w:rFonts w:ascii="Arial" w:hAnsi="Arial" w:cs="Arial"/>
          <w:color w:val="FF0000"/>
          <w:vertAlign w:val="superscript"/>
          <w:lang w:val="en-US"/>
        </w:rPr>
        <w:t>2</w:t>
      </w:r>
      <w:r w:rsidRPr="00253B39">
        <w:rPr>
          <w:rFonts w:ascii="Arial" w:hAnsi="Arial" w:cs="Arial"/>
          <w:color w:val="FF0000"/>
          <w:lang w:val="en-US"/>
        </w:rPr>
        <w:t xml:space="preserve"> Normalization of arterial lactate levels and of peripheral perfusion (capillary refill time) are also part of the resuscitation strategy. Repeated monitoring of fluid responsiveness and cardiac function through non-invasive (echocardiography) or invasive methods are also highly recommended in all patients with septic shock, especially if signs of hypoperfusion persists in order to individualize the therapeutic strategy.</w:t>
      </w:r>
      <w:r w:rsidR="000D6E62">
        <w:rPr>
          <w:rFonts w:ascii="Arial" w:hAnsi="Arial" w:cs="Arial"/>
          <w:color w:val="FF0000"/>
          <w:vertAlign w:val="superscript"/>
          <w:lang w:val="en-US"/>
        </w:rPr>
        <w:t>7</w:t>
      </w:r>
      <w:r w:rsidRPr="00253B39">
        <w:rPr>
          <w:rFonts w:ascii="Arial" w:hAnsi="Arial" w:cs="Arial"/>
          <w:color w:val="FF0000"/>
          <w:vertAlign w:val="superscript"/>
          <w:lang w:val="en-US"/>
        </w:rPr>
        <w:t>,</w:t>
      </w:r>
      <w:proofErr w:type="gramStart"/>
      <w:r w:rsidRPr="00253B39">
        <w:rPr>
          <w:rFonts w:ascii="Arial" w:hAnsi="Arial" w:cs="Arial"/>
          <w:color w:val="FF0000"/>
          <w:vertAlign w:val="superscript"/>
          <w:lang w:val="en-US"/>
        </w:rPr>
        <w:t>1</w:t>
      </w:r>
      <w:r w:rsidR="000D6E62">
        <w:rPr>
          <w:rFonts w:ascii="Arial" w:hAnsi="Arial" w:cs="Arial"/>
          <w:color w:val="FF0000"/>
          <w:vertAlign w:val="superscript"/>
          <w:lang w:val="en-US"/>
        </w:rPr>
        <w:t>6</w:t>
      </w:r>
      <w:proofErr w:type="gramEnd"/>
    </w:p>
    <w:p w14:paraId="1D027CB3" w14:textId="77777777" w:rsidR="00505CAC" w:rsidRPr="00253B39" w:rsidRDefault="00505CAC" w:rsidP="004554E1">
      <w:pPr>
        <w:spacing w:after="0" w:line="480" w:lineRule="auto"/>
        <w:jc w:val="both"/>
        <w:rPr>
          <w:rFonts w:ascii="Arial" w:hAnsi="Arial" w:cs="Arial"/>
          <w:bCs/>
          <w:color w:val="FF0000"/>
          <w:sz w:val="24"/>
          <w:szCs w:val="24"/>
          <w:lang w:val="en-US"/>
        </w:rPr>
      </w:pPr>
    </w:p>
    <w:p w14:paraId="0376A072" w14:textId="77777777" w:rsidR="00505CAC" w:rsidRPr="00253B39" w:rsidRDefault="00505CAC" w:rsidP="004554E1">
      <w:pPr>
        <w:pStyle w:val="ListParagraph"/>
        <w:spacing w:after="0" w:line="480" w:lineRule="auto"/>
        <w:ind w:left="0"/>
        <w:contextualSpacing w:val="0"/>
        <w:jc w:val="both"/>
        <w:rPr>
          <w:rFonts w:ascii="Arial" w:hAnsi="Arial" w:cs="Arial"/>
          <w:b/>
          <w:bCs/>
          <w:color w:val="FF0000"/>
          <w:sz w:val="24"/>
          <w:szCs w:val="24"/>
          <w:lang w:val="en-US"/>
        </w:rPr>
      </w:pPr>
      <w:r w:rsidRPr="00253B39">
        <w:rPr>
          <w:rFonts w:ascii="Arial" w:hAnsi="Arial" w:cs="Arial"/>
          <w:b/>
          <w:bCs/>
          <w:color w:val="FF0000"/>
          <w:sz w:val="24"/>
          <w:szCs w:val="24"/>
          <w:lang w:val="en-US"/>
        </w:rPr>
        <w:t>Refractory septic shock</w:t>
      </w:r>
    </w:p>
    <w:p w14:paraId="78F5D87A" w14:textId="77777777" w:rsidR="00505CAC" w:rsidRPr="00253B39" w:rsidRDefault="00505CAC" w:rsidP="004554E1">
      <w:pPr>
        <w:spacing w:after="0" w:line="480" w:lineRule="auto"/>
        <w:ind w:left="57"/>
        <w:jc w:val="both"/>
        <w:rPr>
          <w:rFonts w:ascii="Arial" w:hAnsi="Arial" w:cs="Arial"/>
          <w:b/>
          <w:bCs/>
          <w:color w:val="FF0000"/>
          <w:sz w:val="24"/>
          <w:szCs w:val="24"/>
          <w:lang w:val="en-US"/>
        </w:rPr>
      </w:pPr>
      <w:r w:rsidRPr="00253B39">
        <w:rPr>
          <w:rFonts w:ascii="Arial" w:hAnsi="Arial" w:cs="Arial"/>
          <w:b/>
          <w:color w:val="FF0000"/>
          <w:sz w:val="24"/>
          <w:szCs w:val="24"/>
          <w:lang w:val="en-US"/>
        </w:rPr>
        <w:t>Do steroids (hydrocortisone 200 mg/d) improve outcome in patients with ACLF and refractory septic shock?</w:t>
      </w:r>
    </w:p>
    <w:p w14:paraId="0A7EC0D3" w14:textId="77777777" w:rsidR="00505CAC" w:rsidRPr="00253B39" w:rsidRDefault="00505CAC" w:rsidP="004554E1">
      <w:pPr>
        <w:spacing w:after="0" w:line="480" w:lineRule="auto"/>
        <w:ind w:left="57"/>
        <w:jc w:val="both"/>
        <w:rPr>
          <w:rFonts w:ascii="Arial" w:hAnsi="Arial" w:cs="Arial"/>
          <w:b/>
          <w:bCs/>
          <w:color w:val="FF0000"/>
          <w:sz w:val="24"/>
          <w:szCs w:val="24"/>
          <w:lang w:val="en-US"/>
        </w:rPr>
      </w:pPr>
    </w:p>
    <w:p w14:paraId="3BB825E9" w14:textId="77777777" w:rsidR="00505CAC" w:rsidRPr="00253B39" w:rsidRDefault="00505CAC" w:rsidP="004554E1">
      <w:pPr>
        <w:spacing w:after="0" w:line="480" w:lineRule="auto"/>
        <w:ind w:left="57"/>
        <w:jc w:val="both"/>
        <w:rPr>
          <w:rFonts w:ascii="Arial" w:hAnsi="Arial" w:cs="Arial"/>
          <w:b/>
          <w:bCs/>
          <w:color w:val="FF0000"/>
          <w:sz w:val="24"/>
          <w:szCs w:val="24"/>
          <w:lang w:val="en-US"/>
        </w:rPr>
      </w:pPr>
      <w:r w:rsidRPr="00253B39">
        <w:rPr>
          <w:rFonts w:ascii="Arial" w:hAnsi="Arial" w:cs="Arial"/>
          <w:b/>
          <w:bCs/>
          <w:color w:val="FF0000"/>
          <w:sz w:val="24"/>
          <w:szCs w:val="24"/>
          <w:lang w:val="en-US"/>
        </w:rPr>
        <w:t>Patient and population:</w:t>
      </w:r>
      <w:r w:rsidRPr="00253B39">
        <w:rPr>
          <w:rFonts w:ascii="Arial" w:hAnsi="Arial" w:cs="Arial"/>
          <w:color w:val="FF0000"/>
          <w:sz w:val="24"/>
          <w:szCs w:val="24"/>
          <w:lang w:val="en-US"/>
        </w:rPr>
        <w:t xml:space="preserve"> Patients with ACLF and septic shock and increasing doses of norepinephrine (&gt;0.25 µg/kg/min)</w:t>
      </w:r>
    </w:p>
    <w:p w14:paraId="22932B85" w14:textId="77777777" w:rsidR="00505CAC" w:rsidRPr="00253B39" w:rsidRDefault="00505CAC" w:rsidP="004554E1">
      <w:pPr>
        <w:spacing w:after="0" w:line="480" w:lineRule="auto"/>
        <w:ind w:left="57"/>
        <w:jc w:val="both"/>
        <w:rPr>
          <w:rFonts w:ascii="Arial" w:hAnsi="Arial" w:cs="Arial"/>
          <w:b/>
          <w:bCs/>
          <w:color w:val="FF0000"/>
          <w:sz w:val="24"/>
          <w:szCs w:val="24"/>
          <w:lang w:val="en-US"/>
        </w:rPr>
      </w:pPr>
      <w:r w:rsidRPr="00253B39">
        <w:rPr>
          <w:rFonts w:ascii="Arial" w:hAnsi="Arial" w:cs="Arial"/>
          <w:b/>
          <w:bCs/>
          <w:color w:val="FF0000"/>
          <w:sz w:val="24"/>
          <w:szCs w:val="24"/>
          <w:lang w:val="en-US"/>
        </w:rPr>
        <w:t>Intervention:</w:t>
      </w:r>
      <w:r w:rsidRPr="00253B39">
        <w:rPr>
          <w:rFonts w:ascii="Arial" w:hAnsi="Arial" w:cs="Arial"/>
          <w:color w:val="FF0000"/>
          <w:sz w:val="24"/>
          <w:szCs w:val="24"/>
          <w:lang w:val="en-US"/>
        </w:rPr>
        <w:t xml:space="preserve"> Hydrocortisone 200 mg/d</w:t>
      </w:r>
    </w:p>
    <w:p w14:paraId="02F958EC" w14:textId="77777777" w:rsidR="00505CAC" w:rsidRPr="00253B39" w:rsidRDefault="00505CAC" w:rsidP="004554E1">
      <w:pPr>
        <w:spacing w:after="0" w:line="480" w:lineRule="auto"/>
        <w:ind w:left="57"/>
        <w:jc w:val="both"/>
        <w:rPr>
          <w:rFonts w:ascii="Arial" w:hAnsi="Arial" w:cs="Arial"/>
          <w:b/>
          <w:bCs/>
          <w:color w:val="FF0000"/>
          <w:sz w:val="24"/>
          <w:szCs w:val="24"/>
          <w:lang w:val="en-US"/>
        </w:rPr>
      </w:pPr>
      <w:r w:rsidRPr="00253B39">
        <w:rPr>
          <w:rFonts w:ascii="Arial" w:hAnsi="Arial" w:cs="Arial"/>
          <w:b/>
          <w:bCs/>
          <w:color w:val="FF0000"/>
          <w:sz w:val="24"/>
          <w:szCs w:val="24"/>
          <w:lang w:val="en-US"/>
        </w:rPr>
        <w:t>Comparison:</w:t>
      </w:r>
      <w:r w:rsidRPr="00253B39">
        <w:rPr>
          <w:rFonts w:ascii="Arial" w:hAnsi="Arial" w:cs="Arial"/>
          <w:color w:val="FF0000"/>
          <w:sz w:val="24"/>
          <w:szCs w:val="24"/>
          <w:lang w:val="en-US"/>
        </w:rPr>
        <w:t xml:space="preserve"> No steroids</w:t>
      </w:r>
      <w:r w:rsidRPr="00253B39">
        <w:rPr>
          <w:rFonts w:ascii="Arial" w:hAnsi="Arial" w:cs="Arial"/>
          <w:b/>
          <w:bCs/>
          <w:color w:val="FF0000"/>
          <w:sz w:val="24"/>
          <w:szCs w:val="24"/>
          <w:lang w:val="en-US"/>
        </w:rPr>
        <w:t xml:space="preserve"> </w:t>
      </w:r>
    </w:p>
    <w:p w14:paraId="32D513C7" w14:textId="77777777" w:rsidR="00505CAC" w:rsidRPr="00253B39" w:rsidRDefault="00505CAC" w:rsidP="004554E1">
      <w:pPr>
        <w:spacing w:after="0" w:line="480" w:lineRule="auto"/>
        <w:ind w:left="57"/>
        <w:jc w:val="both"/>
        <w:rPr>
          <w:rFonts w:ascii="Arial" w:hAnsi="Arial" w:cs="Arial"/>
          <w:color w:val="FF0000"/>
          <w:sz w:val="24"/>
          <w:szCs w:val="24"/>
          <w:lang w:val="en-US"/>
        </w:rPr>
      </w:pPr>
      <w:r w:rsidRPr="00253B39">
        <w:rPr>
          <w:rFonts w:ascii="Arial" w:hAnsi="Arial" w:cs="Arial"/>
          <w:b/>
          <w:bCs/>
          <w:color w:val="FF0000"/>
          <w:sz w:val="24"/>
          <w:szCs w:val="24"/>
          <w:lang w:val="en-US"/>
        </w:rPr>
        <w:t>Outcome:</w:t>
      </w:r>
      <w:r w:rsidRPr="00253B39">
        <w:rPr>
          <w:rFonts w:ascii="Arial" w:hAnsi="Arial" w:cs="Arial"/>
          <w:color w:val="FF0000"/>
          <w:sz w:val="24"/>
          <w:szCs w:val="24"/>
          <w:lang w:val="en-US"/>
        </w:rPr>
        <w:t xml:space="preserve"> Resolution of shock and 28-day and 90-day transplantation-free mortality</w:t>
      </w:r>
    </w:p>
    <w:p w14:paraId="33647C0F" w14:textId="77777777" w:rsidR="00505CAC" w:rsidRPr="00253B39" w:rsidRDefault="00505CAC" w:rsidP="004554E1">
      <w:pPr>
        <w:spacing w:after="0" w:line="480" w:lineRule="auto"/>
        <w:ind w:left="57"/>
        <w:jc w:val="both"/>
        <w:rPr>
          <w:rFonts w:ascii="Arial" w:hAnsi="Arial" w:cs="Arial"/>
          <w:color w:val="FF0000"/>
          <w:sz w:val="24"/>
          <w:szCs w:val="24"/>
          <w:lang w:val="en-US"/>
        </w:rPr>
      </w:pPr>
    </w:p>
    <w:p w14:paraId="30F80FDC" w14:textId="77777777" w:rsidR="00505CAC" w:rsidRPr="00253B39" w:rsidRDefault="00505CAC" w:rsidP="004554E1">
      <w:pPr>
        <w:spacing w:after="0" w:line="480" w:lineRule="auto"/>
        <w:ind w:left="57"/>
        <w:jc w:val="both"/>
        <w:rPr>
          <w:rFonts w:ascii="Arial" w:hAnsi="Arial" w:cs="Arial"/>
          <w:b/>
          <w:color w:val="FF0000"/>
          <w:sz w:val="24"/>
          <w:szCs w:val="24"/>
          <w:lang w:val="en-US"/>
        </w:rPr>
      </w:pPr>
      <w:r w:rsidRPr="00253B39">
        <w:rPr>
          <w:rFonts w:ascii="Arial" w:hAnsi="Arial" w:cs="Arial"/>
          <w:b/>
          <w:color w:val="FF0000"/>
          <w:sz w:val="24"/>
          <w:szCs w:val="24"/>
          <w:lang w:val="en-US"/>
        </w:rPr>
        <w:t>Recommendation</w:t>
      </w:r>
    </w:p>
    <w:p w14:paraId="37853E8B" w14:textId="77777777" w:rsidR="00505CAC" w:rsidRPr="00253B39" w:rsidRDefault="00505CAC" w:rsidP="004554E1">
      <w:pPr>
        <w:pStyle w:val="ListParagraph"/>
        <w:numPr>
          <w:ilvl w:val="0"/>
          <w:numId w:val="5"/>
        </w:numPr>
        <w:spacing w:after="0" w:line="480" w:lineRule="auto"/>
        <w:contextualSpacing w:val="0"/>
        <w:jc w:val="both"/>
        <w:rPr>
          <w:rFonts w:ascii="Arial" w:hAnsi="Arial" w:cs="Arial"/>
          <w:color w:val="FF0000"/>
          <w:sz w:val="24"/>
          <w:szCs w:val="24"/>
          <w:lang w:val="en-US"/>
        </w:rPr>
      </w:pPr>
      <w:r w:rsidRPr="00253B39">
        <w:rPr>
          <w:rFonts w:ascii="Arial" w:hAnsi="Arial" w:cs="Arial"/>
          <w:color w:val="FF0000"/>
          <w:sz w:val="24"/>
          <w:szCs w:val="24"/>
          <w:lang w:val="en-US"/>
        </w:rPr>
        <w:lastRenderedPageBreak/>
        <w:t>Stress dose steroids might be used in patients with ACLF who require moderate or high doses of norepinephrine (&gt;0.25 µg/kg/min) for hypotension (</w:t>
      </w:r>
      <w:r w:rsidRPr="00253B39">
        <w:rPr>
          <w:rFonts w:ascii="Arial" w:hAnsi="Arial" w:cs="Arial"/>
          <w:b/>
          <w:bCs/>
          <w:color w:val="FF0000"/>
          <w:sz w:val="24"/>
          <w:szCs w:val="24"/>
          <w:lang w:val="en-US"/>
        </w:rPr>
        <w:t>LoE 3/4, weak recommendation, consensus</w:t>
      </w:r>
      <w:r w:rsidRPr="00253B39">
        <w:rPr>
          <w:rFonts w:ascii="Arial" w:hAnsi="Arial" w:cs="Arial"/>
          <w:color w:val="FF0000"/>
          <w:sz w:val="24"/>
          <w:szCs w:val="24"/>
          <w:lang w:val="en-US"/>
        </w:rPr>
        <w:t>).</w:t>
      </w:r>
    </w:p>
    <w:p w14:paraId="0DBD2940" w14:textId="77777777" w:rsidR="00505CAC" w:rsidRPr="00253B39" w:rsidRDefault="00505CAC" w:rsidP="004554E1">
      <w:pPr>
        <w:spacing w:after="0" w:line="480" w:lineRule="auto"/>
        <w:ind w:left="57"/>
        <w:jc w:val="both"/>
        <w:rPr>
          <w:rFonts w:ascii="Arial" w:hAnsi="Arial" w:cs="Arial"/>
          <w:bCs/>
          <w:color w:val="FF0000"/>
          <w:sz w:val="24"/>
          <w:szCs w:val="24"/>
          <w:lang w:val="en-US"/>
        </w:rPr>
      </w:pPr>
    </w:p>
    <w:p w14:paraId="2CE42C0E" w14:textId="77777777" w:rsidR="00505CAC" w:rsidRPr="00253B39" w:rsidRDefault="00505CAC" w:rsidP="004554E1">
      <w:pPr>
        <w:spacing w:after="0" w:line="480" w:lineRule="auto"/>
        <w:ind w:left="57"/>
        <w:jc w:val="both"/>
        <w:rPr>
          <w:rFonts w:ascii="Arial" w:hAnsi="Arial" w:cs="Arial"/>
          <w:b/>
          <w:bCs/>
          <w:color w:val="FF0000"/>
          <w:sz w:val="24"/>
          <w:szCs w:val="24"/>
          <w:lang w:val="en-US"/>
        </w:rPr>
      </w:pPr>
      <w:r w:rsidRPr="00253B39">
        <w:rPr>
          <w:rFonts w:ascii="Arial" w:hAnsi="Arial" w:cs="Arial"/>
          <w:b/>
          <w:bCs/>
          <w:color w:val="FF0000"/>
          <w:sz w:val="24"/>
          <w:szCs w:val="24"/>
          <w:lang w:val="en-US"/>
        </w:rPr>
        <w:t>Statement</w:t>
      </w:r>
    </w:p>
    <w:p w14:paraId="487AEA94" w14:textId="77777777" w:rsidR="00505CAC" w:rsidRPr="00253B39" w:rsidRDefault="00505CAC" w:rsidP="004554E1">
      <w:pPr>
        <w:pStyle w:val="ListParagraph"/>
        <w:numPr>
          <w:ilvl w:val="0"/>
          <w:numId w:val="5"/>
        </w:numPr>
        <w:spacing w:after="0" w:line="480" w:lineRule="auto"/>
        <w:contextualSpacing w:val="0"/>
        <w:jc w:val="both"/>
        <w:rPr>
          <w:rFonts w:ascii="Arial" w:hAnsi="Arial" w:cs="Arial"/>
          <w:color w:val="FF0000"/>
          <w:sz w:val="24"/>
          <w:szCs w:val="24"/>
          <w:lang w:val="en-US"/>
        </w:rPr>
      </w:pPr>
      <w:r w:rsidRPr="00253B39">
        <w:rPr>
          <w:rFonts w:ascii="Arial" w:hAnsi="Arial" w:cs="Arial"/>
          <w:color w:val="FF0000"/>
          <w:sz w:val="24"/>
          <w:szCs w:val="24"/>
          <w:lang w:val="en-US"/>
        </w:rPr>
        <w:t>Relative adrenal insufficiency is highly prevalent in patients with ACLF and refractory septic shock and is associated with poor outcome (</w:t>
      </w:r>
      <w:r w:rsidRPr="00253B39">
        <w:rPr>
          <w:rFonts w:ascii="Arial" w:hAnsi="Arial" w:cs="Arial"/>
          <w:b/>
          <w:bCs/>
          <w:color w:val="FF0000"/>
          <w:sz w:val="24"/>
          <w:szCs w:val="24"/>
          <w:lang w:val="en-US"/>
        </w:rPr>
        <w:t>LoE 4, consensus</w:t>
      </w:r>
      <w:r w:rsidRPr="00253B39">
        <w:rPr>
          <w:rFonts w:ascii="Arial" w:hAnsi="Arial" w:cs="Arial"/>
          <w:color w:val="FF0000"/>
          <w:sz w:val="24"/>
          <w:szCs w:val="24"/>
          <w:lang w:val="en-US"/>
        </w:rPr>
        <w:t>)</w:t>
      </w:r>
    </w:p>
    <w:p w14:paraId="2E861346" w14:textId="77777777" w:rsidR="00505CAC" w:rsidRPr="00253B39" w:rsidRDefault="00505CAC" w:rsidP="004554E1">
      <w:pPr>
        <w:spacing w:after="0" w:line="480" w:lineRule="auto"/>
        <w:jc w:val="both"/>
        <w:rPr>
          <w:rFonts w:ascii="Arial" w:hAnsi="Arial" w:cs="Arial"/>
          <w:color w:val="FF0000"/>
          <w:sz w:val="24"/>
          <w:szCs w:val="24"/>
          <w:lang w:val="en-US"/>
        </w:rPr>
      </w:pPr>
    </w:p>
    <w:p w14:paraId="689E204C" w14:textId="10D15360" w:rsidR="00505CAC" w:rsidRPr="00253B39" w:rsidRDefault="00505CAC" w:rsidP="004554E1">
      <w:pPr>
        <w:spacing w:after="0" w:line="480" w:lineRule="auto"/>
        <w:jc w:val="both"/>
        <w:rPr>
          <w:rFonts w:ascii="Arial" w:hAnsi="Arial" w:cs="Arial"/>
          <w:color w:val="FF0000"/>
          <w:sz w:val="24"/>
          <w:szCs w:val="24"/>
          <w:lang w:val="en-US"/>
        </w:rPr>
      </w:pPr>
      <w:r w:rsidRPr="00253B39">
        <w:rPr>
          <w:rFonts w:ascii="Arial" w:hAnsi="Arial" w:cs="Arial"/>
          <w:color w:val="FF0000"/>
          <w:sz w:val="24"/>
          <w:szCs w:val="24"/>
          <w:lang w:val="en-US"/>
        </w:rPr>
        <w:t>An inadequate production of cortisol by the hypothalamic-pituitary adrenal axis is frequently observed in critically ill patients with cirrhosis and sepsis or shock in response to stress (51-75%).</w:t>
      </w:r>
      <w:r w:rsidRPr="00253B39">
        <w:rPr>
          <w:rFonts w:ascii="Arial" w:hAnsi="Arial" w:cs="Arial"/>
          <w:color w:val="FF0000"/>
          <w:sz w:val="24"/>
          <w:szCs w:val="24"/>
          <w:vertAlign w:val="superscript"/>
          <w:lang w:val="en-US"/>
        </w:rPr>
        <w:t>1</w:t>
      </w:r>
      <w:r w:rsidR="000D6E62">
        <w:rPr>
          <w:rFonts w:ascii="Arial" w:hAnsi="Arial" w:cs="Arial"/>
          <w:color w:val="FF0000"/>
          <w:sz w:val="24"/>
          <w:szCs w:val="24"/>
          <w:vertAlign w:val="superscript"/>
          <w:lang w:val="en-US"/>
        </w:rPr>
        <w:t>7</w:t>
      </w:r>
      <w:r w:rsidRPr="00253B39">
        <w:rPr>
          <w:rFonts w:ascii="Arial" w:hAnsi="Arial" w:cs="Arial"/>
          <w:color w:val="FF0000"/>
          <w:sz w:val="24"/>
          <w:szCs w:val="24"/>
          <w:lang w:val="en-US"/>
        </w:rPr>
        <w:t xml:space="preserve"> This condition known as relative adrenal insufficiency (also known as critical illness-related corticosteroid insufficiency) is characterized by low total serum cortisol levels with respect to peripheral demands. This hormone is essential to modulate systemic inflammation, maintain vascular tone and permeability and adapt the metabolism to stress. Its deficiency is associated with a higher risk of refractory shock, multiple organ failure and death.</w:t>
      </w:r>
      <w:r w:rsidRPr="00253B39">
        <w:rPr>
          <w:rFonts w:ascii="Arial" w:hAnsi="Arial" w:cs="Arial"/>
          <w:color w:val="FF0000"/>
          <w:sz w:val="24"/>
          <w:szCs w:val="24"/>
          <w:vertAlign w:val="superscript"/>
          <w:lang w:val="en-US"/>
        </w:rPr>
        <w:t>1</w:t>
      </w:r>
      <w:r w:rsidR="000D6E62">
        <w:rPr>
          <w:rFonts w:ascii="Arial" w:hAnsi="Arial" w:cs="Arial"/>
          <w:color w:val="FF0000"/>
          <w:sz w:val="24"/>
          <w:szCs w:val="24"/>
          <w:vertAlign w:val="superscript"/>
          <w:lang w:val="en-US"/>
        </w:rPr>
        <w:t>8</w:t>
      </w:r>
      <w:r w:rsidRPr="00253B39">
        <w:rPr>
          <w:rFonts w:ascii="Arial" w:hAnsi="Arial" w:cs="Arial"/>
          <w:color w:val="FF0000"/>
          <w:sz w:val="24"/>
          <w:szCs w:val="24"/>
          <w:lang w:val="en-US"/>
        </w:rPr>
        <w:t xml:space="preserve"> Adrenal insufficiency also occurs in patients with advanced cirrhosis (26%) and in ACLF (48% in ACLF 1 and 70% in ACLF-2/3) and is also associated with poor prognosis.</w:t>
      </w:r>
      <w:r w:rsidRPr="00253B39">
        <w:rPr>
          <w:rFonts w:ascii="Arial" w:hAnsi="Arial" w:cs="Arial"/>
          <w:color w:val="FF0000"/>
          <w:sz w:val="24"/>
          <w:szCs w:val="24"/>
          <w:vertAlign w:val="superscript"/>
          <w:lang w:val="en-US"/>
        </w:rPr>
        <w:t>1</w:t>
      </w:r>
      <w:r w:rsidR="000D6E62">
        <w:rPr>
          <w:rFonts w:ascii="Arial" w:hAnsi="Arial" w:cs="Arial"/>
          <w:color w:val="FF0000"/>
          <w:sz w:val="24"/>
          <w:szCs w:val="24"/>
          <w:vertAlign w:val="superscript"/>
          <w:lang w:val="en-US"/>
        </w:rPr>
        <w:t>9,</w:t>
      </w:r>
      <w:r w:rsidRPr="00253B39">
        <w:rPr>
          <w:rFonts w:ascii="Arial" w:hAnsi="Arial" w:cs="Arial"/>
          <w:color w:val="FF0000"/>
          <w:sz w:val="24"/>
          <w:szCs w:val="24"/>
          <w:vertAlign w:val="superscript"/>
          <w:lang w:val="en-US"/>
        </w:rPr>
        <w:t>2</w:t>
      </w:r>
      <w:r w:rsidR="000D6E62">
        <w:rPr>
          <w:rFonts w:ascii="Arial" w:hAnsi="Arial" w:cs="Arial"/>
          <w:color w:val="FF0000"/>
          <w:sz w:val="24"/>
          <w:szCs w:val="24"/>
          <w:vertAlign w:val="superscript"/>
          <w:lang w:val="en-US"/>
        </w:rPr>
        <w:t>0</w:t>
      </w:r>
      <w:r w:rsidRPr="00253B39">
        <w:rPr>
          <w:rFonts w:ascii="Arial" w:hAnsi="Arial" w:cs="Arial"/>
          <w:color w:val="FF0000"/>
          <w:sz w:val="24"/>
          <w:szCs w:val="24"/>
          <w:lang w:val="en-US"/>
        </w:rPr>
        <w:t xml:space="preserve"> Although there is no consensus on the test that should be used to diagnose relative adrenal insufficiency, a delta total serum cortisol value &lt;9 μg/dl one hour after cosyntropin administration (250 μg) or a </w:t>
      </w:r>
      <w:r w:rsidRPr="00253B39">
        <w:rPr>
          <w:rFonts w:ascii="Arial" w:hAnsi="Arial" w:cs="Arial"/>
          <w:color w:val="FF0000"/>
          <w:sz w:val="24"/>
          <w:szCs w:val="24"/>
          <w:shd w:val="clear" w:color="auto" w:fill="FFFFFF"/>
          <w:lang w:val="en-US"/>
        </w:rPr>
        <w:t>random total serum cortisol of &lt;10 μg/dl</w:t>
      </w:r>
      <w:r w:rsidRPr="00253B39">
        <w:rPr>
          <w:rStyle w:val="apple-converted-space"/>
          <w:rFonts w:ascii="Arial" w:hAnsi="Arial" w:cs="Arial"/>
          <w:color w:val="FF0000"/>
          <w:sz w:val="24"/>
          <w:szCs w:val="24"/>
          <w:shd w:val="clear" w:color="auto" w:fill="FFFFFF"/>
          <w:lang w:val="en-US"/>
        </w:rPr>
        <w:t xml:space="preserve"> </w:t>
      </w:r>
      <w:r w:rsidRPr="00253B39">
        <w:rPr>
          <w:rFonts w:ascii="Arial" w:hAnsi="Arial" w:cs="Arial"/>
          <w:color w:val="FF0000"/>
          <w:sz w:val="24"/>
          <w:szCs w:val="24"/>
          <w:lang w:val="en-US"/>
        </w:rPr>
        <w:t>are the most accepted and reliable diagnostic criteria of this entity.</w:t>
      </w:r>
      <w:r w:rsidR="000D6E62">
        <w:rPr>
          <w:rFonts w:ascii="Arial" w:hAnsi="Arial" w:cs="Arial"/>
          <w:color w:val="FF0000"/>
          <w:sz w:val="24"/>
          <w:szCs w:val="24"/>
          <w:vertAlign w:val="superscript"/>
          <w:lang w:val="en-US"/>
        </w:rPr>
        <w:t>21</w:t>
      </w:r>
    </w:p>
    <w:p w14:paraId="1549E279" w14:textId="2F96F6F3" w:rsidR="00505CAC" w:rsidRPr="00253B39" w:rsidRDefault="00505CAC" w:rsidP="004554E1">
      <w:pPr>
        <w:spacing w:after="0" w:line="480" w:lineRule="auto"/>
        <w:ind w:firstLine="663"/>
        <w:jc w:val="both"/>
        <w:rPr>
          <w:rFonts w:ascii="Arial" w:hAnsi="Arial" w:cs="Arial"/>
          <w:color w:val="FF0000"/>
          <w:sz w:val="24"/>
          <w:szCs w:val="24"/>
          <w:vertAlign w:val="superscript"/>
          <w:lang w:val="en-US"/>
        </w:rPr>
      </w:pPr>
      <w:r w:rsidRPr="00253B39">
        <w:rPr>
          <w:rFonts w:ascii="Arial" w:hAnsi="Arial" w:cs="Arial"/>
          <w:color w:val="FF0000"/>
          <w:sz w:val="24"/>
          <w:szCs w:val="24"/>
          <w:lang w:val="en-US"/>
        </w:rPr>
        <w:t xml:space="preserve">The administration of stress dose steroids (hydrocortisone 200 mg/day) in patients with septic shock from the general population is associated with favorable hemodynamic effects (decrease in vasopressor requirements and faster reversal of </w:t>
      </w:r>
      <w:r w:rsidRPr="00253B39">
        <w:rPr>
          <w:rFonts w:ascii="Arial" w:hAnsi="Arial" w:cs="Arial"/>
          <w:color w:val="FF0000"/>
          <w:sz w:val="24"/>
          <w:szCs w:val="24"/>
          <w:lang w:val="en-US"/>
        </w:rPr>
        <w:lastRenderedPageBreak/>
        <w:t>shock), with unclear effects on survival.</w:t>
      </w:r>
      <w:r w:rsidR="000D6E62">
        <w:rPr>
          <w:rFonts w:ascii="Arial" w:hAnsi="Arial" w:cs="Arial"/>
          <w:color w:val="FF0000"/>
          <w:sz w:val="24"/>
          <w:szCs w:val="24"/>
          <w:vertAlign w:val="superscript"/>
          <w:lang w:val="en-US"/>
        </w:rPr>
        <w:t>22</w:t>
      </w:r>
      <w:r w:rsidRPr="00253B39">
        <w:rPr>
          <w:rFonts w:ascii="Arial" w:hAnsi="Arial" w:cs="Arial"/>
          <w:color w:val="FF0000"/>
          <w:sz w:val="24"/>
          <w:szCs w:val="24"/>
          <w:lang w:val="en-US"/>
        </w:rPr>
        <w:t xml:space="preserve"> These positive hemodynamic effects, consistently reported in patients without cirrhosis, have also been observed in the cirrhotic population. In a double-blind placebo-controlled trial, hydrocortisone therapy was associated with higher rates of shock reversal (62% </w:t>
      </w:r>
      <w:r w:rsidRPr="00253B39">
        <w:rPr>
          <w:rFonts w:ascii="Arial" w:hAnsi="Arial" w:cs="Arial"/>
          <w:i/>
          <w:color w:val="FF0000"/>
          <w:sz w:val="24"/>
          <w:szCs w:val="24"/>
          <w:lang w:val="en-US"/>
        </w:rPr>
        <w:t>vs.</w:t>
      </w:r>
      <w:r w:rsidRPr="00253B39">
        <w:rPr>
          <w:rFonts w:ascii="Arial" w:hAnsi="Arial" w:cs="Arial"/>
          <w:color w:val="FF0000"/>
          <w:sz w:val="24"/>
          <w:szCs w:val="24"/>
          <w:lang w:val="en-US"/>
        </w:rPr>
        <w:t xml:space="preserve"> 39%, p=0.05). However, steroid supplementation was associated with a higher rate of shock relapse (34% </w:t>
      </w:r>
      <w:r w:rsidRPr="00253B39">
        <w:rPr>
          <w:rFonts w:ascii="Arial" w:hAnsi="Arial" w:cs="Arial"/>
          <w:i/>
          <w:color w:val="FF0000"/>
          <w:sz w:val="24"/>
          <w:szCs w:val="24"/>
          <w:lang w:val="en-US"/>
        </w:rPr>
        <w:t>vs.</w:t>
      </w:r>
      <w:r w:rsidRPr="00253B39">
        <w:rPr>
          <w:rFonts w:ascii="Arial" w:hAnsi="Arial" w:cs="Arial"/>
          <w:color w:val="FF0000"/>
          <w:sz w:val="24"/>
          <w:szCs w:val="24"/>
          <w:lang w:val="en-US"/>
        </w:rPr>
        <w:t xml:space="preserve"> 14%, p=0.03), more adverse events, mainly gastrointestinal bleeding, and did not impact 28-day case-fatality rate (85% </w:t>
      </w:r>
      <w:r w:rsidRPr="00253B39">
        <w:rPr>
          <w:rFonts w:ascii="Arial" w:hAnsi="Arial" w:cs="Arial"/>
          <w:i/>
          <w:color w:val="FF0000"/>
          <w:sz w:val="24"/>
          <w:szCs w:val="24"/>
          <w:lang w:val="en-US"/>
        </w:rPr>
        <w:t>vs.</w:t>
      </w:r>
      <w:r w:rsidRPr="00253B39">
        <w:rPr>
          <w:rFonts w:ascii="Arial" w:hAnsi="Arial" w:cs="Arial"/>
          <w:color w:val="FF0000"/>
          <w:sz w:val="24"/>
          <w:szCs w:val="24"/>
          <w:lang w:val="en-US"/>
        </w:rPr>
        <w:t xml:space="preserve"> 72%).</w:t>
      </w:r>
      <w:r w:rsidR="000D6E62">
        <w:rPr>
          <w:rFonts w:ascii="Arial" w:hAnsi="Arial" w:cs="Arial"/>
          <w:color w:val="FF0000"/>
          <w:sz w:val="24"/>
          <w:szCs w:val="24"/>
          <w:vertAlign w:val="superscript"/>
          <w:lang w:val="en-US"/>
        </w:rPr>
        <w:t>23</w:t>
      </w:r>
      <w:r w:rsidRPr="00253B39">
        <w:rPr>
          <w:rFonts w:ascii="Arial" w:hAnsi="Arial" w:cs="Arial"/>
          <w:color w:val="FF0000"/>
          <w:sz w:val="24"/>
          <w:szCs w:val="24"/>
          <w:lang w:val="en-US"/>
        </w:rPr>
        <w:t xml:space="preserve"> Due to concerns about survival benefits, current guidelines in the general ICU population (Surviving Sepsis Campaign guidelines),</w:t>
      </w:r>
      <w:r w:rsidRPr="00253B39">
        <w:rPr>
          <w:rFonts w:ascii="Arial" w:hAnsi="Arial" w:cs="Arial"/>
          <w:color w:val="FF0000"/>
          <w:sz w:val="24"/>
          <w:szCs w:val="24"/>
          <w:vertAlign w:val="superscript"/>
          <w:lang w:val="en-US"/>
        </w:rPr>
        <w:t>2</w:t>
      </w:r>
      <w:r w:rsidRPr="00253B39">
        <w:rPr>
          <w:rFonts w:ascii="Arial" w:hAnsi="Arial" w:cs="Arial"/>
          <w:color w:val="FF0000"/>
          <w:sz w:val="24"/>
          <w:szCs w:val="24"/>
          <w:lang w:val="en-US"/>
        </w:rPr>
        <w:t xml:space="preserve"> and in patients with cirrhosis as well,</w:t>
      </w:r>
      <w:r w:rsidR="000D6E62">
        <w:rPr>
          <w:rFonts w:ascii="Arial" w:hAnsi="Arial" w:cs="Arial"/>
          <w:color w:val="FF0000"/>
          <w:sz w:val="24"/>
          <w:szCs w:val="24"/>
          <w:vertAlign w:val="superscript"/>
          <w:lang w:val="en-US"/>
        </w:rPr>
        <w:t>7</w:t>
      </w:r>
      <w:r w:rsidRPr="00253B39">
        <w:rPr>
          <w:rFonts w:ascii="Arial" w:hAnsi="Arial" w:cs="Arial"/>
          <w:color w:val="FF0000"/>
          <w:sz w:val="24"/>
          <w:szCs w:val="24"/>
          <w:vertAlign w:val="superscript"/>
          <w:lang w:val="en-US"/>
        </w:rPr>
        <w:t xml:space="preserve"> </w:t>
      </w:r>
      <w:r w:rsidRPr="00253B39">
        <w:rPr>
          <w:rFonts w:ascii="Arial" w:hAnsi="Arial" w:cs="Arial"/>
          <w:color w:val="FF0000"/>
          <w:sz w:val="24"/>
          <w:szCs w:val="24"/>
          <w:lang w:val="en-US"/>
        </w:rPr>
        <w:t>only recommend the administration of stress dose steroids in patients with vasopressor-resistant shock (norepinephrine ≥ 0.25 µg/kg/min)</w:t>
      </w:r>
      <w:r w:rsidRPr="00253B39">
        <w:rPr>
          <w:rStyle w:val="Strong"/>
          <w:rFonts w:ascii="Arial" w:hAnsi="Arial" w:cs="Arial"/>
          <w:color w:val="FF0000"/>
          <w:sz w:val="24"/>
          <w:szCs w:val="24"/>
          <w:lang w:val="en-US"/>
        </w:rPr>
        <w:t>.</w:t>
      </w:r>
      <w:r w:rsidRPr="00253B39">
        <w:rPr>
          <w:rFonts w:ascii="Arial" w:hAnsi="Arial" w:cs="Arial"/>
          <w:color w:val="FF0000"/>
          <w:sz w:val="24"/>
          <w:szCs w:val="24"/>
          <w:lang w:val="en-US"/>
        </w:rPr>
        <w:t xml:space="preserve"> Once started, steroids should be tapered down as soon as shock is solved with the aim to prevent adverse events related to prolonged therapy (myopathy, secondary infections, and gastrointestinal bleeding).</w:t>
      </w:r>
      <w:r w:rsidRPr="00253B39">
        <w:rPr>
          <w:rFonts w:ascii="Arial" w:hAnsi="Arial" w:cs="Arial"/>
          <w:color w:val="FF0000"/>
          <w:sz w:val="24"/>
          <w:szCs w:val="24"/>
          <w:vertAlign w:val="superscript"/>
          <w:lang w:val="en-US"/>
        </w:rPr>
        <w:t xml:space="preserve"> </w:t>
      </w:r>
      <w:r w:rsidRPr="00253B39">
        <w:rPr>
          <w:rFonts w:ascii="Arial" w:hAnsi="Arial" w:cs="Arial"/>
          <w:color w:val="FF0000"/>
          <w:sz w:val="24"/>
          <w:szCs w:val="24"/>
          <w:lang w:val="en-US"/>
        </w:rPr>
        <w:t>Steroids should not be administered for more than 10 days.</w:t>
      </w:r>
      <w:r w:rsidR="00FA2D3D">
        <w:rPr>
          <w:rFonts w:ascii="Arial" w:hAnsi="Arial" w:cs="Arial"/>
          <w:color w:val="FF0000"/>
          <w:sz w:val="24"/>
          <w:szCs w:val="24"/>
          <w:vertAlign w:val="superscript"/>
          <w:lang w:val="en-US"/>
        </w:rPr>
        <w:t>7</w:t>
      </w:r>
    </w:p>
    <w:p w14:paraId="4E81EDC9" w14:textId="77777777" w:rsidR="00893F61" w:rsidRDefault="00893F61" w:rsidP="004554E1">
      <w:pPr>
        <w:spacing w:after="0"/>
        <w:rPr>
          <w:rFonts w:ascii="Arial" w:hAnsi="Arial" w:cs="Arial"/>
          <w:sz w:val="24"/>
          <w:szCs w:val="24"/>
          <w:lang w:val="en-US"/>
        </w:rPr>
      </w:pPr>
    </w:p>
    <w:p w14:paraId="698C09D7" w14:textId="77777777" w:rsidR="00760F24" w:rsidRPr="005B6210" w:rsidRDefault="00760F24" w:rsidP="004554E1">
      <w:pPr>
        <w:spacing w:after="0" w:line="480" w:lineRule="auto"/>
        <w:jc w:val="both"/>
        <w:rPr>
          <w:rFonts w:ascii="Arial" w:hAnsi="Arial" w:cs="Arial"/>
          <w:b/>
          <w:bCs/>
          <w:color w:val="FF0000"/>
          <w:sz w:val="24"/>
          <w:szCs w:val="24"/>
          <w:lang w:val="en-US"/>
        </w:rPr>
      </w:pPr>
      <w:r w:rsidRPr="005B6210">
        <w:rPr>
          <w:rFonts w:ascii="Arial" w:hAnsi="Arial" w:cs="Arial"/>
          <w:b/>
          <w:bCs/>
          <w:color w:val="FF0000"/>
          <w:sz w:val="24"/>
          <w:szCs w:val="24"/>
          <w:lang w:val="en-US"/>
        </w:rPr>
        <w:t xml:space="preserve">Related to </w:t>
      </w:r>
      <w:r w:rsidR="00913F3F">
        <w:rPr>
          <w:rFonts w:ascii="Arial" w:hAnsi="Arial" w:cs="Arial"/>
          <w:b/>
          <w:bCs/>
          <w:color w:val="FF0000"/>
          <w:sz w:val="24"/>
          <w:szCs w:val="24"/>
          <w:lang w:val="en-US"/>
        </w:rPr>
        <w:t xml:space="preserve">the </w:t>
      </w:r>
      <w:r w:rsidRPr="005B6210">
        <w:rPr>
          <w:rFonts w:ascii="Arial" w:hAnsi="Arial" w:cs="Arial"/>
          <w:b/>
          <w:bCs/>
          <w:color w:val="FF0000"/>
          <w:sz w:val="24"/>
          <w:szCs w:val="24"/>
          <w:lang w:val="en-US"/>
        </w:rPr>
        <w:t xml:space="preserve">section entitled: “Secondary </w:t>
      </w:r>
      <w:proofErr w:type="gramStart"/>
      <w:r w:rsidRPr="005B6210">
        <w:rPr>
          <w:rFonts w:ascii="Arial" w:hAnsi="Arial" w:cs="Arial"/>
          <w:b/>
          <w:bCs/>
          <w:color w:val="FF0000"/>
          <w:sz w:val="24"/>
          <w:szCs w:val="24"/>
          <w:lang w:val="en-US"/>
        </w:rPr>
        <w:t>infections</w:t>
      </w:r>
      <w:proofErr w:type="gramEnd"/>
      <w:r w:rsidRPr="005B6210">
        <w:rPr>
          <w:rFonts w:ascii="Arial" w:hAnsi="Arial" w:cs="Arial"/>
          <w:b/>
          <w:bCs/>
          <w:color w:val="FF0000"/>
          <w:sz w:val="24"/>
          <w:szCs w:val="24"/>
          <w:lang w:val="en-US"/>
        </w:rPr>
        <w:t>”</w:t>
      </w:r>
    </w:p>
    <w:p w14:paraId="3C62646F" w14:textId="77777777" w:rsidR="00760F24" w:rsidRPr="005B6210" w:rsidRDefault="00760F24" w:rsidP="004554E1">
      <w:pPr>
        <w:spacing w:after="0" w:line="480" w:lineRule="auto"/>
        <w:jc w:val="both"/>
        <w:rPr>
          <w:rFonts w:ascii="Arial" w:hAnsi="Arial" w:cs="Arial"/>
          <w:b/>
          <w:bCs/>
          <w:color w:val="FF0000"/>
          <w:sz w:val="24"/>
          <w:szCs w:val="24"/>
          <w:lang w:val="en-US"/>
        </w:rPr>
      </w:pPr>
      <w:r w:rsidRPr="005B6210">
        <w:rPr>
          <w:rFonts w:ascii="Arial" w:hAnsi="Arial" w:cs="Arial"/>
          <w:b/>
          <w:color w:val="FF0000"/>
          <w:sz w:val="24"/>
          <w:szCs w:val="24"/>
          <w:lang w:val="en-US"/>
        </w:rPr>
        <w:t>Do bundles to prevent catheter-related infections and ventilator-associated pneumonia, that are currently used in general ICUs, improve prognosis in ACLF patients admitted to the ICU?</w:t>
      </w:r>
    </w:p>
    <w:p w14:paraId="25B3BC4F" w14:textId="77777777" w:rsidR="00760F24" w:rsidRPr="005B6210" w:rsidRDefault="00760F24" w:rsidP="004554E1">
      <w:pPr>
        <w:spacing w:after="0" w:line="480" w:lineRule="auto"/>
        <w:rPr>
          <w:rFonts w:ascii="Arial" w:hAnsi="Arial" w:cs="Arial"/>
          <w:b/>
          <w:bCs/>
          <w:color w:val="FF0000"/>
          <w:sz w:val="24"/>
          <w:szCs w:val="24"/>
          <w:lang w:val="en-US"/>
        </w:rPr>
      </w:pPr>
    </w:p>
    <w:p w14:paraId="7B4BEF33" w14:textId="77777777" w:rsidR="00760F24" w:rsidRPr="005B6210" w:rsidRDefault="00760F24" w:rsidP="004554E1">
      <w:pPr>
        <w:spacing w:after="0" w:line="480" w:lineRule="auto"/>
        <w:rPr>
          <w:rFonts w:ascii="Arial" w:hAnsi="Arial" w:cs="Arial"/>
          <w:b/>
          <w:bCs/>
          <w:color w:val="FF0000"/>
          <w:sz w:val="24"/>
          <w:szCs w:val="24"/>
          <w:lang w:val="en-US"/>
        </w:rPr>
      </w:pPr>
      <w:r w:rsidRPr="005B6210">
        <w:rPr>
          <w:rFonts w:ascii="Arial" w:hAnsi="Arial" w:cs="Arial"/>
          <w:b/>
          <w:bCs/>
          <w:color w:val="FF0000"/>
          <w:sz w:val="24"/>
          <w:szCs w:val="24"/>
          <w:lang w:val="en-US"/>
        </w:rPr>
        <w:t>Patient and population:</w:t>
      </w:r>
      <w:r w:rsidRPr="005B6210">
        <w:rPr>
          <w:rFonts w:ascii="Arial" w:hAnsi="Arial" w:cs="Arial"/>
          <w:color w:val="FF0000"/>
          <w:sz w:val="24"/>
          <w:szCs w:val="24"/>
          <w:lang w:val="en-US"/>
        </w:rPr>
        <w:t xml:space="preserve"> Patients with ACLF in the ICU</w:t>
      </w:r>
    </w:p>
    <w:p w14:paraId="2B2462D4" w14:textId="77777777" w:rsidR="00760F24" w:rsidRPr="005B6210" w:rsidRDefault="00760F24" w:rsidP="004554E1">
      <w:pPr>
        <w:spacing w:after="0" w:line="480" w:lineRule="auto"/>
        <w:rPr>
          <w:rFonts w:ascii="Arial" w:hAnsi="Arial" w:cs="Arial"/>
          <w:b/>
          <w:bCs/>
          <w:color w:val="FF0000"/>
          <w:sz w:val="24"/>
          <w:szCs w:val="24"/>
          <w:lang w:val="en-US"/>
        </w:rPr>
      </w:pPr>
      <w:r w:rsidRPr="005B6210">
        <w:rPr>
          <w:rFonts w:ascii="Arial" w:hAnsi="Arial" w:cs="Arial"/>
          <w:b/>
          <w:bCs/>
          <w:color w:val="FF0000"/>
          <w:sz w:val="24"/>
          <w:szCs w:val="24"/>
          <w:lang w:val="en-US"/>
        </w:rPr>
        <w:t>Intervention:</w:t>
      </w:r>
      <w:r w:rsidRPr="005B6210">
        <w:rPr>
          <w:rFonts w:ascii="Arial" w:hAnsi="Arial" w:cs="Arial"/>
          <w:color w:val="FF0000"/>
          <w:sz w:val="24"/>
          <w:szCs w:val="24"/>
          <w:lang w:val="en-US"/>
        </w:rPr>
        <w:t xml:space="preserve"> Bundles to prevent catheter-related infections and ventilator-associated pneumonia</w:t>
      </w:r>
    </w:p>
    <w:p w14:paraId="2DF016B0" w14:textId="77777777" w:rsidR="00760F24" w:rsidRPr="005B6210" w:rsidRDefault="00760F24" w:rsidP="004554E1">
      <w:pPr>
        <w:spacing w:after="0" w:line="480" w:lineRule="auto"/>
        <w:rPr>
          <w:rFonts w:ascii="Arial" w:hAnsi="Arial" w:cs="Arial"/>
          <w:b/>
          <w:bCs/>
          <w:color w:val="FF0000"/>
          <w:sz w:val="24"/>
          <w:szCs w:val="24"/>
          <w:lang w:val="en-US"/>
        </w:rPr>
      </w:pPr>
      <w:r w:rsidRPr="005B6210">
        <w:rPr>
          <w:rFonts w:ascii="Arial" w:hAnsi="Arial" w:cs="Arial"/>
          <w:b/>
          <w:bCs/>
          <w:color w:val="FF0000"/>
          <w:sz w:val="24"/>
          <w:szCs w:val="24"/>
          <w:lang w:val="en-US"/>
        </w:rPr>
        <w:t>Comparison:</w:t>
      </w:r>
      <w:r w:rsidRPr="005B6210">
        <w:rPr>
          <w:rFonts w:ascii="Arial" w:hAnsi="Arial" w:cs="Arial"/>
          <w:color w:val="FF0000"/>
          <w:sz w:val="24"/>
          <w:szCs w:val="24"/>
          <w:lang w:val="en-US"/>
        </w:rPr>
        <w:t xml:space="preserve"> No bundles</w:t>
      </w:r>
    </w:p>
    <w:p w14:paraId="6EA33633" w14:textId="77777777" w:rsidR="00760F24" w:rsidRPr="005B6210" w:rsidRDefault="00760F24" w:rsidP="004554E1">
      <w:pPr>
        <w:spacing w:after="0" w:line="480" w:lineRule="auto"/>
        <w:rPr>
          <w:rFonts w:ascii="Arial" w:hAnsi="Arial" w:cs="Arial"/>
          <w:color w:val="FF0000"/>
          <w:sz w:val="24"/>
          <w:szCs w:val="24"/>
          <w:lang w:val="en-US"/>
        </w:rPr>
      </w:pPr>
      <w:r w:rsidRPr="005B6210">
        <w:rPr>
          <w:rFonts w:ascii="Arial" w:hAnsi="Arial" w:cs="Arial"/>
          <w:b/>
          <w:bCs/>
          <w:color w:val="FF0000"/>
          <w:sz w:val="24"/>
          <w:szCs w:val="24"/>
          <w:lang w:val="en-US"/>
        </w:rPr>
        <w:lastRenderedPageBreak/>
        <w:t>Outcome:</w:t>
      </w:r>
      <w:r w:rsidRPr="005B6210">
        <w:rPr>
          <w:rFonts w:ascii="Arial" w:hAnsi="Arial" w:cs="Arial"/>
          <w:color w:val="FF0000"/>
          <w:sz w:val="24"/>
          <w:szCs w:val="24"/>
          <w:lang w:val="en-US"/>
        </w:rPr>
        <w:t xml:space="preserve"> Rate of device-related infections, dynamics of ACLF course (either increases, no change or decreases in ACLF grade) during the first week after admission, 28 and 90-day transplantation-free mortality</w:t>
      </w:r>
    </w:p>
    <w:p w14:paraId="066341AF" w14:textId="77777777" w:rsidR="00760F24" w:rsidRPr="005B6210" w:rsidRDefault="00760F24" w:rsidP="004554E1">
      <w:pPr>
        <w:spacing w:after="0" w:line="480" w:lineRule="auto"/>
        <w:rPr>
          <w:rFonts w:ascii="Arial" w:hAnsi="Arial" w:cs="Arial"/>
          <w:color w:val="FF0000"/>
          <w:sz w:val="24"/>
          <w:szCs w:val="24"/>
          <w:lang w:val="en-US"/>
        </w:rPr>
      </w:pPr>
    </w:p>
    <w:p w14:paraId="28DB937E" w14:textId="77777777" w:rsidR="00760F24" w:rsidRPr="005B6210" w:rsidRDefault="00760F24" w:rsidP="004554E1">
      <w:pPr>
        <w:spacing w:after="0" w:line="480" w:lineRule="auto"/>
        <w:rPr>
          <w:rFonts w:ascii="Arial" w:hAnsi="Arial" w:cs="Arial"/>
          <w:b/>
          <w:bCs/>
          <w:color w:val="FF0000"/>
          <w:sz w:val="24"/>
          <w:szCs w:val="24"/>
          <w:lang w:val="en-US"/>
        </w:rPr>
      </w:pPr>
      <w:r w:rsidRPr="005B6210">
        <w:rPr>
          <w:rFonts w:ascii="Arial" w:hAnsi="Arial" w:cs="Arial"/>
          <w:b/>
          <w:bCs/>
          <w:color w:val="FF0000"/>
          <w:sz w:val="24"/>
          <w:szCs w:val="24"/>
          <w:lang w:val="en-US"/>
        </w:rPr>
        <w:t>Recommendation</w:t>
      </w:r>
    </w:p>
    <w:p w14:paraId="0AB6161A" w14:textId="77777777" w:rsidR="00760F24" w:rsidRPr="005B6210" w:rsidRDefault="00760F24" w:rsidP="004554E1">
      <w:pPr>
        <w:pStyle w:val="ListParagraph"/>
        <w:numPr>
          <w:ilvl w:val="0"/>
          <w:numId w:val="5"/>
        </w:numPr>
        <w:spacing w:after="0" w:line="480" w:lineRule="auto"/>
        <w:contextualSpacing w:val="0"/>
        <w:rPr>
          <w:rFonts w:ascii="Arial" w:hAnsi="Arial" w:cs="Arial"/>
          <w:color w:val="FF0000"/>
          <w:sz w:val="24"/>
          <w:szCs w:val="24"/>
          <w:lang w:val="en-US"/>
        </w:rPr>
      </w:pPr>
      <w:r w:rsidRPr="005B6210">
        <w:rPr>
          <w:rFonts w:ascii="Arial" w:hAnsi="Arial" w:cs="Arial"/>
          <w:color w:val="FF0000"/>
          <w:sz w:val="24"/>
          <w:szCs w:val="24"/>
          <w:lang w:val="en-US"/>
        </w:rPr>
        <w:t>Bundles of measures aimed to prevent the development of catheter-related bacteremia and ventilator-associated pneumonia should be used in patients with ACLF admitted to the ICU (</w:t>
      </w:r>
      <w:r w:rsidRPr="005B6210">
        <w:rPr>
          <w:rFonts w:ascii="Arial" w:hAnsi="Arial" w:cs="Arial"/>
          <w:b/>
          <w:bCs/>
          <w:color w:val="FF0000"/>
          <w:sz w:val="24"/>
          <w:szCs w:val="24"/>
          <w:lang w:val="en-US"/>
        </w:rPr>
        <w:t>LoE 3, strong recommendation, strong consensus</w:t>
      </w:r>
      <w:r w:rsidRPr="005B6210">
        <w:rPr>
          <w:rFonts w:ascii="Arial" w:hAnsi="Arial" w:cs="Arial"/>
          <w:color w:val="FF0000"/>
          <w:sz w:val="24"/>
          <w:szCs w:val="24"/>
          <w:lang w:val="en-US"/>
        </w:rPr>
        <w:t>).</w:t>
      </w:r>
    </w:p>
    <w:p w14:paraId="067AA84F" w14:textId="77777777" w:rsidR="00760F24" w:rsidRPr="005B6210" w:rsidRDefault="00760F24" w:rsidP="004554E1">
      <w:pPr>
        <w:spacing w:after="0" w:line="480" w:lineRule="auto"/>
        <w:rPr>
          <w:rFonts w:ascii="Arial" w:hAnsi="Arial" w:cs="Arial"/>
          <w:bCs/>
          <w:color w:val="FF0000"/>
          <w:sz w:val="24"/>
          <w:szCs w:val="24"/>
          <w:lang w:val="en-US"/>
        </w:rPr>
      </w:pPr>
    </w:p>
    <w:p w14:paraId="2A978F67" w14:textId="77777777" w:rsidR="00760F24" w:rsidRPr="005B6210" w:rsidRDefault="00760F24" w:rsidP="004554E1">
      <w:pPr>
        <w:spacing w:after="0" w:line="480" w:lineRule="auto"/>
        <w:rPr>
          <w:rFonts w:ascii="Arial" w:hAnsi="Arial" w:cs="Arial"/>
          <w:b/>
          <w:bCs/>
          <w:color w:val="FF0000"/>
          <w:sz w:val="24"/>
          <w:szCs w:val="24"/>
          <w:lang w:val="en-US"/>
        </w:rPr>
      </w:pPr>
      <w:r w:rsidRPr="005B6210">
        <w:rPr>
          <w:rFonts w:ascii="Arial" w:hAnsi="Arial" w:cs="Arial"/>
          <w:b/>
          <w:bCs/>
          <w:color w:val="FF0000"/>
          <w:sz w:val="24"/>
          <w:szCs w:val="24"/>
          <w:lang w:val="en-US"/>
        </w:rPr>
        <w:t xml:space="preserve">Statement </w:t>
      </w:r>
    </w:p>
    <w:p w14:paraId="13653ECF" w14:textId="77777777" w:rsidR="00760F24" w:rsidRPr="005B6210" w:rsidRDefault="00760F24" w:rsidP="004554E1">
      <w:pPr>
        <w:pStyle w:val="ListParagraph"/>
        <w:numPr>
          <w:ilvl w:val="0"/>
          <w:numId w:val="5"/>
        </w:numPr>
        <w:spacing w:after="0" w:line="480" w:lineRule="auto"/>
        <w:contextualSpacing w:val="0"/>
        <w:rPr>
          <w:rFonts w:ascii="Arial" w:hAnsi="Arial" w:cs="Arial"/>
          <w:color w:val="FF0000"/>
          <w:sz w:val="24"/>
          <w:szCs w:val="24"/>
          <w:lang w:val="en-US"/>
        </w:rPr>
      </w:pPr>
      <w:r w:rsidRPr="005B6210">
        <w:rPr>
          <w:rFonts w:ascii="Arial" w:hAnsi="Arial" w:cs="Arial"/>
          <w:color w:val="FF0000"/>
          <w:sz w:val="24"/>
          <w:szCs w:val="24"/>
          <w:lang w:val="en-US"/>
        </w:rPr>
        <w:t>Patients with ACLF admitted to the ICU are at high risk of nosocomial infections (</w:t>
      </w:r>
      <w:r w:rsidRPr="005B6210">
        <w:rPr>
          <w:rFonts w:ascii="Arial" w:hAnsi="Arial" w:cs="Arial"/>
          <w:b/>
          <w:bCs/>
          <w:color w:val="FF0000"/>
          <w:sz w:val="24"/>
          <w:szCs w:val="24"/>
          <w:lang w:val="en-US"/>
        </w:rPr>
        <w:t>LoE 3, strong consensus)</w:t>
      </w:r>
    </w:p>
    <w:p w14:paraId="2E273D41" w14:textId="77777777" w:rsidR="00760F24" w:rsidRPr="005B6210" w:rsidRDefault="00760F24" w:rsidP="004554E1">
      <w:pPr>
        <w:pStyle w:val="ListParagraph"/>
        <w:spacing w:after="0" w:line="480" w:lineRule="auto"/>
        <w:ind w:left="0"/>
        <w:contextualSpacing w:val="0"/>
        <w:rPr>
          <w:rFonts w:ascii="Arial" w:hAnsi="Arial" w:cs="Arial"/>
          <w:color w:val="FF0000"/>
          <w:sz w:val="24"/>
          <w:szCs w:val="24"/>
          <w:lang w:val="en-US"/>
        </w:rPr>
      </w:pPr>
    </w:p>
    <w:p w14:paraId="3265A6FA" w14:textId="6C065D77" w:rsidR="00760F24" w:rsidRPr="005B6210" w:rsidRDefault="00760F24" w:rsidP="004554E1">
      <w:pPr>
        <w:pStyle w:val="ListParagraph"/>
        <w:spacing w:after="0" w:line="480" w:lineRule="auto"/>
        <w:ind w:left="0"/>
        <w:contextualSpacing w:val="0"/>
        <w:jc w:val="both"/>
        <w:rPr>
          <w:rFonts w:ascii="Arial" w:hAnsi="Arial" w:cs="Arial"/>
          <w:color w:val="FF0000"/>
          <w:sz w:val="24"/>
          <w:szCs w:val="24"/>
          <w:lang w:val="en-US"/>
        </w:rPr>
      </w:pPr>
      <w:r w:rsidRPr="005B6210">
        <w:rPr>
          <w:rFonts w:ascii="Arial" w:hAnsi="Arial" w:cs="Arial"/>
          <w:color w:val="FF0000"/>
          <w:sz w:val="24"/>
          <w:szCs w:val="24"/>
          <w:lang w:val="en-US"/>
        </w:rPr>
        <w:t xml:space="preserve">Patients with ACLF are at very high risk for bacterial infections at short-term. Cumulative incidence exceeds 60% at 28 days compared to less than 20% in patients with acute decompensation. The higher the severity of ACLF, the higher the risk of infection, reaching &gt;80% in ACLF-3. Pneumonia, </w:t>
      </w:r>
      <w:proofErr w:type="gramStart"/>
      <w:r w:rsidRPr="005B6210">
        <w:rPr>
          <w:rFonts w:ascii="Arial" w:hAnsi="Arial" w:cs="Arial"/>
          <w:color w:val="FF0000"/>
          <w:sz w:val="24"/>
          <w:szCs w:val="24"/>
          <w:lang w:val="en-US"/>
        </w:rPr>
        <w:t>bacteremia</w:t>
      </w:r>
      <w:proofErr w:type="gramEnd"/>
      <w:r w:rsidRPr="005B6210">
        <w:rPr>
          <w:rFonts w:ascii="Arial" w:hAnsi="Arial" w:cs="Arial"/>
          <w:color w:val="FF0000"/>
          <w:sz w:val="24"/>
          <w:szCs w:val="24"/>
          <w:lang w:val="en-US"/>
        </w:rPr>
        <w:t xml:space="preserve"> and spontaneous bacterial peritonitis are the most frequent infections complicating the course of the syndrome. These infections are mainly nosocomial, many of them are related to instrumentation or organ support (invasive mechanical ventilation, central lines, and urinary catheters) and are frequently caused by MDROs. They negatively impact the clinical evolution of ACLF and survival.</w:t>
      </w:r>
      <w:r w:rsidR="00FA2D3D">
        <w:rPr>
          <w:rFonts w:ascii="Arial" w:hAnsi="Arial" w:cs="Arial"/>
          <w:color w:val="FF0000"/>
          <w:sz w:val="24"/>
          <w:szCs w:val="24"/>
          <w:vertAlign w:val="superscript"/>
          <w:lang w:val="en-US"/>
        </w:rPr>
        <w:t>24</w:t>
      </w:r>
      <w:r w:rsidRPr="005B6210">
        <w:rPr>
          <w:rFonts w:ascii="Arial" w:hAnsi="Arial" w:cs="Arial"/>
          <w:color w:val="FF0000"/>
          <w:sz w:val="24"/>
          <w:szCs w:val="24"/>
          <w:lang w:val="en-US"/>
        </w:rPr>
        <w:t xml:space="preserve"> Therefore, their prevention is of paramount clinical relevance.</w:t>
      </w:r>
    </w:p>
    <w:p w14:paraId="00C39FCA" w14:textId="53AA2F69" w:rsidR="00957C4A" w:rsidRPr="005B6210" w:rsidRDefault="00957C4A" w:rsidP="004554E1">
      <w:pPr>
        <w:pStyle w:val="ListParagraph"/>
        <w:spacing w:after="0" w:line="480" w:lineRule="auto"/>
        <w:ind w:left="0" w:firstLine="708"/>
        <w:contextualSpacing w:val="0"/>
        <w:jc w:val="both"/>
        <w:rPr>
          <w:rFonts w:ascii="Arial" w:hAnsi="Arial" w:cs="Arial"/>
          <w:color w:val="FF0000"/>
          <w:sz w:val="24"/>
          <w:szCs w:val="24"/>
          <w:shd w:val="clear" w:color="auto" w:fill="FFFFFF"/>
          <w:vertAlign w:val="superscript"/>
          <w:lang w:val="en-US"/>
        </w:rPr>
      </w:pPr>
      <w:r w:rsidRPr="00957C4A">
        <w:rPr>
          <w:rFonts w:ascii="Arial" w:hAnsi="Arial" w:cs="Arial"/>
          <w:color w:val="FF0000"/>
          <w:sz w:val="24"/>
          <w:szCs w:val="24"/>
          <w:lang w:val="en-US"/>
        </w:rPr>
        <w:lastRenderedPageBreak/>
        <w:t>Several bundles of measures are applied in the prevention of the two main infections associated with healthcare invasive devices in the general ICU population, catheter-related bacteremia, and ventilator-associated pneumonia.</w:t>
      </w:r>
      <w:r w:rsidR="00FA2D3D" w:rsidRPr="00FA2D3D">
        <w:rPr>
          <w:rFonts w:ascii="Arial" w:hAnsi="Arial" w:cs="Arial"/>
          <w:color w:val="FF0000"/>
          <w:sz w:val="24"/>
          <w:szCs w:val="24"/>
          <w:vertAlign w:val="superscript"/>
          <w:lang w:val="en-US"/>
        </w:rPr>
        <w:t>22,</w:t>
      </w:r>
      <w:r w:rsidR="00FA2D3D">
        <w:rPr>
          <w:rFonts w:ascii="Arial" w:hAnsi="Arial" w:cs="Arial"/>
          <w:color w:val="FF0000"/>
          <w:sz w:val="24"/>
          <w:szCs w:val="24"/>
          <w:vertAlign w:val="superscript"/>
          <w:lang w:val="en-US"/>
        </w:rPr>
        <w:t>25</w:t>
      </w:r>
      <w:r w:rsidRPr="00957C4A">
        <w:rPr>
          <w:rFonts w:ascii="Arial" w:hAnsi="Arial" w:cs="Arial"/>
          <w:color w:val="FF0000"/>
          <w:sz w:val="24"/>
          <w:szCs w:val="24"/>
          <w:vertAlign w:val="superscript"/>
          <w:lang w:val="en-US"/>
        </w:rPr>
        <w:t>-</w:t>
      </w:r>
      <w:r w:rsidR="00FA2D3D">
        <w:rPr>
          <w:rFonts w:ascii="Arial" w:hAnsi="Arial" w:cs="Arial"/>
          <w:color w:val="FF0000"/>
          <w:sz w:val="24"/>
          <w:szCs w:val="24"/>
          <w:vertAlign w:val="superscript"/>
          <w:lang w:val="en-US"/>
        </w:rPr>
        <w:t>26</w:t>
      </w:r>
      <w:r w:rsidRPr="00957C4A">
        <w:rPr>
          <w:rFonts w:ascii="Arial" w:hAnsi="Arial" w:cs="Arial"/>
          <w:color w:val="FF0000"/>
          <w:sz w:val="24"/>
          <w:szCs w:val="24"/>
          <w:vertAlign w:val="superscript"/>
          <w:lang w:val="en-US"/>
        </w:rPr>
        <w:t xml:space="preserve"> </w:t>
      </w:r>
      <w:r w:rsidRPr="00957C4A">
        <w:rPr>
          <w:rFonts w:ascii="Arial" w:hAnsi="Arial" w:cs="Arial"/>
          <w:color w:val="FF0000"/>
          <w:sz w:val="24"/>
          <w:szCs w:val="24"/>
          <w:lang w:val="en-US"/>
        </w:rPr>
        <w:t>Adequate hand hygiene, use of alcohol/chlorhexidine-containing skin antiseptics with sterile dressing, maximal sterile barrier precautions, catheter insertion site selection (subclavian &gt;jugular &gt;femoral) and timely central line removal are measures that effectively and sustainedly decrease the incidence of bacteremia related to catheter infection in the general ICU population.</w:t>
      </w:r>
      <w:r w:rsidR="00FA2D3D">
        <w:rPr>
          <w:rFonts w:ascii="Arial" w:hAnsi="Arial" w:cs="Arial"/>
          <w:color w:val="FF0000"/>
          <w:sz w:val="24"/>
          <w:szCs w:val="24"/>
          <w:vertAlign w:val="superscript"/>
          <w:lang w:val="en-US"/>
        </w:rPr>
        <w:t>22</w:t>
      </w:r>
      <w:r w:rsidRPr="00957C4A">
        <w:rPr>
          <w:rFonts w:ascii="Arial" w:hAnsi="Arial" w:cs="Arial"/>
          <w:color w:val="FF0000"/>
          <w:sz w:val="24"/>
          <w:szCs w:val="24"/>
          <w:vertAlign w:val="superscript"/>
          <w:lang w:val="en-US"/>
        </w:rPr>
        <w:t xml:space="preserve"> </w:t>
      </w:r>
      <w:r w:rsidRPr="00957C4A">
        <w:rPr>
          <w:rFonts w:ascii="Arial" w:hAnsi="Arial" w:cs="Arial"/>
          <w:color w:val="FF0000"/>
          <w:sz w:val="24"/>
          <w:szCs w:val="24"/>
          <w:lang w:val="en-US"/>
        </w:rPr>
        <w:t>Measures to p</w:t>
      </w:r>
      <w:r w:rsidRPr="00957C4A">
        <w:rPr>
          <w:rFonts w:ascii="Arial" w:hAnsi="Arial" w:cs="Arial"/>
          <w:color w:val="FF0000"/>
          <w:sz w:val="24"/>
          <w:szCs w:val="24"/>
          <w:shd w:val="clear" w:color="auto" w:fill="FFFFFF"/>
          <w:lang w:val="en-US"/>
        </w:rPr>
        <w:t>revent micro-aspiration of bacteria that accumulate in the upper airway (</w:t>
      </w:r>
      <w:r w:rsidRPr="00957C4A">
        <w:rPr>
          <w:rFonts w:ascii="Arial" w:hAnsi="Arial" w:cs="Arial"/>
          <w:color w:val="FF0000"/>
          <w:sz w:val="24"/>
          <w:szCs w:val="24"/>
          <w:lang w:val="en-US"/>
        </w:rPr>
        <w:t>elevation of the head of the bed &gt;30º, oral washing with chlorhexidine, subglottic suctioning, maintaining endotracheal cuff pressure at 25 cm H</w:t>
      </w:r>
      <w:r w:rsidRPr="00957C4A">
        <w:rPr>
          <w:rFonts w:ascii="Arial" w:hAnsi="Arial" w:cs="Arial"/>
          <w:color w:val="FF0000"/>
          <w:sz w:val="24"/>
          <w:szCs w:val="24"/>
          <w:vertAlign w:val="subscript"/>
          <w:lang w:val="en-US"/>
        </w:rPr>
        <w:t>2</w:t>
      </w:r>
      <w:r w:rsidRPr="00957C4A">
        <w:rPr>
          <w:rFonts w:ascii="Arial" w:hAnsi="Arial" w:cs="Arial"/>
          <w:color w:val="FF0000"/>
          <w:sz w:val="24"/>
          <w:szCs w:val="24"/>
          <w:lang w:val="en-US"/>
        </w:rPr>
        <w:t>O</w:t>
      </w:r>
      <w:r w:rsidRPr="00957C4A">
        <w:rPr>
          <w:rFonts w:ascii="Arial" w:hAnsi="Arial" w:cs="Arial"/>
          <w:color w:val="FF0000"/>
          <w:sz w:val="24"/>
          <w:szCs w:val="24"/>
          <w:shd w:val="clear" w:color="auto" w:fill="FFFFFF"/>
          <w:lang w:val="en-US"/>
        </w:rPr>
        <w:t xml:space="preserve">) and actions aimed at preventing the introduction of bacteria from environment (hand hygiene, bacterial filters, and minimal manipulation of the endotracheal tube) are able to decrease the incidence of </w:t>
      </w:r>
      <w:r w:rsidRPr="00957C4A">
        <w:rPr>
          <w:rFonts w:ascii="Arial" w:hAnsi="Arial" w:cs="Arial"/>
          <w:color w:val="FF0000"/>
          <w:sz w:val="24"/>
          <w:szCs w:val="24"/>
          <w:lang w:val="en-US"/>
        </w:rPr>
        <w:t>ventilator-associated pneumonia</w:t>
      </w:r>
      <w:r w:rsidRPr="00957C4A">
        <w:rPr>
          <w:rFonts w:ascii="Arial" w:hAnsi="Arial" w:cs="Arial"/>
          <w:color w:val="FF0000"/>
          <w:sz w:val="24"/>
          <w:szCs w:val="24"/>
          <w:shd w:val="clear" w:color="auto" w:fill="FFFFFF"/>
          <w:lang w:val="en-US"/>
        </w:rPr>
        <w:t xml:space="preserve"> in the general ICU population.</w:t>
      </w:r>
      <w:r w:rsidR="00FA2D3D">
        <w:rPr>
          <w:rFonts w:ascii="Arial" w:hAnsi="Arial" w:cs="Arial"/>
          <w:color w:val="FF0000"/>
          <w:sz w:val="24"/>
          <w:szCs w:val="24"/>
          <w:shd w:val="clear" w:color="auto" w:fill="FFFFFF"/>
          <w:vertAlign w:val="superscript"/>
          <w:lang w:val="en-US"/>
        </w:rPr>
        <w:t>2</w:t>
      </w:r>
      <w:r w:rsidRPr="00957C4A">
        <w:rPr>
          <w:rFonts w:ascii="Arial" w:hAnsi="Arial" w:cs="Arial"/>
          <w:color w:val="FF0000"/>
          <w:sz w:val="24"/>
          <w:szCs w:val="24"/>
          <w:shd w:val="clear" w:color="auto" w:fill="FFFFFF"/>
          <w:vertAlign w:val="superscript"/>
          <w:lang w:val="en-US"/>
        </w:rPr>
        <w:t>5</w:t>
      </w:r>
      <w:r w:rsidR="00FA2D3D">
        <w:rPr>
          <w:rFonts w:ascii="Arial" w:hAnsi="Arial" w:cs="Arial"/>
          <w:color w:val="FF0000"/>
          <w:sz w:val="24"/>
          <w:szCs w:val="24"/>
          <w:shd w:val="clear" w:color="auto" w:fill="FFFFFF"/>
          <w:vertAlign w:val="superscript"/>
          <w:lang w:val="en-US"/>
        </w:rPr>
        <w:t>,2</w:t>
      </w:r>
      <w:r w:rsidRPr="00957C4A">
        <w:rPr>
          <w:rFonts w:ascii="Arial" w:hAnsi="Arial" w:cs="Arial"/>
          <w:color w:val="FF0000"/>
          <w:sz w:val="24"/>
          <w:szCs w:val="24"/>
          <w:shd w:val="clear" w:color="auto" w:fill="FFFFFF"/>
          <w:vertAlign w:val="superscript"/>
          <w:lang w:val="en-US"/>
        </w:rPr>
        <w:t>6</w:t>
      </w:r>
      <w:r w:rsidRPr="00957C4A">
        <w:rPr>
          <w:rStyle w:val="docsum-pmid"/>
          <w:rFonts w:ascii="Arial" w:eastAsia="Calibri" w:hAnsi="Arial" w:cs="Arial"/>
          <w:color w:val="FF0000"/>
          <w:sz w:val="24"/>
          <w:szCs w:val="24"/>
          <w:shd w:val="clear" w:color="auto" w:fill="FFFFFF"/>
          <w:lang w:val="en-US"/>
        </w:rPr>
        <w:t xml:space="preserve"> </w:t>
      </w:r>
      <w:r w:rsidRPr="00957C4A">
        <w:rPr>
          <w:rFonts w:ascii="Arial" w:hAnsi="Arial" w:cs="Arial"/>
          <w:color w:val="FF0000"/>
          <w:sz w:val="24"/>
          <w:szCs w:val="24"/>
          <w:shd w:val="clear" w:color="auto" w:fill="FFFFFF"/>
          <w:lang w:val="en-US"/>
        </w:rPr>
        <w:t xml:space="preserve">Minimization of sedation and shorter mechanical ventilation time are also key in the prevention of </w:t>
      </w:r>
      <w:r w:rsidRPr="00957C4A">
        <w:rPr>
          <w:rFonts w:ascii="Arial" w:hAnsi="Arial" w:cs="Arial"/>
          <w:color w:val="FF0000"/>
          <w:sz w:val="24"/>
          <w:szCs w:val="24"/>
          <w:lang w:val="en-US"/>
        </w:rPr>
        <w:t xml:space="preserve">ventilator-associated </w:t>
      </w:r>
      <w:r w:rsidRPr="005B6210">
        <w:rPr>
          <w:rFonts w:ascii="Arial" w:hAnsi="Arial" w:cs="Arial"/>
          <w:color w:val="FF0000"/>
          <w:sz w:val="24"/>
          <w:szCs w:val="24"/>
          <w:lang w:val="en-US"/>
        </w:rPr>
        <w:t>pneumonia</w:t>
      </w:r>
      <w:r w:rsidRPr="005B6210">
        <w:rPr>
          <w:rFonts w:ascii="Arial" w:hAnsi="Arial" w:cs="Arial"/>
          <w:color w:val="FF0000"/>
          <w:sz w:val="24"/>
          <w:szCs w:val="24"/>
          <w:shd w:val="clear" w:color="auto" w:fill="FFFFFF"/>
          <w:lang w:val="en-US"/>
        </w:rPr>
        <w:t>.</w:t>
      </w:r>
      <w:r w:rsidRPr="005B6210">
        <w:rPr>
          <w:rFonts w:ascii="Arial" w:hAnsi="Arial" w:cs="Arial"/>
          <w:color w:val="FF0000"/>
          <w:sz w:val="24"/>
          <w:szCs w:val="24"/>
          <w:shd w:val="clear" w:color="auto" w:fill="FFFFFF"/>
          <w:vertAlign w:val="superscript"/>
          <w:lang w:val="en-US"/>
        </w:rPr>
        <w:t xml:space="preserve"> </w:t>
      </w:r>
    </w:p>
    <w:p w14:paraId="6BD5A920" w14:textId="77777777" w:rsidR="005B6210" w:rsidRPr="0072536B" w:rsidRDefault="005B6210" w:rsidP="004554E1">
      <w:pPr>
        <w:spacing w:after="0" w:line="480" w:lineRule="auto"/>
        <w:ind w:firstLine="709"/>
        <w:jc w:val="both"/>
        <w:rPr>
          <w:rFonts w:ascii="Arial" w:hAnsi="Arial" w:cs="Arial"/>
          <w:color w:val="FF0000"/>
          <w:sz w:val="24"/>
          <w:szCs w:val="24"/>
          <w:lang w:val="en-US"/>
        </w:rPr>
      </w:pPr>
      <w:r w:rsidRPr="005B6210">
        <w:rPr>
          <w:rFonts w:ascii="Arial" w:hAnsi="Arial" w:cs="Arial"/>
          <w:color w:val="FF0000"/>
          <w:sz w:val="24"/>
          <w:szCs w:val="24"/>
          <w:lang w:val="en-US"/>
        </w:rPr>
        <w:t>Given the high risk of nosocomial infections observed in patients with ACLF, bundles of measures aimed to prevent the development of catheter-related bacteremia and ventilator-associated pneumonia should be applied in patients with ACLF admitted to the ICU. The impact of the application of these bundles on prognosis should be evaluated in appropriate RCT.</w:t>
      </w:r>
    </w:p>
    <w:p w14:paraId="7EC618EC" w14:textId="77777777" w:rsidR="00253B39" w:rsidRDefault="00253B39" w:rsidP="00893F61">
      <w:pPr>
        <w:rPr>
          <w:rFonts w:ascii="Arial" w:hAnsi="Arial" w:cs="Arial"/>
          <w:sz w:val="24"/>
          <w:szCs w:val="24"/>
          <w:lang w:val="en-US"/>
        </w:rPr>
      </w:pPr>
    </w:p>
    <w:p w14:paraId="10B71B7C" w14:textId="77777777" w:rsidR="00253B39" w:rsidRDefault="00253B39" w:rsidP="00893F61">
      <w:pPr>
        <w:rPr>
          <w:rFonts w:ascii="Arial" w:hAnsi="Arial" w:cs="Arial"/>
          <w:sz w:val="24"/>
          <w:szCs w:val="24"/>
          <w:lang w:val="en-US"/>
        </w:rPr>
        <w:sectPr w:rsidR="00253B39" w:rsidSect="00505CAC">
          <w:pgSz w:w="11906" w:h="16838"/>
          <w:pgMar w:top="1417" w:right="1417" w:bottom="1417" w:left="1417" w:header="708" w:footer="708" w:gutter="0"/>
          <w:cols w:space="708"/>
          <w:docGrid w:linePitch="360"/>
        </w:sectPr>
      </w:pPr>
    </w:p>
    <w:p w14:paraId="5BA6205D" w14:textId="77777777" w:rsidR="00893F61" w:rsidRPr="00F968D2" w:rsidRDefault="00893F61" w:rsidP="00893F61">
      <w:pPr>
        <w:rPr>
          <w:rFonts w:ascii="Arial" w:hAnsi="Arial" w:cs="Arial"/>
          <w:sz w:val="24"/>
          <w:szCs w:val="24"/>
          <w:lang w:val="en-US"/>
        </w:rPr>
      </w:pPr>
    </w:p>
    <w:tbl>
      <w:tblPr>
        <w:tblW w:w="10120" w:type="dxa"/>
        <w:tblCellMar>
          <w:left w:w="0" w:type="dxa"/>
          <w:right w:w="0" w:type="dxa"/>
        </w:tblCellMar>
        <w:tblLook w:val="04A0" w:firstRow="1" w:lastRow="0" w:firstColumn="1" w:lastColumn="0" w:noHBand="0" w:noVBand="1"/>
      </w:tblPr>
      <w:tblGrid>
        <w:gridCol w:w="2140"/>
        <w:gridCol w:w="2040"/>
        <w:gridCol w:w="1880"/>
        <w:gridCol w:w="2020"/>
        <w:gridCol w:w="2040"/>
      </w:tblGrid>
      <w:tr w:rsidR="00893F61" w:rsidRPr="00D620E3" w14:paraId="6A09C22E" w14:textId="77777777" w:rsidTr="00CF0108">
        <w:trPr>
          <w:trHeight w:val="487"/>
        </w:trPr>
        <w:tc>
          <w:tcPr>
            <w:tcW w:w="10120" w:type="dxa"/>
            <w:gridSpan w:val="5"/>
            <w:tcBorders>
              <w:top w:val="single" w:sz="8" w:space="0" w:color="000000"/>
              <w:left w:val="single" w:sz="8" w:space="0" w:color="000000"/>
              <w:bottom w:val="single" w:sz="4" w:space="0" w:color="auto"/>
              <w:right w:val="single" w:sz="8" w:space="0" w:color="000000"/>
            </w:tcBorders>
            <w:shd w:val="clear" w:color="auto" w:fill="auto"/>
            <w:tcMar>
              <w:top w:w="15" w:type="dxa"/>
              <w:left w:w="102" w:type="dxa"/>
              <w:bottom w:w="0" w:type="dxa"/>
              <w:right w:w="102" w:type="dxa"/>
            </w:tcMar>
            <w:hideMark/>
          </w:tcPr>
          <w:p w14:paraId="0F347218" w14:textId="77777777" w:rsidR="00893F61" w:rsidRPr="00D620E3" w:rsidRDefault="00893F61" w:rsidP="00CF0108">
            <w:pPr>
              <w:spacing w:after="0" w:line="360" w:lineRule="auto"/>
              <w:rPr>
                <w:rFonts w:ascii="Arial" w:hAnsi="Arial" w:cs="Arial"/>
                <w:sz w:val="24"/>
                <w:szCs w:val="24"/>
                <w:lang w:val="en-US"/>
              </w:rPr>
            </w:pPr>
            <w:r w:rsidRPr="00A6752C">
              <w:rPr>
                <w:rFonts w:ascii="Arial" w:hAnsi="Arial" w:cs="Arial"/>
                <w:b/>
                <w:bCs/>
                <w:sz w:val="24"/>
                <w:szCs w:val="24"/>
                <w:lang w:val="en-US"/>
              </w:rPr>
              <w:t>Table S1. The Chronic Liver Failure-Consortium Organ Failure scoring system</w:t>
            </w:r>
            <w:r w:rsidRPr="00D620E3">
              <w:rPr>
                <w:rFonts w:ascii="Arial" w:hAnsi="Arial" w:cs="Arial"/>
                <w:bCs/>
                <w:i/>
                <w:sz w:val="24"/>
                <w:szCs w:val="24"/>
                <w:vertAlign w:val="superscript"/>
                <w:lang w:val="en-US"/>
              </w:rPr>
              <w:t>a</w:t>
            </w:r>
          </w:p>
        </w:tc>
      </w:tr>
      <w:tr w:rsidR="00893F61" w:rsidRPr="00D620E3" w14:paraId="4E56C68F" w14:textId="77777777" w:rsidTr="00CF0108">
        <w:trPr>
          <w:trHeight w:val="605"/>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36B5926" w14:textId="77777777" w:rsidR="00893F61" w:rsidRPr="00A6752C" w:rsidRDefault="00893F61" w:rsidP="00CF0108">
            <w:pPr>
              <w:spacing w:after="0" w:line="360" w:lineRule="auto"/>
              <w:rPr>
                <w:rFonts w:ascii="Arial" w:hAnsi="Arial" w:cs="Arial"/>
                <w:b/>
                <w:sz w:val="24"/>
                <w:szCs w:val="24"/>
                <w:lang w:val="en-US"/>
              </w:rPr>
            </w:pPr>
            <w:r w:rsidRPr="00A6752C">
              <w:rPr>
                <w:rFonts w:ascii="Arial" w:hAnsi="Arial" w:cs="Arial"/>
                <w:b/>
                <w:bCs/>
                <w:sz w:val="24"/>
                <w:szCs w:val="24"/>
                <w:lang w:val="en-US"/>
              </w:rPr>
              <w:t>Organ system</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847B2A4" w14:textId="77777777" w:rsidR="00893F61" w:rsidRPr="00A6752C" w:rsidRDefault="00893F61" w:rsidP="00CF0108">
            <w:pPr>
              <w:spacing w:after="0" w:line="360" w:lineRule="auto"/>
              <w:rPr>
                <w:rFonts w:ascii="Arial" w:hAnsi="Arial" w:cs="Arial"/>
                <w:b/>
                <w:sz w:val="24"/>
                <w:szCs w:val="24"/>
                <w:lang w:val="en-US"/>
              </w:rPr>
            </w:pPr>
            <w:r w:rsidRPr="00A6752C">
              <w:rPr>
                <w:rFonts w:ascii="Arial" w:hAnsi="Arial" w:cs="Arial"/>
                <w:b/>
                <w:bCs/>
                <w:sz w:val="24"/>
                <w:szCs w:val="24"/>
                <w:lang w:val="en-US"/>
              </w:rPr>
              <w:t>Variable</w:t>
            </w:r>
          </w:p>
        </w:tc>
        <w:tc>
          <w:tcPr>
            <w:tcW w:w="594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19CFB06" w14:textId="77777777" w:rsidR="00893F61" w:rsidRPr="00A6752C" w:rsidRDefault="00893F61" w:rsidP="00CF0108">
            <w:pPr>
              <w:spacing w:after="0" w:line="360" w:lineRule="auto"/>
              <w:rPr>
                <w:rFonts w:ascii="Arial" w:hAnsi="Arial" w:cs="Arial"/>
                <w:b/>
                <w:sz w:val="24"/>
                <w:szCs w:val="24"/>
                <w:lang w:val="en-US"/>
              </w:rPr>
            </w:pPr>
            <w:proofErr w:type="spellStart"/>
            <w:r w:rsidRPr="00A6752C">
              <w:rPr>
                <w:rFonts w:ascii="Arial" w:hAnsi="Arial" w:cs="Arial"/>
                <w:b/>
                <w:bCs/>
                <w:sz w:val="24"/>
                <w:szCs w:val="24"/>
                <w:lang w:val="en-US"/>
              </w:rPr>
              <w:t>Scale</w:t>
            </w:r>
            <w:r w:rsidRPr="00A6752C">
              <w:rPr>
                <w:rFonts w:ascii="Arial" w:hAnsi="Arial" w:cs="Arial"/>
                <w:bCs/>
                <w:i/>
                <w:sz w:val="24"/>
                <w:szCs w:val="24"/>
                <w:vertAlign w:val="superscript"/>
                <w:lang w:val="en-US"/>
              </w:rPr>
              <w:t>b</w:t>
            </w:r>
            <w:proofErr w:type="spellEnd"/>
          </w:p>
        </w:tc>
      </w:tr>
      <w:tr w:rsidR="00893F61" w:rsidRPr="00F968D2" w14:paraId="01A46C9C" w14:textId="77777777" w:rsidTr="00CF0108">
        <w:trPr>
          <w:trHeight w:val="509"/>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720C2A52" w14:textId="77777777" w:rsidR="00893F61" w:rsidRPr="00D620E3" w:rsidRDefault="00893F61" w:rsidP="00CF0108">
            <w:pPr>
              <w:spacing w:after="0" w:line="360" w:lineRule="auto"/>
              <w:rPr>
                <w:rFonts w:ascii="Arial" w:hAnsi="Arial" w:cs="Arial"/>
                <w:sz w:val="24"/>
                <w:szCs w:val="24"/>
                <w:lang w:val="en-US"/>
              </w:rPr>
            </w:pPr>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57C08BD7" w14:textId="77777777" w:rsidR="00893F61" w:rsidRPr="00D620E3" w:rsidRDefault="00893F61" w:rsidP="00CF0108">
            <w:pPr>
              <w:spacing w:after="0" w:line="360" w:lineRule="auto"/>
              <w:rPr>
                <w:rFonts w:ascii="Arial" w:hAnsi="Arial" w:cs="Arial"/>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0C1A148"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 xml:space="preserve">1 </w:t>
            </w:r>
            <w:proofErr w:type="spellStart"/>
            <w:r w:rsidRPr="00D620E3">
              <w:rPr>
                <w:rFonts w:ascii="Arial" w:hAnsi="Arial" w:cs="Arial"/>
                <w:bCs/>
                <w:sz w:val="24"/>
                <w:szCs w:val="24"/>
                <w:lang w:val="en-US"/>
              </w:rPr>
              <w:t>point</w:t>
            </w:r>
            <w:r w:rsidRPr="00D620E3">
              <w:rPr>
                <w:rFonts w:ascii="Arial" w:hAnsi="Arial" w:cs="Arial"/>
                <w:bCs/>
                <w:i/>
                <w:sz w:val="24"/>
                <w:szCs w:val="24"/>
                <w:vertAlign w:val="superscript"/>
                <w:lang w:val="en-US"/>
              </w:rPr>
              <w:t>c</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6F550964"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 xml:space="preserve">2 </w:t>
            </w:r>
            <w:proofErr w:type="spellStart"/>
            <w:r w:rsidRPr="00D620E3">
              <w:rPr>
                <w:rFonts w:ascii="Arial" w:hAnsi="Arial" w:cs="Arial"/>
                <w:bCs/>
                <w:sz w:val="24"/>
                <w:szCs w:val="24"/>
                <w:lang w:val="en-US"/>
              </w:rPr>
              <w:t>points</w:t>
            </w:r>
            <w:r w:rsidRPr="00D620E3">
              <w:rPr>
                <w:rFonts w:ascii="Arial" w:hAnsi="Arial" w:cs="Arial"/>
                <w:bCs/>
                <w:i/>
                <w:sz w:val="24"/>
                <w:szCs w:val="24"/>
                <w:vertAlign w:val="superscript"/>
                <w:lang w:val="en-US"/>
              </w:rPr>
              <w:t>c</w:t>
            </w:r>
            <w:proofErr w:type="spellEnd"/>
          </w:p>
        </w:tc>
        <w:tc>
          <w:tcPr>
            <w:tcW w:w="202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2C56310C"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 xml:space="preserve">3 </w:t>
            </w:r>
            <w:proofErr w:type="spellStart"/>
            <w:r w:rsidRPr="00D620E3">
              <w:rPr>
                <w:rFonts w:ascii="Arial" w:hAnsi="Arial" w:cs="Arial"/>
                <w:bCs/>
                <w:sz w:val="24"/>
                <w:szCs w:val="24"/>
                <w:lang w:val="en-US"/>
              </w:rPr>
              <w:t>points</w:t>
            </w:r>
            <w:r w:rsidRPr="00D620E3">
              <w:rPr>
                <w:rFonts w:ascii="Arial" w:hAnsi="Arial" w:cs="Arial"/>
                <w:bCs/>
                <w:i/>
                <w:sz w:val="24"/>
                <w:szCs w:val="24"/>
                <w:vertAlign w:val="superscript"/>
                <w:lang w:val="en-US"/>
              </w:rPr>
              <w:t>c</w:t>
            </w:r>
            <w:proofErr w:type="spellEnd"/>
          </w:p>
        </w:tc>
      </w:tr>
      <w:tr w:rsidR="00893F61" w:rsidRPr="00F968D2" w14:paraId="5B1AC1C2" w14:textId="77777777" w:rsidTr="00CF0108">
        <w:trPr>
          <w:trHeight w:val="531"/>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BE74895"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Liver</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2D8408B"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Bilirubin (mg/dl)</w:t>
            </w: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0D30CD42"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&lt;6.0</w:t>
            </w:r>
          </w:p>
        </w:tc>
        <w:tc>
          <w:tcPr>
            <w:tcW w:w="2020" w:type="dxa"/>
            <w:tcBorders>
              <w:top w:val="single" w:sz="4" w:space="0" w:color="auto"/>
              <w:left w:val="single" w:sz="4" w:space="0" w:color="auto"/>
              <w:bottom w:val="single" w:sz="4" w:space="0" w:color="auto"/>
              <w:right w:val="single" w:sz="4" w:space="0" w:color="auto"/>
            </w:tcBorders>
            <w:shd w:val="clear" w:color="auto" w:fill="FFC000"/>
            <w:tcMar>
              <w:top w:w="15" w:type="dxa"/>
              <w:left w:w="102" w:type="dxa"/>
              <w:bottom w:w="0" w:type="dxa"/>
              <w:right w:w="102" w:type="dxa"/>
            </w:tcMar>
            <w:hideMark/>
          </w:tcPr>
          <w:p w14:paraId="243F1403"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≥6.0 to &lt;12.0</w:t>
            </w:r>
          </w:p>
        </w:tc>
        <w:tc>
          <w:tcPr>
            <w:tcW w:w="2020" w:type="dxa"/>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22EF8DAC"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≥12</w:t>
            </w:r>
          </w:p>
        </w:tc>
      </w:tr>
      <w:tr w:rsidR="00893F61" w:rsidRPr="00F968D2" w14:paraId="790BDCA6" w14:textId="77777777" w:rsidTr="00CF0108">
        <w:trPr>
          <w:trHeight w:val="408"/>
        </w:trPr>
        <w:tc>
          <w:tcPr>
            <w:tcW w:w="21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2C880F80"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Kidney</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7AC75F63"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Creatinine (mg/dl)</w:t>
            </w: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4DA35A84"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&lt;1.5</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0ED4560B"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≥2.0 to &lt;3.5</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02F5A08B"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≥3.5</w:t>
            </w:r>
          </w:p>
          <w:p w14:paraId="241C9EFC"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or use of RRT</w:t>
            </w:r>
          </w:p>
        </w:tc>
      </w:tr>
      <w:tr w:rsidR="00893F61" w:rsidRPr="00F968D2" w14:paraId="28E8F957" w14:textId="77777777" w:rsidTr="00CF0108">
        <w:trPr>
          <w:trHeight w:val="40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1CB880" w14:textId="77777777" w:rsidR="00893F61" w:rsidRPr="00D620E3" w:rsidRDefault="00893F61" w:rsidP="00CF0108">
            <w:pPr>
              <w:spacing w:after="0" w:line="360" w:lineRule="auto"/>
              <w:rPr>
                <w:rFonts w:ascii="Arial" w:hAnsi="Arial" w:cs="Arial"/>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EEB6F" w14:textId="77777777" w:rsidR="00893F61" w:rsidRPr="00D620E3" w:rsidRDefault="00893F61" w:rsidP="00CF0108">
            <w:pPr>
              <w:spacing w:after="0" w:line="360" w:lineRule="auto"/>
              <w:rPr>
                <w:rFonts w:ascii="Arial" w:hAnsi="Arial" w:cs="Arial"/>
                <w:sz w:val="24"/>
                <w:szCs w:val="24"/>
                <w:lang w:val="en-US"/>
              </w:rPr>
            </w:pPr>
          </w:p>
        </w:tc>
        <w:tc>
          <w:tcPr>
            <w:tcW w:w="1880" w:type="dxa"/>
            <w:tcBorders>
              <w:top w:val="single" w:sz="4" w:space="0" w:color="auto"/>
              <w:left w:val="single" w:sz="4" w:space="0" w:color="auto"/>
              <w:bottom w:val="single" w:sz="4" w:space="0" w:color="auto"/>
              <w:right w:val="single" w:sz="4" w:space="0" w:color="auto"/>
            </w:tcBorders>
            <w:shd w:val="clear" w:color="auto" w:fill="FFC000"/>
            <w:tcMar>
              <w:top w:w="15" w:type="dxa"/>
              <w:left w:w="102" w:type="dxa"/>
              <w:bottom w:w="0" w:type="dxa"/>
              <w:right w:w="102" w:type="dxa"/>
            </w:tcMar>
            <w:hideMark/>
          </w:tcPr>
          <w:p w14:paraId="19FAA824"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&gt;1.5 to &lt;2.0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12400" w14:textId="77777777" w:rsidR="00893F61" w:rsidRPr="00D620E3" w:rsidRDefault="00893F61" w:rsidP="00CF0108">
            <w:pPr>
              <w:spacing w:after="0" w:line="360" w:lineRule="auto"/>
              <w:rPr>
                <w:rFonts w:ascii="Arial" w:hAnsi="Arial" w:cs="Arial"/>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EF34E" w14:textId="77777777" w:rsidR="00893F61" w:rsidRPr="00D620E3" w:rsidRDefault="00893F61" w:rsidP="00CF0108">
            <w:pPr>
              <w:spacing w:after="0" w:line="360" w:lineRule="auto"/>
              <w:rPr>
                <w:rFonts w:ascii="Arial" w:hAnsi="Arial" w:cs="Arial"/>
                <w:sz w:val="24"/>
                <w:szCs w:val="24"/>
                <w:lang w:val="en-US"/>
              </w:rPr>
            </w:pPr>
          </w:p>
        </w:tc>
      </w:tr>
      <w:tr w:rsidR="00893F61" w:rsidRPr="00F968D2" w14:paraId="58BD9B56" w14:textId="77777777" w:rsidTr="00CF0108">
        <w:trPr>
          <w:trHeight w:val="908"/>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0CB237C7"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Cerebral</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2C129779"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 xml:space="preserve">HE </w:t>
            </w:r>
            <w:proofErr w:type="gramStart"/>
            <w:r w:rsidRPr="00D620E3">
              <w:rPr>
                <w:rFonts w:ascii="Arial" w:hAnsi="Arial" w:cs="Arial"/>
                <w:bCs/>
                <w:sz w:val="24"/>
                <w:szCs w:val="24"/>
                <w:lang w:val="en-US"/>
              </w:rPr>
              <w:t>grade</w:t>
            </w:r>
            <w:proofErr w:type="gramEnd"/>
            <w:r w:rsidRPr="00D620E3">
              <w:rPr>
                <w:rFonts w:ascii="Arial" w:hAnsi="Arial" w:cs="Arial"/>
                <w:bCs/>
                <w:sz w:val="24"/>
                <w:szCs w:val="24"/>
                <w:lang w:val="en-US"/>
              </w:rPr>
              <w:t xml:space="preserve"> (West Haven criteria)</w:t>
            </w: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6049D00D"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0</w:t>
            </w:r>
          </w:p>
        </w:tc>
        <w:tc>
          <w:tcPr>
            <w:tcW w:w="2020" w:type="dxa"/>
            <w:tcBorders>
              <w:top w:val="single" w:sz="4" w:space="0" w:color="auto"/>
              <w:left w:val="single" w:sz="4" w:space="0" w:color="auto"/>
              <w:bottom w:val="single" w:sz="4" w:space="0" w:color="auto"/>
              <w:right w:val="single" w:sz="4" w:space="0" w:color="auto"/>
            </w:tcBorders>
            <w:shd w:val="clear" w:color="auto" w:fill="FFC000"/>
            <w:tcMar>
              <w:top w:w="15" w:type="dxa"/>
              <w:left w:w="102" w:type="dxa"/>
              <w:bottom w:w="0" w:type="dxa"/>
              <w:right w:w="102" w:type="dxa"/>
            </w:tcMar>
            <w:hideMark/>
          </w:tcPr>
          <w:p w14:paraId="0ABF6D6D"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I - II</w:t>
            </w:r>
          </w:p>
        </w:tc>
        <w:tc>
          <w:tcPr>
            <w:tcW w:w="2020" w:type="dxa"/>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6CD594E2"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III – IV or endotracheal intubation for HE</w:t>
            </w:r>
          </w:p>
        </w:tc>
      </w:tr>
      <w:tr w:rsidR="00893F61" w:rsidRPr="00F968D2" w14:paraId="459899B7" w14:textId="77777777" w:rsidTr="00CF0108">
        <w:trPr>
          <w:trHeight w:val="396"/>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7CFD082E"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Coagulation</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122FDA07"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INR</w:t>
            </w: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50CC0832"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&lt;2.0</w:t>
            </w:r>
          </w:p>
        </w:tc>
        <w:tc>
          <w:tcPr>
            <w:tcW w:w="2020" w:type="dxa"/>
            <w:tcBorders>
              <w:top w:val="single" w:sz="4" w:space="0" w:color="auto"/>
              <w:left w:val="single" w:sz="4" w:space="0" w:color="auto"/>
              <w:bottom w:val="single" w:sz="4" w:space="0" w:color="auto"/>
              <w:right w:val="single" w:sz="4" w:space="0" w:color="auto"/>
            </w:tcBorders>
            <w:shd w:val="clear" w:color="auto" w:fill="FFC000"/>
            <w:tcMar>
              <w:top w:w="15" w:type="dxa"/>
              <w:left w:w="102" w:type="dxa"/>
              <w:bottom w:w="0" w:type="dxa"/>
              <w:right w:w="102" w:type="dxa"/>
            </w:tcMar>
            <w:hideMark/>
          </w:tcPr>
          <w:p w14:paraId="3E635535"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≥2.0 to &lt;2.5</w:t>
            </w:r>
          </w:p>
        </w:tc>
        <w:tc>
          <w:tcPr>
            <w:tcW w:w="2020" w:type="dxa"/>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03C8B371"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≥2.5</w:t>
            </w:r>
          </w:p>
        </w:tc>
      </w:tr>
      <w:tr w:rsidR="00893F61" w:rsidRPr="00F968D2" w14:paraId="3681E5D7" w14:textId="77777777" w:rsidTr="00CF0108">
        <w:trPr>
          <w:trHeight w:val="958"/>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0A4DED02"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Circulation</w:t>
            </w:r>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6A8A0BF0"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MAP (mm Hg)</w:t>
            </w: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4CF8E874"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≥70</w:t>
            </w:r>
          </w:p>
        </w:tc>
        <w:tc>
          <w:tcPr>
            <w:tcW w:w="2020" w:type="dxa"/>
            <w:tcBorders>
              <w:top w:val="single" w:sz="4" w:space="0" w:color="auto"/>
              <w:left w:val="single" w:sz="4" w:space="0" w:color="auto"/>
              <w:bottom w:val="single" w:sz="4" w:space="0" w:color="auto"/>
              <w:right w:val="single" w:sz="4" w:space="0" w:color="auto"/>
            </w:tcBorders>
            <w:shd w:val="clear" w:color="auto" w:fill="FFC000"/>
            <w:tcMar>
              <w:top w:w="15" w:type="dxa"/>
              <w:left w:w="102" w:type="dxa"/>
              <w:bottom w:w="0" w:type="dxa"/>
              <w:right w:w="102" w:type="dxa"/>
            </w:tcMar>
            <w:hideMark/>
          </w:tcPr>
          <w:p w14:paraId="03FA840F"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&lt;70</w:t>
            </w:r>
          </w:p>
        </w:tc>
        <w:tc>
          <w:tcPr>
            <w:tcW w:w="2020" w:type="dxa"/>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3CA8E5BA"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Use of vasopressors</w:t>
            </w:r>
          </w:p>
        </w:tc>
      </w:tr>
      <w:tr w:rsidR="00893F61" w:rsidRPr="00F968D2" w14:paraId="18374F2D" w14:textId="77777777" w:rsidTr="00CF0108">
        <w:trPr>
          <w:trHeight w:val="1475"/>
        </w:trPr>
        <w:tc>
          <w:tcPr>
            <w:tcW w:w="21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305B37B5" w14:textId="77777777" w:rsidR="00893F61" w:rsidRPr="00D620E3" w:rsidRDefault="00893F61" w:rsidP="00CF0108">
            <w:pPr>
              <w:spacing w:after="0" w:line="360" w:lineRule="auto"/>
              <w:rPr>
                <w:rFonts w:ascii="Arial" w:hAnsi="Arial" w:cs="Arial"/>
                <w:sz w:val="24"/>
                <w:szCs w:val="24"/>
                <w:lang w:val="en-US"/>
              </w:rPr>
            </w:pPr>
            <w:proofErr w:type="spellStart"/>
            <w:r w:rsidRPr="00D620E3">
              <w:rPr>
                <w:rFonts w:ascii="Arial" w:hAnsi="Arial" w:cs="Arial"/>
                <w:bCs/>
                <w:sz w:val="24"/>
                <w:szCs w:val="24"/>
                <w:lang w:val="en-US"/>
              </w:rPr>
              <w:t>Respiration</w:t>
            </w:r>
            <w:r w:rsidRPr="00D0221A">
              <w:rPr>
                <w:rFonts w:ascii="Arial" w:hAnsi="Arial" w:cs="Arial"/>
                <w:bCs/>
                <w:i/>
                <w:sz w:val="24"/>
                <w:szCs w:val="24"/>
                <w:vertAlign w:val="superscript"/>
                <w:lang w:val="en-US"/>
              </w:rPr>
              <w:t>d</w:t>
            </w:r>
            <w:proofErr w:type="spellEnd"/>
          </w:p>
        </w:tc>
        <w:tc>
          <w:tcPr>
            <w:tcW w:w="204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3674E2FC" w14:textId="77777777" w:rsidR="00893F61" w:rsidRPr="004B32D8" w:rsidRDefault="00893F61" w:rsidP="00CF0108">
            <w:pPr>
              <w:spacing w:after="0" w:line="360" w:lineRule="auto"/>
              <w:rPr>
                <w:rFonts w:ascii="Arial" w:hAnsi="Arial" w:cs="Arial"/>
                <w:bCs/>
                <w:sz w:val="24"/>
                <w:szCs w:val="24"/>
                <w:vertAlign w:val="subscript"/>
                <w:lang w:val="en-US"/>
              </w:rPr>
            </w:pPr>
            <w:r w:rsidRPr="00D620E3">
              <w:rPr>
                <w:rFonts w:ascii="Arial" w:hAnsi="Arial" w:cs="Arial"/>
                <w:bCs/>
                <w:sz w:val="24"/>
                <w:szCs w:val="24"/>
                <w:lang w:val="en-US"/>
              </w:rPr>
              <w:t>PaO</w:t>
            </w:r>
            <w:r w:rsidRPr="00D620E3">
              <w:rPr>
                <w:rFonts w:ascii="Arial" w:hAnsi="Arial" w:cs="Arial"/>
                <w:bCs/>
                <w:sz w:val="24"/>
                <w:szCs w:val="24"/>
                <w:vertAlign w:val="subscript"/>
                <w:lang w:val="en-US"/>
              </w:rPr>
              <w:t>2</w:t>
            </w:r>
            <w:r w:rsidRPr="00D620E3">
              <w:rPr>
                <w:rFonts w:ascii="Arial" w:hAnsi="Arial" w:cs="Arial"/>
                <w:bCs/>
                <w:sz w:val="24"/>
                <w:szCs w:val="24"/>
                <w:lang w:val="en-US"/>
              </w:rPr>
              <w:t>/FiO</w:t>
            </w:r>
            <w:r w:rsidRPr="00D620E3">
              <w:rPr>
                <w:rFonts w:ascii="Arial" w:hAnsi="Arial" w:cs="Arial"/>
                <w:bCs/>
                <w:sz w:val="24"/>
                <w:szCs w:val="24"/>
                <w:vertAlign w:val="subscript"/>
                <w:lang w:val="en-US"/>
              </w:rPr>
              <w:t>2</w:t>
            </w:r>
          </w:p>
          <w:p w14:paraId="3D34BB48"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SpO</w:t>
            </w:r>
            <w:r w:rsidRPr="00D620E3">
              <w:rPr>
                <w:rFonts w:ascii="Arial" w:hAnsi="Arial" w:cs="Arial"/>
                <w:bCs/>
                <w:sz w:val="24"/>
                <w:szCs w:val="24"/>
                <w:vertAlign w:val="subscript"/>
                <w:lang w:val="en-US"/>
              </w:rPr>
              <w:t>2/</w:t>
            </w:r>
            <w:r w:rsidRPr="00D620E3">
              <w:rPr>
                <w:rFonts w:ascii="Arial" w:hAnsi="Arial" w:cs="Arial"/>
                <w:bCs/>
                <w:sz w:val="24"/>
                <w:szCs w:val="24"/>
                <w:lang w:val="en-US"/>
              </w:rPr>
              <w:t>FiO</w:t>
            </w:r>
            <w:r w:rsidRPr="00D620E3">
              <w:rPr>
                <w:rFonts w:ascii="Arial" w:hAnsi="Arial" w:cs="Arial"/>
                <w:bCs/>
                <w:sz w:val="24"/>
                <w:szCs w:val="24"/>
                <w:vertAlign w:val="subscript"/>
                <w:lang w:val="en-US"/>
              </w:rPr>
              <w:t>2</w:t>
            </w:r>
          </w:p>
        </w:tc>
        <w:tc>
          <w:tcPr>
            <w:tcW w:w="1880" w:type="dxa"/>
            <w:tcBorders>
              <w:top w:val="single" w:sz="4" w:space="0" w:color="auto"/>
              <w:left w:val="single" w:sz="4" w:space="0" w:color="auto"/>
              <w:bottom w:val="single" w:sz="4" w:space="0" w:color="auto"/>
              <w:right w:val="single" w:sz="4" w:space="0" w:color="auto"/>
            </w:tcBorders>
            <w:shd w:val="clear" w:color="auto" w:fill="auto"/>
            <w:tcMar>
              <w:top w:w="15" w:type="dxa"/>
              <w:left w:w="102" w:type="dxa"/>
              <w:bottom w:w="0" w:type="dxa"/>
              <w:right w:w="102" w:type="dxa"/>
            </w:tcMar>
            <w:hideMark/>
          </w:tcPr>
          <w:p w14:paraId="2B019BEA" w14:textId="77777777" w:rsidR="00893F61" w:rsidRPr="004B32D8" w:rsidRDefault="00893F61" w:rsidP="00CF0108">
            <w:pPr>
              <w:spacing w:after="0" w:line="360" w:lineRule="auto"/>
              <w:rPr>
                <w:rFonts w:ascii="Arial" w:hAnsi="Arial" w:cs="Arial"/>
                <w:bCs/>
                <w:sz w:val="24"/>
                <w:szCs w:val="24"/>
                <w:lang w:val="en-US"/>
              </w:rPr>
            </w:pPr>
            <w:r w:rsidRPr="00D620E3">
              <w:rPr>
                <w:rFonts w:ascii="Arial" w:hAnsi="Arial" w:cs="Arial"/>
                <w:bCs/>
                <w:sz w:val="24"/>
                <w:szCs w:val="24"/>
                <w:lang w:val="en-US"/>
              </w:rPr>
              <w:t>&gt;300</w:t>
            </w:r>
          </w:p>
          <w:p w14:paraId="77C722EA"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&gt;357</w:t>
            </w:r>
          </w:p>
        </w:tc>
        <w:tc>
          <w:tcPr>
            <w:tcW w:w="2020" w:type="dxa"/>
            <w:tcBorders>
              <w:top w:val="single" w:sz="4" w:space="0" w:color="auto"/>
              <w:left w:val="single" w:sz="4" w:space="0" w:color="auto"/>
              <w:bottom w:val="single" w:sz="4" w:space="0" w:color="auto"/>
              <w:right w:val="single" w:sz="4" w:space="0" w:color="auto"/>
            </w:tcBorders>
            <w:shd w:val="clear" w:color="auto" w:fill="FFC000"/>
            <w:tcMar>
              <w:top w:w="15" w:type="dxa"/>
              <w:left w:w="102" w:type="dxa"/>
              <w:bottom w:w="0" w:type="dxa"/>
              <w:right w:w="102" w:type="dxa"/>
            </w:tcMar>
            <w:hideMark/>
          </w:tcPr>
          <w:p w14:paraId="2D937314" w14:textId="77777777" w:rsidR="00893F61" w:rsidRPr="004B32D8" w:rsidRDefault="00893F61" w:rsidP="00CF0108">
            <w:pPr>
              <w:spacing w:after="0" w:line="360" w:lineRule="auto"/>
              <w:rPr>
                <w:rFonts w:ascii="Arial" w:hAnsi="Arial" w:cs="Arial"/>
                <w:bCs/>
                <w:sz w:val="24"/>
                <w:szCs w:val="24"/>
                <w:lang w:val="en-US"/>
              </w:rPr>
            </w:pPr>
            <w:r w:rsidRPr="00D620E3">
              <w:rPr>
                <w:rFonts w:ascii="Arial" w:hAnsi="Arial" w:cs="Arial"/>
                <w:bCs/>
                <w:sz w:val="24"/>
                <w:szCs w:val="24"/>
                <w:lang w:val="en-US"/>
              </w:rPr>
              <w:t>&gt;200 to ≤300</w:t>
            </w:r>
          </w:p>
          <w:p w14:paraId="0CB29AB7"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&gt;214 to ≤357</w:t>
            </w:r>
          </w:p>
        </w:tc>
        <w:tc>
          <w:tcPr>
            <w:tcW w:w="2020" w:type="dxa"/>
            <w:tcBorders>
              <w:top w:val="single" w:sz="4" w:space="0" w:color="auto"/>
              <w:left w:val="single" w:sz="4" w:space="0" w:color="auto"/>
              <w:bottom w:val="single" w:sz="4" w:space="0" w:color="auto"/>
              <w:right w:val="single" w:sz="4" w:space="0" w:color="auto"/>
            </w:tcBorders>
            <w:shd w:val="clear" w:color="auto" w:fill="C00000"/>
            <w:tcMar>
              <w:top w:w="15" w:type="dxa"/>
              <w:left w:w="102" w:type="dxa"/>
              <w:bottom w:w="0" w:type="dxa"/>
              <w:right w:w="102" w:type="dxa"/>
            </w:tcMar>
            <w:hideMark/>
          </w:tcPr>
          <w:p w14:paraId="3AE606CB"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≤200</w:t>
            </w:r>
          </w:p>
          <w:p w14:paraId="259F68F2"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≤214</w:t>
            </w:r>
          </w:p>
          <w:p w14:paraId="6F89E587" w14:textId="77777777" w:rsidR="00893F61" w:rsidRPr="00D620E3" w:rsidRDefault="00893F61" w:rsidP="00CF0108">
            <w:pPr>
              <w:spacing w:after="0" w:line="360" w:lineRule="auto"/>
              <w:rPr>
                <w:rFonts w:ascii="Arial" w:hAnsi="Arial" w:cs="Arial"/>
                <w:sz w:val="24"/>
                <w:szCs w:val="24"/>
                <w:lang w:val="en-US"/>
              </w:rPr>
            </w:pPr>
            <w:r w:rsidRPr="00D620E3">
              <w:rPr>
                <w:rFonts w:ascii="Arial" w:hAnsi="Arial" w:cs="Arial"/>
                <w:bCs/>
                <w:sz w:val="24"/>
                <w:szCs w:val="24"/>
                <w:lang w:val="en-US"/>
              </w:rPr>
              <w:t>Or use of mechanical ventilation</w:t>
            </w:r>
          </w:p>
        </w:tc>
      </w:tr>
      <w:tr w:rsidR="00893F61" w:rsidRPr="00346CBF" w14:paraId="599EDEFF" w14:textId="77777777" w:rsidTr="00CF0108">
        <w:trPr>
          <w:trHeight w:val="1475"/>
        </w:trPr>
        <w:tc>
          <w:tcPr>
            <w:tcW w:w="10120" w:type="dxa"/>
            <w:gridSpan w:val="5"/>
            <w:tcBorders>
              <w:top w:val="single" w:sz="4" w:space="0" w:color="auto"/>
              <w:left w:val="single" w:sz="8" w:space="0" w:color="000000"/>
              <w:bottom w:val="single" w:sz="8" w:space="0" w:color="000000"/>
              <w:right w:val="single" w:sz="8" w:space="0" w:color="000000"/>
            </w:tcBorders>
            <w:shd w:val="clear" w:color="auto" w:fill="auto"/>
            <w:tcMar>
              <w:top w:w="15" w:type="dxa"/>
              <w:left w:w="102" w:type="dxa"/>
              <w:bottom w:w="0" w:type="dxa"/>
              <w:right w:w="102" w:type="dxa"/>
            </w:tcMar>
          </w:tcPr>
          <w:p w14:paraId="1CE530D0" w14:textId="0FA382A4" w:rsidR="00893F61" w:rsidRPr="00346CBF" w:rsidRDefault="00893F61" w:rsidP="00CF0108">
            <w:pPr>
              <w:autoSpaceDE w:val="0"/>
              <w:autoSpaceDN w:val="0"/>
              <w:adjustRightInd w:val="0"/>
              <w:spacing w:after="0" w:line="360" w:lineRule="auto"/>
              <w:rPr>
                <w:rFonts w:ascii="Arial" w:hAnsi="Arial" w:cs="Arial"/>
                <w:color w:val="000000"/>
                <w:sz w:val="24"/>
                <w:szCs w:val="24"/>
                <w:lang w:val="en-US"/>
              </w:rPr>
            </w:pPr>
            <w:proofErr w:type="gramStart"/>
            <w:r w:rsidRPr="00346CBF">
              <w:rPr>
                <w:rFonts w:ascii="Arial" w:hAnsi="Arial" w:cs="Arial"/>
                <w:color w:val="000000"/>
                <w:sz w:val="24"/>
                <w:szCs w:val="24"/>
                <w:vertAlign w:val="superscript"/>
                <w:lang w:val="en-US"/>
              </w:rPr>
              <w:t>a</w:t>
            </w:r>
            <w:proofErr w:type="gramEnd"/>
            <w:r w:rsidRPr="00346CBF">
              <w:rPr>
                <w:rFonts w:ascii="Arial" w:hAnsi="Arial" w:cs="Arial"/>
                <w:color w:val="000000"/>
                <w:sz w:val="24"/>
                <w:szCs w:val="24"/>
                <w:lang w:val="en-US"/>
              </w:rPr>
              <w:t xml:space="preserve"> Adapted from Jalan et al.</w:t>
            </w:r>
            <w:r w:rsidR="00FA2D3D">
              <w:rPr>
                <w:rFonts w:ascii="Arial" w:hAnsi="Arial" w:cs="Arial"/>
                <w:color w:val="000000"/>
                <w:sz w:val="24"/>
                <w:szCs w:val="24"/>
                <w:vertAlign w:val="superscript"/>
                <w:lang w:val="en-US"/>
              </w:rPr>
              <w:t>27</w:t>
            </w:r>
            <w:r w:rsidRPr="00346CBF">
              <w:rPr>
                <w:rFonts w:ascii="Arial" w:hAnsi="Arial" w:cs="Arial"/>
                <w:color w:val="000000"/>
                <w:sz w:val="24"/>
                <w:szCs w:val="24"/>
                <w:lang w:val="en-US"/>
              </w:rPr>
              <w:t xml:space="preserve"> HE denotes hepatic encephalopathy, MAP mean ar</w:t>
            </w:r>
            <w:r>
              <w:rPr>
                <w:rFonts w:ascii="Arial" w:hAnsi="Arial" w:cs="Arial"/>
                <w:color w:val="000000"/>
                <w:sz w:val="24"/>
                <w:szCs w:val="24"/>
                <w:lang w:val="en-US"/>
              </w:rPr>
              <w:t>ter</w:t>
            </w:r>
            <w:r w:rsidRPr="00346CBF">
              <w:rPr>
                <w:rFonts w:ascii="Arial" w:hAnsi="Arial" w:cs="Arial"/>
                <w:color w:val="000000"/>
                <w:sz w:val="24"/>
                <w:szCs w:val="24"/>
                <w:lang w:val="en-US"/>
              </w:rPr>
              <w:t xml:space="preserve">ial pressure, </w:t>
            </w:r>
            <w:r w:rsidRPr="00346CBF">
              <w:rPr>
                <w:rFonts w:ascii="Arial" w:eastAsia="Arial Unicode MS" w:hAnsi="Arial" w:cs="Arial"/>
                <w:sz w:val="24"/>
                <w:szCs w:val="24"/>
                <w:lang w:val="en-US"/>
              </w:rPr>
              <w:t>PaO</w:t>
            </w:r>
            <w:r w:rsidRPr="00346CBF">
              <w:rPr>
                <w:rFonts w:ascii="Arial" w:eastAsia="Arial Unicode MS" w:hAnsi="Arial" w:cs="Arial"/>
                <w:sz w:val="24"/>
                <w:szCs w:val="24"/>
                <w:vertAlign w:val="subscript"/>
                <w:lang w:val="en-US"/>
              </w:rPr>
              <w:t>2</w:t>
            </w:r>
            <w:r w:rsidRPr="00346CBF">
              <w:rPr>
                <w:rFonts w:ascii="Arial" w:eastAsia="Arial Unicode MS" w:hAnsi="Arial" w:cs="Arial"/>
                <w:sz w:val="24"/>
                <w:szCs w:val="24"/>
                <w:lang w:val="en-US"/>
              </w:rPr>
              <w:t xml:space="preserve"> partial pressure of arterial oxygen, FiO</w:t>
            </w:r>
            <w:r w:rsidRPr="00346CBF">
              <w:rPr>
                <w:rFonts w:ascii="Arial" w:eastAsia="Arial Unicode MS" w:hAnsi="Arial" w:cs="Arial"/>
                <w:sz w:val="24"/>
                <w:szCs w:val="24"/>
                <w:vertAlign w:val="subscript"/>
                <w:lang w:val="en-US"/>
              </w:rPr>
              <w:t>2</w:t>
            </w:r>
            <w:r w:rsidRPr="00346CBF">
              <w:rPr>
                <w:rFonts w:ascii="Arial" w:eastAsia="Arial Unicode MS" w:hAnsi="Arial" w:cs="Arial"/>
                <w:sz w:val="24"/>
                <w:szCs w:val="24"/>
                <w:lang w:val="en-US"/>
              </w:rPr>
              <w:t xml:space="preserve"> fraction of inspired oxygen, and SpO</w:t>
            </w:r>
            <w:r w:rsidRPr="00346CBF">
              <w:rPr>
                <w:rFonts w:ascii="Arial" w:eastAsia="Arial Unicode MS" w:hAnsi="Arial" w:cs="Arial"/>
                <w:sz w:val="24"/>
                <w:szCs w:val="24"/>
                <w:vertAlign w:val="subscript"/>
                <w:lang w:val="en-US"/>
              </w:rPr>
              <w:t>2</w:t>
            </w:r>
            <w:r w:rsidRPr="00346CBF">
              <w:rPr>
                <w:rFonts w:ascii="Arial" w:eastAsia="Arial Unicode MS" w:hAnsi="Arial" w:cs="Arial"/>
                <w:sz w:val="24"/>
                <w:szCs w:val="24"/>
                <w:lang w:val="en-US"/>
              </w:rPr>
              <w:t xml:space="preserve"> pulse oximetry saturation.</w:t>
            </w:r>
          </w:p>
          <w:p w14:paraId="1F8E6FA2" w14:textId="77777777" w:rsidR="00893F61" w:rsidRPr="00346CBF" w:rsidRDefault="00893F61" w:rsidP="00CF0108">
            <w:pPr>
              <w:autoSpaceDE w:val="0"/>
              <w:autoSpaceDN w:val="0"/>
              <w:adjustRightInd w:val="0"/>
              <w:spacing w:after="0" w:line="360" w:lineRule="auto"/>
              <w:rPr>
                <w:rFonts w:ascii="Arial" w:hAnsi="Arial" w:cs="Arial"/>
                <w:sz w:val="24"/>
                <w:szCs w:val="24"/>
              </w:rPr>
            </w:pPr>
            <w:r w:rsidRPr="00346CBF">
              <w:rPr>
                <w:rFonts w:ascii="Arial" w:hAnsi="Arial" w:cs="Arial"/>
                <w:i/>
                <w:color w:val="000000"/>
                <w:sz w:val="24"/>
                <w:szCs w:val="24"/>
                <w:vertAlign w:val="superscript"/>
                <w:lang w:val="en-US"/>
              </w:rPr>
              <w:t>b</w:t>
            </w:r>
            <w:r w:rsidRPr="00346CBF">
              <w:rPr>
                <w:rFonts w:ascii="Arial" w:hAnsi="Arial" w:cs="Arial"/>
                <w:color w:val="000000"/>
                <w:sz w:val="24"/>
                <w:szCs w:val="24"/>
                <w:lang w:val="en-US"/>
              </w:rPr>
              <w:t xml:space="preserve"> </w:t>
            </w:r>
            <w:r w:rsidRPr="00346CBF">
              <w:rPr>
                <w:rFonts w:ascii="Arial" w:hAnsi="Arial" w:cs="Arial"/>
                <w:sz w:val="24"/>
                <w:szCs w:val="24"/>
                <w:lang w:val="en-US"/>
              </w:rPr>
              <w:t xml:space="preserve">The Chronic Liver Failure Consortium (CLIF-C) Organ Failure (OF) scoring system </w:t>
            </w:r>
            <w:r>
              <w:rPr>
                <w:rFonts w:ascii="Arial" w:hAnsi="Arial" w:cs="Arial"/>
                <w:sz w:val="24"/>
                <w:szCs w:val="24"/>
                <w:lang w:val="en-US"/>
              </w:rPr>
              <w:t>assigns a score on a scale of</w:t>
            </w:r>
            <w:r w:rsidRPr="00346CBF">
              <w:rPr>
                <w:rFonts w:ascii="Arial" w:hAnsi="Arial" w:cs="Arial"/>
                <w:sz w:val="24"/>
                <w:szCs w:val="24"/>
                <w:lang w:val="en-US"/>
              </w:rPr>
              <w:t xml:space="preserve"> 1 (close to normal) to 3 (most abnormal)</w:t>
            </w:r>
            <w:r>
              <w:rPr>
                <w:rFonts w:ascii="Arial" w:hAnsi="Arial" w:cs="Arial"/>
                <w:sz w:val="24"/>
                <w:szCs w:val="24"/>
                <w:lang w:val="en-US"/>
              </w:rPr>
              <w:t xml:space="preserve"> to</w:t>
            </w:r>
            <w:r w:rsidRPr="00346CBF">
              <w:rPr>
                <w:rFonts w:ascii="Arial" w:hAnsi="Arial" w:cs="Arial"/>
                <w:sz w:val="24"/>
                <w:szCs w:val="24"/>
                <w:lang w:val="en-US"/>
              </w:rPr>
              <w:t xml:space="preserve"> each of the six major organ systems (kidneys, lungs, liver, coagulation, brain, circulation). Aggregated scores range from 6 to 18, with higher scores indicating more marked severity</w:t>
            </w:r>
            <w:r>
              <w:rPr>
                <w:rFonts w:ascii="Arial" w:hAnsi="Arial" w:cs="Arial"/>
                <w:sz w:val="24"/>
                <w:szCs w:val="24"/>
                <w:lang w:val="en-US"/>
              </w:rPr>
              <w:t xml:space="preserve"> </w:t>
            </w:r>
            <w:r w:rsidRPr="006D4BC7">
              <w:rPr>
                <w:rFonts w:ascii="Arial" w:hAnsi="Arial" w:cs="Arial"/>
                <w:sz w:val="24"/>
                <w:szCs w:val="24"/>
                <w:lang w:val="en-US"/>
              </w:rPr>
              <w:t>and</w:t>
            </w:r>
            <w:r w:rsidRPr="00346CBF">
              <w:rPr>
                <w:rFonts w:ascii="Arial" w:hAnsi="Arial" w:cs="Arial"/>
                <w:sz w:val="24"/>
                <w:szCs w:val="24"/>
                <w:lang w:val="en-US"/>
              </w:rPr>
              <w:t xml:space="preserve"> determine the CLIF-C OF score which is used to calculate the CLIF-C ACLF score (which is equal to </w:t>
            </w:r>
            <w:r w:rsidRPr="00346CBF">
              <w:rPr>
                <w:rFonts w:ascii="Arial" w:hAnsi="Arial" w:cs="Arial"/>
                <w:bCs/>
                <w:sz w:val="24"/>
                <w:szCs w:val="24"/>
                <w:lang w:val="en-US"/>
              </w:rPr>
              <w:t>10 x [0.33 x CLIF-C OF score + 0.04 x Age + 0.63 x Ln (white-cell count) – 2]</w:t>
            </w:r>
            <w:r>
              <w:rPr>
                <w:rFonts w:ascii="Arial" w:hAnsi="Arial" w:cs="Arial"/>
                <w:bCs/>
                <w:sz w:val="24"/>
                <w:szCs w:val="24"/>
                <w:lang w:val="en-US"/>
              </w:rPr>
              <w:t>)</w:t>
            </w:r>
            <w:r w:rsidRPr="00346CBF">
              <w:rPr>
                <w:rFonts w:ascii="Arial" w:hAnsi="Arial" w:cs="Arial"/>
                <w:sz w:val="24"/>
                <w:szCs w:val="24"/>
                <w:lang w:val="en-US"/>
              </w:rPr>
              <w:t xml:space="preserve">. </w:t>
            </w:r>
            <w:r>
              <w:rPr>
                <w:rFonts w:ascii="Arial" w:hAnsi="Arial" w:cs="Arial"/>
                <w:sz w:val="24"/>
                <w:szCs w:val="24"/>
                <w:lang w:val="en-US"/>
              </w:rPr>
              <w:t>A calculator is available at www.efclif.com.</w:t>
            </w:r>
          </w:p>
          <w:p w14:paraId="365D6C0C" w14:textId="77777777" w:rsidR="00893F61" w:rsidRDefault="00893F61" w:rsidP="00CF0108">
            <w:pPr>
              <w:autoSpaceDE w:val="0"/>
              <w:autoSpaceDN w:val="0"/>
              <w:adjustRightInd w:val="0"/>
              <w:spacing w:after="0" w:line="360" w:lineRule="auto"/>
              <w:rPr>
                <w:rFonts w:ascii="Arial" w:hAnsi="Arial" w:cs="Arial"/>
                <w:color w:val="000000"/>
                <w:sz w:val="24"/>
                <w:szCs w:val="24"/>
                <w:lang w:val="en-US"/>
              </w:rPr>
            </w:pPr>
            <w:r w:rsidRPr="00346CBF">
              <w:rPr>
                <w:rFonts w:ascii="Arial" w:hAnsi="Arial" w:cs="Arial"/>
                <w:bCs/>
                <w:i/>
                <w:sz w:val="24"/>
                <w:szCs w:val="24"/>
                <w:vertAlign w:val="superscript"/>
                <w:lang w:val="en-US"/>
              </w:rPr>
              <w:t>c</w:t>
            </w:r>
            <w:r w:rsidRPr="00346CBF">
              <w:rPr>
                <w:rFonts w:ascii="Arial" w:hAnsi="Arial" w:cs="Arial"/>
                <w:sz w:val="24"/>
                <w:szCs w:val="24"/>
                <w:lang w:val="en-US"/>
              </w:rPr>
              <w:t xml:space="preserve"> </w:t>
            </w:r>
            <w:proofErr w:type="gramStart"/>
            <w:r w:rsidRPr="00346CBF">
              <w:rPr>
                <w:rFonts w:ascii="Arial" w:hAnsi="Arial" w:cs="Arial"/>
                <w:color w:val="000000"/>
                <w:sz w:val="24"/>
                <w:szCs w:val="24"/>
                <w:lang w:val="en-US"/>
              </w:rPr>
              <w:t>The</w:t>
            </w:r>
            <w:proofErr w:type="gramEnd"/>
            <w:r w:rsidRPr="00346CBF">
              <w:rPr>
                <w:rFonts w:ascii="Arial" w:hAnsi="Arial" w:cs="Arial"/>
                <w:color w:val="000000"/>
                <w:sz w:val="24"/>
                <w:szCs w:val="24"/>
                <w:lang w:val="en-US"/>
              </w:rPr>
              <w:t xml:space="preserve"> red and orange colors indicate the values that are used to define organ system failure and organ dysfunction, respectively. Organ system failures and dysfunction are used to define ACLF (see Table S2).</w:t>
            </w:r>
          </w:p>
          <w:p w14:paraId="3906EC2A" w14:textId="77777777" w:rsidR="00893F61" w:rsidRPr="00346CBF" w:rsidRDefault="00893F61" w:rsidP="00CF0108">
            <w:pPr>
              <w:autoSpaceDE w:val="0"/>
              <w:autoSpaceDN w:val="0"/>
              <w:adjustRightInd w:val="0"/>
              <w:spacing w:after="0" w:line="360" w:lineRule="auto"/>
              <w:rPr>
                <w:rFonts w:ascii="Arial" w:hAnsi="Arial" w:cs="Arial"/>
                <w:color w:val="000000"/>
                <w:sz w:val="24"/>
                <w:szCs w:val="24"/>
                <w:lang w:val="en-US"/>
              </w:rPr>
            </w:pPr>
            <w:r w:rsidRPr="00D0221A">
              <w:rPr>
                <w:rFonts w:ascii="Arial" w:hAnsi="Arial" w:cs="Arial"/>
                <w:i/>
                <w:color w:val="000000"/>
                <w:sz w:val="24"/>
                <w:szCs w:val="24"/>
                <w:vertAlign w:val="superscript"/>
                <w:lang w:val="en-US"/>
              </w:rPr>
              <w:t>d</w:t>
            </w:r>
            <w:r>
              <w:rPr>
                <w:rFonts w:ascii="Arial" w:hAnsi="Arial" w:cs="Arial"/>
                <w:color w:val="000000"/>
                <w:sz w:val="24"/>
                <w:szCs w:val="24"/>
                <w:lang w:val="en-US"/>
              </w:rPr>
              <w:t xml:space="preserve"> </w:t>
            </w:r>
            <w:r w:rsidRPr="00D620E3">
              <w:rPr>
                <w:rFonts w:ascii="Arial" w:hAnsi="Arial" w:cs="Arial"/>
                <w:bCs/>
                <w:sz w:val="24"/>
                <w:szCs w:val="24"/>
                <w:lang w:val="en-US"/>
              </w:rPr>
              <w:t>SpO</w:t>
            </w:r>
            <w:r>
              <w:rPr>
                <w:rFonts w:ascii="Arial" w:hAnsi="Arial" w:cs="Arial"/>
                <w:bCs/>
                <w:sz w:val="24"/>
                <w:szCs w:val="24"/>
                <w:vertAlign w:val="subscript"/>
                <w:lang w:val="en-US"/>
              </w:rPr>
              <w:t xml:space="preserve">2 </w:t>
            </w:r>
            <w:r>
              <w:rPr>
                <w:rFonts w:ascii="Arial" w:hAnsi="Arial" w:cs="Arial"/>
                <w:color w:val="000000"/>
                <w:sz w:val="24"/>
                <w:szCs w:val="24"/>
                <w:lang w:val="en-US"/>
              </w:rPr>
              <w:t xml:space="preserve">is used when </w:t>
            </w:r>
            <w:r w:rsidRPr="00D620E3">
              <w:rPr>
                <w:rFonts w:ascii="Arial" w:hAnsi="Arial" w:cs="Arial"/>
                <w:bCs/>
                <w:sz w:val="24"/>
                <w:szCs w:val="24"/>
                <w:lang w:val="en-US"/>
              </w:rPr>
              <w:t>PaO</w:t>
            </w:r>
            <w:r w:rsidRPr="00D620E3">
              <w:rPr>
                <w:rFonts w:ascii="Arial" w:hAnsi="Arial" w:cs="Arial"/>
                <w:bCs/>
                <w:sz w:val="24"/>
                <w:szCs w:val="24"/>
                <w:vertAlign w:val="subscript"/>
                <w:lang w:val="en-US"/>
              </w:rPr>
              <w:t>2</w:t>
            </w:r>
            <w:r>
              <w:rPr>
                <w:rFonts w:ascii="Arial" w:hAnsi="Arial" w:cs="Arial"/>
                <w:bCs/>
                <w:sz w:val="24"/>
                <w:szCs w:val="24"/>
                <w:vertAlign w:val="subscript"/>
                <w:lang w:val="en-US"/>
              </w:rPr>
              <w:t xml:space="preserve"> </w:t>
            </w:r>
            <w:r w:rsidRPr="00D0221A">
              <w:rPr>
                <w:rFonts w:ascii="Arial" w:hAnsi="Arial" w:cs="Arial"/>
                <w:bCs/>
                <w:sz w:val="24"/>
                <w:szCs w:val="24"/>
                <w:lang w:val="en-US"/>
              </w:rPr>
              <w:t>is</w:t>
            </w:r>
            <w:r>
              <w:rPr>
                <w:rFonts w:ascii="Arial" w:hAnsi="Arial" w:cs="Arial"/>
                <w:bCs/>
                <w:sz w:val="24"/>
                <w:szCs w:val="24"/>
                <w:lang w:val="en-US"/>
              </w:rPr>
              <w:t xml:space="preserve"> not available.</w:t>
            </w:r>
          </w:p>
        </w:tc>
      </w:tr>
    </w:tbl>
    <w:p w14:paraId="3EDDD160" w14:textId="77777777" w:rsidR="00893F61" w:rsidRPr="00F968D2" w:rsidRDefault="00893F61" w:rsidP="00893F61">
      <w:pPr>
        <w:spacing w:after="0" w:line="360" w:lineRule="auto"/>
        <w:rPr>
          <w:rFonts w:ascii="Arial" w:hAnsi="Arial" w:cs="Arial"/>
          <w:sz w:val="24"/>
          <w:szCs w:val="24"/>
          <w:lang w:val="en-US"/>
        </w:rPr>
      </w:pPr>
    </w:p>
    <w:p w14:paraId="5EB62990" w14:textId="77777777" w:rsidR="00893F61" w:rsidRDefault="00893F61" w:rsidP="00893F61">
      <w:pPr>
        <w:rPr>
          <w:lang w:val="en-US"/>
        </w:rPr>
        <w:sectPr w:rsidR="00893F61" w:rsidSect="00380921">
          <w:pgSz w:w="11906" w:h="16838"/>
          <w:pgMar w:top="720" w:right="720" w:bottom="720" w:left="720" w:header="708" w:footer="708" w:gutter="0"/>
          <w:cols w:space="708"/>
          <w:docGrid w:linePitch="360"/>
        </w:sectPr>
      </w:pPr>
    </w:p>
    <w:p w14:paraId="0D65636A" w14:textId="77777777" w:rsidR="00893F61" w:rsidRPr="00997D31" w:rsidRDefault="00893F61" w:rsidP="00893F61">
      <w:pPr>
        <w:rPr>
          <w:lang w:val="en-US"/>
        </w:rPr>
      </w:pPr>
    </w:p>
    <w:tbl>
      <w:tblPr>
        <w:tblW w:w="10206" w:type="dxa"/>
        <w:tblInd w:w="-567"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0206"/>
      </w:tblGrid>
      <w:tr w:rsidR="00893F61" w:rsidRPr="00997D31" w14:paraId="6F8F63C4" w14:textId="77777777" w:rsidTr="00CF0108">
        <w:tc>
          <w:tcPr>
            <w:tcW w:w="10206" w:type="dxa"/>
            <w:tcBorders>
              <w:top w:val="single" w:sz="4" w:space="0" w:color="auto"/>
              <w:bottom w:val="single" w:sz="4" w:space="0" w:color="auto"/>
            </w:tcBorders>
            <w:shd w:val="clear" w:color="auto" w:fill="auto"/>
            <w:tcMar>
              <w:top w:w="0" w:type="dxa"/>
              <w:left w:w="108" w:type="dxa"/>
              <w:bottom w:w="0" w:type="dxa"/>
              <w:right w:w="108" w:type="dxa"/>
            </w:tcMar>
          </w:tcPr>
          <w:p w14:paraId="05A394C8" w14:textId="77777777" w:rsidR="00893F61" w:rsidRPr="00997D31" w:rsidRDefault="00893F61" w:rsidP="00CF0108">
            <w:pPr>
              <w:spacing w:after="0" w:line="360" w:lineRule="auto"/>
              <w:ind w:left="709" w:hanging="709"/>
              <w:rPr>
                <w:rFonts w:ascii="Arial" w:hAnsi="Arial" w:cs="Arial"/>
                <w:b/>
                <w:color w:val="000000"/>
                <w:sz w:val="24"/>
                <w:szCs w:val="24"/>
                <w:lang w:val="en-US"/>
              </w:rPr>
            </w:pPr>
            <w:r>
              <w:rPr>
                <w:rFonts w:ascii="Arial" w:hAnsi="Arial" w:cs="Arial"/>
                <w:b/>
                <w:color w:val="000000"/>
                <w:sz w:val="24"/>
                <w:szCs w:val="24"/>
                <w:lang w:val="en-US"/>
              </w:rPr>
              <w:t>Table S2</w:t>
            </w:r>
            <w:r w:rsidRPr="00997D31">
              <w:rPr>
                <w:rFonts w:ascii="Arial" w:hAnsi="Arial" w:cs="Arial"/>
                <w:b/>
                <w:color w:val="000000"/>
                <w:sz w:val="24"/>
                <w:szCs w:val="24"/>
                <w:lang w:val="en-US"/>
              </w:rPr>
              <w:t xml:space="preserve">. </w:t>
            </w:r>
            <w:r>
              <w:rPr>
                <w:rFonts w:ascii="Arial" w:hAnsi="Arial" w:cs="Arial"/>
                <w:b/>
                <w:color w:val="000000"/>
                <w:sz w:val="24"/>
                <w:szCs w:val="24"/>
                <w:lang w:val="en-US"/>
              </w:rPr>
              <w:t xml:space="preserve">Stratification of patients with acutely decompensated cirrhosis according to EASL-CLIF </w:t>
            </w:r>
            <w:proofErr w:type="spellStart"/>
            <w:r>
              <w:rPr>
                <w:rFonts w:ascii="Arial" w:hAnsi="Arial" w:cs="Arial"/>
                <w:b/>
                <w:color w:val="000000"/>
                <w:sz w:val="24"/>
                <w:szCs w:val="24"/>
                <w:lang w:val="en-US"/>
              </w:rPr>
              <w:t>criteria</w:t>
            </w:r>
            <w:r w:rsidRPr="00866AD7">
              <w:rPr>
                <w:rFonts w:ascii="Arial" w:hAnsi="Arial" w:cs="Arial"/>
                <w:i/>
                <w:color w:val="000000"/>
                <w:sz w:val="24"/>
                <w:szCs w:val="24"/>
                <w:vertAlign w:val="superscript"/>
                <w:lang w:val="en-US"/>
              </w:rPr>
              <w:t>a</w:t>
            </w:r>
            <w:proofErr w:type="spellEnd"/>
          </w:p>
        </w:tc>
      </w:tr>
      <w:tr w:rsidR="00893F61" w:rsidRPr="00997D31" w14:paraId="133871B0" w14:textId="77777777" w:rsidTr="00CF0108">
        <w:tc>
          <w:tcPr>
            <w:tcW w:w="10206" w:type="dxa"/>
            <w:shd w:val="clear" w:color="auto" w:fill="auto"/>
            <w:tcMar>
              <w:top w:w="0" w:type="dxa"/>
              <w:left w:w="108" w:type="dxa"/>
              <w:bottom w:w="0" w:type="dxa"/>
              <w:right w:w="108" w:type="dxa"/>
            </w:tcMar>
          </w:tcPr>
          <w:p w14:paraId="6AF34F5C" w14:textId="00221DDC" w:rsidR="00893F61" w:rsidRPr="00997D31" w:rsidRDefault="00893F61" w:rsidP="00CF0108">
            <w:pPr>
              <w:spacing w:after="0" w:line="360" w:lineRule="auto"/>
              <w:rPr>
                <w:rFonts w:ascii="Arial" w:hAnsi="Arial" w:cs="Arial"/>
                <w:b/>
                <w:color w:val="000000"/>
                <w:sz w:val="24"/>
                <w:szCs w:val="24"/>
                <w:lang w:val="en-US"/>
              </w:rPr>
            </w:pPr>
            <w:r w:rsidRPr="00997D31">
              <w:rPr>
                <w:rFonts w:ascii="Arial" w:hAnsi="Arial" w:cs="Arial"/>
                <w:b/>
                <w:color w:val="000000"/>
                <w:sz w:val="24"/>
                <w:szCs w:val="24"/>
                <w:lang w:val="en-US"/>
              </w:rPr>
              <w:t>Acutely decompensated cirrhosis without acute-on-chronic liver failure (ACLF</w:t>
            </w:r>
            <w:r w:rsidRPr="00A91F85">
              <w:rPr>
                <w:rFonts w:ascii="Arial" w:hAnsi="Arial" w:cs="Arial"/>
                <w:b/>
                <w:color w:val="000000"/>
                <w:sz w:val="24"/>
                <w:szCs w:val="24"/>
                <w:lang w:val="en-US"/>
              </w:rPr>
              <w:t>)</w:t>
            </w:r>
            <w:r w:rsidRPr="00A91F85">
              <w:rPr>
                <w:rFonts w:ascii="Arial" w:hAnsi="Arial" w:cs="Arial"/>
                <w:color w:val="000000"/>
                <w:sz w:val="24"/>
                <w:szCs w:val="24"/>
                <w:vertAlign w:val="superscript"/>
                <w:lang w:val="en-US"/>
              </w:rPr>
              <w:t>2</w:t>
            </w:r>
            <w:r w:rsidR="00FA2D3D">
              <w:rPr>
                <w:rFonts w:ascii="Arial" w:hAnsi="Arial" w:cs="Arial"/>
                <w:color w:val="000000"/>
                <w:sz w:val="24"/>
                <w:szCs w:val="24"/>
                <w:vertAlign w:val="superscript"/>
                <w:lang w:val="en-US"/>
              </w:rPr>
              <w:t>8</w:t>
            </w:r>
          </w:p>
        </w:tc>
      </w:tr>
      <w:tr w:rsidR="00893F61" w:rsidRPr="00997D31" w14:paraId="586B0255" w14:textId="77777777" w:rsidTr="00CF0108">
        <w:tc>
          <w:tcPr>
            <w:tcW w:w="10206" w:type="dxa"/>
            <w:shd w:val="clear" w:color="auto" w:fill="auto"/>
            <w:tcMar>
              <w:top w:w="0" w:type="dxa"/>
              <w:left w:w="108" w:type="dxa"/>
              <w:bottom w:w="0" w:type="dxa"/>
              <w:right w:w="108" w:type="dxa"/>
            </w:tcMar>
          </w:tcPr>
          <w:p w14:paraId="776E2AC0" w14:textId="77777777" w:rsidR="00893F61" w:rsidRPr="00997D31" w:rsidRDefault="00893F61" w:rsidP="00CF0108">
            <w:pPr>
              <w:spacing w:after="0" w:line="360" w:lineRule="auto"/>
              <w:rPr>
                <w:rFonts w:ascii="Arial" w:hAnsi="Arial" w:cs="Arial"/>
                <w:sz w:val="24"/>
                <w:szCs w:val="24"/>
                <w:lang w:val="en-US"/>
              </w:rPr>
            </w:pPr>
            <w:r w:rsidRPr="00997D31">
              <w:rPr>
                <w:rFonts w:ascii="Arial" w:hAnsi="Arial" w:cs="Arial"/>
                <w:sz w:val="24"/>
                <w:szCs w:val="24"/>
                <w:lang w:val="en-US"/>
              </w:rPr>
              <w:t>Refers to:</w:t>
            </w:r>
          </w:p>
        </w:tc>
      </w:tr>
      <w:tr w:rsidR="00893F61" w:rsidRPr="00997D31" w14:paraId="2B27E9A7" w14:textId="77777777" w:rsidTr="00CF0108">
        <w:tc>
          <w:tcPr>
            <w:tcW w:w="10206" w:type="dxa"/>
            <w:shd w:val="clear" w:color="auto" w:fill="auto"/>
            <w:tcMar>
              <w:top w:w="0" w:type="dxa"/>
              <w:left w:w="108" w:type="dxa"/>
              <w:bottom w:w="0" w:type="dxa"/>
              <w:right w:w="108" w:type="dxa"/>
            </w:tcMar>
          </w:tcPr>
          <w:p w14:paraId="1C455704" w14:textId="77777777" w:rsidR="00893F61" w:rsidRPr="00997D31" w:rsidRDefault="00893F61" w:rsidP="00893F61">
            <w:pPr>
              <w:pStyle w:val="ListParagraph"/>
              <w:numPr>
                <w:ilvl w:val="0"/>
                <w:numId w:val="2"/>
              </w:numPr>
              <w:spacing w:after="0" w:line="360" w:lineRule="auto"/>
              <w:ind w:left="0"/>
              <w:contextualSpacing w:val="0"/>
              <w:rPr>
                <w:sz w:val="24"/>
                <w:szCs w:val="24"/>
                <w:lang w:val="en-US"/>
              </w:rPr>
            </w:pPr>
            <w:r w:rsidRPr="00997D31">
              <w:rPr>
                <w:rFonts w:ascii="Arial" w:hAnsi="Arial" w:cs="Arial"/>
                <w:sz w:val="24"/>
                <w:szCs w:val="24"/>
                <w:lang w:val="en-US"/>
              </w:rPr>
              <w:t>Patients with no organ failure</w:t>
            </w:r>
          </w:p>
        </w:tc>
      </w:tr>
      <w:tr w:rsidR="00893F61" w:rsidRPr="00997D31" w14:paraId="4749E03A" w14:textId="77777777" w:rsidTr="00CF0108">
        <w:tc>
          <w:tcPr>
            <w:tcW w:w="10206" w:type="dxa"/>
            <w:shd w:val="clear" w:color="auto" w:fill="auto"/>
            <w:tcMar>
              <w:top w:w="0" w:type="dxa"/>
              <w:left w:w="108" w:type="dxa"/>
              <w:bottom w:w="0" w:type="dxa"/>
              <w:right w:w="108" w:type="dxa"/>
            </w:tcMar>
          </w:tcPr>
          <w:p w14:paraId="353B8429" w14:textId="77777777" w:rsidR="00893F61" w:rsidRPr="00997D31" w:rsidRDefault="00893F61" w:rsidP="00893F61">
            <w:pPr>
              <w:pStyle w:val="ListParagraph"/>
              <w:numPr>
                <w:ilvl w:val="0"/>
                <w:numId w:val="2"/>
              </w:numPr>
              <w:spacing w:after="0" w:line="360" w:lineRule="auto"/>
              <w:ind w:left="0"/>
              <w:contextualSpacing w:val="0"/>
              <w:rPr>
                <w:sz w:val="24"/>
                <w:szCs w:val="24"/>
                <w:lang w:val="en-US"/>
              </w:rPr>
            </w:pPr>
            <w:r w:rsidRPr="00997D31">
              <w:rPr>
                <w:rFonts w:ascii="Arial" w:hAnsi="Arial" w:cs="Arial"/>
                <w:sz w:val="24"/>
                <w:szCs w:val="24"/>
                <w:lang w:val="en-US"/>
              </w:rPr>
              <w:t xml:space="preserve">Patients with single failure </w:t>
            </w:r>
            <w:r w:rsidRPr="00997D31">
              <w:rPr>
                <w:rFonts w:ascii="Arial" w:hAnsi="Arial" w:cs="Arial"/>
                <w:color w:val="000000"/>
                <w:sz w:val="24"/>
                <w:szCs w:val="24"/>
                <w:lang w:val="en-US"/>
              </w:rPr>
              <w:t>(</w:t>
            </w:r>
            <w:r w:rsidRPr="00997D31">
              <w:rPr>
                <w:rFonts w:ascii="Arial" w:hAnsi="Arial" w:cs="Arial"/>
                <w:sz w:val="24"/>
                <w:szCs w:val="24"/>
                <w:lang w:val="en-US"/>
              </w:rPr>
              <w:t xml:space="preserve">affecting any of the following: liver, coagulation, circulation, respiration) and serum creatinine levels &lt;1.5 mg/dL without </w:t>
            </w:r>
            <w:r w:rsidRPr="00997D31">
              <w:rPr>
                <w:rFonts w:ascii="Arial" w:hAnsi="Arial" w:cs="Arial"/>
                <w:color w:val="000000"/>
                <w:sz w:val="24"/>
                <w:szCs w:val="24"/>
                <w:lang w:val="en-US"/>
              </w:rPr>
              <w:t>hepatic encephalopathy</w:t>
            </w:r>
          </w:p>
        </w:tc>
      </w:tr>
      <w:tr w:rsidR="00893F61" w:rsidRPr="00997D31" w14:paraId="476CC37D" w14:textId="77777777" w:rsidTr="00CF0108">
        <w:tc>
          <w:tcPr>
            <w:tcW w:w="10206" w:type="dxa"/>
            <w:shd w:val="clear" w:color="auto" w:fill="auto"/>
            <w:tcMar>
              <w:top w:w="0" w:type="dxa"/>
              <w:left w:w="108" w:type="dxa"/>
              <w:bottom w:w="0" w:type="dxa"/>
              <w:right w:w="108" w:type="dxa"/>
            </w:tcMar>
          </w:tcPr>
          <w:p w14:paraId="782BE7E9" w14:textId="77777777" w:rsidR="00893F61" w:rsidRPr="00997D31" w:rsidRDefault="00893F61" w:rsidP="00893F61">
            <w:pPr>
              <w:pStyle w:val="ListParagraph"/>
              <w:numPr>
                <w:ilvl w:val="0"/>
                <w:numId w:val="2"/>
              </w:numPr>
              <w:spacing w:after="0" w:line="360" w:lineRule="auto"/>
              <w:ind w:left="0"/>
              <w:contextualSpacing w:val="0"/>
              <w:rPr>
                <w:rFonts w:ascii="Arial" w:hAnsi="Arial" w:cs="Arial"/>
                <w:sz w:val="24"/>
                <w:szCs w:val="24"/>
                <w:lang w:val="en-US"/>
              </w:rPr>
            </w:pPr>
            <w:r w:rsidRPr="00997D31">
              <w:rPr>
                <w:rFonts w:ascii="Arial" w:hAnsi="Arial" w:cs="Arial"/>
                <w:sz w:val="24"/>
                <w:szCs w:val="24"/>
                <w:lang w:val="en-US"/>
              </w:rPr>
              <w:t>Patients with single cerebral failure and creatinine levels &lt;1.5 mg/dL</w:t>
            </w:r>
          </w:p>
        </w:tc>
      </w:tr>
      <w:tr w:rsidR="00893F61" w:rsidRPr="00997D31" w14:paraId="64BE02F1" w14:textId="77777777" w:rsidTr="00CF0108">
        <w:tc>
          <w:tcPr>
            <w:tcW w:w="10206" w:type="dxa"/>
            <w:shd w:val="clear" w:color="auto" w:fill="auto"/>
            <w:tcMar>
              <w:top w:w="0" w:type="dxa"/>
              <w:left w:w="108" w:type="dxa"/>
              <w:bottom w:w="0" w:type="dxa"/>
              <w:right w:w="108" w:type="dxa"/>
            </w:tcMar>
          </w:tcPr>
          <w:p w14:paraId="32947757" w14:textId="0ED79955" w:rsidR="00893F61" w:rsidRPr="00997D31" w:rsidRDefault="00893F61" w:rsidP="00CF0108">
            <w:pPr>
              <w:spacing w:after="0" w:line="360" w:lineRule="auto"/>
              <w:rPr>
                <w:rFonts w:ascii="Arial" w:hAnsi="Arial" w:cs="Arial"/>
                <w:b/>
                <w:color w:val="000000"/>
                <w:sz w:val="24"/>
                <w:szCs w:val="24"/>
                <w:lang w:val="en-US"/>
              </w:rPr>
            </w:pPr>
            <w:r w:rsidRPr="00997D31">
              <w:rPr>
                <w:rFonts w:ascii="Arial" w:hAnsi="Arial" w:cs="Arial"/>
                <w:b/>
                <w:color w:val="000000"/>
                <w:sz w:val="24"/>
                <w:szCs w:val="24"/>
                <w:lang w:val="en-US"/>
              </w:rPr>
              <w:t>Acutely decompensated cirrhosis with ACLF</w:t>
            </w:r>
            <w:r>
              <w:rPr>
                <w:rFonts w:ascii="Arial" w:hAnsi="Arial" w:cs="Arial"/>
                <w:b/>
                <w:color w:val="000000"/>
                <w:sz w:val="24"/>
                <w:szCs w:val="24"/>
                <w:lang w:val="en-US"/>
              </w:rPr>
              <w:t xml:space="preserve"> </w:t>
            </w:r>
            <w:r>
              <w:rPr>
                <w:rFonts w:ascii="Arial" w:hAnsi="Arial" w:cs="Arial"/>
                <w:color w:val="000000"/>
                <w:sz w:val="24"/>
                <w:szCs w:val="24"/>
                <w:vertAlign w:val="superscript"/>
                <w:lang w:val="en-US"/>
              </w:rPr>
              <w:t>2</w:t>
            </w:r>
            <w:r w:rsidR="00FA2D3D">
              <w:rPr>
                <w:rFonts w:ascii="Arial" w:hAnsi="Arial" w:cs="Arial"/>
                <w:color w:val="000000"/>
                <w:sz w:val="24"/>
                <w:szCs w:val="24"/>
                <w:vertAlign w:val="superscript"/>
                <w:lang w:val="en-US"/>
              </w:rPr>
              <w:t>8</w:t>
            </w:r>
          </w:p>
          <w:p w14:paraId="04B311C9" w14:textId="77777777" w:rsidR="00893F61" w:rsidRPr="00997D31" w:rsidRDefault="00893F61" w:rsidP="00CF0108">
            <w:pPr>
              <w:spacing w:after="0" w:line="360" w:lineRule="auto"/>
              <w:rPr>
                <w:rFonts w:ascii="Arial" w:hAnsi="Arial" w:cs="Arial"/>
                <w:color w:val="000000"/>
                <w:sz w:val="24"/>
                <w:szCs w:val="24"/>
                <w:lang w:val="en-US"/>
              </w:rPr>
            </w:pPr>
            <w:r w:rsidRPr="00997D31">
              <w:rPr>
                <w:rFonts w:ascii="Arial" w:hAnsi="Arial" w:cs="Arial"/>
                <w:color w:val="000000"/>
                <w:sz w:val="24"/>
                <w:szCs w:val="24"/>
                <w:lang w:val="en-US"/>
              </w:rPr>
              <w:t>Refers to patients assigned to one of the three following grades: ACLF-1, ACLF-2, and ACLF-3.</w:t>
            </w:r>
          </w:p>
        </w:tc>
      </w:tr>
      <w:tr w:rsidR="00893F61" w:rsidRPr="00997D31" w14:paraId="200AF190" w14:textId="77777777" w:rsidTr="00CF0108">
        <w:tc>
          <w:tcPr>
            <w:tcW w:w="10206" w:type="dxa"/>
            <w:shd w:val="clear" w:color="auto" w:fill="auto"/>
            <w:tcMar>
              <w:top w:w="0" w:type="dxa"/>
              <w:left w:w="108" w:type="dxa"/>
              <w:bottom w:w="0" w:type="dxa"/>
              <w:right w:w="108" w:type="dxa"/>
            </w:tcMar>
          </w:tcPr>
          <w:p w14:paraId="6883B6DB" w14:textId="77777777" w:rsidR="00893F61" w:rsidRPr="00997D31" w:rsidRDefault="00893F61" w:rsidP="00CF0108">
            <w:pPr>
              <w:spacing w:after="0" w:line="360" w:lineRule="auto"/>
              <w:rPr>
                <w:rFonts w:ascii="Arial" w:hAnsi="Arial" w:cs="Arial"/>
                <w:color w:val="000000"/>
                <w:sz w:val="24"/>
                <w:szCs w:val="24"/>
                <w:lang w:val="en-US"/>
              </w:rPr>
            </w:pPr>
            <w:r w:rsidRPr="00997D31">
              <w:rPr>
                <w:rFonts w:ascii="Arial" w:hAnsi="Arial" w:cs="Arial"/>
                <w:color w:val="000000"/>
                <w:sz w:val="24"/>
                <w:szCs w:val="24"/>
                <w:lang w:val="en-US"/>
              </w:rPr>
              <w:t>ACLF-1 includes:</w:t>
            </w:r>
          </w:p>
        </w:tc>
      </w:tr>
      <w:tr w:rsidR="00893F61" w:rsidRPr="00997D31" w14:paraId="1984B15C" w14:textId="77777777" w:rsidTr="00CF0108">
        <w:tc>
          <w:tcPr>
            <w:tcW w:w="10206" w:type="dxa"/>
            <w:shd w:val="clear" w:color="auto" w:fill="auto"/>
            <w:tcMar>
              <w:top w:w="0" w:type="dxa"/>
              <w:left w:w="108" w:type="dxa"/>
              <w:bottom w:w="0" w:type="dxa"/>
              <w:right w:w="108" w:type="dxa"/>
            </w:tcMar>
          </w:tcPr>
          <w:p w14:paraId="5EE1DA68" w14:textId="77777777" w:rsidR="00893F61" w:rsidRPr="00997D31" w:rsidRDefault="00893F61" w:rsidP="00893F61">
            <w:pPr>
              <w:pStyle w:val="ListParagraph"/>
              <w:numPr>
                <w:ilvl w:val="0"/>
                <w:numId w:val="3"/>
              </w:numPr>
              <w:spacing w:after="0" w:line="360" w:lineRule="auto"/>
              <w:ind w:left="357" w:hanging="357"/>
              <w:contextualSpacing w:val="0"/>
              <w:rPr>
                <w:sz w:val="24"/>
                <w:szCs w:val="24"/>
                <w:lang w:val="en-US"/>
              </w:rPr>
            </w:pPr>
            <w:r w:rsidRPr="00997D31">
              <w:rPr>
                <w:rFonts w:ascii="Arial" w:hAnsi="Arial" w:cs="Arial"/>
                <w:sz w:val="24"/>
                <w:szCs w:val="24"/>
                <w:lang w:val="en-US"/>
              </w:rPr>
              <w:t>Patients with single kidney failure</w:t>
            </w:r>
          </w:p>
        </w:tc>
      </w:tr>
      <w:tr w:rsidR="00893F61" w:rsidRPr="00997D31" w14:paraId="70ADB2C0" w14:textId="77777777" w:rsidTr="00CF0108">
        <w:tc>
          <w:tcPr>
            <w:tcW w:w="10206" w:type="dxa"/>
            <w:shd w:val="clear" w:color="auto" w:fill="auto"/>
            <w:tcMar>
              <w:top w:w="0" w:type="dxa"/>
              <w:left w:w="108" w:type="dxa"/>
              <w:bottom w:w="0" w:type="dxa"/>
              <w:right w:w="108" w:type="dxa"/>
            </w:tcMar>
          </w:tcPr>
          <w:p w14:paraId="1294C747" w14:textId="77777777" w:rsidR="00893F61" w:rsidRPr="00997D31" w:rsidRDefault="00893F61" w:rsidP="00893F61">
            <w:pPr>
              <w:pStyle w:val="ListParagraph"/>
              <w:numPr>
                <w:ilvl w:val="0"/>
                <w:numId w:val="3"/>
              </w:numPr>
              <w:spacing w:after="0" w:line="360" w:lineRule="auto"/>
              <w:ind w:left="357" w:hanging="357"/>
              <w:contextualSpacing w:val="0"/>
              <w:rPr>
                <w:sz w:val="24"/>
                <w:szCs w:val="24"/>
                <w:lang w:val="en-US"/>
              </w:rPr>
            </w:pPr>
            <w:r w:rsidRPr="00997D31">
              <w:rPr>
                <w:rFonts w:ascii="Arial" w:hAnsi="Arial" w:cs="Arial"/>
                <w:sz w:val="24"/>
                <w:szCs w:val="24"/>
                <w:lang w:val="en-US"/>
              </w:rPr>
              <w:t xml:space="preserve">Patients with single liver, coagulation, circulatory or lung failure associated with creatinine levels ranging from 1.5 mg/dL to 1.9 mg/dL or </w:t>
            </w:r>
            <w:r w:rsidRPr="00997D31">
              <w:rPr>
                <w:rFonts w:ascii="Arial" w:hAnsi="Arial" w:cs="Arial"/>
                <w:color w:val="000000"/>
                <w:sz w:val="24"/>
                <w:szCs w:val="24"/>
                <w:lang w:val="en-US"/>
              </w:rPr>
              <w:t>hepatic encephalopathy</w:t>
            </w:r>
            <w:r w:rsidRPr="00997D31">
              <w:rPr>
                <w:rFonts w:ascii="Arial" w:hAnsi="Arial" w:cs="Arial"/>
                <w:sz w:val="24"/>
                <w:szCs w:val="24"/>
                <w:lang w:val="en-US"/>
              </w:rPr>
              <w:t xml:space="preserve"> grade 1 or 2, or both</w:t>
            </w:r>
          </w:p>
        </w:tc>
      </w:tr>
      <w:tr w:rsidR="00893F61" w:rsidRPr="00997D31" w14:paraId="2DF3E626" w14:textId="77777777" w:rsidTr="00CF0108">
        <w:tc>
          <w:tcPr>
            <w:tcW w:w="10206" w:type="dxa"/>
            <w:shd w:val="clear" w:color="auto" w:fill="auto"/>
            <w:tcMar>
              <w:top w:w="0" w:type="dxa"/>
              <w:left w:w="108" w:type="dxa"/>
              <w:bottom w:w="0" w:type="dxa"/>
              <w:right w:w="108" w:type="dxa"/>
            </w:tcMar>
          </w:tcPr>
          <w:p w14:paraId="52AF6649" w14:textId="77777777" w:rsidR="00893F61" w:rsidRPr="00997D31" w:rsidRDefault="00893F61" w:rsidP="00893F61">
            <w:pPr>
              <w:pStyle w:val="ListParagraph"/>
              <w:numPr>
                <w:ilvl w:val="0"/>
                <w:numId w:val="3"/>
              </w:numPr>
              <w:spacing w:after="0" w:line="360" w:lineRule="auto"/>
              <w:ind w:left="357" w:hanging="357"/>
              <w:contextualSpacing w:val="0"/>
              <w:rPr>
                <w:sz w:val="24"/>
                <w:szCs w:val="24"/>
                <w:lang w:val="en-US"/>
              </w:rPr>
            </w:pPr>
            <w:r w:rsidRPr="00997D31">
              <w:rPr>
                <w:rFonts w:ascii="Arial" w:hAnsi="Arial" w:cs="Arial"/>
                <w:sz w:val="24"/>
                <w:szCs w:val="24"/>
                <w:lang w:val="en-US"/>
              </w:rPr>
              <w:t>Patients with single brain failure with creatinine levels ranging from 1.5 to 1.9 mg/dL</w:t>
            </w:r>
          </w:p>
        </w:tc>
      </w:tr>
      <w:tr w:rsidR="00893F61" w:rsidRPr="00997D31" w14:paraId="6C4574FD" w14:textId="77777777" w:rsidTr="00CF0108">
        <w:tc>
          <w:tcPr>
            <w:tcW w:w="10206" w:type="dxa"/>
            <w:tcBorders>
              <w:bottom w:val="nil"/>
            </w:tcBorders>
            <w:shd w:val="clear" w:color="auto" w:fill="auto"/>
            <w:tcMar>
              <w:top w:w="0" w:type="dxa"/>
              <w:left w:w="108" w:type="dxa"/>
              <w:bottom w:w="0" w:type="dxa"/>
              <w:right w:w="108" w:type="dxa"/>
            </w:tcMar>
          </w:tcPr>
          <w:p w14:paraId="00D0FB4D" w14:textId="77777777" w:rsidR="00893F61" w:rsidRPr="00997D31" w:rsidRDefault="00893F61" w:rsidP="00CF0108">
            <w:pPr>
              <w:spacing w:after="0" w:line="360" w:lineRule="auto"/>
              <w:rPr>
                <w:rFonts w:ascii="Arial" w:hAnsi="Arial" w:cs="Arial"/>
                <w:color w:val="000000"/>
                <w:sz w:val="24"/>
                <w:szCs w:val="24"/>
                <w:lang w:val="en-US"/>
              </w:rPr>
            </w:pPr>
            <w:r w:rsidRPr="00997D31">
              <w:rPr>
                <w:rFonts w:ascii="Arial" w:hAnsi="Arial" w:cs="Arial"/>
                <w:color w:val="000000"/>
                <w:sz w:val="24"/>
                <w:szCs w:val="24"/>
                <w:lang w:val="en-US"/>
              </w:rPr>
              <w:t>ACLF-2 includes patients with 2 organ failures</w:t>
            </w:r>
          </w:p>
        </w:tc>
      </w:tr>
      <w:tr w:rsidR="00893F61" w:rsidRPr="00997D31" w14:paraId="5D8FCD3D" w14:textId="77777777" w:rsidTr="00CF0108">
        <w:tc>
          <w:tcPr>
            <w:tcW w:w="10206" w:type="dxa"/>
            <w:tcBorders>
              <w:top w:val="nil"/>
              <w:bottom w:val="single" w:sz="4" w:space="0" w:color="auto"/>
            </w:tcBorders>
            <w:shd w:val="clear" w:color="auto" w:fill="auto"/>
            <w:tcMar>
              <w:top w:w="0" w:type="dxa"/>
              <w:left w:w="108" w:type="dxa"/>
              <w:bottom w:w="0" w:type="dxa"/>
              <w:right w:w="108" w:type="dxa"/>
            </w:tcMar>
          </w:tcPr>
          <w:p w14:paraId="3FA5FAB5" w14:textId="77777777" w:rsidR="00893F61" w:rsidRPr="00D1174C" w:rsidRDefault="00893F61" w:rsidP="00CF0108">
            <w:pPr>
              <w:spacing w:after="0" w:line="360" w:lineRule="auto"/>
              <w:rPr>
                <w:rFonts w:ascii="Arial" w:hAnsi="Arial" w:cs="Arial"/>
                <w:color w:val="000000"/>
                <w:sz w:val="24"/>
                <w:szCs w:val="24"/>
                <w:lang w:val="en-US"/>
              </w:rPr>
            </w:pPr>
            <w:r w:rsidRPr="00997D31">
              <w:rPr>
                <w:rFonts w:ascii="Arial" w:hAnsi="Arial" w:cs="Arial"/>
                <w:color w:val="000000"/>
                <w:sz w:val="24"/>
                <w:szCs w:val="24"/>
                <w:lang w:val="en-US"/>
              </w:rPr>
              <w:t>ACLF-3 includes patients with 3 organ failures or more (maximum of 6).</w:t>
            </w:r>
          </w:p>
        </w:tc>
      </w:tr>
      <w:tr w:rsidR="00893F61" w:rsidRPr="00997D31" w14:paraId="4D7FB8D0" w14:textId="77777777" w:rsidTr="00CF0108">
        <w:tc>
          <w:tcPr>
            <w:tcW w:w="10206" w:type="dxa"/>
            <w:tcBorders>
              <w:top w:val="single" w:sz="4" w:space="0" w:color="auto"/>
              <w:bottom w:val="single" w:sz="4" w:space="0" w:color="auto"/>
            </w:tcBorders>
            <w:shd w:val="clear" w:color="auto" w:fill="auto"/>
            <w:tcMar>
              <w:top w:w="0" w:type="dxa"/>
              <w:left w:w="108" w:type="dxa"/>
              <w:bottom w:w="0" w:type="dxa"/>
              <w:right w:w="108" w:type="dxa"/>
            </w:tcMar>
          </w:tcPr>
          <w:p w14:paraId="70C1950B" w14:textId="37E03B71" w:rsidR="00893F61" w:rsidRPr="00997D31" w:rsidRDefault="00893F61" w:rsidP="00CF0108">
            <w:pPr>
              <w:spacing w:after="0" w:line="360" w:lineRule="auto"/>
              <w:rPr>
                <w:rFonts w:ascii="Arial" w:hAnsi="Arial" w:cs="Arial"/>
                <w:color w:val="000000"/>
                <w:sz w:val="24"/>
                <w:szCs w:val="24"/>
                <w:lang w:val="en-US"/>
              </w:rPr>
            </w:pPr>
            <w:proofErr w:type="gramStart"/>
            <w:r w:rsidRPr="00866AD7">
              <w:rPr>
                <w:rFonts w:ascii="Arial" w:hAnsi="Arial" w:cs="Arial"/>
                <w:color w:val="000000"/>
                <w:sz w:val="24"/>
                <w:szCs w:val="24"/>
                <w:vertAlign w:val="superscript"/>
                <w:lang w:val="en-US"/>
              </w:rPr>
              <w:t>a</w:t>
            </w:r>
            <w:proofErr w:type="gramEnd"/>
            <w:r>
              <w:rPr>
                <w:rFonts w:ascii="Arial" w:hAnsi="Arial" w:cs="Arial"/>
                <w:color w:val="000000"/>
                <w:sz w:val="24"/>
                <w:szCs w:val="24"/>
                <w:lang w:val="en-US"/>
              </w:rPr>
              <w:t xml:space="preserve"> Adapted from Moreau et al.</w:t>
            </w:r>
            <w:r w:rsidRPr="007A6C13">
              <w:rPr>
                <w:rFonts w:ascii="Arial" w:hAnsi="Arial" w:cs="Arial"/>
                <w:color w:val="000000"/>
                <w:sz w:val="24"/>
                <w:szCs w:val="24"/>
                <w:vertAlign w:val="superscript"/>
                <w:lang w:val="en-US"/>
              </w:rPr>
              <w:t>2</w:t>
            </w:r>
            <w:r w:rsidR="00FA2D3D">
              <w:rPr>
                <w:rFonts w:ascii="Arial" w:hAnsi="Arial" w:cs="Arial"/>
                <w:color w:val="000000"/>
                <w:sz w:val="24"/>
                <w:szCs w:val="24"/>
                <w:vertAlign w:val="superscript"/>
                <w:lang w:val="en-US"/>
              </w:rPr>
              <w:t>8</w:t>
            </w:r>
          </w:p>
        </w:tc>
      </w:tr>
    </w:tbl>
    <w:p w14:paraId="37E1DA1B" w14:textId="77777777" w:rsidR="00893F61" w:rsidRDefault="00893F61" w:rsidP="00893F61">
      <w:pPr>
        <w:rPr>
          <w:lang w:val="en-US"/>
        </w:rPr>
      </w:pPr>
    </w:p>
    <w:p w14:paraId="6E790FC7" w14:textId="77777777" w:rsidR="00893F61" w:rsidRDefault="00893F61" w:rsidP="00893F61">
      <w:pPr>
        <w:rPr>
          <w:lang w:val="en-US"/>
        </w:rPr>
      </w:pPr>
    </w:p>
    <w:p w14:paraId="355F3A8F" w14:textId="77777777" w:rsidR="00893F61" w:rsidRDefault="00893F61" w:rsidP="00893F61">
      <w:pPr>
        <w:rPr>
          <w:lang w:val="en-US"/>
        </w:rPr>
        <w:sectPr w:rsidR="00893F61" w:rsidSect="00380921">
          <w:pgSz w:w="11906" w:h="16838"/>
          <w:pgMar w:top="720" w:right="567" w:bottom="720" w:left="964" w:header="709" w:footer="709" w:gutter="0"/>
          <w:cols w:space="708"/>
          <w:docGrid w:linePitch="360"/>
        </w:sectPr>
      </w:pPr>
    </w:p>
    <w:p w14:paraId="21563DC4" w14:textId="77777777" w:rsidR="00893F61" w:rsidRPr="00997D31" w:rsidRDefault="00893F61" w:rsidP="00893F61">
      <w:pPr>
        <w:rPr>
          <w:lang w:val="en-US"/>
        </w:rPr>
      </w:pPr>
    </w:p>
    <w:tbl>
      <w:tblPr>
        <w:tblW w:w="10206" w:type="dxa"/>
        <w:tblInd w:w="-567"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10206"/>
      </w:tblGrid>
      <w:tr w:rsidR="00893F61" w:rsidRPr="00997D31" w14:paraId="17C27B5F" w14:textId="77777777" w:rsidTr="00CF0108">
        <w:tc>
          <w:tcPr>
            <w:tcW w:w="10206" w:type="dxa"/>
            <w:tcBorders>
              <w:top w:val="single" w:sz="4" w:space="0" w:color="auto"/>
              <w:bottom w:val="single" w:sz="4" w:space="0" w:color="auto"/>
            </w:tcBorders>
            <w:shd w:val="clear" w:color="auto" w:fill="auto"/>
            <w:tcMar>
              <w:top w:w="0" w:type="dxa"/>
              <w:left w:w="108" w:type="dxa"/>
              <w:bottom w:w="0" w:type="dxa"/>
              <w:right w:w="108" w:type="dxa"/>
            </w:tcMar>
          </w:tcPr>
          <w:p w14:paraId="048C5C6D" w14:textId="77777777" w:rsidR="00893F61" w:rsidRPr="00370C15" w:rsidRDefault="00893F61" w:rsidP="00CF0108">
            <w:pPr>
              <w:spacing w:after="0" w:line="360" w:lineRule="auto"/>
              <w:rPr>
                <w:rFonts w:ascii="Arial" w:hAnsi="Arial" w:cs="Arial"/>
                <w:b/>
                <w:color w:val="000000"/>
                <w:sz w:val="24"/>
                <w:szCs w:val="24"/>
                <w:lang w:val="en-US"/>
              </w:rPr>
            </w:pPr>
            <w:r w:rsidRPr="00370C15">
              <w:rPr>
                <w:rFonts w:ascii="Arial" w:hAnsi="Arial" w:cs="Arial"/>
                <w:b/>
                <w:color w:val="000000"/>
                <w:sz w:val="24"/>
                <w:szCs w:val="24"/>
                <w:lang w:val="en-US"/>
              </w:rPr>
              <w:t xml:space="preserve">Table S3. Stratification of patients with HBV-related ACLF according to the </w:t>
            </w:r>
            <w:r w:rsidRPr="00370C15">
              <w:rPr>
                <w:rFonts w:ascii="Arial" w:hAnsi="Arial" w:cs="Arial"/>
                <w:b/>
                <w:sz w:val="24"/>
                <w:szCs w:val="24"/>
                <w:lang w:val="en-US"/>
              </w:rPr>
              <w:t>Chinese Group on the Study of Severe Hepatitis B (COSSH)</w:t>
            </w:r>
            <w:r w:rsidRPr="00370C15">
              <w:rPr>
                <w:rFonts w:ascii="Arial" w:hAnsi="Arial" w:cs="Arial"/>
                <w:i/>
                <w:color w:val="000000"/>
                <w:sz w:val="24"/>
                <w:szCs w:val="24"/>
                <w:vertAlign w:val="superscript"/>
                <w:lang w:val="en-US"/>
              </w:rPr>
              <w:t>a</w:t>
            </w:r>
          </w:p>
        </w:tc>
      </w:tr>
      <w:tr w:rsidR="00893F61" w:rsidRPr="00997D31" w14:paraId="3023AE01" w14:textId="77777777" w:rsidTr="00CF0108">
        <w:tc>
          <w:tcPr>
            <w:tcW w:w="10206" w:type="dxa"/>
            <w:shd w:val="clear" w:color="auto" w:fill="auto"/>
            <w:tcMar>
              <w:top w:w="0" w:type="dxa"/>
              <w:left w:w="108" w:type="dxa"/>
              <w:bottom w:w="0" w:type="dxa"/>
              <w:right w:w="108" w:type="dxa"/>
            </w:tcMar>
          </w:tcPr>
          <w:p w14:paraId="1B03A0B7" w14:textId="30553293" w:rsidR="00893F61" w:rsidRPr="00370C15" w:rsidRDefault="00893F61" w:rsidP="00CF0108">
            <w:pPr>
              <w:spacing w:after="0" w:line="360" w:lineRule="auto"/>
              <w:rPr>
                <w:rFonts w:ascii="Arial" w:hAnsi="Arial" w:cs="Arial"/>
                <w:b/>
                <w:color w:val="000000"/>
                <w:sz w:val="24"/>
                <w:szCs w:val="24"/>
                <w:lang w:val="en-US"/>
              </w:rPr>
            </w:pPr>
            <w:r w:rsidRPr="00370C15">
              <w:rPr>
                <w:rFonts w:ascii="Arial" w:hAnsi="Arial" w:cs="Arial"/>
                <w:b/>
                <w:color w:val="000000"/>
                <w:sz w:val="24"/>
                <w:szCs w:val="24"/>
                <w:lang w:val="en-US"/>
              </w:rPr>
              <w:t xml:space="preserve">Acutely decompensated cirrhosis with ACLF </w:t>
            </w:r>
            <w:r w:rsidRPr="00370C15">
              <w:rPr>
                <w:rFonts w:ascii="Arial" w:hAnsi="Arial" w:cs="Arial"/>
                <w:color w:val="000000"/>
                <w:sz w:val="24"/>
                <w:szCs w:val="24"/>
                <w:vertAlign w:val="superscript"/>
                <w:lang w:val="en-US"/>
              </w:rPr>
              <w:t>2</w:t>
            </w:r>
            <w:r w:rsidR="00FA2D3D">
              <w:rPr>
                <w:rFonts w:ascii="Arial" w:hAnsi="Arial" w:cs="Arial"/>
                <w:color w:val="000000"/>
                <w:sz w:val="24"/>
                <w:szCs w:val="24"/>
                <w:vertAlign w:val="superscript"/>
                <w:lang w:val="en-US"/>
              </w:rPr>
              <w:t>8</w:t>
            </w:r>
          </w:p>
          <w:p w14:paraId="75393E9B" w14:textId="77777777" w:rsidR="00893F61" w:rsidRPr="00370C15" w:rsidRDefault="00893F61" w:rsidP="00CF0108">
            <w:pPr>
              <w:spacing w:after="0" w:line="360" w:lineRule="auto"/>
              <w:rPr>
                <w:rFonts w:ascii="Arial" w:hAnsi="Arial" w:cs="Arial"/>
                <w:color w:val="000000"/>
                <w:sz w:val="24"/>
                <w:szCs w:val="24"/>
                <w:lang w:val="en-US"/>
              </w:rPr>
            </w:pPr>
            <w:r w:rsidRPr="00370C15">
              <w:rPr>
                <w:rFonts w:ascii="Arial" w:hAnsi="Arial" w:cs="Arial"/>
                <w:color w:val="000000"/>
                <w:sz w:val="24"/>
                <w:szCs w:val="24"/>
                <w:lang w:val="en-US"/>
              </w:rPr>
              <w:t>Refers to patients assigned to one of the three following grades: ACLF-1, ACLF-2, and ACLF-3.</w:t>
            </w:r>
          </w:p>
        </w:tc>
      </w:tr>
      <w:tr w:rsidR="00893F61" w:rsidRPr="00997D31" w14:paraId="51D43FBC" w14:textId="77777777" w:rsidTr="00CF0108">
        <w:tc>
          <w:tcPr>
            <w:tcW w:w="10206" w:type="dxa"/>
            <w:shd w:val="clear" w:color="auto" w:fill="auto"/>
            <w:tcMar>
              <w:top w:w="0" w:type="dxa"/>
              <w:left w:w="108" w:type="dxa"/>
              <w:bottom w:w="0" w:type="dxa"/>
              <w:right w:w="108" w:type="dxa"/>
            </w:tcMar>
          </w:tcPr>
          <w:p w14:paraId="63D73334" w14:textId="77777777" w:rsidR="00893F61" w:rsidRPr="00370C15" w:rsidRDefault="00893F61" w:rsidP="00CF0108">
            <w:pPr>
              <w:spacing w:after="0" w:line="360" w:lineRule="auto"/>
              <w:rPr>
                <w:rFonts w:ascii="Arial" w:hAnsi="Arial" w:cs="Arial"/>
                <w:color w:val="000000"/>
                <w:sz w:val="24"/>
                <w:szCs w:val="24"/>
                <w:lang w:val="en-US"/>
              </w:rPr>
            </w:pPr>
            <w:r w:rsidRPr="00370C15">
              <w:rPr>
                <w:rFonts w:ascii="Arial" w:hAnsi="Arial" w:cs="Arial"/>
                <w:color w:val="000000"/>
                <w:sz w:val="24"/>
                <w:szCs w:val="24"/>
                <w:lang w:val="en-US"/>
              </w:rPr>
              <w:t>ACLF-1 includes:</w:t>
            </w:r>
          </w:p>
        </w:tc>
      </w:tr>
      <w:tr w:rsidR="00893F61" w:rsidRPr="00997D31" w14:paraId="04A96282" w14:textId="77777777" w:rsidTr="00CF0108">
        <w:tc>
          <w:tcPr>
            <w:tcW w:w="10206" w:type="dxa"/>
            <w:shd w:val="clear" w:color="auto" w:fill="auto"/>
            <w:tcMar>
              <w:top w:w="0" w:type="dxa"/>
              <w:left w:w="108" w:type="dxa"/>
              <w:bottom w:w="0" w:type="dxa"/>
              <w:right w:w="108" w:type="dxa"/>
            </w:tcMar>
          </w:tcPr>
          <w:p w14:paraId="569DF413" w14:textId="77777777" w:rsidR="00893F61" w:rsidRPr="00370C15" w:rsidRDefault="00893F61" w:rsidP="00893F61">
            <w:pPr>
              <w:pStyle w:val="ListParagraph"/>
              <w:numPr>
                <w:ilvl w:val="0"/>
                <w:numId w:val="3"/>
              </w:numPr>
              <w:spacing w:after="0" w:line="360" w:lineRule="auto"/>
              <w:contextualSpacing w:val="0"/>
              <w:rPr>
                <w:rFonts w:ascii="Arial" w:hAnsi="Arial" w:cs="Arial"/>
                <w:sz w:val="24"/>
                <w:szCs w:val="24"/>
                <w:lang w:val="en-US"/>
              </w:rPr>
            </w:pPr>
            <w:r w:rsidRPr="00370C15">
              <w:rPr>
                <w:rFonts w:ascii="Arial" w:hAnsi="Arial" w:cs="Arial"/>
                <w:sz w:val="24"/>
                <w:szCs w:val="24"/>
                <w:lang w:val="en-US"/>
              </w:rPr>
              <w:t>Patients with single kidney failure</w:t>
            </w:r>
          </w:p>
        </w:tc>
      </w:tr>
      <w:tr w:rsidR="00893F61" w:rsidRPr="00997D31" w14:paraId="12C4DEE4" w14:textId="77777777" w:rsidTr="00CF0108">
        <w:tc>
          <w:tcPr>
            <w:tcW w:w="10206" w:type="dxa"/>
            <w:shd w:val="clear" w:color="auto" w:fill="auto"/>
            <w:tcMar>
              <w:top w:w="0" w:type="dxa"/>
              <w:left w:w="108" w:type="dxa"/>
              <w:bottom w:w="0" w:type="dxa"/>
              <w:right w:w="108" w:type="dxa"/>
            </w:tcMar>
          </w:tcPr>
          <w:p w14:paraId="7134D463" w14:textId="77777777" w:rsidR="00893F61" w:rsidRPr="00370C15" w:rsidRDefault="00893F61" w:rsidP="00893F61">
            <w:pPr>
              <w:pStyle w:val="ListParagraph"/>
              <w:numPr>
                <w:ilvl w:val="0"/>
                <w:numId w:val="3"/>
              </w:numPr>
              <w:autoSpaceDE w:val="0"/>
              <w:autoSpaceDN w:val="0"/>
              <w:adjustRightInd w:val="0"/>
              <w:spacing w:after="0" w:line="360" w:lineRule="auto"/>
              <w:rPr>
                <w:rFonts w:ascii="Arial" w:hAnsi="Arial" w:cs="Arial"/>
                <w:sz w:val="24"/>
                <w:szCs w:val="24"/>
                <w:lang w:val="en-US"/>
              </w:rPr>
            </w:pPr>
            <w:r w:rsidRPr="00370C15">
              <w:rPr>
                <w:rFonts w:ascii="Arial" w:hAnsi="Arial" w:cs="Arial"/>
                <w:sz w:val="24"/>
                <w:szCs w:val="24"/>
                <w:lang w:val="en-US"/>
              </w:rPr>
              <w:t>Patients with single liver failure with an INR ≥1.5 and/or kidney dysfunction and/or HE grade I or II</w:t>
            </w:r>
          </w:p>
        </w:tc>
      </w:tr>
      <w:tr w:rsidR="00893F61" w:rsidRPr="00997D31" w14:paraId="27E4667E" w14:textId="77777777" w:rsidTr="00CF0108">
        <w:tc>
          <w:tcPr>
            <w:tcW w:w="10206" w:type="dxa"/>
            <w:shd w:val="clear" w:color="auto" w:fill="auto"/>
            <w:tcMar>
              <w:top w:w="0" w:type="dxa"/>
              <w:left w:w="108" w:type="dxa"/>
              <w:bottom w:w="0" w:type="dxa"/>
              <w:right w:w="108" w:type="dxa"/>
            </w:tcMar>
          </w:tcPr>
          <w:p w14:paraId="25A78D4C" w14:textId="77777777" w:rsidR="00893F61" w:rsidRPr="00370C15" w:rsidRDefault="00893F61" w:rsidP="00893F61">
            <w:pPr>
              <w:pStyle w:val="ListParagraph"/>
              <w:numPr>
                <w:ilvl w:val="0"/>
                <w:numId w:val="3"/>
              </w:numPr>
              <w:autoSpaceDE w:val="0"/>
              <w:autoSpaceDN w:val="0"/>
              <w:adjustRightInd w:val="0"/>
              <w:spacing w:after="0" w:line="360" w:lineRule="auto"/>
              <w:rPr>
                <w:rFonts w:ascii="Arial" w:hAnsi="Arial" w:cs="Arial"/>
                <w:sz w:val="24"/>
                <w:szCs w:val="24"/>
                <w:lang w:val="en-US"/>
              </w:rPr>
            </w:pPr>
            <w:r w:rsidRPr="00370C15">
              <w:rPr>
                <w:rFonts w:ascii="Arial" w:hAnsi="Arial" w:cs="Arial"/>
                <w:sz w:val="24"/>
                <w:szCs w:val="24"/>
                <w:lang w:val="en-US"/>
              </w:rPr>
              <w:t>Patients with single type of organ failure of the coagulation, circulatory or respiratory systems and/or kidney dysfunction and/or HE grade I or II and</w:t>
            </w:r>
          </w:p>
        </w:tc>
      </w:tr>
      <w:tr w:rsidR="00893F61" w:rsidRPr="00997D31" w14:paraId="31DF5975" w14:textId="77777777" w:rsidTr="00CF0108">
        <w:tc>
          <w:tcPr>
            <w:tcW w:w="10206" w:type="dxa"/>
            <w:shd w:val="clear" w:color="auto" w:fill="auto"/>
            <w:tcMar>
              <w:top w:w="0" w:type="dxa"/>
              <w:left w:w="108" w:type="dxa"/>
              <w:bottom w:w="0" w:type="dxa"/>
              <w:right w:w="108" w:type="dxa"/>
            </w:tcMar>
          </w:tcPr>
          <w:p w14:paraId="003CA700" w14:textId="77777777" w:rsidR="00893F61" w:rsidRPr="00370C15" w:rsidRDefault="00893F61" w:rsidP="00893F61">
            <w:pPr>
              <w:pStyle w:val="ListParagraph"/>
              <w:numPr>
                <w:ilvl w:val="0"/>
                <w:numId w:val="3"/>
              </w:numPr>
              <w:spacing w:after="0" w:line="360" w:lineRule="auto"/>
              <w:contextualSpacing w:val="0"/>
              <w:rPr>
                <w:rFonts w:ascii="Arial" w:hAnsi="Arial" w:cs="Arial"/>
                <w:sz w:val="24"/>
                <w:szCs w:val="24"/>
                <w:lang w:val="en-US"/>
              </w:rPr>
            </w:pPr>
            <w:r w:rsidRPr="00370C15">
              <w:rPr>
                <w:rFonts w:ascii="Arial" w:hAnsi="Arial" w:cs="Arial"/>
                <w:sz w:val="24"/>
                <w:szCs w:val="24"/>
                <w:lang w:val="en-US"/>
              </w:rPr>
              <w:t>Patients with single brain failure with creatinine levels ranging from 1.5 to 1.9 mg/dL</w:t>
            </w:r>
          </w:p>
        </w:tc>
      </w:tr>
      <w:tr w:rsidR="00893F61" w:rsidRPr="00997D31" w14:paraId="698E245F" w14:textId="77777777" w:rsidTr="00CF0108">
        <w:tc>
          <w:tcPr>
            <w:tcW w:w="10206" w:type="dxa"/>
            <w:tcBorders>
              <w:bottom w:val="nil"/>
            </w:tcBorders>
            <w:shd w:val="clear" w:color="auto" w:fill="auto"/>
            <w:tcMar>
              <w:top w:w="0" w:type="dxa"/>
              <w:left w:w="108" w:type="dxa"/>
              <w:bottom w:w="0" w:type="dxa"/>
              <w:right w:w="108" w:type="dxa"/>
            </w:tcMar>
          </w:tcPr>
          <w:p w14:paraId="6077A8A8" w14:textId="77777777" w:rsidR="00893F61" w:rsidRPr="00370C15" w:rsidRDefault="00893F61" w:rsidP="00CF0108">
            <w:pPr>
              <w:spacing w:after="0" w:line="360" w:lineRule="auto"/>
              <w:rPr>
                <w:rFonts w:ascii="Arial" w:hAnsi="Arial" w:cs="Arial"/>
                <w:color w:val="000000"/>
                <w:sz w:val="24"/>
                <w:szCs w:val="24"/>
                <w:lang w:val="en-US"/>
              </w:rPr>
            </w:pPr>
            <w:r w:rsidRPr="00370C15">
              <w:rPr>
                <w:rFonts w:ascii="Arial" w:hAnsi="Arial" w:cs="Arial"/>
                <w:color w:val="000000"/>
                <w:sz w:val="24"/>
                <w:szCs w:val="24"/>
                <w:lang w:val="en-US"/>
              </w:rPr>
              <w:t>ACLF-2 includes patients with 2 organ failures</w:t>
            </w:r>
          </w:p>
        </w:tc>
      </w:tr>
      <w:tr w:rsidR="00893F61" w:rsidRPr="00997D31" w14:paraId="2BAA9396" w14:textId="77777777" w:rsidTr="00CF0108">
        <w:tc>
          <w:tcPr>
            <w:tcW w:w="10206" w:type="dxa"/>
            <w:tcBorders>
              <w:top w:val="nil"/>
              <w:bottom w:val="single" w:sz="4" w:space="0" w:color="auto"/>
            </w:tcBorders>
            <w:shd w:val="clear" w:color="auto" w:fill="auto"/>
            <w:tcMar>
              <w:top w:w="0" w:type="dxa"/>
              <w:left w:w="108" w:type="dxa"/>
              <w:bottom w:w="0" w:type="dxa"/>
              <w:right w:w="108" w:type="dxa"/>
            </w:tcMar>
          </w:tcPr>
          <w:p w14:paraId="0D164D92" w14:textId="77777777" w:rsidR="00893F61" w:rsidRPr="00D1174C" w:rsidRDefault="00893F61" w:rsidP="00CF0108">
            <w:pPr>
              <w:spacing w:after="0" w:line="360" w:lineRule="auto"/>
              <w:rPr>
                <w:rFonts w:ascii="Arial" w:hAnsi="Arial" w:cs="Arial"/>
                <w:color w:val="000000"/>
                <w:sz w:val="24"/>
                <w:szCs w:val="24"/>
                <w:lang w:val="en-US"/>
              </w:rPr>
            </w:pPr>
            <w:r w:rsidRPr="00997D31">
              <w:rPr>
                <w:rFonts w:ascii="Arial" w:hAnsi="Arial" w:cs="Arial"/>
                <w:color w:val="000000"/>
                <w:sz w:val="24"/>
                <w:szCs w:val="24"/>
                <w:lang w:val="en-US"/>
              </w:rPr>
              <w:t>ACLF-3 includes patients with 3 organ failures or more (maximum of 6).</w:t>
            </w:r>
          </w:p>
        </w:tc>
      </w:tr>
      <w:tr w:rsidR="00893F61" w:rsidRPr="00997D31" w14:paraId="16FB9EA9" w14:textId="77777777" w:rsidTr="00CF0108">
        <w:tc>
          <w:tcPr>
            <w:tcW w:w="10206" w:type="dxa"/>
            <w:tcBorders>
              <w:top w:val="single" w:sz="4" w:space="0" w:color="auto"/>
              <w:bottom w:val="single" w:sz="4" w:space="0" w:color="auto"/>
            </w:tcBorders>
            <w:shd w:val="clear" w:color="auto" w:fill="auto"/>
            <w:tcMar>
              <w:top w:w="0" w:type="dxa"/>
              <w:left w:w="108" w:type="dxa"/>
              <w:bottom w:w="0" w:type="dxa"/>
              <w:right w:w="108" w:type="dxa"/>
            </w:tcMar>
          </w:tcPr>
          <w:p w14:paraId="49ECA826" w14:textId="67129FAA" w:rsidR="00893F61" w:rsidRPr="001C3C8C" w:rsidRDefault="00893F61" w:rsidP="00CF0108">
            <w:pPr>
              <w:spacing w:after="0" w:line="360" w:lineRule="auto"/>
              <w:rPr>
                <w:rFonts w:ascii="Arial" w:hAnsi="Arial" w:cs="Arial"/>
                <w:color w:val="000000"/>
                <w:sz w:val="24"/>
                <w:szCs w:val="24"/>
                <w:lang w:val="en-US"/>
              </w:rPr>
            </w:pPr>
            <w:proofErr w:type="gramStart"/>
            <w:r w:rsidRPr="00DB201D">
              <w:rPr>
                <w:rFonts w:ascii="Arial" w:hAnsi="Arial" w:cs="Arial"/>
                <w:i/>
                <w:color w:val="000000"/>
                <w:sz w:val="24"/>
                <w:szCs w:val="24"/>
                <w:vertAlign w:val="superscript"/>
                <w:lang w:val="en-US"/>
              </w:rPr>
              <w:t>a</w:t>
            </w:r>
            <w:proofErr w:type="gramEnd"/>
            <w:r>
              <w:rPr>
                <w:rFonts w:ascii="Arial" w:hAnsi="Arial" w:cs="Arial"/>
                <w:color w:val="000000"/>
                <w:sz w:val="24"/>
                <w:szCs w:val="24"/>
                <w:lang w:val="en-US"/>
              </w:rPr>
              <w:t xml:space="preserve"> Adapted from Wu</w:t>
            </w:r>
            <w:r w:rsidRPr="00346CBF">
              <w:rPr>
                <w:rFonts w:ascii="Arial" w:hAnsi="Arial" w:cs="Arial"/>
                <w:color w:val="000000"/>
                <w:sz w:val="24"/>
                <w:szCs w:val="24"/>
                <w:lang w:val="en-US"/>
              </w:rPr>
              <w:t xml:space="preserve"> et al.</w:t>
            </w:r>
            <w:r w:rsidR="00FA2D3D">
              <w:rPr>
                <w:rFonts w:ascii="Arial" w:hAnsi="Arial" w:cs="Arial"/>
                <w:color w:val="000000"/>
                <w:sz w:val="24"/>
                <w:szCs w:val="24"/>
                <w:vertAlign w:val="superscript"/>
                <w:lang w:val="en-US"/>
              </w:rPr>
              <w:t>29</w:t>
            </w:r>
            <w:r>
              <w:rPr>
                <w:rFonts w:ascii="Arial" w:hAnsi="Arial" w:cs="Arial"/>
                <w:color w:val="000000"/>
                <w:sz w:val="24"/>
                <w:szCs w:val="24"/>
                <w:lang w:val="en-US"/>
              </w:rPr>
              <w:t xml:space="preserve"> The investigators from COSSH use the CLIF-C OF score to diagnose organ system failures (see Table S1).</w:t>
            </w:r>
          </w:p>
        </w:tc>
      </w:tr>
    </w:tbl>
    <w:p w14:paraId="4E027F9A" w14:textId="77777777" w:rsidR="00893F61" w:rsidRDefault="00893F61" w:rsidP="00893F61">
      <w:pPr>
        <w:rPr>
          <w:lang w:val="en-US"/>
        </w:rPr>
        <w:sectPr w:rsidR="00893F61" w:rsidSect="00380921">
          <w:pgSz w:w="11906" w:h="16838"/>
          <w:pgMar w:top="720" w:right="567" w:bottom="720" w:left="964" w:header="709" w:footer="709" w:gutter="0"/>
          <w:cols w:space="708"/>
          <w:docGrid w:linePitch="360"/>
        </w:sectPr>
      </w:pPr>
    </w:p>
    <w:p w14:paraId="50E6185A" w14:textId="77777777" w:rsidR="00893F61" w:rsidRDefault="00893F61" w:rsidP="00893F61">
      <w:pPr>
        <w:rPr>
          <w:lang w:val="en-US"/>
        </w:rPr>
      </w:pPr>
    </w:p>
    <w:p w14:paraId="264113A2" w14:textId="77777777" w:rsidR="00893F61" w:rsidRDefault="00893F61" w:rsidP="00893F61">
      <w:pPr>
        <w:rPr>
          <w:lang w:val="en-US"/>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0"/>
        <w:gridCol w:w="7800"/>
      </w:tblGrid>
      <w:tr w:rsidR="00893F61" w:rsidRPr="00475A80" w14:paraId="368F3C02" w14:textId="77777777" w:rsidTr="00CF0108">
        <w:trPr>
          <w:trHeight w:val="584"/>
        </w:trPr>
        <w:tc>
          <w:tcPr>
            <w:tcW w:w="9920" w:type="dxa"/>
            <w:gridSpan w:val="2"/>
            <w:shd w:val="clear" w:color="auto" w:fill="auto"/>
            <w:tcMar>
              <w:top w:w="72" w:type="dxa"/>
              <w:left w:w="144" w:type="dxa"/>
              <w:bottom w:w="72" w:type="dxa"/>
              <w:right w:w="144" w:type="dxa"/>
            </w:tcMar>
            <w:hideMark/>
          </w:tcPr>
          <w:p w14:paraId="299AE6A6" w14:textId="77777777" w:rsidR="00893F61" w:rsidRPr="00475A80" w:rsidRDefault="00893F61" w:rsidP="00CF0108">
            <w:pPr>
              <w:spacing w:after="0" w:line="360" w:lineRule="auto"/>
              <w:rPr>
                <w:rFonts w:ascii="Arial" w:hAnsi="Arial" w:cs="Arial"/>
                <w:b/>
                <w:sz w:val="24"/>
                <w:szCs w:val="24"/>
              </w:rPr>
            </w:pPr>
            <w:r>
              <w:rPr>
                <w:rFonts w:ascii="Arial" w:hAnsi="Arial" w:cs="Arial"/>
                <w:b/>
                <w:bCs/>
                <w:sz w:val="24"/>
                <w:szCs w:val="24"/>
                <w:lang w:val="en-US"/>
              </w:rPr>
              <w:t>Table S4</w:t>
            </w:r>
            <w:r w:rsidRPr="00475A80">
              <w:rPr>
                <w:rFonts w:ascii="Arial" w:hAnsi="Arial" w:cs="Arial"/>
                <w:b/>
                <w:bCs/>
                <w:sz w:val="24"/>
                <w:szCs w:val="24"/>
                <w:lang w:val="en-US"/>
              </w:rPr>
              <w:t>.</w:t>
            </w:r>
            <w:r>
              <w:rPr>
                <w:rFonts w:ascii="Arial" w:hAnsi="Arial" w:cs="Arial"/>
                <w:b/>
                <w:bCs/>
                <w:sz w:val="24"/>
                <w:szCs w:val="24"/>
                <w:lang w:val="en-US"/>
              </w:rPr>
              <w:t xml:space="preserve"> D</w:t>
            </w:r>
            <w:r w:rsidRPr="00475A80">
              <w:rPr>
                <w:rFonts w:ascii="Arial" w:hAnsi="Arial" w:cs="Arial"/>
                <w:b/>
                <w:bCs/>
                <w:sz w:val="24"/>
                <w:szCs w:val="24"/>
                <w:lang w:val="en-US"/>
              </w:rPr>
              <w:t xml:space="preserve">efinition of organ system failures by the NACSELD (North American Consortium for the Study of End-stage Liver </w:t>
            </w:r>
            <w:proofErr w:type="gramStart"/>
            <w:r w:rsidRPr="00475A80">
              <w:rPr>
                <w:rFonts w:ascii="Arial" w:hAnsi="Arial" w:cs="Arial"/>
                <w:b/>
                <w:bCs/>
                <w:sz w:val="24"/>
                <w:szCs w:val="24"/>
                <w:lang w:val="en-US"/>
              </w:rPr>
              <w:t>Disease)</w:t>
            </w:r>
            <w:r w:rsidRPr="00475A80">
              <w:rPr>
                <w:rFonts w:ascii="Arial" w:hAnsi="Arial" w:cs="Arial"/>
                <w:bCs/>
                <w:i/>
                <w:sz w:val="24"/>
                <w:szCs w:val="24"/>
                <w:vertAlign w:val="superscript"/>
                <w:lang w:val="en-US"/>
              </w:rPr>
              <w:t>a</w:t>
            </w:r>
            <w:r w:rsidRPr="00475A80">
              <w:rPr>
                <w:rFonts w:ascii="Arial" w:hAnsi="Arial" w:cs="Arial"/>
                <w:b/>
                <w:sz w:val="24"/>
                <w:szCs w:val="24"/>
              </w:rPr>
              <w:t>.</w:t>
            </w:r>
            <w:proofErr w:type="gramEnd"/>
            <w:r w:rsidRPr="00475A80">
              <w:rPr>
                <w:rFonts w:ascii="Arial" w:hAnsi="Arial" w:cs="Arial"/>
                <w:b/>
                <w:sz w:val="24"/>
                <w:szCs w:val="24"/>
              </w:rPr>
              <w:t xml:space="preserve"> </w:t>
            </w:r>
          </w:p>
        </w:tc>
      </w:tr>
      <w:tr w:rsidR="00893F61" w:rsidRPr="00475A80" w14:paraId="738ACB79" w14:textId="77777777" w:rsidTr="00CF0108">
        <w:trPr>
          <w:trHeight w:val="584"/>
        </w:trPr>
        <w:tc>
          <w:tcPr>
            <w:tcW w:w="2120" w:type="dxa"/>
            <w:shd w:val="clear" w:color="auto" w:fill="auto"/>
            <w:tcMar>
              <w:top w:w="72" w:type="dxa"/>
              <w:left w:w="144" w:type="dxa"/>
              <w:bottom w:w="72" w:type="dxa"/>
              <w:right w:w="144" w:type="dxa"/>
            </w:tcMar>
            <w:hideMark/>
          </w:tcPr>
          <w:p w14:paraId="2FFDDA11"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 xml:space="preserve">Organ system </w:t>
            </w:r>
          </w:p>
        </w:tc>
        <w:tc>
          <w:tcPr>
            <w:tcW w:w="7800" w:type="dxa"/>
            <w:shd w:val="clear" w:color="auto" w:fill="auto"/>
            <w:tcMar>
              <w:top w:w="72" w:type="dxa"/>
              <w:left w:w="144" w:type="dxa"/>
              <w:bottom w:w="72" w:type="dxa"/>
              <w:right w:w="144" w:type="dxa"/>
            </w:tcMar>
            <w:hideMark/>
          </w:tcPr>
          <w:p w14:paraId="38A380A3"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 xml:space="preserve">Definition of organ system </w:t>
            </w:r>
            <w:proofErr w:type="spellStart"/>
            <w:r w:rsidRPr="00475A80">
              <w:rPr>
                <w:rFonts w:ascii="Arial" w:hAnsi="Arial" w:cs="Arial"/>
                <w:bCs/>
                <w:sz w:val="24"/>
                <w:szCs w:val="24"/>
                <w:lang w:val="en-US"/>
              </w:rPr>
              <w:t>failure</w:t>
            </w:r>
            <w:r w:rsidRPr="00AA1B03">
              <w:rPr>
                <w:rFonts w:ascii="Arial" w:hAnsi="Arial" w:cs="Arial"/>
                <w:bCs/>
                <w:i/>
                <w:sz w:val="24"/>
                <w:szCs w:val="24"/>
                <w:vertAlign w:val="superscript"/>
                <w:lang w:val="en-US"/>
              </w:rPr>
              <w:t>b</w:t>
            </w:r>
            <w:proofErr w:type="spellEnd"/>
          </w:p>
        </w:tc>
      </w:tr>
      <w:tr w:rsidR="00893F61" w:rsidRPr="00475A80" w14:paraId="7E896AB4" w14:textId="77777777" w:rsidTr="00CF0108">
        <w:trPr>
          <w:trHeight w:val="584"/>
        </w:trPr>
        <w:tc>
          <w:tcPr>
            <w:tcW w:w="2120" w:type="dxa"/>
            <w:shd w:val="clear" w:color="auto" w:fill="auto"/>
            <w:tcMar>
              <w:top w:w="72" w:type="dxa"/>
              <w:left w:w="144" w:type="dxa"/>
              <w:bottom w:w="72" w:type="dxa"/>
              <w:right w:w="144" w:type="dxa"/>
            </w:tcMar>
            <w:hideMark/>
          </w:tcPr>
          <w:p w14:paraId="2EACCE21"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Kidney</w:t>
            </w:r>
          </w:p>
        </w:tc>
        <w:tc>
          <w:tcPr>
            <w:tcW w:w="7800" w:type="dxa"/>
            <w:shd w:val="clear" w:color="auto" w:fill="auto"/>
            <w:tcMar>
              <w:top w:w="72" w:type="dxa"/>
              <w:left w:w="144" w:type="dxa"/>
              <w:bottom w:w="72" w:type="dxa"/>
              <w:right w:w="144" w:type="dxa"/>
            </w:tcMar>
            <w:hideMark/>
          </w:tcPr>
          <w:p w14:paraId="366C947E"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Need for dialysis or other forms of renal-replacement therapy</w:t>
            </w:r>
          </w:p>
        </w:tc>
      </w:tr>
      <w:tr w:rsidR="00893F61" w:rsidRPr="00475A80" w14:paraId="2CCDD90B" w14:textId="77777777" w:rsidTr="00CF0108">
        <w:trPr>
          <w:trHeight w:val="584"/>
        </w:trPr>
        <w:tc>
          <w:tcPr>
            <w:tcW w:w="2120" w:type="dxa"/>
            <w:shd w:val="clear" w:color="auto" w:fill="auto"/>
            <w:tcMar>
              <w:top w:w="72" w:type="dxa"/>
              <w:left w:w="144" w:type="dxa"/>
              <w:bottom w:w="72" w:type="dxa"/>
              <w:right w:w="144" w:type="dxa"/>
            </w:tcMar>
            <w:hideMark/>
          </w:tcPr>
          <w:p w14:paraId="78CF7FC9"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Brain</w:t>
            </w:r>
          </w:p>
        </w:tc>
        <w:tc>
          <w:tcPr>
            <w:tcW w:w="7800" w:type="dxa"/>
            <w:shd w:val="clear" w:color="auto" w:fill="auto"/>
            <w:tcMar>
              <w:top w:w="72" w:type="dxa"/>
              <w:left w:w="144" w:type="dxa"/>
              <w:bottom w:w="72" w:type="dxa"/>
              <w:right w:w="144" w:type="dxa"/>
            </w:tcMar>
            <w:hideMark/>
          </w:tcPr>
          <w:p w14:paraId="4B6640B9"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 xml:space="preserve">HE </w:t>
            </w:r>
            <w:proofErr w:type="gramStart"/>
            <w:r w:rsidRPr="00475A80">
              <w:rPr>
                <w:rFonts w:ascii="Arial" w:hAnsi="Arial" w:cs="Arial"/>
                <w:bCs/>
                <w:sz w:val="24"/>
                <w:szCs w:val="24"/>
                <w:lang w:val="en-US"/>
              </w:rPr>
              <w:t>grade</w:t>
            </w:r>
            <w:proofErr w:type="gramEnd"/>
            <w:r w:rsidRPr="00475A80">
              <w:rPr>
                <w:rFonts w:ascii="Arial" w:hAnsi="Arial" w:cs="Arial"/>
                <w:bCs/>
                <w:sz w:val="24"/>
                <w:szCs w:val="24"/>
                <w:lang w:val="en-US"/>
              </w:rPr>
              <w:t xml:space="preserve"> III or IV (West Haven Criteria)</w:t>
            </w:r>
          </w:p>
        </w:tc>
      </w:tr>
      <w:tr w:rsidR="00893F61" w:rsidRPr="00475A80" w14:paraId="0DD0CB22" w14:textId="77777777" w:rsidTr="00CF0108">
        <w:trPr>
          <w:trHeight w:val="584"/>
        </w:trPr>
        <w:tc>
          <w:tcPr>
            <w:tcW w:w="2120" w:type="dxa"/>
            <w:shd w:val="clear" w:color="auto" w:fill="auto"/>
            <w:tcMar>
              <w:top w:w="72" w:type="dxa"/>
              <w:left w:w="144" w:type="dxa"/>
              <w:bottom w:w="72" w:type="dxa"/>
              <w:right w:w="144" w:type="dxa"/>
            </w:tcMar>
            <w:hideMark/>
          </w:tcPr>
          <w:p w14:paraId="700C3AAF"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Circulation</w:t>
            </w:r>
          </w:p>
        </w:tc>
        <w:tc>
          <w:tcPr>
            <w:tcW w:w="7800" w:type="dxa"/>
            <w:shd w:val="clear" w:color="auto" w:fill="auto"/>
            <w:tcMar>
              <w:top w:w="72" w:type="dxa"/>
              <w:left w:w="144" w:type="dxa"/>
              <w:bottom w:w="72" w:type="dxa"/>
              <w:right w:w="144" w:type="dxa"/>
            </w:tcMar>
            <w:hideMark/>
          </w:tcPr>
          <w:p w14:paraId="2034348D"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Shock: MAP &lt;60 mm Hg or a reduction of 40 mm Hg in systolic blood pressure from baseline, despite adequate fluid resuscitation and cardiac output</w:t>
            </w:r>
          </w:p>
        </w:tc>
      </w:tr>
      <w:tr w:rsidR="00893F61" w:rsidRPr="00475A80" w14:paraId="766AC0F9" w14:textId="77777777" w:rsidTr="00CF0108">
        <w:trPr>
          <w:trHeight w:val="584"/>
        </w:trPr>
        <w:tc>
          <w:tcPr>
            <w:tcW w:w="2120" w:type="dxa"/>
            <w:shd w:val="clear" w:color="auto" w:fill="auto"/>
            <w:tcMar>
              <w:top w:w="72" w:type="dxa"/>
              <w:left w:w="144" w:type="dxa"/>
              <w:bottom w:w="72" w:type="dxa"/>
              <w:right w:w="144" w:type="dxa"/>
            </w:tcMar>
            <w:hideMark/>
          </w:tcPr>
          <w:p w14:paraId="1E0D9CE3"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Respiration</w:t>
            </w:r>
          </w:p>
        </w:tc>
        <w:tc>
          <w:tcPr>
            <w:tcW w:w="7800" w:type="dxa"/>
            <w:shd w:val="clear" w:color="auto" w:fill="auto"/>
            <w:tcMar>
              <w:top w:w="72" w:type="dxa"/>
              <w:left w:w="144" w:type="dxa"/>
              <w:bottom w:w="72" w:type="dxa"/>
              <w:right w:w="144" w:type="dxa"/>
            </w:tcMar>
            <w:hideMark/>
          </w:tcPr>
          <w:p w14:paraId="0B487986" w14:textId="77777777" w:rsidR="00893F61" w:rsidRPr="00475A80" w:rsidRDefault="00893F61" w:rsidP="00CF0108">
            <w:pPr>
              <w:spacing w:after="0" w:line="360" w:lineRule="auto"/>
              <w:rPr>
                <w:rFonts w:ascii="Arial" w:hAnsi="Arial" w:cs="Arial"/>
                <w:sz w:val="24"/>
                <w:szCs w:val="24"/>
              </w:rPr>
            </w:pPr>
            <w:r w:rsidRPr="00475A80">
              <w:rPr>
                <w:rFonts w:ascii="Arial" w:hAnsi="Arial" w:cs="Arial"/>
                <w:bCs/>
                <w:sz w:val="24"/>
                <w:szCs w:val="24"/>
                <w:lang w:val="en-US"/>
              </w:rPr>
              <w:t>Need for mechanical ventilation</w:t>
            </w:r>
          </w:p>
        </w:tc>
      </w:tr>
      <w:tr w:rsidR="00893F61" w:rsidRPr="00475A80" w14:paraId="7A3907AA" w14:textId="77777777" w:rsidTr="00CF0108">
        <w:trPr>
          <w:trHeight w:val="584"/>
        </w:trPr>
        <w:tc>
          <w:tcPr>
            <w:tcW w:w="9920" w:type="dxa"/>
            <w:gridSpan w:val="2"/>
            <w:shd w:val="clear" w:color="auto" w:fill="auto"/>
            <w:tcMar>
              <w:top w:w="72" w:type="dxa"/>
              <w:left w:w="144" w:type="dxa"/>
              <w:bottom w:w="72" w:type="dxa"/>
              <w:right w:w="144" w:type="dxa"/>
            </w:tcMar>
          </w:tcPr>
          <w:p w14:paraId="787A129B" w14:textId="04F3A096" w:rsidR="00893F61" w:rsidRDefault="00893F61" w:rsidP="00CF0108">
            <w:pPr>
              <w:spacing w:after="0" w:line="360" w:lineRule="auto"/>
              <w:rPr>
                <w:rFonts w:ascii="Arial" w:eastAsia="Arial Unicode MS" w:hAnsi="Arial" w:cs="Arial"/>
                <w:sz w:val="24"/>
                <w:szCs w:val="24"/>
                <w:lang w:val="en-US"/>
              </w:rPr>
            </w:pPr>
            <w:r w:rsidRPr="00475A80">
              <w:rPr>
                <w:rFonts w:ascii="Arial" w:hAnsi="Arial" w:cs="Arial"/>
                <w:bCs/>
                <w:i/>
                <w:sz w:val="24"/>
                <w:szCs w:val="24"/>
                <w:vertAlign w:val="superscript"/>
                <w:lang w:val="en-US"/>
              </w:rPr>
              <w:t>a</w:t>
            </w:r>
            <w:r w:rsidRPr="00475A80">
              <w:rPr>
                <w:rFonts w:ascii="Arial" w:hAnsi="Arial" w:cs="Arial"/>
                <w:bCs/>
                <w:sz w:val="24"/>
                <w:szCs w:val="24"/>
                <w:lang w:val="en-US"/>
              </w:rPr>
              <w:t xml:space="preserve"> From Bajaj et al.</w:t>
            </w:r>
            <w:r w:rsidR="00FA2D3D">
              <w:rPr>
                <w:rFonts w:ascii="Arial" w:hAnsi="Arial" w:cs="Arial"/>
                <w:bCs/>
                <w:sz w:val="24"/>
                <w:szCs w:val="24"/>
                <w:vertAlign w:val="superscript"/>
                <w:lang w:val="en-US"/>
              </w:rPr>
              <w:t>30</w:t>
            </w:r>
            <w:r w:rsidRPr="00475A80">
              <w:rPr>
                <w:rFonts w:ascii="Arial" w:hAnsi="Arial" w:cs="Arial"/>
                <w:bCs/>
                <w:sz w:val="24"/>
                <w:szCs w:val="24"/>
                <w:lang w:val="en-US"/>
              </w:rPr>
              <w:t xml:space="preserve"> </w:t>
            </w:r>
            <w:r w:rsidRPr="00475A80">
              <w:rPr>
                <w:rFonts w:ascii="Arial" w:hAnsi="Arial" w:cs="Arial"/>
                <w:color w:val="000000"/>
                <w:sz w:val="24"/>
                <w:szCs w:val="24"/>
                <w:lang w:val="en-US"/>
              </w:rPr>
              <w:t>HE denotes hepatic encephalopathy,</w:t>
            </w:r>
            <w:r>
              <w:rPr>
                <w:rFonts w:ascii="Arial" w:hAnsi="Arial" w:cs="Arial"/>
                <w:color w:val="000000"/>
                <w:sz w:val="24"/>
                <w:szCs w:val="24"/>
                <w:lang w:val="en-US"/>
              </w:rPr>
              <w:t xml:space="preserve"> and</w:t>
            </w:r>
            <w:r w:rsidRPr="00475A80">
              <w:rPr>
                <w:rFonts w:ascii="Arial" w:hAnsi="Arial" w:cs="Arial"/>
                <w:color w:val="000000"/>
                <w:sz w:val="24"/>
                <w:szCs w:val="24"/>
                <w:lang w:val="en-US"/>
              </w:rPr>
              <w:t xml:space="preserve"> MAP mean arter</w:t>
            </w:r>
            <w:r>
              <w:rPr>
                <w:rFonts w:ascii="Arial" w:hAnsi="Arial" w:cs="Arial"/>
                <w:color w:val="000000"/>
                <w:sz w:val="24"/>
                <w:szCs w:val="24"/>
                <w:lang w:val="en-US"/>
              </w:rPr>
              <w:t>ial pressure</w:t>
            </w:r>
            <w:r w:rsidRPr="00475A80">
              <w:rPr>
                <w:rFonts w:ascii="Arial" w:eastAsia="Arial Unicode MS" w:hAnsi="Arial" w:cs="Arial"/>
                <w:sz w:val="24"/>
                <w:szCs w:val="24"/>
                <w:lang w:val="en-US"/>
              </w:rPr>
              <w:t>.</w:t>
            </w:r>
          </w:p>
          <w:p w14:paraId="7E28B1C6" w14:textId="26F97637" w:rsidR="00893F61" w:rsidRPr="00475A80" w:rsidRDefault="00893F61" w:rsidP="00CF0108">
            <w:pPr>
              <w:spacing w:after="0" w:line="360" w:lineRule="auto"/>
              <w:rPr>
                <w:rFonts w:ascii="Arial" w:hAnsi="Arial" w:cs="Arial"/>
                <w:bCs/>
                <w:sz w:val="24"/>
                <w:szCs w:val="24"/>
                <w:lang w:val="en-US"/>
              </w:rPr>
            </w:pPr>
            <w:r w:rsidRPr="00FF1CE0">
              <w:rPr>
                <w:rFonts w:ascii="Arial" w:eastAsia="Arial Unicode MS" w:hAnsi="Arial" w:cs="Arial"/>
                <w:i/>
                <w:sz w:val="24"/>
                <w:szCs w:val="24"/>
                <w:vertAlign w:val="superscript"/>
                <w:lang w:val="en-US"/>
              </w:rPr>
              <w:t>b</w:t>
            </w:r>
            <w:r>
              <w:rPr>
                <w:rFonts w:ascii="Arial" w:eastAsia="Arial Unicode MS" w:hAnsi="Arial" w:cs="Arial"/>
                <w:sz w:val="24"/>
                <w:szCs w:val="24"/>
                <w:lang w:val="en-US"/>
              </w:rPr>
              <w:t xml:space="preserve"> </w:t>
            </w:r>
            <w:proofErr w:type="gramStart"/>
            <w:r>
              <w:rPr>
                <w:rFonts w:ascii="Arial" w:eastAsia="Arial Unicode MS" w:hAnsi="Arial" w:cs="Arial"/>
                <w:sz w:val="24"/>
                <w:szCs w:val="24"/>
                <w:lang w:val="en-US"/>
              </w:rPr>
              <w:t>The</w:t>
            </w:r>
            <w:proofErr w:type="gramEnd"/>
            <w:r>
              <w:rPr>
                <w:rFonts w:ascii="Arial" w:eastAsia="Arial Unicode MS" w:hAnsi="Arial" w:cs="Arial"/>
                <w:sz w:val="24"/>
                <w:szCs w:val="24"/>
                <w:lang w:val="en-US"/>
              </w:rPr>
              <w:t xml:space="preserve"> number of organ system failures determines the NACSELD score, which therefore ranges from 1 to 4.</w:t>
            </w:r>
            <w:r w:rsidR="00FA2D3D">
              <w:rPr>
                <w:rFonts w:ascii="Arial" w:eastAsia="Arial Unicode MS" w:hAnsi="Arial" w:cs="Arial"/>
                <w:sz w:val="24"/>
                <w:szCs w:val="24"/>
                <w:vertAlign w:val="superscript"/>
                <w:lang w:val="en-US"/>
              </w:rPr>
              <w:t>31</w:t>
            </w:r>
          </w:p>
        </w:tc>
      </w:tr>
    </w:tbl>
    <w:p w14:paraId="78E80602" w14:textId="77777777" w:rsidR="00893F61" w:rsidRDefault="00893F61" w:rsidP="00893F61">
      <w:pPr>
        <w:rPr>
          <w:lang w:val="en-US"/>
        </w:rPr>
      </w:pPr>
    </w:p>
    <w:p w14:paraId="783B614D" w14:textId="77777777" w:rsidR="00893F61" w:rsidRDefault="00893F61" w:rsidP="00893F61">
      <w:pPr>
        <w:rPr>
          <w:lang w:val="en-US"/>
        </w:rPr>
        <w:sectPr w:rsidR="00893F61" w:rsidSect="00380921">
          <w:pgSz w:w="11906" w:h="16838"/>
          <w:pgMar w:top="720" w:right="567" w:bottom="720" w:left="964" w:header="709" w:footer="709" w:gutter="0"/>
          <w:cols w:space="708"/>
          <w:docGrid w:linePitch="360"/>
        </w:sect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60"/>
        <w:gridCol w:w="1880"/>
        <w:gridCol w:w="1340"/>
        <w:gridCol w:w="1660"/>
        <w:gridCol w:w="2040"/>
        <w:gridCol w:w="2200"/>
      </w:tblGrid>
      <w:tr w:rsidR="00893F61" w:rsidRPr="00814667" w14:paraId="31CD3115" w14:textId="77777777" w:rsidTr="00CF0108">
        <w:trPr>
          <w:trHeight w:val="584"/>
        </w:trPr>
        <w:tc>
          <w:tcPr>
            <w:tcW w:w="10180" w:type="dxa"/>
            <w:gridSpan w:val="6"/>
            <w:shd w:val="clear" w:color="auto" w:fill="auto"/>
            <w:tcMar>
              <w:top w:w="72" w:type="dxa"/>
              <w:left w:w="144" w:type="dxa"/>
              <w:bottom w:w="72" w:type="dxa"/>
              <w:right w:w="144" w:type="dxa"/>
            </w:tcMar>
            <w:hideMark/>
          </w:tcPr>
          <w:p w14:paraId="1910BA71" w14:textId="77777777" w:rsidR="00893F61" w:rsidRPr="008B0185" w:rsidRDefault="00893F61" w:rsidP="00CF0108">
            <w:pPr>
              <w:spacing w:after="0" w:line="360" w:lineRule="auto"/>
              <w:rPr>
                <w:rFonts w:ascii="Arial" w:hAnsi="Arial" w:cs="Arial"/>
                <w:b/>
                <w:sz w:val="24"/>
                <w:szCs w:val="24"/>
              </w:rPr>
            </w:pPr>
            <w:r>
              <w:rPr>
                <w:rFonts w:ascii="Arial" w:hAnsi="Arial" w:cs="Arial"/>
                <w:b/>
                <w:bCs/>
                <w:sz w:val="24"/>
                <w:szCs w:val="24"/>
                <w:lang w:val="en-GB"/>
              </w:rPr>
              <w:lastRenderedPageBreak/>
              <w:t>Table S5</w:t>
            </w:r>
            <w:r w:rsidRPr="008B0185">
              <w:rPr>
                <w:rFonts w:ascii="Arial" w:hAnsi="Arial" w:cs="Arial"/>
                <w:b/>
                <w:bCs/>
                <w:sz w:val="24"/>
                <w:szCs w:val="24"/>
                <w:lang w:val="en-GB"/>
              </w:rPr>
              <w:t xml:space="preserve">. </w:t>
            </w:r>
            <w:r w:rsidRPr="008B0185">
              <w:rPr>
                <w:rFonts w:ascii="Arial" w:hAnsi="Arial" w:cs="Arial"/>
                <w:b/>
                <w:sz w:val="24"/>
                <w:szCs w:val="24"/>
                <w:lang w:val="en-US"/>
              </w:rPr>
              <w:t xml:space="preserve">Asian Pacific Association for the Study of the Liver ACLF Research Consortium (AARC) </w:t>
            </w:r>
            <w:r w:rsidRPr="008B0185">
              <w:rPr>
                <w:rFonts w:ascii="Arial" w:hAnsi="Arial" w:cs="Arial"/>
                <w:b/>
                <w:bCs/>
                <w:sz w:val="24"/>
                <w:szCs w:val="24"/>
                <w:lang w:val="en-GB"/>
              </w:rPr>
              <w:t>scoring system</w:t>
            </w:r>
            <w:r w:rsidRPr="008B0185">
              <w:rPr>
                <w:rFonts w:ascii="Arial" w:hAnsi="Arial" w:cs="Arial"/>
                <w:i/>
                <w:sz w:val="24"/>
                <w:szCs w:val="24"/>
                <w:vertAlign w:val="superscript"/>
              </w:rPr>
              <w:t>a</w:t>
            </w:r>
            <w:r w:rsidRPr="008B0185">
              <w:rPr>
                <w:rFonts w:ascii="Arial" w:hAnsi="Arial" w:cs="Arial"/>
                <w:b/>
                <w:sz w:val="24"/>
                <w:szCs w:val="24"/>
              </w:rPr>
              <w:t xml:space="preserve"> </w:t>
            </w:r>
          </w:p>
        </w:tc>
      </w:tr>
      <w:tr w:rsidR="00893F61" w:rsidRPr="00814667" w14:paraId="2F42B36D" w14:textId="77777777" w:rsidTr="00CF0108">
        <w:trPr>
          <w:trHeight w:val="584"/>
        </w:trPr>
        <w:tc>
          <w:tcPr>
            <w:tcW w:w="1060" w:type="dxa"/>
            <w:shd w:val="clear" w:color="auto" w:fill="auto"/>
            <w:tcMar>
              <w:top w:w="72" w:type="dxa"/>
              <w:left w:w="144" w:type="dxa"/>
              <w:bottom w:w="72" w:type="dxa"/>
              <w:right w:w="144" w:type="dxa"/>
            </w:tcMar>
            <w:hideMark/>
          </w:tcPr>
          <w:p w14:paraId="27E0B6AA" w14:textId="77777777" w:rsidR="00893F61" w:rsidRPr="00814667" w:rsidRDefault="00893F61" w:rsidP="00CF0108">
            <w:pPr>
              <w:spacing w:after="0" w:line="360" w:lineRule="auto"/>
              <w:rPr>
                <w:rFonts w:ascii="Arial" w:hAnsi="Arial" w:cs="Arial"/>
                <w:sz w:val="24"/>
                <w:szCs w:val="24"/>
              </w:rPr>
            </w:pPr>
            <w:proofErr w:type="spellStart"/>
            <w:r w:rsidRPr="00814667">
              <w:rPr>
                <w:rFonts w:ascii="Arial" w:hAnsi="Arial" w:cs="Arial"/>
                <w:bCs/>
                <w:sz w:val="24"/>
                <w:szCs w:val="24"/>
              </w:rPr>
              <w:t>Points</w:t>
            </w:r>
            <w:r w:rsidRPr="00EE1901">
              <w:rPr>
                <w:rFonts w:ascii="Arial" w:hAnsi="Arial" w:cs="Arial"/>
                <w:bCs/>
                <w:i/>
                <w:sz w:val="24"/>
                <w:szCs w:val="24"/>
                <w:vertAlign w:val="superscript"/>
              </w:rPr>
              <w:t>b</w:t>
            </w:r>
            <w:proofErr w:type="spellEnd"/>
          </w:p>
        </w:tc>
        <w:tc>
          <w:tcPr>
            <w:tcW w:w="1880" w:type="dxa"/>
            <w:shd w:val="clear" w:color="auto" w:fill="auto"/>
            <w:tcMar>
              <w:top w:w="72" w:type="dxa"/>
              <w:left w:w="144" w:type="dxa"/>
              <w:bottom w:w="72" w:type="dxa"/>
              <w:right w:w="144" w:type="dxa"/>
            </w:tcMar>
            <w:hideMark/>
          </w:tcPr>
          <w:p w14:paraId="72CC6EE6"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 xml:space="preserve">Total bilirubin (mg/dl) </w:t>
            </w:r>
          </w:p>
        </w:tc>
        <w:tc>
          <w:tcPr>
            <w:tcW w:w="1340" w:type="dxa"/>
            <w:shd w:val="clear" w:color="auto" w:fill="auto"/>
            <w:tcMar>
              <w:top w:w="72" w:type="dxa"/>
              <w:left w:w="144" w:type="dxa"/>
              <w:bottom w:w="72" w:type="dxa"/>
              <w:right w:w="144" w:type="dxa"/>
            </w:tcMar>
            <w:hideMark/>
          </w:tcPr>
          <w:p w14:paraId="27C750E9"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HE Grade</w:t>
            </w:r>
          </w:p>
        </w:tc>
        <w:tc>
          <w:tcPr>
            <w:tcW w:w="1660" w:type="dxa"/>
            <w:shd w:val="clear" w:color="auto" w:fill="auto"/>
            <w:tcMar>
              <w:top w:w="72" w:type="dxa"/>
              <w:left w:w="144" w:type="dxa"/>
              <w:bottom w:w="72" w:type="dxa"/>
              <w:right w:w="144" w:type="dxa"/>
            </w:tcMar>
            <w:hideMark/>
          </w:tcPr>
          <w:p w14:paraId="2477CF17"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INR</w:t>
            </w:r>
          </w:p>
        </w:tc>
        <w:tc>
          <w:tcPr>
            <w:tcW w:w="2040" w:type="dxa"/>
            <w:shd w:val="clear" w:color="auto" w:fill="auto"/>
            <w:tcMar>
              <w:top w:w="72" w:type="dxa"/>
              <w:left w:w="144" w:type="dxa"/>
              <w:bottom w:w="72" w:type="dxa"/>
              <w:right w:w="144" w:type="dxa"/>
            </w:tcMar>
            <w:hideMark/>
          </w:tcPr>
          <w:p w14:paraId="23507408"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Lactate (mmol/l)</w:t>
            </w:r>
          </w:p>
        </w:tc>
        <w:tc>
          <w:tcPr>
            <w:tcW w:w="2180" w:type="dxa"/>
            <w:shd w:val="clear" w:color="auto" w:fill="auto"/>
            <w:tcMar>
              <w:top w:w="72" w:type="dxa"/>
              <w:left w:w="144" w:type="dxa"/>
              <w:bottom w:w="72" w:type="dxa"/>
              <w:right w:w="144" w:type="dxa"/>
            </w:tcMar>
            <w:hideMark/>
          </w:tcPr>
          <w:p w14:paraId="6080261B"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Creatinine (mg/dl)</w:t>
            </w:r>
          </w:p>
        </w:tc>
      </w:tr>
      <w:tr w:rsidR="00893F61" w:rsidRPr="00814667" w14:paraId="57AA1D41" w14:textId="77777777" w:rsidTr="00CF0108">
        <w:trPr>
          <w:trHeight w:val="584"/>
        </w:trPr>
        <w:tc>
          <w:tcPr>
            <w:tcW w:w="1060" w:type="dxa"/>
            <w:shd w:val="clear" w:color="auto" w:fill="auto"/>
            <w:tcMar>
              <w:top w:w="72" w:type="dxa"/>
              <w:left w:w="144" w:type="dxa"/>
              <w:bottom w:w="72" w:type="dxa"/>
              <w:right w:w="144" w:type="dxa"/>
            </w:tcMar>
            <w:hideMark/>
          </w:tcPr>
          <w:p w14:paraId="2CEA195E"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rPr>
              <w:t>1</w:t>
            </w:r>
          </w:p>
        </w:tc>
        <w:tc>
          <w:tcPr>
            <w:tcW w:w="1880" w:type="dxa"/>
            <w:shd w:val="clear" w:color="auto" w:fill="auto"/>
            <w:tcMar>
              <w:top w:w="72" w:type="dxa"/>
              <w:left w:w="144" w:type="dxa"/>
              <w:bottom w:w="72" w:type="dxa"/>
              <w:right w:w="144" w:type="dxa"/>
            </w:tcMar>
            <w:hideMark/>
          </w:tcPr>
          <w:p w14:paraId="2BDBEA8A"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&lt;15</w:t>
            </w:r>
          </w:p>
        </w:tc>
        <w:tc>
          <w:tcPr>
            <w:tcW w:w="1340" w:type="dxa"/>
            <w:shd w:val="clear" w:color="auto" w:fill="auto"/>
            <w:tcMar>
              <w:top w:w="72" w:type="dxa"/>
              <w:left w:w="144" w:type="dxa"/>
              <w:bottom w:w="72" w:type="dxa"/>
              <w:right w:w="144" w:type="dxa"/>
            </w:tcMar>
            <w:hideMark/>
          </w:tcPr>
          <w:p w14:paraId="2EC17D3C"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0</w:t>
            </w:r>
          </w:p>
        </w:tc>
        <w:tc>
          <w:tcPr>
            <w:tcW w:w="1660" w:type="dxa"/>
            <w:shd w:val="clear" w:color="auto" w:fill="auto"/>
            <w:tcMar>
              <w:top w:w="72" w:type="dxa"/>
              <w:left w:w="144" w:type="dxa"/>
              <w:bottom w:w="72" w:type="dxa"/>
              <w:right w:w="144" w:type="dxa"/>
            </w:tcMar>
            <w:hideMark/>
          </w:tcPr>
          <w:p w14:paraId="4FEE3D1D"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&lt;1.8</w:t>
            </w:r>
          </w:p>
        </w:tc>
        <w:tc>
          <w:tcPr>
            <w:tcW w:w="2040" w:type="dxa"/>
            <w:shd w:val="clear" w:color="auto" w:fill="auto"/>
            <w:tcMar>
              <w:top w:w="72" w:type="dxa"/>
              <w:left w:w="144" w:type="dxa"/>
              <w:bottom w:w="72" w:type="dxa"/>
              <w:right w:w="144" w:type="dxa"/>
            </w:tcMar>
            <w:hideMark/>
          </w:tcPr>
          <w:p w14:paraId="01AB64F8"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&lt;1.5</w:t>
            </w:r>
          </w:p>
        </w:tc>
        <w:tc>
          <w:tcPr>
            <w:tcW w:w="2180" w:type="dxa"/>
            <w:shd w:val="clear" w:color="auto" w:fill="auto"/>
            <w:tcMar>
              <w:top w:w="72" w:type="dxa"/>
              <w:left w:w="144" w:type="dxa"/>
              <w:bottom w:w="72" w:type="dxa"/>
              <w:right w:w="144" w:type="dxa"/>
            </w:tcMar>
            <w:hideMark/>
          </w:tcPr>
          <w:p w14:paraId="274D32FF"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&lt;0.7</w:t>
            </w:r>
          </w:p>
        </w:tc>
      </w:tr>
      <w:tr w:rsidR="00893F61" w:rsidRPr="00814667" w14:paraId="19F39ED3" w14:textId="77777777" w:rsidTr="00CF0108">
        <w:trPr>
          <w:trHeight w:val="584"/>
        </w:trPr>
        <w:tc>
          <w:tcPr>
            <w:tcW w:w="1060" w:type="dxa"/>
            <w:shd w:val="clear" w:color="auto" w:fill="auto"/>
            <w:tcMar>
              <w:top w:w="72" w:type="dxa"/>
              <w:left w:w="144" w:type="dxa"/>
              <w:bottom w:w="72" w:type="dxa"/>
              <w:right w:w="144" w:type="dxa"/>
            </w:tcMar>
            <w:hideMark/>
          </w:tcPr>
          <w:p w14:paraId="3431356F"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rPr>
              <w:t>2</w:t>
            </w:r>
          </w:p>
        </w:tc>
        <w:tc>
          <w:tcPr>
            <w:tcW w:w="1880" w:type="dxa"/>
            <w:shd w:val="clear" w:color="auto" w:fill="auto"/>
            <w:tcMar>
              <w:top w:w="72" w:type="dxa"/>
              <w:left w:w="144" w:type="dxa"/>
              <w:bottom w:w="72" w:type="dxa"/>
              <w:right w:w="144" w:type="dxa"/>
            </w:tcMar>
            <w:hideMark/>
          </w:tcPr>
          <w:p w14:paraId="5EDBAF9A"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15 - 25</w:t>
            </w:r>
          </w:p>
        </w:tc>
        <w:tc>
          <w:tcPr>
            <w:tcW w:w="1340" w:type="dxa"/>
            <w:shd w:val="clear" w:color="auto" w:fill="auto"/>
            <w:tcMar>
              <w:top w:w="72" w:type="dxa"/>
              <w:left w:w="144" w:type="dxa"/>
              <w:bottom w:w="72" w:type="dxa"/>
              <w:right w:w="144" w:type="dxa"/>
            </w:tcMar>
            <w:hideMark/>
          </w:tcPr>
          <w:p w14:paraId="2CEC7D57"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I - II</w:t>
            </w:r>
          </w:p>
        </w:tc>
        <w:tc>
          <w:tcPr>
            <w:tcW w:w="1660" w:type="dxa"/>
            <w:shd w:val="clear" w:color="auto" w:fill="auto"/>
            <w:tcMar>
              <w:top w:w="72" w:type="dxa"/>
              <w:left w:w="144" w:type="dxa"/>
              <w:bottom w:w="72" w:type="dxa"/>
              <w:right w:w="144" w:type="dxa"/>
            </w:tcMar>
            <w:hideMark/>
          </w:tcPr>
          <w:p w14:paraId="079136A5"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1.8 – 2.5</w:t>
            </w:r>
          </w:p>
        </w:tc>
        <w:tc>
          <w:tcPr>
            <w:tcW w:w="2040" w:type="dxa"/>
            <w:shd w:val="clear" w:color="auto" w:fill="auto"/>
            <w:tcMar>
              <w:top w:w="72" w:type="dxa"/>
              <w:left w:w="144" w:type="dxa"/>
              <w:bottom w:w="72" w:type="dxa"/>
              <w:right w:w="144" w:type="dxa"/>
            </w:tcMar>
            <w:hideMark/>
          </w:tcPr>
          <w:p w14:paraId="68EA08B8"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1.5 – 2.5</w:t>
            </w:r>
          </w:p>
        </w:tc>
        <w:tc>
          <w:tcPr>
            <w:tcW w:w="2180" w:type="dxa"/>
            <w:shd w:val="clear" w:color="auto" w:fill="auto"/>
            <w:tcMar>
              <w:top w:w="72" w:type="dxa"/>
              <w:left w:w="144" w:type="dxa"/>
              <w:bottom w:w="72" w:type="dxa"/>
              <w:right w:w="144" w:type="dxa"/>
            </w:tcMar>
            <w:hideMark/>
          </w:tcPr>
          <w:p w14:paraId="755D5E32"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0.7 – 1.5</w:t>
            </w:r>
          </w:p>
        </w:tc>
      </w:tr>
      <w:tr w:rsidR="00893F61" w:rsidRPr="00814667" w14:paraId="30354EE9" w14:textId="77777777" w:rsidTr="00CF0108">
        <w:trPr>
          <w:trHeight w:val="584"/>
        </w:trPr>
        <w:tc>
          <w:tcPr>
            <w:tcW w:w="1060" w:type="dxa"/>
            <w:shd w:val="clear" w:color="auto" w:fill="auto"/>
            <w:tcMar>
              <w:top w:w="72" w:type="dxa"/>
              <w:left w:w="144" w:type="dxa"/>
              <w:bottom w:w="72" w:type="dxa"/>
              <w:right w:w="144" w:type="dxa"/>
            </w:tcMar>
            <w:hideMark/>
          </w:tcPr>
          <w:p w14:paraId="3220C577"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rPr>
              <w:t>3</w:t>
            </w:r>
          </w:p>
        </w:tc>
        <w:tc>
          <w:tcPr>
            <w:tcW w:w="1880" w:type="dxa"/>
            <w:shd w:val="clear" w:color="auto" w:fill="auto"/>
            <w:tcMar>
              <w:top w:w="72" w:type="dxa"/>
              <w:left w:w="144" w:type="dxa"/>
              <w:bottom w:w="72" w:type="dxa"/>
              <w:right w:w="144" w:type="dxa"/>
            </w:tcMar>
            <w:hideMark/>
          </w:tcPr>
          <w:p w14:paraId="2E4444A4"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&gt;25</w:t>
            </w:r>
          </w:p>
        </w:tc>
        <w:tc>
          <w:tcPr>
            <w:tcW w:w="1340" w:type="dxa"/>
            <w:shd w:val="clear" w:color="auto" w:fill="auto"/>
            <w:tcMar>
              <w:top w:w="72" w:type="dxa"/>
              <w:left w:w="144" w:type="dxa"/>
              <w:bottom w:w="72" w:type="dxa"/>
              <w:right w:w="144" w:type="dxa"/>
            </w:tcMar>
            <w:hideMark/>
          </w:tcPr>
          <w:p w14:paraId="0C0A1C53"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III - IV</w:t>
            </w:r>
          </w:p>
        </w:tc>
        <w:tc>
          <w:tcPr>
            <w:tcW w:w="1660" w:type="dxa"/>
            <w:shd w:val="clear" w:color="auto" w:fill="auto"/>
            <w:tcMar>
              <w:top w:w="72" w:type="dxa"/>
              <w:left w:w="144" w:type="dxa"/>
              <w:bottom w:w="72" w:type="dxa"/>
              <w:right w:w="144" w:type="dxa"/>
            </w:tcMar>
            <w:hideMark/>
          </w:tcPr>
          <w:p w14:paraId="7AED6055"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&gt;2.5</w:t>
            </w:r>
          </w:p>
        </w:tc>
        <w:tc>
          <w:tcPr>
            <w:tcW w:w="2040" w:type="dxa"/>
            <w:shd w:val="clear" w:color="auto" w:fill="auto"/>
            <w:tcMar>
              <w:top w:w="72" w:type="dxa"/>
              <w:left w:w="144" w:type="dxa"/>
              <w:bottom w:w="72" w:type="dxa"/>
              <w:right w:w="144" w:type="dxa"/>
            </w:tcMar>
            <w:hideMark/>
          </w:tcPr>
          <w:p w14:paraId="7F95A851"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&gt;2.5</w:t>
            </w:r>
          </w:p>
        </w:tc>
        <w:tc>
          <w:tcPr>
            <w:tcW w:w="2180" w:type="dxa"/>
            <w:shd w:val="clear" w:color="auto" w:fill="auto"/>
            <w:tcMar>
              <w:top w:w="72" w:type="dxa"/>
              <w:left w:w="144" w:type="dxa"/>
              <w:bottom w:w="72" w:type="dxa"/>
              <w:right w:w="144" w:type="dxa"/>
            </w:tcMar>
            <w:hideMark/>
          </w:tcPr>
          <w:p w14:paraId="2B672CFA" w14:textId="77777777" w:rsidR="00893F61" w:rsidRPr="00814667" w:rsidRDefault="00893F61" w:rsidP="00CF0108">
            <w:pPr>
              <w:spacing w:after="0" w:line="360" w:lineRule="auto"/>
              <w:rPr>
                <w:rFonts w:ascii="Arial" w:hAnsi="Arial" w:cs="Arial"/>
                <w:sz w:val="24"/>
                <w:szCs w:val="24"/>
              </w:rPr>
            </w:pPr>
            <w:r w:rsidRPr="00814667">
              <w:rPr>
                <w:rFonts w:ascii="Arial" w:hAnsi="Arial" w:cs="Arial"/>
                <w:bCs/>
                <w:sz w:val="24"/>
                <w:szCs w:val="24"/>
                <w:lang w:val="en-US"/>
              </w:rPr>
              <w:t>&gt;1.5</w:t>
            </w:r>
          </w:p>
        </w:tc>
      </w:tr>
      <w:tr w:rsidR="00893F61" w:rsidRPr="00814667" w14:paraId="695828FB" w14:textId="77777777" w:rsidTr="00CF0108">
        <w:trPr>
          <w:trHeight w:val="584"/>
        </w:trPr>
        <w:tc>
          <w:tcPr>
            <w:tcW w:w="10180" w:type="dxa"/>
            <w:gridSpan w:val="6"/>
            <w:shd w:val="clear" w:color="auto" w:fill="auto"/>
            <w:tcMar>
              <w:top w:w="72" w:type="dxa"/>
              <w:left w:w="144" w:type="dxa"/>
              <w:bottom w:w="72" w:type="dxa"/>
              <w:right w:w="144" w:type="dxa"/>
            </w:tcMar>
          </w:tcPr>
          <w:p w14:paraId="0820FD31" w14:textId="33E343D5" w:rsidR="00893F61" w:rsidRDefault="00893F61" w:rsidP="00CF0108">
            <w:pPr>
              <w:spacing w:after="0" w:line="360" w:lineRule="auto"/>
              <w:rPr>
                <w:rFonts w:ascii="Arial" w:hAnsi="Arial" w:cs="Arial"/>
                <w:bCs/>
                <w:sz w:val="24"/>
                <w:szCs w:val="24"/>
                <w:lang w:val="en-US"/>
              </w:rPr>
            </w:pPr>
            <w:proofErr w:type="gramStart"/>
            <w:r w:rsidRPr="008B0185">
              <w:rPr>
                <w:rFonts w:ascii="Arial" w:hAnsi="Arial" w:cs="Arial"/>
                <w:bCs/>
                <w:i/>
                <w:sz w:val="24"/>
                <w:szCs w:val="24"/>
                <w:vertAlign w:val="superscript"/>
                <w:lang w:val="en-US"/>
              </w:rPr>
              <w:t>a</w:t>
            </w:r>
            <w:proofErr w:type="gramEnd"/>
            <w:r>
              <w:rPr>
                <w:rFonts w:ascii="Arial" w:hAnsi="Arial" w:cs="Arial"/>
                <w:bCs/>
                <w:sz w:val="24"/>
                <w:szCs w:val="24"/>
                <w:lang w:val="en-US"/>
              </w:rPr>
              <w:t xml:space="preserve"> Adapted from Sarin et al.</w:t>
            </w:r>
            <w:r w:rsidR="00FA2D3D">
              <w:rPr>
                <w:rFonts w:ascii="Arial" w:hAnsi="Arial" w:cs="Arial"/>
                <w:bCs/>
                <w:sz w:val="24"/>
                <w:szCs w:val="24"/>
                <w:vertAlign w:val="superscript"/>
                <w:lang w:val="en-US"/>
              </w:rPr>
              <w:t>32</w:t>
            </w:r>
            <w:r>
              <w:rPr>
                <w:rFonts w:ascii="Arial" w:hAnsi="Arial" w:cs="Arial"/>
                <w:bCs/>
                <w:sz w:val="24"/>
                <w:szCs w:val="24"/>
                <w:lang w:val="en-US"/>
              </w:rPr>
              <w:t xml:space="preserve"> HE denotes hepatic encephalopathy, and INR international normalized ratio.</w:t>
            </w:r>
          </w:p>
          <w:p w14:paraId="749DEB48" w14:textId="43320F2F" w:rsidR="00893F61" w:rsidRPr="00EE1901" w:rsidRDefault="00893F61" w:rsidP="00CF0108">
            <w:pPr>
              <w:spacing w:after="0" w:line="360" w:lineRule="auto"/>
              <w:rPr>
                <w:rFonts w:ascii="Arial" w:hAnsi="Arial" w:cs="Arial"/>
                <w:bCs/>
                <w:sz w:val="24"/>
                <w:szCs w:val="24"/>
                <w:lang w:val="en-US"/>
              </w:rPr>
            </w:pPr>
            <w:r w:rsidRPr="00737E73">
              <w:rPr>
                <w:rFonts w:ascii="Arial" w:hAnsi="Arial" w:cs="Arial"/>
                <w:bCs/>
                <w:i/>
                <w:sz w:val="24"/>
                <w:szCs w:val="24"/>
                <w:vertAlign w:val="superscript"/>
                <w:lang w:val="en-US"/>
              </w:rPr>
              <w:t>b</w:t>
            </w:r>
            <w:r>
              <w:rPr>
                <w:rFonts w:ascii="Arial" w:hAnsi="Arial" w:cs="Arial"/>
                <w:bCs/>
                <w:sz w:val="24"/>
                <w:szCs w:val="24"/>
                <w:lang w:val="en-US"/>
              </w:rPr>
              <w:t xml:space="preserve"> </w:t>
            </w:r>
            <w:r w:rsidRPr="00346CBF">
              <w:rPr>
                <w:rFonts w:ascii="Arial" w:hAnsi="Arial" w:cs="Arial"/>
                <w:sz w:val="24"/>
                <w:szCs w:val="24"/>
                <w:lang w:val="en-US"/>
              </w:rPr>
              <w:t xml:space="preserve">The </w:t>
            </w:r>
            <w:r>
              <w:rPr>
                <w:rFonts w:ascii="Arial" w:hAnsi="Arial" w:cs="Arial"/>
                <w:sz w:val="24"/>
                <w:szCs w:val="24"/>
                <w:lang w:val="en-US"/>
              </w:rPr>
              <w:t>AARC</w:t>
            </w:r>
            <w:r w:rsidRPr="00346CBF">
              <w:rPr>
                <w:rFonts w:ascii="Arial" w:hAnsi="Arial" w:cs="Arial"/>
                <w:sz w:val="24"/>
                <w:szCs w:val="24"/>
                <w:lang w:val="en-US"/>
              </w:rPr>
              <w:t xml:space="preserve"> s</w:t>
            </w:r>
            <w:r>
              <w:rPr>
                <w:rFonts w:ascii="Arial" w:hAnsi="Arial" w:cs="Arial"/>
                <w:sz w:val="24"/>
                <w:szCs w:val="24"/>
                <w:lang w:val="en-US"/>
              </w:rPr>
              <w:t>coring system assigns a score on a scale of</w:t>
            </w:r>
            <w:r w:rsidRPr="00346CBF">
              <w:rPr>
                <w:rFonts w:ascii="Arial" w:hAnsi="Arial" w:cs="Arial"/>
                <w:sz w:val="24"/>
                <w:szCs w:val="24"/>
                <w:lang w:val="en-US"/>
              </w:rPr>
              <w:t xml:space="preserve"> 1 (close to normal) to 3 (mo</w:t>
            </w:r>
            <w:r>
              <w:rPr>
                <w:rFonts w:ascii="Arial" w:hAnsi="Arial" w:cs="Arial"/>
                <w:sz w:val="24"/>
                <w:szCs w:val="24"/>
                <w:lang w:val="en-US"/>
              </w:rPr>
              <w:t>st abnormal) to each of the 5 variables shown here</w:t>
            </w:r>
            <w:r w:rsidRPr="00BD5A98">
              <w:rPr>
                <w:rFonts w:ascii="Arial" w:hAnsi="Arial" w:cs="Arial"/>
                <w:sz w:val="24"/>
                <w:szCs w:val="24"/>
                <w:lang w:val="en-US"/>
              </w:rPr>
              <w:t>.</w:t>
            </w:r>
            <w:r>
              <w:rPr>
                <w:rFonts w:ascii="Arial" w:hAnsi="Arial" w:cs="Arial"/>
                <w:sz w:val="24"/>
                <w:szCs w:val="24"/>
                <w:lang w:val="en-US"/>
              </w:rPr>
              <w:t xml:space="preserve"> Aggregated scores define the AARC score which ranges from 5 to 15</w:t>
            </w:r>
            <w:r w:rsidRPr="00BD5A98">
              <w:rPr>
                <w:rFonts w:ascii="Arial" w:hAnsi="Arial" w:cs="Arial"/>
                <w:sz w:val="24"/>
                <w:szCs w:val="24"/>
                <w:lang w:val="en-US"/>
              </w:rPr>
              <w:t>, with higher scores indicating more marked severity</w:t>
            </w:r>
            <w:r>
              <w:rPr>
                <w:rFonts w:ascii="Arial" w:hAnsi="Arial" w:cs="Arial"/>
                <w:sz w:val="24"/>
                <w:szCs w:val="24"/>
                <w:lang w:val="en-US"/>
              </w:rPr>
              <w:t xml:space="preserve">. As per Asia Pacific investigators </w:t>
            </w:r>
            <w:r>
              <w:rPr>
                <w:rFonts w:ascii="Arial" w:hAnsi="Arial" w:cs="Arial"/>
                <w:bCs/>
                <w:sz w:val="24"/>
                <w:szCs w:val="24"/>
                <w:lang w:val="en-US"/>
              </w:rPr>
              <w:t xml:space="preserve">the AARC score is not used to define acute-on-chronic liver failure (ACLF) but to assess ACLF severity; ACLF being defined as per criteria of the </w:t>
            </w:r>
            <w:r w:rsidRPr="00EE1901">
              <w:rPr>
                <w:rFonts w:ascii="Arial" w:hAnsi="Arial" w:cs="Arial"/>
                <w:sz w:val="24"/>
                <w:szCs w:val="24"/>
                <w:lang w:val="en-US"/>
              </w:rPr>
              <w:t>Asian Pacific Association for the Study of the Liver</w:t>
            </w:r>
            <w:r>
              <w:rPr>
                <w:rFonts w:ascii="Arial" w:hAnsi="Arial" w:cs="Arial"/>
                <w:sz w:val="24"/>
                <w:szCs w:val="24"/>
                <w:lang w:val="en-US"/>
              </w:rPr>
              <w:t>.</w:t>
            </w:r>
            <w:r w:rsidR="00FA2D3D">
              <w:rPr>
                <w:rFonts w:ascii="Arial" w:hAnsi="Arial" w:cs="Arial"/>
                <w:sz w:val="24"/>
                <w:szCs w:val="24"/>
                <w:vertAlign w:val="superscript"/>
                <w:lang w:val="en-US"/>
              </w:rPr>
              <w:t>32</w:t>
            </w:r>
            <w:r>
              <w:rPr>
                <w:rFonts w:ascii="Arial" w:hAnsi="Arial" w:cs="Arial"/>
                <w:sz w:val="24"/>
                <w:szCs w:val="24"/>
                <w:lang w:val="en-US"/>
              </w:rPr>
              <w:t xml:space="preserve"> AARC scores ranging from 5 to 7 define ACLF-1, those ranging from 8 to 10 define ACLF-2, and those ranging from 11 to 15 define ACLF-3.</w:t>
            </w:r>
          </w:p>
        </w:tc>
      </w:tr>
    </w:tbl>
    <w:p w14:paraId="762920E3" w14:textId="77777777" w:rsidR="00893F61" w:rsidRDefault="00893F61" w:rsidP="00893F61">
      <w:pPr>
        <w:rPr>
          <w:lang w:val="en-US"/>
        </w:rPr>
      </w:pPr>
    </w:p>
    <w:p w14:paraId="22DFA066" w14:textId="77777777" w:rsidR="00893F61" w:rsidRDefault="00893F61" w:rsidP="00893F61">
      <w:pPr>
        <w:rPr>
          <w:lang w:val="en-US"/>
        </w:rPr>
        <w:sectPr w:rsidR="00893F61" w:rsidSect="00380921">
          <w:pgSz w:w="11906" w:h="16838"/>
          <w:pgMar w:top="720" w:right="567" w:bottom="720" w:left="964" w:header="709" w:footer="709" w:gutter="0"/>
          <w:cols w:space="708"/>
          <w:docGrid w:linePitch="360"/>
        </w:sect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00"/>
        <w:gridCol w:w="2880"/>
        <w:gridCol w:w="1420"/>
        <w:gridCol w:w="1840"/>
        <w:gridCol w:w="2080"/>
      </w:tblGrid>
      <w:tr w:rsidR="00893F61" w:rsidRPr="005F5FB9" w14:paraId="78EC421B" w14:textId="77777777" w:rsidTr="00CF0108">
        <w:trPr>
          <w:trHeight w:val="584"/>
        </w:trPr>
        <w:tc>
          <w:tcPr>
            <w:tcW w:w="10120" w:type="dxa"/>
            <w:gridSpan w:val="5"/>
            <w:shd w:val="clear" w:color="auto" w:fill="auto"/>
            <w:tcMar>
              <w:top w:w="72" w:type="dxa"/>
              <w:left w:w="144" w:type="dxa"/>
              <w:bottom w:w="72" w:type="dxa"/>
              <w:right w:w="144" w:type="dxa"/>
            </w:tcMar>
            <w:hideMark/>
          </w:tcPr>
          <w:p w14:paraId="78192D50" w14:textId="77777777" w:rsidR="00893F61" w:rsidRPr="005F5FB9" w:rsidRDefault="00893F61" w:rsidP="00CF0108">
            <w:pPr>
              <w:spacing w:after="0" w:line="360" w:lineRule="auto"/>
              <w:rPr>
                <w:rFonts w:ascii="Arial" w:hAnsi="Arial" w:cs="Arial"/>
                <w:b/>
                <w:sz w:val="24"/>
                <w:szCs w:val="24"/>
              </w:rPr>
            </w:pPr>
            <w:r>
              <w:rPr>
                <w:rFonts w:ascii="Arial" w:hAnsi="Arial" w:cs="Arial"/>
                <w:b/>
                <w:bCs/>
                <w:sz w:val="24"/>
                <w:szCs w:val="24"/>
                <w:lang w:val="en-US"/>
              </w:rPr>
              <w:lastRenderedPageBreak/>
              <w:t>Table S7</w:t>
            </w:r>
            <w:r w:rsidRPr="005F5FB9">
              <w:rPr>
                <w:rFonts w:ascii="Arial" w:hAnsi="Arial" w:cs="Arial"/>
                <w:b/>
                <w:bCs/>
                <w:sz w:val="24"/>
                <w:szCs w:val="24"/>
                <w:lang w:val="en-US"/>
              </w:rPr>
              <w:t>. Organ system as</w:t>
            </w:r>
            <w:r>
              <w:rPr>
                <w:rFonts w:ascii="Arial" w:hAnsi="Arial" w:cs="Arial"/>
                <w:b/>
                <w:bCs/>
                <w:sz w:val="24"/>
                <w:szCs w:val="24"/>
                <w:lang w:val="en-US"/>
              </w:rPr>
              <w:t>sessment with the HBV-SOFA scoring system</w:t>
            </w:r>
            <w:r w:rsidRPr="005F5FB9">
              <w:rPr>
                <w:rFonts w:ascii="Arial" w:hAnsi="Arial" w:cs="Arial"/>
                <w:b/>
                <w:bCs/>
                <w:sz w:val="24"/>
                <w:szCs w:val="24"/>
                <w:lang w:val="en-US"/>
              </w:rPr>
              <w:t xml:space="preserve"> developed by the </w:t>
            </w:r>
            <w:r w:rsidRPr="005F5FB9">
              <w:rPr>
                <w:rFonts w:ascii="Arial" w:hAnsi="Arial" w:cs="Arial"/>
                <w:b/>
                <w:sz w:val="24"/>
                <w:szCs w:val="24"/>
                <w:lang w:val="en-US"/>
              </w:rPr>
              <w:t>Chinese Group on the Study of Severe Hepatitis B (COSSH)</w:t>
            </w:r>
            <w:r w:rsidRPr="00346CBF">
              <w:rPr>
                <w:rFonts w:ascii="Arial" w:hAnsi="Arial" w:cs="Arial"/>
                <w:color w:val="000000"/>
                <w:sz w:val="24"/>
                <w:szCs w:val="24"/>
                <w:vertAlign w:val="superscript"/>
                <w:lang w:val="en-US"/>
              </w:rPr>
              <w:t>a</w:t>
            </w:r>
          </w:p>
        </w:tc>
      </w:tr>
      <w:tr w:rsidR="00893F61" w:rsidRPr="00BD5A98" w14:paraId="3858D440" w14:textId="77777777" w:rsidTr="00CF0108">
        <w:trPr>
          <w:trHeight w:val="584"/>
        </w:trPr>
        <w:tc>
          <w:tcPr>
            <w:tcW w:w="1900" w:type="dxa"/>
            <w:shd w:val="clear" w:color="auto" w:fill="auto"/>
            <w:tcMar>
              <w:top w:w="72" w:type="dxa"/>
              <w:left w:w="144" w:type="dxa"/>
              <w:bottom w:w="72" w:type="dxa"/>
              <w:right w:w="144" w:type="dxa"/>
            </w:tcMar>
            <w:hideMark/>
          </w:tcPr>
          <w:p w14:paraId="1AB10351" w14:textId="77777777" w:rsidR="00893F61" w:rsidRPr="00BD5A98" w:rsidRDefault="00893F61" w:rsidP="00CF0108">
            <w:pPr>
              <w:spacing w:after="0" w:line="360" w:lineRule="auto"/>
              <w:rPr>
                <w:rFonts w:ascii="Arial" w:hAnsi="Arial" w:cs="Arial"/>
                <w:b/>
                <w:sz w:val="24"/>
                <w:szCs w:val="24"/>
              </w:rPr>
            </w:pPr>
            <w:r w:rsidRPr="00BD5A98">
              <w:rPr>
                <w:rFonts w:ascii="Arial" w:hAnsi="Arial" w:cs="Arial"/>
                <w:b/>
                <w:bCs/>
                <w:sz w:val="24"/>
                <w:szCs w:val="24"/>
                <w:lang w:val="en-US"/>
              </w:rPr>
              <w:t>Organ system</w:t>
            </w:r>
          </w:p>
        </w:tc>
        <w:tc>
          <w:tcPr>
            <w:tcW w:w="2880" w:type="dxa"/>
            <w:shd w:val="clear" w:color="auto" w:fill="auto"/>
            <w:tcMar>
              <w:top w:w="72" w:type="dxa"/>
              <w:left w:w="144" w:type="dxa"/>
              <w:bottom w:w="72" w:type="dxa"/>
              <w:right w:w="144" w:type="dxa"/>
            </w:tcMar>
            <w:hideMark/>
          </w:tcPr>
          <w:p w14:paraId="13D8F77F" w14:textId="77777777" w:rsidR="00893F61" w:rsidRPr="00BD5A98" w:rsidRDefault="00893F61" w:rsidP="00CF0108">
            <w:pPr>
              <w:spacing w:after="0" w:line="360" w:lineRule="auto"/>
              <w:rPr>
                <w:rFonts w:ascii="Arial" w:hAnsi="Arial" w:cs="Arial"/>
                <w:b/>
                <w:sz w:val="24"/>
                <w:szCs w:val="24"/>
              </w:rPr>
            </w:pPr>
            <w:r w:rsidRPr="00BD5A98">
              <w:rPr>
                <w:rFonts w:ascii="Arial" w:hAnsi="Arial" w:cs="Arial"/>
                <w:b/>
                <w:bCs/>
                <w:sz w:val="24"/>
                <w:szCs w:val="24"/>
                <w:lang w:val="en-US"/>
              </w:rPr>
              <w:t>Variable</w:t>
            </w:r>
          </w:p>
        </w:tc>
        <w:tc>
          <w:tcPr>
            <w:tcW w:w="5340" w:type="dxa"/>
            <w:gridSpan w:val="3"/>
            <w:shd w:val="clear" w:color="auto" w:fill="auto"/>
            <w:tcMar>
              <w:top w:w="72" w:type="dxa"/>
              <w:left w:w="144" w:type="dxa"/>
              <w:bottom w:w="72" w:type="dxa"/>
              <w:right w:w="144" w:type="dxa"/>
            </w:tcMar>
            <w:hideMark/>
          </w:tcPr>
          <w:p w14:paraId="059B780A" w14:textId="77777777" w:rsidR="00893F61" w:rsidRPr="00BD5A98" w:rsidRDefault="00893F61" w:rsidP="00CF0108">
            <w:pPr>
              <w:spacing w:after="0" w:line="360" w:lineRule="auto"/>
              <w:rPr>
                <w:rFonts w:ascii="Arial" w:hAnsi="Arial" w:cs="Arial"/>
                <w:b/>
                <w:sz w:val="24"/>
                <w:szCs w:val="24"/>
              </w:rPr>
            </w:pPr>
            <w:proofErr w:type="spellStart"/>
            <w:r w:rsidRPr="00BD5A98">
              <w:rPr>
                <w:rFonts w:ascii="Arial" w:hAnsi="Arial" w:cs="Arial"/>
                <w:b/>
                <w:bCs/>
                <w:sz w:val="24"/>
                <w:szCs w:val="24"/>
                <w:lang w:val="en-US"/>
              </w:rPr>
              <w:t>Scale</w:t>
            </w:r>
            <w:r w:rsidRPr="00BD5A98">
              <w:rPr>
                <w:rFonts w:ascii="Arial" w:hAnsi="Arial" w:cs="Arial"/>
                <w:b/>
                <w:bCs/>
                <w:i/>
                <w:sz w:val="24"/>
                <w:szCs w:val="24"/>
                <w:vertAlign w:val="superscript"/>
                <w:lang w:val="en-US"/>
              </w:rPr>
              <w:t>b</w:t>
            </w:r>
            <w:proofErr w:type="spellEnd"/>
          </w:p>
        </w:tc>
      </w:tr>
      <w:tr w:rsidR="00893F61" w:rsidRPr="00706F7C" w14:paraId="4EF530D3" w14:textId="77777777" w:rsidTr="00CF0108">
        <w:trPr>
          <w:trHeight w:val="584"/>
        </w:trPr>
        <w:tc>
          <w:tcPr>
            <w:tcW w:w="1900" w:type="dxa"/>
            <w:shd w:val="clear" w:color="auto" w:fill="auto"/>
            <w:tcMar>
              <w:top w:w="72" w:type="dxa"/>
              <w:left w:w="144" w:type="dxa"/>
              <w:bottom w:w="72" w:type="dxa"/>
              <w:right w:w="144" w:type="dxa"/>
            </w:tcMar>
          </w:tcPr>
          <w:p w14:paraId="42D37311" w14:textId="77777777" w:rsidR="00893F61" w:rsidRPr="00706F7C" w:rsidRDefault="00893F61" w:rsidP="00CF0108">
            <w:pPr>
              <w:spacing w:after="0" w:line="360" w:lineRule="auto"/>
              <w:rPr>
                <w:rFonts w:ascii="Arial" w:hAnsi="Arial" w:cs="Arial"/>
                <w:bCs/>
                <w:sz w:val="24"/>
                <w:szCs w:val="24"/>
                <w:lang w:val="en-US"/>
              </w:rPr>
            </w:pPr>
          </w:p>
        </w:tc>
        <w:tc>
          <w:tcPr>
            <w:tcW w:w="2880" w:type="dxa"/>
            <w:shd w:val="clear" w:color="auto" w:fill="auto"/>
            <w:tcMar>
              <w:top w:w="72" w:type="dxa"/>
              <w:left w:w="144" w:type="dxa"/>
              <w:bottom w:w="72" w:type="dxa"/>
              <w:right w:w="144" w:type="dxa"/>
            </w:tcMar>
          </w:tcPr>
          <w:p w14:paraId="44F22885" w14:textId="77777777" w:rsidR="00893F61" w:rsidRPr="00706F7C" w:rsidRDefault="00893F61" w:rsidP="00CF0108">
            <w:pPr>
              <w:spacing w:after="0" w:line="360" w:lineRule="auto"/>
              <w:rPr>
                <w:rFonts w:ascii="Arial" w:hAnsi="Arial" w:cs="Arial"/>
                <w:bCs/>
                <w:sz w:val="24"/>
                <w:szCs w:val="24"/>
                <w:lang w:val="en-US"/>
              </w:rPr>
            </w:pPr>
          </w:p>
        </w:tc>
        <w:tc>
          <w:tcPr>
            <w:tcW w:w="1420" w:type="dxa"/>
            <w:shd w:val="clear" w:color="auto" w:fill="auto"/>
            <w:tcMar>
              <w:top w:w="72" w:type="dxa"/>
              <w:left w:w="144" w:type="dxa"/>
              <w:bottom w:w="72" w:type="dxa"/>
              <w:right w:w="144" w:type="dxa"/>
            </w:tcMar>
          </w:tcPr>
          <w:p w14:paraId="19094BE3" w14:textId="77777777" w:rsidR="00893F61" w:rsidRPr="00706F7C" w:rsidRDefault="00893F61" w:rsidP="00CF0108">
            <w:pPr>
              <w:spacing w:after="0" w:line="360" w:lineRule="auto"/>
              <w:rPr>
                <w:rFonts w:ascii="Arial" w:hAnsi="Arial" w:cs="Arial"/>
                <w:bCs/>
                <w:sz w:val="24"/>
                <w:szCs w:val="24"/>
                <w:lang w:val="en-US"/>
              </w:rPr>
            </w:pPr>
            <w:r w:rsidRPr="00706F7C">
              <w:rPr>
                <w:rFonts w:ascii="Arial" w:hAnsi="Arial" w:cs="Arial"/>
                <w:bCs/>
                <w:sz w:val="24"/>
                <w:szCs w:val="24"/>
                <w:lang w:val="en-US"/>
              </w:rPr>
              <w:t>1 point</w:t>
            </w:r>
          </w:p>
        </w:tc>
        <w:tc>
          <w:tcPr>
            <w:tcW w:w="1840" w:type="dxa"/>
            <w:shd w:val="clear" w:color="auto" w:fill="auto"/>
            <w:tcMar>
              <w:top w:w="72" w:type="dxa"/>
              <w:left w:w="144" w:type="dxa"/>
              <w:bottom w:w="72" w:type="dxa"/>
              <w:right w:w="144" w:type="dxa"/>
            </w:tcMar>
          </w:tcPr>
          <w:p w14:paraId="14B10794" w14:textId="77777777" w:rsidR="00893F61" w:rsidRPr="00706F7C" w:rsidRDefault="00893F61" w:rsidP="00CF0108">
            <w:pPr>
              <w:spacing w:after="0" w:line="360" w:lineRule="auto"/>
              <w:rPr>
                <w:rFonts w:ascii="Arial" w:hAnsi="Arial" w:cs="Arial"/>
                <w:bCs/>
                <w:sz w:val="24"/>
                <w:szCs w:val="24"/>
                <w:lang w:val="en-US"/>
              </w:rPr>
            </w:pPr>
            <w:r w:rsidRPr="00706F7C">
              <w:rPr>
                <w:rFonts w:ascii="Arial" w:hAnsi="Arial" w:cs="Arial"/>
                <w:bCs/>
                <w:sz w:val="24"/>
                <w:szCs w:val="24"/>
                <w:lang w:val="en-US"/>
              </w:rPr>
              <w:t>2 points</w:t>
            </w:r>
          </w:p>
        </w:tc>
        <w:tc>
          <w:tcPr>
            <w:tcW w:w="2080" w:type="dxa"/>
            <w:shd w:val="clear" w:color="auto" w:fill="auto"/>
            <w:tcMar>
              <w:top w:w="72" w:type="dxa"/>
              <w:left w:w="144" w:type="dxa"/>
              <w:bottom w:w="72" w:type="dxa"/>
              <w:right w:w="144" w:type="dxa"/>
            </w:tcMar>
          </w:tcPr>
          <w:p w14:paraId="667C7083" w14:textId="77777777" w:rsidR="00893F61" w:rsidRPr="00706F7C" w:rsidRDefault="00893F61" w:rsidP="00CF0108">
            <w:pPr>
              <w:spacing w:after="0" w:line="360" w:lineRule="auto"/>
              <w:rPr>
                <w:rFonts w:ascii="Arial" w:hAnsi="Arial" w:cs="Arial"/>
                <w:bCs/>
                <w:sz w:val="24"/>
                <w:szCs w:val="24"/>
                <w:lang w:val="en-US"/>
              </w:rPr>
            </w:pPr>
            <w:r w:rsidRPr="00706F7C">
              <w:rPr>
                <w:rFonts w:ascii="Arial" w:hAnsi="Arial" w:cs="Arial"/>
                <w:bCs/>
                <w:sz w:val="24"/>
                <w:szCs w:val="24"/>
                <w:lang w:val="en-US"/>
              </w:rPr>
              <w:t>3 points</w:t>
            </w:r>
          </w:p>
        </w:tc>
      </w:tr>
      <w:tr w:rsidR="00893F61" w:rsidRPr="00706F7C" w14:paraId="6B09B11B" w14:textId="77777777" w:rsidTr="00CF0108">
        <w:trPr>
          <w:trHeight w:val="584"/>
        </w:trPr>
        <w:tc>
          <w:tcPr>
            <w:tcW w:w="1900" w:type="dxa"/>
            <w:shd w:val="clear" w:color="auto" w:fill="auto"/>
            <w:tcMar>
              <w:top w:w="72" w:type="dxa"/>
              <w:left w:w="144" w:type="dxa"/>
              <w:bottom w:w="72" w:type="dxa"/>
              <w:right w:w="144" w:type="dxa"/>
            </w:tcMar>
            <w:hideMark/>
          </w:tcPr>
          <w:p w14:paraId="2F5EE353"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Kidney</w:t>
            </w:r>
          </w:p>
        </w:tc>
        <w:tc>
          <w:tcPr>
            <w:tcW w:w="2880" w:type="dxa"/>
            <w:shd w:val="clear" w:color="auto" w:fill="auto"/>
            <w:tcMar>
              <w:top w:w="72" w:type="dxa"/>
              <w:left w:w="144" w:type="dxa"/>
              <w:bottom w:w="72" w:type="dxa"/>
              <w:right w:w="144" w:type="dxa"/>
            </w:tcMar>
            <w:hideMark/>
          </w:tcPr>
          <w:p w14:paraId="6643A45E"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Creatinine (mg/dl)</w:t>
            </w:r>
          </w:p>
        </w:tc>
        <w:tc>
          <w:tcPr>
            <w:tcW w:w="1420" w:type="dxa"/>
            <w:shd w:val="clear" w:color="auto" w:fill="auto"/>
            <w:tcMar>
              <w:top w:w="72" w:type="dxa"/>
              <w:left w:w="144" w:type="dxa"/>
              <w:bottom w:w="72" w:type="dxa"/>
              <w:right w:w="144" w:type="dxa"/>
            </w:tcMar>
            <w:hideMark/>
          </w:tcPr>
          <w:p w14:paraId="4C059359"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&lt;1.1</w:t>
            </w:r>
          </w:p>
        </w:tc>
        <w:tc>
          <w:tcPr>
            <w:tcW w:w="1840" w:type="dxa"/>
            <w:shd w:val="clear" w:color="auto" w:fill="auto"/>
            <w:tcMar>
              <w:top w:w="72" w:type="dxa"/>
              <w:left w:w="144" w:type="dxa"/>
              <w:bottom w:w="72" w:type="dxa"/>
              <w:right w:w="144" w:type="dxa"/>
            </w:tcMar>
            <w:hideMark/>
          </w:tcPr>
          <w:p w14:paraId="0CF29813"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1.2 – 2.3</w:t>
            </w:r>
          </w:p>
        </w:tc>
        <w:tc>
          <w:tcPr>
            <w:tcW w:w="2080" w:type="dxa"/>
            <w:shd w:val="clear" w:color="auto" w:fill="auto"/>
            <w:tcMar>
              <w:top w:w="72" w:type="dxa"/>
              <w:left w:w="144" w:type="dxa"/>
              <w:bottom w:w="72" w:type="dxa"/>
              <w:right w:w="144" w:type="dxa"/>
            </w:tcMar>
            <w:hideMark/>
          </w:tcPr>
          <w:p w14:paraId="51C0C31B"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&gt;2.3</w:t>
            </w:r>
          </w:p>
        </w:tc>
      </w:tr>
      <w:tr w:rsidR="00893F61" w:rsidRPr="00706F7C" w14:paraId="6B26B23B" w14:textId="77777777" w:rsidTr="00CF0108">
        <w:trPr>
          <w:trHeight w:val="584"/>
        </w:trPr>
        <w:tc>
          <w:tcPr>
            <w:tcW w:w="1900" w:type="dxa"/>
            <w:shd w:val="clear" w:color="auto" w:fill="auto"/>
            <w:tcMar>
              <w:top w:w="72" w:type="dxa"/>
              <w:left w:w="144" w:type="dxa"/>
              <w:bottom w:w="72" w:type="dxa"/>
              <w:right w:w="144" w:type="dxa"/>
            </w:tcMar>
            <w:hideMark/>
          </w:tcPr>
          <w:p w14:paraId="6DDC51E4"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Brain</w:t>
            </w:r>
          </w:p>
        </w:tc>
        <w:tc>
          <w:tcPr>
            <w:tcW w:w="2880" w:type="dxa"/>
            <w:shd w:val="clear" w:color="auto" w:fill="auto"/>
            <w:tcMar>
              <w:top w:w="72" w:type="dxa"/>
              <w:left w:w="144" w:type="dxa"/>
              <w:bottom w:w="72" w:type="dxa"/>
              <w:right w:w="144" w:type="dxa"/>
            </w:tcMar>
            <w:hideMark/>
          </w:tcPr>
          <w:p w14:paraId="383E860C"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 xml:space="preserve">HE </w:t>
            </w:r>
            <w:proofErr w:type="gramStart"/>
            <w:r w:rsidRPr="00706F7C">
              <w:rPr>
                <w:rFonts w:ascii="Arial" w:hAnsi="Arial" w:cs="Arial"/>
                <w:bCs/>
                <w:sz w:val="24"/>
                <w:szCs w:val="24"/>
                <w:lang w:val="en-US"/>
              </w:rPr>
              <w:t>grade</w:t>
            </w:r>
            <w:proofErr w:type="gramEnd"/>
          </w:p>
          <w:p w14:paraId="51A95BB1"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(West Haven criteria)</w:t>
            </w:r>
          </w:p>
        </w:tc>
        <w:tc>
          <w:tcPr>
            <w:tcW w:w="1420" w:type="dxa"/>
            <w:shd w:val="clear" w:color="auto" w:fill="auto"/>
            <w:tcMar>
              <w:top w:w="72" w:type="dxa"/>
              <w:left w:w="144" w:type="dxa"/>
              <w:bottom w:w="72" w:type="dxa"/>
              <w:right w:w="144" w:type="dxa"/>
            </w:tcMar>
            <w:hideMark/>
          </w:tcPr>
          <w:p w14:paraId="692F6D44"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0</w:t>
            </w:r>
          </w:p>
        </w:tc>
        <w:tc>
          <w:tcPr>
            <w:tcW w:w="1840" w:type="dxa"/>
            <w:shd w:val="clear" w:color="auto" w:fill="auto"/>
            <w:tcMar>
              <w:top w:w="72" w:type="dxa"/>
              <w:left w:w="144" w:type="dxa"/>
              <w:bottom w:w="72" w:type="dxa"/>
              <w:right w:w="144" w:type="dxa"/>
            </w:tcMar>
            <w:hideMark/>
          </w:tcPr>
          <w:p w14:paraId="5B7FACFB"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I - II</w:t>
            </w:r>
          </w:p>
        </w:tc>
        <w:tc>
          <w:tcPr>
            <w:tcW w:w="2080" w:type="dxa"/>
            <w:shd w:val="clear" w:color="auto" w:fill="auto"/>
            <w:tcMar>
              <w:top w:w="72" w:type="dxa"/>
              <w:left w:w="144" w:type="dxa"/>
              <w:bottom w:w="72" w:type="dxa"/>
              <w:right w:w="144" w:type="dxa"/>
            </w:tcMar>
            <w:hideMark/>
          </w:tcPr>
          <w:p w14:paraId="4C1C0CDF"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III - IV</w:t>
            </w:r>
          </w:p>
        </w:tc>
      </w:tr>
      <w:tr w:rsidR="00893F61" w:rsidRPr="00706F7C" w14:paraId="669BB01B" w14:textId="77777777" w:rsidTr="00CF0108">
        <w:trPr>
          <w:trHeight w:val="584"/>
        </w:trPr>
        <w:tc>
          <w:tcPr>
            <w:tcW w:w="1900" w:type="dxa"/>
            <w:shd w:val="clear" w:color="auto" w:fill="auto"/>
            <w:tcMar>
              <w:top w:w="72" w:type="dxa"/>
              <w:left w:w="144" w:type="dxa"/>
              <w:bottom w:w="72" w:type="dxa"/>
              <w:right w:w="144" w:type="dxa"/>
            </w:tcMar>
            <w:hideMark/>
          </w:tcPr>
          <w:p w14:paraId="46907EDD"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 xml:space="preserve">Circulation </w:t>
            </w:r>
          </w:p>
        </w:tc>
        <w:tc>
          <w:tcPr>
            <w:tcW w:w="2880" w:type="dxa"/>
            <w:shd w:val="clear" w:color="auto" w:fill="auto"/>
            <w:tcMar>
              <w:top w:w="72" w:type="dxa"/>
              <w:left w:w="144" w:type="dxa"/>
              <w:bottom w:w="72" w:type="dxa"/>
              <w:right w:w="144" w:type="dxa"/>
            </w:tcMar>
            <w:hideMark/>
          </w:tcPr>
          <w:p w14:paraId="305FC0D3"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MAP (mm Hg)</w:t>
            </w:r>
          </w:p>
        </w:tc>
        <w:tc>
          <w:tcPr>
            <w:tcW w:w="1420" w:type="dxa"/>
            <w:shd w:val="clear" w:color="auto" w:fill="auto"/>
            <w:tcMar>
              <w:top w:w="72" w:type="dxa"/>
              <w:left w:w="144" w:type="dxa"/>
              <w:bottom w:w="72" w:type="dxa"/>
              <w:right w:w="144" w:type="dxa"/>
            </w:tcMar>
            <w:hideMark/>
          </w:tcPr>
          <w:p w14:paraId="64751EA4"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≥70</w:t>
            </w:r>
          </w:p>
        </w:tc>
        <w:tc>
          <w:tcPr>
            <w:tcW w:w="1840" w:type="dxa"/>
            <w:shd w:val="clear" w:color="auto" w:fill="auto"/>
            <w:tcMar>
              <w:top w:w="72" w:type="dxa"/>
              <w:left w:w="144" w:type="dxa"/>
              <w:bottom w:w="72" w:type="dxa"/>
              <w:right w:w="144" w:type="dxa"/>
            </w:tcMar>
            <w:hideMark/>
          </w:tcPr>
          <w:p w14:paraId="7C25580F"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&lt;70</w:t>
            </w:r>
          </w:p>
        </w:tc>
        <w:tc>
          <w:tcPr>
            <w:tcW w:w="2080" w:type="dxa"/>
            <w:shd w:val="clear" w:color="auto" w:fill="auto"/>
            <w:tcMar>
              <w:top w:w="72" w:type="dxa"/>
              <w:left w:w="144" w:type="dxa"/>
              <w:bottom w:w="72" w:type="dxa"/>
              <w:right w:w="144" w:type="dxa"/>
            </w:tcMar>
            <w:hideMark/>
          </w:tcPr>
          <w:p w14:paraId="3FB03986"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Vasopressors</w:t>
            </w:r>
          </w:p>
        </w:tc>
      </w:tr>
      <w:tr w:rsidR="00893F61" w:rsidRPr="00706F7C" w14:paraId="2494F4C5" w14:textId="77777777" w:rsidTr="00CF0108">
        <w:trPr>
          <w:trHeight w:val="584"/>
        </w:trPr>
        <w:tc>
          <w:tcPr>
            <w:tcW w:w="1900" w:type="dxa"/>
            <w:shd w:val="clear" w:color="auto" w:fill="auto"/>
            <w:tcMar>
              <w:top w:w="72" w:type="dxa"/>
              <w:left w:w="144" w:type="dxa"/>
              <w:bottom w:w="72" w:type="dxa"/>
              <w:right w:w="144" w:type="dxa"/>
            </w:tcMar>
            <w:hideMark/>
          </w:tcPr>
          <w:p w14:paraId="7DBFE142"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Respiration</w:t>
            </w:r>
          </w:p>
        </w:tc>
        <w:tc>
          <w:tcPr>
            <w:tcW w:w="2880" w:type="dxa"/>
            <w:shd w:val="clear" w:color="auto" w:fill="auto"/>
            <w:tcMar>
              <w:top w:w="15" w:type="dxa"/>
              <w:left w:w="102" w:type="dxa"/>
              <w:bottom w:w="0" w:type="dxa"/>
              <w:right w:w="102" w:type="dxa"/>
            </w:tcMar>
            <w:hideMark/>
          </w:tcPr>
          <w:p w14:paraId="45319EEE" w14:textId="77777777" w:rsidR="00893F61" w:rsidRPr="00BD5A98" w:rsidRDefault="00893F61" w:rsidP="00CF0108">
            <w:pPr>
              <w:spacing w:after="0" w:line="360" w:lineRule="auto"/>
              <w:rPr>
                <w:rFonts w:ascii="Arial" w:hAnsi="Arial" w:cs="Arial"/>
                <w:bCs/>
                <w:sz w:val="24"/>
                <w:szCs w:val="24"/>
                <w:vertAlign w:val="subscript"/>
                <w:lang w:val="en-US"/>
              </w:rPr>
            </w:pPr>
            <w:r w:rsidRPr="00706F7C">
              <w:rPr>
                <w:rFonts w:ascii="Arial" w:hAnsi="Arial" w:cs="Arial"/>
                <w:bCs/>
                <w:sz w:val="24"/>
                <w:szCs w:val="24"/>
                <w:lang w:val="en-US"/>
              </w:rPr>
              <w:t>PaO</w:t>
            </w:r>
            <w:r w:rsidRPr="00706F7C">
              <w:rPr>
                <w:rFonts w:ascii="Arial" w:hAnsi="Arial" w:cs="Arial"/>
                <w:bCs/>
                <w:sz w:val="24"/>
                <w:szCs w:val="24"/>
                <w:vertAlign w:val="subscript"/>
                <w:lang w:val="en-US"/>
              </w:rPr>
              <w:t>2</w:t>
            </w:r>
            <w:r w:rsidRPr="00706F7C">
              <w:rPr>
                <w:rFonts w:ascii="Arial" w:hAnsi="Arial" w:cs="Arial"/>
                <w:bCs/>
                <w:sz w:val="24"/>
                <w:szCs w:val="24"/>
                <w:lang w:val="en-US"/>
              </w:rPr>
              <w:t>/FiO</w:t>
            </w:r>
            <w:r w:rsidRPr="00706F7C">
              <w:rPr>
                <w:rFonts w:ascii="Arial" w:hAnsi="Arial" w:cs="Arial"/>
                <w:bCs/>
                <w:sz w:val="24"/>
                <w:szCs w:val="24"/>
                <w:vertAlign w:val="subscript"/>
                <w:lang w:val="en-US"/>
              </w:rPr>
              <w:t>2</w:t>
            </w:r>
          </w:p>
          <w:p w14:paraId="1BAAF757" w14:textId="77777777" w:rsidR="00893F61" w:rsidRPr="004B32D8" w:rsidRDefault="00893F61" w:rsidP="00CF0108">
            <w:pPr>
              <w:spacing w:after="0" w:line="360" w:lineRule="auto"/>
              <w:rPr>
                <w:rFonts w:ascii="Arial" w:hAnsi="Arial" w:cs="Arial"/>
                <w:sz w:val="24"/>
                <w:szCs w:val="24"/>
              </w:rPr>
            </w:pPr>
          </w:p>
        </w:tc>
        <w:tc>
          <w:tcPr>
            <w:tcW w:w="1420" w:type="dxa"/>
            <w:shd w:val="clear" w:color="auto" w:fill="auto"/>
            <w:tcMar>
              <w:top w:w="15" w:type="dxa"/>
              <w:left w:w="102" w:type="dxa"/>
              <w:bottom w:w="0" w:type="dxa"/>
              <w:right w:w="102" w:type="dxa"/>
            </w:tcMar>
            <w:hideMark/>
          </w:tcPr>
          <w:p w14:paraId="08DF8725"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&gt;300</w:t>
            </w:r>
          </w:p>
        </w:tc>
        <w:tc>
          <w:tcPr>
            <w:tcW w:w="1840" w:type="dxa"/>
            <w:shd w:val="clear" w:color="auto" w:fill="auto"/>
            <w:tcMar>
              <w:top w:w="15" w:type="dxa"/>
              <w:left w:w="102" w:type="dxa"/>
              <w:bottom w:w="0" w:type="dxa"/>
              <w:right w:w="102" w:type="dxa"/>
            </w:tcMar>
            <w:hideMark/>
          </w:tcPr>
          <w:p w14:paraId="0250554F"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201 - 300</w:t>
            </w:r>
          </w:p>
        </w:tc>
        <w:tc>
          <w:tcPr>
            <w:tcW w:w="2080" w:type="dxa"/>
            <w:shd w:val="clear" w:color="auto" w:fill="auto"/>
            <w:tcMar>
              <w:top w:w="15" w:type="dxa"/>
              <w:left w:w="102" w:type="dxa"/>
              <w:bottom w:w="0" w:type="dxa"/>
              <w:right w:w="102" w:type="dxa"/>
            </w:tcMar>
            <w:hideMark/>
          </w:tcPr>
          <w:p w14:paraId="5EE57A62"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≤200</w:t>
            </w:r>
          </w:p>
        </w:tc>
      </w:tr>
      <w:tr w:rsidR="00893F61" w:rsidRPr="00706F7C" w14:paraId="570753D1" w14:textId="77777777" w:rsidTr="00CF0108">
        <w:trPr>
          <w:trHeight w:val="584"/>
        </w:trPr>
        <w:tc>
          <w:tcPr>
            <w:tcW w:w="0" w:type="auto"/>
            <w:shd w:val="clear" w:color="auto" w:fill="auto"/>
            <w:hideMark/>
          </w:tcPr>
          <w:p w14:paraId="017EFB05" w14:textId="77777777" w:rsidR="00893F61" w:rsidRPr="00706F7C" w:rsidRDefault="00893F61" w:rsidP="00CF0108">
            <w:pPr>
              <w:spacing w:after="0" w:line="360" w:lineRule="auto"/>
              <w:rPr>
                <w:rFonts w:ascii="Arial" w:hAnsi="Arial" w:cs="Arial"/>
                <w:sz w:val="24"/>
                <w:szCs w:val="24"/>
              </w:rPr>
            </w:pPr>
          </w:p>
        </w:tc>
        <w:tc>
          <w:tcPr>
            <w:tcW w:w="2880" w:type="dxa"/>
            <w:shd w:val="clear" w:color="auto" w:fill="auto"/>
            <w:tcMar>
              <w:top w:w="15" w:type="dxa"/>
              <w:left w:w="102" w:type="dxa"/>
              <w:bottom w:w="0" w:type="dxa"/>
              <w:right w:w="102" w:type="dxa"/>
            </w:tcMar>
            <w:hideMark/>
          </w:tcPr>
          <w:p w14:paraId="7F708CEF"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SpO</w:t>
            </w:r>
            <w:r w:rsidRPr="00706F7C">
              <w:rPr>
                <w:rFonts w:ascii="Arial" w:hAnsi="Arial" w:cs="Arial"/>
                <w:bCs/>
                <w:sz w:val="24"/>
                <w:szCs w:val="24"/>
                <w:vertAlign w:val="subscript"/>
                <w:lang w:val="en-US"/>
              </w:rPr>
              <w:t>2/</w:t>
            </w:r>
            <w:r w:rsidRPr="00706F7C">
              <w:rPr>
                <w:rFonts w:ascii="Arial" w:hAnsi="Arial" w:cs="Arial"/>
                <w:bCs/>
                <w:sz w:val="24"/>
                <w:szCs w:val="24"/>
                <w:lang w:val="en-US"/>
              </w:rPr>
              <w:t>FiO</w:t>
            </w:r>
            <w:r w:rsidRPr="00706F7C">
              <w:rPr>
                <w:rFonts w:ascii="Arial" w:hAnsi="Arial" w:cs="Arial"/>
                <w:bCs/>
                <w:sz w:val="24"/>
                <w:szCs w:val="24"/>
                <w:vertAlign w:val="subscript"/>
                <w:lang w:val="en-US"/>
              </w:rPr>
              <w:t>2</w:t>
            </w:r>
          </w:p>
        </w:tc>
        <w:tc>
          <w:tcPr>
            <w:tcW w:w="1420" w:type="dxa"/>
            <w:shd w:val="clear" w:color="auto" w:fill="auto"/>
            <w:tcMar>
              <w:top w:w="15" w:type="dxa"/>
              <w:left w:w="102" w:type="dxa"/>
              <w:bottom w:w="0" w:type="dxa"/>
              <w:right w:w="102" w:type="dxa"/>
            </w:tcMar>
            <w:hideMark/>
          </w:tcPr>
          <w:p w14:paraId="1BDBADC8"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&gt;357</w:t>
            </w:r>
          </w:p>
        </w:tc>
        <w:tc>
          <w:tcPr>
            <w:tcW w:w="1840" w:type="dxa"/>
            <w:shd w:val="clear" w:color="auto" w:fill="auto"/>
            <w:tcMar>
              <w:top w:w="15" w:type="dxa"/>
              <w:left w:w="102" w:type="dxa"/>
              <w:bottom w:w="0" w:type="dxa"/>
              <w:right w:w="102" w:type="dxa"/>
            </w:tcMar>
            <w:hideMark/>
          </w:tcPr>
          <w:p w14:paraId="55A68189"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215 - 357</w:t>
            </w:r>
          </w:p>
        </w:tc>
        <w:tc>
          <w:tcPr>
            <w:tcW w:w="2080" w:type="dxa"/>
            <w:shd w:val="clear" w:color="auto" w:fill="auto"/>
            <w:tcMar>
              <w:top w:w="15" w:type="dxa"/>
              <w:left w:w="102" w:type="dxa"/>
              <w:bottom w:w="0" w:type="dxa"/>
              <w:right w:w="102" w:type="dxa"/>
            </w:tcMar>
            <w:hideMark/>
          </w:tcPr>
          <w:p w14:paraId="6FC4413A" w14:textId="77777777" w:rsidR="00893F61" w:rsidRPr="00706F7C" w:rsidRDefault="00893F61" w:rsidP="00CF0108">
            <w:pPr>
              <w:spacing w:after="0" w:line="360" w:lineRule="auto"/>
              <w:rPr>
                <w:rFonts w:ascii="Arial" w:hAnsi="Arial" w:cs="Arial"/>
                <w:sz w:val="24"/>
                <w:szCs w:val="24"/>
              </w:rPr>
            </w:pPr>
            <w:r w:rsidRPr="00706F7C">
              <w:rPr>
                <w:rFonts w:ascii="Arial" w:hAnsi="Arial" w:cs="Arial"/>
                <w:bCs/>
                <w:sz w:val="24"/>
                <w:szCs w:val="24"/>
                <w:lang w:val="en-US"/>
              </w:rPr>
              <w:t>≤214</w:t>
            </w:r>
          </w:p>
        </w:tc>
      </w:tr>
      <w:tr w:rsidR="00893F61" w:rsidRPr="00687932" w14:paraId="6C800BDC" w14:textId="77777777" w:rsidTr="00CF0108">
        <w:trPr>
          <w:trHeight w:val="584"/>
        </w:trPr>
        <w:tc>
          <w:tcPr>
            <w:tcW w:w="10120" w:type="dxa"/>
            <w:gridSpan w:val="5"/>
            <w:shd w:val="clear" w:color="auto" w:fill="auto"/>
          </w:tcPr>
          <w:p w14:paraId="4F275B9B" w14:textId="4A2A0C59" w:rsidR="00893F61" w:rsidRDefault="00893F61" w:rsidP="00CF0108">
            <w:pPr>
              <w:autoSpaceDE w:val="0"/>
              <w:autoSpaceDN w:val="0"/>
              <w:adjustRightInd w:val="0"/>
              <w:spacing w:after="0" w:line="360" w:lineRule="auto"/>
              <w:rPr>
                <w:rFonts w:ascii="Arial" w:eastAsia="Arial Unicode MS" w:hAnsi="Arial" w:cs="Arial"/>
                <w:sz w:val="24"/>
                <w:szCs w:val="24"/>
                <w:lang w:val="en-US"/>
              </w:rPr>
            </w:pPr>
            <w:proofErr w:type="gramStart"/>
            <w:r w:rsidRPr="00BD5A98">
              <w:rPr>
                <w:rFonts w:ascii="Arial" w:hAnsi="Arial" w:cs="Arial"/>
                <w:i/>
                <w:color w:val="000000"/>
                <w:sz w:val="24"/>
                <w:szCs w:val="24"/>
                <w:vertAlign w:val="superscript"/>
                <w:lang w:val="en-US"/>
              </w:rPr>
              <w:t>a</w:t>
            </w:r>
            <w:proofErr w:type="gramEnd"/>
            <w:r w:rsidRPr="00346CBF">
              <w:rPr>
                <w:rFonts w:ascii="Arial" w:hAnsi="Arial" w:cs="Arial"/>
                <w:color w:val="000000"/>
                <w:sz w:val="24"/>
                <w:szCs w:val="24"/>
                <w:lang w:val="en-US"/>
              </w:rPr>
              <w:t xml:space="preserve"> </w:t>
            </w:r>
            <w:r>
              <w:rPr>
                <w:rFonts w:ascii="Arial" w:hAnsi="Arial" w:cs="Arial"/>
                <w:color w:val="000000"/>
                <w:sz w:val="24"/>
                <w:szCs w:val="24"/>
                <w:lang w:val="en-US"/>
              </w:rPr>
              <w:t>Adapted from Wu</w:t>
            </w:r>
            <w:r w:rsidRPr="00346CBF">
              <w:rPr>
                <w:rFonts w:ascii="Arial" w:hAnsi="Arial" w:cs="Arial"/>
                <w:color w:val="000000"/>
                <w:sz w:val="24"/>
                <w:szCs w:val="24"/>
                <w:lang w:val="en-US"/>
              </w:rPr>
              <w:t xml:space="preserve"> et al.</w:t>
            </w:r>
            <w:r w:rsidR="00FA2D3D">
              <w:rPr>
                <w:rFonts w:ascii="Arial" w:hAnsi="Arial" w:cs="Arial"/>
                <w:color w:val="000000"/>
                <w:sz w:val="24"/>
                <w:szCs w:val="24"/>
                <w:vertAlign w:val="superscript"/>
                <w:lang w:val="en-US"/>
              </w:rPr>
              <w:t>29</w:t>
            </w:r>
            <w:r w:rsidRPr="00346CBF">
              <w:rPr>
                <w:rFonts w:ascii="Arial" w:hAnsi="Arial" w:cs="Arial"/>
                <w:color w:val="000000"/>
                <w:sz w:val="24"/>
                <w:szCs w:val="24"/>
                <w:lang w:val="en-US"/>
              </w:rPr>
              <w:t xml:space="preserve"> HE denotes hepatic encephalopathy, MAP mean ar</w:t>
            </w:r>
            <w:r>
              <w:rPr>
                <w:rFonts w:ascii="Arial" w:hAnsi="Arial" w:cs="Arial"/>
                <w:color w:val="000000"/>
                <w:sz w:val="24"/>
                <w:szCs w:val="24"/>
                <w:lang w:val="en-US"/>
              </w:rPr>
              <w:t>ter</w:t>
            </w:r>
            <w:r w:rsidRPr="00346CBF">
              <w:rPr>
                <w:rFonts w:ascii="Arial" w:hAnsi="Arial" w:cs="Arial"/>
                <w:color w:val="000000"/>
                <w:sz w:val="24"/>
                <w:szCs w:val="24"/>
                <w:lang w:val="en-US"/>
              </w:rPr>
              <w:t xml:space="preserve">ial pressure, </w:t>
            </w:r>
            <w:r w:rsidRPr="00346CBF">
              <w:rPr>
                <w:rFonts w:ascii="Arial" w:eastAsia="Arial Unicode MS" w:hAnsi="Arial" w:cs="Arial"/>
                <w:sz w:val="24"/>
                <w:szCs w:val="24"/>
                <w:lang w:val="en-US"/>
              </w:rPr>
              <w:t>PaO</w:t>
            </w:r>
            <w:r w:rsidRPr="00346CBF">
              <w:rPr>
                <w:rFonts w:ascii="Arial" w:eastAsia="Arial Unicode MS" w:hAnsi="Arial" w:cs="Arial"/>
                <w:sz w:val="24"/>
                <w:szCs w:val="24"/>
                <w:vertAlign w:val="subscript"/>
                <w:lang w:val="en-US"/>
              </w:rPr>
              <w:t>2</w:t>
            </w:r>
            <w:r w:rsidRPr="00346CBF">
              <w:rPr>
                <w:rFonts w:ascii="Arial" w:eastAsia="Arial Unicode MS" w:hAnsi="Arial" w:cs="Arial"/>
                <w:sz w:val="24"/>
                <w:szCs w:val="24"/>
                <w:lang w:val="en-US"/>
              </w:rPr>
              <w:t xml:space="preserve"> partial pressure of arterial oxygen, FiO</w:t>
            </w:r>
            <w:r w:rsidRPr="00346CBF">
              <w:rPr>
                <w:rFonts w:ascii="Arial" w:eastAsia="Arial Unicode MS" w:hAnsi="Arial" w:cs="Arial"/>
                <w:sz w:val="24"/>
                <w:szCs w:val="24"/>
                <w:vertAlign w:val="subscript"/>
                <w:lang w:val="en-US"/>
              </w:rPr>
              <w:t>2</w:t>
            </w:r>
            <w:r w:rsidRPr="00346CBF">
              <w:rPr>
                <w:rFonts w:ascii="Arial" w:eastAsia="Arial Unicode MS" w:hAnsi="Arial" w:cs="Arial"/>
                <w:sz w:val="24"/>
                <w:szCs w:val="24"/>
                <w:lang w:val="en-US"/>
              </w:rPr>
              <w:t xml:space="preserve"> fraction of inspired oxygen, and SpO</w:t>
            </w:r>
            <w:r w:rsidRPr="00346CBF">
              <w:rPr>
                <w:rFonts w:ascii="Arial" w:eastAsia="Arial Unicode MS" w:hAnsi="Arial" w:cs="Arial"/>
                <w:sz w:val="24"/>
                <w:szCs w:val="24"/>
                <w:vertAlign w:val="subscript"/>
                <w:lang w:val="en-US"/>
              </w:rPr>
              <w:t>2</w:t>
            </w:r>
            <w:r w:rsidRPr="00346CBF">
              <w:rPr>
                <w:rFonts w:ascii="Arial" w:eastAsia="Arial Unicode MS" w:hAnsi="Arial" w:cs="Arial"/>
                <w:sz w:val="24"/>
                <w:szCs w:val="24"/>
                <w:lang w:val="en-US"/>
              </w:rPr>
              <w:t xml:space="preserve"> pulse oximetry saturation.</w:t>
            </w:r>
          </w:p>
          <w:p w14:paraId="33F22B9E" w14:textId="77777777" w:rsidR="00893F61" w:rsidRPr="00687932" w:rsidRDefault="00893F61" w:rsidP="00CF0108">
            <w:pPr>
              <w:autoSpaceDE w:val="0"/>
              <w:autoSpaceDN w:val="0"/>
              <w:adjustRightInd w:val="0"/>
              <w:spacing w:line="360" w:lineRule="auto"/>
              <w:rPr>
                <w:rFonts w:ascii="Arial" w:hAnsi="Arial" w:cs="Arial"/>
                <w:bCs/>
                <w:sz w:val="24"/>
                <w:szCs w:val="24"/>
              </w:rPr>
            </w:pPr>
            <w:r w:rsidRPr="00BD5A98">
              <w:rPr>
                <w:rFonts w:ascii="Arial" w:eastAsia="Arial Unicode MS" w:hAnsi="Arial" w:cs="Arial"/>
                <w:i/>
                <w:sz w:val="24"/>
                <w:szCs w:val="24"/>
                <w:vertAlign w:val="superscript"/>
                <w:lang w:val="en-US"/>
              </w:rPr>
              <w:t>b</w:t>
            </w:r>
            <w:r>
              <w:rPr>
                <w:rFonts w:ascii="Arial" w:eastAsia="Arial Unicode MS" w:hAnsi="Arial" w:cs="Arial"/>
                <w:sz w:val="24"/>
                <w:szCs w:val="24"/>
                <w:lang w:val="en-US"/>
              </w:rPr>
              <w:t xml:space="preserve"> </w:t>
            </w:r>
            <w:proofErr w:type="gramStart"/>
            <w:r w:rsidRPr="00346CBF">
              <w:rPr>
                <w:rFonts w:ascii="Arial" w:hAnsi="Arial" w:cs="Arial"/>
                <w:sz w:val="24"/>
                <w:szCs w:val="24"/>
                <w:lang w:val="en-US"/>
              </w:rPr>
              <w:t>The</w:t>
            </w:r>
            <w:proofErr w:type="gramEnd"/>
            <w:r w:rsidRPr="00346CBF">
              <w:rPr>
                <w:rFonts w:ascii="Arial" w:hAnsi="Arial" w:cs="Arial"/>
                <w:sz w:val="24"/>
                <w:szCs w:val="24"/>
                <w:lang w:val="en-US"/>
              </w:rPr>
              <w:t xml:space="preserve"> </w:t>
            </w:r>
            <w:r>
              <w:rPr>
                <w:rFonts w:ascii="Arial" w:hAnsi="Arial" w:cs="Arial"/>
                <w:sz w:val="24"/>
                <w:szCs w:val="24"/>
                <w:lang w:val="en-US"/>
              </w:rPr>
              <w:t>HBV-SOFA</w:t>
            </w:r>
            <w:r w:rsidRPr="00346CBF">
              <w:rPr>
                <w:rFonts w:ascii="Arial" w:hAnsi="Arial" w:cs="Arial"/>
                <w:sz w:val="24"/>
                <w:szCs w:val="24"/>
                <w:lang w:val="en-US"/>
              </w:rPr>
              <w:t xml:space="preserve"> scoring system </w:t>
            </w:r>
            <w:r>
              <w:rPr>
                <w:rFonts w:ascii="Arial" w:hAnsi="Arial" w:cs="Arial"/>
                <w:sz w:val="24"/>
                <w:szCs w:val="24"/>
                <w:lang w:val="en-US"/>
              </w:rPr>
              <w:t>assigns a score on a scale of</w:t>
            </w:r>
            <w:r w:rsidRPr="00346CBF">
              <w:rPr>
                <w:rFonts w:ascii="Arial" w:hAnsi="Arial" w:cs="Arial"/>
                <w:sz w:val="24"/>
                <w:szCs w:val="24"/>
                <w:lang w:val="en-US"/>
              </w:rPr>
              <w:t xml:space="preserve"> 1 (close to normal) to 3 (most abnormal)</w:t>
            </w:r>
            <w:r>
              <w:rPr>
                <w:rFonts w:ascii="Arial" w:hAnsi="Arial" w:cs="Arial"/>
                <w:sz w:val="24"/>
                <w:szCs w:val="24"/>
                <w:lang w:val="en-US"/>
              </w:rPr>
              <w:t xml:space="preserve"> to each of following four major organ systems: </w:t>
            </w:r>
            <w:r w:rsidRPr="00346CBF">
              <w:rPr>
                <w:rFonts w:ascii="Arial" w:hAnsi="Arial" w:cs="Arial"/>
                <w:sz w:val="24"/>
                <w:szCs w:val="24"/>
                <w:lang w:val="en-US"/>
              </w:rPr>
              <w:t xml:space="preserve">kidneys, brain, </w:t>
            </w:r>
            <w:r>
              <w:rPr>
                <w:rFonts w:ascii="Arial" w:hAnsi="Arial" w:cs="Arial"/>
                <w:sz w:val="24"/>
                <w:szCs w:val="24"/>
                <w:lang w:val="en-US"/>
              </w:rPr>
              <w:t>respiration, circulation</w:t>
            </w:r>
            <w:r w:rsidRPr="00BD5A98">
              <w:rPr>
                <w:rFonts w:ascii="Arial" w:hAnsi="Arial" w:cs="Arial"/>
                <w:sz w:val="24"/>
                <w:szCs w:val="24"/>
                <w:lang w:val="en-US"/>
              </w:rPr>
              <w:t>. Aggr</w:t>
            </w:r>
            <w:r>
              <w:rPr>
                <w:rFonts w:ascii="Arial" w:hAnsi="Arial" w:cs="Arial"/>
                <w:sz w:val="24"/>
                <w:szCs w:val="24"/>
                <w:lang w:val="en-US"/>
              </w:rPr>
              <w:t>egated scores range from 4 to 12</w:t>
            </w:r>
            <w:r w:rsidRPr="00BD5A98">
              <w:rPr>
                <w:rFonts w:ascii="Arial" w:hAnsi="Arial" w:cs="Arial"/>
                <w:sz w:val="24"/>
                <w:szCs w:val="24"/>
                <w:lang w:val="en-US"/>
              </w:rPr>
              <w:t>, with higher scores indicating more marked severity, and determine the HBV-SOFA score which is used to calculate the COSSH-ACLF score</w:t>
            </w:r>
            <w:r>
              <w:rPr>
                <w:rFonts w:ascii="Arial" w:hAnsi="Arial" w:cs="Arial"/>
                <w:sz w:val="24"/>
                <w:szCs w:val="24"/>
                <w:lang w:val="en-US"/>
              </w:rPr>
              <w:t xml:space="preserve"> (</w:t>
            </w:r>
            <w:r w:rsidRPr="00BD5A98">
              <w:rPr>
                <w:rFonts w:ascii="Arial" w:hAnsi="Arial" w:cs="Arial"/>
                <w:sz w:val="24"/>
                <w:szCs w:val="24"/>
                <w:lang w:val="en-US"/>
              </w:rPr>
              <w:t xml:space="preserve">equal to </w:t>
            </w:r>
            <w:r w:rsidRPr="00BD5A98">
              <w:rPr>
                <w:rFonts w:ascii="Arial" w:hAnsi="Arial" w:cs="Arial"/>
                <w:bCs/>
                <w:sz w:val="24"/>
                <w:szCs w:val="24"/>
                <w:lang w:val="en-US"/>
              </w:rPr>
              <w:t>0.741 × INR + 0.523 × HBV-SOFA score + 0.026 × age + 0.003 x total bilirubin)</w:t>
            </w:r>
            <w:r w:rsidRPr="00BD5A98">
              <w:rPr>
                <w:rFonts w:ascii="Arial" w:hAnsi="Arial" w:cs="Arial"/>
                <w:sz w:val="24"/>
                <w:szCs w:val="24"/>
                <w:lang w:val="en-US"/>
              </w:rPr>
              <w:t xml:space="preserve">. </w:t>
            </w:r>
          </w:p>
        </w:tc>
      </w:tr>
    </w:tbl>
    <w:p w14:paraId="0753F15C" w14:textId="77777777" w:rsidR="00893F61" w:rsidRDefault="00893F61" w:rsidP="00893F61">
      <w:pPr>
        <w:rPr>
          <w:lang w:val="en-US"/>
        </w:rPr>
        <w:sectPr w:rsidR="00893F61" w:rsidSect="00380921">
          <w:pgSz w:w="11906" w:h="16838"/>
          <w:pgMar w:top="720" w:right="567" w:bottom="720" w:left="964" w:header="709" w:footer="709" w:gutter="0"/>
          <w:cols w:space="708"/>
          <w:docGrid w:linePitch="360"/>
        </w:sectPr>
      </w:pPr>
    </w:p>
    <w:p w14:paraId="3A5F0268" w14:textId="77777777" w:rsidR="00893F61" w:rsidRPr="00813461" w:rsidRDefault="00893F61" w:rsidP="00893F61">
      <w:pPr>
        <w:pStyle w:val="ListParagraph"/>
        <w:spacing w:after="0" w:line="480" w:lineRule="auto"/>
        <w:ind w:left="0"/>
        <w:contextualSpacing w:val="0"/>
        <w:rPr>
          <w:rFonts w:ascii="Arial" w:hAnsi="Arial" w:cs="Arial"/>
          <w:b/>
          <w:bCs/>
          <w:color w:val="FF0000"/>
          <w:sz w:val="24"/>
          <w:szCs w:val="24"/>
          <w:shd w:val="clear" w:color="auto" w:fill="FFFFFF"/>
          <w:lang w:val="en-US" w:eastAsia="es-ES_tradnl"/>
        </w:rPr>
      </w:pPr>
      <w:r w:rsidRPr="00813461">
        <w:rPr>
          <w:rFonts w:ascii="Arial" w:hAnsi="Arial" w:cs="Arial"/>
          <w:b/>
          <w:bCs/>
          <w:color w:val="FF0000"/>
          <w:sz w:val="24"/>
          <w:szCs w:val="24"/>
          <w:shd w:val="clear" w:color="auto" w:fill="FFFFFF"/>
          <w:lang w:val="en-US" w:eastAsia="es-ES_tradnl"/>
        </w:rPr>
        <w:lastRenderedPageBreak/>
        <w:t>Table S8. General ICU management of ACLF</w:t>
      </w:r>
    </w:p>
    <w:tbl>
      <w:tblPr>
        <w:tblStyle w:val="TableGrid"/>
        <w:tblW w:w="1587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4"/>
      </w:tblGrid>
      <w:tr w:rsidR="00893F61" w:rsidRPr="005D664F" w14:paraId="21DAC365" w14:textId="77777777" w:rsidTr="00CF0108">
        <w:tc>
          <w:tcPr>
            <w:tcW w:w="15874" w:type="dxa"/>
            <w:tcBorders>
              <w:top w:val="single" w:sz="12" w:space="0" w:color="auto"/>
            </w:tcBorders>
            <w:shd w:val="clear" w:color="auto" w:fill="auto"/>
          </w:tcPr>
          <w:p w14:paraId="69EC1B28" w14:textId="77777777" w:rsidR="00893F61" w:rsidRPr="00BE7172" w:rsidRDefault="00893F61" w:rsidP="00CF0108">
            <w:pPr>
              <w:spacing w:line="480" w:lineRule="auto"/>
              <w:rPr>
                <w:rFonts w:ascii="Arial" w:hAnsi="Arial" w:cs="Arial"/>
                <w:b/>
                <w:bCs/>
                <w:color w:val="FF0000"/>
                <w:sz w:val="24"/>
                <w:szCs w:val="24"/>
                <w:lang w:val="en-US"/>
              </w:rPr>
            </w:pPr>
            <w:r w:rsidRPr="00BE7172">
              <w:rPr>
                <w:rFonts w:ascii="Arial" w:hAnsi="Arial" w:cs="Arial"/>
                <w:b/>
                <w:bCs/>
                <w:color w:val="FF0000"/>
                <w:sz w:val="24"/>
                <w:szCs w:val="24"/>
                <w:lang w:val="en-US"/>
              </w:rPr>
              <w:t>Management of infections</w:t>
            </w:r>
          </w:p>
        </w:tc>
      </w:tr>
      <w:tr w:rsidR="00893F61" w:rsidRPr="005D664F" w14:paraId="2DD2CC93" w14:textId="77777777" w:rsidTr="00CF0108">
        <w:tc>
          <w:tcPr>
            <w:tcW w:w="15874" w:type="dxa"/>
            <w:shd w:val="clear" w:color="auto" w:fill="auto"/>
          </w:tcPr>
          <w:p w14:paraId="6086C8D0" w14:textId="77777777" w:rsidR="00893F61" w:rsidRPr="00BE7172" w:rsidRDefault="00893F61" w:rsidP="00CF0108">
            <w:pPr>
              <w:spacing w:line="480" w:lineRule="auto"/>
              <w:rPr>
                <w:rFonts w:ascii="Arial" w:hAnsi="Arial" w:cs="Arial"/>
                <w:b/>
                <w:bCs/>
                <w:iCs/>
                <w:color w:val="FF0000"/>
                <w:sz w:val="24"/>
                <w:szCs w:val="24"/>
                <w:lang w:val="en-US"/>
              </w:rPr>
            </w:pPr>
            <w:r w:rsidRPr="00BE7172">
              <w:rPr>
                <w:rFonts w:ascii="Arial" w:hAnsi="Arial" w:cs="Arial"/>
                <w:b/>
                <w:bCs/>
                <w:iCs/>
                <w:color w:val="FF0000"/>
                <w:sz w:val="24"/>
                <w:szCs w:val="24"/>
                <w:lang w:val="en-US"/>
              </w:rPr>
              <w:t xml:space="preserve">   Diagnosis</w:t>
            </w:r>
          </w:p>
        </w:tc>
      </w:tr>
      <w:tr w:rsidR="00893F61" w:rsidRPr="005D664F" w14:paraId="6F88D042" w14:textId="77777777" w:rsidTr="00CF0108">
        <w:tc>
          <w:tcPr>
            <w:tcW w:w="15874" w:type="dxa"/>
          </w:tcPr>
          <w:p w14:paraId="0AFEE44B"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A systematic workup for the detection of infection (chest X-ray and analysis/cultures of blood, urine, ascites fluid and respiratory samples, rectal and nasal swabs) should be done at diagnosis of ACLF and whenever the patient clinically deteriorates. </w:t>
            </w:r>
          </w:p>
        </w:tc>
      </w:tr>
      <w:tr w:rsidR="00893F61" w:rsidRPr="005D664F" w14:paraId="1AD64A4B" w14:textId="77777777" w:rsidTr="00CF0108">
        <w:tc>
          <w:tcPr>
            <w:tcW w:w="15874" w:type="dxa"/>
            <w:shd w:val="clear" w:color="auto" w:fill="auto"/>
          </w:tcPr>
          <w:p w14:paraId="6EAA6AF6" w14:textId="77777777" w:rsidR="00893F61" w:rsidRPr="00BE7172" w:rsidRDefault="00893F61" w:rsidP="00CF0108">
            <w:pPr>
              <w:spacing w:line="480" w:lineRule="auto"/>
              <w:rPr>
                <w:rFonts w:ascii="Arial" w:hAnsi="Arial" w:cs="Arial"/>
                <w:b/>
                <w:bCs/>
                <w:iCs/>
                <w:color w:val="FF0000"/>
                <w:sz w:val="24"/>
                <w:szCs w:val="24"/>
                <w:lang w:val="en-US"/>
              </w:rPr>
            </w:pPr>
            <w:r w:rsidRPr="00BE7172">
              <w:rPr>
                <w:rFonts w:ascii="Arial" w:hAnsi="Arial" w:cs="Arial"/>
                <w:b/>
                <w:bCs/>
                <w:iCs/>
                <w:color w:val="FF0000"/>
                <w:sz w:val="24"/>
                <w:szCs w:val="24"/>
                <w:lang w:val="en-US"/>
              </w:rPr>
              <w:t xml:space="preserve">   Treatment</w:t>
            </w:r>
          </w:p>
        </w:tc>
      </w:tr>
      <w:tr w:rsidR="00893F61" w:rsidRPr="005D664F" w14:paraId="7E87C76D" w14:textId="77777777" w:rsidTr="00CF0108">
        <w:tc>
          <w:tcPr>
            <w:tcW w:w="15874" w:type="dxa"/>
          </w:tcPr>
          <w:p w14:paraId="29ECDA84"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Empiric antibiotic strategies should be tailored according to the severity of the infection and the local epidemiological pattern of antibiotic resistance covering all potential pathogens.</w:t>
            </w:r>
          </w:p>
        </w:tc>
      </w:tr>
      <w:tr w:rsidR="00893F61" w:rsidRPr="005D664F" w14:paraId="5DE97660" w14:textId="77777777" w:rsidTr="00CF0108">
        <w:tc>
          <w:tcPr>
            <w:tcW w:w="15874" w:type="dxa"/>
          </w:tcPr>
          <w:p w14:paraId="39FA99C2"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Antibiotics should be started as soon as possible, ideally immediately after obtaining blood cultures (within the first 1h-3h after diagnosis of infection).</w:t>
            </w:r>
          </w:p>
        </w:tc>
      </w:tr>
      <w:tr w:rsidR="00893F61" w:rsidRPr="005D664F" w14:paraId="22EA7E70" w14:textId="77777777" w:rsidTr="00CF0108">
        <w:tc>
          <w:tcPr>
            <w:tcW w:w="15874" w:type="dxa"/>
          </w:tcPr>
          <w:p w14:paraId="606F24F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Strategies aimed at optimizing the pharmacokinetic/pharmacodynamic profile of antibiotics should be applied in patients with severe infections: i.e., continuous IV infusion of ß-lactams in the first 48h-72 h. </w:t>
            </w:r>
          </w:p>
        </w:tc>
      </w:tr>
      <w:tr w:rsidR="00893F61" w:rsidRPr="005D664F" w14:paraId="61E3A4F4" w14:textId="77777777" w:rsidTr="00CF0108">
        <w:tc>
          <w:tcPr>
            <w:tcW w:w="15874" w:type="dxa"/>
          </w:tcPr>
          <w:p w14:paraId="19014C95"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Empirical antimicrobial therapies should be rapidly de-escalated based on fast microbiological tests (</w:t>
            </w:r>
            <w:r w:rsidRPr="00BE7172">
              <w:rPr>
                <w:rFonts w:ascii="Arial" w:hAnsi="Arial" w:cs="Arial"/>
                <w:color w:val="FF0000"/>
                <w:sz w:val="24"/>
                <w:szCs w:val="24"/>
                <w:lang w:val="en-US" w:eastAsia="it-IT"/>
              </w:rPr>
              <w:t>MALDI-TOF-MS, PCR)</w:t>
            </w:r>
            <w:r w:rsidRPr="00BE7172">
              <w:rPr>
                <w:rFonts w:ascii="Arial" w:hAnsi="Arial" w:cs="Arial"/>
                <w:color w:val="FF0000"/>
                <w:sz w:val="24"/>
                <w:szCs w:val="24"/>
                <w:lang w:val="en-US"/>
              </w:rPr>
              <w:t>, conventional microbiology and epidemiological surveillance data (colonization).</w:t>
            </w:r>
          </w:p>
        </w:tc>
      </w:tr>
      <w:tr w:rsidR="00893F61" w:rsidRPr="005D664F" w14:paraId="19F1E29C" w14:textId="77777777" w:rsidTr="00CF0108">
        <w:tc>
          <w:tcPr>
            <w:tcW w:w="15874" w:type="dxa"/>
          </w:tcPr>
          <w:p w14:paraId="753C00A6"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eastAsia="MS Mincho" w:hAnsi="Arial" w:cs="Arial"/>
                <w:color w:val="FF0000"/>
                <w:sz w:val="24"/>
                <w:szCs w:val="24"/>
                <w:lang w:val="en-US" w:eastAsia="es-ES"/>
              </w:rPr>
              <w:t>Short-term treatments are recommended in the majority of patients</w:t>
            </w:r>
            <w:r w:rsidRPr="00BE7172">
              <w:rPr>
                <w:rFonts w:ascii="Arial" w:hAnsi="Arial" w:cs="Arial"/>
                <w:color w:val="FF0000"/>
                <w:sz w:val="24"/>
                <w:szCs w:val="24"/>
                <w:lang w:val="en-US"/>
              </w:rPr>
              <w:t xml:space="preserve"> (5-7 days</w:t>
            </w:r>
            <w:proofErr w:type="gramStart"/>
            <w:r w:rsidRPr="00BE7172">
              <w:rPr>
                <w:rFonts w:ascii="Arial" w:hAnsi="Arial" w:cs="Arial"/>
                <w:color w:val="FF0000"/>
                <w:sz w:val="24"/>
                <w:szCs w:val="24"/>
                <w:lang w:val="en-US"/>
              </w:rPr>
              <w:t>).</w:t>
            </w:r>
            <w:r w:rsidRPr="00BE7172">
              <w:rPr>
                <w:rFonts w:ascii="Arial" w:hAnsi="Arial" w:cs="Arial"/>
                <w:i/>
                <w:color w:val="FF0000"/>
                <w:sz w:val="24"/>
                <w:szCs w:val="24"/>
                <w:vertAlign w:val="superscript"/>
                <w:lang w:val="en-US"/>
              </w:rPr>
              <w:t>a</w:t>
            </w:r>
            <w:proofErr w:type="gramEnd"/>
          </w:p>
        </w:tc>
      </w:tr>
      <w:tr w:rsidR="00893F61" w:rsidRPr="005D664F" w14:paraId="623241C0" w14:textId="77777777" w:rsidTr="00CF0108">
        <w:tc>
          <w:tcPr>
            <w:tcW w:w="15874" w:type="dxa"/>
          </w:tcPr>
          <w:p w14:paraId="6F8F295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Empirical antifungal therapy should be initiated in patients with nosocomial infection, septic shock and additional risk factors for fungal </w:t>
            </w:r>
            <w:proofErr w:type="spellStart"/>
            <w:proofErr w:type="gramStart"/>
            <w:r w:rsidRPr="00BE7172">
              <w:rPr>
                <w:rFonts w:ascii="Arial" w:hAnsi="Arial" w:cs="Arial"/>
                <w:color w:val="FF0000"/>
                <w:sz w:val="24"/>
                <w:szCs w:val="24"/>
                <w:lang w:val="en-US"/>
              </w:rPr>
              <w:t>infection.</w:t>
            </w:r>
            <w:r w:rsidRPr="00BE7172">
              <w:rPr>
                <w:rFonts w:ascii="Arial" w:hAnsi="Arial" w:cs="Arial"/>
                <w:i/>
                <w:color w:val="FF0000"/>
                <w:sz w:val="24"/>
                <w:szCs w:val="24"/>
                <w:vertAlign w:val="superscript"/>
                <w:lang w:val="en-US"/>
              </w:rPr>
              <w:t>b</w:t>
            </w:r>
            <w:proofErr w:type="spellEnd"/>
            <w:proofErr w:type="gramEnd"/>
          </w:p>
        </w:tc>
      </w:tr>
      <w:tr w:rsidR="00893F61" w:rsidRPr="005D664F" w14:paraId="5E4A851B" w14:textId="77777777" w:rsidTr="00CF0108">
        <w:trPr>
          <w:trHeight w:val="290"/>
        </w:trPr>
        <w:tc>
          <w:tcPr>
            <w:tcW w:w="15874" w:type="dxa"/>
          </w:tcPr>
          <w:p w14:paraId="3D115DDC" w14:textId="77777777" w:rsidR="00893F61" w:rsidRPr="00BE7172" w:rsidRDefault="00893F61" w:rsidP="00CF0108">
            <w:pPr>
              <w:spacing w:line="480" w:lineRule="auto"/>
              <w:rPr>
                <w:rFonts w:ascii="Arial" w:hAnsi="Arial" w:cs="Arial"/>
                <w:b/>
                <w:bCs/>
                <w:iCs/>
                <w:color w:val="FF0000"/>
                <w:sz w:val="24"/>
                <w:szCs w:val="24"/>
                <w:lang w:val="en-US"/>
              </w:rPr>
            </w:pPr>
            <w:r w:rsidRPr="00BE7172">
              <w:rPr>
                <w:rFonts w:ascii="Arial" w:hAnsi="Arial" w:cs="Arial"/>
                <w:b/>
                <w:bCs/>
                <w:iCs/>
                <w:color w:val="FF0000"/>
                <w:sz w:val="24"/>
                <w:szCs w:val="24"/>
                <w:lang w:val="en-US"/>
              </w:rPr>
              <w:t xml:space="preserve">   Management of septic shock</w:t>
            </w:r>
          </w:p>
        </w:tc>
      </w:tr>
      <w:tr w:rsidR="00893F61" w:rsidRPr="007B6616" w14:paraId="3BA97C94" w14:textId="77777777" w:rsidTr="00CF0108">
        <w:tc>
          <w:tcPr>
            <w:tcW w:w="15874" w:type="dxa"/>
          </w:tcPr>
          <w:p w14:paraId="6BE141E2"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lastRenderedPageBreak/>
              <w:t xml:space="preserve">Crystalloids (balanced solutions are preferred over saline) and human albumin can be used </w:t>
            </w:r>
            <w:r w:rsidR="0038192C" w:rsidRPr="00BE7172">
              <w:rPr>
                <w:rFonts w:ascii="Arial" w:hAnsi="Arial" w:cs="Arial"/>
                <w:color w:val="FF0000"/>
                <w:sz w:val="24"/>
                <w:szCs w:val="24"/>
                <w:lang w:val="en-US"/>
              </w:rPr>
              <w:t>as first-</w:t>
            </w:r>
            <w:r w:rsidRPr="00BE7172">
              <w:rPr>
                <w:rFonts w:ascii="Arial" w:hAnsi="Arial" w:cs="Arial"/>
                <w:color w:val="FF0000"/>
                <w:sz w:val="24"/>
                <w:szCs w:val="24"/>
                <w:lang w:val="en-US"/>
              </w:rPr>
              <w:t xml:space="preserve">line fluids in the resuscitation of hypotensive patients. Human albumin may be used for the treatment of ACLF patients requiring substantial amounts of fluids and vasopressors. </w:t>
            </w:r>
          </w:p>
        </w:tc>
      </w:tr>
      <w:tr w:rsidR="00893F61" w:rsidRPr="005D664F" w14:paraId="6A2CE7B8" w14:textId="77777777" w:rsidTr="00CF0108">
        <w:tc>
          <w:tcPr>
            <w:tcW w:w="15874" w:type="dxa"/>
          </w:tcPr>
          <w:p w14:paraId="701D0ECE" w14:textId="77777777" w:rsidR="00893F61" w:rsidRPr="00BE7172" w:rsidRDefault="00893F61" w:rsidP="00CF0108">
            <w:pPr>
              <w:overflowPunct w:val="0"/>
              <w:autoSpaceDE w:val="0"/>
              <w:adjustRightInd w:val="0"/>
              <w:spacing w:line="480" w:lineRule="auto"/>
              <w:rPr>
                <w:rFonts w:ascii="Arial" w:hAnsi="Arial" w:cs="Arial"/>
                <w:color w:val="FF0000"/>
                <w:sz w:val="24"/>
                <w:szCs w:val="24"/>
                <w:lang w:val="en-US"/>
              </w:rPr>
            </w:pPr>
            <w:r w:rsidRPr="00BE7172">
              <w:rPr>
                <w:rFonts w:ascii="Arial" w:hAnsi="Arial" w:cs="Arial"/>
                <w:color w:val="FF0000"/>
                <w:sz w:val="24"/>
                <w:szCs w:val="24"/>
                <w:lang w:val="en-US"/>
              </w:rPr>
              <w:t xml:space="preserve">Administration of fluids should be guided by dynamic parameters including response to passive leg </w:t>
            </w:r>
            <w:proofErr w:type="gramStart"/>
            <w:r w:rsidRPr="00BE7172">
              <w:rPr>
                <w:rFonts w:ascii="Arial" w:hAnsi="Arial" w:cs="Arial"/>
                <w:color w:val="FF0000"/>
                <w:sz w:val="24"/>
                <w:szCs w:val="24"/>
                <w:lang w:val="en-US"/>
              </w:rPr>
              <w:t>raising,</w:t>
            </w:r>
            <w:proofErr w:type="gramEnd"/>
            <w:r w:rsidRPr="00BE7172">
              <w:rPr>
                <w:rFonts w:ascii="Arial" w:hAnsi="Arial" w:cs="Arial"/>
                <w:color w:val="FF0000"/>
                <w:sz w:val="24"/>
                <w:szCs w:val="24"/>
                <w:lang w:val="en-US"/>
              </w:rPr>
              <w:t xml:space="preserve"> stroke volume or pulse pressure variation and echocardiography. </w:t>
            </w:r>
          </w:p>
          <w:p w14:paraId="25CDFB42" w14:textId="77777777" w:rsidR="00893F61" w:rsidRPr="00BE7172" w:rsidRDefault="00893F61" w:rsidP="00CF0108">
            <w:pPr>
              <w:overflowPunct w:val="0"/>
              <w:autoSpaceDE w:val="0"/>
              <w:adjustRightInd w:val="0"/>
              <w:spacing w:line="480" w:lineRule="auto"/>
              <w:rPr>
                <w:rFonts w:ascii="Arial" w:hAnsi="Arial" w:cs="Arial"/>
                <w:color w:val="FF0000"/>
                <w:sz w:val="24"/>
                <w:szCs w:val="24"/>
                <w:lang w:val="en-US"/>
              </w:rPr>
            </w:pPr>
            <w:r w:rsidRPr="00BE7172">
              <w:rPr>
                <w:rFonts w:ascii="Arial" w:hAnsi="Arial" w:cs="Arial"/>
                <w:color w:val="FF0000"/>
                <w:sz w:val="24"/>
                <w:szCs w:val="24"/>
                <w:lang w:val="en-US"/>
              </w:rPr>
              <w:t>Static parameters (central venous pressure) are of less value.</w:t>
            </w:r>
          </w:p>
        </w:tc>
      </w:tr>
      <w:tr w:rsidR="00893F61" w:rsidRPr="005D664F" w14:paraId="582BA968" w14:textId="77777777" w:rsidTr="00CF0108">
        <w:tc>
          <w:tcPr>
            <w:tcW w:w="15874" w:type="dxa"/>
          </w:tcPr>
          <w:p w14:paraId="57C26864"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Goals of resuscitation: 1. Maintain a mean arterial pressure (MAP) equal or more than 65 mm Hg (macrocirculation). 2. Normalize serum lactate levels (microcirculation). 3. Normalize peripheral perfusion (capillary refill time and mottling score).</w:t>
            </w:r>
          </w:p>
        </w:tc>
      </w:tr>
      <w:tr w:rsidR="00893F61" w:rsidRPr="005D664F" w14:paraId="3A30873C" w14:textId="77777777" w:rsidTr="00CF0108">
        <w:tc>
          <w:tcPr>
            <w:tcW w:w="15874" w:type="dxa"/>
          </w:tcPr>
          <w:p w14:paraId="1E0ED5E5"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Norepinephrine is the vasopressor of choice in patients with septic shock (first-line vasopressor).</w:t>
            </w:r>
          </w:p>
        </w:tc>
      </w:tr>
      <w:tr w:rsidR="00893F61" w:rsidRPr="005D664F" w14:paraId="6DB1EE26" w14:textId="77777777" w:rsidTr="00CF0108">
        <w:tc>
          <w:tcPr>
            <w:tcW w:w="15874" w:type="dxa"/>
          </w:tcPr>
          <w:p w14:paraId="72C0E8D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Continuous infusion of terlipressin or vasopressin should be started when MAP is inadequate despite moderate doses of norepinephrine. </w:t>
            </w:r>
          </w:p>
        </w:tc>
      </w:tr>
      <w:tr w:rsidR="00893F61" w:rsidRPr="005D664F" w14:paraId="471AE18F" w14:textId="77777777" w:rsidTr="00CF0108">
        <w:tc>
          <w:tcPr>
            <w:tcW w:w="15874" w:type="dxa"/>
          </w:tcPr>
          <w:p w14:paraId="5E0A2AD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rPr>
              <w:t>S</w:t>
            </w:r>
            <w:proofErr w:type="spellStart"/>
            <w:r w:rsidRPr="00BE7172">
              <w:rPr>
                <w:rFonts w:ascii="Arial" w:hAnsi="Arial" w:cs="Arial"/>
                <w:color w:val="FF0000"/>
                <w:sz w:val="24"/>
                <w:szCs w:val="24"/>
                <w:lang w:val="en-US"/>
              </w:rPr>
              <w:t>teroids</w:t>
            </w:r>
            <w:proofErr w:type="spellEnd"/>
            <w:r w:rsidRPr="00BE7172">
              <w:rPr>
                <w:rFonts w:ascii="Arial" w:hAnsi="Arial" w:cs="Arial"/>
                <w:color w:val="FF0000"/>
                <w:sz w:val="24"/>
                <w:szCs w:val="24"/>
                <w:lang w:val="en-US"/>
              </w:rPr>
              <w:t xml:space="preserve"> (hydrocortisone 200 mg/d) might be administered in patients with ongoing requirement of vasopressor therapy (norepinephrine &gt;0.25 µg/kg/min).</w:t>
            </w:r>
          </w:p>
        </w:tc>
      </w:tr>
      <w:tr w:rsidR="00893F61" w:rsidRPr="005D664F" w14:paraId="18E1E53D" w14:textId="77777777" w:rsidTr="00CF0108">
        <w:tc>
          <w:tcPr>
            <w:tcW w:w="15874" w:type="dxa"/>
          </w:tcPr>
          <w:p w14:paraId="6D4C0828"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Transfusion policy: threshold for red blood cell transfusion is Hb &lt;70 g/l. Less restrictive approaches could be need (Hb &lt;80 g/l) if microcirculation is altered. </w:t>
            </w:r>
          </w:p>
        </w:tc>
      </w:tr>
      <w:tr w:rsidR="00893F61" w:rsidRPr="005D664F" w14:paraId="5B521C8A" w14:textId="77777777" w:rsidTr="00CF0108">
        <w:tc>
          <w:tcPr>
            <w:tcW w:w="15874" w:type="dxa"/>
          </w:tcPr>
          <w:p w14:paraId="2D240EA2" w14:textId="77777777" w:rsidR="00893F61" w:rsidRPr="00BE7172" w:rsidRDefault="00893F61" w:rsidP="00CF0108">
            <w:pPr>
              <w:spacing w:line="480" w:lineRule="auto"/>
              <w:rPr>
                <w:rFonts w:ascii="Arial" w:eastAsia="Times New Roman" w:hAnsi="Arial" w:cs="Arial"/>
                <w:color w:val="FF0000"/>
                <w:sz w:val="24"/>
                <w:szCs w:val="24"/>
                <w:lang w:val="en-US" w:eastAsia="es-ES_tradnl"/>
              </w:rPr>
            </w:pPr>
            <w:r w:rsidRPr="00BE7172">
              <w:rPr>
                <w:rFonts w:ascii="Arial" w:hAnsi="Arial" w:cs="Arial"/>
                <w:color w:val="FF0000"/>
                <w:sz w:val="24"/>
                <w:szCs w:val="24"/>
                <w:lang w:val="en-US"/>
              </w:rPr>
              <w:t xml:space="preserve">Deep vein thrombosis prophylaxis is recommended in this setting. The selection between LMWH or </w:t>
            </w:r>
            <w:r w:rsidRPr="00BE7172">
              <w:rPr>
                <w:rFonts w:ascii="Arial" w:hAnsi="Arial" w:cs="Arial"/>
                <w:color w:val="FF0000"/>
                <w:sz w:val="24"/>
                <w:szCs w:val="24"/>
                <w:shd w:val="clear" w:color="auto" w:fill="FFFFFF"/>
              </w:rPr>
              <w:t xml:space="preserve">intermittent </w:t>
            </w:r>
            <w:proofErr w:type="spellStart"/>
            <w:r w:rsidRPr="00BE7172">
              <w:rPr>
                <w:rFonts w:ascii="Arial" w:hAnsi="Arial" w:cs="Arial"/>
                <w:color w:val="FF0000"/>
                <w:sz w:val="24"/>
                <w:szCs w:val="24"/>
                <w:shd w:val="clear" w:color="auto" w:fill="FFFFFF"/>
              </w:rPr>
              <w:t>pneumatic</w:t>
            </w:r>
            <w:proofErr w:type="spellEnd"/>
            <w:r w:rsidRPr="00BE7172">
              <w:rPr>
                <w:rFonts w:ascii="Arial" w:hAnsi="Arial" w:cs="Arial"/>
                <w:color w:val="FF0000"/>
                <w:sz w:val="24"/>
                <w:szCs w:val="24"/>
                <w:shd w:val="clear" w:color="auto" w:fill="FFFFFF"/>
              </w:rPr>
              <w:t xml:space="preserve"> compression </w:t>
            </w:r>
            <w:proofErr w:type="spellStart"/>
            <w:r w:rsidRPr="00BE7172">
              <w:rPr>
                <w:rFonts w:ascii="Arial" w:hAnsi="Arial" w:cs="Arial"/>
                <w:color w:val="FF0000"/>
                <w:sz w:val="24"/>
                <w:szCs w:val="24"/>
                <w:shd w:val="clear" w:color="auto" w:fill="FFFFFF"/>
              </w:rPr>
              <w:t>devices</w:t>
            </w:r>
            <w:proofErr w:type="spellEnd"/>
            <w:r w:rsidRPr="00BE7172">
              <w:rPr>
                <w:rFonts w:ascii="Arial" w:hAnsi="Arial" w:cs="Arial"/>
                <w:color w:val="FF0000"/>
                <w:sz w:val="24"/>
                <w:szCs w:val="24"/>
                <w:shd w:val="clear" w:color="auto" w:fill="FFFFFF"/>
              </w:rPr>
              <w:t xml:space="preserve"> </w:t>
            </w:r>
            <w:r w:rsidRPr="00BE7172">
              <w:rPr>
                <w:rFonts w:ascii="Arial" w:hAnsi="Arial" w:cs="Arial"/>
                <w:color w:val="FF0000"/>
                <w:sz w:val="24"/>
                <w:szCs w:val="24"/>
                <w:lang w:val="en-US"/>
              </w:rPr>
              <w:t>will depend on the grade of coagulopathy.</w:t>
            </w:r>
          </w:p>
        </w:tc>
      </w:tr>
      <w:tr w:rsidR="00893F61" w:rsidRPr="005D664F" w14:paraId="28D2CF02" w14:textId="77777777" w:rsidTr="00CF0108">
        <w:tc>
          <w:tcPr>
            <w:tcW w:w="15874" w:type="dxa"/>
          </w:tcPr>
          <w:p w14:paraId="781DC31B"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Stress ulcer prophylaxis with the use of PPIs is recommended meanwhile organ support is needed. Thereafter a </w:t>
            </w:r>
            <w:proofErr w:type="gramStart"/>
            <w:r w:rsidRPr="00BE7172">
              <w:rPr>
                <w:rFonts w:ascii="Arial" w:hAnsi="Arial" w:cs="Arial"/>
                <w:color w:val="FF0000"/>
                <w:sz w:val="24"/>
                <w:szCs w:val="24"/>
                <w:lang w:val="en-US"/>
              </w:rPr>
              <w:t>step by step</w:t>
            </w:r>
            <w:proofErr w:type="gramEnd"/>
            <w:r w:rsidRPr="00BE7172">
              <w:rPr>
                <w:rFonts w:ascii="Arial" w:hAnsi="Arial" w:cs="Arial"/>
                <w:color w:val="FF0000"/>
                <w:sz w:val="24"/>
                <w:szCs w:val="24"/>
                <w:lang w:val="en-US"/>
              </w:rPr>
              <w:t xml:space="preserve"> approach is suggested.</w:t>
            </w:r>
          </w:p>
        </w:tc>
      </w:tr>
      <w:tr w:rsidR="00893F61" w:rsidRPr="00286703" w14:paraId="7FCE906B" w14:textId="77777777" w:rsidTr="00CF0108">
        <w:tc>
          <w:tcPr>
            <w:tcW w:w="15874" w:type="dxa"/>
            <w:shd w:val="clear" w:color="auto" w:fill="auto"/>
          </w:tcPr>
          <w:p w14:paraId="3A5C3E4B" w14:textId="77777777" w:rsidR="00893F61" w:rsidRPr="00BE7172" w:rsidRDefault="00893F61" w:rsidP="00CF0108">
            <w:pPr>
              <w:spacing w:line="480" w:lineRule="auto"/>
              <w:rPr>
                <w:rFonts w:ascii="Arial" w:hAnsi="Arial" w:cs="Arial"/>
                <w:b/>
                <w:bCs/>
                <w:color w:val="FF0000"/>
                <w:sz w:val="24"/>
                <w:szCs w:val="24"/>
                <w:lang w:val="en-US"/>
              </w:rPr>
            </w:pPr>
            <w:r w:rsidRPr="00BE7172">
              <w:rPr>
                <w:rFonts w:ascii="Arial" w:hAnsi="Arial" w:cs="Arial"/>
                <w:b/>
                <w:bCs/>
                <w:color w:val="FF0000"/>
                <w:sz w:val="24"/>
                <w:szCs w:val="24"/>
                <w:lang w:val="en-US"/>
              </w:rPr>
              <w:lastRenderedPageBreak/>
              <w:t>Fluid therapy for conditions other than septic shock</w:t>
            </w:r>
          </w:p>
        </w:tc>
      </w:tr>
      <w:tr w:rsidR="00893F61" w:rsidRPr="005D664F" w14:paraId="7DBDAF62" w14:textId="77777777" w:rsidTr="00CF0108">
        <w:trPr>
          <w:trHeight w:val="794"/>
        </w:trPr>
        <w:tc>
          <w:tcPr>
            <w:tcW w:w="15874" w:type="dxa"/>
          </w:tcPr>
          <w:p w14:paraId="32875C85" w14:textId="77777777" w:rsidR="00893F61" w:rsidRPr="00BE7172" w:rsidRDefault="00893F61" w:rsidP="00CF0108">
            <w:pPr>
              <w:pStyle w:val="ListParagraph"/>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rPr>
              <w:t>C</w:t>
            </w:r>
            <w:proofErr w:type="spellStart"/>
            <w:r w:rsidRPr="00BE7172">
              <w:rPr>
                <w:rFonts w:ascii="Arial" w:hAnsi="Arial" w:cs="Arial"/>
                <w:color w:val="FF0000"/>
                <w:sz w:val="24"/>
                <w:szCs w:val="24"/>
                <w:lang w:val="en-US"/>
              </w:rPr>
              <w:t>rystalloids</w:t>
            </w:r>
            <w:proofErr w:type="spellEnd"/>
            <w:r w:rsidRPr="00BE7172">
              <w:rPr>
                <w:rFonts w:ascii="Arial" w:hAnsi="Arial" w:cs="Arial"/>
                <w:color w:val="FF0000"/>
                <w:sz w:val="24"/>
                <w:szCs w:val="24"/>
                <w:lang w:val="en-US"/>
              </w:rPr>
              <w:t>, preferably balanced solutions, should be used as first-line therapy in the resuscitation of hypotensive patients.</w:t>
            </w:r>
          </w:p>
          <w:p w14:paraId="0DF539B4" w14:textId="77777777" w:rsidR="00893F61" w:rsidRPr="00BE7172" w:rsidRDefault="00893F61" w:rsidP="00CF0108">
            <w:pPr>
              <w:pStyle w:val="ListParagraph"/>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Threshold for red blood cell transfusion is Hb &lt;70 g/l. </w:t>
            </w:r>
          </w:p>
          <w:p w14:paraId="13B36AA3" w14:textId="77777777" w:rsidR="00893F61" w:rsidRPr="00BE7172" w:rsidRDefault="00893F61" w:rsidP="00CF0108">
            <w:pPr>
              <w:pStyle w:val="ListParagraph"/>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Transfusion of fresh frozen plasma, platelets or fibrinogen will be guided by viscoelastic tests in bleeding patients.</w:t>
            </w:r>
          </w:p>
          <w:p w14:paraId="650EA430" w14:textId="77777777" w:rsidR="00893F61" w:rsidRPr="00BE7172" w:rsidRDefault="00893F61" w:rsidP="00CF0108">
            <w:pPr>
              <w:pStyle w:val="ListParagraph"/>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20% albumin is the fluid of choice in patients with ACLF and spontaneous bacterial peritonitis, HRS-AKI and in those requiring large volume paracentesis. </w:t>
            </w:r>
          </w:p>
        </w:tc>
      </w:tr>
      <w:tr w:rsidR="00893F61" w:rsidRPr="001A76F7" w14:paraId="6469F52F" w14:textId="77777777" w:rsidTr="00CF0108">
        <w:tc>
          <w:tcPr>
            <w:tcW w:w="15874" w:type="dxa"/>
            <w:shd w:val="clear" w:color="auto" w:fill="auto"/>
          </w:tcPr>
          <w:p w14:paraId="70FE3CA8" w14:textId="77777777" w:rsidR="00893F61" w:rsidRPr="00BE7172" w:rsidRDefault="00893F61" w:rsidP="00CF0108">
            <w:pPr>
              <w:spacing w:line="480" w:lineRule="auto"/>
              <w:rPr>
                <w:rFonts w:ascii="Arial" w:hAnsi="Arial" w:cs="Arial"/>
                <w:b/>
                <w:bCs/>
                <w:color w:val="FF0000"/>
                <w:sz w:val="24"/>
                <w:szCs w:val="24"/>
                <w:lang w:val="en-US"/>
              </w:rPr>
            </w:pPr>
            <w:r w:rsidRPr="00BE7172">
              <w:rPr>
                <w:rFonts w:ascii="Arial" w:hAnsi="Arial" w:cs="Arial"/>
                <w:b/>
                <w:bCs/>
                <w:color w:val="FF0000"/>
                <w:sz w:val="24"/>
                <w:szCs w:val="24"/>
                <w:lang w:val="en-US"/>
              </w:rPr>
              <w:t>Respiratory support</w:t>
            </w:r>
          </w:p>
        </w:tc>
      </w:tr>
      <w:tr w:rsidR="00893F61" w:rsidRPr="005D664F" w14:paraId="46F712C2" w14:textId="77777777" w:rsidTr="00CF0108">
        <w:tc>
          <w:tcPr>
            <w:tcW w:w="15874" w:type="dxa"/>
          </w:tcPr>
          <w:p w14:paraId="4FF00B87"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High flow nasal cannula is preferred over non-invasive mechanical ventilation in patients with sepsis-induced hypoxemic respiratory failure.</w:t>
            </w:r>
          </w:p>
        </w:tc>
      </w:tr>
      <w:tr w:rsidR="00893F61" w:rsidRPr="005D664F" w14:paraId="40FECEF6" w14:textId="77777777" w:rsidTr="00CF0108">
        <w:tc>
          <w:tcPr>
            <w:tcW w:w="15874" w:type="dxa"/>
          </w:tcPr>
          <w:p w14:paraId="0F9778B7"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Non-invasive mechanical ventilation is indicated in patients with hypercapnic respiratory failure.</w:t>
            </w:r>
          </w:p>
        </w:tc>
      </w:tr>
      <w:tr w:rsidR="00893F61" w:rsidRPr="005D664F" w14:paraId="32DED9AC" w14:textId="77777777" w:rsidTr="00CF0108">
        <w:tc>
          <w:tcPr>
            <w:tcW w:w="15874" w:type="dxa"/>
          </w:tcPr>
          <w:p w14:paraId="0A567BF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Protective ventilation with low tidal volumes (6 ml/kg) and low plateau (&lt;30 cm H</w:t>
            </w:r>
            <w:r w:rsidRPr="00BE7172">
              <w:rPr>
                <w:rFonts w:ascii="Arial" w:hAnsi="Arial" w:cs="Arial"/>
                <w:color w:val="FF0000"/>
                <w:sz w:val="24"/>
                <w:szCs w:val="24"/>
                <w:vertAlign w:val="subscript"/>
                <w:lang w:val="en-US"/>
              </w:rPr>
              <w:t>2</w:t>
            </w:r>
            <w:r w:rsidRPr="00BE7172">
              <w:rPr>
                <w:rFonts w:ascii="Arial" w:hAnsi="Arial" w:cs="Arial"/>
                <w:color w:val="FF0000"/>
                <w:sz w:val="24"/>
                <w:szCs w:val="24"/>
                <w:lang w:val="en-US"/>
              </w:rPr>
              <w:t>O) and driving pressures (plateau pressure-PEEP &lt;15 cm H</w:t>
            </w:r>
            <w:r w:rsidRPr="00BE7172">
              <w:rPr>
                <w:rFonts w:ascii="Arial" w:hAnsi="Arial" w:cs="Arial"/>
                <w:color w:val="FF0000"/>
                <w:sz w:val="24"/>
                <w:szCs w:val="24"/>
                <w:vertAlign w:val="subscript"/>
                <w:lang w:val="en-US"/>
              </w:rPr>
              <w:t>2</w:t>
            </w:r>
            <w:r w:rsidRPr="00BE7172">
              <w:rPr>
                <w:rFonts w:ascii="Arial" w:hAnsi="Arial" w:cs="Arial"/>
                <w:color w:val="FF0000"/>
                <w:sz w:val="24"/>
                <w:szCs w:val="24"/>
                <w:lang w:val="en-US"/>
              </w:rPr>
              <w:t>O). should be used in patients with acute respiratory distress syndrome (ARDS) requiring invasive mechanical ventilation.</w:t>
            </w:r>
          </w:p>
        </w:tc>
      </w:tr>
      <w:tr w:rsidR="00893F61" w:rsidRPr="005D664F" w14:paraId="104E5701" w14:textId="77777777" w:rsidTr="00CF0108">
        <w:tc>
          <w:tcPr>
            <w:tcW w:w="15874" w:type="dxa"/>
          </w:tcPr>
          <w:p w14:paraId="2A5169A3"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Oxygen saturation should range between 92% and 100%.</w:t>
            </w:r>
          </w:p>
        </w:tc>
      </w:tr>
      <w:tr w:rsidR="00893F61" w:rsidRPr="005D664F" w14:paraId="62557E97" w14:textId="77777777" w:rsidTr="00CF0108">
        <w:tc>
          <w:tcPr>
            <w:tcW w:w="15874" w:type="dxa"/>
          </w:tcPr>
          <w:p w14:paraId="286C6B1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rPr>
              <w:t>H</w:t>
            </w:r>
            <w:proofErr w:type="spellStart"/>
            <w:r w:rsidRPr="00BE7172">
              <w:rPr>
                <w:rFonts w:ascii="Arial" w:hAnsi="Arial" w:cs="Arial"/>
                <w:color w:val="FF0000"/>
                <w:sz w:val="24"/>
                <w:szCs w:val="24"/>
                <w:lang w:val="en-US"/>
              </w:rPr>
              <w:t>ighly</w:t>
            </w:r>
            <w:proofErr w:type="spellEnd"/>
            <w:r w:rsidRPr="00BE7172">
              <w:rPr>
                <w:rFonts w:ascii="Arial" w:hAnsi="Arial" w:cs="Arial"/>
                <w:color w:val="FF0000"/>
                <w:sz w:val="24"/>
                <w:szCs w:val="24"/>
                <w:lang w:val="en-US"/>
              </w:rPr>
              <w:t xml:space="preserve"> selected ACLF patients with refractory hypoxemia (PaFiO</w:t>
            </w:r>
            <w:r w:rsidRPr="00BE7172">
              <w:rPr>
                <w:rFonts w:ascii="Arial" w:hAnsi="Arial" w:cs="Arial"/>
                <w:color w:val="FF0000"/>
                <w:sz w:val="24"/>
                <w:szCs w:val="24"/>
                <w:vertAlign w:val="subscript"/>
                <w:lang w:val="en-US"/>
              </w:rPr>
              <w:t>2</w:t>
            </w:r>
            <w:r w:rsidRPr="00BE7172">
              <w:rPr>
                <w:rFonts w:ascii="Arial" w:hAnsi="Arial" w:cs="Arial"/>
                <w:color w:val="FF0000"/>
                <w:sz w:val="24"/>
                <w:szCs w:val="24"/>
                <w:lang w:val="en-US"/>
              </w:rPr>
              <w:t xml:space="preserve"> &lt;150) could benefit from prone position. It should be indicated early and maintained for at least 16h-24 h. </w:t>
            </w:r>
          </w:p>
        </w:tc>
      </w:tr>
      <w:tr w:rsidR="00893F61" w:rsidRPr="005D664F" w14:paraId="1007C171" w14:textId="77777777" w:rsidTr="00CF0108">
        <w:tc>
          <w:tcPr>
            <w:tcW w:w="15874" w:type="dxa"/>
          </w:tcPr>
          <w:p w14:paraId="04E63EE6"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Early extracorporeal membrane oxygenation (ECMO) is contraindicated (futile intervention) in the majority of ACLF patients with ARDS and refractory hypoxemia or hypercapnia due to the high mortality of these patients.</w:t>
            </w:r>
          </w:p>
        </w:tc>
      </w:tr>
      <w:tr w:rsidR="00893F61" w:rsidRPr="005D664F" w14:paraId="2CC60A36" w14:textId="77777777" w:rsidTr="00CF0108">
        <w:tc>
          <w:tcPr>
            <w:tcW w:w="15874" w:type="dxa"/>
          </w:tcPr>
          <w:p w14:paraId="1494D542"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Tracheostomy should only be performed in highly selected patients on prolonged invasive mechanical ventilation (10-14 days). </w:t>
            </w:r>
          </w:p>
        </w:tc>
      </w:tr>
      <w:tr w:rsidR="00893F61" w:rsidRPr="005D664F" w14:paraId="5F6E4C0A" w14:textId="77777777" w:rsidTr="00CF0108">
        <w:tc>
          <w:tcPr>
            <w:tcW w:w="15874" w:type="dxa"/>
          </w:tcPr>
          <w:p w14:paraId="44828D2A"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lastRenderedPageBreak/>
              <w:t>Slight sedation using short half-life drugs (propofol and fentanyl or remifentanil) is recommended in patients requiring invasive mechanical ventilation.</w:t>
            </w:r>
          </w:p>
        </w:tc>
      </w:tr>
      <w:tr w:rsidR="00893F61" w:rsidRPr="005D664F" w14:paraId="205233DB" w14:textId="77777777" w:rsidTr="00CF0108">
        <w:tc>
          <w:tcPr>
            <w:tcW w:w="15874" w:type="dxa"/>
          </w:tcPr>
          <w:p w14:paraId="2567F5EC"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Daily passive mobilization is recommended. Active physiotherapy should be avoided until clinical stabilization. </w:t>
            </w:r>
          </w:p>
        </w:tc>
      </w:tr>
      <w:tr w:rsidR="00893F61" w:rsidRPr="001644EB" w14:paraId="5B80702E" w14:textId="77777777" w:rsidTr="00CF0108">
        <w:tc>
          <w:tcPr>
            <w:tcW w:w="15874" w:type="dxa"/>
            <w:shd w:val="clear" w:color="auto" w:fill="auto"/>
          </w:tcPr>
          <w:p w14:paraId="0C9C193A" w14:textId="77777777" w:rsidR="00893F61" w:rsidRPr="00BE7172" w:rsidRDefault="00893F61" w:rsidP="00CF0108">
            <w:pPr>
              <w:spacing w:line="480" w:lineRule="auto"/>
              <w:rPr>
                <w:rFonts w:ascii="Arial" w:hAnsi="Arial" w:cs="Arial"/>
                <w:b/>
                <w:bCs/>
                <w:color w:val="FF0000"/>
                <w:sz w:val="24"/>
                <w:szCs w:val="24"/>
                <w:lang w:val="en-US"/>
              </w:rPr>
            </w:pPr>
            <w:r w:rsidRPr="00BE7172">
              <w:rPr>
                <w:rFonts w:ascii="Arial" w:hAnsi="Arial" w:cs="Arial"/>
                <w:b/>
                <w:bCs/>
                <w:color w:val="FF0000"/>
                <w:sz w:val="24"/>
                <w:szCs w:val="24"/>
                <w:lang w:val="en-US"/>
              </w:rPr>
              <w:t>Management of kidney failure</w:t>
            </w:r>
          </w:p>
        </w:tc>
      </w:tr>
      <w:tr w:rsidR="00893F61" w:rsidRPr="005D664F" w14:paraId="1A82A377" w14:textId="77777777" w:rsidTr="00CF0108">
        <w:tc>
          <w:tcPr>
            <w:tcW w:w="15874" w:type="dxa"/>
          </w:tcPr>
          <w:p w14:paraId="695C71B2"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Patients with HRS-AKI should be treated with vasopressors (mainly terlipressin in continuous infusion) plus albumin.</w:t>
            </w:r>
          </w:p>
        </w:tc>
      </w:tr>
      <w:tr w:rsidR="00893F61" w:rsidRPr="005D664F" w14:paraId="6015B4DE" w14:textId="77777777" w:rsidTr="00CF0108">
        <w:tc>
          <w:tcPr>
            <w:tcW w:w="15874" w:type="dxa"/>
          </w:tcPr>
          <w:p w14:paraId="20C5D1FE"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Continuous RRT should be started at standard doses (25-30 ml/kg/h) in patients with acute tubular necrosis and one of the following criteria: persistent hyperkalemia (&gt;6.5 mmol/l), persistent metabolic acidosis (pH &lt;7.2), therapy-resistant fluid overload, anuria (&lt;50 m/l12 h).</w:t>
            </w:r>
          </w:p>
        </w:tc>
      </w:tr>
      <w:tr w:rsidR="00893F61" w:rsidRPr="001644EB" w14:paraId="1ABAD39D" w14:textId="77777777" w:rsidTr="00CF0108">
        <w:tc>
          <w:tcPr>
            <w:tcW w:w="15874" w:type="dxa"/>
            <w:shd w:val="clear" w:color="auto" w:fill="auto"/>
          </w:tcPr>
          <w:p w14:paraId="3BC8A04F" w14:textId="77777777" w:rsidR="00893F61" w:rsidRPr="00BE7172" w:rsidRDefault="00893F61" w:rsidP="00CF0108">
            <w:pPr>
              <w:spacing w:line="480" w:lineRule="auto"/>
              <w:rPr>
                <w:rFonts w:ascii="Arial" w:hAnsi="Arial" w:cs="Arial"/>
                <w:b/>
                <w:bCs/>
                <w:color w:val="FF0000"/>
                <w:sz w:val="24"/>
                <w:szCs w:val="24"/>
                <w:lang w:val="en-US"/>
              </w:rPr>
            </w:pPr>
            <w:r w:rsidRPr="00BE7172">
              <w:rPr>
                <w:rFonts w:ascii="Arial" w:hAnsi="Arial" w:cs="Arial"/>
                <w:b/>
                <w:bCs/>
                <w:color w:val="FF0000"/>
                <w:sz w:val="24"/>
                <w:szCs w:val="24"/>
                <w:lang w:val="en-US"/>
              </w:rPr>
              <w:t>Prevention of second infections</w:t>
            </w:r>
          </w:p>
        </w:tc>
      </w:tr>
      <w:tr w:rsidR="00893F61" w:rsidRPr="005D664F" w14:paraId="30B520BE" w14:textId="77777777" w:rsidTr="00CF0108">
        <w:tc>
          <w:tcPr>
            <w:tcW w:w="15874" w:type="dxa"/>
          </w:tcPr>
          <w:p w14:paraId="0C54EA81"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 xml:space="preserve">Bundles aimed to prevent catheter-related </w:t>
            </w:r>
            <w:proofErr w:type="spellStart"/>
            <w:r w:rsidRPr="00BE7172">
              <w:rPr>
                <w:rFonts w:ascii="Arial" w:hAnsi="Arial" w:cs="Arial"/>
                <w:color w:val="FF0000"/>
                <w:sz w:val="24"/>
                <w:szCs w:val="24"/>
                <w:lang w:val="en-US"/>
              </w:rPr>
              <w:t>infections</w:t>
            </w:r>
            <w:r w:rsidRPr="00BE7172">
              <w:rPr>
                <w:rFonts w:ascii="Arial" w:hAnsi="Arial" w:cs="Arial"/>
                <w:i/>
                <w:color w:val="FF0000"/>
                <w:sz w:val="24"/>
                <w:szCs w:val="24"/>
                <w:vertAlign w:val="superscript"/>
                <w:lang w:val="en-US"/>
              </w:rPr>
              <w:t>c</w:t>
            </w:r>
            <w:proofErr w:type="spellEnd"/>
            <w:r w:rsidRPr="00BE7172">
              <w:rPr>
                <w:rFonts w:ascii="Arial" w:hAnsi="Arial" w:cs="Arial"/>
                <w:color w:val="FF0000"/>
                <w:sz w:val="24"/>
                <w:szCs w:val="24"/>
                <w:lang w:val="en-US"/>
              </w:rPr>
              <w:t xml:space="preserve"> and ventilator-associated </w:t>
            </w:r>
            <w:proofErr w:type="spellStart"/>
            <w:r w:rsidRPr="00BE7172">
              <w:rPr>
                <w:rFonts w:ascii="Arial" w:hAnsi="Arial" w:cs="Arial"/>
                <w:color w:val="FF0000"/>
                <w:sz w:val="24"/>
                <w:szCs w:val="24"/>
                <w:lang w:val="en-US"/>
              </w:rPr>
              <w:t>pneumonia</w:t>
            </w:r>
            <w:r w:rsidRPr="00BE7172">
              <w:rPr>
                <w:rFonts w:ascii="Arial" w:hAnsi="Arial" w:cs="Arial"/>
                <w:i/>
                <w:color w:val="FF0000"/>
                <w:sz w:val="24"/>
                <w:szCs w:val="24"/>
                <w:vertAlign w:val="superscript"/>
                <w:lang w:val="en-US"/>
              </w:rPr>
              <w:t>d</w:t>
            </w:r>
            <w:proofErr w:type="spellEnd"/>
            <w:r w:rsidRPr="00BE7172">
              <w:rPr>
                <w:rFonts w:ascii="Arial" w:hAnsi="Arial" w:cs="Arial"/>
                <w:color w:val="FF0000"/>
                <w:sz w:val="24"/>
                <w:szCs w:val="24"/>
                <w:lang w:val="en-US"/>
              </w:rPr>
              <w:t xml:space="preserve"> are highly recommended in the management of ACLF patients while in the ICU.</w:t>
            </w:r>
          </w:p>
        </w:tc>
      </w:tr>
      <w:tr w:rsidR="00893F61" w:rsidRPr="005D664F" w14:paraId="72C2937D" w14:textId="77777777" w:rsidTr="00CF0108">
        <w:trPr>
          <w:trHeight w:val="324"/>
        </w:trPr>
        <w:tc>
          <w:tcPr>
            <w:tcW w:w="15874" w:type="dxa"/>
          </w:tcPr>
          <w:p w14:paraId="2FB5F69C"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The impact of decolonization strategies (oral non-absorbable antibiotics) in patients colonized by resistant strains is unknown.</w:t>
            </w:r>
          </w:p>
        </w:tc>
      </w:tr>
      <w:tr w:rsidR="00893F61" w:rsidRPr="005D664F" w14:paraId="17864C22" w14:textId="77777777" w:rsidTr="00CF0108">
        <w:trPr>
          <w:trHeight w:val="324"/>
        </w:trPr>
        <w:tc>
          <w:tcPr>
            <w:tcW w:w="15874" w:type="dxa"/>
            <w:tcBorders>
              <w:bottom w:val="single" w:sz="12" w:space="0" w:color="auto"/>
            </w:tcBorders>
          </w:tcPr>
          <w:p w14:paraId="2DA113EE"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Patients with ACLF and additional risk factors for invasive aspergillosis (severe alcoholic hepatitis, poor liver function and prolonged steroid therapy). can benefit from the periodic determination of galactomannan antigen and from antifungal prophylaxis (i.e., nebulized amphotericin or echinocandins).</w:t>
            </w:r>
          </w:p>
        </w:tc>
      </w:tr>
      <w:tr w:rsidR="00893F61" w:rsidRPr="005D664F" w14:paraId="689D92D0" w14:textId="77777777" w:rsidTr="00CF0108">
        <w:trPr>
          <w:trHeight w:val="324"/>
        </w:trPr>
        <w:tc>
          <w:tcPr>
            <w:tcW w:w="15874" w:type="dxa"/>
            <w:tcBorders>
              <w:top w:val="single" w:sz="12" w:space="0" w:color="auto"/>
            </w:tcBorders>
          </w:tcPr>
          <w:p w14:paraId="16237072" w14:textId="77777777" w:rsidR="00893F61" w:rsidRPr="00BE7172" w:rsidRDefault="00893F61" w:rsidP="00CF0108">
            <w:pPr>
              <w:pStyle w:val="ListParagraph"/>
              <w:spacing w:line="480" w:lineRule="auto"/>
              <w:ind w:left="0"/>
              <w:contextualSpacing w:val="0"/>
              <w:rPr>
                <w:rFonts w:ascii="Arial" w:hAnsi="Arial" w:cs="Arial"/>
                <w:color w:val="FF0000"/>
                <w:sz w:val="24"/>
                <w:szCs w:val="24"/>
                <w:lang w:val="en-US"/>
              </w:rPr>
            </w:pPr>
            <w:r w:rsidRPr="00BE7172">
              <w:rPr>
                <w:rFonts w:ascii="Arial" w:hAnsi="Arial" w:cs="Arial"/>
                <w:color w:val="FF0000"/>
                <w:sz w:val="24"/>
                <w:szCs w:val="24"/>
                <w:lang w:val="en-US"/>
              </w:rPr>
              <w:t>MALDI-TOF MS denotes matrix-assisted laser desorption ionization-time of flight mass spectrometry, Hb hemoglobin, LMWH low molecular weight heparin, HRS-AKI hepatorenal syndrome-acute kidney injury, PPIs proton-pump inhibitors, RRT renal replacement therapy, and ICU intensive care unit.</w:t>
            </w:r>
          </w:p>
        </w:tc>
      </w:tr>
      <w:tr w:rsidR="00893F61" w:rsidRPr="005D664F" w14:paraId="6CFFEA0E" w14:textId="77777777" w:rsidTr="00CF0108">
        <w:trPr>
          <w:trHeight w:val="324"/>
        </w:trPr>
        <w:tc>
          <w:tcPr>
            <w:tcW w:w="15874" w:type="dxa"/>
          </w:tcPr>
          <w:p w14:paraId="001627C2"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color w:val="FF0000"/>
                <w:sz w:val="24"/>
                <w:szCs w:val="24"/>
                <w:lang w:val="en-US"/>
              </w:rPr>
            </w:pPr>
            <w:r w:rsidRPr="00BE7172">
              <w:rPr>
                <w:rFonts w:ascii="Arial" w:hAnsi="Arial" w:cs="Arial"/>
                <w:i/>
                <w:color w:val="FF0000"/>
                <w:sz w:val="24"/>
                <w:szCs w:val="24"/>
                <w:vertAlign w:val="superscript"/>
                <w:lang w:val="en-US"/>
              </w:rPr>
              <w:lastRenderedPageBreak/>
              <w:t>a</w:t>
            </w:r>
            <w:r w:rsidRPr="00BE7172">
              <w:rPr>
                <w:rFonts w:ascii="Arial" w:hAnsi="Arial" w:cs="Arial"/>
                <w:color w:val="FF0000"/>
                <w:sz w:val="24"/>
                <w:szCs w:val="24"/>
                <w:lang w:val="en-US"/>
              </w:rPr>
              <w:t xml:space="preserve"> </w:t>
            </w:r>
            <w:r w:rsidRPr="00BE7172">
              <w:rPr>
                <w:rFonts w:ascii="Arial" w:eastAsia="MS Mincho" w:hAnsi="Arial" w:cs="Arial"/>
                <w:color w:val="FF0000"/>
                <w:sz w:val="24"/>
                <w:szCs w:val="24"/>
                <w:lang w:val="en-US" w:eastAsia="es-ES"/>
              </w:rPr>
              <w:t>Except for</w:t>
            </w:r>
            <w:r w:rsidRPr="00BE7172">
              <w:rPr>
                <w:rFonts w:ascii="Arial" w:eastAsia="MS PGothic" w:hAnsi="Arial" w:cs="Arial"/>
                <w:color w:val="FF0000"/>
                <w:kern w:val="24"/>
                <w:sz w:val="24"/>
                <w:szCs w:val="24"/>
                <w:lang w:val="en-US"/>
              </w:rPr>
              <w:t xml:space="preserve"> </w:t>
            </w:r>
            <w:r w:rsidRPr="00BE7172">
              <w:rPr>
                <w:rFonts w:ascii="Arial" w:eastAsia="MS Mincho" w:hAnsi="Arial" w:cs="Arial"/>
                <w:color w:val="FF0000"/>
                <w:sz w:val="24"/>
                <w:szCs w:val="24"/>
                <w:lang w:val="en-US"/>
              </w:rPr>
              <w:t>infections caused by S. aureus, intracellular strains, fungal infection, abscesses, parapneumonic empyema, biofilm formation or infections with predefined duration of treatment.</w:t>
            </w:r>
          </w:p>
        </w:tc>
      </w:tr>
      <w:tr w:rsidR="00893F61" w:rsidRPr="005D664F" w14:paraId="486AE04C" w14:textId="77777777" w:rsidTr="00CF0108">
        <w:trPr>
          <w:trHeight w:val="324"/>
        </w:trPr>
        <w:tc>
          <w:tcPr>
            <w:tcW w:w="15874" w:type="dxa"/>
          </w:tcPr>
          <w:p w14:paraId="30C31E37"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i/>
                <w:color w:val="FF0000"/>
                <w:sz w:val="24"/>
                <w:szCs w:val="24"/>
                <w:vertAlign w:val="superscript"/>
                <w:lang w:val="en-US"/>
              </w:rPr>
            </w:pPr>
            <w:r w:rsidRPr="00BE7172">
              <w:rPr>
                <w:rFonts w:ascii="Arial" w:hAnsi="Arial" w:cs="Arial"/>
                <w:i/>
                <w:color w:val="FF0000"/>
                <w:sz w:val="24"/>
                <w:szCs w:val="24"/>
                <w:vertAlign w:val="superscript"/>
                <w:lang w:val="en-US"/>
              </w:rPr>
              <w:t>b</w:t>
            </w:r>
            <w:r w:rsidRPr="00BE7172">
              <w:rPr>
                <w:rFonts w:ascii="Arial" w:hAnsi="Arial" w:cs="Arial"/>
                <w:color w:val="FF0000"/>
                <w:sz w:val="24"/>
                <w:szCs w:val="24"/>
                <w:lang w:val="en-US"/>
              </w:rPr>
              <w:t xml:space="preserve"> Multiple colonization, parenteral nutrition, renal replacement therapy, steroids, long ICU stay.</w:t>
            </w:r>
          </w:p>
        </w:tc>
      </w:tr>
      <w:tr w:rsidR="00893F61" w:rsidRPr="005D664F" w14:paraId="7088E7D5" w14:textId="77777777" w:rsidTr="00CF0108">
        <w:trPr>
          <w:trHeight w:val="324"/>
        </w:trPr>
        <w:tc>
          <w:tcPr>
            <w:tcW w:w="15874" w:type="dxa"/>
          </w:tcPr>
          <w:p w14:paraId="472BA5EA" w14:textId="0E59BD3D"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i/>
                <w:color w:val="FF0000"/>
                <w:sz w:val="24"/>
                <w:szCs w:val="24"/>
                <w:vertAlign w:val="superscript"/>
                <w:lang w:val="en-US"/>
              </w:rPr>
            </w:pPr>
            <w:r w:rsidRPr="00BE7172">
              <w:rPr>
                <w:rFonts w:ascii="Arial" w:hAnsi="Arial" w:cs="Arial"/>
                <w:i/>
                <w:color w:val="FF0000"/>
                <w:sz w:val="24"/>
                <w:szCs w:val="24"/>
                <w:vertAlign w:val="superscript"/>
                <w:lang w:val="en-US"/>
              </w:rPr>
              <w:t>c</w:t>
            </w:r>
            <w:r w:rsidRPr="00BE7172">
              <w:rPr>
                <w:rFonts w:ascii="Arial" w:hAnsi="Arial" w:cs="Arial"/>
                <w:color w:val="FF0000"/>
                <w:sz w:val="24"/>
                <w:szCs w:val="24"/>
                <w:vertAlign w:val="superscript"/>
                <w:lang w:val="en-US"/>
              </w:rPr>
              <w:t xml:space="preserve"> </w:t>
            </w:r>
            <w:r w:rsidRPr="00BE7172">
              <w:rPr>
                <w:rFonts w:ascii="Arial" w:hAnsi="Arial" w:cs="Arial"/>
                <w:color w:val="FF0000"/>
                <w:sz w:val="24"/>
                <w:szCs w:val="24"/>
                <w:lang w:val="en-US"/>
              </w:rPr>
              <w:t>Adequate hand hygiene, use of alcohol/chlorhexidine-containing skin antiseptics with sterile dressing, maximal sterile barrier precautions, catheter insertion site selection (subclavian &gt; jugular &gt; femoral), timely central line removal</w:t>
            </w:r>
            <w:r w:rsidR="00E72460" w:rsidRPr="00BE7172">
              <w:rPr>
                <w:rFonts w:ascii="Arial" w:hAnsi="Arial" w:cs="Arial"/>
                <w:color w:val="FF0000"/>
                <w:sz w:val="24"/>
                <w:szCs w:val="24"/>
                <w:lang w:val="en-US"/>
              </w:rPr>
              <w:t>.</w:t>
            </w:r>
          </w:p>
        </w:tc>
      </w:tr>
      <w:tr w:rsidR="00893F61" w:rsidRPr="005D664F" w14:paraId="6B818DE8" w14:textId="77777777" w:rsidTr="00CF0108">
        <w:trPr>
          <w:trHeight w:val="324"/>
        </w:trPr>
        <w:tc>
          <w:tcPr>
            <w:tcW w:w="15874" w:type="dxa"/>
          </w:tcPr>
          <w:p w14:paraId="4F32D0D0" w14:textId="77777777" w:rsidR="00893F61" w:rsidRPr="00BE7172" w:rsidRDefault="00893F61" w:rsidP="00893F61">
            <w:pPr>
              <w:pStyle w:val="ListParagraph"/>
              <w:numPr>
                <w:ilvl w:val="0"/>
                <w:numId w:val="1"/>
              </w:numPr>
              <w:overflowPunct w:val="0"/>
              <w:autoSpaceDE w:val="0"/>
              <w:adjustRightInd w:val="0"/>
              <w:spacing w:line="480" w:lineRule="auto"/>
              <w:ind w:left="0"/>
              <w:contextualSpacing w:val="0"/>
              <w:rPr>
                <w:rFonts w:ascii="Arial" w:hAnsi="Arial" w:cs="Arial"/>
                <w:i/>
                <w:color w:val="FF0000"/>
                <w:sz w:val="24"/>
                <w:szCs w:val="24"/>
                <w:vertAlign w:val="superscript"/>
                <w:lang w:val="en-US"/>
              </w:rPr>
            </w:pPr>
            <w:r w:rsidRPr="00BE7172">
              <w:rPr>
                <w:rFonts w:ascii="Arial" w:hAnsi="Arial" w:cs="Arial"/>
                <w:i/>
                <w:color w:val="FF0000"/>
                <w:sz w:val="24"/>
                <w:szCs w:val="24"/>
                <w:vertAlign w:val="superscript"/>
                <w:lang w:val="en-US"/>
              </w:rPr>
              <w:t>d</w:t>
            </w:r>
            <w:r w:rsidRPr="00BE7172">
              <w:rPr>
                <w:rFonts w:ascii="Arial" w:hAnsi="Arial" w:cs="Arial"/>
                <w:color w:val="FF0000"/>
                <w:sz w:val="24"/>
                <w:szCs w:val="24"/>
                <w:lang w:val="en-US"/>
              </w:rPr>
              <w:t xml:space="preserve"> Elevation of the head of de bed (&gt;30º), oral washing with chlorhexidine, subglottic suctioning, maintaining endotracheal cuff pressure at 25 cm H</w:t>
            </w:r>
            <w:r w:rsidRPr="00BE7172">
              <w:rPr>
                <w:rFonts w:ascii="Arial" w:hAnsi="Arial" w:cs="Arial"/>
                <w:color w:val="FF0000"/>
                <w:sz w:val="24"/>
                <w:szCs w:val="24"/>
                <w:vertAlign w:val="subscript"/>
                <w:lang w:val="en-US"/>
              </w:rPr>
              <w:t>2</w:t>
            </w:r>
            <w:r w:rsidRPr="00BE7172">
              <w:rPr>
                <w:rFonts w:ascii="Arial" w:hAnsi="Arial" w:cs="Arial"/>
                <w:color w:val="FF0000"/>
                <w:sz w:val="24"/>
                <w:szCs w:val="24"/>
                <w:lang w:val="en-US"/>
              </w:rPr>
              <w:t>O.</w:t>
            </w:r>
          </w:p>
        </w:tc>
      </w:tr>
    </w:tbl>
    <w:p w14:paraId="642DEF05" w14:textId="77777777" w:rsidR="00893F61" w:rsidRDefault="00893F61" w:rsidP="00893F61">
      <w:pPr>
        <w:rPr>
          <w:lang w:val="en-US"/>
        </w:rPr>
        <w:sectPr w:rsidR="00893F61" w:rsidSect="00813461">
          <w:pgSz w:w="16838" w:h="11906" w:orient="landscape"/>
          <w:pgMar w:top="567" w:right="720" w:bottom="964" w:left="720" w:header="709" w:footer="709" w:gutter="0"/>
          <w:cols w:space="708"/>
          <w:docGrid w:linePitch="360"/>
        </w:sectPr>
      </w:pPr>
    </w:p>
    <w:p w14:paraId="513788D4" w14:textId="77777777" w:rsidR="00893F61" w:rsidRPr="00582041" w:rsidRDefault="00893F61" w:rsidP="00893F61">
      <w:pPr>
        <w:spacing w:after="0" w:line="360" w:lineRule="auto"/>
        <w:rPr>
          <w:rFonts w:ascii="Arial" w:hAnsi="Arial" w:cs="Arial"/>
          <w:b/>
          <w:sz w:val="24"/>
          <w:szCs w:val="24"/>
          <w:lang w:val="en-US"/>
        </w:rPr>
      </w:pPr>
      <w:r>
        <w:rPr>
          <w:rFonts w:ascii="Arial" w:hAnsi="Arial" w:cs="Arial"/>
          <w:b/>
          <w:sz w:val="24"/>
          <w:szCs w:val="24"/>
          <w:lang w:val="en-US"/>
        </w:rPr>
        <w:lastRenderedPageBreak/>
        <w:t>Supplemental r</w:t>
      </w:r>
      <w:r w:rsidRPr="00582041">
        <w:rPr>
          <w:rFonts w:ascii="Arial" w:hAnsi="Arial" w:cs="Arial"/>
          <w:b/>
          <w:sz w:val="24"/>
          <w:szCs w:val="24"/>
          <w:lang w:val="en-US"/>
        </w:rPr>
        <w:t>eferences</w:t>
      </w:r>
    </w:p>
    <w:p w14:paraId="0BE53007" w14:textId="7741C370"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nl-NL"/>
        </w:rPr>
        <w:t xml:space="preserve">Vincent JL, de Backer D, Wiedermann CJ. </w:t>
      </w:r>
      <w:r w:rsidRPr="00BA4EE5">
        <w:rPr>
          <w:rFonts w:ascii="Arial" w:hAnsi="Arial" w:cs="Arial"/>
          <w:color w:val="FF0000"/>
          <w:sz w:val="24"/>
          <w:szCs w:val="24"/>
          <w:lang w:val="en-US"/>
        </w:rPr>
        <w:t xml:space="preserve">Fluid management in sepsis: The potential beneficial effects of albumin. J Crit Care. 2016 </w:t>
      </w:r>
      <w:proofErr w:type="gramStart"/>
      <w:r w:rsidRPr="00BA4EE5">
        <w:rPr>
          <w:rFonts w:ascii="Arial" w:hAnsi="Arial" w:cs="Arial"/>
          <w:color w:val="FF0000"/>
          <w:sz w:val="24"/>
          <w:szCs w:val="24"/>
          <w:lang w:val="en-US"/>
        </w:rPr>
        <w:t>Oct;35:161</w:t>
      </w:r>
      <w:proofErr w:type="gramEnd"/>
      <w:r w:rsidRPr="00BA4EE5">
        <w:rPr>
          <w:rFonts w:ascii="Arial" w:hAnsi="Arial" w:cs="Arial"/>
          <w:color w:val="FF0000"/>
          <w:sz w:val="24"/>
          <w:szCs w:val="24"/>
          <w:lang w:val="en-US"/>
        </w:rPr>
        <w:t xml:space="preserve">–7. </w:t>
      </w:r>
    </w:p>
    <w:p w14:paraId="4F8AD4C8" w14:textId="1C11CB42"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Evans L, Rhodes A, </w:t>
      </w:r>
      <w:proofErr w:type="spellStart"/>
      <w:r w:rsidRPr="00BA4EE5">
        <w:rPr>
          <w:rFonts w:ascii="Arial" w:hAnsi="Arial" w:cs="Arial"/>
          <w:color w:val="FF0000"/>
          <w:sz w:val="24"/>
          <w:szCs w:val="24"/>
          <w:lang w:val="en-US"/>
        </w:rPr>
        <w:t>Alhazzani</w:t>
      </w:r>
      <w:proofErr w:type="spellEnd"/>
      <w:r w:rsidRPr="00BA4EE5">
        <w:rPr>
          <w:rFonts w:ascii="Arial" w:hAnsi="Arial" w:cs="Arial"/>
          <w:color w:val="FF0000"/>
          <w:sz w:val="24"/>
          <w:szCs w:val="24"/>
          <w:lang w:val="en-US"/>
        </w:rPr>
        <w:t xml:space="preserve"> W, Antonelli M, Coopersmith CM, French C, et al. Executive Summary: Surviving Sepsis Campaign: International Guidelines for the Management of Sepsis and Septic Shock 2021. </w:t>
      </w:r>
      <w:r w:rsidRPr="00BA4EE5">
        <w:rPr>
          <w:rFonts w:ascii="Arial" w:hAnsi="Arial" w:cs="Arial"/>
          <w:color w:val="FF0000"/>
          <w:sz w:val="24"/>
          <w:szCs w:val="24"/>
          <w:lang w:val="it-IT"/>
        </w:rPr>
        <w:t>Crit Care Med. 2021 Nov 1;49(11):1974–82.</w:t>
      </w:r>
    </w:p>
    <w:p w14:paraId="72703915" w14:textId="09120393"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Semler MW, Self WH, Wanderer JP, Ehrenfeld JM, Wang L, Byrne DW, et al. Balanced Crystalloids versus Saline in Critically Ill Adults. New England Journal of Medicine. 2018 Mar;378(9):829–39. </w:t>
      </w:r>
    </w:p>
    <w:p w14:paraId="564AD1D7" w14:textId="351381DB"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it-IT"/>
        </w:rPr>
        <w:t xml:space="preserve">Garnacho-Montero J, Fernández-Mondéjar E, Ferrer-Roca R, Herrera-Gutiérrez ME, Lorente JA, Ruiz-Santana S, et al. </w:t>
      </w:r>
      <w:r w:rsidRPr="00BA4EE5">
        <w:rPr>
          <w:rFonts w:ascii="Arial" w:hAnsi="Arial" w:cs="Arial"/>
          <w:color w:val="FF0000"/>
          <w:sz w:val="24"/>
          <w:szCs w:val="24"/>
          <w:lang w:val="en-US"/>
        </w:rPr>
        <w:t xml:space="preserve">Crystalloids and colloids in critical patient resuscitation. Med </w:t>
      </w:r>
      <w:proofErr w:type="spellStart"/>
      <w:r w:rsidRPr="00BA4EE5">
        <w:rPr>
          <w:rFonts w:ascii="Arial" w:hAnsi="Arial" w:cs="Arial"/>
          <w:color w:val="FF0000"/>
          <w:sz w:val="24"/>
          <w:szCs w:val="24"/>
          <w:lang w:val="en-US"/>
        </w:rPr>
        <w:t>Intensiva</w:t>
      </w:r>
      <w:proofErr w:type="spellEnd"/>
      <w:r w:rsidRPr="00BA4EE5">
        <w:rPr>
          <w:rFonts w:ascii="Arial" w:hAnsi="Arial" w:cs="Arial"/>
          <w:color w:val="FF0000"/>
          <w:sz w:val="24"/>
          <w:szCs w:val="24"/>
          <w:lang w:val="en-US"/>
        </w:rPr>
        <w:t xml:space="preserve">. 2015 Jun-Jul;39(5):303–15. </w:t>
      </w:r>
    </w:p>
    <w:p w14:paraId="0F60FEA6" w14:textId="2E1DC4B3"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Brown RM, Semler MW. Fluid Management in Sepsis. Vol. 34, J Intensive Care Med. 2019 May;34(5):364–73. </w:t>
      </w:r>
    </w:p>
    <w:p w14:paraId="7B024C95" w14:textId="49C1623B"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nl-NL"/>
        </w:rPr>
        <w:t xml:space="preserve">Bernardi M, Angeli P, Claria J, Moreau R, Gines P, Jalan R, et al. </w:t>
      </w:r>
      <w:r w:rsidRPr="00BA4EE5">
        <w:rPr>
          <w:rFonts w:ascii="Arial" w:hAnsi="Arial" w:cs="Arial"/>
          <w:color w:val="FF0000"/>
          <w:sz w:val="24"/>
          <w:szCs w:val="24"/>
          <w:lang w:val="en-US"/>
        </w:rPr>
        <w:t xml:space="preserve">Albumin in decompensated cirrhosis: </w:t>
      </w:r>
      <w:proofErr w:type="gramStart"/>
      <w:r w:rsidRPr="00BA4EE5">
        <w:rPr>
          <w:rFonts w:ascii="Arial" w:hAnsi="Arial" w:cs="Arial"/>
          <w:color w:val="FF0000"/>
          <w:sz w:val="24"/>
          <w:szCs w:val="24"/>
          <w:lang w:val="en-US"/>
        </w:rPr>
        <w:t>New</w:t>
      </w:r>
      <w:proofErr w:type="gramEnd"/>
      <w:r w:rsidRPr="00BA4EE5">
        <w:rPr>
          <w:rFonts w:ascii="Arial" w:hAnsi="Arial" w:cs="Arial"/>
          <w:color w:val="FF0000"/>
          <w:sz w:val="24"/>
          <w:szCs w:val="24"/>
          <w:lang w:val="en-US"/>
        </w:rPr>
        <w:t xml:space="preserve"> concepts and perspectives. Gut. 2020 Jun;69(6):1127–38.</w:t>
      </w:r>
    </w:p>
    <w:p w14:paraId="2240F43B" w14:textId="77777777"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Bernal W, </w:t>
      </w:r>
      <w:proofErr w:type="spellStart"/>
      <w:r w:rsidRPr="00BA4EE5">
        <w:rPr>
          <w:rFonts w:ascii="Arial" w:hAnsi="Arial" w:cs="Arial"/>
          <w:color w:val="FF0000"/>
          <w:sz w:val="24"/>
          <w:szCs w:val="24"/>
          <w:lang w:val="en-US"/>
        </w:rPr>
        <w:t>Karvellas</w:t>
      </w:r>
      <w:proofErr w:type="spellEnd"/>
      <w:r w:rsidRPr="00BA4EE5">
        <w:rPr>
          <w:rFonts w:ascii="Arial" w:hAnsi="Arial" w:cs="Arial"/>
          <w:color w:val="FF0000"/>
          <w:sz w:val="24"/>
          <w:szCs w:val="24"/>
          <w:lang w:val="en-US"/>
        </w:rPr>
        <w:t xml:space="preserve"> C, Saliba F, Saner FH, </w:t>
      </w:r>
      <w:proofErr w:type="spellStart"/>
      <w:r w:rsidRPr="00BA4EE5">
        <w:rPr>
          <w:rFonts w:ascii="Arial" w:hAnsi="Arial" w:cs="Arial"/>
          <w:color w:val="FF0000"/>
          <w:sz w:val="24"/>
          <w:szCs w:val="24"/>
          <w:lang w:val="en-US"/>
        </w:rPr>
        <w:t>Meersseman</w:t>
      </w:r>
      <w:proofErr w:type="spellEnd"/>
      <w:r w:rsidRPr="00BA4EE5">
        <w:rPr>
          <w:rFonts w:ascii="Arial" w:hAnsi="Arial" w:cs="Arial"/>
          <w:color w:val="FF0000"/>
          <w:sz w:val="24"/>
          <w:szCs w:val="24"/>
          <w:lang w:val="en-US"/>
        </w:rPr>
        <w:t xml:space="preserve"> P. Intensive care management of acute-on-chronic liver failure. J Hepatol. 2021 Jul;75 Suppl </w:t>
      </w:r>
      <w:proofErr w:type="gramStart"/>
      <w:r w:rsidRPr="00BA4EE5">
        <w:rPr>
          <w:rFonts w:ascii="Arial" w:hAnsi="Arial" w:cs="Arial"/>
          <w:color w:val="FF0000"/>
          <w:sz w:val="24"/>
          <w:szCs w:val="24"/>
          <w:lang w:val="en-US"/>
        </w:rPr>
        <w:t>1:S</w:t>
      </w:r>
      <w:proofErr w:type="gramEnd"/>
      <w:r w:rsidRPr="00BA4EE5">
        <w:rPr>
          <w:rFonts w:ascii="Arial" w:hAnsi="Arial" w:cs="Arial"/>
          <w:color w:val="FF0000"/>
          <w:sz w:val="24"/>
          <w:szCs w:val="24"/>
          <w:lang w:val="en-US"/>
        </w:rPr>
        <w:t xml:space="preserve">163–S177. </w:t>
      </w:r>
    </w:p>
    <w:p w14:paraId="3CA9BB52" w14:textId="68B0DBCF"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Philips CA, Maiwall R, Sharma MK, Jindal A, Choudhury AK, Kumar G, et al. Comparison of 5% human albumin and normal saline for fluid resuscitation in sepsis induced hypotension among patients with cirrhosis (FRISC study): a randomized controlled trial. Hepatol Int 2021 Aug;15(4):983-994. </w:t>
      </w:r>
    </w:p>
    <w:p w14:paraId="56840584" w14:textId="2E2F74F3"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Maiwall R, Kumar A, </w:t>
      </w:r>
      <w:proofErr w:type="spellStart"/>
      <w:r w:rsidRPr="00BA4EE5">
        <w:rPr>
          <w:rFonts w:ascii="Arial" w:hAnsi="Arial" w:cs="Arial"/>
          <w:color w:val="FF0000"/>
          <w:sz w:val="24"/>
          <w:szCs w:val="24"/>
          <w:lang w:val="en-US"/>
        </w:rPr>
        <w:t>Pasupuleti</w:t>
      </w:r>
      <w:proofErr w:type="spellEnd"/>
      <w:r w:rsidRPr="00BA4EE5">
        <w:rPr>
          <w:rFonts w:ascii="Arial" w:hAnsi="Arial" w:cs="Arial"/>
          <w:color w:val="FF0000"/>
          <w:sz w:val="24"/>
          <w:szCs w:val="24"/>
          <w:lang w:val="en-US"/>
        </w:rPr>
        <w:t xml:space="preserve"> SSR, </w:t>
      </w:r>
      <w:proofErr w:type="spellStart"/>
      <w:r w:rsidRPr="00BA4EE5">
        <w:rPr>
          <w:rFonts w:ascii="Arial" w:hAnsi="Arial" w:cs="Arial"/>
          <w:color w:val="FF0000"/>
          <w:sz w:val="24"/>
          <w:szCs w:val="24"/>
          <w:lang w:val="en-US"/>
        </w:rPr>
        <w:t>Hidam</w:t>
      </w:r>
      <w:proofErr w:type="spellEnd"/>
      <w:r w:rsidRPr="00BA4EE5">
        <w:rPr>
          <w:rFonts w:ascii="Arial" w:hAnsi="Arial" w:cs="Arial"/>
          <w:color w:val="FF0000"/>
          <w:sz w:val="24"/>
          <w:szCs w:val="24"/>
          <w:lang w:val="en-US"/>
        </w:rPr>
        <w:t xml:space="preserve"> AK, </w:t>
      </w:r>
      <w:proofErr w:type="spellStart"/>
      <w:r w:rsidRPr="00BA4EE5">
        <w:rPr>
          <w:rFonts w:ascii="Arial" w:hAnsi="Arial" w:cs="Arial"/>
          <w:color w:val="FF0000"/>
          <w:sz w:val="24"/>
          <w:szCs w:val="24"/>
          <w:lang w:val="en-US"/>
        </w:rPr>
        <w:t>Tevethia</w:t>
      </w:r>
      <w:proofErr w:type="spellEnd"/>
      <w:r w:rsidRPr="00BA4EE5">
        <w:rPr>
          <w:rFonts w:ascii="Arial" w:hAnsi="Arial" w:cs="Arial"/>
          <w:color w:val="FF0000"/>
          <w:sz w:val="24"/>
          <w:szCs w:val="24"/>
          <w:lang w:val="en-US"/>
        </w:rPr>
        <w:t xml:space="preserve"> H, Kumar G, et al. A randomized-controlled trial comparing 20% albumin to </w:t>
      </w:r>
      <w:proofErr w:type="spellStart"/>
      <w:r w:rsidRPr="00BA4EE5">
        <w:rPr>
          <w:rFonts w:ascii="Arial" w:hAnsi="Arial" w:cs="Arial"/>
          <w:color w:val="FF0000"/>
          <w:sz w:val="24"/>
          <w:szCs w:val="24"/>
          <w:lang w:val="en-US"/>
        </w:rPr>
        <w:t>plasmalyte</w:t>
      </w:r>
      <w:proofErr w:type="spellEnd"/>
      <w:r w:rsidRPr="00BA4EE5">
        <w:rPr>
          <w:rFonts w:ascii="Arial" w:hAnsi="Arial" w:cs="Arial"/>
          <w:color w:val="FF0000"/>
          <w:sz w:val="24"/>
          <w:szCs w:val="24"/>
          <w:lang w:val="en-US"/>
        </w:rPr>
        <w:t xml:space="preserve"> in patients with cirrhosis and sepsis-induced hypotension [ALPS trial]. J Hepatol. 2022 Sep;77(3):670–82.</w:t>
      </w:r>
    </w:p>
    <w:p w14:paraId="21D472CB" w14:textId="5AD5BE00" w:rsidR="000D6E62" w:rsidRPr="00BA4EE5" w:rsidRDefault="00FA2D3D"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lastRenderedPageBreak/>
        <w:t xml:space="preserve"> </w:t>
      </w:r>
      <w:r w:rsidR="000D6E62" w:rsidRPr="00BA4EE5">
        <w:rPr>
          <w:rFonts w:ascii="Arial" w:hAnsi="Arial" w:cs="Arial"/>
          <w:color w:val="FF0000"/>
          <w:sz w:val="24"/>
          <w:szCs w:val="24"/>
          <w:lang w:val="en-US"/>
        </w:rPr>
        <w:t>Russell JA, Walley KR, Singer J, Gordon AC, Hébert PC, James Cooper D, et al. Vasopressin versus norepinephrine infusion in patients with septic shock. N Engl J Med. 2008 Feb 28;358(9):877-87.</w:t>
      </w:r>
    </w:p>
    <w:p w14:paraId="6E44A76A" w14:textId="1383A933"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de Backer D, </w:t>
      </w:r>
      <w:proofErr w:type="spellStart"/>
      <w:r w:rsidRPr="00BA4EE5">
        <w:rPr>
          <w:rFonts w:ascii="Arial" w:hAnsi="Arial" w:cs="Arial"/>
          <w:color w:val="FF0000"/>
          <w:sz w:val="24"/>
          <w:szCs w:val="24"/>
          <w:lang w:val="en-US"/>
        </w:rPr>
        <w:t>Biston</w:t>
      </w:r>
      <w:proofErr w:type="spellEnd"/>
      <w:r w:rsidRPr="00BA4EE5">
        <w:rPr>
          <w:rFonts w:ascii="Arial" w:hAnsi="Arial" w:cs="Arial"/>
          <w:color w:val="FF0000"/>
          <w:sz w:val="24"/>
          <w:szCs w:val="24"/>
          <w:lang w:val="en-US"/>
        </w:rPr>
        <w:t xml:space="preserve"> P, </w:t>
      </w:r>
      <w:proofErr w:type="spellStart"/>
      <w:r w:rsidRPr="00BA4EE5">
        <w:rPr>
          <w:rFonts w:ascii="Arial" w:hAnsi="Arial" w:cs="Arial"/>
          <w:color w:val="FF0000"/>
          <w:sz w:val="24"/>
          <w:szCs w:val="24"/>
          <w:lang w:val="en-US"/>
        </w:rPr>
        <w:t>Devriendt</w:t>
      </w:r>
      <w:proofErr w:type="spellEnd"/>
      <w:r w:rsidRPr="00BA4EE5">
        <w:rPr>
          <w:rFonts w:ascii="Arial" w:hAnsi="Arial" w:cs="Arial"/>
          <w:color w:val="FF0000"/>
          <w:sz w:val="24"/>
          <w:szCs w:val="24"/>
          <w:lang w:val="en-US"/>
        </w:rPr>
        <w:t xml:space="preserve"> J, Madl C, </w:t>
      </w:r>
      <w:proofErr w:type="spellStart"/>
      <w:r w:rsidRPr="00BA4EE5">
        <w:rPr>
          <w:rFonts w:ascii="Arial" w:hAnsi="Arial" w:cs="Arial"/>
          <w:color w:val="FF0000"/>
          <w:sz w:val="24"/>
          <w:szCs w:val="24"/>
          <w:lang w:val="en-US"/>
        </w:rPr>
        <w:t>Aldecoa</w:t>
      </w:r>
      <w:proofErr w:type="spellEnd"/>
      <w:r w:rsidRPr="00BA4EE5">
        <w:rPr>
          <w:rFonts w:ascii="Arial" w:hAnsi="Arial" w:cs="Arial"/>
          <w:color w:val="FF0000"/>
          <w:sz w:val="24"/>
          <w:szCs w:val="24"/>
          <w:lang w:val="en-US"/>
        </w:rPr>
        <w:t xml:space="preserve"> C, Brasseur A, et al. Comparison of Dopamine and Norepinephrine in the Treatment of Shock. N Engl J Med. 2010 Mar 4;362(9):779-89. </w:t>
      </w:r>
    </w:p>
    <w:p w14:paraId="5AD78D42" w14:textId="31E3176B"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Avni T, </w:t>
      </w:r>
      <w:proofErr w:type="spellStart"/>
      <w:r w:rsidRPr="00BA4EE5">
        <w:rPr>
          <w:rFonts w:ascii="Arial" w:hAnsi="Arial" w:cs="Arial"/>
          <w:color w:val="FF0000"/>
          <w:sz w:val="24"/>
          <w:szCs w:val="24"/>
          <w:lang w:val="en-US"/>
        </w:rPr>
        <w:t>Lador</w:t>
      </w:r>
      <w:proofErr w:type="spellEnd"/>
      <w:r w:rsidRPr="00BA4EE5">
        <w:rPr>
          <w:rFonts w:ascii="Arial" w:hAnsi="Arial" w:cs="Arial"/>
          <w:color w:val="FF0000"/>
          <w:sz w:val="24"/>
          <w:szCs w:val="24"/>
          <w:lang w:val="en-US"/>
        </w:rPr>
        <w:t xml:space="preserve"> A, Lev S, </w:t>
      </w:r>
      <w:proofErr w:type="spellStart"/>
      <w:r w:rsidRPr="00BA4EE5">
        <w:rPr>
          <w:rFonts w:ascii="Arial" w:hAnsi="Arial" w:cs="Arial"/>
          <w:color w:val="FF0000"/>
          <w:sz w:val="24"/>
          <w:szCs w:val="24"/>
          <w:lang w:val="en-US"/>
        </w:rPr>
        <w:t>Leibovici</w:t>
      </w:r>
      <w:proofErr w:type="spellEnd"/>
      <w:r w:rsidRPr="00BA4EE5">
        <w:rPr>
          <w:rFonts w:ascii="Arial" w:hAnsi="Arial" w:cs="Arial"/>
          <w:color w:val="FF0000"/>
          <w:sz w:val="24"/>
          <w:szCs w:val="24"/>
          <w:lang w:val="en-US"/>
        </w:rPr>
        <w:t xml:space="preserve"> L, Paul M, Grossman A. Vasopressors for the treatment of septic shock: Systematic review and meta-analysis. </w:t>
      </w:r>
      <w:proofErr w:type="spellStart"/>
      <w:r w:rsidRPr="00BA4EE5">
        <w:rPr>
          <w:rFonts w:ascii="Arial" w:hAnsi="Arial" w:cs="Arial"/>
          <w:color w:val="FF0000"/>
          <w:sz w:val="24"/>
          <w:szCs w:val="24"/>
          <w:lang w:val="en-US"/>
        </w:rPr>
        <w:t>PLoS</w:t>
      </w:r>
      <w:proofErr w:type="spellEnd"/>
      <w:r w:rsidRPr="00BA4EE5">
        <w:rPr>
          <w:rFonts w:ascii="Arial" w:hAnsi="Arial" w:cs="Arial"/>
          <w:color w:val="FF0000"/>
          <w:sz w:val="24"/>
          <w:szCs w:val="24"/>
          <w:lang w:val="en-US"/>
        </w:rPr>
        <w:t xml:space="preserve"> One. 2015 Aug 3;10(8). </w:t>
      </w:r>
    </w:p>
    <w:p w14:paraId="1A5311A4" w14:textId="4FF424B3"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Choudhury A, </w:t>
      </w:r>
      <w:proofErr w:type="spellStart"/>
      <w:r w:rsidRPr="00BA4EE5">
        <w:rPr>
          <w:rFonts w:ascii="Arial" w:hAnsi="Arial" w:cs="Arial"/>
          <w:color w:val="FF0000"/>
          <w:sz w:val="24"/>
          <w:szCs w:val="24"/>
          <w:lang w:val="en-US"/>
        </w:rPr>
        <w:t>Kedarisetty</w:t>
      </w:r>
      <w:proofErr w:type="spellEnd"/>
      <w:r w:rsidRPr="00BA4EE5">
        <w:rPr>
          <w:rFonts w:ascii="Arial" w:hAnsi="Arial" w:cs="Arial"/>
          <w:color w:val="FF0000"/>
          <w:sz w:val="24"/>
          <w:szCs w:val="24"/>
          <w:lang w:val="en-US"/>
        </w:rPr>
        <w:t xml:space="preserve"> CK, </w:t>
      </w:r>
      <w:proofErr w:type="spellStart"/>
      <w:r w:rsidRPr="00BA4EE5">
        <w:rPr>
          <w:rFonts w:ascii="Arial" w:hAnsi="Arial" w:cs="Arial"/>
          <w:color w:val="FF0000"/>
          <w:sz w:val="24"/>
          <w:szCs w:val="24"/>
          <w:lang w:val="en-US"/>
        </w:rPr>
        <w:t>Vashishtha</w:t>
      </w:r>
      <w:proofErr w:type="spellEnd"/>
      <w:r w:rsidRPr="00BA4EE5">
        <w:rPr>
          <w:rFonts w:ascii="Arial" w:hAnsi="Arial" w:cs="Arial"/>
          <w:color w:val="FF0000"/>
          <w:sz w:val="24"/>
          <w:szCs w:val="24"/>
          <w:lang w:val="en-US"/>
        </w:rPr>
        <w:t xml:space="preserve"> C, Saini D, Kumar S, Maiwall R. A randomized trial comparing terlipressin and noradrenaline in patients with cirrhosis and septic shock. Liver Int. 2017 Apr;37(4):552-561. </w:t>
      </w:r>
    </w:p>
    <w:p w14:paraId="77001084" w14:textId="58869768"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European Association for the Study of the Liver. Electronic address: easloffice@easloffice.eu P, European Association for the Study of the Liver M, Villanueva C, </w:t>
      </w:r>
      <w:proofErr w:type="spellStart"/>
      <w:r w:rsidRPr="00BA4EE5">
        <w:rPr>
          <w:rFonts w:ascii="Arial" w:hAnsi="Arial" w:cs="Arial"/>
          <w:color w:val="FF0000"/>
          <w:sz w:val="24"/>
          <w:szCs w:val="24"/>
          <w:lang w:val="en-US"/>
        </w:rPr>
        <w:t>Francoz</w:t>
      </w:r>
      <w:proofErr w:type="spellEnd"/>
      <w:r w:rsidRPr="00BA4EE5">
        <w:rPr>
          <w:rFonts w:ascii="Arial" w:hAnsi="Arial" w:cs="Arial"/>
          <w:color w:val="FF0000"/>
          <w:sz w:val="24"/>
          <w:szCs w:val="24"/>
          <w:lang w:val="en-US"/>
        </w:rPr>
        <w:t xml:space="preserve"> C, Mookerjee RP, Trebicka J, et al. EASL Clinical Practice Guidelines for the management of patients with decompensated cirrhosis. J Hepatol. 2018 Aug;69(2):406–60.</w:t>
      </w:r>
    </w:p>
    <w:p w14:paraId="63FD0271" w14:textId="7C53A1D5"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s-ES"/>
        </w:rPr>
        <w:t xml:space="preserve">Gustot T, Fernandez J, Szabo G, Albillos A, Louvet A, Jalan R, et al. </w:t>
      </w:r>
      <w:r w:rsidRPr="00BA4EE5">
        <w:rPr>
          <w:rFonts w:ascii="Arial" w:hAnsi="Arial" w:cs="Arial"/>
          <w:color w:val="FF0000"/>
          <w:sz w:val="24"/>
          <w:szCs w:val="24"/>
          <w:lang w:val="en-US"/>
        </w:rPr>
        <w:t>Sepsis in alcohol-related liver disease. J Hepatol. 2017 Nov;67(5):1031–50.</w:t>
      </w:r>
    </w:p>
    <w:p w14:paraId="7FD8934C" w14:textId="482BD064"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s-ES"/>
        </w:rPr>
      </w:pPr>
      <w:r w:rsidRPr="00BA4EE5">
        <w:rPr>
          <w:rFonts w:ascii="Arial" w:hAnsi="Arial" w:cs="Arial"/>
          <w:color w:val="FF0000"/>
          <w:sz w:val="24"/>
          <w:szCs w:val="24"/>
          <w:lang w:val="en-US"/>
        </w:rPr>
        <w:t xml:space="preserve">Nadim MK, Durand F, Kellum JA, </w:t>
      </w:r>
      <w:proofErr w:type="spellStart"/>
      <w:r w:rsidRPr="00BA4EE5">
        <w:rPr>
          <w:rFonts w:ascii="Arial" w:hAnsi="Arial" w:cs="Arial"/>
          <w:color w:val="FF0000"/>
          <w:sz w:val="24"/>
          <w:szCs w:val="24"/>
          <w:lang w:val="en-US"/>
        </w:rPr>
        <w:t>Levitsky</w:t>
      </w:r>
      <w:proofErr w:type="spellEnd"/>
      <w:r w:rsidRPr="00BA4EE5">
        <w:rPr>
          <w:rFonts w:ascii="Arial" w:hAnsi="Arial" w:cs="Arial"/>
          <w:color w:val="FF0000"/>
          <w:sz w:val="24"/>
          <w:szCs w:val="24"/>
          <w:lang w:val="en-US"/>
        </w:rPr>
        <w:t xml:space="preserve"> J, O’Leary JG, </w:t>
      </w:r>
      <w:proofErr w:type="spellStart"/>
      <w:r w:rsidRPr="00BA4EE5">
        <w:rPr>
          <w:rFonts w:ascii="Arial" w:hAnsi="Arial" w:cs="Arial"/>
          <w:color w:val="FF0000"/>
          <w:sz w:val="24"/>
          <w:szCs w:val="24"/>
          <w:lang w:val="en-US"/>
        </w:rPr>
        <w:t>Karvellas</w:t>
      </w:r>
      <w:proofErr w:type="spellEnd"/>
      <w:r w:rsidRPr="00BA4EE5">
        <w:rPr>
          <w:rFonts w:ascii="Arial" w:hAnsi="Arial" w:cs="Arial"/>
          <w:color w:val="FF0000"/>
          <w:sz w:val="24"/>
          <w:szCs w:val="24"/>
          <w:lang w:val="en-US"/>
        </w:rPr>
        <w:t xml:space="preserve"> CJ, et al. Management of the critically ill patient with cirrhosis: A multidisciplinary perspective. </w:t>
      </w:r>
      <w:r w:rsidRPr="00BA4EE5">
        <w:rPr>
          <w:rFonts w:ascii="Arial" w:hAnsi="Arial" w:cs="Arial"/>
          <w:color w:val="FF0000"/>
          <w:sz w:val="24"/>
          <w:szCs w:val="24"/>
          <w:lang w:val="es-ES"/>
        </w:rPr>
        <w:t>J Hepatol. 2016 Mar;64(3):717–35.</w:t>
      </w:r>
    </w:p>
    <w:p w14:paraId="3297B8D4" w14:textId="1C060719"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it-IT"/>
        </w:rPr>
        <w:t xml:space="preserve"> Fernández J, Escorsell A, Zabalza M. Felipe V, Navasa M, Mas A et al. </w:t>
      </w:r>
      <w:r w:rsidRPr="00BA4EE5">
        <w:rPr>
          <w:rFonts w:ascii="Arial" w:hAnsi="Arial" w:cs="Arial"/>
          <w:color w:val="FF0000"/>
          <w:sz w:val="24"/>
          <w:szCs w:val="24"/>
          <w:lang w:val="en-US"/>
        </w:rPr>
        <w:t>Adrenal insufficiency in patients with cirrhosis and septic shock: Effect of treatment with hydrocortisone on survival. Hepatology. 2006 Nov;44(5):1288-95.</w:t>
      </w:r>
    </w:p>
    <w:p w14:paraId="019A7E5A" w14:textId="06F5D9FD"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s-ES"/>
        </w:rPr>
      </w:pPr>
      <w:proofErr w:type="spellStart"/>
      <w:r w:rsidRPr="00BA4EE5">
        <w:rPr>
          <w:rFonts w:ascii="Arial" w:hAnsi="Arial" w:cs="Arial"/>
          <w:color w:val="FF0000"/>
          <w:sz w:val="24"/>
          <w:szCs w:val="24"/>
          <w:lang w:val="en-US"/>
        </w:rPr>
        <w:t>Annane</w:t>
      </w:r>
      <w:proofErr w:type="spellEnd"/>
      <w:r w:rsidRPr="00BA4EE5">
        <w:rPr>
          <w:rFonts w:ascii="Arial" w:hAnsi="Arial" w:cs="Arial"/>
          <w:color w:val="FF0000"/>
          <w:sz w:val="24"/>
          <w:szCs w:val="24"/>
          <w:lang w:val="en-US"/>
        </w:rPr>
        <w:t xml:space="preserve"> D, </w:t>
      </w:r>
      <w:proofErr w:type="spellStart"/>
      <w:r w:rsidRPr="00BA4EE5">
        <w:rPr>
          <w:rFonts w:ascii="Arial" w:hAnsi="Arial" w:cs="Arial"/>
          <w:color w:val="FF0000"/>
          <w:sz w:val="24"/>
          <w:szCs w:val="24"/>
          <w:lang w:val="en-US"/>
        </w:rPr>
        <w:t>Pastores</w:t>
      </w:r>
      <w:proofErr w:type="spellEnd"/>
      <w:r w:rsidRPr="00BA4EE5">
        <w:rPr>
          <w:rFonts w:ascii="Arial" w:hAnsi="Arial" w:cs="Arial"/>
          <w:color w:val="FF0000"/>
          <w:sz w:val="24"/>
          <w:szCs w:val="24"/>
          <w:lang w:val="en-US"/>
        </w:rPr>
        <w:t xml:space="preserve"> SM, </w:t>
      </w:r>
      <w:proofErr w:type="spellStart"/>
      <w:r w:rsidRPr="00BA4EE5">
        <w:rPr>
          <w:rFonts w:ascii="Arial" w:hAnsi="Arial" w:cs="Arial"/>
          <w:color w:val="FF0000"/>
          <w:sz w:val="24"/>
          <w:szCs w:val="24"/>
          <w:lang w:val="en-US"/>
        </w:rPr>
        <w:t>Rochwerg</w:t>
      </w:r>
      <w:proofErr w:type="spellEnd"/>
      <w:r w:rsidRPr="00BA4EE5">
        <w:rPr>
          <w:rFonts w:ascii="Arial" w:hAnsi="Arial" w:cs="Arial"/>
          <w:color w:val="FF0000"/>
          <w:sz w:val="24"/>
          <w:szCs w:val="24"/>
          <w:lang w:val="en-US"/>
        </w:rPr>
        <w:t xml:space="preserve"> B, </w:t>
      </w:r>
      <w:proofErr w:type="spellStart"/>
      <w:r w:rsidRPr="00BA4EE5">
        <w:rPr>
          <w:rFonts w:ascii="Arial" w:hAnsi="Arial" w:cs="Arial"/>
          <w:color w:val="FF0000"/>
          <w:sz w:val="24"/>
          <w:szCs w:val="24"/>
          <w:lang w:val="en-US"/>
        </w:rPr>
        <w:t>Arlt</w:t>
      </w:r>
      <w:proofErr w:type="spellEnd"/>
      <w:r w:rsidRPr="00BA4EE5">
        <w:rPr>
          <w:rFonts w:ascii="Arial" w:hAnsi="Arial" w:cs="Arial"/>
          <w:color w:val="FF0000"/>
          <w:sz w:val="24"/>
          <w:szCs w:val="24"/>
          <w:lang w:val="en-US"/>
        </w:rPr>
        <w:t xml:space="preserve"> W, Balk RA, </w:t>
      </w:r>
      <w:proofErr w:type="spellStart"/>
      <w:r w:rsidRPr="00BA4EE5">
        <w:rPr>
          <w:rFonts w:ascii="Arial" w:hAnsi="Arial" w:cs="Arial"/>
          <w:color w:val="FF0000"/>
          <w:sz w:val="24"/>
          <w:szCs w:val="24"/>
          <w:lang w:val="en-US"/>
        </w:rPr>
        <w:t>Beishuizen</w:t>
      </w:r>
      <w:proofErr w:type="spellEnd"/>
      <w:r w:rsidRPr="00BA4EE5">
        <w:rPr>
          <w:rFonts w:ascii="Arial" w:hAnsi="Arial" w:cs="Arial"/>
          <w:color w:val="FF0000"/>
          <w:sz w:val="24"/>
          <w:szCs w:val="24"/>
          <w:lang w:val="en-US"/>
        </w:rPr>
        <w:t xml:space="preserve"> A, et al. Guidelines for the diagnosis and management of critical illness-related corticosteroid insufficiency (CIRCI) in critically ill patients (Part I): Society of Critical Care Medicine (SCCM) and European Society of Intensive Care Medicine (ESICM) 2017. </w:t>
      </w:r>
      <w:r w:rsidRPr="00BA4EE5">
        <w:rPr>
          <w:rFonts w:ascii="Arial" w:hAnsi="Arial" w:cs="Arial"/>
          <w:color w:val="FF0000"/>
          <w:sz w:val="24"/>
          <w:szCs w:val="24"/>
          <w:lang w:val="es-ES"/>
        </w:rPr>
        <w:t xml:space="preserve">Intensive Care Med. 2017 Dec;43(12):1751-1763. </w:t>
      </w:r>
    </w:p>
    <w:p w14:paraId="1EEDF44D" w14:textId="6DFD2A24"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it-IT"/>
        </w:rPr>
      </w:pPr>
      <w:r w:rsidRPr="00BA4EE5">
        <w:rPr>
          <w:rFonts w:ascii="Arial" w:hAnsi="Arial" w:cs="Arial"/>
          <w:color w:val="FF0000"/>
          <w:sz w:val="24"/>
          <w:szCs w:val="24"/>
          <w:lang w:val="es-ES"/>
        </w:rPr>
        <w:lastRenderedPageBreak/>
        <w:t xml:space="preserve">Acevedo J, Fernández J, Prado V, Silva A, Castro M, Pavesi M, et al. </w:t>
      </w:r>
      <w:r w:rsidRPr="00BA4EE5">
        <w:rPr>
          <w:rFonts w:ascii="Arial" w:hAnsi="Arial" w:cs="Arial"/>
          <w:color w:val="FF0000"/>
          <w:sz w:val="24"/>
          <w:szCs w:val="24"/>
          <w:lang w:val="en-US"/>
        </w:rPr>
        <w:t xml:space="preserve">Relative adrenal insufficiency in decompensated cirrhosis: Relationship to short-term risk of severe sepsis, hepatorenal syndrome, and death. </w:t>
      </w:r>
      <w:r w:rsidRPr="00BA4EE5">
        <w:rPr>
          <w:rFonts w:ascii="Arial" w:hAnsi="Arial" w:cs="Arial"/>
          <w:color w:val="FF0000"/>
          <w:sz w:val="24"/>
          <w:szCs w:val="24"/>
          <w:lang w:val="it-IT"/>
        </w:rPr>
        <w:t xml:space="preserve">Hepatology. 2013;58(5):1757–65. </w:t>
      </w:r>
    </w:p>
    <w:p w14:paraId="29C1EAE4" w14:textId="02F775DA"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it-IT"/>
        </w:rPr>
        <w:t xml:space="preserve">Piano S, Favaretto E, Tonon M, Antonelli G, Brocca A, Sticca A, et al. </w:t>
      </w:r>
      <w:r w:rsidRPr="00BA4EE5">
        <w:rPr>
          <w:rFonts w:ascii="Arial" w:hAnsi="Arial" w:cs="Arial"/>
          <w:color w:val="FF0000"/>
          <w:sz w:val="24"/>
          <w:szCs w:val="24"/>
          <w:lang w:val="en-US"/>
        </w:rPr>
        <w:t xml:space="preserve">Including Relative Adrenal Insufficiency in Definition and Classification of Acute-on-Chronic Liver Failure. Clin Gastroenterol Hepatol. 2020 May;18(5):1188-1196.e3. </w:t>
      </w:r>
    </w:p>
    <w:p w14:paraId="0F5D05A9" w14:textId="5045FBFE"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proofErr w:type="spellStart"/>
      <w:r w:rsidRPr="00BA4EE5">
        <w:rPr>
          <w:rFonts w:ascii="Arial" w:hAnsi="Arial" w:cs="Arial"/>
          <w:color w:val="FF0000"/>
          <w:sz w:val="24"/>
          <w:szCs w:val="24"/>
          <w:lang w:val="en-US"/>
        </w:rPr>
        <w:t>Pastores</w:t>
      </w:r>
      <w:proofErr w:type="spellEnd"/>
      <w:r w:rsidRPr="00BA4EE5">
        <w:rPr>
          <w:rFonts w:ascii="Arial" w:hAnsi="Arial" w:cs="Arial"/>
          <w:color w:val="FF0000"/>
          <w:sz w:val="24"/>
          <w:szCs w:val="24"/>
          <w:lang w:val="en-US"/>
        </w:rPr>
        <w:t xml:space="preserve"> SM, </w:t>
      </w:r>
      <w:proofErr w:type="spellStart"/>
      <w:r w:rsidRPr="00BA4EE5">
        <w:rPr>
          <w:rFonts w:ascii="Arial" w:hAnsi="Arial" w:cs="Arial"/>
          <w:color w:val="FF0000"/>
          <w:sz w:val="24"/>
          <w:szCs w:val="24"/>
          <w:lang w:val="en-US"/>
        </w:rPr>
        <w:t>Annane</w:t>
      </w:r>
      <w:proofErr w:type="spellEnd"/>
      <w:r w:rsidRPr="00BA4EE5">
        <w:rPr>
          <w:rFonts w:ascii="Arial" w:hAnsi="Arial" w:cs="Arial"/>
          <w:color w:val="FF0000"/>
          <w:sz w:val="24"/>
          <w:szCs w:val="24"/>
          <w:lang w:val="en-US"/>
        </w:rPr>
        <w:t xml:space="preserve"> D, </w:t>
      </w:r>
      <w:proofErr w:type="spellStart"/>
      <w:r w:rsidRPr="00BA4EE5">
        <w:rPr>
          <w:rFonts w:ascii="Arial" w:hAnsi="Arial" w:cs="Arial"/>
          <w:color w:val="FF0000"/>
          <w:sz w:val="24"/>
          <w:szCs w:val="24"/>
          <w:lang w:val="en-US"/>
        </w:rPr>
        <w:t>Rochwerg</w:t>
      </w:r>
      <w:proofErr w:type="spellEnd"/>
      <w:r w:rsidRPr="00BA4EE5">
        <w:rPr>
          <w:rFonts w:ascii="Arial" w:hAnsi="Arial" w:cs="Arial"/>
          <w:color w:val="FF0000"/>
          <w:sz w:val="24"/>
          <w:szCs w:val="24"/>
          <w:lang w:val="en-US"/>
        </w:rPr>
        <w:t xml:space="preserve"> B. Guidelines for the Diagnosis and Management of Critical Illness-Related Corticosteroid Insufficiency (CIRCI) in Critically Ill Patients (Part II): Society of Critical Care Medicine (SCCM) and European Society of Intensive Care Medicine (ESICM) 2017. Crit Care Med. 2018 Jan;46(1);146–8. </w:t>
      </w:r>
    </w:p>
    <w:p w14:paraId="7EAED189" w14:textId="64597FCB"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 xml:space="preserve">Pronovost P, Needham D, </w:t>
      </w:r>
      <w:proofErr w:type="spellStart"/>
      <w:r w:rsidRPr="00BA4EE5">
        <w:rPr>
          <w:rFonts w:ascii="Arial" w:hAnsi="Arial" w:cs="Arial"/>
          <w:color w:val="FF0000"/>
          <w:sz w:val="24"/>
          <w:szCs w:val="24"/>
          <w:lang w:val="en-US"/>
        </w:rPr>
        <w:t>Berenholtz</w:t>
      </w:r>
      <w:proofErr w:type="spellEnd"/>
      <w:r w:rsidRPr="00BA4EE5">
        <w:rPr>
          <w:rFonts w:ascii="Arial" w:hAnsi="Arial" w:cs="Arial"/>
          <w:color w:val="FF0000"/>
          <w:sz w:val="24"/>
          <w:szCs w:val="24"/>
          <w:lang w:val="en-US"/>
        </w:rPr>
        <w:t xml:space="preserve"> S, </w:t>
      </w:r>
      <w:proofErr w:type="spellStart"/>
      <w:r w:rsidRPr="00BA4EE5">
        <w:rPr>
          <w:rFonts w:ascii="Arial" w:hAnsi="Arial" w:cs="Arial"/>
          <w:color w:val="FF0000"/>
          <w:sz w:val="24"/>
          <w:szCs w:val="24"/>
          <w:lang w:val="en-US"/>
        </w:rPr>
        <w:t>Sinopoli</w:t>
      </w:r>
      <w:proofErr w:type="spellEnd"/>
      <w:r w:rsidRPr="00BA4EE5">
        <w:rPr>
          <w:rFonts w:ascii="Arial" w:hAnsi="Arial" w:cs="Arial"/>
          <w:color w:val="FF0000"/>
          <w:sz w:val="24"/>
          <w:szCs w:val="24"/>
          <w:lang w:val="en-US"/>
        </w:rPr>
        <w:t xml:space="preserve"> D, Chu H, Cosgrove S, et al. An intervention to decrease catheter-related bloodstream infections in the ICU. N Engl J Med. 2006 Dec 28;355(26):2725-32.</w:t>
      </w:r>
    </w:p>
    <w:p w14:paraId="09A376F2" w14:textId="0523C887" w:rsidR="000D6E62" w:rsidRPr="00BA4EE5" w:rsidRDefault="00FA2D3D"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n-US"/>
        </w:rPr>
        <w:t>A</w:t>
      </w:r>
      <w:r w:rsidR="000D6E62" w:rsidRPr="00BA4EE5">
        <w:rPr>
          <w:rFonts w:ascii="Arial" w:hAnsi="Arial" w:cs="Arial"/>
          <w:color w:val="FF0000"/>
          <w:sz w:val="24"/>
          <w:szCs w:val="24"/>
          <w:lang w:val="en-US"/>
        </w:rPr>
        <w:t xml:space="preserve">rabi YM, Aljumah A, </w:t>
      </w:r>
      <w:proofErr w:type="spellStart"/>
      <w:r w:rsidR="000D6E62" w:rsidRPr="00BA4EE5">
        <w:rPr>
          <w:rFonts w:ascii="Arial" w:hAnsi="Arial" w:cs="Arial"/>
          <w:color w:val="FF0000"/>
          <w:sz w:val="24"/>
          <w:szCs w:val="24"/>
          <w:lang w:val="en-US"/>
        </w:rPr>
        <w:t>Dabbagh</w:t>
      </w:r>
      <w:proofErr w:type="spellEnd"/>
      <w:r w:rsidR="000D6E62" w:rsidRPr="00BA4EE5">
        <w:rPr>
          <w:rFonts w:ascii="Arial" w:hAnsi="Arial" w:cs="Arial"/>
          <w:color w:val="FF0000"/>
          <w:sz w:val="24"/>
          <w:szCs w:val="24"/>
          <w:lang w:val="en-US"/>
        </w:rPr>
        <w:t xml:space="preserve"> O, Tamim HM, </w:t>
      </w:r>
      <w:proofErr w:type="spellStart"/>
      <w:r w:rsidR="000D6E62" w:rsidRPr="00BA4EE5">
        <w:rPr>
          <w:rFonts w:ascii="Arial" w:hAnsi="Arial" w:cs="Arial"/>
          <w:color w:val="FF0000"/>
          <w:sz w:val="24"/>
          <w:szCs w:val="24"/>
          <w:lang w:val="en-US"/>
        </w:rPr>
        <w:t>Rishu</w:t>
      </w:r>
      <w:proofErr w:type="spellEnd"/>
      <w:r w:rsidR="000D6E62" w:rsidRPr="00BA4EE5">
        <w:rPr>
          <w:rFonts w:ascii="Arial" w:hAnsi="Arial" w:cs="Arial"/>
          <w:color w:val="FF0000"/>
          <w:sz w:val="24"/>
          <w:szCs w:val="24"/>
          <w:lang w:val="en-US"/>
        </w:rPr>
        <w:t xml:space="preserve"> AH, Al-</w:t>
      </w:r>
      <w:proofErr w:type="spellStart"/>
      <w:r w:rsidR="000D6E62" w:rsidRPr="00BA4EE5">
        <w:rPr>
          <w:rFonts w:ascii="Arial" w:hAnsi="Arial" w:cs="Arial"/>
          <w:color w:val="FF0000"/>
          <w:sz w:val="24"/>
          <w:szCs w:val="24"/>
          <w:lang w:val="en-US"/>
        </w:rPr>
        <w:t>Abdulkareem</w:t>
      </w:r>
      <w:proofErr w:type="spellEnd"/>
      <w:r w:rsidR="000D6E62" w:rsidRPr="00BA4EE5">
        <w:rPr>
          <w:rFonts w:ascii="Arial" w:hAnsi="Arial" w:cs="Arial"/>
          <w:color w:val="FF0000"/>
          <w:sz w:val="24"/>
          <w:szCs w:val="24"/>
          <w:lang w:val="en-US"/>
        </w:rPr>
        <w:t xml:space="preserve"> A, et al. Low-dose hydrocortisone in patients with cirrhosis and septic shock: A randomized controlled trial. </w:t>
      </w:r>
      <w:r w:rsidR="000D6E62" w:rsidRPr="00BA4EE5">
        <w:rPr>
          <w:rFonts w:ascii="Arial" w:hAnsi="Arial" w:cs="Arial"/>
          <w:color w:val="FF0000"/>
          <w:sz w:val="24"/>
          <w:szCs w:val="24"/>
          <w:lang w:val="es-ES"/>
        </w:rPr>
        <w:t>CMAJ. 2010 Dec 14;182(18):1971–7.</w:t>
      </w:r>
    </w:p>
    <w:p w14:paraId="6B7BA3DA" w14:textId="0149C841" w:rsidR="00FA2D3D" w:rsidRPr="00BA4EE5" w:rsidRDefault="00FA2D3D" w:rsidP="000D6E62">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es-ES"/>
        </w:rPr>
        <w:t xml:space="preserve">Fernández J, Acevedo J, Wiest R, Gustot T, Amoros A, Deulofeu C, et al. </w:t>
      </w:r>
      <w:r w:rsidRPr="00BA4EE5">
        <w:rPr>
          <w:rFonts w:ascii="Arial" w:hAnsi="Arial" w:cs="Arial"/>
          <w:color w:val="FF0000"/>
          <w:sz w:val="24"/>
          <w:szCs w:val="24"/>
          <w:lang w:val="en-US"/>
        </w:rPr>
        <w:t xml:space="preserve">Bacterial and fungal infections in acute-on-chronic liver failure: Prevalence, characteristics and impact on prognosis. </w:t>
      </w:r>
      <w:r w:rsidRPr="00BA4EE5">
        <w:rPr>
          <w:rFonts w:ascii="Arial" w:hAnsi="Arial" w:cs="Arial"/>
          <w:color w:val="FF0000"/>
          <w:sz w:val="24"/>
          <w:szCs w:val="24"/>
          <w:lang w:val="it-IT"/>
        </w:rPr>
        <w:t>Gut. 2017 Nov 7;67(10):1870–80.</w:t>
      </w:r>
    </w:p>
    <w:p w14:paraId="13A9729D" w14:textId="570A58B4" w:rsidR="000D6E62" w:rsidRPr="00BA4EE5" w:rsidRDefault="000D6E62" w:rsidP="000D6E62">
      <w:pPr>
        <w:pStyle w:val="ListParagraph"/>
        <w:numPr>
          <w:ilvl w:val="0"/>
          <w:numId w:val="4"/>
        </w:numPr>
        <w:spacing w:after="0" w:line="480" w:lineRule="auto"/>
        <w:jc w:val="both"/>
        <w:rPr>
          <w:rFonts w:ascii="Arial" w:hAnsi="Arial" w:cs="Arial"/>
          <w:color w:val="FF0000"/>
          <w:sz w:val="24"/>
          <w:szCs w:val="24"/>
          <w:lang w:val="en-US"/>
        </w:rPr>
      </w:pPr>
      <w:proofErr w:type="spellStart"/>
      <w:r w:rsidRPr="00BA4EE5">
        <w:rPr>
          <w:rFonts w:ascii="Arial" w:hAnsi="Arial" w:cs="Arial"/>
          <w:color w:val="FF0000"/>
          <w:sz w:val="24"/>
          <w:szCs w:val="24"/>
          <w:lang w:val="en-US"/>
        </w:rPr>
        <w:t>Rello</w:t>
      </w:r>
      <w:proofErr w:type="spellEnd"/>
      <w:r w:rsidRPr="00BA4EE5">
        <w:rPr>
          <w:rFonts w:ascii="Arial" w:hAnsi="Arial" w:cs="Arial"/>
          <w:color w:val="FF0000"/>
          <w:sz w:val="24"/>
          <w:szCs w:val="24"/>
          <w:lang w:val="en-US"/>
        </w:rPr>
        <w:t xml:space="preserve"> J, Lode H, </w:t>
      </w:r>
      <w:proofErr w:type="spellStart"/>
      <w:r w:rsidRPr="00BA4EE5">
        <w:rPr>
          <w:rFonts w:ascii="Arial" w:hAnsi="Arial" w:cs="Arial"/>
          <w:color w:val="FF0000"/>
          <w:sz w:val="24"/>
          <w:szCs w:val="24"/>
          <w:lang w:val="en-US"/>
        </w:rPr>
        <w:t>Cornaglia</w:t>
      </w:r>
      <w:proofErr w:type="spellEnd"/>
      <w:r w:rsidRPr="00BA4EE5">
        <w:rPr>
          <w:rFonts w:ascii="Arial" w:hAnsi="Arial" w:cs="Arial"/>
          <w:color w:val="FF0000"/>
          <w:sz w:val="24"/>
          <w:szCs w:val="24"/>
          <w:lang w:val="en-US"/>
        </w:rPr>
        <w:t xml:space="preserve"> G, Masterton R. A European care bundle for prevention of ventilator-associated pneumonia. Intensive Care Med. 2010 May;36(5):773–80. </w:t>
      </w:r>
    </w:p>
    <w:p w14:paraId="33A48B02" w14:textId="311E37D7" w:rsidR="00FA2D3D" w:rsidRPr="00BA4EE5" w:rsidRDefault="000D6E62" w:rsidP="00FA2D3D">
      <w:pPr>
        <w:pStyle w:val="ListParagraph"/>
        <w:numPr>
          <w:ilvl w:val="0"/>
          <w:numId w:val="4"/>
        </w:numPr>
        <w:spacing w:after="0" w:line="480" w:lineRule="auto"/>
        <w:jc w:val="both"/>
        <w:rPr>
          <w:rFonts w:ascii="Arial" w:hAnsi="Arial" w:cs="Arial"/>
          <w:color w:val="FF0000"/>
          <w:sz w:val="24"/>
          <w:szCs w:val="24"/>
          <w:lang w:val="en-US"/>
        </w:rPr>
      </w:pPr>
      <w:r w:rsidRPr="00BA4EE5">
        <w:rPr>
          <w:rFonts w:ascii="Arial" w:hAnsi="Arial" w:cs="Arial"/>
          <w:color w:val="FF0000"/>
          <w:sz w:val="24"/>
          <w:szCs w:val="24"/>
          <w:lang w:val="it-IT"/>
        </w:rPr>
        <w:t xml:space="preserve">Rello J, Afonso E, Lisboa T, Ricart M, Balsera B, Rovira A, et al. </w:t>
      </w:r>
      <w:r w:rsidRPr="00BA4EE5">
        <w:rPr>
          <w:rFonts w:ascii="Arial" w:hAnsi="Arial" w:cs="Arial"/>
          <w:color w:val="FF0000"/>
          <w:sz w:val="24"/>
          <w:szCs w:val="24"/>
          <w:lang w:val="en-US"/>
        </w:rPr>
        <w:t xml:space="preserve">A care bundle approach for prevention of ventilator-associated pneumonia. Clin </w:t>
      </w:r>
      <w:proofErr w:type="spellStart"/>
      <w:r w:rsidRPr="00BA4EE5">
        <w:rPr>
          <w:rFonts w:ascii="Arial" w:hAnsi="Arial" w:cs="Arial"/>
          <w:color w:val="FF0000"/>
          <w:sz w:val="24"/>
          <w:szCs w:val="24"/>
          <w:lang w:val="en-US"/>
        </w:rPr>
        <w:t>Microbiol</w:t>
      </w:r>
      <w:proofErr w:type="spellEnd"/>
      <w:r w:rsidRPr="00BA4EE5">
        <w:rPr>
          <w:rFonts w:ascii="Arial" w:hAnsi="Arial" w:cs="Arial"/>
          <w:color w:val="FF0000"/>
          <w:sz w:val="24"/>
          <w:szCs w:val="24"/>
          <w:lang w:val="en-US"/>
        </w:rPr>
        <w:t xml:space="preserve"> Infect [Internet]. 2013 Apr;19(4):363–9.</w:t>
      </w:r>
    </w:p>
    <w:p w14:paraId="1FECD791" w14:textId="77777777" w:rsidR="00FA2D3D" w:rsidRDefault="00893F61" w:rsidP="00FA2D3D">
      <w:pPr>
        <w:pStyle w:val="ListParagraph"/>
        <w:numPr>
          <w:ilvl w:val="0"/>
          <w:numId w:val="4"/>
        </w:numPr>
        <w:spacing w:after="0" w:line="480" w:lineRule="auto"/>
        <w:jc w:val="both"/>
        <w:rPr>
          <w:rFonts w:ascii="Arial" w:hAnsi="Arial" w:cs="Arial"/>
          <w:sz w:val="24"/>
          <w:szCs w:val="24"/>
          <w:lang w:val="en-US"/>
        </w:rPr>
      </w:pPr>
      <w:r w:rsidRPr="00FA2D3D">
        <w:rPr>
          <w:rFonts w:ascii="Arial" w:hAnsi="Arial" w:cs="Arial"/>
          <w:color w:val="000000" w:themeColor="text1"/>
          <w:sz w:val="24"/>
          <w:szCs w:val="24"/>
          <w:lang w:val="es-ES"/>
        </w:rPr>
        <w:t xml:space="preserve">Jalan R, Saliba F, Pavesi M, et al. </w:t>
      </w:r>
      <w:r w:rsidRPr="00FA2D3D">
        <w:rPr>
          <w:rFonts w:ascii="Arial" w:hAnsi="Arial" w:cs="Arial"/>
          <w:color w:val="000000" w:themeColor="text1"/>
          <w:sz w:val="24"/>
          <w:szCs w:val="24"/>
          <w:lang w:val="en-US"/>
        </w:rPr>
        <w:t xml:space="preserve">Development and validation of a prognostic score to predict mortality in patients with acute-on-chronic liver failure. J Hepatol </w:t>
      </w:r>
      <w:proofErr w:type="gramStart"/>
      <w:r w:rsidRPr="00FA2D3D">
        <w:rPr>
          <w:rFonts w:ascii="Arial" w:hAnsi="Arial" w:cs="Arial"/>
          <w:color w:val="000000" w:themeColor="text1"/>
          <w:sz w:val="24"/>
          <w:szCs w:val="24"/>
          <w:lang w:val="en-US"/>
        </w:rPr>
        <w:t>2014;61:1038</w:t>
      </w:r>
      <w:proofErr w:type="gramEnd"/>
      <w:r w:rsidRPr="00FA2D3D">
        <w:rPr>
          <w:rFonts w:ascii="Arial" w:hAnsi="Arial" w:cs="Arial"/>
          <w:color w:val="000000" w:themeColor="text1"/>
          <w:sz w:val="24"/>
          <w:szCs w:val="24"/>
          <w:lang w:val="en-US"/>
        </w:rPr>
        <w:t>–47.</w:t>
      </w:r>
    </w:p>
    <w:p w14:paraId="79761B0F" w14:textId="77777777" w:rsidR="00FA2D3D" w:rsidRPr="00FA2D3D" w:rsidRDefault="00893F61" w:rsidP="00FA2D3D">
      <w:pPr>
        <w:pStyle w:val="ListParagraph"/>
        <w:numPr>
          <w:ilvl w:val="0"/>
          <w:numId w:val="4"/>
        </w:numPr>
        <w:spacing w:after="0" w:line="480" w:lineRule="auto"/>
        <w:jc w:val="both"/>
        <w:rPr>
          <w:rFonts w:ascii="Arial" w:hAnsi="Arial" w:cs="Arial"/>
          <w:sz w:val="24"/>
          <w:szCs w:val="24"/>
          <w:lang w:val="en-US"/>
        </w:rPr>
      </w:pPr>
      <w:r w:rsidRPr="00FA2D3D">
        <w:rPr>
          <w:rFonts w:ascii="Arial" w:hAnsi="Arial" w:cs="Arial"/>
          <w:color w:val="000000" w:themeColor="text1"/>
          <w:sz w:val="24"/>
          <w:szCs w:val="24"/>
          <w:lang w:val="nl-NL"/>
        </w:rPr>
        <w:lastRenderedPageBreak/>
        <w:t xml:space="preserve">Moreau R, Jalan R, Ginès P, et al. </w:t>
      </w:r>
      <w:r w:rsidRPr="00FA2D3D">
        <w:rPr>
          <w:rFonts w:ascii="Arial" w:hAnsi="Arial" w:cs="Arial"/>
          <w:color w:val="000000" w:themeColor="text1"/>
          <w:sz w:val="24"/>
          <w:szCs w:val="24"/>
          <w:lang w:val="en-US"/>
        </w:rPr>
        <w:t xml:space="preserve">Acute-on-chronic liver failure is a distinct syndrome that develops in patients with acute decompensation of cirrhosis. Gastroenterology </w:t>
      </w:r>
      <w:proofErr w:type="gramStart"/>
      <w:r w:rsidRPr="00FA2D3D">
        <w:rPr>
          <w:rFonts w:ascii="Arial" w:hAnsi="Arial" w:cs="Arial"/>
          <w:color w:val="000000" w:themeColor="text1"/>
          <w:sz w:val="24"/>
          <w:szCs w:val="24"/>
          <w:lang w:val="en-US"/>
        </w:rPr>
        <w:t>2013;144:1426</w:t>
      </w:r>
      <w:proofErr w:type="gramEnd"/>
      <w:r w:rsidRPr="00FA2D3D">
        <w:rPr>
          <w:rFonts w:ascii="Arial" w:hAnsi="Arial" w:cs="Arial"/>
          <w:color w:val="000000" w:themeColor="text1"/>
          <w:sz w:val="24"/>
          <w:szCs w:val="24"/>
          <w:lang w:val="en-US"/>
        </w:rPr>
        <w:t>–37.</w:t>
      </w:r>
    </w:p>
    <w:p w14:paraId="7ADBD830" w14:textId="77777777" w:rsidR="00FA2D3D" w:rsidRPr="00FA2D3D" w:rsidRDefault="00893F61" w:rsidP="00FA2D3D">
      <w:pPr>
        <w:pStyle w:val="ListParagraph"/>
        <w:numPr>
          <w:ilvl w:val="0"/>
          <w:numId w:val="4"/>
        </w:numPr>
        <w:spacing w:after="0" w:line="480" w:lineRule="auto"/>
        <w:jc w:val="both"/>
        <w:rPr>
          <w:rFonts w:ascii="Arial" w:hAnsi="Arial" w:cs="Arial"/>
          <w:sz w:val="24"/>
          <w:szCs w:val="24"/>
          <w:lang w:val="en-US"/>
        </w:rPr>
      </w:pPr>
      <w:r w:rsidRPr="00FA2D3D">
        <w:rPr>
          <w:rFonts w:ascii="Arial" w:eastAsia="Times New Roman" w:hAnsi="Arial" w:cs="Arial"/>
          <w:bCs/>
          <w:color w:val="000000" w:themeColor="text1"/>
          <w:sz w:val="24"/>
          <w:szCs w:val="24"/>
          <w:lang w:val="en-US" w:eastAsia="fr-FR"/>
        </w:rPr>
        <w:t>Wu T</w:t>
      </w:r>
      <w:r w:rsidRPr="00FA2D3D">
        <w:rPr>
          <w:rFonts w:ascii="Arial" w:eastAsia="Times New Roman" w:hAnsi="Arial" w:cs="Arial"/>
          <w:color w:val="000000" w:themeColor="text1"/>
          <w:sz w:val="24"/>
          <w:szCs w:val="24"/>
          <w:lang w:val="en-US" w:eastAsia="fr-FR"/>
        </w:rPr>
        <w:t>, Li J, Shao L, Xin J, et al.</w:t>
      </w:r>
      <w:r w:rsidR="008F2672" w:rsidRPr="00FA2D3D">
        <w:rPr>
          <w:rFonts w:ascii="Arial" w:eastAsia="Times New Roman" w:hAnsi="Arial" w:cs="Arial"/>
          <w:color w:val="000000" w:themeColor="text1"/>
          <w:sz w:val="24"/>
          <w:szCs w:val="24"/>
          <w:lang w:val="en-US" w:eastAsia="fr-FR"/>
        </w:rPr>
        <w:t xml:space="preserve"> </w:t>
      </w:r>
      <w:r w:rsidRPr="00FA2D3D">
        <w:rPr>
          <w:rFonts w:ascii="Arial" w:eastAsia="Times New Roman" w:hAnsi="Arial" w:cs="Arial"/>
          <w:color w:val="000000" w:themeColor="text1"/>
          <w:sz w:val="24"/>
          <w:szCs w:val="24"/>
          <w:shd w:val="clear" w:color="auto" w:fill="FFFFFF"/>
          <w:lang w:val="en-US" w:eastAsia="fr-FR"/>
        </w:rPr>
        <w:t xml:space="preserve">Development of diagnostic criteria and a prognostic score for hepatitis B virus-related acute-on-chronic liver failure. </w:t>
      </w:r>
      <w:r w:rsidRPr="00FA2D3D">
        <w:rPr>
          <w:rFonts w:ascii="Arial" w:eastAsia="Times New Roman" w:hAnsi="Arial" w:cs="Arial"/>
          <w:color w:val="000000" w:themeColor="text1"/>
          <w:sz w:val="24"/>
          <w:szCs w:val="24"/>
          <w:lang w:val="en-US" w:eastAsia="fr-FR"/>
        </w:rPr>
        <w:t xml:space="preserve">Gut </w:t>
      </w:r>
      <w:proofErr w:type="gramStart"/>
      <w:r w:rsidRPr="00FA2D3D">
        <w:rPr>
          <w:rFonts w:ascii="Arial" w:eastAsia="Times New Roman" w:hAnsi="Arial" w:cs="Arial"/>
          <w:color w:val="000000" w:themeColor="text1"/>
          <w:sz w:val="24"/>
          <w:szCs w:val="24"/>
          <w:lang w:val="en-US" w:eastAsia="fr-FR"/>
        </w:rPr>
        <w:t>2018;67:2181</w:t>
      </w:r>
      <w:proofErr w:type="gramEnd"/>
      <w:r w:rsidRPr="00FA2D3D">
        <w:rPr>
          <w:rFonts w:ascii="Arial" w:hAnsi="Arial" w:cs="Arial"/>
          <w:color w:val="000000" w:themeColor="text1"/>
          <w:sz w:val="24"/>
          <w:szCs w:val="24"/>
          <w:lang w:val="en-US"/>
        </w:rPr>
        <w:t>–</w:t>
      </w:r>
      <w:r w:rsidRPr="00FA2D3D">
        <w:rPr>
          <w:rFonts w:ascii="Arial" w:eastAsia="Times New Roman" w:hAnsi="Arial" w:cs="Arial"/>
          <w:color w:val="000000" w:themeColor="text1"/>
          <w:sz w:val="24"/>
          <w:szCs w:val="24"/>
          <w:lang w:val="en-US" w:eastAsia="fr-FR"/>
        </w:rPr>
        <w:t>91.</w:t>
      </w:r>
    </w:p>
    <w:p w14:paraId="4DA6CCFE" w14:textId="77777777" w:rsidR="00FA2D3D" w:rsidRPr="00FA2D3D" w:rsidRDefault="00893F61" w:rsidP="00FA2D3D">
      <w:pPr>
        <w:pStyle w:val="ListParagraph"/>
        <w:numPr>
          <w:ilvl w:val="0"/>
          <w:numId w:val="4"/>
        </w:numPr>
        <w:spacing w:after="0" w:line="480" w:lineRule="auto"/>
        <w:jc w:val="both"/>
        <w:rPr>
          <w:rFonts w:ascii="Arial" w:hAnsi="Arial" w:cs="Arial"/>
          <w:sz w:val="24"/>
          <w:szCs w:val="24"/>
          <w:lang w:val="en-US"/>
        </w:rPr>
      </w:pPr>
      <w:r w:rsidRPr="00FA2D3D">
        <w:rPr>
          <w:rFonts w:ascii="Arial" w:hAnsi="Arial" w:cs="Arial"/>
          <w:color w:val="000000" w:themeColor="text1"/>
          <w:sz w:val="24"/>
          <w:szCs w:val="24"/>
          <w:lang w:val="en-US"/>
        </w:rPr>
        <w:t xml:space="preserve">Bajaj JS, O’Leary JG, Reddy KR, et al. Survival in infection-related acute-on-chronic liver failure is defined by extrahepatic organ failures. Hepatology </w:t>
      </w:r>
      <w:proofErr w:type="gramStart"/>
      <w:r w:rsidRPr="00FA2D3D">
        <w:rPr>
          <w:rFonts w:ascii="Arial" w:hAnsi="Arial" w:cs="Arial"/>
          <w:color w:val="000000" w:themeColor="text1"/>
          <w:sz w:val="24"/>
          <w:szCs w:val="24"/>
          <w:lang w:val="en-US"/>
        </w:rPr>
        <w:t>2014;60:250</w:t>
      </w:r>
      <w:proofErr w:type="gramEnd"/>
      <w:r w:rsidRPr="00FA2D3D">
        <w:rPr>
          <w:rFonts w:ascii="Arial" w:hAnsi="Arial" w:cs="Arial"/>
          <w:color w:val="000000" w:themeColor="text1"/>
          <w:sz w:val="24"/>
          <w:szCs w:val="24"/>
          <w:lang w:val="en-US"/>
        </w:rPr>
        <w:t xml:space="preserve">-6. </w:t>
      </w:r>
    </w:p>
    <w:p w14:paraId="153C15CB" w14:textId="77777777" w:rsidR="00FA2D3D" w:rsidRPr="00FA2D3D" w:rsidRDefault="00893F61" w:rsidP="00FA2D3D">
      <w:pPr>
        <w:pStyle w:val="ListParagraph"/>
        <w:numPr>
          <w:ilvl w:val="0"/>
          <w:numId w:val="4"/>
        </w:numPr>
        <w:spacing w:after="0" w:line="480" w:lineRule="auto"/>
        <w:jc w:val="both"/>
        <w:rPr>
          <w:rFonts w:ascii="Arial" w:hAnsi="Arial" w:cs="Arial"/>
          <w:sz w:val="24"/>
          <w:szCs w:val="24"/>
          <w:lang w:val="en-US"/>
        </w:rPr>
      </w:pPr>
      <w:r w:rsidRPr="00FA2D3D">
        <w:rPr>
          <w:rFonts w:ascii="Arial" w:hAnsi="Arial" w:cs="Arial"/>
          <w:color w:val="000000" w:themeColor="text1"/>
          <w:sz w:val="24"/>
          <w:szCs w:val="24"/>
          <w:lang w:val="en-US"/>
        </w:rPr>
        <w:t>O’Leary JG, Reddy KR, Garcia-Tsao G, et al. NACSELD acute-on-chronic liver failure (NACSELD-ACLF) score predicts 30-day survival in hospitalized patients with cirrhosis. Hepatology 2018; 67: 2367-74.</w:t>
      </w:r>
    </w:p>
    <w:p w14:paraId="3C4A3E99" w14:textId="1BA49D87" w:rsidR="00893F61" w:rsidRPr="00FA2D3D" w:rsidRDefault="00893F61" w:rsidP="00FA2D3D">
      <w:pPr>
        <w:pStyle w:val="ListParagraph"/>
        <w:numPr>
          <w:ilvl w:val="0"/>
          <w:numId w:val="4"/>
        </w:numPr>
        <w:spacing w:after="0" w:line="480" w:lineRule="auto"/>
        <w:jc w:val="both"/>
        <w:rPr>
          <w:rFonts w:ascii="Arial" w:hAnsi="Arial" w:cs="Arial"/>
          <w:sz w:val="24"/>
          <w:szCs w:val="24"/>
          <w:lang w:val="en-US"/>
        </w:rPr>
      </w:pPr>
      <w:r w:rsidRPr="00FA2D3D">
        <w:rPr>
          <w:rFonts w:ascii="Arial" w:hAnsi="Arial" w:cs="Arial"/>
          <w:color w:val="000000" w:themeColor="text1"/>
          <w:sz w:val="24"/>
          <w:szCs w:val="24"/>
          <w:lang w:val="nl-NL"/>
        </w:rPr>
        <w:t xml:space="preserve">Sarin SK, Kunar S, Almeida JA, et al. </w:t>
      </w:r>
      <w:r w:rsidRPr="00FA2D3D">
        <w:rPr>
          <w:rFonts w:ascii="Arial" w:hAnsi="Arial" w:cs="Arial"/>
          <w:color w:val="000000" w:themeColor="text1"/>
          <w:sz w:val="24"/>
          <w:szCs w:val="24"/>
          <w:lang w:val="en-US"/>
        </w:rPr>
        <w:t xml:space="preserve">Acute on chronic liver failure: consensus recommendations of the Asian Pacific Association for the Study of the Liver (APASL). Hepatol Int </w:t>
      </w:r>
      <w:proofErr w:type="gramStart"/>
      <w:r w:rsidRPr="00FA2D3D">
        <w:rPr>
          <w:rFonts w:ascii="Arial" w:hAnsi="Arial" w:cs="Arial"/>
          <w:color w:val="000000" w:themeColor="text1"/>
          <w:sz w:val="24"/>
          <w:szCs w:val="24"/>
          <w:lang w:val="en-US"/>
        </w:rPr>
        <w:t>2009;3:269</w:t>
      </w:r>
      <w:proofErr w:type="gramEnd"/>
      <w:r w:rsidRPr="00FA2D3D">
        <w:rPr>
          <w:rFonts w:ascii="Arial" w:hAnsi="Arial" w:cs="Arial"/>
          <w:color w:val="000000" w:themeColor="text1"/>
          <w:sz w:val="24"/>
          <w:szCs w:val="24"/>
          <w:lang w:val="en-US"/>
        </w:rPr>
        <w:t>-82.</w:t>
      </w:r>
    </w:p>
    <w:p w14:paraId="0750542B" w14:textId="77777777" w:rsidR="00893F61" w:rsidRDefault="00893F61" w:rsidP="00893F61">
      <w:pPr>
        <w:tabs>
          <w:tab w:val="left" w:pos="3915"/>
        </w:tabs>
        <w:rPr>
          <w:rFonts w:ascii="Arial" w:hAnsi="Arial" w:cs="Arial"/>
          <w:sz w:val="24"/>
          <w:szCs w:val="24"/>
        </w:rPr>
      </w:pPr>
    </w:p>
    <w:p w14:paraId="2FB9AE45" w14:textId="77777777" w:rsidR="00893F61" w:rsidRPr="00380B38" w:rsidRDefault="00893F61" w:rsidP="00893F61">
      <w:pPr>
        <w:tabs>
          <w:tab w:val="left" w:pos="3915"/>
        </w:tabs>
        <w:rPr>
          <w:rFonts w:ascii="Arial" w:hAnsi="Arial" w:cs="Arial"/>
          <w:sz w:val="24"/>
          <w:szCs w:val="24"/>
        </w:rPr>
      </w:pPr>
      <w:r>
        <w:rPr>
          <w:rFonts w:ascii="Arial" w:hAnsi="Arial" w:cs="Arial"/>
          <w:sz w:val="24"/>
          <w:szCs w:val="24"/>
        </w:rPr>
        <w:tab/>
      </w:r>
    </w:p>
    <w:p w14:paraId="015F4CD6" w14:textId="77777777" w:rsidR="00BB5DB1" w:rsidRDefault="000E4343"/>
    <w:sectPr w:rsidR="00BB5DB1" w:rsidSect="002D7A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E418" w14:textId="77777777" w:rsidR="00531880" w:rsidRDefault="00531880" w:rsidP="0070797F">
      <w:pPr>
        <w:spacing w:after="0" w:line="240" w:lineRule="auto"/>
      </w:pPr>
      <w:r>
        <w:separator/>
      </w:r>
    </w:p>
  </w:endnote>
  <w:endnote w:type="continuationSeparator" w:id="0">
    <w:p w14:paraId="60882C11" w14:textId="77777777" w:rsidR="00531880" w:rsidRDefault="00531880" w:rsidP="0070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NEJMQuadraat">
    <w:panose1 w:val="00000000000000000000"/>
    <w:charset w:val="86"/>
    <w:family w:val="roman"/>
    <w:notTrueType/>
    <w:pitch w:val="default"/>
    <w:sig w:usb0="00000000" w:usb1="080F0000" w:usb2="00000010" w:usb3="00000000" w:csb0="0006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70B5" w14:textId="77777777" w:rsidR="00531880" w:rsidRDefault="00531880" w:rsidP="0070797F">
      <w:pPr>
        <w:spacing w:after="0" w:line="240" w:lineRule="auto"/>
      </w:pPr>
      <w:r>
        <w:separator/>
      </w:r>
    </w:p>
  </w:footnote>
  <w:footnote w:type="continuationSeparator" w:id="0">
    <w:p w14:paraId="4DA52199" w14:textId="77777777" w:rsidR="00531880" w:rsidRDefault="00531880" w:rsidP="0070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58742"/>
      <w:docPartObj>
        <w:docPartGallery w:val="Page Numbers (Top of Page)"/>
        <w:docPartUnique/>
      </w:docPartObj>
    </w:sdtPr>
    <w:sdtEndPr>
      <w:rPr>
        <w:rFonts w:ascii="Arial" w:hAnsi="Arial" w:cs="Arial"/>
        <w:b/>
        <w:sz w:val="20"/>
      </w:rPr>
    </w:sdtEndPr>
    <w:sdtContent>
      <w:p w14:paraId="11623626" w14:textId="75DA9458" w:rsidR="0070797F" w:rsidRPr="0070797F" w:rsidRDefault="0070797F">
        <w:pPr>
          <w:pStyle w:val="Header"/>
          <w:jc w:val="right"/>
          <w:rPr>
            <w:rFonts w:ascii="Arial" w:hAnsi="Arial" w:cs="Arial"/>
            <w:b/>
            <w:sz w:val="20"/>
          </w:rPr>
        </w:pPr>
        <w:r w:rsidRPr="0070797F">
          <w:rPr>
            <w:rFonts w:ascii="Arial" w:hAnsi="Arial" w:cs="Arial"/>
            <w:b/>
            <w:sz w:val="20"/>
          </w:rPr>
          <w:fldChar w:fldCharType="begin"/>
        </w:r>
        <w:r w:rsidRPr="0070797F">
          <w:rPr>
            <w:rFonts w:ascii="Arial" w:hAnsi="Arial" w:cs="Arial"/>
            <w:b/>
            <w:sz w:val="20"/>
          </w:rPr>
          <w:instrText>PAGE   \* MERGEFORMAT</w:instrText>
        </w:r>
        <w:r w:rsidRPr="0070797F">
          <w:rPr>
            <w:rFonts w:ascii="Arial" w:hAnsi="Arial" w:cs="Arial"/>
            <w:b/>
            <w:sz w:val="20"/>
          </w:rPr>
          <w:fldChar w:fldCharType="separate"/>
        </w:r>
        <w:r w:rsidR="001A7BE3">
          <w:rPr>
            <w:rFonts w:ascii="Arial" w:hAnsi="Arial" w:cs="Arial"/>
            <w:b/>
            <w:noProof/>
            <w:sz w:val="20"/>
          </w:rPr>
          <w:t>26</w:t>
        </w:r>
        <w:r w:rsidRPr="0070797F">
          <w:rPr>
            <w:rFonts w:ascii="Arial" w:hAnsi="Arial" w:cs="Arial"/>
            <w:b/>
            <w:sz w:val="20"/>
          </w:rPr>
          <w:fldChar w:fldCharType="end"/>
        </w:r>
      </w:p>
    </w:sdtContent>
  </w:sdt>
  <w:p w14:paraId="7FC41316" w14:textId="77777777" w:rsidR="0070797F" w:rsidRDefault="00707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A4B"/>
    <w:multiLevelType w:val="hybridMultilevel"/>
    <w:tmpl w:val="568E09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C12432"/>
    <w:multiLevelType w:val="hybridMultilevel"/>
    <w:tmpl w:val="B5E82C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3425AAE"/>
    <w:multiLevelType w:val="hybridMultilevel"/>
    <w:tmpl w:val="1646DB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55072C4"/>
    <w:multiLevelType w:val="hybridMultilevel"/>
    <w:tmpl w:val="225C74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663396E"/>
    <w:multiLevelType w:val="hybridMultilevel"/>
    <w:tmpl w:val="049C1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54591C"/>
    <w:multiLevelType w:val="hybridMultilevel"/>
    <w:tmpl w:val="A9EC44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14673A7"/>
    <w:multiLevelType w:val="hybridMultilevel"/>
    <w:tmpl w:val="03BED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473A9A"/>
    <w:multiLevelType w:val="hybridMultilevel"/>
    <w:tmpl w:val="CB227276"/>
    <w:lvl w:ilvl="0" w:tplc="00E47CCA">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19275470">
    <w:abstractNumId w:val="7"/>
  </w:num>
  <w:num w:numId="2" w16cid:durableId="989943597">
    <w:abstractNumId w:val="4"/>
  </w:num>
  <w:num w:numId="3" w16cid:durableId="980157827">
    <w:abstractNumId w:val="6"/>
  </w:num>
  <w:num w:numId="4" w16cid:durableId="501510218">
    <w:abstractNumId w:val="5"/>
  </w:num>
  <w:num w:numId="5" w16cid:durableId="1130629513">
    <w:abstractNumId w:val="0"/>
  </w:num>
  <w:num w:numId="6" w16cid:durableId="1980265687">
    <w:abstractNumId w:val="1"/>
  </w:num>
  <w:num w:numId="7" w16cid:durableId="2367162">
    <w:abstractNumId w:val="2"/>
  </w:num>
  <w:num w:numId="8" w16cid:durableId="1307706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61"/>
    <w:rsid w:val="000D6E62"/>
    <w:rsid w:val="000E4343"/>
    <w:rsid w:val="00113C9F"/>
    <w:rsid w:val="00152A69"/>
    <w:rsid w:val="001A7BE3"/>
    <w:rsid w:val="00253B39"/>
    <w:rsid w:val="0038192C"/>
    <w:rsid w:val="00424AF3"/>
    <w:rsid w:val="004554E1"/>
    <w:rsid w:val="00481023"/>
    <w:rsid w:val="004A115B"/>
    <w:rsid w:val="004E502D"/>
    <w:rsid w:val="00505CAC"/>
    <w:rsid w:val="00531880"/>
    <w:rsid w:val="00543CDC"/>
    <w:rsid w:val="005B6210"/>
    <w:rsid w:val="0068651F"/>
    <w:rsid w:val="006D7CC1"/>
    <w:rsid w:val="0070797F"/>
    <w:rsid w:val="0072536B"/>
    <w:rsid w:val="00760F24"/>
    <w:rsid w:val="00856F18"/>
    <w:rsid w:val="00893F61"/>
    <w:rsid w:val="008A6EDF"/>
    <w:rsid w:val="008F2672"/>
    <w:rsid w:val="00913F3F"/>
    <w:rsid w:val="00957C4A"/>
    <w:rsid w:val="009B617B"/>
    <w:rsid w:val="00A50D80"/>
    <w:rsid w:val="00AC3CD6"/>
    <w:rsid w:val="00B4251D"/>
    <w:rsid w:val="00BA4EE5"/>
    <w:rsid w:val="00BE7172"/>
    <w:rsid w:val="00C2034D"/>
    <w:rsid w:val="00C20632"/>
    <w:rsid w:val="00C447D0"/>
    <w:rsid w:val="00E577DB"/>
    <w:rsid w:val="00E72460"/>
    <w:rsid w:val="00E956CA"/>
    <w:rsid w:val="00ED16F8"/>
    <w:rsid w:val="00F30933"/>
    <w:rsid w:val="00F54314"/>
    <w:rsid w:val="00FA2D3D"/>
    <w:rsid w:val="00FD6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E139"/>
  <w15:chartTrackingRefBased/>
  <w15:docId w15:val="{65B20C5F-A0D4-4BD8-838F-13C1C2AA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61"/>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61"/>
    <w:pPr>
      <w:ind w:left="720"/>
      <w:contextualSpacing/>
    </w:pPr>
  </w:style>
  <w:style w:type="table" w:styleId="TableGrid">
    <w:name w:val="Table Grid"/>
    <w:basedOn w:val="TableNormal"/>
    <w:uiPriority w:val="39"/>
    <w:rsid w:val="00893F61"/>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93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893F61"/>
    <w:rPr>
      <w:rFonts w:ascii="Courier New" w:eastAsia="Times New Roman" w:hAnsi="Courier New" w:cs="Courier New"/>
      <w:sz w:val="20"/>
      <w:szCs w:val="20"/>
      <w:lang w:eastAsia="fr-FR"/>
    </w:rPr>
  </w:style>
  <w:style w:type="paragraph" w:styleId="Header">
    <w:name w:val="header"/>
    <w:basedOn w:val="Normal"/>
    <w:link w:val="HeaderChar"/>
    <w:uiPriority w:val="99"/>
    <w:unhideWhenUsed/>
    <w:rsid w:val="007079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797F"/>
    <w:rPr>
      <w:rFonts w:eastAsiaTheme="minorEastAsia"/>
      <w:lang w:eastAsia="ko-KR"/>
    </w:rPr>
  </w:style>
  <w:style w:type="paragraph" w:styleId="Footer">
    <w:name w:val="footer"/>
    <w:basedOn w:val="Normal"/>
    <w:link w:val="FooterChar"/>
    <w:uiPriority w:val="99"/>
    <w:unhideWhenUsed/>
    <w:rsid w:val="007079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97F"/>
    <w:rPr>
      <w:rFonts w:eastAsiaTheme="minorEastAsia"/>
      <w:lang w:eastAsia="ko-KR"/>
    </w:rPr>
  </w:style>
  <w:style w:type="paragraph" w:styleId="NormalWeb">
    <w:name w:val="Normal (Web)"/>
    <w:basedOn w:val="Normal"/>
    <w:uiPriority w:val="99"/>
    <w:unhideWhenUsed/>
    <w:rsid w:val="00505C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505CAC"/>
  </w:style>
  <w:style w:type="character" w:styleId="Strong">
    <w:name w:val="Strong"/>
    <w:basedOn w:val="DefaultParagraphFont"/>
    <w:uiPriority w:val="22"/>
    <w:qFormat/>
    <w:rsid w:val="00505CAC"/>
    <w:rPr>
      <w:b/>
      <w:bCs/>
    </w:rPr>
  </w:style>
  <w:style w:type="character" w:customStyle="1" w:styleId="docsum-pmid">
    <w:name w:val="docsum-pmid"/>
    <w:basedOn w:val="DefaultParagraphFont"/>
    <w:rsid w:val="00957C4A"/>
  </w:style>
  <w:style w:type="character" w:customStyle="1" w:styleId="docsum-authors">
    <w:name w:val="docsum-authors"/>
    <w:basedOn w:val="DefaultParagraphFont"/>
    <w:rsid w:val="00543CDC"/>
  </w:style>
  <w:style w:type="paragraph" w:styleId="BalloonText">
    <w:name w:val="Balloon Text"/>
    <w:basedOn w:val="Normal"/>
    <w:link w:val="BalloonTextChar"/>
    <w:uiPriority w:val="99"/>
    <w:semiHidden/>
    <w:unhideWhenUsed/>
    <w:rsid w:val="00BA4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EE5"/>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457B22C22D64C93554594C3E41CB4" ma:contentTypeVersion="15" ma:contentTypeDescription="Create a new document." ma:contentTypeScope="" ma:versionID="c322463bfa9e723c9b02e00a9135e244">
  <xsd:schema xmlns:xsd="http://www.w3.org/2001/XMLSchema" xmlns:xs="http://www.w3.org/2001/XMLSchema" xmlns:p="http://schemas.microsoft.com/office/2006/metadata/properties" xmlns:ns2="c8e544b4-f49c-46d8-99aa-e94078d1fb70" xmlns:ns3="5ab5e089-4878-422b-9a4f-d160ce491501" targetNamespace="http://schemas.microsoft.com/office/2006/metadata/properties" ma:root="true" ma:fieldsID="9987a6931a91097e2a9950e27b940f8a" ns2:_="" ns3:_="">
    <xsd:import namespace="c8e544b4-f49c-46d8-99aa-e94078d1fb70"/>
    <xsd:import namespace="5ab5e089-4878-422b-9a4f-d160ce491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544b4-f49c-46d8-99aa-e94078d1f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541184b-64da-461f-be6c-88eaa40d6a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b5e089-4878-422b-9a4f-d160ce49150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f8c62f3-a977-43b3-92a1-732927ea2720}" ma:internalName="TaxCatchAll" ma:showField="CatchAllData" ma:web="5ab5e089-4878-422b-9a4f-d160ce4915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4C082-083A-475E-9308-4CE57877EC2A}">
  <ds:schemaRefs>
    <ds:schemaRef ds:uri="http://schemas.microsoft.com/sharepoint/v3/contenttype/forms"/>
  </ds:schemaRefs>
</ds:datastoreItem>
</file>

<file path=customXml/itemProps2.xml><?xml version="1.0" encoding="utf-8"?>
<ds:datastoreItem xmlns:ds="http://schemas.openxmlformats.org/officeDocument/2006/customXml" ds:itemID="{C6D56EF7-3E18-48D9-B2C0-AB43EE87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544b4-f49c-46d8-99aa-e94078d1fb70"/>
    <ds:schemaRef ds:uri="5ab5e089-4878-422b-9a4f-d160ce49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5802</Words>
  <Characters>33075</Characters>
  <Application>Microsoft Office Word</Application>
  <DocSecurity>4</DocSecurity>
  <Lines>275</Lines>
  <Paragraphs>77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Moreau</dc:creator>
  <cp:keywords/>
  <dc:description/>
  <cp:lastModifiedBy>Allington-Smith, Dominic</cp:lastModifiedBy>
  <cp:revision>2</cp:revision>
  <cp:lastPrinted>2023-04-16T11:15:00Z</cp:lastPrinted>
  <dcterms:created xsi:type="dcterms:W3CDTF">2023-09-20T10:10:00Z</dcterms:created>
  <dcterms:modified xsi:type="dcterms:W3CDTF">2023-09-20T10:10:00Z</dcterms:modified>
</cp:coreProperties>
</file>