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22CAC" w14:textId="77777777" w:rsidR="00940192" w:rsidRPr="00962859" w:rsidRDefault="00940192" w:rsidP="00CA7FF2">
      <w:pPr>
        <w:pStyle w:val="Titolo"/>
      </w:pPr>
      <w:r w:rsidRPr="00AB1153">
        <w:t>L</w:t>
      </w:r>
      <w:r w:rsidR="00A12BF0">
        <w:t xml:space="preserve">ife Cycle Assessment of buffalo </w:t>
      </w:r>
      <w:r w:rsidR="00BD43E3">
        <w:t>milk:</w:t>
      </w:r>
      <w:r w:rsidR="00A12BF0">
        <w:t xml:space="preserve"> a case study of three farms in southern Italy </w:t>
      </w:r>
    </w:p>
    <w:p w14:paraId="5DD8C48F" w14:textId="2B9D46A2" w:rsidR="00940192" w:rsidRPr="00BD43E3" w:rsidRDefault="00940192" w:rsidP="0068001D">
      <w:pPr>
        <w:pStyle w:val="MFIPAbstractBody"/>
        <w:rPr>
          <w:lang w:val="it-IT"/>
        </w:rPr>
      </w:pPr>
      <w:r w:rsidRPr="00BD43E3">
        <w:rPr>
          <w:lang w:val="it-IT"/>
        </w:rPr>
        <w:t>Roberto Chirone</w:t>
      </w:r>
      <w:r w:rsidRPr="00BD43E3">
        <w:rPr>
          <w:vertAlign w:val="superscript"/>
          <w:lang w:val="it-IT"/>
        </w:rPr>
        <w:t>1</w:t>
      </w:r>
      <w:r w:rsidR="00BD43E3">
        <w:rPr>
          <w:vertAlign w:val="superscript"/>
          <w:lang w:val="it-IT"/>
        </w:rPr>
        <w:t>, 2</w:t>
      </w:r>
      <w:r w:rsidRPr="00BD43E3">
        <w:rPr>
          <w:lang w:val="it-IT"/>
        </w:rPr>
        <w:t xml:space="preserve">, </w:t>
      </w:r>
      <w:r w:rsidR="00BD43E3">
        <w:rPr>
          <w:lang w:val="it-IT"/>
        </w:rPr>
        <w:t>Andrea Paulillo</w:t>
      </w:r>
      <w:r w:rsidRPr="00BD43E3">
        <w:rPr>
          <w:vertAlign w:val="superscript"/>
          <w:lang w:val="it-IT"/>
        </w:rPr>
        <w:t>2</w:t>
      </w:r>
      <w:r w:rsidR="00BD43E3">
        <w:rPr>
          <w:vertAlign w:val="superscript"/>
          <w:lang w:val="it-IT"/>
        </w:rPr>
        <w:t>, 3</w:t>
      </w:r>
      <w:r w:rsidRPr="00BD43E3">
        <w:rPr>
          <w:lang w:val="it-IT"/>
        </w:rPr>
        <w:t>,</w:t>
      </w:r>
      <w:r w:rsidR="00BD43E3">
        <w:rPr>
          <w:lang w:val="it-IT"/>
        </w:rPr>
        <w:t xml:space="preserve"> </w:t>
      </w:r>
      <w:r w:rsidR="00493ADC">
        <w:rPr>
          <w:lang w:val="it-IT"/>
        </w:rPr>
        <w:t>Piero Salatino</w:t>
      </w:r>
      <w:r w:rsidR="00493ADC" w:rsidRPr="00493ADC">
        <w:rPr>
          <w:vertAlign w:val="superscript"/>
          <w:lang w:val="it-IT"/>
        </w:rPr>
        <w:t>1</w:t>
      </w:r>
      <w:r w:rsidR="00493ADC">
        <w:rPr>
          <w:lang w:val="it-IT"/>
        </w:rPr>
        <w:t xml:space="preserve">, </w:t>
      </w:r>
      <w:r w:rsidR="001E4B06">
        <w:rPr>
          <w:lang w:val="it-IT"/>
        </w:rPr>
        <w:t>Angela Salzano</w:t>
      </w:r>
      <w:r w:rsidR="001E4B06" w:rsidRPr="001E4B06">
        <w:rPr>
          <w:vertAlign w:val="superscript"/>
          <w:lang w:val="it-IT"/>
        </w:rPr>
        <w:t>*4</w:t>
      </w:r>
      <w:r w:rsidR="001E4B06">
        <w:rPr>
          <w:lang w:val="it-IT"/>
        </w:rPr>
        <w:t xml:space="preserve">, </w:t>
      </w:r>
      <w:r w:rsidR="00BD43E3">
        <w:rPr>
          <w:lang w:val="it-IT"/>
        </w:rPr>
        <w:t>Brigida Cristofaro</w:t>
      </w:r>
      <w:r w:rsidR="00BD43E3" w:rsidRPr="00BD43E3">
        <w:rPr>
          <w:vertAlign w:val="superscript"/>
          <w:lang w:val="it-IT"/>
        </w:rPr>
        <w:t>4</w:t>
      </w:r>
      <w:r w:rsidR="00BD43E3">
        <w:rPr>
          <w:lang w:val="it-IT"/>
        </w:rPr>
        <w:t>,</w:t>
      </w:r>
      <w:r w:rsidR="005E02B1">
        <w:rPr>
          <w:lang w:val="it-IT"/>
        </w:rPr>
        <w:t xml:space="preserve"> </w:t>
      </w:r>
      <w:r w:rsidR="00BD43E3">
        <w:rPr>
          <w:lang w:val="it-IT"/>
        </w:rPr>
        <w:t>Teresa Cristiano</w:t>
      </w:r>
      <w:r w:rsidR="00BD43E3" w:rsidRPr="00BD43E3">
        <w:rPr>
          <w:vertAlign w:val="superscript"/>
          <w:lang w:val="it-IT"/>
        </w:rPr>
        <w:t>4</w:t>
      </w:r>
      <w:r w:rsidR="00BD43E3">
        <w:rPr>
          <w:lang w:val="it-IT"/>
        </w:rPr>
        <w:t>,</w:t>
      </w:r>
      <w:r w:rsidRPr="00BD43E3">
        <w:rPr>
          <w:lang w:val="it-IT"/>
        </w:rPr>
        <w:t xml:space="preserve"> </w:t>
      </w:r>
      <w:r w:rsidR="00493ADC">
        <w:rPr>
          <w:lang w:val="it-IT"/>
        </w:rPr>
        <w:t xml:space="preserve">Giuseppe </w:t>
      </w:r>
      <w:r w:rsidR="00493ADC" w:rsidRPr="00493ADC">
        <w:rPr>
          <w:lang w:val="it-IT"/>
        </w:rPr>
        <w:t>Campanile</w:t>
      </w:r>
      <w:r w:rsidR="00493ADC" w:rsidRPr="00493ADC">
        <w:rPr>
          <w:vertAlign w:val="superscript"/>
          <w:lang w:val="it-IT"/>
        </w:rPr>
        <w:t>4</w:t>
      </w:r>
      <w:r w:rsidR="00493ADC">
        <w:rPr>
          <w:lang w:val="it-IT"/>
        </w:rPr>
        <w:t xml:space="preserve"> and </w:t>
      </w:r>
      <w:r w:rsidR="00BD43E3" w:rsidRPr="00493ADC">
        <w:rPr>
          <w:lang w:val="it-IT"/>
        </w:rPr>
        <w:t>Gianluca</w:t>
      </w:r>
      <w:r w:rsidR="00BD43E3">
        <w:rPr>
          <w:lang w:val="it-IT"/>
        </w:rPr>
        <w:t xml:space="preserve"> Neglia</w:t>
      </w:r>
      <w:r w:rsidR="00BD43E3">
        <w:rPr>
          <w:vertAlign w:val="superscript"/>
          <w:lang w:val="it-IT"/>
        </w:rPr>
        <w:t>4</w:t>
      </w:r>
      <w:r w:rsidR="00893D97">
        <w:rPr>
          <w:lang w:val="it-IT"/>
        </w:rPr>
        <w:t>.</w:t>
      </w:r>
      <w:r w:rsidRPr="00BD43E3">
        <w:rPr>
          <w:lang w:val="it-IT"/>
        </w:rPr>
        <w:t xml:space="preserve"> </w:t>
      </w:r>
    </w:p>
    <w:p w14:paraId="5FF98860" w14:textId="52BD59D9" w:rsidR="00940192" w:rsidRDefault="00BD43E3" w:rsidP="00BD43E3">
      <w:pPr>
        <w:pStyle w:val="MFIPAbstractBody"/>
        <w:spacing w:line="360" w:lineRule="auto"/>
        <w:ind w:hanging="142"/>
        <w:rPr>
          <w:lang w:val="it-IT"/>
        </w:rPr>
      </w:pPr>
      <w:r w:rsidRPr="005646E9">
        <w:rPr>
          <w:vertAlign w:val="superscript"/>
          <w:lang w:val="it-IT"/>
        </w:rPr>
        <w:t>1</w:t>
      </w:r>
      <w:r w:rsidRPr="005646E9">
        <w:rPr>
          <w:lang w:val="it-IT"/>
        </w:rPr>
        <w:t xml:space="preserve"> </w:t>
      </w:r>
      <w:r w:rsidRPr="00BD43E3">
        <w:rPr>
          <w:lang w:val="it-IT"/>
        </w:rPr>
        <w:t xml:space="preserve">Dipartimento di Ingegneria Chimica, dei Materiali e della Produzione Industriale, Università degli Studi di Napoli Federico II, Piazzale Vincenzo Tecchio 80, 80125, Napoli, </w:t>
      </w:r>
      <w:r w:rsidR="00D7192F" w:rsidRPr="00BD43E3">
        <w:rPr>
          <w:lang w:val="it-IT"/>
        </w:rPr>
        <w:t>Ital</w:t>
      </w:r>
      <w:r w:rsidR="00D7192F">
        <w:rPr>
          <w:lang w:val="it-IT"/>
        </w:rPr>
        <w:t>ia</w:t>
      </w:r>
    </w:p>
    <w:p w14:paraId="02F1B055" w14:textId="4F2045EA" w:rsidR="00BD43E3" w:rsidRDefault="00BD43E3" w:rsidP="00BD43E3">
      <w:pPr>
        <w:pStyle w:val="MFIPAbstractBody"/>
        <w:spacing w:line="360" w:lineRule="auto"/>
        <w:ind w:hanging="142"/>
        <w:rPr>
          <w:lang w:val="it-IT"/>
        </w:rPr>
      </w:pPr>
      <w:r>
        <w:rPr>
          <w:vertAlign w:val="superscript"/>
          <w:lang w:val="it-IT"/>
        </w:rPr>
        <w:t>2</w:t>
      </w:r>
      <w:r w:rsidRPr="005646E9">
        <w:rPr>
          <w:lang w:val="it-IT"/>
        </w:rPr>
        <w:t xml:space="preserve"> </w:t>
      </w:r>
      <w:proofErr w:type="spellStart"/>
      <w:r w:rsidR="0048066D">
        <w:rPr>
          <w:lang w:val="it-IT"/>
        </w:rPr>
        <w:t>e</w:t>
      </w:r>
      <w:r w:rsidR="0048066D" w:rsidRPr="00BD43E3">
        <w:rPr>
          <w:lang w:val="it-IT"/>
        </w:rPr>
        <w:t>Loop</w:t>
      </w:r>
      <w:proofErr w:type="spellEnd"/>
      <w:r w:rsidR="0048066D" w:rsidRPr="00BD43E3">
        <w:rPr>
          <w:lang w:val="it-IT"/>
        </w:rPr>
        <w:t xml:space="preserve"> </w:t>
      </w:r>
      <w:r w:rsidRPr="00BD43E3">
        <w:rPr>
          <w:lang w:val="it-IT"/>
        </w:rPr>
        <w:t>S.r.l.</w:t>
      </w:r>
      <w:r w:rsidR="00DD0B75">
        <w:rPr>
          <w:lang w:val="it-IT"/>
        </w:rPr>
        <w:t xml:space="preserve">, </w:t>
      </w:r>
      <w:r w:rsidRPr="00BD43E3">
        <w:rPr>
          <w:lang w:val="it-IT"/>
        </w:rPr>
        <w:t>V.le A</w:t>
      </w:r>
      <w:r w:rsidR="00DD0B75">
        <w:rPr>
          <w:lang w:val="it-IT"/>
        </w:rPr>
        <w:t>.</w:t>
      </w:r>
      <w:r w:rsidRPr="00BD43E3">
        <w:rPr>
          <w:lang w:val="it-IT"/>
        </w:rPr>
        <w:t xml:space="preserve"> Gramsci 17/B, 80122, Napoli, Ital</w:t>
      </w:r>
      <w:r w:rsidR="00DD0B75">
        <w:rPr>
          <w:lang w:val="it-IT"/>
        </w:rPr>
        <w:t>ia</w:t>
      </w:r>
    </w:p>
    <w:p w14:paraId="0D065E1C" w14:textId="77777777" w:rsidR="00BD43E3" w:rsidRPr="005E6F08" w:rsidRDefault="00BD43E3" w:rsidP="00BD43E3">
      <w:pPr>
        <w:pStyle w:val="MFIPAbstractBody"/>
        <w:spacing w:line="360" w:lineRule="auto"/>
        <w:ind w:hanging="142"/>
        <w:rPr>
          <w:lang w:val="en-US"/>
        </w:rPr>
      </w:pPr>
      <w:r w:rsidRPr="005E6F08">
        <w:rPr>
          <w:vertAlign w:val="superscript"/>
          <w:lang w:val="en-US"/>
        </w:rPr>
        <w:t>3</w:t>
      </w:r>
      <w:r w:rsidRPr="005646E9">
        <w:rPr>
          <w:lang w:val="en-US"/>
        </w:rPr>
        <w:t xml:space="preserve"> </w:t>
      </w:r>
      <w:r w:rsidRPr="005E6F08">
        <w:rPr>
          <w:lang w:val="en-US"/>
        </w:rPr>
        <w:t>Department of Chemical Engineering, University College London, Torrington Place, WC1 E7JE, London, United Kingdom</w:t>
      </w:r>
    </w:p>
    <w:p w14:paraId="4855189D" w14:textId="4CAC419F" w:rsidR="00BD43E3" w:rsidRPr="00590CAB" w:rsidRDefault="00BD43E3" w:rsidP="00BD43E3">
      <w:pPr>
        <w:pStyle w:val="MFIPAbstractBody"/>
        <w:spacing w:line="360" w:lineRule="auto"/>
        <w:ind w:hanging="142"/>
        <w:rPr>
          <w:lang w:val="it-IT"/>
        </w:rPr>
      </w:pPr>
      <w:r w:rsidRPr="00590CAB">
        <w:rPr>
          <w:vertAlign w:val="superscript"/>
          <w:lang w:val="it-IT"/>
        </w:rPr>
        <w:t>4</w:t>
      </w:r>
      <w:r w:rsidRPr="00590CAB">
        <w:rPr>
          <w:lang w:val="it-IT"/>
        </w:rPr>
        <w:t xml:space="preserve"> </w:t>
      </w:r>
      <w:r w:rsidR="00D7192F" w:rsidRPr="00590CAB">
        <w:rPr>
          <w:lang w:val="it-IT"/>
        </w:rPr>
        <w:t xml:space="preserve">Dipartimento di Medicina </w:t>
      </w:r>
      <w:r w:rsidR="00386428">
        <w:rPr>
          <w:lang w:val="it-IT"/>
        </w:rPr>
        <w:t>V</w:t>
      </w:r>
      <w:r w:rsidR="00D7192F" w:rsidRPr="00590CAB">
        <w:rPr>
          <w:lang w:val="it-IT"/>
        </w:rPr>
        <w:t xml:space="preserve">eterinaria e Produzioni </w:t>
      </w:r>
      <w:r w:rsidR="00386428">
        <w:rPr>
          <w:lang w:val="it-IT"/>
        </w:rPr>
        <w:t>A</w:t>
      </w:r>
      <w:r w:rsidR="00D7192F" w:rsidRPr="00590CAB">
        <w:rPr>
          <w:lang w:val="it-IT"/>
        </w:rPr>
        <w:t>nimali</w:t>
      </w:r>
      <w:r w:rsidRPr="00590CAB">
        <w:rPr>
          <w:lang w:val="it-IT"/>
        </w:rPr>
        <w:t xml:space="preserve">, </w:t>
      </w:r>
      <w:r w:rsidR="00D7192F" w:rsidRPr="00BD43E3">
        <w:rPr>
          <w:lang w:val="it-IT"/>
        </w:rPr>
        <w:t>Università degli Studi di Napoli Federico II</w:t>
      </w:r>
      <w:r w:rsidRPr="00590CAB">
        <w:rPr>
          <w:lang w:val="it-IT"/>
        </w:rPr>
        <w:t xml:space="preserve">, 80137 </w:t>
      </w:r>
      <w:r w:rsidR="00D7192F" w:rsidRPr="00BD43E3">
        <w:rPr>
          <w:lang w:val="it-IT"/>
        </w:rPr>
        <w:t>Napoli, Ital</w:t>
      </w:r>
      <w:r w:rsidR="00D7192F">
        <w:rPr>
          <w:lang w:val="it-IT"/>
        </w:rPr>
        <w:t>ia</w:t>
      </w:r>
    </w:p>
    <w:p w14:paraId="039E119A" w14:textId="77777777" w:rsidR="00D636AC" w:rsidRPr="00590CAB" w:rsidRDefault="00D636AC" w:rsidP="0068001D">
      <w:pPr>
        <w:pStyle w:val="MFIPAbstractBody"/>
        <w:rPr>
          <w:lang w:val="it-IT"/>
        </w:rPr>
      </w:pPr>
    </w:p>
    <w:p w14:paraId="6215EB94" w14:textId="77777777" w:rsidR="00A3656C" w:rsidRPr="00590CAB" w:rsidRDefault="00A3656C" w:rsidP="0068001D">
      <w:pPr>
        <w:rPr>
          <w:sz w:val="22"/>
          <w:lang w:val="it-IT"/>
        </w:rPr>
      </w:pPr>
      <w:r w:rsidRPr="00590CAB">
        <w:rPr>
          <w:lang w:val="it-IT"/>
        </w:rPr>
        <w:br w:type="page"/>
      </w:r>
    </w:p>
    <w:p w14:paraId="7DFB742A" w14:textId="579FA442" w:rsidR="00963262" w:rsidRDefault="00E73BD5" w:rsidP="00832EB9">
      <w:pPr>
        <w:pStyle w:val="Titolo1"/>
        <w:numPr>
          <w:ilvl w:val="0"/>
          <w:numId w:val="0"/>
        </w:numPr>
        <w:ind w:left="432"/>
      </w:pPr>
      <w:r w:rsidRPr="00546443">
        <w:lastRenderedPageBreak/>
        <w:t>Abstract</w:t>
      </w:r>
    </w:p>
    <w:p w14:paraId="226D5291" w14:textId="57054F4E" w:rsidR="00381BA5" w:rsidRDefault="00381BA5" w:rsidP="00381BA5"/>
    <w:p w14:paraId="6C9C1FF3" w14:textId="5A828FC6" w:rsidR="00AC3B68" w:rsidRDefault="00AC3B68" w:rsidP="00590CAB">
      <w:pPr>
        <w:pStyle w:val="MFIPAbstractBody"/>
        <w:ind w:firstLine="0"/>
        <w:rPr>
          <w:szCs w:val="22"/>
          <w:lang w:eastAsia="en-US"/>
        </w:rPr>
      </w:pPr>
      <w:r>
        <w:t>The growing concerns about the relation of livestock activities and sustainability has led to technological progress and the adoption of best practices for reducing their impacts on the environment, including carbon emissions. In southern Italy, farming Mediterranean buffalos for milk production represents a significant portion of the economy. In this study we evaluate the environmental impacts of buffalo milk production using the Life Cycle Assessment approach. The analysis uses a cradle-to-gate system boundaries, an attributional approach and a Functional Unit equal to kg of Energy Corrected buffalo Milk (ECM). We use primary data collected from three farms in Southern Italy, covering a wide range of conditions including organic farming. We investigate the role of allocation method on the overall results and the role of buffalo milk productivity on the environmental impact estimates of milk production. Our results indicate that the environmental impacts of milk production are highly dependent on the chosen allocation method. The life cycle greenhouse gases emission ranges from 1.5 to 2.5 kgCO</w:t>
      </w:r>
      <w:r>
        <w:rPr>
          <w:vertAlign w:val="subscript"/>
        </w:rPr>
        <w:t>2eq</w:t>
      </w:r>
      <w:r>
        <w:t xml:space="preserve"> per kg of ECM</w:t>
      </w:r>
      <w:r w:rsidR="001E4B06">
        <w:t>,</w:t>
      </w:r>
      <w:r>
        <w:t xml:space="preserve"> which are slightly larger compared to those of cow milk; this is mainly due to higher milk productivity of cows compared to buffalos. The hot-spot analysis shows that the largest source of climate change impacts are direct emissions from enteric fermentation. The comparative analysis shows that no farm outperforms the other across the entire spectrum of categories and that the milk productivity of buffalos is a key aspect determining the environmental performance of each farm. </w:t>
      </w:r>
    </w:p>
    <w:p w14:paraId="64382E4A" w14:textId="213FA262" w:rsidR="00AC3B68" w:rsidRDefault="00AC3B68" w:rsidP="00AC3B68">
      <w:pPr>
        <w:pStyle w:val="MFIPAbstractBody"/>
        <w:rPr>
          <w:szCs w:val="22"/>
          <w:lang w:eastAsia="en-US"/>
        </w:rPr>
      </w:pPr>
      <w:r>
        <w:t xml:space="preserve"> </w:t>
      </w:r>
    </w:p>
    <w:p w14:paraId="01C039E2" w14:textId="77777777" w:rsidR="00381BA5" w:rsidRPr="00381BA5" w:rsidRDefault="00381BA5" w:rsidP="00381BA5"/>
    <w:p w14:paraId="32A46293" w14:textId="04688253" w:rsidR="00940192" w:rsidRDefault="00940192" w:rsidP="00590CAB">
      <w:pPr>
        <w:pStyle w:val="MFIPAbstractBody"/>
        <w:ind w:firstLine="0"/>
      </w:pPr>
      <w:bookmarkStart w:id="0" w:name="_Hlk19531293"/>
      <w:r w:rsidRPr="00827AE5">
        <w:t>Keywords</w:t>
      </w:r>
      <w:r>
        <w:t xml:space="preserve">: </w:t>
      </w:r>
      <w:r w:rsidR="00381BA5">
        <w:t>Mediterranean buffalo milk production; life cycle assessment; greenhouse gases, organic production</w:t>
      </w:r>
      <w:r w:rsidR="007C3621">
        <w:t>, allocation methods</w:t>
      </w:r>
    </w:p>
    <w:p w14:paraId="5EF7E933" w14:textId="77777777" w:rsidR="00925205" w:rsidRDefault="00DA0BA5" w:rsidP="00243C4B">
      <w:pPr>
        <w:pStyle w:val="Titolo1"/>
      </w:pPr>
      <w:bookmarkStart w:id="1" w:name="_Ref84319929"/>
      <w:bookmarkEnd w:id="0"/>
      <w:r w:rsidRPr="0085400C">
        <w:lastRenderedPageBreak/>
        <w:t>INTRODU</w:t>
      </w:r>
      <w:r w:rsidR="00357477" w:rsidRPr="0085400C">
        <w:t>CTION</w:t>
      </w:r>
      <w:bookmarkEnd w:id="1"/>
    </w:p>
    <w:p w14:paraId="20CF52A3" w14:textId="004B38E8" w:rsidR="00C92524" w:rsidRDefault="00752613" w:rsidP="00CB02A3">
      <w:pPr>
        <w:spacing w:line="360" w:lineRule="auto"/>
        <w:ind w:firstLine="0"/>
      </w:pPr>
      <w:r>
        <w:t xml:space="preserve">In Italy, the </w:t>
      </w:r>
      <w:proofErr w:type="spellStart"/>
      <w:r w:rsidR="00DD50ED">
        <w:t>agrifood</w:t>
      </w:r>
      <w:proofErr w:type="spellEnd"/>
      <w:r w:rsidR="00DD50ED">
        <w:t xml:space="preserve"> </w:t>
      </w:r>
      <w:r w:rsidR="000F184C">
        <w:t>sector represents 15%</w:t>
      </w:r>
      <w:r w:rsidR="00CB02A3">
        <w:t xml:space="preserve"> of the</w:t>
      </w:r>
      <w:r w:rsidR="00235274">
        <w:t xml:space="preserve"> gross domestic product</w:t>
      </w:r>
      <w:r w:rsidR="00CB02A3">
        <w:t xml:space="preserve"> </w:t>
      </w:r>
      <w:r w:rsidR="00235274">
        <w:t>(</w:t>
      </w:r>
      <w:r w:rsidR="00CB02A3" w:rsidRPr="00CB02A3">
        <w:t>GDP</w:t>
      </w:r>
      <w:r w:rsidR="00235274">
        <w:t>)</w:t>
      </w:r>
      <w:r>
        <w:t xml:space="preserve">, with </w:t>
      </w:r>
      <w:r w:rsidR="00DD50ED">
        <w:t>livestock</w:t>
      </w:r>
      <w:r w:rsidR="00DD50ED" w:rsidRPr="00CB02A3">
        <w:t xml:space="preserve"> </w:t>
      </w:r>
      <w:r>
        <w:t>being the</w:t>
      </w:r>
      <w:r w:rsidR="00CB02A3" w:rsidRPr="00CB02A3">
        <w:t xml:space="preserve"> main contributor </w:t>
      </w:r>
      <w:r>
        <w:t>(</w:t>
      </w:r>
      <w:r w:rsidR="00CB02A3" w:rsidRPr="00CB02A3">
        <w:t>11.9%</w:t>
      </w:r>
      <w:r>
        <w:t>) to</w:t>
      </w:r>
      <w:r w:rsidR="00CB02A3" w:rsidRPr="00CB02A3">
        <w:t xml:space="preserve"> total revenues. </w:t>
      </w:r>
      <w:r w:rsidR="008377E6">
        <w:t>In Southern Italy, a notable portion of the econom</w:t>
      </w:r>
      <w:r w:rsidR="00B7189E">
        <w:t>y</w:t>
      </w:r>
      <w:r w:rsidR="008377E6">
        <w:t xml:space="preserve"> is represented by </w:t>
      </w:r>
      <w:r w:rsidR="00CB02A3">
        <w:t>Mediterranean buffalo</w:t>
      </w:r>
      <w:r w:rsidR="008377E6">
        <w:t>s which are mainly bred for the production of</w:t>
      </w:r>
      <w:r w:rsidR="008377E6" w:rsidRPr="008377E6">
        <w:t xml:space="preserve"> </w:t>
      </w:r>
      <w:r w:rsidR="008377E6">
        <w:t xml:space="preserve">Mozzarella di </w:t>
      </w:r>
      <w:proofErr w:type="spellStart"/>
      <w:r w:rsidR="008377E6">
        <w:t>Bufala</w:t>
      </w:r>
      <w:proofErr w:type="spellEnd"/>
      <w:r w:rsidR="008377E6">
        <w:t xml:space="preserve"> Campana DOP</w:t>
      </w:r>
      <w:r w:rsidR="00B41582">
        <w:t xml:space="preserve">. </w:t>
      </w:r>
      <w:r w:rsidR="00B526AD">
        <w:t xml:space="preserve">In Italy, the </w:t>
      </w:r>
      <w:r w:rsidR="00B41582">
        <w:t>value chain</w:t>
      </w:r>
      <w:r w:rsidR="006B0B03">
        <w:t xml:space="preserve"> of buffalo breeding</w:t>
      </w:r>
      <w:r w:rsidR="00B41582">
        <w:t xml:space="preserve"> was about 600 million euros in 2019, with an indirect income of 2 billion of euro</w:t>
      </w:r>
      <w:r w:rsidR="00080C8B">
        <w:t>s</w:t>
      </w:r>
      <w:r w:rsidR="00B41582">
        <w:t xml:space="preserve"> and more tha</w:t>
      </w:r>
      <w:r w:rsidR="00080C8B">
        <w:t xml:space="preserve">n 11 </w:t>
      </w:r>
      <w:r w:rsidR="00326E32">
        <w:t>thousand</w:t>
      </w:r>
      <w:r w:rsidR="00080C8B">
        <w:t xml:space="preserve"> of employees. However</w:t>
      </w:r>
      <w:r w:rsidR="00DA6EB5">
        <w:t xml:space="preserve">, </w:t>
      </w:r>
      <w:r w:rsidR="006B0B03">
        <w:t xml:space="preserve">direct and indirect activities linked to buffalo breeding are cause to different environmental </w:t>
      </w:r>
      <w:r w:rsidR="00C64054">
        <w:t>problems</w:t>
      </w:r>
      <w:r w:rsidR="006B0B03">
        <w:t>, including</w:t>
      </w:r>
      <w:r w:rsidR="00DC6ED3">
        <w:t xml:space="preserve"> climate change, biodiversity, marine pollution, acidification and water scarcity</w:t>
      </w:r>
      <w:r w:rsidR="00523B4F">
        <w:t xml:space="preserve"> </w:t>
      </w:r>
      <w:r w:rsidR="0090153D">
        <w:fldChar w:fldCharType="begin" w:fldLock="1"/>
      </w:r>
      <w:r w:rsidR="00945DFB">
        <w:instrText>ADDIN CSL_CITATION {"citationItems":[{"id":"ITEM-1","itemData":{"ISBN":"9251055718","author":[{"dropping-particle":"","family":"Steinfeld","given":"Henning","non-dropping-particle":"","parse-names":false,"suffix":""},{"dropping-particle":"","family":"Gerber","given":"Pierre","non-dropping-particle":"","parse-names":false,"suffix":""},{"dropping-particle":"","family":"Wassenaar","given":"T D","non-dropping-particle":"","parse-names":false,"suffix":""},{"dropping-particle":"","family":"Castel","given":"Vincent","non-dropping-particle":"","parse-names":false,"suffix":""},{"dropping-particle":"","family":"Rosales","given":"Mauricio","non-dropping-particle":"","parse-names":false,"suffix":""},{"dropping-particle":"","family":"Rosales","given":"Mauricio","non-dropping-particle":"","parse-names":false,"suffix":""},{"dropping-particle":"","family":"Haan","given":"Cees","non-dropping-particle":"de","parse-names":false,"suffix":""}],"id":"ITEM-1","issued":{"date-parts":[["2006"]]},"publisher":"Food &amp; Agriculture Org.","title":"Livestock's long shadow: environmental issues and options","type":"book"},"uris":["http://www.mendeley.com/documents/?uuid=1b454a4a-ee67-4656-adde-832efd02a652"]},{"id":"ITEM-2","itemData":{"ISSN":"0036-8075","author":[{"dropping-particle":"","family":"Naylor","given":"Rosamond","non-dropping-particle":"","parse-names":false,"suffix":""},{"dropping-particle":"","family":"Steinfeld","given":"Henning","non-dropping-particle":"","parse-names":false,"suffix":""},{"dropping-particle":"","family":"Falcon","given":"Walter","non-dropping-particle":"","parse-names":false,"suffix":""},{"dropping-particle":"","family":"Galloway","given":"James","non-dropping-particle":"","parse-names":false,"suffix":""},{"dropping-particle":"","family":"Smil","given":"Vaclav","non-dropping-particle":"","parse-names":false,"suffix":""},{"dropping-particle":"","family":"Bradford","given":"Eric","non-dropping-particle":"","parse-names":false,"suffix":""},{"dropping-particle":"","family":"Alder","given":"Jackie","non-dropping-particle":"","parse-names":false,"suffix":""},{"dropping-particle":"","family":"Mooney","given":"Harold","non-dropping-particle":"","parse-names":false,"suffix":""}],"container-title":"Science","id":"ITEM-2","issue":"5754","issued":{"date-parts":[["2005"]]},"page":"1621-1622","publisher":"American Association for the Advancement of Science","title":"Losing the links between livestock and land","type":"article-journal","volume":"310"},"uris":["http://www.mendeley.com/documents/?uuid=3503bc46-e6bb-4245-8714-dfafb0847d86"]},{"id":"ITEM-3","itemData":{"DOI":"978-92-5-130883-7","ISBN":"9789251308837","abstract":"By signing the 2030 Agenda for Sustainable Development, governments around the world committed to address urgent economic, social and environmental global challenges over the next 12 years. The 2030 Agenda is a road map to end poverty and hunger, protect the planet and ensure prosperity for all. It is fundamental to begin the implementation of this Agenda by creating awareness, understanding each economic sector’s potential contribution to its achievement, and building multi-stakeholder consensus on how this could be done. Human progress has been dependent on the products and services of livestock since at least the advent of agriculture, and even the most modern post-industrial societies remain critically reliant on animals for food and nutrition security. As our understanding of economic development advances, so must our recognition of livestock’s continual importance. We are facing a time of immense challenges: one in eight people on earth live in extreme poverty; 815 million people in the world are undernourished; six million children die before their \u001ffth birthday each year; 202 million people are unemployed; our soils, freshwater, oceans, forests and biodiversity are being rapidly degraded; and climate change is putting even more pressure on the resources we all depend on. The livestock sector can play a key role in addressing, directly or indirectly, many of these challenges. While, for decades, the livestock debate has focused on how to increase production in a sustainable manner, the UN 2030 Agenda for Sustainable Development has added a new and broader dimension to the debate. It has shifted the emphasis of the conversation from fostering sustainable production per se, to enhancing the sector’s contribution to the achievement of the SDGs. Executive summary SDG 1. ZERO POVERTY While extreme poverty rates have declined since 1990, the number of people living in extreme poverty globally remains unacceptably high. According to the most recent estimates, 10.7\u001c percent of the world’s population in 2013 were living below the international poverty line of USD 1.90 per person per day. Southern Asia and sub-Saharan Africa are home to the overwhelming majority of people living in extreme poverty. SDG 1 takes a multidimensional approach to ending poverty, with targets emphasizing the eradication of extreme poverty, promoting inclusive economic growth, equal rights to economic resources and property rights, and building resilience at national and regional …","author":[{"dropping-particle":"","family":"FAO","given":"","non-dropping-particle":"","parse-names":false,"suffix":""}],"id":"ITEM-3","issued":{"date-parts":[["2018"]]},"number-of-pages":"222","title":"World Livestock: Transforming the livestock sector through the Sustainable Development Goals","type":"book"},"uris":["http://www.mendeley.com/documents/?uuid=c7d760fb-ddd5-4f0f-9982-842665c72f10"]}],"mendeley":{"formattedCitation":"(FAO, 2018; Naylor et al., 2005; Steinfeld et al., 2006)","manualFormatting":"(Steinfeld et al., 2006)","plainTextFormattedCitation":"(FAO, 2018; Naylor et al., 2005; Steinfeld et al., 2006)","previouslyFormattedCitation":"(FAO, 2018; Naylor et al., 2005; Steinfeld et al., 2006)"},"properties":{"noteIndex":0},"schema":"https://github.com/citation-style-language/schema/raw/master/csl-citation.json"}</w:instrText>
      </w:r>
      <w:r w:rsidR="0090153D">
        <w:fldChar w:fldCharType="separate"/>
      </w:r>
      <w:r w:rsidR="00523B4F" w:rsidRPr="00523B4F">
        <w:rPr>
          <w:noProof/>
        </w:rPr>
        <w:t>(Steinfeld et al., 2006)</w:t>
      </w:r>
      <w:r w:rsidR="0090153D">
        <w:fldChar w:fldCharType="end"/>
      </w:r>
      <w:r w:rsidR="00523B4F">
        <w:t>.</w:t>
      </w:r>
      <w:r w:rsidR="008F1F46">
        <w:t xml:space="preserve"> </w:t>
      </w:r>
    </w:p>
    <w:p w14:paraId="67BA1FEB" w14:textId="48A1F4FB" w:rsidR="00925205" w:rsidRDefault="008F1F46" w:rsidP="00A75D25">
      <w:pPr>
        <w:spacing w:line="360" w:lineRule="auto"/>
        <w:ind w:firstLine="0"/>
      </w:pPr>
      <w:r>
        <w:t>Agriculture uses approximately 70 percent of the available freshwater supply, and roughly 30 percent of global agricultural water goes on livestock production</w:t>
      </w:r>
      <w:r w:rsidR="00945DFB">
        <w:t xml:space="preserve"> </w:t>
      </w:r>
      <w:r w:rsidR="00945DFB">
        <w:fldChar w:fldCharType="begin" w:fldLock="1"/>
      </w:r>
      <w:r w:rsidR="00560254">
        <w:instrText>ADDIN CSL_CITATION {"citationItems":[{"id":"ITEM-1","itemData":{"DOI":"https://doi.org/10.1016/j.livsci.2016.02.012","ISSN":"1871-1413","abstract":"This paper reviews existing methods for assessing livestock water resource use, recognizing that water plays a vital role in global food supply and that livestock production systems consumes a large amount of the available water resources. A number of methods have contributed to the development of water resources use assessments of livestock production. The methods reviewed in this study were classified into three categories: water productivity assessments, water footprint assessments and life cycle assessments. The water productivity approach has been used to assess benefits derived from consumptive water use in livestock production; the water footprint approach has raised awareness of the large amounts of water required for livestock production; and life cycle assessments highlight the important connection between water resource use and local impacts. For each of the methods we distinguish strengths and weaknesses in assessing water resource use in livestock production. As a result, we identify three key areas for improvement: 1) both green and blue water resources should be included in assessments, and presented separately to provide informative results; 2) water quality should not be summarized within quantitative assessments of water resource use; and 3) methods for assessing water use in livestock systems must consider the alternative uses, multiple uses and benefits of a certain resource in a specific location.","author":[{"dropping-particle":"","family":"Ran","given":"Y","non-dropping-particle":"","parse-names":false,"suffix":""},{"dropping-particle":"","family":"Lannerstad","given":"M","non-dropping-particle":"","parse-names":false,"suffix":""},{"dropping-particle":"","family":"Herrero","given":"M","non-dropping-particle":"","parse-names":false,"suffix":""},{"dropping-particle":"","family":"Middelaar","given":"C E","non-dropping-particle":"Van","parse-names":false,"suffix":""},{"dropping-particle":"","family":"Boer","given":"I J M","non-dropping-particle":"De","parse-names":false,"suffix":""}],"container-title":"Livestock Science","id":"ITEM-1","issued":{"date-parts":[["2016"]]},"page":"68-79","title":"Assessing water resource use in livestock production: A review of methods","type":"article-journal","volume":"187"},"uris":["http://www.mendeley.com/documents/?uuid=0557f526-f08a-48fa-b3b7-f742934339a5"]}],"mendeley":{"formattedCitation":"(Ran et al., 2016)","plainTextFormattedCitation":"(Ran et al., 2016)","previouslyFormattedCitation":"(Ran et al., 2016)"},"properties":{"noteIndex":0},"schema":"https://github.com/citation-style-language/schema/raw/master/csl-citation.json"}</w:instrText>
      </w:r>
      <w:r w:rsidR="00945DFB">
        <w:fldChar w:fldCharType="separate"/>
      </w:r>
      <w:r w:rsidR="00DA4B99" w:rsidRPr="00DA4B99">
        <w:rPr>
          <w:noProof/>
        </w:rPr>
        <w:t>(Ran et al., 2016)</w:t>
      </w:r>
      <w:r w:rsidR="00945DFB">
        <w:fldChar w:fldCharType="end"/>
      </w:r>
      <w:r w:rsidR="00744C5A">
        <w:t xml:space="preserve">, although several authors </w:t>
      </w:r>
      <w:r w:rsidR="00E276F8">
        <w:t>report a constant improvement of the water footprint in this sector</w:t>
      </w:r>
      <w:r w:rsidR="00523B4F">
        <w:t xml:space="preserve"> </w:t>
      </w:r>
      <w:r w:rsidR="0048066D">
        <w:fldChar w:fldCharType="begin" w:fldLock="1"/>
      </w:r>
      <w:r w:rsidR="00523B4F">
        <w:instrText>ADDIN CSL_CITATION {"citationItems":[{"id":"ITEM-1","itemData":{"ISSN":"0160-4120","author":[{"dropping-particle":"","family":"Mekonnen","given":"Mesfin M","non-dropping-particle":"","parse-names":false,"suffix":""},{"dropping-particle":"","family":"Neale","given":"Christopher M U","non-dropping-particle":"","parse-names":false,"suffix":""},{"dropping-particle":"","family":"Ray","given":"Chittaranjan","non-dropping-particle":"","parse-names":false,"suffix":""},{"dropping-particle":"","family":"Erickson","given":"Galen E","non-dropping-particle":"","parse-names":false,"suffix":""},{"dropping-particle":"","family":"Hoekstra","given":"Arjen Y","non-dropping-particle":"","parse-names":false,"suffix":""}],"container-title":"Environment international","id":"ITEM-1","issued":{"date-parts":[["2019"]]},"page":"105084","publisher":"Elsevier","title":"Water productivity in meat and milk production in the US from 1960 to 2016","type":"article-journal","volume":"132"},"uris":["http://www.mendeley.com/documents/?uuid=9329bd2f-ceb3-4319-a415-cea7f92a58a8"]}],"mendeley":{"formattedCitation":"(Mekonnen et al., 2019)","plainTextFormattedCitation":"(Mekonnen et al., 2019)","previouslyFormattedCitation":"(Mekonnen et al., 2019)"},"properties":{"noteIndex":0},"schema":"https://github.com/citation-style-language/schema/raw/master/csl-citation.json"}</w:instrText>
      </w:r>
      <w:r w:rsidR="0048066D">
        <w:fldChar w:fldCharType="separate"/>
      </w:r>
      <w:r w:rsidR="00523B4F" w:rsidRPr="00523B4F">
        <w:rPr>
          <w:noProof/>
        </w:rPr>
        <w:t>(Mekonnen et al., 2019)</w:t>
      </w:r>
      <w:r w:rsidR="0048066D">
        <w:fldChar w:fldCharType="end"/>
      </w:r>
      <w:r w:rsidR="00E276F8">
        <w:t>.</w:t>
      </w:r>
      <w:r>
        <w:t xml:space="preserve"> But livestock’s direct and indirect freshwater</w:t>
      </w:r>
      <w:r w:rsidR="006B0B03">
        <w:t xml:space="preserve"> consumption</w:t>
      </w:r>
      <w:r>
        <w:t xml:space="preserve"> is only one </w:t>
      </w:r>
      <w:r w:rsidR="006B0B03">
        <w:t>of</w:t>
      </w:r>
      <w:r>
        <w:t xml:space="preserve"> water-related challenges facing animal production: another is waste management and disposal</w:t>
      </w:r>
      <w:r w:rsidR="00523B4F">
        <w:t xml:space="preserve"> </w:t>
      </w:r>
      <w:r w:rsidR="00DA4B99">
        <w:fldChar w:fldCharType="begin" w:fldLock="1"/>
      </w:r>
      <w:r w:rsidR="00DA4B99">
        <w:instrText>ADDIN CSL_CITATION {"citationItems":[{"id":"ITEM-1","itemData":{"DOI":"978-92-5-130883-7","ISBN":"9789251308837","abstract":"By signing the 2030 Agenda for Sustainable Development, governments around the world committed to address urgent economic, social and environmental global challenges over the next 12 years. The 2030 Agenda is a road map to end poverty and hunger, protect the planet and ensure prosperity for all. It is fundamental to begin the implementation of this Agenda by creating awareness, understanding each economic sector’s potential contribution to its achievement, and building multi-stakeholder consensus on how this could be done. Human progress has been dependent on the products and services of livestock since at least the advent of agriculture, and even the most modern post-industrial societies remain critically reliant on animals for food and nutrition security. As our understanding of economic development advances, so must our recognition of livestock’s continual importance. We are facing a time of immense challenges: one in eight people on earth live in extreme poverty; 815 million people in the world are undernourished; six million children die before their \u001ffth birthday each year; 202 million people are unemployed; our soils, freshwater, oceans, forests and biodiversity are being rapidly degraded; and climate change is putting even more pressure on the resources we all depend on. The livestock sector can play a key role in addressing, directly or indirectly, many of these challenges. While, for decades, the livestock debate has focused on how to increase production in a sustainable manner, the UN 2030 Agenda for Sustainable Development has added a new and broader dimension to the debate. It has shifted the emphasis of the conversation from fostering sustainable production per se, to enhancing the sector’s contribution to the achievement of the SDGs. Executive summary SDG 1. ZERO POVERTY While extreme poverty rates have declined since 1990, the number of people living in extreme poverty globally remains unacceptably high. According to the most recent estimates, 10.7\u001c percent of the world’s population in 2013 were living below the international poverty line of USD 1.90 per person per day. Southern Asia and sub-Saharan Africa are home to the overwhelming majority of people living in extreme poverty. SDG 1 takes a multidimensional approach to ending poverty, with targets emphasizing the eradication of extreme poverty, promoting inclusive economic growth, equal rights to economic resources and property rights, and building resilience at national and regional …","author":[{"dropping-particle":"","family":"FAO","given":"","non-dropping-particle":"","parse-names":false,"suffix":""}],"id":"ITEM-1","issued":{"date-parts":[["2018"]]},"number-of-pages":"222","title":"World Livestock: Transforming the livestock sector through the Sustainable Development Goals","type":"book"},"uris":["http://www.mendeley.com/documents/?uuid=c7d760fb-ddd5-4f0f-9982-842665c72f10"]}],"mendeley":{"formattedCitation":"(FAO, 2018)","plainTextFormattedCitation":"(FAO, 2018)","previouslyFormattedCitation":"(FAO, 2018)"},"properties":{"noteIndex":0},"schema":"https://github.com/citation-style-language/schema/raw/master/csl-citation.json"}</w:instrText>
      </w:r>
      <w:r w:rsidR="00DA4B99">
        <w:fldChar w:fldCharType="separate"/>
      </w:r>
      <w:r w:rsidR="00DA4B99" w:rsidRPr="00945DFB">
        <w:rPr>
          <w:noProof/>
        </w:rPr>
        <w:t>(FAO, 2018)</w:t>
      </w:r>
      <w:r w:rsidR="00DA4B99">
        <w:fldChar w:fldCharType="end"/>
      </w:r>
      <w:r>
        <w:t>. Runoff and nutrient leaks from concentrated sources of livestock waste are a hazard to freshwater sources</w:t>
      </w:r>
      <w:r w:rsidR="002725E9">
        <w:t>,</w:t>
      </w:r>
      <w:r>
        <w:t xml:space="preserve"> ocean and marine environments</w:t>
      </w:r>
      <w:r w:rsidR="004A6B16">
        <w:t xml:space="preserve"> </w:t>
      </w:r>
      <w:r w:rsidR="004A6B16">
        <w:fldChar w:fldCharType="begin" w:fldLock="1"/>
      </w:r>
      <w:r w:rsidR="00A75D25">
        <w:instrText>ADDIN CSL_CITATION {"citationItems":[{"id":"ITEM-1","itemData":{"ISSN":"1435-0629","author":[{"dropping-particle":"","family":"Mekonnen","given":"Mesfin M","non-dropping-particle":"","parse-names":false,"suffix":""},{"dropping-particle":"","family":"Hoekstra","given":"Arjen Y","non-dropping-particle":"","parse-names":false,"suffix":""}],"container-title":"Ecosystems","id":"ITEM-1","issue":"3","issued":{"date-parts":[["2012"]]},"page":"401-415","publisher":"Springer","title":"A global assessment of the water footprint of farm animal products","type":"article-journal","volume":"15"},"uris":["http://www.mendeley.com/documents/?uuid=59278a02-de9f-43d3-b648-832b490be1d7"]}],"mendeley":{"formattedCitation":"(Mekonnen and Hoekstra, 2012)","plainTextFormattedCitation":"(Mekonnen and Hoekstra, 2012)","previouslyFormattedCitation":"(Mekonnen and Hoekstra, 2012)"},"properties":{"noteIndex":0},"schema":"https://github.com/citation-style-language/schema/raw/master/csl-citation.json"}</w:instrText>
      </w:r>
      <w:r w:rsidR="004A6B16">
        <w:fldChar w:fldCharType="separate"/>
      </w:r>
      <w:r w:rsidR="004A6B16" w:rsidRPr="004A6B16">
        <w:rPr>
          <w:noProof/>
        </w:rPr>
        <w:t>(Mekonnen and Hoekstra, 2012)</w:t>
      </w:r>
      <w:r w:rsidR="004A6B16">
        <w:fldChar w:fldCharType="end"/>
      </w:r>
      <w:r w:rsidR="004A6B16">
        <w:t>. Furthermore,</w:t>
      </w:r>
      <w:r w:rsidR="00A75D25">
        <w:t xml:space="preserve"> ongoing research is</w:t>
      </w:r>
      <w:r w:rsidR="00E114DE">
        <w:t xml:space="preserve"> focus</w:t>
      </w:r>
      <w:r w:rsidR="00772D4D">
        <w:t>ed</w:t>
      </w:r>
      <w:r w:rsidR="00E114DE">
        <w:t xml:space="preserve"> on </w:t>
      </w:r>
      <w:r w:rsidR="00A75D25">
        <w:t>issues related to livestock farming</w:t>
      </w:r>
      <w:r w:rsidR="00E114DE">
        <w:t xml:space="preserve"> such as</w:t>
      </w:r>
      <w:r w:rsidR="004A6B16">
        <w:t xml:space="preserve"> </w:t>
      </w:r>
      <w:r w:rsidR="00E114DE">
        <w:t xml:space="preserve">the </w:t>
      </w:r>
      <w:r w:rsidR="004A6B16">
        <w:t>large</w:t>
      </w:r>
      <w:r w:rsidR="004A6B16" w:rsidRPr="004A6B16">
        <w:t xml:space="preserve"> use of antibiotics</w:t>
      </w:r>
      <w:r w:rsidR="00A75D25">
        <w:t>,</w:t>
      </w:r>
      <w:r w:rsidR="004A6B16" w:rsidRPr="004A6B16">
        <w:t xml:space="preserve"> </w:t>
      </w:r>
      <w:r w:rsidR="00A75D25">
        <w:t xml:space="preserve">the </w:t>
      </w:r>
      <w:r w:rsidR="004A6B16" w:rsidRPr="004A6B16">
        <w:t>disposal of an</w:t>
      </w:r>
      <w:r w:rsidR="00F0362D">
        <w:t xml:space="preserve">imal waste containing active </w:t>
      </w:r>
      <w:r w:rsidR="004A6B16" w:rsidRPr="004A6B16">
        <w:t>solids and effects of veterinary antibiotics in plants</w:t>
      </w:r>
      <w:r w:rsidR="00523B4F">
        <w:t xml:space="preserve"> </w:t>
      </w:r>
      <w:r w:rsidR="00E36563">
        <w:fldChar w:fldCharType="begin" w:fldLock="1"/>
      </w:r>
      <w:r w:rsidR="00560254">
        <w:instrText>ADDIN CSL_CITATION {"citationItems":[{"id":"ITEM-1","itemData":{"ISSN":"0048-9697","author":[{"dropping-particle":"","family":"Tasho","given":"Reep Pandi","non-dropping-particle":"","parse-names":false,"suffix":""},{"dropping-particle":"","family":"Cho","given":"Jae Yong","non-dropping-particle":"","parse-names":false,"suffix":""}],"container-title":"Science of the Total Environment","id":"ITEM-1","issued":{"date-parts":[["2016"]]},"page":"366-376","publisher":"Elsevier","title":"Veterinary antibiotics in animal waste, its distribution in soil and uptake by plants: a review","type":"article-journal","volume":"563"},"uris":["http://www.mendeley.com/documents/?uuid=30932ac3-b169-4a8b-a788-b91edd6fb959"]},{"id":"ITEM-2","itemData":{"ISSN":"0048-9697","author":[{"dropping-particle":"","family":"Campagnolo","given":"Enzo R","non-dropping-particle":"","parse-names":false,"suffix":""},{"dropping-particle":"","family":"Johnson","given":"Kammy R","non-dropping-particle":"","parse-names":false,"suffix":""},{"dropping-particle":"","family":"Karpati","given":"Adam","non-dropping-particle":"","parse-names":false,"suffix":""},{"dropping-particle":"","family":"Rubin","given":"Carol S","non-dropping-particle":"","parse-names":false,"suffix":""},{"dropping-particle":"","family":"Kolpin","given":"Dana W","non-dropping-particle":"","parse-names":false,"suffix":""},{"dropping-particle":"","family":"Meyer","given":"Michael T","non-dropping-particle":"","parse-names":false,"suffix":""},{"dropping-particle":"","family":"Esteban","given":"J Emilio","non-dropping-particle":"","parse-names":false,"suffix":""},{"dropping-particle":"","family":"Currier","given":"Russell W","non-dropping-particle":"","parse-names":false,"suffix":""},{"dropping-particle":"","family":"Smith","given":"Kathleen","non-dropping-particle":"","parse-names":false,"suffix":""},{"dropping-particle":"","family":"Thu","given":"Kendall M","non-dropping-particle":"","parse-names":false,"suffix":""}],"container-title":"Science of the Total Environment","id":"ITEM-2","issue":"1-3","issued":{"date-parts":[["2002"]]},"page":"89-95","publisher":"Elsevier","title":"Antimicrobial residues in animal waste and water resources proximal to large-scale swine and poultry feeding operations","type":"article-journal","volume":"299"},"uris":["http://www.mendeley.com/documents/?uuid=2f846dc3-456d-4480-b291-5d6343a77bcb"]},{"id":"ITEM-3","itemData":{"ISSN":"0013-936X","author":[{"dropping-particle":"","family":"Boxall","given":"Alistair B A","non-dropping-particle":"","parse-names":false,"suffix":""},{"dropping-particle":"","family":"Kolpin","given":"Dana W","non-dropping-particle":"","parse-names":false,"suffix":""},{"dropping-particle":"","family":"Halling-Sørensen","given":"Bent","non-dropping-particle":"","parse-names":false,"suffix":""},{"dropping-particle":"","family":"Tolls","given":"Johannes","non-dropping-particle":"","parse-names":false,"suffix":""}],"container-title":"Environmental science &amp; technology","id":"ITEM-3","issue":"15","issued":{"date-parts":[["2003"]]},"page":"286A-294A","publisher":"ACS Publications","title":"Peer reviewed: are veterinary medicines causing environmental risks?","type":"article-journal","volume":"37"},"uris":["http://www.mendeley.com/documents/?uuid=8cc33603-9c7a-4545-b30e-59e9be8e38cc"]},{"id":"ITEM-4","itemData":{"ISSN":"0013-936X","author":[{"dropping-particle":"","family":"Raman","given":"D Raj","non-dropping-particle":"","parse-names":false,"suffix":""},{"dropping-particle":"","family":"Williams","given":"Elizabeth L","non-dropping-particle":"","parse-names":false,"suffix":""},{"dropping-particle":"","family":"Layton","given":"Alice C","non-dropping-particle":"","parse-names":false,"suffix":""},{"dropping-particle":"","family":"Burns","given":"Robert T","non-dropping-particle":"","parse-names":false,"suffix":""},{"dropping-particle":"","family":"Easter","given":"James P","non-dropping-particle":"","parse-names":false,"suffix":""},{"dropping-particle":"","family":"Daugherty","given":"Adam S","non-dropping-particle":"","parse-names":false,"suffix":""},{"dropping-particle":"","family":"Mullen","given":"Michael D","non-dropping-particle":"","parse-names":false,"suffix":""},{"dropping-particle":"","family":"Sayler","given":"Gary S","non-dropping-particle":"","parse-names":false,"suffix":""}],"container-title":"Environmental Science &amp; Technology","id":"ITEM-4","issue":"13","issued":{"date-parts":[["2004"]]},"page":"3567-3573","publisher":"ACS Publications","title":"Estrogen content of dairy and swine wastes","type":"article-journal","volume":"38"},"uris":["http://www.mendeley.com/documents/?uuid=3ff8ff1c-e162-4a73-911a-e6e4bc100e1c"]}],"mendeley":{"formattedCitation":"(Boxall et al., 2003; Campagnolo et al., 2002; Raman et al., 2004; Tasho and Cho, 2016)","manualFormatting":"(Tasho and Cho, 2016)","plainTextFormattedCitation":"(Boxall et al., 2003; Campagnolo et al., 2002; Raman et al., 2004; Tasho and Cho, 2016)","previouslyFormattedCitation":"(Boxall et al., 2003; Campagnolo et al., 2002; Raman et al., 2004; Tasho and Cho, 2016)"},"properties":{"noteIndex":0},"schema":"https://github.com/citation-style-language/schema/raw/master/csl-citation.json"}</w:instrText>
      </w:r>
      <w:r w:rsidR="00E36563">
        <w:fldChar w:fldCharType="separate"/>
      </w:r>
      <w:r w:rsidR="00523B4F" w:rsidRPr="00523B4F">
        <w:rPr>
          <w:noProof/>
        </w:rPr>
        <w:t>(Tasho and Cho, 2016)</w:t>
      </w:r>
      <w:r w:rsidR="00E36563">
        <w:fldChar w:fldCharType="end"/>
      </w:r>
      <w:r>
        <w:t>.</w:t>
      </w:r>
    </w:p>
    <w:p w14:paraId="6A6764C4" w14:textId="472100A1" w:rsidR="0039241A" w:rsidRPr="00F538CE" w:rsidRDefault="00C92524" w:rsidP="0039241A">
      <w:pPr>
        <w:spacing w:line="360" w:lineRule="auto"/>
        <w:ind w:firstLine="0"/>
        <w:rPr>
          <w:noProof/>
        </w:rPr>
      </w:pPr>
      <w:r>
        <w:t>E</w:t>
      </w:r>
      <w:r w:rsidR="00F31A78">
        <w:t>missions from livestock supply chains account for</w:t>
      </w:r>
      <w:r w:rsidR="00623778">
        <w:t xml:space="preserve"> </w:t>
      </w:r>
      <w:r w:rsidR="00F31A78">
        <w:t>14.5% of total anthropogenic greenhouse gases</w:t>
      </w:r>
      <w:r>
        <w:t xml:space="preserve"> (GHG)</w:t>
      </w:r>
      <w:r w:rsidR="00F31A78">
        <w:t xml:space="preserve"> emissions</w:t>
      </w:r>
      <w:r w:rsidR="00623778">
        <w:t>,</w:t>
      </w:r>
      <w:r w:rsidR="00434DA2" w:rsidRPr="00434DA2">
        <w:t xml:space="preserve"> </w:t>
      </w:r>
      <w:r w:rsidR="00434DA2">
        <w:t xml:space="preserve">with an annual value of 8 </w:t>
      </w:r>
      <w:r w:rsidR="00E528CC">
        <w:t>gigatons</w:t>
      </w:r>
      <w:r w:rsidR="00434DA2">
        <w:t xml:space="preserve"> of CO</w:t>
      </w:r>
      <w:r w:rsidR="00434DA2" w:rsidRPr="00A060AF">
        <w:rPr>
          <w:vertAlign w:val="subscript"/>
        </w:rPr>
        <w:t>2</w:t>
      </w:r>
      <w:r w:rsidR="00434DA2">
        <w:t xml:space="preserve"> equivalent in 201</w:t>
      </w:r>
      <w:r w:rsidR="002725E9">
        <w:t>8</w:t>
      </w:r>
      <w:r w:rsidR="00523B4F">
        <w:t xml:space="preserve"> </w:t>
      </w:r>
      <w:r w:rsidR="002725E9">
        <w:fldChar w:fldCharType="begin" w:fldLock="1"/>
      </w:r>
      <w:r w:rsidR="00523B4F">
        <w:instrText>ADDIN CSL_CITATION {"citationItems":[{"id":"ITEM-1","itemData":{"DOI":"10.1017/S1751731117001847","author":[{"dropping-particle":"","family":"Macleod","given":"M J","non-dropping-particle":"","parse-names":false,"suffix":""},{"dropping-particle":"","family":"Vellinga","given":"T","non-dropping-particle":"","parse-names":false,"suffix":""},{"dropping-particle":"","family":"Opio","given":"C","non-dropping-particle":"","parse-names":false,"suffix":""},{"dropping-particle":"","family":"Falcucci","given":"A","non-dropping-particle":"","parse-names":false,"suffix":""},{"dropping-particle":"","family":"Tempio","given":"G","non-dropping-particle":"","parse-names":false,"suffix":""},{"dropping-particle":"","family":"Henderson","given":"B","non-dropping-particle":"","parse-names":false,"suffix":""},{"dropping-particle":"","family":"Makkar","given":"H","non-dropping-particle":"","parse-names":false,"suffix":""},{"dropping-particle":"","family":"Mottet","given":"A","non-dropping-particle":"","parse-names":false,"suffix":""},{"dropping-particle":"","family":"Robinson","given":"T","non-dropping-particle":"","parse-names":false,"suffix":""},{"dropping-particle":"","family":"Steinfeld","given":"H","non-dropping-particle":"","parse-names":false,"suffix":""},{"dropping-particle":"","family":"Gerber","given":"P J","non-dropping-particle":"","parse-names":false,"suffix":""}],"id":"ITEM-1","issued":{"date-parts":[["2018"]]},"page":"383-397","title":"Invited review : A position on the Global Livestock Environmental Assessment Model ( GLEAM )","type":"article-journal"},"uris":["http://www.mendeley.com/documents/?uuid=b4050590-2efc-4185-8952-9b7fafa71c6c"]}],"mendeley":{"formattedCitation":"(Macleod et al., 2018)","plainTextFormattedCitation":"(Macleod et al., 2018)","previouslyFormattedCitation":"(Macleod et al., 2018)"},"properties":{"noteIndex":0},"schema":"https://github.com/citation-style-language/schema/raw/master/csl-citation.json"}</w:instrText>
      </w:r>
      <w:r w:rsidR="002725E9">
        <w:fldChar w:fldCharType="separate"/>
      </w:r>
      <w:r w:rsidR="00523B4F" w:rsidRPr="00523B4F">
        <w:rPr>
          <w:noProof/>
        </w:rPr>
        <w:t>(Macleod et al., 2018)</w:t>
      </w:r>
      <w:r w:rsidR="002725E9">
        <w:fldChar w:fldCharType="end"/>
      </w:r>
      <w:r w:rsidR="00434DA2">
        <w:t xml:space="preserve">. </w:t>
      </w:r>
      <w:r>
        <w:t xml:space="preserve">In turn, </w:t>
      </w:r>
      <w:r w:rsidR="00F31A78">
        <w:t xml:space="preserve">climate change </w:t>
      </w:r>
      <w:r>
        <w:t>affects</w:t>
      </w:r>
      <w:r w:rsidR="00F31A78">
        <w:t xml:space="preserve"> animal farming</w:t>
      </w:r>
      <w:r>
        <w:t xml:space="preserve"> directly</w:t>
      </w:r>
      <w:r w:rsidR="00F31A78">
        <w:t xml:space="preserve"> (</w:t>
      </w:r>
      <w:proofErr w:type="gramStart"/>
      <w:r>
        <w:t>e.g.</w:t>
      </w:r>
      <w:proofErr w:type="gramEnd"/>
      <w:r w:rsidR="0089506B">
        <w:t xml:space="preserve"> through</w:t>
      </w:r>
      <w:r w:rsidR="00F31A78">
        <w:t xml:space="preserve"> heat stress and increased morbidity and mortality</w:t>
      </w:r>
      <w:r w:rsidR="0089506B">
        <w:t>)</w:t>
      </w:r>
      <w:r w:rsidR="00523B4F">
        <w:t xml:space="preserve"> </w:t>
      </w:r>
      <w:r w:rsidR="00F31A78">
        <w:t>and indirectly (e.g. through quality and availability of feed and forages, and animal diseases</w:t>
      </w:r>
      <w:r w:rsidR="00F31A78" w:rsidRPr="00F538CE">
        <w:t>)</w:t>
      </w:r>
      <w:r w:rsidR="00434DA2" w:rsidRPr="00F538CE">
        <w:t>.</w:t>
      </w:r>
      <w:r w:rsidR="0089506B">
        <w:t xml:space="preserve"> For example, </w:t>
      </w:r>
      <w:r w:rsidR="0089506B">
        <w:fldChar w:fldCharType="begin" w:fldLock="1"/>
      </w:r>
      <w:r w:rsidR="00C81BCB">
        <w:instrText>ADDIN CSL_CITATION {"citationItems":[{"id":"ITEM-1","itemData":{"author":[{"dropping-particle":"","family":"Jadhav","given":"R","non-dropping-particle":"","parse-names":false,"suffix":""}],"id":"ITEM-1","issued":{"date-parts":[["2015"]]},"publisher":"Reuters","title":"Indian chicken prices surge to record as heat wave kills millions of birds","type":"article"},"uris":["http://www.mendeley.com/documents/?uuid=c99a35e2-afa2-4756-ad64-0ca08288716e"]}],"mendeley":{"formattedCitation":"(Jadhav, 2015)","manualFormatting":"Jadhav, 2015 ","plainTextFormattedCitation":"(Jadhav, 2015)","previouslyFormattedCitation":"(Jadhav, 2015)"},"properties":{"noteIndex":0},"schema":"https://github.com/citation-style-language/schema/raw/master/csl-citation.json"}</w:instrText>
      </w:r>
      <w:r w:rsidR="0089506B">
        <w:fldChar w:fldCharType="separate"/>
      </w:r>
      <w:r w:rsidR="0089506B" w:rsidRPr="0089506B">
        <w:rPr>
          <w:noProof/>
        </w:rPr>
        <w:t>Jadhav, 2015</w:t>
      </w:r>
      <w:r w:rsidR="0089506B">
        <w:rPr>
          <w:noProof/>
        </w:rPr>
        <w:t xml:space="preserve"> </w:t>
      </w:r>
      <w:r w:rsidR="0089506B">
        <w:fldChar w:fldCharType="end"/>
      </w:r>
      <w:r w:rsidR="00C81BCB">
        <w:rPr>
          <w:noProof/>
        </w:rPr>
        <w:t xml:space="preserve">reports that anomalus heatwave in 2015 killed around 17 million birds in India, while </w:t>
      </w:r>
      <w:r w:rsidR="00C81BCB">
        <w:rPr>
          <w:noProof/>
        </w:rPr>
        <w:fldChar w:fldCharType="begin" w:fldLock="1"/>
      </w:r>
      <w:r w:rsidR="00143127">
        <w:rPr>
          <w:noProof/>
        </w:rPr>
        <w:instrText>ADDIN CSL_CITATION {"citationItems":[{"id":"ITEM-1","itemData":{"DOI":"https://doi.org/10.1016/j.prevetmed.2010.09.004","ISSN":"0167-5877","abstract":"The relationship between mortality and stressful weather is not only a complex health, social and environmental issue, but also becomes an economical problem when considering livestock. Future-climate scenarios suggest that higher global mean temperatures could result in marked changes in the frequency of extreme temperatures. The relationship between high temperature and mortality is well known in people living in urban areas, but it has been poorly investigated in livestock such as dairy cows. The aim of this study was to quantify the relationship between heat and mortality from all causes among dairy cows in Italy. We studied 6697 adult (≥24 months) dairy cows that died during the summer in the 5-year period 2002–2006 in three Italian districts (Brescia, Cuneo, Rome) which were selected because of the high livestock production and the availability of weather data for these geographical areas. A case-crossover design was applied using the temperature-humidity index (THI) as exposure of interest. Pooled odds ratio (OR) of mortality at high exposure values versus low exposure values was estimated. An exposure over the THI cut-off increased the risk of mortality by 1.6 times, with a 4% increase in mortality for each THI degree increase above the threshold. We found no effect modification for age-class, herd size or breed, but a certain degree of geographical heterogeneity was identified. The increased dairy cow mortality highlighted in this study should be considered when adopting animal welfare and farm management measures. This phenomenon can be prevented by adopting appropriate interventions to mitigate environmental thermal challenges.","author":[{"dropping-particle":"","family":"Crescio","given":"M I","non-dropping-particle":"","parse-names":false,"suffix":""},{"dropping-particle":"","family":"Forastiere","given":"F","non-dropping-particle":"","parse-names":false,"suffix":""},{"dropping-particle":"","family":"Maurella","given":"C","non-dropping-particle":"","parse-names":false,"suffix":""},{"dropping-particle":"","family":"Ingravalle","given":"F","non-dropping-particle":"","parse-names":false,"suffix":""},{"dropping-particle":"","family":"Ru","given":"G","non-dropping-particle":"","parse-names":false,"suffix":""}],"container-title":"Preventive Veterinary Medicine","id":"ITEM-1","issue":"3","issued":{"date-parts":[["2010"]]},"page":"191-197","title":"Heat-related mortality in dairy cattle: A case crossover study","type":"article-journal","volume":"97"},"uris":["http://www.mendeley.com/documents/?uuid=784fc846-aa7d-43f0-ad9c-736a6e8bb1cd"]}],"mendeley":{"formattedCitation":"(Crescio et al., 2010)","manualFormatting":"Crescio et al., 2010","plainTextFormattedCitation":"(Crescio et al., 2010)","previouslyFormattedCitation":"(Crescio et al., 2010)"},"properties":{"noteIndex":0},"schema":"https://github.com/citation-style-language/schema/raw/master/csl-citation.json"}</w:instrText>
      </w:r>
      <w:r w:rsidR="00C81BCB">
        <w:rPr>
          <w:noProof/>
        </w:rPr>
        <w:fldChar w:fldCharType="separate"/>
      </w:r>
      <w:r w:rsidR="00C81BCB" w:rsidRPr="00C81BCB">
        <w:rPr>
          <w:noProof/>
        </w:rPr>
        <w:t>Crescio et al., 2010</w:t>
      </w:r>
      <w:r w:rsidR="00C81BCB">
        <w:rPr>
          <w:noProof/>
        </w:rPr>
        <w:fldChar w:fldCharType="end"/>
      </w:r>
      <w:r w:rsidR="00C81BCB">
        <w:rPr>
          <w:noProof/>
        </w:rPr>
        <w:t xml:space="preserve"> states that high temperature and air moisture could increase the cattle mortality of about 60%. On the </w:t>
      </w:r>
      <w:r w:rsidR="005D7DED">
        <w:rPr>
          <w:noProof/>
        </w:rPr>
        <w:t xml:space="preserve">other hand, </w:t>
      </w:r>
      <w:r w:rsidR="00143127">
        <w:rPr>
          <w:noProof/>
        </w:rPr>
        <w:fldChar w:fldCharType="begin" w:fldLock="1"/>
      </w:r>
      <w:r w:rsidR="007C0229">
        <w:rPr>
          <w:noProof/>
        </w:rPr>
        <w:instrText>ADDIN CSL_CITATION {"citationItems":[{"id":"ITEM-1","itemData":{"DOI":"https://doi.org/10.1016/j.gfs.2014.02.002","ISSN":"2211-9124","abstract":"Mixed crop–livestock systems produce most of the world׳s milk and ruminant meat, and are particularly important for the livelihoods and food security of poor people in developing countries. These systems will bear the brunt of helping to satisfy the burgeoning demand for food from increasing populations, particularly in sub-Saharan Africa and South Asia, where rural poverty and hunger are already concentrated. The potential impacts of changes in climate and climate variability on these mixed systems are not that well understood, particularly as regards how the food security of vulnerable households may be affected. There are many ways in which the mixed systems may be able to adapt to climate change in the future, including via increased efficiencies of production that sometimes provide important mitigation co-benefits as well. But effective adaptation will require an enabling policy, technical, infrastructural and informational environment, and the development challenge is daunting.","author":[{"dropping-particle":"","family":"Thornton","given":"Philip K","non-dropping-particle":"","parse-names":false,"suffix":""},{"dropping-particle":"","family":"Herrero","given":"Mario","non-dropping-particle":"","parse-names":false,"suffix":""}],"container-title":"Global Food Security","id":"ITEM-1","issue":"2","issued":{"date-parts":[["2014"]]},"page":"99-107","title":"Climate change adaptation in mixed crop–livestock systems in developing countries","type":"article-journal","volume":"3"},"uris":["http://www.mendeley.com/documents/?uuid=405cf73c-5fc7-48c4-b16e-300f4a6a34bf"]}],"mendeley":{"formattedCitation":"(Thornton and Herrero, 2014)","manualFormatting":"Thornton and Herrero, 2014","plainTextFormattedCitation":"(Thornton and Herrero, 2014)","previouslyFormattedCitation":"(Thornton and Herrero, 2014)"},"properties":{"noteIndex":0},"schema":"https://github.com/citation-style-language/schema/raw/master/csl-citation.json"}</w:instrText>
      </w:r>
      <w:r w:rsidR="00143127">
        <w:rPr>
          <w:noProof/>
        </w:rPr>
        <w:fldChar w:fldCharType="separate"/>
      </w:r>
      <w:r w:rsidR="00143127" w:rsidRPr="00143127">
        <w:rPr>
          <w:noProof/>
        </w:rPr>
        <w:t>Thornton and Herrero, 2014</w:t>
      </w:r>
      <w:r w:rsidR="00143127">
        <w:rPr>
          <w:noProof/>
        </w:rPr>
        <w:fldChar w:fldCharType="end"/>
      </w:r>
      <w:r w:rsidR="00C81BCB">
        <w:t xml:space="preserve"> </w:t>
      </w:r>
      <w:r w:rsidR="00143127">
        <w:t xml:space="preserve">summarizes the impacts of climate changes on crops quality and yield. </w:t>
      </w:r>
      <w:r>
        <w:t xml:space="preserve">The European Union (EU) aims to reduce carbon emissions from the agricultural </w:t>
      </w:r>
      <w:r>
        <w:lastRenderedPageBreak/>
        <w:t xml:space="preserve">sector by </w:t>
      </w:r>
      <w:r w:rsidR="00162B40" w:rsidRPr="001B3020">
        <w:t xml:space="preserve">33% </w:t>
      </w:r>
      <w:r>
        <w:t>in 2030 compared to 2005</w:t>
      </w:r>
      <w:r w:rsidR="00BA03F1">
        <w:rPr>
          <w:rStyle w:val="Rimandonotaapidipagina"/>
        </w:rPr>
        <w:footnoteReference w:id="1"/>
      </w:r>
      <w:r w:rsidR="00162B40" w:rsidRPr="001B3020">
        <w:t xml:space="preserve">. </w:t>
      </w:r>
      <w:r w:rsidR="00623778">
        <w:t xml:space="preserve">In addition, </w:t>
      </w:r>
      <w:r w:rsidR="007B7062" w:rsidRPr="001B3020">
        <w:t>the</w:t>
      </w:r>
      <w:r w:rsidR="00623778">
        <w:t xml:space="preserve"> EU</w:t>
      </w:r>
      <w:r w:rsidR="00162B40" w:rsidRPr="001B3020">
        <w:t xml:space="preserve"> </w:t>
      </w:r>
      <w:r w:rsidR="00FA1039" w:rsidRPr="00FA1039">
        <w:t>National Emission Ceilings Directive</w:t>
      </w:r>
      <w:r w:rsidR="001B3020" w:rsidRPr="001B3020">
        <w:t>,</w:t>
      </w:r>
      <w:r w:rsidR="007B7062" w:rsidRPr="001B3020">
        <w:t xml:space="preserve"> </w:t>
      </w:r>
      <w:r w:rsidR="001B3020" w:rsidRPr="001B3020">
        <w:t>which set the maximum level of several pollutant in the atmosphere</w:t>
      </w:r>
      <w:r>
        <w:t>,</w:t>
      </w:r>
      <w:r w:rsidR="001B3020" w:rsidRPr="001B3020">
        <w:t xml:space="preserve"> establishes a reduction of ammonia and particulate matter emissions of 16% and 40% by 2030</w:t>
      </w:r>
      <w:r w:rsidR="007B6756">
        <w:t xml:space="preserve"> compared to emissions recorded in 1990</w:t>
      </w:r>
      <w:r w:rsidR="00BA03F1">
        <w:rPr>
          <w:rStyle w:val="Rimandonotaapidipagina"/>
        </w:rPr>
        <w:footnoteReference w:id="2"/>
      </w:r>
      <w:r w:rsidR="001B3020" w:rsidRPr="001B3020">
        <w:t xml:space="preserve">. </w:t>
      </w:r>
    </w:p>
    <w:p w14:paraId="552067A1" w14:textId="58A7BF09" w:rsidR="00623778" w:rsidRDefault="002C1FEE" w:rsidP="00623778">
      <w:pPr>
        <w:spacing w:line="360" w:lineRule="auto"/>
        <w:ind w:firstLine="0"/>
      </w:pPr>
      <w:r w:rsidRPr="0039241A">
        <w:t xml:space="preserve">The </w:t>
      </w:r>
      <w:r w:rsidR="00BA79D8" w:rsidRPr="0090153D">
        <w:t xml:space="preserve">growing concern </w:t>
      </w:r>
      <w:r w:rsidR="00BA79D8">
        <w:t xml:space="preserve">about </w:t>
      </w:r>
      <w:r w:rsidRPr="0039241A">
        <w:t xml:space="preserve">the relation of livestock activities and </w:t>
      </w:r>
      <w:r w:rsidR="00BA79D8">
        <w:t>sustainability</w:t>
      </w:r>
      <w:r w:rsidRPr="0039241A">
        <w:t xml:space="preserve"> </w:t>
      </w:r>
      <w:r w:rsidR="00841C56" w:rsidRPr="0039241A">
        <w:t xml:space="preserve">has led to technological progress and the adoption of best practices for reducing GHG emissions. </w:t>
      </w:r>
      <w:r w:rsidR="00623778">
        <w:t>In Italy, the</w:t>
      </w:r>
      <w:r w:rsidR="00841C56" w:rsidRPr="00287F30">
        <w:t xml:space="preserve"> </w:t>
      </w:r>
      <w:r w:rsidR="00623778">
        <w:t>n</w:t>
      </w:r>
      <w:r w:rsidR="00841C56" w:rsidRPr="00287F30">
        <w:t>ational GHG emissions</w:t>
      </w:r>
      <w:r w:rsidR="00623778">
        <w:t xml:space="preserve"> report</w:t>
      </w:r>
      <w:r w:rsidR="00841C56" w:rsidRPr="00287F30">
        <w:t xml:space="preserve"> </w:t>
      </w:r>
      <w:r w:rsidR="00623778">
        <w:t xml:space="preserve">for </w:t>
      </w:r>
      <w:r w:rsidR="00841C56" w:rsidRPr="00287F30">
        <w:t xml:space="preserve">the </w:t>
      </w:r>
      <w:r w:rsidR="00623778">
        <w:t>a</w:t>
      </w:r>
      <w:r w:rsidR="00F009B4" w:rsidRPr="00287F30">
        <w:t>griculture</w:t>
      </w:r>
      <w:r w:rsidR="00841C56" w:rsidRPr="00287F30">
        <w:t xml:space="preserve"> sector</w:t>
      </w:r>
      <w:r w:rsidR="00523B4F">
        <w:t xml:space="preserve"> </w:t>
      </w:r>
      <w:r w:rsidR="007447CF">
        <w:fldChar w:fldCharType="begin" w:fldLock="1"/>
      </w:r>
      <w:r w:rsidR="00523B4F">
        <w:instrText>ADDIN CSL_CITATION {"citationItems":[{"id":"ITEM-1","itemData":{"DOI":"10.1017/S1751731108002292","ISSN":"17517311","abstract":"In order to contribute to the improvement of the national greenhouse gas emission inventory, this work aimed at estimating a country-specific enteric methane (CH4) emission factor for the Italian Mediterranean buffalo. For this purpose, national agriculture statistics, and information on animal production and farming conditions were analysed, and the emission factor was estimated using the Tier 2 model of the Intergovernmental Panel on Climate Change. Country-specific CH4 emission factors for buffalo cows (630 kg body weight, BW) and other buffalo (313 kg BW) categories were estimated for the period 1990-2004. In 2004, the estimated enteric CH4 emission factor for the buffalo cows was 73 kg/head per year, whereas that for other buffalo categories it was 56 kg/head per year. Research in order to determine specific CH4 conversion rates at the predominant production system is suggested. © The Animal Consortium 2008.","author":[{"dropping-particle":"","family":"Cóndor","given":"R. D.","non-dropping-particle":"","parse-names":false,"suffix":""},{"dropping-particle":"","family":"Valli","given":"L.","non-dropping-particle":"","parse-names":false,"suffix":""},{"dropping-particle":"","family":"Rosa","given":"G.","non-dropping-particle":"De","parse-names":false,"suffix":""},{"dropping-particle":"","family":"Francia","given":"A.","non-dropping-particle":"Di","parse-names":false,"suffix":""},{"dropping-particle":"","family":"Lauretis","given":"R.","non-dropping-particle":"De","parse-names":false,"suffix":""}],"container-title":"Animal","id":"ITEM-1","issue":"8","issued":{"date-parts":[["2008"]]},"page":"1247-1253","title":"Estimation of the methane emission factor for the Italian Mediterranean buffalo","type":"article-journal","volume":"2"},"uris":["http://www.mendeley.com/documents/?uuid=d7159b40-702d-4613-a1e8-1c710f97662e"]}],"mendeley":{"formattedCitation":"(Cóndor et al., 2008)","plainTextFormattedCitation":"(Cóndor et al., 2008)","previouslyFormattedCitation":"(Cóndor et al., 2008)"},"properties":{"noteIndex":0},"schema":"https://github.com/citation-style-language/schema/raw/master/csl-citation.json"}</w:instrText>
      </w:r>
      <w:r w:rsidR="007447CF">
        <w:fldChar w:fldCharType="separate"/>
      </w:r>
      <w:r w:rsidR="00523B4F" w:rsidRPr="00523B4F">
        <w:rPr>
          <w:noProof/>
        </w:rPr>
        <w:t>(Cóndor et al., 2008)</w:t>
      </w:r>
      <w:r w:rsidR="007447CF">
        <w:fldChar w:fldCharType="end"/>
      </w:r>
      <w:r w:rsidR="009123F7">
        <w:t xml:space="preserve"> </w:t>
      </w:r>
      <w:r w:rsidR="00287F30">
        <w:t>outlines</w:t>
      </w:r>
      <w:r w:rsidR="009123F7">
        <w:t xml:space="preserve"> a progressive reduction</w:t>
      </w:r>
      <w:r w:rsidR="00623778">
        <w:t xml:space="preserve"> of GHG emissions from 1990 to 2009: methane from enteric fermentation and from manure management reduced by 11% and 16%, respectively, whilst nitrous oxide from manure management and from soil emissions by 4% and 20%.</w:t>
      </w:r>
    </w:p>
    <w:p w14:paraId="3F34F31C" w14:textId="46AC51A0" w:rsidR="00BA79D8" w:rsidRDefault="00BA79D8" w:rsidP="00BA79D8">
      <w:pPr>
        <w:spacing w:line="360" w:lineRule="auto"/>
        <w:ind w:firstLine="0"/>
      </w:pPr>
      <w:r w:rsidRPr="0090153D">
        <w:t>The use of L</w:t>
      </w:r>
      <w:r>
        <w:t xml:space="preserve">ife </w:t>
      </w:r>
      <w:r w:rsidRPr="0090153D">
        <w:t>C</w:t>
      </w:r>
      <w:r>
        <w:t>ycle Assessment</w:t>
      </w:r>
      <w:r w:rsidR="00A16049">
        <w:t xml:space="preserve"> (LCA)</w:t>
      </w:r>
      <w:r>
        <w:t xml:space="preserve"> methodology</w:t>
      </w:r>
      <w:r w:rsidRPr="0090153D">
        <w:t xml:space="preserve"> in </w:t>
      </w:r>
      <w:r>
        <w:t>livestock</w:t>
      </w:r>
      <w:r w:rsidRPr="0090153D">
        <w:t xml:space="preserve"> </w:t>
      </w:r>
      <w:r>
        <w:t xml:space="preserve">management and food </w:t>
      </w:r>
      <w:r w:rsidRPr="0090153D">
        <w:t>products has been</w:t>
      </w:r>
      <w:r>
        <w:t xml:space="preserve"> increasing over the last years. </w:t>
      </w:r>
      <w:r w:rsidR="00FD5A65">
        <w:t>Numerous Authors</w:t>
      </w:r>
      <w:r w:rsidR="00F97F15">
        <w:t xml:space="preserve"> investigate</w:t>
      </w:r>
      <w:r w:rsidR="00FD5A65">
        <w:t>d</w:t>
      </w:r>
      <w:r w:rsidR="00F97F15">
        <w:t xml:space="preserve"> the environmental </w:t>
      </w:r>
      <w:r w:rsidR="00FD5A65">
        <w:t>impacts</w:t>
      </w:r>
      <w:r w:rsidR="00F97F15">
        <w:t xml:space="preserve"> of livestock</w:t>
      </w:r>
      <w:r w:rsidR="00FD5A65">
        <w:t>-derived</w:t>
      </w:r>
      <w:r w:rsidR="00F97F15">
        <w:t xml:space="preserve"> products</w:t>
      </w:r>
      <w:r w:rsidR="00F72EC5">
        <w:t xml:space="preserve">. </w:t>
      </w:r>
      <w:r w:rsidR="00F72EC5">
        <w:fldChar w:fldCharType="begin" w:fldLock="1"/>
      </w:r>
      <w:r w:rsidR="00523B4F">
        <w:instrText>ADDIN CSL_CITATION {"citationItems":[{"id":"ITEM-1","itemData":{"DOI":"https://doi.org/10.1016/j.livsci.2009.11.007","ISSN":"1871-1413","abstract":"Livestock production has a major impact on the environment. Choosing a more environmentally-friendly livestock product in a diet can mitigate environmental impact. The objective of this research was to compare assessments of the environmental impact of livestock products. Twenty-five peer-reviewed studies were found that assessed the impact of production of pork, chicken, beef, milk, and eggs using life cycle analysis (LCA). Only 16 of these studies were reviewed, based on five criteria: study from an OECD (Organization for Economic Cooperation and Development) country, non-organic production, type of LCA methodology, allocation method used, and definition of system boundary. LCA results of these 16 studies were expressed in three ways: per kg product, per kg protein, and per kg of average daily intake of each product for an OECD country. The review yielded a consistent ranging of results for use of land and energy, and for climate change. No clear pattern was found, however, for eutrophication and acidification. Production of 1kg of beef used most land and energy, and had highest global warming potential (GWP), followed by production of 1kg of pork, chicken, eggs, and milk. Differences in environmental impact among pork, chicken, and beef can be explained mainly by 3 factors: differences in feed efficiency, differences in enteric CH4 emission between monogastric animals and ruminants, and differences in reproduction rates. The impact of production of 1kg of meat (pork, chicken, beef) was high compared with production of 1kg of milk and eggs because of the relatively high water content of milk and eggs. Production of 1kg of beef protein also had the highest impact, followed by pork protein, whereas chicken protein had the lowest impact. This result also explained why consumption of beef was responsible for the largest part of the land use and GWP in an average OECD diet. This review did not show consistent differences in environmental impact per kg protein in milk, pork, chicken and eggs. Only one study compared environmental impact of meat versus milk and eggs. Conclusions regarding impact of pork or chicken versus impact of milk or eggs require additional comparative studies and further harmonization of LCA methodology. Interpretation of current LCA results for livestock products, moreover, is hindered because results do not include environmental consequences of competition for land between humans and animals, and consequences of land-use changes. We …","author":[{"dropping-particle":"","family":"Vries","given":"M","non-dropping-particle":"de","parse-names":false,"suffix":""},{"dropping-particle":"","family":"Boer","given":"I J M","non-dropping-particle":"de","parse-names":false,"suffix":""}],"container-title":"Livestock Science","id":"ITEM-1","issue":"1","issued":{"date-parts":[["2010"]]},"page":"1-11","title":"Comparing environmental impacts for livestock products: A review of life cycle assessments","type":"article-journal","volume":"128"},"uris":["http://www.mendeley.com/documents/?uuid=271d3f50-e84b-4a1c-83e8-a95486b7c4cd"]}],"mendeley":{"formattedCitation":"(de Vries and de Boer, 2010)","manualFormatting":"de Vries and de Boer, 2010","plainTextFormattedCitation":"(de Vries and de Boer, 2010)","previouslyFormattedCitation":"(de Vries and de Boer, 2010)"},"properties":{"noteIndex":0},"schema":"https://github.com/citation-style-language/schema/raw/master/csl-citation.json"}</w:instrText>
      </w:r>
      <w:r w:rsidR="00F72EC5">
        <w:fldChar w:fldCharType="separate"/>
      </w:r>
      <w:r w:rsidR="00523B4F" w:rsidRPr="00523B4F">
        <w:rPr>
          <w:noProof/>
        </w:rPr>
        <w:t>de Vries and de Boer, 2010</w:t>
      </w:r>
      <w:r w:rsidR="00F72EC5">
        <w:fldChar w:fldCharType="end"/>
      </w:r>
      <w:r w:rsidR="00F72EC5">
        <w:t xml:space="preserve"> </w:t>
      </w:r>
      <w:r w:rsidR="00F72EC5" w:rsidRPr="00F72EC5">
        <w:t>compare</w:t>
      </w:r>
      <w:r w:rsidR="00FD5A65">
        <w:t>d</w:t>
      </w:r>
      <w:r w:rsidR="00F72EC5">
        <w:t xml:space="preserve"> </w:t>
      </w:r>
      <w:r w:rsidR="00F72EC5" w:rsidRPr="00F72EC5">
        <w:t xml:space="preserve">the </w:t>
      </w:r>
      <w:r w:rsidR="00A16049">
        <w:t xml:space="preserve">life-cycle </w:t>
      </w:r>
      <w:r w:rsidR="00F72EC5" w:rsidRPr="00F72EC5">
        <w:t>environment</w:t>
      </w:r>
      <w:r w:rsidR="00F72EC5">
        <w:t>al impact</w:t>
      </w:r>
      <w:r w:rsidR="00A16049">
        <w:t>s</w:t>
      </w:r>
      <w:r w:rsidR="00F72EC5">
        <w:t xml:space="preserve"> of </w:t>
      </w:r>
      <w:r w:rsidR="00A16049">
        <w:t>25</w:t>
      </w:r>
      <w:r w:rsidR="00F72EC5" w:rsidRPr="00F72EC5">
        <w:t xml:space="preserve"> peer-reviewed studies </w:t>
      </w:r>
      <w:r w:rsidR="00F72EC5">
        <w:t xml:space="preserve">on the </w:t>
      </w:r>
      <w:r w:rsidR="00F72EC5" w:rsidRPr="00F72EC5">
        <w:t>production of pork, chicken, beef, milk, and eggs</w:t>
      </w:r>
      <w:r w:rsidR="00F72EC5">
        <w:t xml:space="preserve">. </w:t>
      </w:r>
      <w:r w:rsidR="00420E3A">
        <w:fldChar w:fldCharType="begin" w:fldLock="1"/>
      </w:r>
      <w:r w:rsidR="00523B4F">
        <w:instrText>ADDIN CSL_CITATION {"citationItems":[{"id":"ITEM-1","itemData":{"DOI":"https://doi.org/10.1016/j.jclepro.2012.10.010","ISSN":"0959-6526","abstract":"An environmental assessment was carried out in order to quantify the environmental consequences of the life cycle of mature cheese production from a cradle-to-gate perspective and to identify the environmental hotspots. To do so, an international cheese-making dairy factory located in Portugal was assessed in detail and inventory data for the different production steps (milk production at dairy farm, cheese manufacturing and whey transformation at industrial dairy factory) were taken on-site. The production line at the industrial dairy factory presents two main products: mature cheese and whey powder. The environmental burdens were allocated between both products based on an economic allocation approach as baseline. However, different methodological approaches, mass allocation and no allocation (assigning the whole environmental load of the production line to the cheese), were also applied in this study. Dairy-farm-related activities play an important role concerning different environmental impact categories, namely acidification (91%), eutrophication (86%), global warming (82%), land competition (99%) and photo-oxidants formation (69%) due to on-farm emissions such as methane from enteric fermentation, ammonia from manure management, combustion emissions from agricultural machineries as well as land requirements for animal fodder production. From cheese-making, the most important contributions are related to abiotic depletion (55%), ozone layer depletion (51%) and cumulative energy demand (55%) mainly due to the energy requirements in the different production processes and to the distribution of input goods up to the dairy gate. Improvement alternatives for the environmental key factors within the limits of the dairy factory were proposed based on a reduction of energy consumption, the use of a more environmentally friendly fuel in the boilers and the use of new trucks with lower exhaust emissions. According to the results, it has been demonstrated that it should be possible to slightly reduce the environmental profile in some impact categories (acidification, eutrophication, global warming and photo-oxidants formation) without involving significant economic investment.","author":[{"dropping-particle":"","family":"González-García","given":"Sara","non-dropping-particle":"","parse-names":false,"suffix":""},{"dropping-particle":"","family":"Castanheira","given":"Érica G","non-dropping-particle":"","parse-names":false,"suffix":""},{"dropping-particle":"","family":"Dias","given":"Ana Cláudia","non-dropping-particle":"","parse-names":false,"suffix":""},{"dropping-particle":"","family":"Arroja","given":"Luis","non-dropping-particle":"","parse-names":false,"suffix":""}],"container-title":"Journal of Cleaner Production","id":"ITEM-1","issued":{"date-parts":[["2013"]]},"page":"65-73","title":"Environmental performance of a Portuguese mature cheese-making dairy mill","type":"article-journal","volume":"41"},"uris":["http://www.mendeley.com/documents/?uuid=d119a449-b5b6-4b3d-8517-43d92d6a4537"]}],"mendeley":{"formattedCitation":"(González-García et al., 2013)","manualFormatting":"González-García et al., 2013","plainTextFormattedCitation":"(González-García et al., 2013)","previouslyFormattedCitation":"(González-García et al., 2013)"},"properties":{"noteIndex":0},"schema":"https://github.com/citation-style-language/schema/raw/master/csl-citation.json"}</w:instrText>
      </w:r>
      <w:r w:rsidR="00420E3A">
        <w:fldChar w:fldCharType="separate"/>
      </w:r>
      <w:r w:rsidR="00523B4F" w:rsidRPr="00523B4F">
        <w:rPr>
          <w:noProof/>
        </w:rPr>
        <w:t>González-García et al., 2013</w:t>
      </w:r>
      <w:r w:rsidR="00420E3A">
        <w:fldChar w:fldCharType="end"/>
      </w:r>
      <w:r w:rsidR="00420E3A">
        <w:t xml:space="preserve"> assess</w:t>
      </w:r>
      <w:r w:rsidR="00FD5A65">
        <w:t>ed</w:t>
      </w:r>
      <w:r w:rsidR="00420E3A">
        <w:t xml:space="preserve"> the environmental impact</w:t>
      </w:r>
      <w:r w:rsidR="00A16049">
        <w:t>s</w:t>
      </w:r>
      <w:r w:rsidR="00420E3A">
        <w:t xml:space="preserve"> of mature cheese production in Portugal</w:t>
      </w:r>
      <w:r w:rsidR="00A16049">
        <w:t xml:space="preserve"> whilst</w:t>
      </w:r>
      <w:r w:rsidR="00420E3A">
        <w:t xml:space="preserve"> </w:t>
      </w:r>
      <w:r w:rsidR="00420E3A">
        <w:fldChar w:fldCharType="begin" w:fldLock="1"/>
      </w:r>
      <w:r w:rsidR="00DF038E">
        <w:instrText>ADDIN CSL_CITATION {"citationItems":[{"id":"ITEM-1","itemData":{"DOI":"https://doi.org/10.1016/j.jclepro.2011.10.017","ISSN":"0959-6526","abstract":"An LCA study on the production of an Italian brand of high quality milk (bottled in 1 l Tetra Top®) was carried out in compliance with the Product Category Rules for milk of the International EPD® System. The results were compared with the registered environmental product declaration (EPD) of another brand of milk. The most relevant source of differences between the two studies is the choice of different system models, mainly due to lack of detailed instructions in PCR, especially for: fertilizers field emissions and choice of the models for their estimation; inclusion of the complementary fodder production; waste management. The results of this analysis were used to participate in the open consultation of the PCR revised version and to highlight the importance of including more detailed instructions. After the publication of the updated version of the PCR, the LCA study was revised for the part of the inventory concerning methane emissions from cattle and emissions due to manure management and spreading. The impact assessment results show that raw milk production at farms is the most critical life cycle phase, mainly because of: CH4 from enteric fermentation, CO2 from diesel consumption, and N2O and NH3 airborne emissions as well as NO3− waterborne emissions coming from manure management and fertilizers use. Therefore, reductions of the environmental impacts can be mainly obtained at farms, with, for example, the selection of a diet for reducing enteric emissions, the introduction of energy recovery from anaerobic digestion of manure, the optimisation of the use of fertilizers adopting precision farming techniques. The results are within the literature range of values, though not fully comparable because of the existing differences in assumptions and modelling choices. Recommendations for improving the comparability of LCA in the food sectors are outlined.","author":[{"dropping-particle":"","family":"Fantin","given":"Valentina","non-dropping-particle":"","parse-names":false,"suffix":""},{"dropping-particle":"","family":"Buttol","given":"Patrizia","non-dropping-particle":"","parse-names":false,"suffix":""},{"dropping-particle":"","family":"Pergreffi","given":"Roberto","non-dropping-particle":"","parse-names":false,"suffix":""},{"dropping-particle":"","family":"Masoni","given":"Paolo","non-dropping-particle":"","parse-names":false,"suffix":""}],"container-title":"Journal of Cleaner Production","id":"ITEM-1","issued":{"date-parts":[["2012"]]},"page":"150-159","title":"Life cycle assessment of Italian high quality milk production. A comparison with an EPD study","type":"article-journal","volume":"28"},"uris":["http://www.mendeley.com/documents/?uuid=074ce0bc-1e12-45b2-8d25-c50e6893fa14"]}],"mendeley":{"formattedCitation":"(Fantin et al., 2012)","manualFormatting":"Fantin et al., 2012","plainTextFormattedCitation":"(Fantin et al., 2012)","previouslyFormattedCitation":"(Fantin et al., 2012)"},"properties":{"noteIndex":0},"schema":"https://github.com/citation-style-language/schema/raw/master/csl-citation.json"}</w:instrText>
      </w:r>
      <w:r w:rsidR="00420E3A">
        <w:fldChar w:fldCharType="separate"/>
      </w:r>
      <w:r w:rsidR="00523B4F" w:rsidRPr="00523B4F">
        <w:rPr>
          <w:noProof/>
        </w:rPr>
        <w:t>Fantin et al., 2012</w:t>
      </w:r>
      <w:r w:rsidR="00420E3A">
        <w:fldChar w:fldCharType="end"/>
      </w:r>
      <w:r w:rsidR="00420E3A">
        <w:t xml:space="preserve"> </w:t>
      </w:r>
      <w:r w:rsidR="00A16049">
        <w:t>investigated</w:t>
      </w:r>
      <w:r w:rsidR="00420E3A">
        <w:t xml:space="preserve"> the production of drinking milk</w:t>
      </w:r>
      <w:r w:rsidR="00A16049">
        <w:t>; notably,</w:t>
      </w:r>
      <w:r w:rsidR="00420E3A">
        <w:t xml:space="preserve"> they found</w:t>
      </w:r>
      <w:r w:rsidR="00F97F15" w:rsidRPr="00F97F15">
        <w:t xml:space="preserve"> that </w:t>
      </w:r>
      <w:r w:rsidR="00A16049">
        <w:t xml:space="preserve">the </w:t>
      </w:r>
      <w:r w:rsidR="00F97F15" w:rsidRPr="00F97F15">
        <w:t xml:space="preserve">farm phase </w:t>
      </w:r>
      <w:r w:rsidR="00420E3A">
        <w:t xml:space="preserve">is </w:t>
      </w:r>
      <w:r w:rsidR="00A16049">
        <w:t xml:space="preserve">the </w:t>
      </w:r>
      <w:r w:rsidR="00420E3A">
        <w:t xml:space="preserve">main </w:t>
      </w:r>
      <w:r w:rsidR="00A16049">
        <w:t>contributor to</w:t>
      </w:r>
      <w:r w:rsidR="00420E3A">
        <w:t xml:space="preserve"> climate change, </w:t>
      </w:r>
      <w:r w:rsidR="00A16049">
        <w:t>a</w:t>
      </w:r>
      <w:r w:rsidR="00420E3A">
        <w:t>cidification and eutrophication impact categories.</w:t>
      </w:r>
      <w:r w:rsidR="00DF038E">
        <w:t xml:space="preserve"> </w:t>
      </w:r>
      <w:r w:rsidR="00367024">
        <w:fldChar w:fldCharType="begin" w:fldLock="1"/>
      </w:r>
      <w:r w:rsidR="00DF038E">
        <w:instrText>ADDIN CSL_CITATION {"citationItems":[{"id":"ITEM-1","itemData":{"DOI":"10.1016/j.agsy.2007.06.001","ISSN":"0308521X","abstract":"Production of milk causes environmental side effects, such as emission of greenhouse gases and nutrient enrichment in surface water. Scientific evidence that shows differences in integral environmental impact between milk production systems in the Netherlands was underexposed. In this paper, two Dutch milk production systems, i.e. a conventional and an organic, were compared on their integral environmental impact and hotspots were identified in the conventional and organic milk production chains. Identification of a hotspot provides insight into mitigation options for conventional and organic milk production. Data of commercial farms that participated in two pilot-studies were used and refer to the year 2003. For each farm, a detailed cradle-to-farm-gate life cycle assessment, including on and off farm pollution was performed. Results showed better environmental performance concerning energy use and eutrophication potential per kilogram of milk for organic farms than for conventional farms. Furthermore, higher on-farm acidification potential and global warming potential per kilogram organic milk implies that higher ammonia, methane, and nitrous oxide emissions occur on farm per kilogram organic milk than for conventional milk. Total acidification potential and global warming potential per kilogram milk did not differ between the selected conventional and organic farms. In addition, results showed lower land use per kilogram conventional milk compared with organic milk. In the selected conventional farms, purchased concentrates was found to be the hotspot in off farm and total impact for all impact categories, whereas in the selected organic farms, both purchased concentrates and roughage were found to be the hotspots in off farm impact. We recommend to improve integral environmental performance of milk production by: (1) reducing the use of concentrates ingredients with a high environmental impact, (2) decreasing the use of concentrates per kilogram of milk, and (3) reducing nutrient surpluses by improving farm nutrient flows. © 2007 Elsevier Ltd. All rights reserved.","author":[{"dropping-particle":"","family":"Thomassen","given":"M. A.","non-dropping-particle":"","parse-names":false,"suffix":""},{"dropping-particle":"","family":"Calker","given":"K. J.","non-dropping-particle":"van","parse-names":false,"suffix":""},{"dropping-particle":"","family":"Smits","given":"M. C.J.","non-dropping-particle":"","parse-names":false,"suffix":""},{"dropping-particle":"","family":"Iepema","given":"G. L.","non-dropping-particle":"","parse-names":false,"suffix":""},{"dropping-particle":"","family":"Boer","given":"I. J.M.","non-dropping-particle":"de","parse-names":false,"suffix":""}],"container-title":"Agricultural Systems","id":"ITEM-1","issue":"1-3","issued":{"date-parts":[["2008"]]},"page":"95-107","title":"Life cycle assessment of conventional and organic milk production in the Netherlands","type":"article-journal","volume":"96"},"uris":["http://www.mendeley.com/documents/?uuid=7e79c98e-fa97-49c2-9f90-44c4e58ec130"]}],"mendeley":{"formattedCitation":"(Thomassen et al., 2008)","manualFormatting":"Thomassen et al., 2008","plainTextFormattedCitation":"(Thomassen et al., 2008)","previouslyFormattedCitation":"(Thomassen et al., 2008)"},"properties":{"noteIndex":0},"schema":"https://github.com/citation-style-language/schema/raw/master/csl-citation.json"}</w:instrText>
      </w:r>
      <w:r w:rsidR="00367024">
        <w:fldChar w:fldCharType="separate"/>
      </w:r>
      <w:r w:rsidR="00523B4F" w:rsidRPr="00523B4F">
        <w:rPr>
          <w:noProof/>
        </w:rPr>
        <w:t>Thomassen et al., 2008</w:t>
      </w:r>
      <w:r w:rsidR="00367024">
        <w:fldChar w:fldCharType="end"/>
      </w:r>
      <w:r w:rsidR="00420E3A">
        <w:t xml:space="preserve"> </w:t>
      </w:r>
      <w:r w:rsidR="00367024">
        <w:t xml:space="preserve">compared  </w:t>
      </w:r>
      <w:r w:rsidR="00FD5A65">
        <w:t xml:space="preserve">conventional and organic </w:t>
      </w:r>
      <w:r w:rsidR="00DA4B99">
        <w:t xml:space="preserve">cow </w:t>
      </w:r>
      <w:r w:rsidR="00367024">
        <w:t>milk</w:t>
      </w:r>
      <w:r w:rsidR="00FD5A65">
        <w:t xml:space="preserve">s. </w:t>
      </w:r>
      <w:r w:rsidR="00D65AC2">
        <w:fldChar w:fldCharType="begin" w:fldLock="1"/>
      </w:r>
      <w:r w:rsidR="00DF038E">
        <w:instrText>ADDIN CSL_CITATION {"citationItems":[{"id":"ITEM-1","itemData":{"DOI":"10.3390/su8080728","ISSN":"20711050","abstract":"This article aims to investigate the environmental and economic sustainability of five dairy farms in the Umbria Region (Italy). The study also provides an assessment of aggregate sustainability, which is less investigated with reference to cattle milk both globally and in Italy, through the analysis of the relationship between economic and environmental performance. Primary data were collected through a direct survey carried out in 2014. The environmental assessment was conducted with a Life Cycle Assessment (LCA) \"cradle to farm gate\" approach, while the economic dimension was evaluated by determining the direct and indirect costs related to the factors involved in the production process. A correlation analysis and a linear regression were performed in order to study the relationship between the carbon footprint (CF) and operating income. The average operating income amounted to 0.03 Euro/L of milk. The CF values of the five companies are contained within a variation range comprised between 0.90 and 1.76 kg CO2 eq/L of milk. The existence of an inverse relationship between the CF of milk and operating income confirms the hypothesis regarding the possibility of implementing strategies aimed at improving performance in both investigated dimensions at the same time, thus increasing the aggregate sustainability.","author":[{"dropping-particle":"","family":"Cecchini","given":"Lucio","non-dropping-particle":"","parse-names":false,"suffix":""},{"dropping-particle":"","family":"Torquati","given":"Biancamaria","non-dropping-particle":"","parse-names":false,"suffix":""},{"dropping-particle":"","family":"Paffarini","given":"Chiara","non-dropping-particle":"","parse-names":false,"suffix":""},{"dropping-particle":"","family":"Barbanera","given":"Marco","non-dropping-particle":"","parse-names":false,"suffix":""},{"dropping-particle":"","family":"Foschini","given":"Daniele","non-dropping-particle":"","parse-names":false,"suffix":""},{"dropping-particle":"","family":"Chiorri","given":"Massimo","non-dropping-particle":"","parse-names":false,"suffix":""}],"container-title":"Sustainability (Switzerland)","id":"ITEM-1","issue":"8","issued":{"date-parts":[["2016"]]},"title":"The milk supply chain in Italy's Umbria Region: Environmental and economic sustainability","type":"article-journal","volume":"8"},"uris":["http://www.mendeley.com/documents/?uuid=1d9c00d4-f92d-491a-ad29-21fe523d3eed"]}],"mendeley":{"formattedCitation":"(Cecchini et al., 2016)","manualFormatting":"Cecchini et al., 2016","plainTextFormattedCitation":"(Cecchini et al., 2016)","previouslyFormattedCitation":"(Cecchini et al., 2016)"},"properties":{"noteIndex":0},"schema":"https://github.com/citation-style-language/schema/raw/master/csl-citation.json"}</w:instrText>
      </w:r>
      <w:r w:rsidR="00D65AC2">
        <w:fldChar w:fldCharType="separate"/>
      </w:r>
      <w:r w:rsidR="00523B4F" w:rsidRPr="00523B4F">
        <w:rPr>
          <w:noProof/>
        </w:rPr>
        <w:t>Cecchini et al., 2016</w:t>
      </w:r>
      <w:r w:rsidR="00D65AC2">
        <w:fldChar w:fldCharType="end"/>
      </w:r>
      <w:r w:rsidR="00D65AC2" w:rsidRPr="003A4CC7">
        <w:t xml:space="preserve"> investigate</w:t>
      </w:r>
      <w:r w:rsidR="00D65AC2">
        <w:t>d</w:t>
      </w:r>
      <w:r w:rsidR="00D65AC2" w:rsidRPr="003A4CC7">
        <w:t xml:space="preserve"> the environmental and economic sustainability of five da</w:t>
      </w:r>
      <w:r w:rsidR="00D65AC2">
        <w:t>iry farms in the Umbria region, in Italy. Their study shows an</w:t>
      </w:r>
      <w:r w:rsidR="00D65AC2" w:rsidRPr="003A4CC7">
        <w:t xml:space="preserve"> average operating income </w:t>
      </w:r>
      <w:r w:rsidR="00FD5A65">
        <w:t>of</w:t>
      </w:r>
      <w:r w:rsidR="00D65AC2">
        <w:t xml:space="preserve"> 0.03 </w:t>
      </w:r>
      <w:r w:rsidR="00DF038E">
        <w:t>€</w:t>
      </w:r>
      <w:r w:rsidR="00D65AC2">
        <w:t>/L of milk and</w:t>
      </w:r>
      <w:r w:rsidR="00D65AC2" w:rsidRPr="003A4CC7">
        <w:t xml:space="preserve"> </w:t>
      </w:r>
      <w:r w:rsidR="00D65AC2">
        <w:t>carbon footprint</w:t>
      </w:r>
      <w:r w:rsidR="00D65AC2" w:rsidRPr="003A4CC7">
        <w:t xml:space="preserve"> values </w:t>
      </w:r>
      <w:r w:rsidR="00D65AC2">
        <w:t>ranging from</w:t>
      </w:r>
      <w:r w:rsidR="00D65AC2" w:rsidRPr="003A4CC7">
        <w:t xml:space="preserve"> 0.90 and 1.76 kg CO</w:t>
      </w:r>
      <w:r w:rsidR="00D65AC2" w:rsidRPr="00F976D1">
        <w:rPr>
          <w:vertAlign w:val="subscript"/>
        </w:rPr>
        <w:t>2</w:t>
      </w:r>
      <w:r w:rsidR="00D65AC2" w:rsidRPr="003A4CC7">
        <w:t xml:space="preserve"> eq</w:t>
      </w:r>
      <w:r w:rsidR="00D65AC2">
        <w:t>.</w:t>
      </w:r>
      <w:r w:rsidR="00D65AC2" w:rsidRPr="003A4CC7">
        <w:t>/L</w:t>
      </w:r>
      <w:r w:rsidR="00D65AC2">
        <w:t xml:space="preserve">. </w:t>
      </w:r>
      <w:r w:rsidR="00804FDE">
        <w:t xml:space="preserve">Recently, </w:t>
      </w:r>
      <w:r w:rsidR="00804FDE">
        <w:fldChar w:fldCharType="begin" w:fldLock="1"/>
      </w:r>
      <w:r w:rsidR="00DF038E">
        <w:instrText>ADDIN CSL_CITATION {"citationItems":[{"id":"ITEM-1","itemData":{"DOI":"10.1016/j.jclepro.2016.06.078","ISSN":"09596526","abstract":"Life Cycle Assessment (LCA) is one of the key tools for the evaluation of the environmental sustainability of the agricultural sector. LCA related to milk production has gained attention in recent years, but the results are often discordant and conditioned by the practitioners’ choices. This has made it difficult to clearly identify the most environmentally friendly way to produce milk. In the present paper, 44 milk LCA studies published after 2009 are reviewed, in order to evaluate the level of harmonization and comparability of methods and results, and to discuss emerging issues and hot topics that would be worth further investigation. Furthermore, the effects that the choice of functional unit and allocation rule could have on the results were statistically analyzed. The understanding of the current research direction of milk-LCA studies is useful to promote a more responsible and sustainable livestock production in the perspective of increasing animal protein demand. This review highlighted the difficulties encountered in comparing milk LCA studies, underlining the importance of practitioners’ choices in determining the results. Harmonization among LCA studies applied to the milk sector still represents a goal to be achieved. It appeared that future LCAs should investigate a broad range of impact categories, including biodiversity and water consumption; define one or more common functional units; improve transparency, giving a detailed description of system boundaries and reporting the method used for impact calculation; and systematically conduct a sensitivity analysis for a better understanding of the effects of the choices of method.","author":[{"dropping-particle":"","family":"Baldini","given":"Cecilia","non-dropping-particle":"","parse-names":false,"suffix":""},{"dropping-particle":"","family":"Gardoni","given":"Davide","non-dropping-particle":"","parse-names":false,"suffix":""},{"dropping-particle":"","family":"Guarino","given":"Marcella","non-dropping-particle":"","parse-names":false,"suffix":""}],"container-title":"Journal of Cleaner Production","id":"ITEM-1","issued":{"date-parts":[["2017"]]},"page":"421-435","publisher":"Elsevier Ltd","title":"A critical review of the recent evolution of Life Cycle Assessment applied to milk production","type":"article-journal","volume":"140"},"uris":["http://www.mendeley.com/documents/?uuid=0a0a4050-5a06-44f3-ba64-b892732625e9"]}],"mendeley":{"formattedCitation":"(Baldini et al., 2017)","manualFormatting":"Baldini et al., 2017","plainTextFormattedCitation":"(Baldini et al., 2017)","previouslyFormattedCitation":"(Baldini et al., 2017)"},"properties":{"noteIndex":0},"schema":"https://github.com/citation-style-language/schema/raw/master/csl-citation.json"}</w:instrText>
      </w:r>
      <w:r w:rsidR="00804FDE">
        <w:fldChar w:fldCharType="separate"/>
      </w:r>
      <w:r w:rsidR="00523B4F" w:rsidRPr="00523B4F">
        <w:rPr>
          <w:noProof/>
        </w:rPr>
        <w:t>Baldini et al., 2017</w:t>
      </w:r>
      <w:r w:rsidR="00804FDE">
        <w:fldChar w:fldCharType="end"/>
      </w:r>
      <w:r w:rsidR="00804FDE">
        <w:t xml:space="preserve"> reviewed around 44</w:t>
      </w:r>
      <w:r w:rsidR="00FD5A65">
        <w:t xml:space="preserve"> LCA</w:t>
      </w:r>
      <w:r w:rsidR="00804FDE">
        <w:t xml:space="preserve"> studies on milk production published after 2009. The Authors</w:t>
      </w:r>
      <w:r w:rsidR="00D22670">
        <w:t xml:space="preserve"> concluded that</w:t>
      </w:r>
      <w:r w:rsidR="00804FDE">
        <w:t xml:space="preserve"> </w:t>
      </w:r>
      <w:r w:rsidR="00D22670" w:rsidRPr="00D22670">
        <w:t xml:space="preserve">future </w:t>
      </w:r>
      <w:r w:rsidR="00FD5A65">
        <w:t>studies</w:t>
      </w:r>
      <w:r w:rsidR="00FD5A65" w:rsidRPr="00D22670">
        <w:t xml:space="preserve"> </w:t>
      </w:r>
      <w:r w:rsidR="00D22670" w:rsidRPr="00D22670">
        <w:t>should investigate a broad</w:t>
      </w:r>
      <w:r w:rsidR="00FD5A65">
        <w:t>er</w:t>
      </w:r>
      <w:r w:rsidR="00D22670" w:rsidRPr="00D22670">
        <w:t xml:space="preserve"> range of impact categories, including biodiversity and water consumpti</w:t>
      </w:r>
      <w:r w:rsidR="00D22670">
        <w:t xml:space="preserve">on; </w:t>
      </w:r>
      <w:r w:rsidR="00D22670" w:rsidRPr="00D22670">
        <w:t xml:space="preserve">improve transparency, giving a detailed description of system boundaries and reporting the method used </w:t>
      </w:r>
      <w:r w:rsidR="00D22670" w:rsidRPr="00D22670">
        <w:lastRenderedPageBreak/>
        <w:t xml:space="preserve">for impact calculation; and </w:t>
      </w:r>
      <w:r w:rsidR="00D22670">
        <w:t>systematically conduct a sensi</w:t>
      </w:r>
      <w:r w:rsidR="00D22670" w:rsidRPr="00D22670">
        <w:t xml:space="preserve">tivity analysis for a better understanding </w:t>
      </w:r>
      <w:r w:rsidR="00D22670">
        <w:t xml:space="preserve">the effect of the assumption made. </w:t>
      </w:r>
    </w:p>
    <w:p w14:paraId="7C2BB554" w14:textId="0BDE23DD" w:rsidR="00F009B4" w:rsidRDefault="00D22670" w:rsidP="009E7C4C">
      <w:pPr>
        <w:spacing w:line="360" w:lineRule="auto"/>
        <w:ind w:firstLine="0"/>
      </w:pPr>
      <w:r>
        <w:t>Despite the economic relevance of buffalo farming</w:t>
      </w:r>
      <w:r w:rsidR="00FD5A65">
        <w:t xml:space="preserve"> in Italy</w:t>
      </w:r>
      <w:r w:rsidR="002725E9">
        <w:t>,</w:t>
      </w:r>
      <w:r w:rsidR="00025C50">
        <w:t xml:space="preserve"> few</w:t>
      </w:r>
      <w:r>
        <w:t xml:space="preserve"> </w:t>
      </w:r>
      <w:r w:rsidR="00A16049">
        <w:t xml:space="preserve">LCA </w:t>
      </w:r>
      <w:r>
        <w:t>st</w:t>
      </w:r>
      <w:r w:rsidR="00025C50">
        <w:t>udies</w:t>
      </w:r>
      <w:r>
        <w:t xml:space="preserve"> </w:t>
      </w:r>
      <w:r w:rsidR="00A16049">
        <w:t xml:space="preserve">investigated </w:t>
      </w:r>
      <w:r>
        <w:t>the environmental impact</w:t>
      </w:r>
      <w:r w:rsidR="00A16049">
        <w:t>s</w:t>
      </w:r>
      <w:r>
        <w:t xml:space="preserve"> of buffalo </w:t>
      </w:r>
      <w:r w:rsidR="00F976D1">
        <w:t>farms</w:t>
      </w:r>
      <w:r w:rsidR="00025C50">
        <w:t xml:space="preserve">. </w:t>
      </w:r>
      <w:r w:rsidR="001057F7" w:rsidRPr="00523B4F">
        <w:rPr>
          <w:noProof/>
        </w:rPr>
        <w:t>Pirlo et al., 2014a</w:t>
      </w:r>
      <w:r w:rsidR="00025C50">
        <w:t xml:space="preserve"> </w:t>
      </w:r>
      <w:r w:rsidR="00A16049">
        <w:t xml:space="preserve">estimated </w:t>
      </w:r>
      <w:r w:rsidR="00025C50">
        <w:t xml:space="preserve">an average carbon footprint for 1 kg of </w:t>
      </w:r>
      <w:r w:rsidR="00F976D1">
        <w:t>Fat-Protein Corrected Milk (</w:t>
      </w:r>
      <w:r w:rsidR="00025C50">
        <w:t>FPCM</w:t>
      </w:r>
      <w:r w:rsidR="00F976D1">
        <w:t>)</w:t>
      </w:r>
      <w:r w:rsidR="00025C50">
        <w:t xml:space="preserve"> in about 3.75 kg CO</w:t>
      </w:r>
      <w:r w:rsidR="00025C50" w:rsidRPr="00A060AF">
        <w:rPr>
          <w:vertAlign w:val="subscript"/>
        </w:rPr>
        <w:t>2eq</w:t>
      </w:r>
      <w:r w:rsidR="00025C50">
        <w:t xml:space="preserve">. considering </w:t>
      </w:r>
      <w:r w:rsidR="00025C50" w:rsidRPr="00025C50">
        <w:t>six Italian Mediterranean Buffalo</w:t>
      </w:r>
      <w:r w:rsidR="00F976D1">
        <w:t xml:space="preserve"> milk </w:t>
      </w:r>
      <w:r w:rsidR="007B6756">
        <w:t>farms</w:t>
      </w:r>
      <w:r w:rsidR="00E528CC">
        <w:t>.</w:t>
      </w:r>
      <w:r w:rsidR="00025C50">
        <w:t xml:space="preserve"> They found that </w:t>
      </w:r>
      <w:r w:rsidR="002F1703">
        <w:t>the m</w:t>
      </w:r>
      <w:r w:rsidR="00025C50" w:rsidRPr="00025C50">
        <w:t>ain sources of</w:t>
      </w:r>
      <w:r w:rsidR="002F1703">
        <w:t xml:space="preserve"> </w:t>
      </w:r>
      <w:r w:rsidR="0029006D">
        <w:t>GHG</w:t>
      </w:r>
      <w:r w:rsidR="00C62917">
        <w:t xml:space="preserve"> emissions </w:t>
      </w:r>
      <w:r w:rsidR="0029006D">
        <w:t>include</w:t>
      </w:r>
      <w:r w:rsidR="00C62917">
        <w:t xml:space="preserve"> animal </w:t>
      </w:r>
      <w:r w:rsidR="002F1703">
        <w:t>enteric</w:t>
      </w:r>
      <w:r w:rsidR="00C62917">
        <w:t xml:space="preserve"> fermentation</w:t>
      </w:r>
      <w:r w:rsidR="002F1703">
        <w:t xml:space="preserve"> (45%) and </w:t>
      </w:r>
      <w:r w:rsidR="0029006D">
        <w:t>indirect</w:t>
      </w:r>
      <w:r w:rsidR="00C62917">
        <w:t xml:space="preserve"> emissions from animal </w:t>
      </w:r>
      <w:r w:rsidR="00025C50" w:rsidRPr="00025C50">
        <w:t>feed production</w:t>
      </w:r>
      <w:r w:rsidR="00C62917">
        <w:t xml:space="preserve"> (</w:t>
      </w:r>
      <w:r w:rsidR="00025C50" w:rsidRPr="00025C50">
        <w:t>34%</w:t>
      </w:r>
      <w:r w:rsidR="00C62917">
        <w:t>)</w:t>
      </w:r>
      <w:r w:rsidR="002F1703">
        <w:t xml:space="preserve">. The same Authors also </w:t>
      </w:r>
      <w:r w:rsidR="00A16049">
        <w:t xml:space="preserve">analysed </w:t>
      </w:r>
      <w:r w:rsidR="002F1703">
        <w:t>the impacts of buffalo milk production on abiotic depletion</w:t>
      </w:r>
      <w:r w:rsidR="002F1703" w:rsidRPr="002F1703">
        <w:t>, ph</w:t>
      </w:r>
      <w:r w:rsidR="002F1703">
        <w:t>otochemical ozone formation, acidification, and eutrophication</w:t>
      </w:r>
      <w:r w:rsidR="001057F7">
        <w:t xml:space="preserve"> </w:t>
      </w:r>
      <w:r w:rsidR="002F1703">
        <w:fldChar w:fldCharType="begin" w:fldLock="1"/>
      </w:r>
      <w:r w:rsidR="00523B4F">
        <w:instrText>ADDIN CSL_CITATION {"citationItems":[{"id":"ITEM-1","itemData":{"DOI":"10.3168/jds.2014-8007","ISSN":"15253198","abstract":"This study quantifies the environmental impact of milk production of Italian Mediterranean buffaloes and points out the farm characteristics that mainly affect their environmental performance. Life cycle assessment was applied in a sample of 6 farms. The functional unit was 1kg of normalized buffalo milk (LBN), with a reference milk fat and protein content of 8.3 and 4.73%, respectively. The system boundaries included the agricultural phase of the buffalo milk chain from cradle to farm gate. An economic criterion was adopted to allocate the impacts on milk production. Impact categories investigated were global warming (GW), abiotic depletion (AD), photochemical ozone formation (PO), acidification (AC), and eutrophication (EU). The contribution to the total results of the following farm activities were investigated: (1) on-farm energy consumption, (2) manure management, (3) manure application, (4) on-farm feed production (comprising production and application of chemical fertilizers and pesticides), (5) purchased feed production, (6) enteric fermentation, and (7) transport of purchased feeds, chemical fertilizers, and pesticides from producers to farms. Global warming associated with 1kg of LBN resulted in 5.07kg of CO2 Eq [coefficient of variation (CV)=21.9%], AD was 3.5×10-3 kg of Sb Eq (CV=51.7%), PO was 6.8×10-4 kg of C2H4 Eq (CV=28.8%), AC was 6.5×10-2 kg of SO2 Eq (CV=30.3%), and EU was 3.3×10-2 kg of PO43- Eq (CV=36.5%). The contribution of enteric fermentation and manure application to GW is 37 and 20%, respectively; on-farm consumption, on-farm feed production, and purchased feed production are the main contributors to AD; about 70% of PO is due to enteric fermentation; manure management and manure application are responsible for 55 and 25% of AC and 25 and 55% of EU, respectively. Methane and N2O are responsible for 44 and 43% of GW, respectively. Crude oil consumption is responsible for about 72% of AD; contribution of CH4 to PO is 77%; NH3 is the main contributor to AC (92%); NO3- and NH3 are responsible for 55 and 41% of EU, respectively; contribution of P to EU is only 3.2%. The main characteristics explaining the significant variability of life cycle assessment are milk productivity and amount of purchased feed per kilogram of LBN. Improvement of LBN production per buffalo cow is the main strategy for reducing GW and PO; improvement of the efficiency of feed use is the strategy proposed for mitigating AD, PO, AC, and EU.","author":[{"dropping-particle":"","family":"Pirlo","given":"G.","non-dropping-particle":"","parse-names":false,"suffix":""},{"dropping-particle":"","family":"Carè","given":"S.","non-dropping-particle":"","parse-names":false,"suffix":""},{"dropping-particle":"","family":"Fantin","given":"V.","non-dropping-particle":"","parse-names":false,"suffix":""},{"dropping-particle":"","family":"Falconi","given":"F.","non-dropping-particle":"","parse-names":false,"suffix":""},{"dropping-particle":"","family":"Buttol","given":"P.","non-dropping-particle":"","parse-names":false,"suffix":""},{"dropping-particle":"","family":"Terzano","given":"G. M.","non-dropping-particle":"","parse-names":false,"suffix":""},{"dropping-particle":"","family":"Masoni","given":"P.","non-dropping-particle":"","parse-names":false,"suffix":""},{"dropping-particle":"","family":"Pacelli","given":"C.","non-dropping-particle":"","parse-names":false,"suffix":""}],"container-title":"Journal of Dairy Science","id":"ITEM-1","issue":"10","issued":{"date-parts":[["2014"]]},"page":"6583-6593","publisher":"Elsevier","title":"Factors affecting life cycle assessment of milk produced on 6 Mediterranean buffalo farms","type":"article-journal","volume":"97"},"uris":["http://www.mendeley.com/documents/?uuid=18389829-e845-40b3-b7af-45ff5484437c"]}],"mendeley":{"formattedCitation":"(Pirlo et al., 2014a)","plainTextFormattedCitation":"(Pirlo et al., 2014a)","previouslyFormattedCitation":"(Pirlo et al., 2014a)"},"properties":{"noteIndex":0},"schema":"https://github.com/citation-style-language/schema/raw/master/csl-citation.json"}</w:instrText>
      </w:r>
      <w:r w:rsidR="002F1703">
        <w:fldChar w:fldCharType="separate"/>
      </w:r>
      <w:r w:rsidR="00523B4F" w:rsidRPr="00523B4F">
        <w:rPr>
          <w:noProof/>
        </w:rPr>
        <w:t>(Pirlo et al., 2014a)</w:t>
      </w:r>
      <w:r w:rsidR="002F1703">
        <w:fldChar w:fldCharType="end"/>
      </w:r>
      <w:r w:rsidR="002F1703">
        <w:t xml:space="preserve">. The results </w:t>
      </w:r>
      <w:r w:rsidR="00A16049">
        <w:t xml:space="preserve">suggest that </w:t>
      </w:r>
      <w:r w:rsidR="00E02CB3">
        <w:t xml:space="preserve">increasing milk productivity is </w:t>
      </w:r>
      <w:r w:rsidR="00A16049">
        <w:t xml:space="preserve">the most effective strategy to reduce </w:t>
      </w:r>
      <w:r w:rsidR="0029006D">
        <w:t>climate change</w:t>
      </w:r>
      <w:r w:rsidR="00A16049">
        <w:t xml:space="preserve"> and photochemical ozone formation</w:t>
      </w:r>
      <w:r w:rsidR="0029006D">
        <w:t xml:space="preserve"> impacts</w:t>
      </w:r>
      <w:r w:rsidR="00E02CB3">
        <w:t>, whilst enhancing the efficiency</w:t>
      </w:r>
      <w:r w:rsidR="00B526AD">
        <w:t xml:space="preserve"> of feed utilization</w:t>
      </w:r>
      <w:r w:rsidR="00E02CB3">
        <w:t xml:space="preserve"> is crucial to </w:t>
      </w:r>
      <w:r w:rsidR="00833F8D">
        <w:t>mitigat</w:t>
      </w:r>
      <w:r w:rsidR="00E02CB3">
        <w:t>e</w:t>
      </w:r>
      <w:r w:rsidR="00833F8D">
        <w:t xml:space="preserve"> abiotic depletion, photochemical ozone </w:t>
      </w:r>
      <w:r w:rsidR="00E02CB3">
        <w:t>formation,</w:t>
      </w:r>
      <w:r w:rsidR="00E02CB3" w:rsidRPr="00833F8D">
        <w:t xml:space="preserve"> </w:t>
      </w:r>
      <w:r w:rsidR="00833F8D">
        <w:t>acidific</w:t>
      </w:r>
      <w:r w:rsidR="001057F7">
        <w:t>ation and eutrophication.</w:t>
      </w:r>
      <w:r w:rsidR="00833F8D">
        <w:t xml:space="preserve"> </w:t>
      </w:r>
      <w:r w:rsidR="00AC0AE4">
        <w:t xml:space="preserve">Sabia and colleagues </w:t>
      </w:r>
      <w:r w:rsidR="000801A6">
        <w:t xml:space="preserve"> </w:t>
      </w:r>
      <w:r w:rsidR="00EC53BD">
        <w:t xml:space="preserve">used </w:t>
      </w:r>
      <w:r w:rsidR="0029006D">
        <w:t>LCA</w:t>
      </w:r>
      <w:r w:rsidR="00EC53BD">
        <w:t xml:space="preserve"> to assess the environmental impact of different livestock production systems</w:t>
      </w:r>
      <w:r w:rsidR="00AC0AE4">
        <w:t xml:space="preserve"> </w:t>
      </w:r>
      <w:r w:rsidR="00AC0AE4">
        <w:fldChar w:fldCharType="begin" w:fldLock="1"/>
      </w:r>
      <w:r w:rsidR="00AC0AE4">
        <w:instrText>ADDIN CSL_CITATION {"citationItems":[{"id":"ITEM-1","itemData":{"DOI":"10.6000/1927-520x.2018.07.03.4","author":[{"dropping-particle":"","family":"Sabia","given":"Emilio","non-dropping-particle":"","parse-names":false,"suffix":""},{"dropping-particle":"","family":"Napolitano","given":"Fabio","non-dropping-particle":"","parse-names":false,"suffix":""},{"dropping-particle":"De","family":"Rosa","given":"Giuseppe","non-dropping-particle":"","parse-names":false,"suffix":""},{"dropping-particle":"","family":"Gauly","given":"Matthias","non-dropping-particle":"","parse-names":false,"suffix":""},{"dropping-particle":"","family":"Braghieri","given":"Ada","non-dropping-particle":"","parse-names":false,"suffix":""},{"dropping-particle":"","family":"Pacelli","given":"Corrado","non-dropping-particle":"","parse-names":false,"suffix":""}],"container-title":"Journal of Buffalo Science","id":"ITEM-1","issue":"3","issued":{"date-parts":[["2018"]]},"page":"58-63","title":"Life Cycle Assessment of Dairy Buffalo Calves in an Italian Farm","type":"article-journal","volume":"7"},"uris":["http://www.mendeley.com/documents/?uuid=4027fb73-3521-4144-bbce-3f35dde88c5b"]}],"mendeley":{"formattedCitation":"(Sabia et al., 2018b)","plainTextFormattedCitation":"(Sabia et al., 2018b)","previouslyFormattedCitation":"(Sabia et al., 2018b)"},"properties":{"noteIndex":0},"schema":"https://github.com/citation-style-language/schema/raw/master/csl-citation.json"}</w:instrText>
      </w:r>
      <w:r w:rsidR="00AC0AE4">
        <w:fldChar w:fldCharType="separate"/>
      </w:r>
      <w:r w:rsidR="00AC0AE4" w:rsidRPr="00AC0AE4">
        <w:rPr>
          <w:noProof/>
        </w:rPr>
        <w:t>(Sabia et al., 2018b)</w:t>
      </w:r>
      <w:r w:rsidR="00AC0AE4">
        <w:fldChar w:fldCharType="end"/>
      </w:r>
      <w:r w:rsidR="003A4CC7">
        <w:t xml:space="preserve"> and to study two different heifer rearing systems</w:t>
      </w:r>
      <w:r w:rsidR="0029006D">
        <w:t>:</w:t>
      </w:r>
      <w:r w:rsidR="003A4CC7">
        <w:t xml:space="preserve"> free-ranging and confinement</w:t>
      </w:r>
      <w:r w:rsidR="000801A6">
        <w:t xml:space="preserve"> </w:t>
      </w:r>
      <w:r w:rsidR="000801A6">
        <w:fldChar w:fldCharType="begin" w:fldLock="1"/>
      </w:r>
      <w:r w:rsidR="00577A03">
        <w:instrText>ADDIN CSL_CITATION {"citationItems":[{"id":"ITEM-1","itemData":{"DOI":"10.1016/j.jclepro.2018.04.158","ISSN":"09596526","abstract":"In the near future dairy enterprises will have to meet increasing environmental regulations. Therefore, we aimed to evaluate the effects on the environment of dairy buffalo farming as affected by two different heifer rearing systems, free-ranging (FR) and confinement (C) using the Life Cycle Assessment approach. The primary data were collected from 32 subjects. The analysis included all of the farming phases (i.e. birth to weaning, weaning to 7–8 months of age, 7–8 months to puberty, puberty to first calving, lactation, dry period). During the heifer phase from 7 to 8 months of age to puberty, sixteen animals were group-housed and confined in an indoor slatted floor pen (4 m2/animal) with an outdoor paddock (4 m2/animal); 16 others were FR on a Mediterranean natural pasture. When pubertal, the animals from system FR were returned to the farm and reunited with the animals from system C. We used 1 kg of fat and protein corrected buffalo milk (FPCM), with a reference milk fat and protein content of 8.3% and 4.73%, respectively, as functional unit. Impact categories investigated were Climate Change (CC), Terrestrial Acidification (TA), Marine Eutrophication (ME), Agricultural land occupation (ALO), Water depletion (WD). At category level system FR showed a reduction of the impact in terms of CC (9%), TA (10%), ME (6%) and WD (11%), whereas ALO was 7% higher as compared to system C. In conclusion, we clearly showed that the conduction of part of dairy buffalo farming (i.e. the unproductive phase from 7 to 8 months of age to puberty) on natural pasture is possible and it also allows the reduction of several sources of pollution while reducing the production costs, hence the economic sustainability. Although this system requires a greater use of land, parameters concerning the quality of land use should be included for a more accurate assessment of this aspect.","author":[{"dropping-particle":"","family":"Sabia","given":"Emilio","non-dropping-particle":"","parse-names":false,"suffix":""},{"dropping-particle":"","family":"Napolitano","given":"Fabio","non-dropping-particle":"","parse-names":false,"suffix":""},{"dropping-particle":"","family":"Claps","given":"Salvatore","non-dropping-particle":"","parse-names":false,"suffix":""},{"dropping-particle":"","family":"Rosa","given":"Giuseppe","non-dropping-particle":"De","parse-names":false,"suffix":""},{"dropping-particle":"","family":"Braghieri","given":"Ada","non-dropping-particle":"","parse-names":false,"suffix":""},{"dropping-particle":"","family":"Pacelli","given":"Corrado","non-dropping-particle":"","parse-names":false,"suffix":""}],"container-title":"Journal of Cleaner Production","id":"ITEM-1","issued":{"date-parts":[["2018"]]},"page":"647-655","publisher":"Elsevier Ltd","title":"Dairy buffalo life cycle assessment as affected by heifer rearing system","type":"article-journal","volume":"192"},"uris":["http://www.mendeley.com/documents/?uuid=1196c4b4-95df-4556-aaae-9c594668eeb9"]}],"mendeley":{"formattedCitation":"(Sabia et al., 2018a)","plainTextFormattedCitation":"(Sabia et al., 2018a)","previouslyFormattedCitation":"(Sabia et al., 2018a)"},"properties":{"noteIndex":0},"schema":"https://github.com/citation-style-language/schema/raw/master/csl-citation.json"}</w:instrText>
      </w:r>
      <w:r w:rsidR="000801A6">
        <w:fldChar w:fldCharType="separate"/>
      </w:r>
      <w:r w:rsidR="000801A6" w:rsidRPr="000801A6">
        <w:rPr>
          <w:noProof/>
        </w:rPr>
        <w:t>(Sabia et al., 2018a)</w:t>
      </w:r>
      <w:r w:rsidR="000801A6">
        <w:fldChar w:fldCharType="end"/>
      </w:r>
      <w:r w:rsidR="00EC53BD">
        <w:t>. They concluded that</w:t>
      </w:r>
      <w:r w:rsidR="0029006D">
        <w:t xml:space="preserve"> </w:t>
      </w:r>
      <w:r w:rsidR="00EC53BD">
        <w:t xml:space="preserve">the strategies to mitigate the effects on the environment impact </w:t>
      </w:r>
      <w:r w:rsidR="00CF6A7C">
        <w:t xml:space="preserve">also </w:t>
      </w:r>
      <w:r w:rsidR="00E02CB3">
        <w:t>need to</w:t>
      </w:r>
      <w:r w:rsidR="00CF6A7C">
        <w:t xml:space="preserve"> consider </w:t>
      </w:r>
      <w:r w:rsidR="00EC53BD">
        <w:t>buffalo calves</w:t>
      </w:r>
      <w:r w:rsidR="00CF6A7C">
        <w:t xml:space="preserve"> since their birth</w:t>
      </w:r>
      <w:r w:rsidR="00EC53BD">
        <w:t xml:space="preserve"> </w:t>
      </w:r>
      <w:r w:rsidR="003A4CC7">
        <w:t xml:space="preserve">and </w:t>
      </w:r>
      <w:r w:rsidR="00C62917">
        <w:t xml:space="preserve">different farming strategies </w:t>
      </w:r>
      <w:r w:rsidR="0029006D">
        <w:t>(e.g.</w:t>
      </w:r>
      <w:r w:rsidR="00C62917">
        <w:t>, farming on natural pasture</w:t>
      </w:r>
      <w:r w:rsidR="0029006D">
        <w:t>)</w:t>
      </w:r>
      <w:r w:rsidR="00EC53BD">
        <w:t>.</w:t>
      </w:r>
      <w:r w:rsidR="003A4CC7">
        <w:t xml:space="preserve"> </w:t>
      </w:r>
      <w:r w:rsidR="00402A6E">
        <w:t>More recently,</w:t>
      </w:r>
      <w:r w:rsidR="001057F7">
        <w:t xml:space="preserve"> </w:t>
      </w:r>
      <w:r w:rsidR="00402A6E">
        <w:fldChar w:fldCharType="begin" w:fldLock="1"/>
      </w:r>
      <w:r w:rsidR="00745337">
        <w:instrText>ADDIN CSL_CITATION {"citationItems":[{"id":"ITEM-1","itemData":{"DOI":"10.1038/s41598-019-53378-w","ISSN":"20452322","abstract":"Feeding management in dairy animals is crucial for ensuring optimal production apart from making the farming as a whole, a more sustainable activity. In our study we evaluated the production and environmental effects of two different feeding regimens i.e., one dominated by traditional cottonseed meal (CSM) and other with coated urea (slow release urea - SRU) as a replacement for CSM on dairy buffalo production. The SRU at 2% level was evaluated by conducting two different trials using twelve lactating Murrah buffaloes and four adult Murrah buffalo bulls. Neither diet nor dry period management showed any substantial effect on milk components, intakes, nutrients’ digestibility coefficients, and nutritive values. The SRU diet revealed increased (P &lt; 0.01) rumen pH, ammonia nitrogen, volatile fatty acids, and microbial nitrogen yield, which were interacted with time of post-prandial sampling. The dynamics of nitrogen metabolism revealed unaltered N-based parameters, except for degradable-N intake and serum urea-N at 3 hr post-feeding. The CSM replacements did not influence (P &gt; 0.05) the residual feed intake, but led to an enhanced milk retention efficiency of nitrogen, calcium, and phosphorus contents, thus reducing their impact on soil pollution and eutrophication of water bodies. Despite an unaltered (P &gt; 0.05) enteric methane emission, SRU diets achieved in decreasing manure methane and nitrous oxide emission. Furthermore, the virtual water flow and lifecycle assessment revealed a water sparing effect and low carbon foot print per unit milk production. In summary, the CSM replacements with SRU could achieve an economical and eco-friendly production system from animal nutrition perspective.","author":[{"dropping-particle":"","family":"Reddy","given":"P. Ravi Kanth","non-dropping-particle":"","parse-names":false,"suffix":""},{"dropping-particle":"","family":"Kumar","given":"D. Srinivasa","non-dropping-particle":"","parse-names":false,"suffix":""},{"dropping-particle":"","family":"Rao","given":"E. Raghava","non-dropping-particle":"","parse-names":false,"suffix":""},{"dropping-particle":"","family":"Seshiah","given":"Ch Venkata","non-dropping-particle":"","parse-names":false,"suffix":""},{"dropping-particle":"","family":"Sateesh","given":"K.","non-dropping-particle":"","parse-names":false,"suffix":""},{"dropping-particle":"","family":"Rao","given":"K. Ananda","non-dropping-particle":"","parse-names":false,"suffix":""},{"dropping-particle":"","family":"Reddy","given":"Y. Pradeep Kumar","non-dropping-particle":"","parse-names":false,"suffix":""},{"dropping-particle":"","family":"Hyder","given":"Iqbal","non-dropping-particle":"","parse-names":false,"suffix":""}],"container-title":"Scientific Reports","id":"ITEM-1","issue":"1","issued":{"date-parts":[["2019"]]},"page":"1-16","publisher":"Springer US","title":"Environmental sustainability assessment of tropical dairy buffalo farming vis-a-vis sustainable feed replacement strategy","type":"article-journal","volume":"9"},"uris":["http://www.mendeley.com/documents/?uuid=d512473c-0712-4b45-a2fe-91719419b7cd"]}],"mendeley":{"formattedCitation":"(Reddy et al., 2019)","manualFormatting":"Reddy et al., 2019","plainTextFormattedCitation":"(Reddy et al., 2019)","previouslyFormattedCitation":"(Reddy et al., 2019)"},"properties":{"noteIndex":0},"schema":"https://github.com/citation-style-language/schema/raw/master/csl-citation.json"}</w:instrText>
      </w:r>
      <w:r w:rsidR="00402A6E">
        <w:fldChar w:fldCharType="separate"/>
      </w:r>
      <w:r w:rsidR="00523B4F" w:rsidRPr="00523B4F">
        <w:rPr>
          <w:noProof/>
        </w:rPr>
        <w:t>Reddy et al., 2019</w:t>
      </w:r>
      <w:r w:rsidR="00402A6E">
        <w:fldChar w:fldCharType="end"/>
      </w:r>
      <w:r w:rsidR="00402A6E" w:rsidRPr="00402A6E">
        <w:t xml:space="preserve"> </w:t>
      </w:r>
      <w:r w:rsidR="00402A6E">
        <w:t>studied the production and environmental effects of two different feeding regimens, one based on traditional cottonseed meal (CSM) and other with coated urea (slow release urea - SRU) as a replacement for CSM on dairy buffalo production. They found that the CSM replacements with SRU could achieve an economical and eco-friendly production system from animal nutrition perspective.</w:t>
      </w:r>
    </w:p>
    <w:p w14:paraId="33D85552" w14:textId="664D86E2" w:rsidR="007447CF" w:rsidRDefault="009E7C4C" w:rsidP="00CB02A3">
      <w:pPr>
        <w:spacing w:line="360" w:lineRule="auto"/>
        <w:ind w:firstLine="0"/>
      </w:pPr>
      <w:r>
        <w:t>The above demonstrates that a</w:t>
      </w:r>
      <w:r w:rsidR="00F60E3B">
        <w:t xml:space="preserve"> </w:t>
      </w:r>
      <w:r w:rsidR="00367024">
        <w:t xml:space="preserve">limited number of </w:t>
      </w:r>
      <w:r>
        <w:t xml:space="preserve">LCA studies focused on buffalo </w:t>
      </w:r>
      <w:r w:rsidR="00F60E3B">
        <w:t>milk production</w:t>
      </w:r>
      <w:r w:rsidR="003A53C8">
        <w:t xml:space="preserve">. </w:t>
      </w:r>
      <w:r>
        <w:t>Notably, o</w:t>
      </w:r>
      <w:r w:rsidR="00E528CC">
        <w:t xml:space="preserve">nly </w:t>
      </w:r>
      <w:r w:rsidR="00F60E3B">
        <w:t xml:space="preserve">two articles </w:t>
      </w:r>
      <w:r w:rsidR="003A53C8">
        <w:t>analysed</w:t>
      </w:r>
      <w:r w:rsidR="00F60E3B">
        <w:t xml:space="preserve"> impact categories</w:t>
      </w:r>
      <w:r>
        <w:t xml:space="preserve"> other than climate change</w:t>
      </w:r>
      <w:r w:rsidR="00F60E3B">
        <w:t xml:space="preserve"> (</w:t>
      </w:r>
      <w:proofErr w:type="gramStart"/>
      <w:r w:rsidR="00F60E3B">
        <w:t>i.e.</w:t>
      </w:r>
      <w:proofErr w:type="gramEnd"/>
      <w:r w:rsidR="00F60E3B">
        <w:t xml:space="preserve"> acidification, photochemical ozone depletion, acidification and eutrophication)</w:t>
      </w:r>
      <w:r w:rsidR="003A53C8">
        <w:t xml:space="preserve"> </w:t>
      </w:r>
      <w:r>
        <w:t>but</w:t>
      </w:r>
      <w:r w:rsidR="00815B7D">
        <w:t>, to our knowledge</w:t>
      </w:r>
      <w:r>
        <w:t>,</w:t>
      </w:r>
      <w:r w:rsidR="00815B7D">
        <w:t xml:space="preserve"> </w:t>
      </w:r>
      <w:r w:rsidR="00F60E3B">
        <w:t xml:space="preserve">no </w:t>
      </w:r>
      <w:r w:rsidR="00815B7D">
        <w:t xml:space="preserve">studies </w:t>
      </w:r>
      <w:r w:rsidR="003A53C8">
        <w:t>evaluated</w:t>
      </w:r>
      <w:r w:rsidR="00F60E3B">
        <w:t xml:space="preserve"> a broad range of</w:t>
      </w:r>
      <w:r w:rsidR="00394321">
        <w:t xml:space="preserve"> </w:t>
      </w:r>
      <w:r w:rsidR="00F60E3B">
        <w:t xml:space="preserve">categories. Furthermore, </w:t>
      </w:r>
      <w:r>
        <w:t>no literature study covered organic buffalo milk</w:t>
      </w:r>
      <w:r w:rsidR="00367024">
        <w:t>.</w:t>
      </w:r>
      <w:r w:rsidR="00BA59CF">
        <w:t xml:space="preserve"> </w:t>
      </w:r>
      <w:bookmarkStart w:id="2" w:name="_Hlk100935998"/>
      <w:r>
        <w:t xml:space="preserve">This </w:t>
      </w:r>
      <w:r w:rsidR="00BA59CF">
        <w:t>study aims to</w:t>
      </w:r>
      <w:r>
        <w:t xml:space="preserve"> fill this gap</w:t>
      </w:r>
      <w:r w:rsidR="00B376CD">
        <w:t xml:space="preserve">. We </w:t>
      </w:r>
      <w:r w:rsidR="00BA59CF">
        <w:t>evaluat</w:t>
      </w:r>
      <w:r w:rsidR="00B376CD">
        <w:t>e</w:t>
      </w:r>
      <w:r w:rsidR="00BA59CF">
        <w:t xml:space="preserve"> the environmental</w:t>
      </w:r>
      <w:r>
        <w:t xml:space="preserve"> performance of buffalo milk across a wide range of environmental categories, using primary data collected from three farms in Southern Italy.</w:t>
      </w:r>
      <w:r w:rsidR="00B376CD">
        <w:t xml:space="preserve"> We also compare the performance of conventional and organic production methods. Finally, we investigate the effect of alternative allocation approaches on the LCA results.</w:t>
      </w:r>
      <w:r>
        <w:t xml:space="preserve"> </w:t>
      </w:r>
      <w:bookmarkEnd w:id="2"/>
    </w:p>
    <w:p w14:paraId="0D4E03BB" w14:textId="77777777" w:rsidR="00772894" w:rsidRPr="00772894" w:rsidRDefault="00546443" w:rsidP="00867BAE">
      <w:pPr>
        <w:pStyle w:val="Titolo1"/>
      </w:pPr>
      <w:r w:rsidRPr="0085241C">
        <w:lastRenderedPageBreak/>
        <w:t>M</w:t>
      </w:r>
      <w:r w:rsidR="00672873" w:rsidRPr="0085241C">
        <w:t>ethod</w:t>
      </w:r>
      <w:r w:rsidR="00953174">
        <w:t>s</w:t>
      </w:r>
    </w:p>
    <w:p w14:paraId="04F1E7B7" w14:textId="77777777" w:rsidR="00114077" w:rsidRDefault="00114077" w:rsidP="00114077">
      <w:pPr>
        <w:pStyle w:val="Titolo2"/>
      </w:pPr>
      <w:r>
        <w:t>Goal definition</w:t>
      </w:r>
    </w:p>
    <w:p w14:paraId="4F531598" w14:textId="63851BDB" w:rsidR="00755CEB" w:rsidRDefault="00114077">
      <w:pPr>
        <w:spacing w:line="360" w:lineRule="auto"/>
        <w:ind w:firstLine="0"/>
      </w:pPr>
      <w:r w:rsidRPr="00763CD2">
        <w:t xml:space="preserve">The goal of </w:t>
      </w:r>
      <w:r w:rsidR="00E02CB3">
        <w:t>this study</w:t>
      </w:r>
      <w:r w:rsidRPr="00763CD2">
        <w:t xml:space="preserve"> </w:t>
      </w:r>
      <w:r>
        <w:t>is</w:t>
      </w:r>
      <w:r w:rsidRPr="00763CD2">
        <w:t xml:space="preserve"> to evaluate </w:t>
      </w:r>
      <w:r>
        <w:t xml:space="preserve">the </w:t>
      </w:r>
      <w:r w:rsidRPr="001127C7">
        <w:t xml:space="preserve">environmental </w:t>
      </w:r>
      <w:r w:rsidR="00E02CB3">
        <w:t xml:space="preserve">impacts </w:t>
      </w:r>
      <w:r w:rsidRPr="001127C7">
        <w:t xml:space="preserve">of </w:t>
      </w:r>
      <w:r w:rsidR="00EE3727">
        <w:t>buffalo milk</w:t>
      </w:r>
      <w:r w:rsidR="00755CEB">
        <w:t xml:space="preserve"> production</w:t>
      </w:r>
      <w:r w:rsidR="00F45D08">
        <w:t>, using data collected from three farms</w:t>
      </w:r>
      <w:r w:rsidR="00325DCF">
        <w:t xml:space="preserve"> in southern Ital</w:t>
      </w:r>
      <w:r w:rsidR="000801A6">
        <w:t>y</w:t>
      </w:r>
      <w:r w:rsidR="00CF2AE8">
        <w:t xml:space="preserve"> (A, B and C)</w:t>
      </w:r>
      <w:r w:rsidR="00EE3727">
        <w:t>.</w:t>
      </w:r>
      <w:r w:rsidR="00B15B53">
        <w:t xml:space="preserve"> </w:t>
      </w:r>
      <w:r w:rsidR="000801A6">
        <w:t xml:space="preserve">The LCA methodology is used for quantifying the </w:t>
      </w:r>
      <w:r w:rsidR="006C2D47">
        <w:t>environmental impacts</w:t>
      </w:r>
      <w:r w:rsidR="00B15B53">
        <w:t xml:space="preserve">, </w:t>
      </w:r>
      <w:r w:rsidR="006C2D47">
        <w:t>using an</w:t>
      </w:r>
      <w:r w:rsidR="00B15B53">
        <w:t xml:space="preserve"> attributional approach and a cradle-to-gate perspective. </w:t>
      </w:r>
      <w:r w:rsidR="000801A6">
        <w:t>A</w:t>
      </w:r>
      <w:r w:rsidR="00755CEB">
        <w:t xml:space="preserve"> comparative</w:t>
      </w:r>
      <w:r w:rsidR="00B15B53">
        <w:t xml:space="preserve"> and hot-spot</w:t>
      </w:r>
      <w:r w:rsidR="00755CEB">
        <w:t xml:space="preserve"> analys</w:t>
      </w:r>
      <w:r w:rsidR="00B15B53">
        <w:t>e</w:t>
      </w:r>
      <w:r w:rsidR="00755CEB">
        <w:t xml:space="preserve">s </w:t>
      </w:r>
      <w:r w:rsidR="000801A6">
        <w:t xml:space="preserve">is performed </w:t>
      </w:r>
      <w:r w:rsidR="00755CEB">
        <w:t>to identify key factors affecting the environmental performance</w:t>
      </w:r>
      <w:r w:rsidR="00B15B53">
        <w:t xml:space="preserve">, with an emphasis on carbon emissions </w:t>
      </w:r>
      <w:r w:rsidR="003D2B84">
        <w:t>which</w:t>
      </w:r>
      <w:r w:rsidR="00B15B53">
        <w:t xml:space="preserve"> are particularly critical for the dairy sector</w:t>
      </w:r>
      <w:r w:rsidR="003D2B84">
        <w:t xml:space="preserve"> (Section </w:t>
      </w:r>
      <w:r w:rsidR="003D2B84">
        <w:fldChar w:fldCharType="begin"/>
      </w:r>
      <w:r w:rsidR="003D2B84">
        <w:instrText xml:space="preserve"> REF _Ref84319929 \r \h </w:instrText>
      </w:r>
      <w:r w:rsidR="003D2B84">
        <w:fldChar w:fldCharType="separate"/>
      </w:r>
      <w:r w:rsidR="008D2EFC">
        <w:t>1</w:t>
      </w:r>
      <w:r w:rsidR="003D2B84">
        <w:fldChar w:fldCharType="end"/>
      </w:r>
      <w:r w:rsidR="003D2B84">
        <w:t>)</w:t>
      </w:r>
      <w:r w:rsidR="00B15B53">
        <w:t xml:space="preserve">. </w:t>
      </w:r>
      <w:r w:rsidR="000801A6">
        <w:t>T</w:t>
      </w:r>
      <w:r w:rsidR="00B15B53">
        <w:t>he effects of allocation procedure</w:t>
      </w:r>
      <w:r w:rsidR="003D2B84">
        <w:t>s</w:t>
      </w:r>
      <w:r w:rsidR="000801A6">
        <w:t xml:space="preserve"> also </w:t>
      </w:r>
      <w:proofErr w:type="gramStart"/>
      <w:r w:rsidR="000801A6">
        <w:t>is</w:t>
      </w:r>
      <w:proofErr w:type="gramEnd"/>
      <w:r w:rsidR="000801A6">
        <w:t xml:space="preserve"> assessed as well as</w:t>
      </w:r>
      <w:r w:rsidR="00B15B53">
        <w:t xml:space="preserve"> the role of </w:t>
      </w:r>
      <w:r w:rsidR="003D2B84">
        <w:t>buffalo milk</w:t>
      </w:r>
      <w:r w:rsidR="00B15B53">
        <w:t xml:space="preserve"> productivity on the environmental impact estimates of milk production.</w:t>
      </w:r>
    </w:p>
    <w:p w14:paraId="41705850" w14:textId="77777777" w:rsidR="00022D5F" w:rsidRDefault="00114077" w:rsidP="00022D5F">
      <w:pPr>
        <w:pStyle w:val="Titolo2"/>
      </w:pPr>
      <w:r>
        <w:t>Functional unit</w:t>
      </w:r>
    </w:p>
    <w:p w14:paraId="0DF8C4B7" w14:textId="2185223E" w:rsidR="00A67730" w:rsidRDefault="000801A6" w:rsidP="00FD059C">
      <w:pPr>
        <w:spacing w:line="360" w:lineRule="auto"/>
        <w:ind w:firstLine="0"/>
      </w:pPr>
      <w:r>
        <w:t>T</w:t>
      </w:r>
      <w:r w:rsidR="00B12DE5">
        <w:t xml:space="preserve">he functional unit </w:t>
      </w:r>
      <w:r>
        <w:t xml:space="preserve">is expressed </w:t>
      </w:r>
      <w:r w:rsidR="00B12DE5">
        <w:t>in terms of Energy Corrected Milk (ECM),</w:t>
      </w:r>
      <w:r w:rsidR="00993938" w:rsidDel="00993938">
        <w:t xml:space="preserve"> </w:t>
      </w:r>
      <w:r w:rsidR="00B15B53">
        <w:t xml:space="preserve">The </w:t>
      </w:r>
      <w:r w:rsidR="00B12DE5">
        <w:t>ECM represents a</w:t>
      </w:r>
      <w:r w:rsidR="005B4324">
        <w:t>n</w:t>
      </w:r>
      <w:r w:rsidR="00B12DE5">
        <w:t xml:space="preserve"> amount of milk with</w:t>
      </w:r>
      <w:r w:rsidR="005B4324">
        <w:t xml:space="preserve"> standardised percentages of</w:t>
      </w:r>
      <w:r w:rsidR="00B12DE5">
        <w:t xml:space="preserve"> </w:t>
      </w:r>
      <w:r w:rsidR="00A67730" w:rsidRPr="00326E32">
        <w:t>fat and protein</w:t>
      </w:r>
      <w:r w:rsidR="005B4324">
        <w:t>, which are</w:t>
      </w:r>
      <w:r w:rsidR="00A67730" w:rsidRPr="00326E32">
        <w:t xml:space="preserve"> </w:t>
      </w:r>
      <w:r w:rsidR="00B12DE5">
        <w:t>equal to</w:t>
      </w:r>
      <w:r w:rsidR="00A67730" w:rsidRPr="00326E32">
        <w:t xml:space="preserve"> 4</w:t>
      </w:r>
      <w:r w:rsidR="006F20BA">
        <w:t>.0</w:t>
      </w:r>
      <w:r w:rsidR="00B15B53">
        <w:t>%</w:t>
      </w:r>
      <w:r w:rsidR="00A67730" w:rsidRPr="00326E32">
        <w:t xml:space="preserve"> and 3.3</w:t>
      </w:r>
      <w:r w:rsidR="00B15B53">
        <w:t>%</w:t>
      </w:r>
      <w:r w:rsidR="00B12DE5">
        <w:t>,</w:t>
      </w:r>
      <w:r w:rsidR="00A67730" w:rsidRPr="00326E32">
        <w:t xml:space="preserve"> respectively. </w:t>
      </w:r>
      <w:r w:rsidR="002B47D3">
        <w:t xml:space="preserve">The </w:t>
      </w:r>
      <w:r w:rsidR="00B12DE5">
        <w:t xml:space="preserve">conversion </w:t>
      </w:r>
      <w:r w:rsidR="003D2B84">
        <w:t xml:space="preserve">to </w:t>
      </w:r>
      <w:r w:rsidR="00B12DE5">
        <w:t xml:space="preserve">ECM is performed via </w:t>
      </w:r>
      <w:r w:rsidR="00464DE4">
        <w:fldChar w:fldCharType="begin"/>
      </w:r>
      <w:r w:rsidR="00464DE4">
        <w:instrText xml:space="preserve"> REF _Ref78445293 \h </w:instrText>
      </w:r>
      <w:r w:rsidR="00D65AC2">
        <w:instrText xml:space="preserve"> \* MERGEFORMAT </w:instrText>
      </w:r>
      <w:r w:rsidR="00464DE4">
        <w:fldChar w:fldCharType="separate"/>
      </w:r>
      <w:r w:rsidR="008D2EFC">
        <w:t xml:space="preserve">Eq. </w:t>
      </w:r>
      <w:r w:rsidR="008D2EFC">
        <w:rPr>
          <w:noProof/>
        </w:rPr>
        <w:t>1</w:t>
      </w:r>
      <w:r w:rsidR="00464DE4">
        <w:fldChar w:fldCharType="end"/>
      </w:r>
      <w:r w:rsidR="00B15B53">
        <w:t xml:space="preserve">, where </w:t>
      </w:r>
      <w:r w:rsidR="00B15B53" w:rsidRPr="00326E32">
        <w:t xml:space="preserve">L, </w:t>
      </w:r>
      <w:r w:rsidR="00B15B53">
        <w:t>X</w:t>
      </w:r>
      <w:r w:rsidR="00B15B53" w:rsidRPr="00326E32">
        <w:t xml:space="preserve"> and </w:t>
      </w:r>
      <w:r w:rsidR="00B15B53">
        <w:t>Z</w:t>
      </w:r>
      <w:r w:rsidR="00B15B53" w:rsidRPr="00326E32">
        <w:t xml:space="preserve"> </w:t>
      </w:r>
      <w:r w:rsidR="00B15B53">
        <w:t>represent the amount of milk (in kg)</w:t>
      </w:r>
      <w:r w:rsidR="00B15B53" w:rsidRPr="00326E32">
        <w:t>,</w:t>
      </w:r>
      <w:r w:rsidR="00B15B53">
        <w:t xml:space="preserve"> and its</w:t>
      </w:r>
      <w:r w:rsidR="00B15B53" w:rsidRPr="00326E32">
        <w:t xml:space="preserve"> </w:t>
      </w:r>
      <w:r w:rsidR="00B15B53">
        <w:t>f</w:t>
      </w:r>
      <w:r w:rsidR="00B15B53" w:rsidRPr="00326E32">
        <w:t xml:space="preserve">at </w:t>
      </w:r>
      <w:r w:rsidR="00B15B53">
        <w:t>and</w:t>
      </w:r>
      <w:r w:rsidR="00B15B53" w:rsidRPr="00326E32">
        <w:t xml:space="preserve"> protein</w:t>
      </w:r>
      <w:r w:rsidR="00B15B53">
        <w:t xml:space="preserve"> content (%)</w:t>
      </w:r>
      <w:r w:rsidR="002B47D3">
        <w:t xml:space="preserve"> according to </w:t>
      </w:r>
      <w:r w:rsidR="009757AE">
        <w:fldChar w:fldCharType="begin" w:fldLock="1"/>
      </w:r>
      <w:r w:rsidR="001057F7">
        <w:instrText>ADDIN CSL_CITATION {"citationItems":[{"id":"ITEM-1","itemData":{"ISSN":"0926-5287","author":[{"dropping-particle":"","family":"Campanile","given":"Giuseppe","non-dropping-particle":"","parse-names":false,"suffix":""},{"dropping-particle":"","family":"Palo","given":"Rossella","non-dropping-particle":"Di","parse-names":false,"suffix":""},{"dropping-particle":"","family":"Infascelli","given":"Federico","non-dropping-particle":"","parse-names":false,"suffix":""},{"dropping-particle":"","family":"Gasparrini","given":"Bianca","non-dropping-particle":"","parse-names":false,"suffix":""},{"dropping-particle":"","family":"Neglia","given":"Gianluca","non-dropping-particle":"","parse-names":false,"suffix":""},{"dropping-particle":"","family":"Zicarelli","given":"Fabio","non-dropping-particle":"","parse-names":false,"suffix":""},{"dropping-particle":"","family":"Michael","given":"J D","non-dropping-particle":"","parse-names":false,"suffix":""}],"container-title":"Reproduction Nutrition Development","id":"ITEM-1","issue":"6","issued":{"date-parts":[["2003"]]},"page":"557-566","publisher":"EDP Sciences","title":"Influence of rumen protein degradability on productive and reproductive performance in buffalo cows","type":"article-journal","volume":"43"},"uris":["http://www.mendeley.com/documents/?uuid=dfc25dc9-1fcc-4267-912a-d1a71f851230"]}],"mendeley":{"formattedCitation":"(Campanile et al., 2003)","manualFormatting":"Campanile et al., 2003","plainTextFormattedCitation":"(Campanile et al., 2003)","previouslyFormattedCitation":"(Campanile et al., 2003)"},"properties":{"noteIndex":0},"schema":"https://github.com/citation-style-language/schema/raw/master/csl-citation.json"}</w:instrText>
      </w:r>
      <w:r w:rsidR="009757AE">
        <w:fldChar w:fldCharType="separate"/>
      </w:r>
      <w:r w:rsidR="00523B4F" w:rsidRPr="00523B4F">
        <w:rPr>
          <w:noProof/>
        </w:rPr>
        <w:t>Campanile et al., 2003</w:t>
      </w:r>
      <w:r w:rsidR="009757AE">
        <w:fldChar w:fldCharType="end"/>
      </w:r>
      <w:r w:rsidR="001A6A72">
        <w:t xml:space="preserve"> </w:t>
      </w:r>
      <w:r w:rsidR="00B15B53">
        <w:t>:</w:t>
      </w:r>
    </w:p>
    <w:tbl>
      <w:tblPr>
        <w:tblW w:w="0" w:type="auto"/>
        <w:tblLook w:val="04A0" w:firstRow="1" w:lastRow="0" w:firstColumn="1" w:lastColumn="0" w:noHBand="0" w:noVBand="1"/>
      </w:tblPr>
      <w:tblGrid>
        <w:gridCol w:w="4962"/>
        <w:gridCol w:w="4099"/>
      </w:tblGrid>
      <w:tr w:rsidR="00464DE4" w14:paraId="16A1C01B" w14:textId="77777777" w:rsidTr="00B15B53">
        <w:trPr>
          <w:trHeight w:val="527"/>
        </w:trPr>
        <w:tc>
          <w:tcPr>
            <w:tcW w:w="4962" w:type="dxa"/>
            <w:shd w:val="clear" w:color="auto" w:fill="auto"/>
          </w:tcPr>
          <w:p w14:paraId="4AE04A1D" w14:textId="26AAC7E5" w:rsidR="00464DE4" w:rsidRPr="005A0ECE" w:rsidRDefault="00740E49" w:rsidP="00A56C61">
            <w:pPr>
              <w:spacing w:line="360" w:lineRule="auto"/>
              <w:ind w:firstLine="0"/>
              <w:rPr>
                <w:noProof/>
              </w:rPr>
            </w:pPr>
            <m:oMathPara>
              <m:oMath>
                <m:r>
                  <w:rPr>
                    <w:rFonts w:ascii="Cambria Math" w:hAnsi="Cambria Math"/>
                    <w:sz w:val="20"/>
                  </w:rPr>
                  <m:t>ECM=L×(1+</m:t>
                </m:r>
                <m:d>
                  <m:dPr>
                    <m:ctrlPr>
                      <w:rPr>
                        <w:rFonts w:ascii="Cambria Math" w:hAnsi="Cambria Math"/>
                        <w:i/>
                        <w:sz w:val="20"/>
                      </w:rPr>
                    </m:ctrlPr>
                  </m:dPr>
                  <m:e>
                    <m:d>
                      <m:dPr>
                        <m:ctrlPr>
                          <w:rPr>
                            <w:rFonts w:ascii="Cambria Math" w:hAnsi="Cambria Math"/>
                            <w:i/>
                            <w:sz w:val="20"/>
                          </w:rPr>
                        </m:ctrlPr>
                      </m:dPr>
                      <m:e>
                        <m:r>
                          <w:rPr>
                            <w:rFonts w:ascii="Cambria Math" w:hAnsi="Cambria Math"/>
                            <w:sz w:val="20"/>
                          </w:rPr>
                          <m:t>X-4</m:t>
                        </m:r>
                      </m:e>
                    </m:d>
                    <m:r>
                      <w:rPr>
                        <w:rFonts w:ascii="Cambria Math" w:hAnsi="Cambria Math"/>
                        <w:sz w:val="20"/>
                      </w:rPr>
                      <m:t>+</m:t>
                    </m:r>
                    <m:d>
                      <m:dPr>
                        <m:ctrlPr>
                          <w:rPr>
                            <w:rFonts w:ascii="Cambria Math" w:hAnsi="Cambria Math"/>
                            <w:i/>
                            <w:sz w:val="20"/>
                          </w:rPr>
                        </m:ctrlPr>
                      </m:dPr>
                      <m:e>
                        <m:r>
                          <w:rPr>
                            <w:rFonts w:ascii="Cambria Math" w:hAnsi="Cambria Math"/>
                            <w:sz w:val="20"/>
                          </w:rPr>
                          <m:t>Z-3.1</m:t>
                        </m:r>
                      </m:e>
                    </m:d>
                  </m:e>
                </m:d>
                <m:r>
                  <w:rPr>
                    <w:rFonts w:ascii="Cambria Math" w:hAnsi="Cambria Math"/>
                    <w:sz w:val="20"/>
                  </w:rPr>
                  <m:t>×0.1155)</m:t>
                </m:r>
              </m:oMath>
            </m:oMathPara>
          </w:p>
        </w:tc>
        <w:tc>
          <w:tcPr>
            <w:tcW w:w="4099" w:type="dxa"/>
            <w:shd w:val="clear" w:color="auto" w:fill="auto"/>
          </w:tcPr>
          <w:p w14:paraId="1988228A" w14:textId="56C9A76C" w:rsidR="00464DE4" w:rsidRDefault="00464DE4" w:rsidP="003D0ADE">
            <w:pPr>
              <w:pStyle w:val="Didascalia"/>
              <w:jc w:val="right"/>
            </w:pPr>
            <w:bookmarkStart w:id="3" w:name="_Ref78445293"/>
            <w:r>
              <w:t xml:space="preserve">Eq. </w:t>
            </w:r>
            <w:r>
              <w:fldChar w:fldCharType="begin"/>
            </w:r>
            <w:r>
              <w:instrText xml:space="preserve"> SEQ Eq. \* ARABIC </w:instrText>
            </w:r>
            <w:r>
              <w:fldChar w:fldCharType="separate"/>
            </w:r>
            <w:r w:rsidR="008D2EFC">
              <w:rPr>
                <w:noProof/>
              </w:rPr>
              <w:t>1</w:t>
            </w:r>
            <w:r>
              <w:fldChar w:fldCharType="end"/>
            </w:r>
            <w:bookmarkEnd w:id="3"/>
          </w:p>
        </w:tc>
      </w:tr>
    </w:tbl>
    <w:p w14:paraId="7A1371DD" w14:textId="23F0DB62" w:rsidR="00952D8A" w:rsidRDefault="00224DB4" w:rsidP="00FD059C">
      <w:pPr>
        <w:spacing w:line="360" w:lineRule="auto"/>
        <w:ind w:firstLine="0"/>
      </w:pPr>
      <w:r>
        <w:t>The functional unit corresponds to 1 kg of ECM.</w:t>
      </w:r>
      <w:bookmarkStart w:id="4" w:name="_Hlk102144176"/>
      <w:r w:rsidR="00FD059C">
        <w:t xml:space="preserve"> </w:t>
      </w:r>
      <w:r w:rsidR="00952D8A">
        <w:t xml:space="preserve">It must be noted that the ECM formula </w:t>
      </w:r>
      <w:r w:rsidR="000801A6">
        <w:t>adopted</w:t>
      </w:r>
      <w:r w:rsidR="00952D8A">
        <w:t xml:space="preserve"> </w:t>
      </w:r>
      <w:r w:rsidR="000801A6">
        <w:t xml:space="preserve">is </w:t>
      </w:r>
      <w:r w:rsidR="00952D8A">
        <w:t xml:space="preserve">slightly different from that in e.g. </w:t>
      </w:r>
      <w:r w:rsidR="007C0229">
        <w:fldChar w:fldCharType="begin" w:fldLock="1"/>
      </w:r>
      <w:r w:rsidR="007C0229">
        <w:instrText>ADDIN CSL_CITATION {"citationItems":[{"id":"ITEM-1","itemData":{"DOI":"10.1016/j.jclepro.2016.06.078","ISSN":"09596526","abstract":"Life Cycle Assessment (LCA) is one of the key tools for the evaluation of the environmental sustainability of the agricultural sector. LCA related to milk production has gained attention in recent years, but the results are often discordant and conditioned by the practitioners’ choices. This has made it difficult to clearly identify the most environmentally friendly way to produce milk. In the present paper, 44 milk LCA studies published after 2009 are reviewed, in order to evaluate the level of harmonization and comparability of methods and results, and to discuss emerging issues and hot topics that would be worth further investigation. Furthermore, the effects that the choice of functional unit and allocation rule could have on the results were statistically analyzed. The understanding of the current research direction of milk-LCA studies is useful to promote a more responsible and sustainable livestock production in the perspective of increasing animal protein demand. This review highlighted the difficulties encountered in comparing milk LCA studies, underlining the importance of practitioners’ choices in determining the results. Harmonization among LCA studies applied to the milk sector still represents a goal to be achieved. It appeared that future LCAs should investigate a broad range of impact categories, including biodiversity and water consumption; define one or more common functional units; improve transparency, giving a detailed description of system boundaries and reporting the method used for impact calculation; and systematically conduct a sensitivity analysis for a better understanding of the effects of the choices of method.","author":[{"dropping-particle":"","family":"Baldini","given":"Cecilia","non-dropping-particle":"","parse-names":false,"suffix":""},{"dropping-particle":"","family":"Gardoni","given":"Davide","non-dropping-particle":"","parse-names":false,"suffix":""},{"dropping-particle":"","family":"Guarino","given":"Marcella","non-dropping-particle":"","parse-names":false,"suffix":""}],"container-title":"Journal of Cleaner Production","id":"ITEM-1","issued":{"date-parts":[["2017"]]},"page":"421-435","publisher":"Elsevier Ltd","title":"A critical review of the recent evolution of Life Cycle Assessment applied to milk production","type":"article-journal","volume":"140"},"uris":["http://www.mendeley.com/documents/?uuid=0a0a4050-5a06-44f3-ba64-b892732625e9"]}],"mendeley":{"formattedCitation":"(Baldini et al., 2017)","manualFormatting":"Baldini et al., 2017","plainTextFormattedCitation":"(Baldini et al., 2017)","previouslyFormattedCitation":"(Baldini et al., 2017)"},"properties":{"noteIndex":0},"schema":"https://github.com/citation-style-language/schema/raw/master/csl-citation.json"}</w:instrText>
      </w:r>
      <w:r w:rsidR="007C0229">
        <w:fldChar w:fldCharType="separate"/>
      </w:r>
      <w:r w:rsidR="007C0229" w:rsidRPr="007C0229">
        <w:rPr>
          <w:noProof/>
        </w:rPr>
        <w:t>Baldini et al., 2017</w:t>
      </w:r>
      <w:r w:rsidR="007C0229">
        <w:fldChar w:fldCharType="end"/>
      </w:r>
      <w:r w:rsidR="000801A6">
        <w:t xml:space="preserve"> </w:t>
      </w:r>
      <w:r w:rsidR="00952D8A">
        <w:t xml:space="preserve">or </w:t>
      </w:r>
      <w:r w:rsidR="007C0229">
        <w:fldChar w:fldCharType="begin" w:fldLock="1"/>
      </w:r>
      <w:r w:rsidR="00403836">
        <w:instrText>ADDIN CSL_CITATION {"citationItems":[{"id":"ITEM-1","itemData":{"DOI":"10.1016/j.livsci.2013.12.007","ISSN":"18711413","abstract":"The carbon footprint (CF) of milk produced in six Italian Mediterranean Buffalo farms was estimated through a simplified Life Cycle Assessment. Functional unit was 1kg of fat and protein corrected milk (FPCM).The farms were characterized by high levels of inputs, as purchased feeds, chemical fertilizers and fossil fuels. Average cultivated area was 53.2ha; the forage system was based mainly on maize silage, immediately followed by Italian ryegrass and/or whole cereal silage. Average herd size was 360 and the average FPCM per lactating buffalo was 3563kg/year with an average milk fat and protein percentage of 8.24 and 4.57 respectively. The CF assessment was from cradle to farm gate. The greenhouse gases (GHG) that were taken into account were CH4 from enteric fermentations, CH4 from manure in the stable and in the tank; N2O from nitrification and denitrification processes in the manure before application into the soil and N2O produced after organic and synthetic fertilizer application; direct emissions of CO2 from the fossil fuels combustion within the farms and indirect emissions of CO2 deriving from production of electricity, off-farm feeds, synthetic fertilizers and other minor inputs. Carbon footprint of 1kg of FPCM was 3.75kg CO2eq. Main sources of GHG are enteric CH4 (45%) and indirect CO2eq (25%). Besides enteric CH4, the farm activity that gives the highest contribution to milk CF is on-farm feed production, with 34% on total greenhouse gas emissions (TGE). Carbon footprint with economic allocation (CFea) was estimated by considering the live-weight of males calves and culled cows: its value was 3.60kg CO2eq. If the economic value of the increase of the herd size is considered in the assessment, CFea decreases to 3.45 or 3.27kg CO2eq with an increase of 10% or 20% of the number of mature buffalos. © 2013 Elsevier B.V.","author":[{"dropping-particle":"","family":"Pirlo","given":"G.","non-dropping-particle":"","parse-names":false,"suffix":""},{"dropping-particle":"","family":"Terzano","given":"G.","non-dropping-particle":"","parse-names":false,"suffix":""},{"dropping-particle":"","family":"Pacelli","given":"C.","non-dropping-particle":"","parse-names":false,"suffix":""},{"dropping-particle":"","family":"Abeni","given":"F.","non-dropping-particle":"","parse-names":false,"suffix":""},{"dropping-particle":"","family":"Carè","given":"S.","non-dropping-particle":"","parse-names":false,"suffix":""}],"container-title":"Livestock Science","id":"ITEM-1","issue":"1","issued":{"date-parts":[["2014"]]},"page":"176-184","publisher":"Elsevier","title":"Carbon footprint of milk produced at Italian buffalo farms","type":"article-journal","volume":"161"},"uris":["http://www.mendeley.com/documents/?uuid=41da65ed-bf8b-48ba-9b86-830321fb6950"]}],"mendeley":{"formattedCitation":"(Pirlo et al., 2014b)","manualFormatting":"Pirlo et al., 2014b","plainTextFormattedCitation":"(Pirlo et al., 2014b)","previouslyFormattedCitation":"(Pirlo et al., 2014b)"},"properties":{"noteIndex":0},"schema":"https://github.com/citation-style-language/schema/raw/master/csl-citation.json"}</w:instrText>
      </w:r>
      <w:r w:rsidR="007C0229">
        <w:fldChar w:fldCharType="separate"/>
      </w:r>
      <w:r w:rsidR="007C0229" w:rsidRPr="007C0229">
        <w:rPr>
          <w:noProof/>
        </w:rPr>
        <w:t>Pirlo et al., 2014b</w:t>
      </w:r>
      <w:r w:rsidR="007C0229">
        <w:fldChar w:fldCharType="end"/>
      </w:r>
      <w:r w:rsidR="00952D8A">
        <w:t xml:space="preserve"> (which include FPCM as well as different versions of ECM). However, all these approaches yield very similar results that only differ by the second decimal digits.</w:t>
      </w:r>
    </w:p>
    <w:bookmarkEnd w:id="4"/>
    <w:p w14:paraId="6037D7CC" w14:textId="77777777" w:rsidR="003A6636" w:rsidRDefault="003A6636" w:rsidP="003A6636">
      <w:pPr>
        <w:pStyle w:val="Titolo2"/>
      </w:pPr>
      <w:r>
        <w:t>System Boundaries</w:t>
      </w:r>
    </w:p>
    <w:p w14:paraId="595E91D0" w14:textId="013FE4F5" w:rsidR="00BB31DB" w:rsidRPr="001127C7" w:rsidRDefault="002E63E4" w:rsidP="00A060AF">
      <w:pPr>
        <w:spacing w:line="360" w:lineRule="auto"/>
        <w:ind w:firstLine="0"/>
      </w:pPr>
      <w:r>
        <w:t>T</w:t>
      </w:r>
      <w:r w:rsidR="003A6636" w:rsidRPr="001127C7">
        <w:t xml:space="preserve">he system boundaries of the LCA study </w:t>
      </w:r>
      <w:r>
        <w:t xml:space="preserve">are schematically depicted </w:t>
      </w:r>
      <w:r w:rsidR="003A6636" w:rsidRPr="001127C7">
        <w:t xml:space="preserve">in </w:t>
      </w:r>
      <w:r w:rsidR="00C60838">
        <w:fldChar w:fldCharType="begin"/>
      </w:r>
      <w:r w:rsidR="00C60838">
        <w:instrText xml:space="preserve"> REF _Ref74127061 \h </w:instrText>
      </w:r>
      <w:r w:rsidR="00C60838">
        <w:fldChar w:fldCharType="separate"/>
      </w:r>
      <w:r w:rsidR="008D2EFC">
        <w:t xml:space="preserve">Figure </w:t>
      </w:r>
      <w:r w:rsidR="008D2EFC">
        <w:rPr>
          <w:noProof/>
        </w:rPr>
        <w:t>1</w:t>
      </w:r>
      <w:r w:rsidR="00C60838">
        <w:fldChar w:fldCharType="end"/>
      </w:r>
      <w:r w:rsidR="003A6636" w:rsidRPr="001127C7">
        <w:t xml:space="preserve">. </w:t>
      </w:r>
      <w:r>
        <w:t xml:space="preserve">For data collection purposes, </w:t>
      </w:r>
      <w:r w:rsidR="0028268F">
        <w:t>a</w:t>
      </w:r>
      <w:r w:rsidRPr="001127C7">
        <w:t xml:space="preserve"> distinction between foreground and background systems</w:t>
      </w:r>
      <w:r w:rsidR="0028268F">
        <w:t xml:space="preserve"> is made</w:t>
      </w:r>
      <w:r w:rsidR="001057F7">
        <w:t xml:space="preserve"> </w:t>
      </w:r>
      <w:r w:rsidR="003A6636" w:rsidRPr="001127C7">
        <w:fldChar w:fldCharType="begin" w:fldLock="1"/>
      </w:r>
      <w:r w:rsidR="00523B4F">
        <w:instrText>ADDIN CSL_CITATION {"citationItems":[{"id":"ITEM-1","itemData":{"DOI":"10.1205/095758200530790","ISBN":"0957-5820","ISSN":"09575820","abstract":"I ntegrated Waste Management is one of the holistic approaches to environmental and resource management which are emerging from applying the concept of sustainable development. Assessment of waste management options requires application of Life Cycle Assessment (LCA). This paper summarizes the methodology for applying LCA to Integrated Waste Management of Municipal Solid Waste (MSW) developed for and now used by the UK Environment Agency, including recent developments in international fora. Particular attention is devoted to system definition leading to rational and clear compilation of the Life Cycle Inventory, with appropriate ‘credit’ for recovering materials and/or energy from the waste. LCA of waste management is best seen as a way of structuring information to help decision processes.","author":[{"dropping-particle":"","family":"Clift","given":"Roland","non-dropping-particle":"","parse-names":false,"suffix":""},{"dropping-particle":"","family":"Doig","given":"A.","non-dropping-particle":"","parse-names":false,"suffix":""},{"dropping-particle":"","family":"Finnveden","given":"G.","non-dropping-particle":"","parse-names":false,"suffix":""}],"container-title":"Process Safety and Environmental Protection","id":"ITEM-1","issue":"4","issued":{"date-parts":[["2000"]]},"page":"279-287","title":"The Application of Life Cycle Assessment to Integrated Solid Waste Management. Part 1 - Methodology","type":"article-journal","volume":"78"},"uris":["http://www.mendeley.com/documents/?uuid=12400c4d-e990-4421-9719-660580fdb383","http://www.mendeley.com/documents/?uuid=58a40dbd-7d1b-4ee7-bdc2-3a3d31140f53"]}],"mendeley":{"formattedCitation":"(Clift et al., 2000)","plainTextFormattedCitation":"(Clift et al., 2000)","previouslyFormattedCitation":"(Clift et al., 2000)"},"properties":{"noteIndex":0},"schema":"https://github.com/citation-style-language/schema/raw/master/csl-citation.json"}</w:instrText>
      </w:r>
      <w:r w:rsidR="003A6636" w:rsidRPr="001127C7">
        <w:fldChar w:fldCharType="separate"/>
      </w:r>
      <w:r w:rsidR="00523B4F" w:rsidRPr="00523B4F">
        <w:rPr>
          <w:noProof/>
        </w:rPr>
        <w:t>(Clift et al., 2000)</w:t>
      </w:r>
      <w:r w:rsidR="003A6636" w:rsidRPr="001127C7">
        <w:fldChar w:fldCharType="end"/>
      </w:r>
      <w:r w:rsidR="007776E7">
        <w:t xml:space="preserve">. The foreground system </w:t>
      </w:r>
      <w:r w:rsidR="009057E6">
        <w:t>comprises six sub-systems:</w:t>
      </w:r>
      <w:r w:rsidR="007776E7">
        <w:t xml:space="preserve"> </w:t>
      </w:r>
      <w:proofErr w:type="spellStart"/>
      <w:r w:rsidR="00043A17">
        <w:t>i</w:t>
      </w:r>
      <w:proofErr w:type="spellEnd"/>
      <w:r w:rsidR="00043A17">
        <w:t>)</w:t>
      </w:r>
      <w:r w:rsidR="00996F3C">
        <w:t xml:space="preserve"> in-house</w:t>
      </w:r>
      <w:r w:rsidR="00996F3C" w:rsidRPr="001127C7">
        <w:t xml:space="preserve"> production</w:t>
      </w:r>
      <w:r w:rsidR="00996F3C">
        <w:t xml:space="preserve"> of crops</w:t>
      </w:r>
      <w:r w:rsidR="00F45D08">
        <w:t xml:space="preserve">, covering </w:t>
      </w:r>
      <w:r w:rsidR="00996F3C" w:rsidRPr="001127C7">
        <w:t xml:space="preserve">cultivation, harvesting and refining; </w:t>
      </w:r>
      <w:r w:rsidR="00996F3C">
        <w:t xml:space="preserve">ii) purchase of additional feeds; iii) buffalo breeding, which </w:t>
      </w:r>
      <w:r w:rsidR="00B15B53">
        <w:t>includes</w:t>
      </w:r>
      <w:r w:rsidR="00B15B53" w:rsidRPr="000E47E9">
        <w:t xml:space="preserve"> </w:t>
      </w:r>
      <w:r w:rsidR="00996F3C" w:rsidRPr="001127C7">
        <w:t>water consumption, emissions from enteric fermentation</w:t>
      </w:r>
      <w:r w:rsidR="00D3082A">
        <w:t xml:space="preserve"> as well as</w:t>
      </w:r>
      <w:r w:rsidR="00996F3C">
        <w:t xml:space="preserve"> </w:t>
      </w:r>
      <w:r w:rsidR="00D3082A">
        <w:t>production of meat</w:t>
      </w:r>
      <w:r w:rsidR="00996F3C">
        <w:t xml:space="preserve"> from surplus calves and buffalo</w:t>
      </w:r>
      <w:r w:rsidR="003D2B84">
        <w:t>s</w:t>
      </w:r>
      <w:r w:rsidR="00D3082A">
        <w:t xml:space="preserve"> cull; iv) production of milk</w:t>
      </w:r>
      <w:r w:rsidR="009057E6">
        <w:t xml:space="preserve">, including the washing of </w:t>
      </w:r>
      <w:r w:rsidR="00F45D08">
        <w:t>equipment</w:t>
      </w:r>
      <w:r w:rsidR="00D3082A">
        <w:t xml:space="preserve">; v) management of manure, which </w:t>
      </w:r>
      <w:r w:rsidR="00B15B53">
        <w:t xml:space="preserve">comprises </w:t>
      </w:r>
      <w:r w:rsidR="00D3082A">
        <w:t>emission</w:t>
      </w:r>
      <w:r w:rsidR="00CF5A22">
        <w:t>s</w:t>
      </w:r>
      <w:r w:rsidR="00D3082A">
        <w:t xml:space="preserve"> from manure </w:t>
      </w:r>
      <w:r w:rsidR="00D3082A">
        <w:lastRenderedPageBreak/>
        <w:t>storage and, where relevant, electricity</w:t>
      </w:r>
      <w:r w:rsidR="003D2B84">
        <w:t xml:space="preserve"> generation</w:t>
      </w:r>
      <w:r w:rsidR="00D3082A">
        <w:t xml:space="preserve"> from anaerobic digestion; vi) utilities, which cover</w:t>
      </w:r>
      <w:r w:rsidR="00B15B53">
        <w:t>s</w:t>
      </w:r>
      <w:r w:rsidR="00DC780B">
        <w:t xml:space="preserve"> farm-wide consumption of</w:t>
      </w:r>
      <w:r w:rsidR="00B15B53">
        <w:t xml:space="preserve"> </w:t>
      </w:r>
      <w:r w:rsidR="006E1A04">
        <w:t>electricity and fuels</w:t>
      </w:r>
      <w:r w:rsidR="00DC780B">
        <w:t xml:space="preserve">, and the end-of-life of </w:t>
      </w:r>
      <w:r w:rsidR="006E1A04">
        <w:t>lubricating oil</w:t>
      </w:r>
      <w:r w:rsidR="00D3082A">
        <w:t xml:space="preserve">. </w:t>
      </w:r>
      <w:r w:rsidR="009C79D8">
        <w:t>Farm B</w:t>
      </w:r>
      <w:r w:rsidR="00F15DA7">
        <w:t xml:space="preserve"> and</w:t>
      </w:r>
      <w:r w:rsidR="003D2B84">
        <w:t xml:space="preserve">, only </w:t>
      </w:r>
      <w:r w:rsidR="00F15DA7">
        <w:t>in part</w:t>
      </w:r>
      <w:r w:rsidR="003D2B84">
        <w:t>,</w:t>
      </w:r>
      <w:r w:rsidR="00F15DA7">
        <w:t xml:space="preserve"> </w:t>
      </w:r>
      <w:r w:rsidR="00D246FB">
        <w:t>Farm C</w:t>
      </w:r>
      <w:r w:rsidR="006E1A04">
        <w:t xml:space="preserve"> </w:t>
      </w:r>
      <w:r w:rsidR="00D3082A">
        <w:t>valorise manure via anaerobic digestion</w:t>
      </w:r>
      <w:r w:rsidR="00BB31DB" w:rsidRPr="00BB31DB">
        <w:t xml:space="preserve"> </w:t>
      </w:r>
      <w:r w:rsidR="00BB31DB">
        <w:t xml:space="preserve">into electricity. </w:t>
      </w:r>
      <w:r w:rsidR="00D246FB">
        <w:t xml:space="preserve">Farm A </w:t>
      </w:r>
      <w:r w:rsidR="00BB31DB">
        <w:t xml:space="preserve">and </w:t>
      </w:r>
      <w:r w:rsidR="00B501D3">
        <w:t>F</w:t>
      </w:r>
      <w:r w:rsidR="00D246FB">
        <w:t>arm C</w:t>
      </w:r>
      <w:r w:rsidR="00BB31DB">
        <w:t xml:space="preserve"> (for the other part) use manure as natural fertilizer, in place of artificial alternatives.</w:t>
      </w:r>
      <w:r w:rsidR="00243049">
        <w:t xml:space="preserve"> </w:t>
      </w:r>
      <w:r w:rsidR="00D246FB">
        <w:t>Farm C</w:t>
      </w:r>
      <w:r w:rsidR="00BB31DB">
        <w:t xml:space="preserve"> is the only organic farm amongst those investigated.</w:t>
      </w:r>
    </w:p>
    <w:p w14:paraId="1C0CB733" w14:textId="0B3F3A36" w:rsidR="003A6636" w:rsidRDefault="0028268F">
      <w:pPr>
        <w:spacing w:line="360" w:lineRule="auto"/>
        <w:ind w:firstLine="0"/>
      </w:pPr>
      <w:r>
        <w:t xml:space="preserve">This </w:t>
      </w:r>
      <w:r w:rsidR="00CF5A22">
        <w:t>study</w:t>
      </w:r>
      <w:r w:rsidR="00D3082A">
        <w:t xml:space="preserve"> does not include construction </w:t>
      </w:r>
      <w:r w:rsidR="003A6636" w:rsidRPr="001127C7">
        <w:t xml:space="preserve">of </w:t>
      </w:r>
      <w:r w:rsidR="00CF5A22">
        <w:t xml:space="preserve">the </w:t>
      </w:r>
      <w:r w:rsidR="003A6636" w:rsidRPr="001127C7">
        <w:t>farm</w:t>
      </w:r>
      <w:r w:rsidR="00F45D08">
        <w:t>s’</w:t>
      </w:r>
      <w:r w:rsidR="003A6636" w:rsidRPr="001127C7">
        <w:t xml:space="preserve"> facilities (</w:t>
      </w:r>
      <w:proofErr w:type="gramStart"/>
      <w:r w:rsidR="003A6636" w:rsidRPr="001127C7">
        <w:t>e.g.</w:t>
      </w:r>
      <w:proofErr w:type="gramEnd"/>
      <w:r w:rsidR="003A6636" w:rsidRPr="001127C7">
        <w:t xml:space="preserve"> equipment, buildings and other capital goods), business travel and</w:t>
      </w:r>
      <w:r w:rsidR="00D3082A">
        <w:t xml:space="preserve"> personnel commute</w:t>
      </w:r>
      <w:r w:rsidR="003A6636" w:rsidRPr="001127C7">
        <w:t xml:space="preserve"> from and to work, research and develop</w:t>
      </w:r>
      <w:r w:rsidR="00CF5A22">
        <w:t>ment</w:t>
      </w:r>
      <w:r w:rsidR="003A6636" w:rsidRPr="001127C7">
        <w:t xml:space="preserve"> activities, disposal of packaging of seeds and chemicals</w:t>
      </w:r>
      <w:r w:rsidR="00D3082A">
        <w:t>,</w:t>
      </w:r>
      <w:r w:rsidR="003A6636" w:rsidRPr="001127C7">
        <w:t xml:space="preserve"> and disposal of waste water </w:t>
      </w:r>
      <w:r w:rsidR="00D3082A">
        <w:t>used for the</w:t>
      </w:r>
      <w:r w:rsidR="003A6636" w:rsidRPr="001127C7">
        <w:t xml:space="preserve"> washing of premises. </w:t>
      </w:r>
    </w:p>
    <w:p w14:paraId="2EDCE2D0" w14:textId="77777777" w:rsidR="00D3082A" w:rsidRDefault="00D3082A">
      <w:pPr>
        <w:spacing w:line="360" w:lineRule="auto"/>
        <w:ind w:firstLine="0"/>
      </w:pPr>
    </w:p>
    <w:p w14:paraId="6AF623BF" w14:textId="640E92AE" w:rsidR="00D3082A" w:rsidRPr="001127C7" w:rsidRDefault="00D8480C" w:rsidP="00A060AF">
      <w:pPr>
        <w:spacing w:line="360" w:lineRule="auto"/>
        <w:ind w:firstLine="0"/>
        <w:jc w:val="center"/>
      </w:pPr>
      <w:r>
        <w:rPr>
          <w:noProof/>
          <w:lang w:val="it-IT"/>
        </w:rPr>
        <w:drawing>
          <wp:inline distT="0" distB="0" distL="0" distR="0" wp14:anchorId="6828435C" wp14:editId="1AB8B488">
            <wp:extent cx="6073197" cy="2562225"/>
            <wp:effectExtent l="0" t="0" r="381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87109" cy="2568094"/>
                    </a:xfrm>
                    <a:prstGeom prst="rect">
                      <a:avLst/>
                    </a:prstGeom>
                    <a:noFill/>
                  </pic:spPr>
                </pic:pic>
              </a:graphicData>
            </a:graphic>
          </wp:inline>
        </w:drawing>
      </w:r>
    </w:p>
    <w:p w14:paraId="7FC63C96" w14:textId="6CD73AC0" w:rsidR="003A6636" w:rsidRPr="00F46B4C" w:rsidRDefault="00C60838">
      <w:pPr>
        <w:pStyle w:val="Didascalia"/>
        <w:jc w:val="center"/>
      </w:pPr>
      <w:bookmarkStart w:id="5" w:name="_Ref74127061"/>
      <w:bookmarkStart w:id="6" w:name="_Ref16603670"/>
      <w:r>
        <w:t xml:space="preserve">Figure </w:t>
      </w:r>
      <w:r>
        <w:fldChar w:fldCharType="begin"/>
      </w:r>
      <w:r>
        <w:instrText xml:space="preserve"> SEQ Figure \* ARABIC </w:instrText>
      </w:r>
      <w:r>
        <w:fldChar w:fldCharType="separate"/>
      </w:r>
      <w:r w:rsidR="008D2EFC">
        <w:rPr>
          <w:noProof/>
        </w:rPr>
        <w:t>1</w:t>
      </w:r>
      <w:r>
        <w:fldChar w:fldCharType="end"/>
      </w:r>
      <w:bookmarkEnd w:id="5"/>
      <w:r>
        <w:t xml:space="preserve"> </w:t>
      </w:r>
      <w:bookmarkEnd w:id="6"/>
      <w:r w:rsidR="003A6636" w:rsidRPr="00F46B4C">
        <w:t xml:space="preserve">– </w:t>
      </w:r>
      <w:r w:rsidR="00CF5A22">
        <w:t>Schematic system boundaries</w:t>
      </w:r>
      <w:r w:rsidR="00F634BF">
        <w:t xml:space="preserve"> of</w:t>
      </w:r>
      <w:r w:rsidR="00CF5A22">
        <w:t xml:space="preserve"> buffalo milk</w:t>
      </w:r>
      <w:r w:rsidR="00F634BF">
        <w:t xml:space="preserve"> production</w:t>
      </w:r>
      <w:r w:rsidR="003A6636" w:rsidRPr="00F46B4C">
        <w:t>.</w:t>
      </w:r>
    </w:p>
    <w:p w14:paraId="730F3D67" w14:textId="77777777" w:rsidR="00951062" w:rsidRDefault="00951062" w:rsidP="00951062">
      <w:pPr>
        <w:spacing w:line="360" w:lineRule="auto"/>
        <w:ind w:firstLine="0"/>
        <w:jc w:val="left"/>
      </w:pPr>
    </w:p>
    <w:p w14:paraId="2AB37C73" w14:textId="77777777" w:rsidR="00951062" w:rsidRDefault="00951062" w:rsidP="00951062">
      <w:pPr>
        <w:pStyle w:val="Titolo2"/>
      </w:pPr>
      <w:r>
        <w:t>Life Cycle Inventory</w:t>
      </w:r>
    </w:p>
    <w:p w14:paraId="42BA0E23" w14:textId="5EDCC785" w:rsidR="003D3A32" w:rsidRDefault="00063E65" w:rsidP="00832EB9">
      <w:pPr>
        <w:spacing w:line="360" w:lineRule="auto"/>
      </w:pPr>
      <w:r>
        <w:t xml:space="preserve">The foreground system is modelled using data collected for the year 2019 via </w:t>
      </w:r>
      <w:r w:rsidRPr="001127C7">
        <w:t xml:space="preserve">a structured questionnaire that was distributed </w:t>
      </w:r>
      <w:r>
        <w:t>to</w:t>
      </w:r>
      <w:r w:rsidRPr="001127C7">
        <w:t xml:space="preserve"> the </w:t>
      </w:r>
      <w:r w:rsidR="00F634BF" w:rsidRPr="001127C7">
        <w:t>farmers</w:t>
      </w:r>
      <w:r w:rsidR="00243049">
        <w:t xml:space="preserve">. This </w:t>
      </w:r>
      <w:r>
        <w:t xml:space="preserve">is complemented </w:t>
      </w:r>
      <w:r w:rsidR="00243049">
        <w:t>with</w:t>
      </w:r>
      <w:r>
        <w:t xml:space="preserve"> literature models to estimate </w:t>
      </w:r>
      <w:r w:rsidRPr="001127C7">
        <w:t>emissions from enteric fermentation</w:t>
      </w:r>
      <w:r>
        <w:t xml:space="preserve">, </w:t>
      </w:r>
      <w:r w:rsidRPr="001127C7">
        <w:t>manure management</w:t>
      </w:r>
      <w:r w:rsidR="00243049">
        <w:t xml:space="preserve"> and</w:t>
      </w:r>
      <w:r w:rsidRPr="001127C7">
        <w:t xml:space="preserve"> fertilizer application</w:t>
      </w:r>
      <w:r>
        <w:t xml:space="preserve">. </w:t>
      </w:r>
      <w:r w:rsidR="00243049">
        <w:t xml:space="preserve">Data </w:t>
      </w:r>
      <w:r w:rsidR="00243049" w:rsidRPr="001127C7">
        <w:t xml:space="preserve">for the background system </w:t>
      </w:r>
      <w:r w:rsidR="00243049">
        <w:t>is</w:t>
      </w:r>
      <w:r w:rsidR="00243049" w:rsidRPr="001127C7">
        <w:t xml:space="preserve"> based on </w:t>
      </w:r>
      <w:r w:rsidR="00243049">
        <w:t>commercial</w:t>
      </w:r>
      <w:r w:rsidR="00243049" w:rsidRPr="001127C7">
        <w:t xml:space="preserve"> database</w:t>
      </w:r>
      <w:r w:rsidR="00243049">
        <w:t>s</w:t>
      </w:r>
      <w:r w:rsidR="00243049" w:rsidRPr="001127C7">
        <w:t>,</w:t>
      </w:r>
      <w:r w:rsidR="00243049">
        <w:t xml:space="preserve"> including</w:t>
      </w:r>
      <w:r w:rsidR="00243049" w:rsidRPr="001127C7">
        <w:t xml:space="preserve"> </w:t>
      </w:r>
      <w:proofErr w:type="spellStart"/>
      <w:r w:rsidR="00564479">
        <w:t>Eco</w:t>
      </w:r>
      <w:r w:rsidR="00F53C82">
        <w:t>I</w:t>
      </w:r>
      <w:r w:rsidR="00564479">
        <w:t>nvent</w:t>
      </w:r>
      <w:proofErr w:type="spellEnd"/>
      <w:r w:rsidR="00564479">
        <w:t xml:space="preserve"> (</w:t>
      </w:r>
      <w:proofErr w:type="spellStart"/>
      <w:r w:rsidR="00564479">
        <w:t>cutoff</w:t>
      </w:r>
      <w:proofErr w:type="spellEnd"/>
      <w:r w:rsidR="00564479">
        <w:t>,</w:t>
      </w:r>
      <w:r w:rsidR="00243049">
        <w:t xml:space="preserve"> </w:t>
      </w:r>
      <w:r w:rsidR="00BB31DB">
        <w:lastRenderedPageBreak/>
        <w:t>v</w:t>
      </w:r>
      <w:r w:rsidR="00243049">
        <w:t>3.6</w:t>
      </w:r>
      <w:r w:rsidR="00564479">
        <w:t>)</w:t>
      </w:r>
      <w:r w:rsidR="008774F3" w:rsidRPr="008774F3">
        <w:rPr>
          <w:rStyle w:val="Rimandonotaapidipagina"/>
        </w:rPr>
        <w:t xml:space="preserve"> </w:t>
      </w:r>
      <w:r w:rsidR="008774F3">
        <w:rPr>
          <w:rStyle w:val="Rimandonotaapidipagina"/>
        </w:rPr>
        <w:footnoteReference w:id="3"/>
      </w:r>
      <w:r w:rsidR="00243049">
        <w:t xml:space="preserve"> and </w:t>
      </w:r>
      <w:r w:rsidR="00243049" w:rsidRPr="001127C7">
        <w:t>Gabi professional</w:t>
      </w:r>
      <w:r w:rsidR="00243049">
        <w:t xml:space="preserve"> </w:t>
      </w:r>
      <w:r w:rsidR="00BB31DB">
        <w:t>(</w:t>
      </w:r>
      <w:r w:rsidR="00243049">
        <w:t>2020</w:t>
      </w:r>
      <w:r w:rsidR="00BB31DB">
        <w:t>)</w:t>
      </w:r>
      <w:r w:rsidR="008774F3">
        <w:rPr>
          <w:rStyle w:val="Rimandonotaapidipagina"/>
        </w:rPr>
        <w:footnoteReference w:id="4"/>
      </w:r>
      <w:r w:rsidR="00243049">
        <w:t xml:space="preserve">. </w:t>
      </w:r>
      <w:r w:rsidR="002E6CB5">
        <w:fldChar w:fldCharType="begin"/>
      </w:r>
      <w:r w:rsidR="002E6CB5">
        <w:instrText xml:space="preserve"> REF _Ref78274130 \h </w:instrText>
      </w:r>
      <w:r w:rsidR="002E6CB5">
        <w:fldChar w:fldCharType="separate"/>
      </w:r>
      <w:r w:rsidR="008D2EFC">
        <w:t xml:space="preserve">Table </w:t>
      </w:r>
      <w:r w:rsidR="008D2EFC">
        <w:rPr>
          <w:noProof/>
        </w:rPr>
        <w:t>1</w:t>
      </w:r>
      <w:r w:rsidR="002E6CB5">
        <w:fldChar w:fldCharType="end"/>
      </w:r>
      <w:r w:rsidR="00951062">
        <w:t xml:space="preserve"> reports key inventory data for the three farms investigated</w:t>
      </w:r>
      <w:r w:rsidR="00DC780B">
        <w:t xml:space="preserve">, whilst additional data is reported in </w:t>
      </w:r>
      <w:r w:rsidR="003D3A32">
        <w:t>Table S1</w:t>
      </w:r>
      <w:r w:rsidR="00DC780B">
        <w:t xml:space="preserve"> and S2</w:t>
      </w:r>
      <w:r w:rsidR="003D3A32">
        <w:t xml:space="preserve"> in the Supporting Information</w:t>
      </w:r>
      <w:r w:rsidR="00DC780B">
        <w:t>.</w:t>
      </w:r>
    </w:p>
    <w:p w14:paraId="76BD1DB1" w14:textId="52B4E22E" w:rsidR="00951062" w:rsidRPr="004474C3" w:rsidRDefault="00634BAB" w:rsidP="00FD059C">
      <w:pPr>
        <w:spacing w:line="360" w:lineRule="auto"/>
        <w:ind w:firstLine="0"/>
        <w:rPr>
          <w:lang w:val="en-US"/>
        </w:rPr>
      </w:pPr>
      <w:r>
        <w:t xml:space="preserve">Dairy </w:t>
      </w:r>
      <w:r w:rsidR="00326C6A" w:rsidRPr="001127C7">
        <w:t>buffalo farms may differ for several aspects</w:t>
      </w:r>
      <w:r w:rsidR="00326C6A">
        <w:t>; these include t</w:t>
      </w:r>
      <w:r w:rsidR="00326C6A" w:rsidRPr="001127C7">
        <w:t xml:space="preserve">he size and </w:t>
      </w:r>
      <w:r w:rsidR="003231A3">
        <w:t xml:space="preserve">average milk yield </w:t>
      </w:r>
      <w:r w:rsidR="00326C6A" w:rsidRPr="001127C7">
        <w:t xml:space="preserve">of the herd, the </w:t>
      </w:r>
      <w:proofErr w:type="gramStart"/>
      <w:r w:rsidR="00326C6A" w:rsidRPr="001127C7">
        <w:t>amount</w:t>
      </w:r>
      <w:proofErr w:type="gramEnd"/>
      <w:r w:rsidR="00326C6A" w:rsidRPr="001127C7">
        <w:t xml:space="preserve"> of arable crop</w:t>
      </w:r>
      <w:r w:rsidR="00DC780B">
        <w:t>s</w:t>
      </w:r>
      <w:r w:rsidR="00326C6A" w:rsidRPr="001127C7">
        <w:t xml:space="preserve"> for internal forage production, the type of feed</w:t>
      </w:r>
      <w:r w:rsidR="00DC780B">
        <w:t xml:space="preserve">s </w:t>
      </w:r>
      <w:r w:rsidR="00326C6A" w:rsidRPr="001127C7">
        <w:t xml:space="preserve">and the </w:t>
      </w:r>
      <w:r w:rsidR="00326C6A">
        <w:t xml:space="preserve">strategy for </w:t>
      </w:r>
      <w:r w:rsidR="00D009AC">
        <w:t xml:space="preserve">manure </w:t>
      </w:r>
      <w:r w:rsidR="00326C6A">
        <w:t>manag</w:t>
      </w:r>
      <w:r w:rsidR="00DC780B">
        <w:t>ement</w:t>
      </w:r>
      <w:r w:rsidR="00326C6A" w:rsidRPr="001127C7">
        <w:t xml:space="preserve">. </w:t>
      </w:r>
      <w:r w:rsidR="00DC780B">
        <w:t>M</w:t>
      </w:r>
      <w:r w:rsidR="00326C6A">
        <w:t xml:space="preserve">ost aspects – including for example the number of animals in production or that of heifers and </w:t>
      </w:r>
      <w:r w:rsidR="00D009AC">
        <w:t>calves</w:t>
      </w:r>
      <w:r w:rsidR="00326C6A">
        <w:t xml:space="preserve"> - vary with time. As shown in </w:t>
      </w:r>
      <w:r w:rsidR="00326C6A">
        <w:fldChar w:fldCharType="begin"/>
      </w:r>
      <w:r w:rsidR="00326C6A">
        <w:instrText xml:space="preserve"> REF _Ref78274130 \h </w:instrText>
      </w:r>
      <w:r w:rsidR="00326C6A">
        <w:fldChar w:fldCharType="separate"/>
      </w:r>
      <w:r w:rsidR="008D2EFC">
        <w:t xml:space="preserve">Table </w:t>
      </w:r>
      <w:r w:rsidR="008D2EFC">
        <w:rPr>
          <w:noProof/>
        </w:rPr>
        <w:t>1</w:t>
      </w:r>
      <w:r w:rsidR="00326C6A">
        <w:fldChar w:fldCharType="end"/>
      </w:r>
      <w:r w:rsidR="00326C6A">
        <w:t>, t</w:t>
      </w:r>
      <w:r w:rsidR="00951062">
        <w:t xml:space="preserve">he farms </w:t>
      </w:r>
      <w:r w:rsidR="00074DC3">
        <w:t xml:space="preserve">investigated </w:t>
      </w:r>
      <w:r w:rsidR="00951062">
        <w:t xml:space="preserve">in this study </w:t>
      </w:r>
      <w:r w:rsidR="00326C6A">
        <w:t>cover varying sizes of the herd, milk produc</w:t>
      </w:r>
      <w:r w:rsidR="00FD66F6">
        <w:t>tivity and meat output, cultivated areas for crops production and fertiliser application. Notably, t</w:t>
      </w:r>
      <w:r w:rsidR="00951062" w:rsidRPr="001127C7">
        <w:t xml:space="preserve">he average buffalo </w:t>
      </w:r>
      <w:r w:rsidR="00E00221">
        <w:t>milk yield</w:t>
      </w:r>
      <w:r w:rsidR="00E00221" w:rsidRPr="001127C7">
        <w:t xml:space="preserve"> </w:t>
      </w:r>
      <w:r w:rsidR="00951062" w:rsidRPr="001127C7">
        <w:t xml:space="preserve">of </w:t>
      </w:r>
      <w:r w:rsidR="00F87536">
        <w:t xml:space="preserve">Farm A </w:t>
      </w:r>
      <w:r w:rsidR="00951062">
        <w:t xml:space="preserve">and </w:t>
      </w:r>
      <w:r w:rsidR="00564479">
        <w:t xml:space="preserve">Farm </w:t>
      </w:r>
      <w:r w:rsidR="00F87536">
        <w:t>C</w:t>
      </w:r>
      <w:r w:rsidR="00951062" w:rsidRPr="001127C7">
        <w:t xml:space="preserve"> </w:t>
      </w:r>
      <w:r w:rsidR="00951062">
        <w:t>are similar</w:t>
      </w:r>
      <w:r w:rsidR="00951062" w:rsidRPr="001127C7">
        <w:t xml:space="preserve"> to the </w:t>
      </w:r>
      <w:r w:rsidR="00951062">
        <w:t xml:space="preserve">Italian </w:t>
      </w:r>
      <w:r w:rsidR="00951062" w:rsidRPr="001127C7">
        <w:t>average</w:t>
      </w:r>
      <w:r w:rsidR="006D7BFE" w:rsidRPr="006D7BFE">
        <w:rPr>
          <w:lang w:val="en-US"/>
        </w:rPr>
        <w:t xml:space="preserve"> </w:t>
      </w:r>
      <w:r w:rsidR="006D7BFE">
        <w:rPr>
          <w:lang w:val="en-US"/>
        </w:rPr>
        <w:t>a</w:t>
      </w:r>
      <w:r w:rsidR="006D7BFE" w:rsidRPr="009804EF">
        <w:rPr>
          <w:lang w:val="en-US"/>
        </w:rPr>
        <w:t xml:space="preserve">ccording to </w:t>
      </w:r>
      <w:r w:rsidR="006D7BFE">
        <w:rPr>
          <w:lang w:val="en-US"/>
        </w:rPr>
        <w:t>Italian Association of buffalo farmer (</w:t>
      </w:r>
      <w:r w:rsidR="006D7BFE" w:rsidRPr="009804EF">
        <w:rPr>
          <w:lang w:val="en-US"/>
        </w:rPr>
        <w:t>ANASB</w:t>
      </w:r>
      <w:r w:rsidR="006D7BFE">
        <w:rPr>
          <w:lang w:val="en-US"/>
        </w:rPr>
        <w:t>)</w:t>
      </w:r>
      <w:r w:rsidR="00951062" w:rsidRPr="001127C7">
        <w:t>, whil</w:t>
      </w:r>
      <w:r w:rsidR="00951062">
        <w:t>st</w:t>
      </w:r>
      <w:r w:rsidR="00951062" w:rsidRPr="001127C7">
        <w:t xml:space="preserve"> that of </w:t>
      </w:r>
      <w:r w:rsidR="00F87536">
        <w:t>Farm B</w:t>
      </w:r>
      <w:r w:rsidR="00951062" w:rsidRPr="001127C7">
        <w:t xml:space="preserve"> is </w:t>
      </w:r>
      <w:r w:rsidR="00951062">
        <w:t>significantly</w:t>
      </w:r>
      <w:r w:rsidR="00951062" w:rsidRPr="001127C7">
        <w:t xml:space="preserve"> higher</w:t>
      </w:r>
      <w:r w:rsidR="00577A03">
        <w:rPr>
          <w:rStyle w:val="Rimandonotaapidipagina"/>
          <w:lang w:val="en-US"/>
        </w:rPr>
        <w:footnoteReference w:id="5"/>
      </w:r>
      <w:r w:rsidR="00577A03">
        <w:rPr>
          <w:lang w:val="en-US"/>
        </w:rPr>
        <w:t xml:space="preserve">. Similar data are also reported for milk productivity of buffalo in Campania Region </w:t>
      </w:r>
      <w:r w:rsidR="00577A03">
        <w:rPr>
          <w:lang w:val="en-US"/>
        </w:rPr>
        <w:fldChar w:fldCharType="begin" w:fldLock="1"/>
      </w:r>
      <w:r w:rsidR="00A5516C">
        <w:rPr>
          <w:lang w:val="en-US"/>
        </w:rPr>
        <w:instrText>ADDIN CSL_CITATION {"citationItems":[{"id":"ITEM-1","itemData":{"ISSN":"0022-0302","author":[{"dropping-particle":"","family":"Costa","given":"A","non-dropping-particle":"","parse-names":false,"suffix":""},{"dropping-particle":"","family":"Neglia","given":"G","non-dropping-particle":"","parse-names":false,"suffix":""},{"dropping-particle":"","family":"Campanile","given":"G","non-dropping-particle":"","parse-names":false,"suffix":""},{"dropping-particle":"","family":"Marchi","given":"M","non-dropping-particle":"De","parse-names":false,"suffix":""}],"container-title":"Journal of dairy science","id":"ITEM-1","issue":"6","issued":{"date-parts":[["2020"]]},"page":"5485-5494","publisher":"Elsevier","title":"Milk somatic cell count and its relationship with milk yield and quality traits in Italian water buffaloes","type":"article-journal","volume":"103"},"uris":["http://www.mendeley.com/documents/?uuid=d93d2270-290b-40b6-902a-d773186e261d"]}],"mendeley":{"formattedCitation":"(Costa et al., 2020)","plainTextFormattedCitation":"(Costa et al., 2020)","previouslyFormattedCitation":"(Costa et al., 2020)"},"properties":{"noteIndex":0},"schema":"https://github.com/citation-style-language/schema/raw/master/csl-citation.json"}</w:instrText>
      </w:r>
      <w:r w:rsidR="00577A03">
        <w:rPr>
          <w:lang w:val="en-US"/>
        </w:rPr>
        <w:fldChar w:fldCharType="separate"/>
      </w:r>
      <w:r w:rsidR="00577A03" w:rsidRPr="00577A03">
        <w:rPr>
          <w:noProof/>
          <w:lang w:val="en-US"/>
        </w:rPr>
        <w:t>(Costa et al., 2020)</w:t>
      </w:r>
      <w:r w:rsidR="00577A03">
        <w:rPr>
          <w:lang w:val="en-US"/>
        </w:rPr>
        <w:fldChar w:fldCharType="end"/>
      </w:r>
      <w:r w:rsidR="00577A03">
        <w:rPr>
          <w:lang w:val="en-US"/>
        </w:rPr>
        <w:t xml:space="preserve">. </w:t>
      </w:r>
      <w:r w:rsidR="001E4B06">
        <w:t xml:space="preserve"> </w:t>
      </w:r>
    </w:p>
    <w:p w14:paraId="50290C5B" w14:textId="1412E83D" w:rsidR="00FD66F6" w:rsidRPr="00737946" w:rsidRDefault="00951062" w:rsidP="00737946">
      <w:pPr>
        <w:tabs>
          <w:tab w:val="left" w:pos="7797"/>
        </w:tabs>
        <w:spacing w:line="360" w:lineRule="auto"/>
        <w:ind w:firstLine="0"/>
      </w:pPr>
      <w:r>
        <w:t>For all farms, t</w:t>
      </w:r>
      <w:r w:rsidRPr="001127C7">
        <w:t xml:space="preserve">he internal feeding system </w:t>
      </w:r>
      <w:r>
        <w:t>is</w:t>
      </w:r>
      <w:r w:rsidRPr="001127C7">
        <w:t xml:space="preserve"> based on maize, Italian ryegrass and whole cereal silage </w:t>
      </w:r>
      <w:r w:rsidR="00243049">
        <w:t>(</w:t>
      </w:r>
      <w:r w:rsidRPr="001127C7">
        <w:t xml:space="preserve">partially produced on-farm and partially </w:t>
      </w:r>
      <w:r>
        <w:t>purchase</w:t>
      </w:r>
      <w:r w:rsidR="00243049">
        <w:t>d)</w:t>
      </w:r>
      <w:r>
        <w:t xml:space="preserve"> and </w:t>
      </w:r>
      <w:r w:rsidRPr="001127C7">
        <w:t>grass or alfalfa hay</w:t>
      </w:r>
      <w:r>
        <w:t xml:space="preserve"> obtained </w:t>
      </w:r>
      <w:r w:rsidRPr="001127C7">
        <w:t>from the surrounding agricultural areas</w:t>
      </w:r>
      <w:r w:rsidR="00DB63B3">
        <w:t xml:space="preserve">. The cultivated area for each crop and farm is reported in </w:t>
      </w:r>
      <w:r w:rsidR="00DB63B3">
        <w:fldChar w:fldCharType="begin"/>
      </w:r>
      <w:r w:rsidR="00DB63B3">
        <w:instrText xml:space="preserve"> REF _Ref78274130 \h </w:instrText>
      </w:r>
      <w:r w:rsidR="00DB63B3">
        <w:fldChar w:fldCharType="separate"/>
      </w:r>
      <w:r w:rsidR="008D2EFC">
        <w:t xml:space="preserve">Table </w:t>
      </w:r>
      <w:r w:rsidR="008D2EFC">
        <w:rPr>
          <w:noProof/>
        </w:rPr>
        <w:t>1</w:t>
      </w:r>
      <w:r w:rsidR="00DB63B3">
        <w:fldChar w:fldCharType="end"/>
      </w:r>
      <w:r w:rsidR="00DB63B3">
        <w:t xml:space="preserve">, whilst the </w:t>
      </w:r>
      <w:proofErr w:type="gramStart"/>
      <w:r w:rsidR="00DB63B3">
        <w:t>amount</w:t>
      </w:r>
      <w:proofErr w:type="gramEnd"/>
      <w:r w:rsidR="00DB63B3">
        <w:t xml:space="preserve"> of crops that are produced </w:t>
      </w:r>
      <w:r w:rsidR="00BB31DB">
        <w:t>and/</w:t>
      </w:r>
      <w:r w:rsidR="00DB63B3">
        <w:t xml:space="preserve">or purchased is provided in Table S1. </w:t>
      </w:r>
      <w:r w:rsidR="00286728">
        <w:t>We collected data on crop cultivation</w:t>
      </w:r>
      <w:r w:rsidR="00BB31DB">
        <w:t>,</w:t>
      </w:r>
      <w:r w:rsidR="00286728">
        <w:t xml:space="preserve"> including </w:t>
      </w:r>
      <w:r w:rsidR="00286728" w:rsidRPr="001127C7">
        <w:t>mineral and organic fertilizer, herbicide</w:t>
      </w:r>
      <w:r w:rsidR="00286728">
        <w:t>,</w:t>
      </w:r>
      <w:r w:rsidR="00286728" w:rsidRPr="001127C7">
        <w:t xml:space="preserve"> seeds</w:t>
      </w:r>
      <w:r w:rsidR="00286728">
        <w:t xml:space="preserve"> and water</w:t>
      </w:r>
      <w:r w:rsidR="00286728" w:rsidRPr="001127C7">
        <w:t xml:space="preserve"> </w:t>
      </w:r>
      <w:r w:rsidR="00286728">
        <w:t>consumption</w:t>
      </w:r>
      <w:r w:rsidR="00E807A2">
        <w:t xml:space="preserve"> (Table S1)</w:t>
      </w:r>
      <w:r w:rsidR="00286728">
        <w:t>.</w:t>
      </w:r>
      <w:r w:rsidR="00286728" w:rsidRPr="00286728">
        <w:t xml:space="preserve"> </w:t>
      </w:r>
      <w:r w:rsidR="00286728">
        <w:t xml:space="preserve">To model direct and indirect emissions from fertilizer application, we used the Product Category Rules (PCR) on Arable Crops </w:t>
      </w:r>
      <w:r w:rsidR="00C26B3F" w:rsidRPr="00C26B3F">
        <w:t xml:space="preserve">developed </w:t>
      </w:r>
      <w:r w:rsidR="00FC77FA">
        <w:t>within the</w:t>
      </w:r>
      <w:r w:rsidR="00C26B3F" w:rsidRPr="00C26B3F">
        <w:t xml:space="preserve"> International EPD</w:t>
      </w:r>
      <w:r w:rsidR="00C26B3F">
        <w:t xml:space="preserve"> </w:t>
      </w:r>
      <w:r w:rsidR="00C26B3F" w:rsidRPr="00C26B3F">
        <w:t>System</w:t>
      </w:r>
      <w:r w:rsidR="00286728">
        <w:t xml:space="preserve"> (Environmental Product Declaration)</w:t>
      </w:r>
      <w:r w:rsidR="006212D7">
        <w:t xml:space="preserve"> </w:t>
      </w:r>
      <w:r w:rsidR="00286728" w:rsidRPr="001127C7">
        <w:fldChar w:fldCharType="begin" w:fldLock="1"/>
      </w:r>
      <w:r w:rsidR="00523B4F">
        <w:instrText>ADDIN CSL_CITATION {"citationItems":[{"id":"ITEM-1","itemData":{"id":"ITEM-1","issued":{"date-parts":[["2013"]]},"publisher":"2016 THE INTERNATIONAL EPD® SYSTEM","title":"EPD. Product Category Rules According to ISO 14025 (PCR) - Arable crops","type":"article"},"uris":["http://www.mendeley.com/documents/?uuid=7a2eafb3-8aa5-4121-a008-4f579ae96b46"]}],"mendeley":{"formattedCitation":"(“EPD. Product Category Rules According to ISO 14025 (PCR) - Arable crops,” 2013)","plainTextFormattedCitation":"(“EPD. Product Category Rules According to ISO 14025 (PCR) - Arable crops,” 2013)","previouslyFormattedCitation":"(“EPD. Product Category Rules According to ISO 14025 (PCR) - Arable crops,” 2013)"},"properties":{"noteIndex":0},"schema":"https://github.com/citation-style-language/schema/raw/master/csl-citation.json"}</w:instrText>
      </w:r>
      <w:r w:rsidR="00286728" w:rsidRPr="001127C7">
        <w:fldChar w:fldCharType="separate"/>
      </w:r>
      <w:r w:rsidR="00523B4F" w:rsidRPr="00523B4F">
        <w:rPr>
          <w:noProof/>
        </w:rPr>
        <w:t>(“EPD. Product Category Rules According to ISO 14025 (PCR) - Arable crops,” 2013)</w:t>
      </w:r>
      <w:r w:rsidR="00286728" w:rsidRPr="001127C7">
        <w:fldChar w:fldCharType="end"/>
      </w:r>
      <w:r w:rsidR="00286728">
        <w:t xml:space="preserve"> (Table S2)</w:t>
      </w:r>
      <w:r w:rsidR="00286728" w:rsidRPr="001127C7">
        <w:t xml:space="preserve">. </w:t>
      </w:r>
      <w:r w:rsidR="00DB63B3">
        <w:t>T</w:t>
      </w:r>
      <w:r w:rsidR="00FD66F6" w:rsidRPr="001127C7">
        <w:t>ransportation</w:t>
      </w:r>
      <w:r w:rsidR="00FD66F6">
        <w:t xml:space="preserve"> distances </w:t>
      </w:r>
      <w:r w:rsidR="004046FE">
        <w:t>for</w:t>
      </w:r>
      <w:r w:rsidR="00FD66F6">
        <w:t xml:space="preserve"> purchased feeds </w:t>
      </w:r>
      <w:r w:rsidR="00DB63B3">
        <w:t xml:space="preserve">are reported in </w:t>
      </w:r>
      <w:r w:rsidR="00FD66F6">
        <w:t>Table S</w:t>
      </w:r>
      <w:r w:rsidR="00DB63B3">
        <w:t xml:space="preserve">3; we modelled transport as </w:t>
      </w:r>
      <w:r w:rsidR="00FD66F6">
        <w:t>a</w:t>
      </w:r>
      <w:r w:rsidR="00FD66F6" w:rsidRPr="001127C7">
        <w:t xml:space="preserve"> generic truck Euro 4/5 with different </w:t>
      </w:r>
      <w:r w:rsidR="00D009AC" w:rsidRPr="001127C7">
        <w:t>payload</w:t>
      </w:r>
      <w:r w:rsidR="00D009AC">
        <w:t>s</w:t>
      </w:r>
      <w:r w:rsidR="00FD66F6">
        <w:t xml:space="preserve">, </w:t>
      </w:r>
      <w:r w:rsidR="00FD66F6" w:rsidRPr="001127C7">
        <w:t xml:space="preserve">varying from 1 to 32 tons according </w:t>
      </w:r>
      <w:r w:rsidR="00FD66F6">
        <w:t>to</w:t>
      </w:r>
      <w:r w:rsidR="00FD66F6" w:rsidRPr="001127C7">
        <w:t xml:space="preserve"> </w:t>
      </w:r>
      <w:r w:rsidR="00FD66F6">
        <w:t>data provided by the farms</w:t>
      </w:r>
      <w:r w:rsidR="00FD66F6" w:rsidRPr="001127C7">
        <w:t>.</w:t>
      </w:r>
      <w:r w:rsidR="00286728">
        <w:t xml:space="preserve"> In addition to crops, we also considered complex feeds </w:t>
      </w:r>
      <w:r w:rsidR="006212D7">
        <w:t>(</w:t>
      </w:r>
      <w:r w:rsidR="00286728">
        <w:t>like</w:t>
      </w:r>
      <w:r w:rsidR="00737946">
        <w:t xml:space="preserve"> </w:t>
      </w:r>
      <w:r w:rsidR="00970E27">
        <w:t>“</w:t>
      </w:r>
      <w:r w:rsidR="00737946">
        <w:t xml:space="preserve">Casablanca mix </w:t>
      </w:r>
      <w:proofErr w:type="spellStart"/>
      <w:r w:rsidR="00737946">
        <w:t>Fiock</w:t>
      </w:r>
      <w:proofErr w:type="spellEnd"/>
      <w:r w:rsidR="00970E27">
        <w:t>”</w:t>
      </w:r>
      <w:r w:rsidR="00737946">
        <w:t xml:space="preserve"> which is used as </w:t>
      </w:r>
      <w:r w:rsidR="00B0734A">
        <w:t>feed for lactating buffalo</w:t>
      </w:r>
      <w:r w:rsidR="006212D7">
        <w:t>)</w:t>
      </w:r>
      <w:r w:rsidR="007E659D">
        <w:t>;</w:t>
      </w:r>
      <w:r w:rsidR="00286728">
        <w:t xml:space="preserve"> </w:t>
      </w:r>
      <w:r w:rsidR="007E659D">
        <w:t>t</w:t>
      </w:r>
      <w:r w:rsidR="00286728">
        <w:t>heir</w:t>
      </w:r>
      <w:r w:rsidR="00FD66F6" w:rsidRPr="001127C7">
        <w:t xml:space="preserve"> production</w:t>
      </w:r>
      <w:r w:rsidR="00FD66F6">
        <w:t xml:space="preserve"> was</w:t>
      </w:r>
      <w:r w:rsidR="00FD66F6" w:rsidRPr="001127C7">
        <w:t xml:space="preserve"> </w:t>
      </w:r>
      <w:r w:rsidR="00FD66F6">
        <w:t>modelled</w:t>
      </w:r>
      <w:r w:rsidR="00FD66F6" w:rsidRPr="001127C7">
        <w:t xml:space="preserve"> </w:t>
      </w:r>
      <w:r w:rsidR="00286728">
        <w:t xml:space="preserve">using ingredient lists </w:t>
      </w:r>
      <w:r w:rsidR="00FD66F6" w:rsidRPr="001127C7">
        <w:lastRenderedPageBreak/>
        <w:t xml:space="preserve">reported on product labels </w:t>
      </w:r>
      <w:r w:rsidR="00286728">
        <w:t>an</w:t>
      </w:r>
      <w:r w:rsidR="007E659D">
        <w:t>d</w:t>
      </w:r>
      <w:r w:rsidR="00286728">
        <w:t xml:space="preserve"> expert judgment for estimating their composition</w:t>
      </w:r>
      <w:r w:rsidR="00B0734A">
        <w:t xml:space="preserve"> (as </w:t>
      </w:r>
      <w:r w:rsidR="00737946">
        <w:t>flacked corn 60%, flaked barley</w:t>
      </w:r>
      <w:r w:rsidR="00737946" w:rsidRPr="00737946">
        <w:t xml:space="preserve"> 30%</w:t>
      </w:r>
      <w:r w:rsidR="00737946">
        <w:t xml:space="preserve"> and f</w:t>
      </w:r>
      <w:r w:rsidR="00737946" w:rsidRPr="00737946">
        <w:t>laked protein pea 10%</w:t>
      </w:r>
      <w:r w:rsidR="00B0734A" w:rsidRPr="00737946">
        <w:t>)</w:t>
      </w:r>
      <w:r w:rsidR="00286728" w:rsidRPr="00737946">
        <w:t>.</w:t>
      </w:r>
    </w:p>
    <w:p w14:paraId="3021637E" w14:textId="3C43C63B" w:rsidR="00970E27" w:rsidRDefault="007E659D" w:rsidP="00832EB9">
      <w:pPr>
        <w:spacing w:line="360" w:lineRule="auto"/>
        <w:ind w:firstLine="0"/>
      </w:pPr>
      <w:r>
        <w:t>We estimated e</w:t>
      </w:r>
      <w:r w:rsidR="004046FE">
        <w:t>missions from enteric fermentation</w:t>
      </w:r>
      <w:r w:rsidR="004046FE" w:rsidRPr="001127C7">
        <w:t xml:space="preserve"> </w:t>
      </w:r>
      <w:r>
        <w:t xml:space="preserve">using </w:t>
      </w:r>
      <w:r w:rsidR="004046FE">
        <w:t>the</w:t>
      </w:r>
      <w:r w:rsidR="004046FE" w:rsidRPr="001127C7">
        <w:t xml:space="preserve"> Tier 2 methodology </w:t>
      </w:r>
      <w:r w:rsidR="004046FE">
        <w:t>developed by the</w:t>
      </w:r>
      <w:r w:rsidR="00286728">
        <w:t xml:space="preserve"> Intergovernmental Panel on Climate Change</w:t>
      </w:r>
      <w:r w:rsidR="004046FE" w:rsidRPr="001127C7">
        <w:t xml:space="preserve"> </w:t>
      </w:r>
      <w:r w:rsidR="004046FE" w:rsidRPr="001127C7">
        <w:fldChar w:fldCharType="begin" w:fldLock="1"/>
      </w:r>
      <w:r w:rsidR="00523B4F">
        <w:instrText>ADDIN CSL_CITATION {"citationItems":[{"id":"ITEM-1","itemData":{"abstract":"In their examination of the structure of a public health problem, the authors emphasize the dual nature of health and disease-viz., the (biological) epidemiological dimension on the one hand and the psychological and social dimension on the other-and introduce the concepts relevant to disease models in both dimensions. The study of tuberculosis as a public health problem provides an opportunity to establish indices whereby these health concepts may be applied in model construction. Estimation, from various sources, of the level of these epidemiological and sociological indices provides values suitable for the purpose of testing a public health decision model. The validity, representativeness, and relevance of the estimates are discussed in the light of the objectives of the study.","author":[{"dropping-particle":"","family":"IPCC","given":"","non-dropping-particle":"","parse-names":false,"suffix":""}],"container-title":"Iges","id":"ITEM-1","issued":{"date-parts":[["2006"]]},"page":"20","title":"2006 IPCC Guidelines for National Greenhouse Inventories – A primer, Prepared by the National Greenhouse Gas Inventories Programme, Eggleston H.S., Miwa K., Srivastava N. and Tanabe K.","type":"article-journal"},"uris":["http://www.mendeley.com/documents/?uuid=2a07e4f7-1c0b-4fc8-a11c-b7c42ae20515"]}],"mendeley":{"formattedCitation":"(IPCC, 2006)","plainTextFormattedCitation":"(IPCC, 2006)","previouslyFormattedCitation":"(IPCC, 2006)"},"properties":{"noteIndex":0},"schema":"https://github.com/citation-style-language/schema/raw/master/csl-citation.json"}</w:instrText>
      </w:r>
      <w:r w:rsidR="004046FE" w:rsidRPr="001127C7">
        <w:fldChar w:fldCharType="separate"/>
      </w:r>
      <w:r w:rsidR="00523B4F" w:rsidRPr="00523B4F">
        <w:rPr>
          <w:noProof/>
        </w:rPr>
        <w:t>(IPCC, 2006)</w:t>
      </w:r>
      <w:r w:rsidR="004046FE" w:rsidRPr="001127C7">
        <w:fldChar w:fldCharType="end"/>
      </w:r>
      <w:r w:rsidR="004046FE" w:rsidRPr="001127C7">
        <w:t xml:space="preserve"> and </w:t>
      </w:r>
      <w:r w:rsidR="00EE74C6">
        <w:t>formulas</w:t>
      </w:r>
      <w:r w:rsidR="006212D7">
        <w:t xml:space="preserve"> proposed by </w:t>
      </w:r>
      <w:r w:rsidR="004046FE" w:rsidRPr="001127C7">
        <w:fldChar w:fldCharType="begin" w:fldLock="1"/>
      </w:r>
      <w:r w:rsidR="006212D7">
        <w:instrText>ADDIN CSL_CITATION {"citationItems":[{"id":"ITEM-1","itemData":{"DOI":"10.1017/S1751731108002292","ISSN":"17517311","abstract":"In order to contribute to the improvement of the national greenhouse gas emission inventory, this work aimed at estimating a country-specific enteric methane (CH4) emission factor for the Italian Mediterranean buffalo. For this purpose, national agriculture statistics, and information on animal production and farming conditions were analysed, and the emission factor was estimated using the Tier 2 model of the Intergovernmental Panel on Climate Change. Country-specific CH4 emission factors for buffalo cows (630 kg body weight, BW) and other buffalo (313 kg BW) categories were estimated for the period 1990-2004. In 2004, the estimated enteric CH4 emission factor for the buffalo cows was 73 kg/head per year, whereas that for other buffalo categories it was 56 kg/head per year. Research in order to determine specific CH4 conversion rates at the predominant production system is suggested. © The Animal Consortium 2008.","author":[{"dropping-particle":"","family":"Cóndor","given":"R. D.","non-dropping-particle":"","parse-names":false,"suffix":""},{"dropping-particle":"","family":"Valli","given":"L.","non-dropping-particle":"","parse-names":false,"suffix":""},{"dropping-particle":"","family":"Rosa","given":"G.","non-dropping-particle":"De","parse-names":false,"suffix":""},{"dropping-particle":"","family":"Francia","given":"A.","non-dropping-particle":"Di","parse-names":false,"suffix":""},{"dropping-particle":"","family":"Lauretis","given":"R.","non-dropping-particle":"De","parse-names":false,"suffix":""}],"container-title":"Animal","id":"ITEM-1","issue":"8","issued":{"date-parts":[["2008"]]},"page":"1247-1253","title":"Estimation of the methane emission factor for the Italian Mediterranean buffalo","type":"article-journal","volume":"2"},"uris":["http://www.mendeley.com/documents/?uuid=d7159b40-702d-4613-a1e8-1c710f97662e"]}],"mendeley":{"formattedCitation":"(Cóndor et al., 2008)","manualFormatting":"Cóndor et al., 2008","plainTextFormattedCitation":"(Cóndor et al., 2008)","previouslyFormattedCitation":"(Cóndor et al., 2008)"},"properties":{"noteIndex":0},"schema":"https://github.com/citation-style-language/schema/raw/master/csl-citation.json"}</w:instrText>
      </w:r>
      <w:r w:rsidR="004046FE" w:rsidRPr="001127C7">
        <w:fldChar w:fldCharType="separate"/>
      </w:r>
      <w:r w:rsidR="00523B4F" w:rsidRPr="00523B4F">
        <w:rPr>
          <w:noProof/>
        </w:rPr>
        <w:t>Cóndor et al., 2008</w:t>
      </w:r>
      <w:r w:rsidR="004046FE" w:rsidRPr="001127C7">
        <w:fldChar w:fldCharType="end"/>
      </w:r>
      <w:r w:rsidR="004046FE">
        <w:t xml:space="preserve"> (T</w:t>
      </w:r>
      <w:r w:rsidR="004046FE" w:rsidRPr="001127C7">
        <w:t xml:space="preserve">able </w:t>
      </w:r>
      <w:r w:rsidR="004046FE">
        <w:t>S2).</w:t>
      </w:r>
      <w:r w:rsidR="004046FE" w:rsidRPr="001127C7">
        <w:t xml:space="preserve"> </w:t>
      </w:r>
      <w:r w:rsidR="00EE74C6">
        <w:t xml:space="preserve">We modelled the production of detergents used for washing milking equipment using the </w:t>
      </w:r>
      <w:r w:rsidR="00EE74C6" w:rsidRPr="001127C7">
        <w:t xml:space="preserve">active ingredients </w:t>
      </w:r>
      <w:r w:rsidR="00EE74C6">
        <w:t>reported on the products’</w:t>
      </w:r>
      <w:r w:rsidR="00EE74C6" w:rsidRPr="001127C7">
        <w:t xml:space="preserve"> label</w:t>
      </w:r>
      <w:r w:rsidR="00EE74C6">
        <w:t>s</w:t>
      </w:r>
      <w:r w:rsidR="000E74D7">
        <w:t xml:space="preserve"> (Table S3)</w:t>
      </w:r>
      <w:r w:rsidR="00EE74C6" w:rsidRPr="001127C7">
        <w:t>.</w:t>
      </w:r>
      <w:r>
        <w:t xml:space="preserve"> </w:t>
      </w:r>
      <w:r w:rsidR="00EE74C6">
        <w:t xml:space="preserve">For </w:t>
      </w:r>
      <w:r w:rsidR="001E0268">
        <w:t>Farm C</w:t>
      </w:r>
      <w:r w:rsidR="00EE74C6">
        <w:t xml:space="preserve"> and </w:t>
      </w:r>
      <w:r w:rsidR="001E0268">
        <w:t>Farm B</w:t>
      </w:r>
      <w:r w:rsidR="00EE74C6">
        <w:t>, we assumed that excess electricity</w:t>
      </w:r>
      <w:r w:rsidR="00415CD6">
        <w:t xml:space="preserve"> (Table S1), which is generated via a micro-turbine burning bio-methane from </w:t>
      </w:r>
      <w:r w:rsidR="00EE74C6">
        <w:t>anaerobic digestion</w:t>
      </w:r>
      <w:r w:rsidR="00415CD6">
        <w:t xml:space="preserve"> of manure, </w:t>
      </w:r>
      <w:r w:rsidR="00EE74C6">
        <w:t xml:space="preserve">is </w:t>
      </w:r>
      <w:r w:rsidR="00EE74C6" w:rsidRPr="00881F09">
        <w:t>s</w:t>
      </w:r>
      <w:r w:rsidR="00EE74C6">
        <w:t>old</w:t>
      </w:r>
      <w:r w:rsidR="00EE74C6" w:rsidRPr="00881F09">
        <w:t xml:space="preserve"> to the grid as a co-product</w:t>
      </w:r>
      <w:r w:rsidR="00EE74C6">
        <w:t xml:space="preserve">. </w:t>
      </w:r>
      <w:r w:rsidR="004046FE">
        <w:t xml:space="preserve">When manure is not sent to anaerobic digestion, it is stored for at least 3 months before spreading. </w:t>
      </w:r>
      <w:r w:rsidR="00FC77FA">
        <w:t>Emissions</w:t>
      </w:r>
      <w:r w:rsidR="004046FE" w:rsidRPr="001127C7">
        <w:t xml:space="preserve"> from storage </w:t>
      </w:r>
      <w:r w:rsidR="004046FE">
        <w:t>were estimated according to</w:t>
      </w:r>
      <w:r w:rsidR="006212D7">
        <w:t xml:space="preserve"> </w:t>
      </w:r>
      <w:r w:rsidR="004046FE" w:rsidRPr="001127C7">
        <w:fldChar w:fldCharType="begin" w:fldLock="1"/>
      </w:r>
      <w:r w:rsidR="006212D7">
        <w:instrText>ADDIN CSL_CITATION {"citationItems":[{"id":"ITEM-1","itemData":{"DOI":"10.1017/S1751731108002292","ISSN":"17517311","abstract":"In order to contribute to the improvement of the national greenhouse gas emission inventory, this work aimed at estimating a country-specific enteric methane (CH4) emission factor for the Italian Mediterranean buffalo. For this purpose, national agriculture statistics, and information on animal production and farming conditions were analysed, and the emission factor was estimated using the Tier 2 model of the Intergovernmental Panel on Climate Change. Country-specific CH4 emission factors for buffalo cows (630 kg body weight, BW) and other buffalo (313 kg BW) categories were estimated for the period 1990-2004. In 2004, the estimated enteric CH4 emission factor for the buffalo cows was 73 kg/head per year, whereas that for other buffalo categories it was 56 kg/head per year. Research in order to determine specific CH4 conversion rates at the predominant production system is suggested. © The Animal Consortium 2008.","author":[{"dropping-particle":"","family":"Cóndor","given":"R. D.","non-dropping-particle":"","parse-names":false,"suffix":""},{"dropping-particle":"","family":"Valli","given":"L.","non-dropping-particle":"","parse-names":false,"suffix":""},{"dropping-particle":"","family":"Rosa","given":"G.","non-dropping-particle":"De","parse-names":false,"suffix":""},{"dropping-particle":"","family":"Francia","given":"A.","non-dropping-particle":"Di","parse-names":false,"suffix":""},{"dropping-particle":"","family":"Lauretis","given":"R.","non-dropping-particle":"De","parse-names":false,"suffix":""}],"container-title":"Animal","id":"ITEM-1","issue":"8","issued":{"date-parts":[["2008"]]},"page":"1247-1253","title":"Estimation of the methane emission factor for the Italian Mediterranean buffalo","type":"article-journal","volume":"2"},"uris":["http://www.mendeley.com/documents/?uuid=d7159b40-702d-4613-a1e8-1c710f97662e"]}],"mendeley":{"formattedCitation":"(Cóndor et al., 2008)","manualFormatting":"Cóndor et al., 2008","plainTextFormattedCitation":"(Cóndor et al., 2008)","previouslyFormattedCitation":"(Cóndor et al., 2008)"},"properties":{"noteIndex":0},"schema":"https://github.com/citation-style-language/schema/raw/master/csl-citation.json"}</w:instrText>
      </w:r>
      <w:r w:rsidR="004046FE" w:rsidRPr="001127C7">
        <w:fldChar w:fldCharType="separate"/>
      </w:r>
      <w:r w:rsidR="00523B4F" w:rsidRPr="00523B4F">
        <w:rPr>
          <w:noProof/>
        </w:rPr>
        <w:t>Cóndor et al., 2008</w:t>
      </w:r>
      <w:r w:rsidR="004046FE" w:rsidRPr="001127C7">
        <w:fldChar w:fldCharType="end"/>
      </w:r>
      <w:r w:rsidR="004046FE">
        <w:t xml:space="preserve"> (Table S2).</w:t>
      </w:r>
      <w:r w:rsidR="00EE74C6" w:rsidRPr="00EE74C6">
        <w:t xml:space="preserve"> </w:t>
      </w:r>
      <w:r w:rsidR="004046FE">
        <w:t>Finally, data for</w:t>
      </w:r>
      <w:r w:rsidR="004046FE" w:rsidRPr="001127C7">
        <w:t xml:space="preserve"> electricity, diesel and oil consumption</w:t>
      </w:r>
      <w:r w:rsidR="00EE74C6">
        <w:t xml:space="preserve"> were provided as overall figures representing all activities in the farm (Table 1)</w:t>
      </w:r>
      <w:r w:rsidR="00FC77FA">
        <w:t>, with the relevant life-cycle emissions obtained from the</w:t>
      </w:r>
      <w:r w:rsidR="007D416E">
        <w:t xml:space="preserve"> </w:t>
      </w:r>
      <w:proofErr w:type="spellStart"/>
      <w:r w:rsidR="00FC77FA">
        <w:t>e</w:t>
      </w:r>
      <w:r w:rsidR="007D416E">
        <w:t>coinvent</w:t>
      </w:r>
      <w:proofErr w:type="spellEnd"/>
      <w:r w:rsidR="007D416E">
        <w:t xml:space="preserve"> database</w:t>
      </w:r>
      <w:r w:rsidR="00EE74C6">
        <w:t xml:space="preserve">. </w:t>
      </w:r>
      <w:r w:rsidR="008A65D0">
        <w:t>For spent oil</w:t>
      </w:r>
      <w:r>
        <w:t xml:space="preserve"> from agricultural machines</w:t>
      </w:r>
      <w:r w:rsidR="008A65D0">
        <w:t>, we assumed incineration as end-of-life treatment</w:t>
      </w:r>
      <w:r w:rsidR="00FC77FA">
        <w:t xml:space="preserve">; this was also modelled using the </w:t>
      </w:r>
      <w:proofErr w:type="spellStart"/>
      <w:r w:rsidR="00FC77FA">
        <w:t>ecoinvent</w:t>
      </w:r>
      <w:proofErr w:type="spellEnd"/>
      <w:r w:rsidR="00FC77FA">
        <w:t xml:space="preserve"> database.</w:t>
      </w:r>
    </w:p>
    <w:p w14:paraId="4C9FD8B8" w14:textId="1330245E" w:rsidR="00951062" w:rsidRPr="001127C7" w:rsidRDefault="00951062" w:rsidP="00951062">
      <w:pPr>
        <w:pStyle w:val="Didascalia"/>
        <w:rPr>
          <w:b/>
        </w:rPr>
      </w:pPr>
      <w:bookmarkStart w:id="7" w:name="_Ref78274130"/>
      <w:r>
        <w:t xml:space="preserve">Table </w:t>
      </w:r>
      <w:r>
        <w:fldChar w:fldCharType="begin"/>
      </w:r>
      <w:r>
        <w:instrText xml:space="preserve"> SEQ Table \* ARABIC </w:instrText>
      </w:r>
      <w:r>
        <w:fldChar w:fldCharType="separate"/>
      </w:r>
      <w:r w:rsidR="008D2EFC">
        <w:rPr>
          <w:noProof/>
        </w:rPr>
        <w:t>1</w:t>
      </w:r>
      <w:r>
        <w:fldChar w:fldCharType="end"/>
      </w:r>
      <w:bookmarkEnd w:id="7"/>
      <w:r w:rsidRPr="002201BA">
        <w:t xml:space="preserve"> </w:t>
      </w:r>
      <w:r>
        <w:t>–</w:t>
      </w:r>
      <w:r w:rsidRPr="002201BA">
        <w:t xml:space="preserve"> </w:t>
      </w:r>
      <w:r>
        <w:t xml:space="preserve">Key inventory data for the three farms investigated. </w:t>
      </w:r>
    </w:p>
    <w:tbl>
      <w:tblPr>
        <w:tblW w:w="8716" w:type="dxa"/>
        <w:tblCellMar>
          <w:left w:w="70" w:type="dxa"/>
          <w:right w:w="70" w:type="dxa"/>
        </w:tblCellMar>
        <w:tblLook w:val="04A0" w:firstRow="1" w:lastRow="0" w:firstColumn="1" w:lastColumn="0" w:noHBand="0" w:noVBand="1"/>
      </w:tblPr>
      <w:tblGrid>
        <w:gridCol w:w="3293"/>
        <w:gridCol w:w="1876"/>
        <w:gridCol w:w="1874"/>
        <w:gridCol w:w="1673"/>
      </w:tblGrid>
      <w:tr w:rsidR="00951062" w:rsidRPr="003A2F0D" w14:paraId="6DF7D87E" w14:textId="77777777" w:rsidTr="0072181A">
        <w:trPr>
          <w:trHeight w:val="50"/>
        </w:trPr>
        <w:tc>
          <w:tcPr>
            <w:tcW w:w="3293" w:type="dxa"/>
            <w:tcBorders>
              <w:top w:val="nil"/>
              <w:left w:val="nil"/>
              <w:bottom w:val="single" w:sz="4" w:space="0" w:color="auto"/>
              <w:right w:val="nil"/>
            </w:tcBorders>
            <w:shd w:val="clear" w:color="auto" w:fill="auto"/>
            <w:noWrap/>
            <w:vAlign w:val="bottom"/>
            <w:hideMark/>
          </w:tcPr>
          <w:p w14:paraId="2B49E8BB" w14:textId="77777777" w:rsidR="00951062" w:rsidRPr="006B4024" w:rsidRDefault="00951062" w:rsidP="00A060AF">
            <w:pPr>
              <w:spacing w:after="0" w:line="240" w:lineRule="auto"/>
              <w:rPr>
                <w:sz w:val="20"/>
                <w:szCs w:val="20"/>
              </w:rPr>
            </w:pPr>
          </w:p>
        </w:tc>
        <w:tc>
          <w:tcPr>
            <w:tcW w:w="1876" w:type="dxa"/>
            <w:tcBorders>
              <w:left w:val="nil"/>
              <w:bottom w:val="single" w:sz="4" w:space="0" w:color="auto"/>
              <w:right w:val="nil"/>
            </w:tcBorders>
            <w:shd w:val="clear" w:color="000000" w:fill="FFFFFF"/>
            <w:noWrap/>
            <w:vAlign w:val="bottom"/>
            <w:hideMark/>
          </w:tcPr>
          <w:p w14:paraId="4D721843" w14:textId="4E23E037" w:rsidR="00951062" w:rsidRPr="006B4024" w:rsidRDefault="00370626" w:rsidP="00F80D39">
            <w:pPr>
              <w:spacing w:after="0" w:line="240" w:lineRule="auto"/>
              <w:jc w:val="center"/>
              <w:rPr>
                <w:color w:val="000000"/>
                <w:sz w:val="20"/>
                <w:szCs w:val="20"/>
              </w:rPr>
            </w:pPr>
            <w:r>
              <w:rPr>
                <w:color w:val="000000"/>
                <w:sz w:val="20"/>
                <w:szCs w:val="20"/>
              </w:rPr>
              <w:t xml:space="preserve">Farm </w:t>
            </w:r>
            <w:r w:rsidR="00F80D39">
              <w:rPr>
                <w:color w:val="000000"/>
                <w:sz w:val="20"/>
                <w:szCs w:val="20"/>
              </w:rPr>
              <w:t>A</w:t>
            </w:r>
          </w:p>
        </w:tc>
        <w:tc>
          <w:tcPr>
            <w:tcW w:w="1874" w:type="dxa"/>
            <w:tcBorders>
              <w:left w:val="nil"/>
              <w:bottom w:val="single" w:sz="4" w:space="0" w:color="auto"/>
              <w:right w:val="nil"/>
            </w:tcBorders>
            <w:shd w:val="clear" w:color="000000" w:fill="FFFFFF"/>
            <w:noWrap/>
            <w:vAlign w:val="bottom"/>
            <w:hideMark/>
          </w:tcPr>
          <w:p w14:paraId="2D19A360" w14:textId="1ECDF3C1" w:rsidR="00951062" w:rsidRPr="006B4024" w:rsidRDefault="00370626" w:rsidP="00500CE5">
            <w:pPr>
              <w:spacing w:after="0" w:line="240" w:lineRule="auto"/>
              <w:jc w:val="center"/>
              <w:rPr>
                <w:color w:val="000000"/>
                <w:sz w:val="20"/>
                <w:szCs w:val="20"/>
              </w:rPr>
            </w:pPr>
            <w:r>
              <w:rPr>
                <w:color w:val="000000"/>
                <w:sz w:val="20"/>
                <w:szCs w:val="20"/>
              </w:rPr>
              <w:t>Farm B</w:t>
            </w:r>
          </w:p>
        </w:tc>
        <w:tc>
          <w:tcPr>
            <w:tcW w:w="1673" w:type="dxa"/>
            <w:tcBorders>
              <w:left w:val="nil"/>
              <w:bottom w:val="single" w:sz="4" w:space="0" w:color="auto"/>
              <w:right w:val="nil"/>
            </w:tcBorders>
            <w:shd w:val="clear" w:color="000000" w:fill="FFFFFF"/>
            <w:noWrap/>
            <w:vAlign w:val="bottom"/>
            <w:hideMark/>
          </w:tcPr>
          <w:p w14:paraId="4B9D55F8" w14:textId="515D8ED2" w:rsidR="00951062" w:rsidRPr="006B4024" w:rsidRDefault="00370626" w:rsidP="00F80D39">
            <w:pPr>
              <w:spacing w:after="0" w:line="240" w:lineRule="auto"/>
              <w:jc w:val="center"/>
              <w:rPr>
                <w:color w:val="000000"/>
                <w:sz w:val="20"/>
                <w:szCs w:val="20"/>
              </w:rPr>
            </w:pPr>
            <w:r>
              <w:rPr>
                <w:color w:val="000000"/>
                <w:sz w:val="20"/>
                <w:szCs w:val="20"/>
              </w:rPr>
              <w:t xml:space="preserve">Farm </w:t>
            </w:r>
            <w:r w:rsidR="00F80D39">
              <w:rPr>
                <w:color w:val="000000"/>
                <w:sz w:val="20"/>
                <w:szCs w:val="20"/>
              </w:rPr>
              <w:t>C</w:t>
            </w:r>
          </w:p>
        </w:tc>
      </w:tr>
      <w:tr w:rsidR="00951062" w:rsidRPr="003A2F0D" w14:paraId="0F1D07CD" w14:textId="77777777" w:rsidTr="0072181A">
        <w:trPr>
          <w:trHeight w:val="50"/>
        </w:trPr>
        <w:tc>
          <w:tcPr>
            <w:tcW w:w="3293" w:type="dxa"/>
            <w:tcBorders>
              <w:top w:val="single" w:sz="4" w:space="0" w:color="auto"/>
              <w:left w:val="nil"/>
              <w:bottom w:val="nil"/>
              <w:right w:val="nil"/>
            </w:tcBorders>
            <w:shd w:val="clear" w:color="auto" w:fill="auto"/>
            <w:noWrap/>
            <w:vAlign w:val="bottom"/>
            <w:hideMark/>
          </w:tcPr>
          <w:p w14:paraId="58394BF7" w14:textId="7B341D1E" w:rsidR="00951062" w:rsidRPr="006B4024" w:rsidRDefault="00E23F43" w:rsidP="00A060AF">
            <w:pPr>
              <w:spacing w:after="0" w:line="240" w:lineRule="auto"/>
              <w:rPr>
                <w:color w:val="000000"/>
                <w:sz w:val="20"/>
                <w:szCs w:val="20"/>
              </w:rPr>
            </w:pPr>
            <w:r>
              <w:rPr>
                <w:color w:val="000000"/>
                <w:sz w:val="20"/>
                <w:szCs w:val="20"/>
              </w:rPr>
              <w:t>H</w:t>
            </w:r>
            <w:r w:rsidR="00DC75B1">
              <w:rPr>
                <w:color w:val="000000"/>
                <w:sz w:val="20"/>
                <w:szCs w:val="20"/>
              </w:rPr>
              <w:t>ERD</w:t>
            </w:r>
          </w:p>
        </w:tc>
        <w:tc>
          <w:tcPr>
            <w:tcW w:w="1876" w:type="dxa"/>
            <w:tcBorders>
              <w:top w:val="single" w:sz="4" w:space="0" w:color="auto"/>
              <w:left w:val="nil"/>
              <w:bottom w:val="nil"/>
              <w:right w:val="nil"/>
            </w:tcBorders>
            <w:shd w:val="clear" w:color="auto" w:fill="auto"/>
            <w:noWrap/>
            <w:vAlign w:val="bottom"/>
            <w:hideMark/>
          </w:tcPr>
          <w:p w14:paraId="292415AE" w14:textId="77777777" w:rsidR="00951062" w:rsidRPr="006B4024" w:rsidRDefault="00951062" w:rsidP="00A060AF">
            <w:pPr>
              <w:spacing w:after="0" w:line="240" w:lineRule="auto"/>
              <w:jc w:val="center"/>
              <w:rPr>
                <w:color w:val="000000"/>
                <w:sz w:val="20"/>
                <w:szCs w:val="20"/>
              </w:rPr>
            </w:pPr>
            <w:r w:rsidRPr="006B4024">
              <w:rPr>
                <w:color w:val="000000"/>
                <w:sz w:val="20"/>
                <w:szCs w:val="20"/>
              </w:rPr>
              <w:t>950</w:t>
            </w:r>
          </w:p>
        </w:tc>
        <w:tc>
          <w:tcPr>
            <w:tcW w:w="1874" w:type="dxa"/>
            <w:tcBorders>
              <w:top w:val="single" w:sz="4" w:space="0" w:color="auto"/>
              <w:left w:val="nil"/>
              <w:bottom w:val="nil"/>
              <w:right w:val="nil"/>
            </w:tcBorders>
            <w:shd w:val="clear" w:color="auto" w:fill="auto"/>
            <w:noWrap/>
            <w:vAlign w:val="bottom"/>
            <w:hideMark/>
          </w:tcPr>
          <w:p w14:paraId="68606A9B" w14:textId="77777777" w:rsidR="00951062" w:rsidRPr="006B4024" w:rsidRDefault="00951062" w:rsidP="00A060AF">
            <w:pPr>
              <w:spacing w:after="0" w:line="240" w:lineRule="auto"/>
              <w:jc w:val="center"/>
              <w:rPr>
                <w:color w:val="000000"/>
                <w:sz w:val="20"/>
                <w:szCs w:val="20"/>
              </w:rPr>
            </w:pPr>
            <w:r w:rsidRPr="006B4024">
              <w:rPr>
                <w:color w:val="000000"/>
                <w:sz w:val="20"/>
                <w:szCs w:val="20"/>
              </w:rPr>
              <w:t>620</w:t>
            </w:r>
          </w:p>
        </w:tc>
        <w:tc>
          <w:tcPr>
            <w:tcW w:w="1673" w:type="dxa"/>
            <w:tcBorders>
              <w:top w:val="single" w:sz="4" w:space="0" w:color="auto"/>
              <w:left w:val="nil"/>
              <w:bottom w:val="nil"/>
              <w:right w:val="nil"/>
            </w:tcBorders>
            <w:shd w:val="clear" w:color="auto" w:fill="auto"/>
            <w:noWrap/>
            <w:vAlign w:val="bottom"/>
            <w:hideMark/>
          </w:tcPr>
          <w:p w14:paraId="55E6B791" w14:textId="77777777" w:rsidR="00951062" w:rsidRPr="006B4024" w:rsidRDefault="00951062" w:rsidP="00A060AF">
            <w:pPr>
              <w:spacing w:after="0" w:line="240" w:lineRule="auto"/>
              <w:jc w:val="center"/>
              <w:rPr>
                <w:color w:val="000000"/>
                <w:sz w:val="20"/>
                <w:szCs w:val="20"/>
              </w:rPr>
            </w:pPr>
            <w:r w:rsidRPr="006B4024">
              <w:rPr>
                <w:color w:val="000000"/>
                <w:sz w:val="20"/>
                <w:szCs w:val="20"/>
              </w:rPr>
              <w:t>898</w:t>
            </w:r>
          </w:p>
        </w:tc>
      </w:tr>
      <w:tr w:rsidR="00951062" w:rsidRPr="003A2F0D" w14:paraId="213E36CB" w14:textId="77777777" w:rsidTr="0072181A">
        <w:trPr>
          <w:trHeight w:val="50"/>
        </w:trPr>
        <w:tc>
          <w:tcPr>
            <w:tcW w:w="3293" w:type="dxa"/>
            <w:tcBorders>
              <w:top w:val="nil"/>
              <w:left w:val="nil"/>
              <w:bottom w:val="nil"/>
              <w:right w:val="nil"/>
            </w:tcBorders>
            <w:shd w:val="clear" w:color="auto" w:fill="auto"/>
            <w:noWrap/>
            <w:vAlign w:val="bottom"/>
            <w:hideMark/>
          </w:tcPr>
          <w:p w14:paraId="67C0F9F2" w14:textId="77777777" w:rsidR="00951062" w:rsidRPr="006B4024" w:rsidRDefault="00951062" w:rsidP="00A060AF">
            <w:pPr>
              <w:spacing w:after="0" w:line="240" w:lineRule="auto"/>
              <w:ind w:left="492"/>
              <w:rPr>
                <w:color w:val="000000"/>
                <w:sz w:val="20"/>
                <w:szCs w:val="20"/>
              </w:rPr>
            </w:pPr>
            <w:r w:rsidRPr="006B4024">
              <w:rPr>
                <w:color w:val="000000"/>
                <w:sz w:val="20"/>
                <w:szCs w:val="20"/>
              </w:rPr>
              <w:t>Production</w:t>
            </w:r>
          </w:p>
        </w:tc>
        <w:tc>
          <w:tcPr>
            <w:tcW w:w="1876" w:type="dxa"/>
            <w:tcBorders>
              <w:top w:val="nil"/>
              <w:left w:val="nil"/>
              <w:bottom w:val="nil"/>
              <w:right w:val="nil"/>
            </w:tcBorders>
            <w:shd w:val="clear" w:color="auto" w:fill="auto"/>
            <w:noWrap/>
            <w:vAlign w:val="bottom"/>
            <w:hideMark/>
          </w:tcPr>
          <w:p w14:paraId="714194C6" w14:textId="77777777" w:rsidR="00951062" w:rsidRPr="006B4024" w:rsidRDefault="00951062" w:rsidP="00A060AF">
            <w:pPr>
              <w:spacing w:after="0" w:line="240" w:lineRule="auto"/>
              <w:jc w:val="center"/>
              <w:rPr>
                <w:color w:val="000000"/>
                <w:sz w:val="20"/>
                <w:szCs w:val="20"/>
              </w:rPr>
            </w:pPr>
            <w:r w:rsidRPr="006B4024">
              <w:rPr>
                <w:color w:val="000000"/>
                <w:sz w:val="20"/>
                <w:szCs w:val="20"/>
              </w:rPr>
              <w:t>365</w:t>
            </w:r>
          </w:p>
        </w:tc>
        <w:tc>
          <w:tcPr>
            <w:tcW w:w="1874" w:type="dxa"/>
            <w:tcBorders>
              <w:top w:val="nil"/>
              <w:left w:val="nil"/>
              <w:bottom w:val="nil"/>
              <w:right w:val="nil"/>
            </w:tcBorders>
            <w:shd w:val="clear" w:color="auto" w:fill="auto"/>
            <w:noWrap/>
            <w:vAlign w:val="bottom"/>
            <w:hideMark/>
          </w:tcPr>
          <w:p w14:paraId="7BF5644A" w14:textId="77777777" w:rsidR="00951062" w:rsidRPr="006B4024" w:rsidRDefault="00951062" w:rsidP="00A060AF">
            <w:pPr>
              <w:spacing w:after="0" w:line="240" w:lineRule="auto"/>
              <w:jc w:val="center"/>
              <w:rPr>
                <w:color w:val="000000"/>
                <w:sz w:val="20"/>
                <w:szCs w:val="20"/>
              </w:rPr>
            </w:pPr>
            <w:r w:rsidRPr="006B4024">
              <w:rPr>
                <w:color w:val="000000"/>
                <w:sz w:val="20"/>
                <w:szCs w:val="20"/>
              </w:rPr>
              <w:t>206</w:t>
            </w:r>
          </w:p>
        </w:tc>
        <w:tc>
          <w:tcPr>
            <w:tcW w:w="1673" w:type="dxa"/>
            <w:tcBorders>
              <w:top w:val="nil"/>
              <w:left w:val="nil"/>
              <w:bottom w:val="nil"/>
              <w:right w:val="nil"/>
            </w:tcBorders>
            <w:shd w:val="clear" w:color="auto" w:fill="auto"/>
            <w:noWrap/>
            <w:vAlign w:val="bottom"/>
            <w:hideMark/>
          </w:tcPr>
          <w:p w14:paraId="10156E89" w14:textId="77777777" w:rsidR="00951062" w:rsidRPr="006B4024" w:rsidRDefault="00951062" w:rsidP="00A060AF">
            <w:pPr>
              <w:spacing w:after="0" w:line="240" w:lineRule="auto"/>
              <w:jc w:val="center"/>
              <w:rPr>
                <w:color w:val="000000"/>
                <w:sz w:val="20"/>
                <w:szCs w:val="20"/>
              </w:rPr>
            </w:pPr>
            <w:r w:rsidRPr="006B4024">
              <w:rPr>
                <w:color w:val="000000"/>
                <w:sz w:val="20"/>
                <w:szCs w:val="20"/>
              </w:rPr>
              <w:t>390</w:t>
            </w:r>
          </w:p>
        </w:tc>
      </w:tr>
      <w:tr w:rsidR="00951062" w:rsidRPr="003A2F0D" w14:paraId="23C1914C" w14:textId="77777777" w:rsidTr="0072181A">
        <w:trPr>
          <w:trHeight w:val="50"/>
        </w:trPr>
        <w:tc>
          <w:tcPr>
            <w:tcW w:w="3293" w:type="dxa"/>
            <w:tcBorders>
              <w:top w:val="nil"/>
              <w:left w:val="nil"/>
              <w:bottom w:val="nil"/>
              <w:right w:val="nil"/>
            </w:tcBorders>
            <w:shd w:val="clear" w:color="auto" w:fill="auto"/>
            <w:noWrap/>
            <w:vAlign w:val="bottom"/>
            <w:hideMark/>
          </w:tcPr>
          <w:p w14:paraId="6AC8C5FC" w14:textId="77777777" w:rsidR="00951062" w:rsidRPr="006B4024" w:rsidRDefault="00951062" w:rsidP="00A060AF">
            <w:pPr>
              <w:spacing w:after="0" w:line="240" w:lineRule="auto"/>
              <w:ind w:left="492"/>
              <w:rPr>
                <w:color w:val="000000"/>
                <w:sz w:val="20"/>
                <w:szCs w:val="20"/>
              </w:rPr>
            </w:pPr>
            <w:r w:rsidRPr="006B4024">
              <w:rPr>
                <w:color w:val="000000"/>
                <w:sz w:val="20"/>
                <w:szCs w:val="20"/>
              </w:rPr>
              <w:t xml:space="preserve">Dry buffalo </w:t>
            </w:r>
          </w:p>
        </w:tc>
        <w:tc>
          <w:tcPr>
            <w:tcW w:w="1876" w:type="dxa"/>
            <w:tcBorders>
              <w:top w:val="nil"/>
              <w:left w:val="nil"/>
              <w:bottom w:val="nil"/>
              <w:right w:val="nil"/>
            </w:tcBorders>
            <w:shd w:val="clear" w:color="auto" w:fill="auto"/>
            <w:noWrap/>
            <w:vAlign w:val="bottom"/>
            <w:hideMark/>
          </w:tcPr>
          <w:p w14:paraId="33605640" w14:textId="77777777" w:rsidR="00951062" w:rsidRPr="006B4024" w:rsidRDefault="00951062" w:rsidP="00A060AF">
            <w:pPr>
              <w:spacing w:after="0" w:line="240" w:lineRule="auto"/>
              <w:jc w:val="center"/>
              <w:rPr>
                <w:color w:val="000000"/>
                <w:sz w:val="20"/>
                <w:szCs w:val="20"/>
              </w:rPr>
            </w:pPr>
            <w:r w:rsidRPr="006B4024">
              <w:rPr>
                <w:color w:val="000000"/>
                <w:sz w:val="20"/>
                <w:szCs w:val="20"/>
              </w:rPr>
              <w:t>100</w:t>
            </w:r>
          </w:p>
        </w:tc>
        <w:tc>
          <w:tcPr>
            <w:tcW w:w="1874" w:type="dxa"/>
            <w:tcBorders>
              <w:top w:val="nil"/>
              <w:left w:val="nil"/>
              <w:bottom w:val="nil"/>
              <w:right w:val="nil"/>
            </w:tcBorders>
            <w:shd w:val="clear" w:color="auto" w:fill="auto"/>
            <w:noWrap/>
            <w:vAlign w:val="bottom"/>
            <w:hideMark/>
          </w:tcPr>
          <w:p w14:paraId="11D998EA" w14:textId="77777777" w:rsidR="00951062" w:rsidRPr="006B4024" w:rsidRDefault="00951062" w:rsidP="00A060AF">
            <w:pPr>
              <w:spacing w:after="0" w:line="240" w:lineRule="auto"/>
              <w:jc w:val="center"/>
              <w:rPr>
                <w:color w:val="000000"/>
                <w:sz w:val="20"/>
                <w:szCs w:val="20"/>
              </w:rPr>
            </w:pPr>
            <w:r w:rsidRPr="006B4024">
              <w:rPr>
                <w:color w:val="000000"/>
                <w:sz w:val="20"/>
                <w:szCs w:val="20"/>
              </w:rPr>
              <w:t>94</w:t>
            </w:r>
          </w:p>
        </w:tc>
        <w:tc>
          <w:tcPr>
            <w:tcW w:w="1673" w:type="dxa"/>
            <w:tcBorders>
              <w:top w:val="nil"/>
              <w:left w:val="nil"/>
              <w:bottom w:val="nil"/>
              <w:right w:val="nil"/>
            </w:tcBorders>
            <w:shd w:val="clear" w:color="auto" w:fill="auto"/>
            <w:noWrap/>
            <w:vAlign w:val="bottom"/>
            <w:hideMark/>
          </w:tcPr>
          <w:p w14:paraId="63CBFD4E" w14:textId="77777777" w:rsidR="00951062" w:rsidRPr="006B4024" w:rsidRDefault="00951062" w:rsidP="00A060AF">
            <w:pPr>
              <w:spacing w:after="0" w:line="240" w:lineRule="auto"/>
              <w:jc w:val="center"/>
              <w:rPr>
                <w:color w:val="000000"/>
                <w:sz w:val="20"/>
                <w:szCs w:val="20"/>
              </w:rPr>
            </w:pPr>
            <w:r w:rsidRPr="006B4024">
              <w:rPr>
                <w:color w:val="000000"/>
                <w:sz w:val="20"/>
                <w:szCs w:val="20"/>
              </w:rPr>
              <w:t>140</w:t>
            </w:r>
          </w:p>
        </w:tc>
      </w:tr>
      <w:tr w:rsidR="00951062" w:rsidRPr="003A2F0D" w14:paraId="6E33B20D" w14:textId="77777777" w:rsidTr="0072181A">
        <w:trPr>
          <w:trHeight w:val="50"/>
        </w:trPr>
        <w:tc>
          <w:tcPr>
            <w:tcW w:w="3293" w:type="dxa"/>
            <w:tcBorders>
              <w:top w:val="nil"/>
              <w:left w:val="nil"/>
              <w:bottom w:val="nil"/>
              <w:right w:val="nil"/>
            </w:tcBorders>
            <w:shd w:val="clear" w:color="auto" w:fill="auto"/>
            <w:noWrap/>
            <w:vAlign w:val="bottom"/>
            <w:hideMark/>
          </w:tcPr>
          <w:p w14:paraId="53EFE308" w14:textId="77777777" w:rsidR="00951062" w:rsidRPr="006B4024" w:rsidRDefault="00951062" w:rsidP="00A060AF">
            <w:pPr>
              <w:spacing w:after="0" w:line="240" w:lineRule="auto"/>
              <w:ind w:left="492"/>
              <w:rPr>
                <w:color w:val="000000"/>
                <w:sz w:val="20"/>
                <w:szCs w:val="20"/>
              </w:rPr>
            </w:pPr>
            <w:r w:rsidRPr="006B4024">
              <w:rPr>
                <w:color w:val="000000"/>
                <w:sz w:val="20"/>
                <w:szCs w:val="20"/>
              </w:rPr>
              <w:t>Bulls buffalo</w:t>
            </w:r>
          </w:p>
        </w:tc>
        <w:tc>
          <w:tcPr>
            <w:tcW w:w="1876" w:type="dxa"/>
            <w:tcBorders>
              <w:top w:val="nil"/>
              <w:left w:val="nil"/>
              <w:bottom w:val="nil"/>
              <w:right w:val="nil"/>
            </w:tcBorders>
            <w:shd w:val="clear" w:color="auto" w:fill="auto"/>
            <w:noWrap/>
            <w:vAlign w:val="bottom"/>
            <w:hideMark/>
          </w:tcPr>
          <w:p w14:paraId="34E57C41" w14:textId="77777777" w:rsidR="00951062" w:rsidRPr="006B4024" w:rsidRDefault="00951062" w:rsidP="00A060AF">
            <w:pPr>
              <w:spacing w:after="0" w:line="240" w:lineRule="auto"/>
              <w:jc w:val="center"/>
              <w:rPr>
                <w:color w:val="000000"/>
                <w:sz w:val="20"/>
                <w:szCs w:val="20"/>
              </w:rPr>
            </w:pPr>
            <w:r w:rsidRPr="006B4024">
              <w:rPr>
                <w:color w:val="000000"/>
                <w:sz w:val="20"/>
                <w:szCs w:val="20"/>
              </w:rPr>
              <w:t>15</w:t>
            </w:r>
          </w:p>
        </w:tc>
        <w:tc>
          <w:tcPr>
            <w:tcW w:w="1874" w:type="dxa"/>
            <w:tcBorders>
              <w:top w:val="nil"/>
              <w:left w:val="nil"/>
              <w:bottom w:val="nil"/>
              <w:right w:val="nil"/>
            </w:tcBorders>
            <w:shd w:val="clear" w:color="auto" w:fill="auto"/>
            <w:noWrap/>
            <w:vAlign w:val="bottom"/>
            <w:hideMark/>
          </w:tcPr>
          <w:p w14:paraId="62DC94FD" w14:textId="77777777" w:rsidR="00951062" w:rsidRPr="006B4024" w:rsidRDefault="00951062" w:rsidP="00A060AF">
            <w:pPr>
              <w:spacing w:after="0" w:line="240" w:lineRule="auto"/>
              <w:jc w:val="center"/>
              <w:rPr>
                <w:color w:val="000000"/>
                <w:sz w:val="20"/>
                <w:szCs w:val="20"/>
              </w:rPr>
            </w:pPr>
            <w:r w:rsidRPr="006B4024">
              <w:rPr>
                <w:color w:val="000000"/>
                <w:sz w:val="20"/>
                <w:szCs w:val="20"/>
              </w:rPr>
              <w:t>15</w:t>
            </w:r>
          </w:p>
        </w:tc>
        <w:tc>
          <w:tcPr>
            <w:tcW w:w="1673" w:type="dxa"/>
            <w:tcBorders>
              <w:top w:val="nil"/>
              <w:left w:val="nil"/>
              <w:bottom w:val="nil"/>
              <w:right w:val="nil"/>
            </w:tcBorders>
            <w:shd w:val="clear" w:color="auto" w:fill="auto"/>
            <w:noWrap/>
            <w:vAlign w:val="bottom"/>
            <w:hideMark/>
          </w:tcPr>
          <w:p w14:paraId="434CA3C6" w14:textId="77777777" w:rsidR="00951062" w:rsidRPr="006B4024" w:rsidRDefault="00951062" w:rsidP="00A060AF">
            <w:pPr>
              <w:spacing w:after="0" w:line="240" w:lineRule="auto"/>
              <w:jc w:val="center"/>
              <w:rPr>
                <w:color w:val="000000"/>
                <w:sz w:val="20"/>
                <w:szCs w:val="20"/>
              </w:rPr>
            </w:pPr>
            <w:r w:rsidRPr="006B4024">
              <w:rPr>
                <w:color w:val="000000"/>
                <w:sz w:val="20"/>
                <w:szCs w:val="20"/>
              </w:rPr>
              <w:t>40</w:t>
            </w:r>
          </w:p>
        </w:tc>
      </w:tr>
      <w:tr w:rsidR="00951062" w:rsidRPr="003A2F0D" w14:paraId="46F553F7" w14:textId="77777777" w:rsidTr="0072181A">
        <w:trPr>
          <w:trHeight w:val="50"/>
        </w:trPr>
        <w:tc>
          <w:tcPr>
            <w:tcW w:w="3293" w:type="dxa"/>
            <w:tcBorders>
              <w:top w:val="nil"/>
              <w:left w:val="nil"/>
              <w:bottom w:val="nil"/>
              <w:right w:val="nil"/>
            </w:tcBorders>
            <w:shd w:val="clear" w:color="auto" w:fill="auto"/>
            <w:noWrap/>
            <w:vAlign w:val="bottom"/>
            <w:hideMark/>
          </w:tcPr>
          <w:p w14:paraId="504295BB" w14:textId="77777777" w:rsidR="00951062" w:rsidRPr="006B4024" w:rsidRDefault="00951062" w:rsidP="00A060AF">
            <w:pPr>
              <w:spacing w:after="0" w:line="240" w:lineRule="auto"/>
              <w:ind w:left="492"/>
              <w:rPr>
                <w:color w:val="000000"/>
                <w:sz w:val="20"/>
                <w:szCs w:val="20"/>
              </w:rPr>
            </w:pPr>
            <w:r w:rsidRPr="006B4024">
              <w:rPr>
                <w:color w:val="000000"/>
                <w:sz w:val="20"/>
                <w:szCs w:val="20"/>
              </w:rPr>
              <w:t>Calves 0 -3 months</w:t>
            </w:r>
          </w:p>
        </w:tc>
        <w:tc>
          <w:tcPr>
            <w:tcW w:w="1876" w:type="dxa"/>
            <w:tcBorders>
              <w:top w:val="nil"/>
              <w:left w:val="nil"/>
              <w:bottom w:val="nil"/>
              <w:right w:val="nil"/>
            </w:tcBorders>
            <w:shd w:val="clear" w:color="auto" w:fill="auto"/>
            <w:noWrap/>
            <w:vAlign w:val="bottom"/>
            <w:hideMark/>
          </w:tcPr>
          <w:p w14:paraId="25770E43" w14:textId="77777777" w:rsidR="00951062" w:rsidRPr="006B4024" w:rsidRDefault="00951062" w:rsidP="00A060AF">
            <w:pPr>
              <w:spacing w:after="0" w:line="240" w:lineRule="auto"/>
              <w:jc w:val="center"/>
              <w:rPr>
                <w:color w:val="000000"/>
                <w:sz w:val="20"/>
                <w:szCs w:val="20"/>
              </w:rPr>
            </w:pPr>
            <w:r w:rsidRPr="006B4024">
              <w:rPr>
                <w:color w:val="000000"/>
                <w:sz w:val="20"/>
                <w:szCs w:val="20"/>
              </w:rPr>
              <w:t>36</w:t>
            </w:r>
          </w:p>
        </w:tc>
        <w:tc>
          <w:tcPr>
            <w:tcW w:w="1874" w:type="dxa"/>
            <w:tcBorders>
              <w:top w:val="nil"/>
              <w:left w:val="nil"/>
              <w:bottom w:val="nil"/>
              <w:right w:val="nil"/>
            </w:tcBorders>
            <w:shd w:val="clear" w:color="auto" w:fill="auto"/>
            <w:noWrap/>
            <w:vAlign w:val="bottom"/>
            <w:hideMark/>
          </w:tcPr>
          <w:p w14:paraId="636AE652" w14:textId="77777777" w:rsidR="00951062" w:rsidRPr="006B4024" w:rsidRDefault="00951062" w:rsidP="00A060AF">
            <w:pPr>
              <w:spacing w:after="0" w:line="240" w:lineRule="auto"/>
              <w:jc w:val="center"/>
              <w:rPr>
                <w:color w:val="000000"/>
                <w:sz w:val="20"/>
                <w:szCs w:val="20"/>
              </w:rPr>
            </w:pPr>
            <w:r w:rsidRPr="006B4024">
              <w:rPr>
                <w:color w:val="000000"/>
                <w:sz w:val="20"/>
                <w:szCs w:val="20"/>
              </w:rPr>
              <w:t>30</w:t>
            </w:r>
          </w:p>
        </w:tc>
        <w:tc>
          <w:tcPr>
            <w:tcW w:w="1673" w:type="dxa"/>
            <w:tcBorders>
              <w:top w:val="nil"/>
              <w:left w:val="nil"/>
              <w:bottom w:val="nil"/>
              <w:right w:val="nil"/>
            </w:tcBorders>
            <w:shd w:val="clear" w:color="auto" w:fill="auto"/>
            <w:noWrap/>
            <w:vAlign w:val="bottom"/>
            <w:hideMark/>
          </w:tcPr>
          <w:p w14:paraId="1712CAA8" w14:textId="77777777" w:rsidR="00951062" w:rsidRPr="006B4024" w:rsidRDefault="00951062" w:rsidP="00A060AF">
            <w:pPr>
              <w:spacing w:after="0" w:line="240" w:lineRule="auto"/>
              <w:jc w:val="center"/>
              <w:rPr>
                <w:color w:val="000000"/>
                <w:sz w:val="20"/>
                <w:szCs w:val="20"/>
              </w:rPr>
            </w:pPr>
            <w:r w:rsidRPr="006B4024">
              <w:rPr>
                <w:color w:val="000000"/>
                <w:sz w:val="20"/>
                <w:szCs w:val="20"/>
              </w:rPr>
              <w:t>25</w:t>
            </w:r>
          </w:p>
        </w:tc>
      </w:tr>
      <w:tr w:rsidR="00951062" w:rsidRPr="003A2F0D" w14:paraId="46B0E48F" w14:textId="77777777" w:rsidTr="0072181A">
        <w:trPr>
          <w:trHeight w:val="50"/>
        </w:trPr>
        <w:tc>
          <w:tcPr>
            <w:tcW w:w="3293" w:type="dxa"/>
            <w:tcBorders>
              <w:top w:val="nil"/>
              <w:left w:val="nil"/>
              <w:bottom w:val="nil"/>
              <w:right w:val="nil"/>
            </w:tcBorders>
            <w:shd w:val="clear" w:color="auto" w:fill="auto"/>
            <w:noWrap/>
            <w:vAlign w:val="bottom"/>
            <w:hideMark/>
          </w:tcPr>
          <w:p w14:paraId="4CA308C4" w14:textId="77777777" w:rsidR="00951062" w:rsidRPr="006B4024" w:rsidRDefault="00951062" w:rsidP="00A060AF">
            <w:pPr>
              <w:spacing w:after="0" w:line="240" w:lineRule="auto"/>
              <w:ind w:left="492"/>
              <w:rPr>
                <w:color w:val="000000"/>
                <w:sz w:val="20"/>
                <w:szCs w:val="20"/>
              </w:rPr>
            </w:pPr>
            <w:r w:rsidRPr="006B4024">
              <w:rPr>
                <w:color w:val="000000"/>
                <w:sz w:val="20"/>
                <w:szCs w:val="20"/>
              </w:rPr>
              <w:t>Calves 3 -6 months</w:t>
            </w:r>
          </w:p>
        </w:tc>
        <w:tc>
          <w:tcPr>
            <w:tcW w:w="1876" w:type="dxa"/>
            <w:tcBorders>
              <w:top w:val="nil"/>
              <w:left w:val="nil"/>
              <w:bottom w:val="nil"/>
              <w:right w:val="nil"/>
            </w:tcBorders>
            <w:shd w:val="clear" w:color="auto" w:fill="auto"/>
            <w:noWrap/>
            <w:vAlign w:val="bottom"/>
            <w:hideMark/>
          </w:tcPr>
          <w:p w14:paraId="25941F78" w14:textId="77777777" w:rsidR="00951062" w:rsidRPr="006B4024" w:rsidRDefault="00951062" w:rsidP="00A060AF">
            <w:pPr>
              <w:spacing w:after="0" w:line="240" w:lineRule="auto"/>
              <w:jc w:val="center"/>
              <w:rPr>
                <w:color w:val="000000"/>
                <w:sz w:val="20"/>
                <w:szCs w:val="20"/>
              </w:rPr>
            </w:pPr>
            <w:r w:rsidRPr="006B4024">
              <w:rPr>
                <w:color w:val="000000"/>
                <w:sz w:val="20"/>
                <w:szCs w:val="20"/>
              </w:rPr>
              <w:t>30</w:t>
            </w:r>
          </w:p>
        </w:tc>
        <w:tc>
          <w:tcPr>
            <w:tcW w:w="1874" w:type="dxa"/>
            <w:tcBorders>
              <w:top w:val="nil"/>
              <w:left w:val="nil"/>
              <w:bottom w:val="nil"/>
              <w:right w:val="nil"/>
            </w:tcBorders>
            <w:shd w:val="clear" w:color="auto" w:fill="auto"/>
            <w:noWrap/>
            <w:vAlign w:val="bottom"/>
            <w:hideMark/>
          </w:tcPr>
          <w:p w14:paraId="3E881762" w14:textId="77777777" w:rsidR="00951062" w:rsidRPr="006B4024" w:rsidRDefault="00951062" w:rsidP="00A060AF">
            <w:pPr>
              <w:spacing w:after="0" w:line="240" w:lineRule="auto"/>
              <w:jc w:val="center"/>
              <w:rPr>
                <w:color w:val="000000"/>
                <w:sz w:val="20"/>
                <w:szCs w:val="20"/>
              </w:rPr>
            </w:pPr>
            <w:r w:rsidRPr="006B4024">
              <w:rPr>
                <w:color w:val="000000"/>
                <w:sz w:val="20"/>
                <w:szCs w:val="20"/>
              </w:rPr>
              <w:t>90</w:t>
            </w:r>
          </w:p>
        </w:tc>
        <w:tc>
          <w:tcPr>
            <w:tcW w:w="1673" w:type="dxa"/>
            <w:tcBorders>
              <w:top w:val="nil"/>
              <w:left w:val="nil"/>
              <w:bottom w:val="nil"/>
              <w:right w:val="nil"/>
            </w:tcBorders>
            <w:shd w:val="clear" w:color="auto" w:fill="auto"/>
            <w:noWrap/>
            <w:vAlign w:val="bottom"/>
            <w:hideMark/>
          </w:tcPr>
          <w:p w14:paraId="05F5EDCF" w14:textId="77777777" w:rsidR="00951062" w:rsidRPr="006B4024" w:rsidRDefault="00951062" w:rsidP="00A060AF">
            <w:pPr>
              <w:spacing w:after="0" w:line="240" w:lineRule="auto"/>
              <w:jc w:val="center"/>
              <w:rPr>
                <w:color w:val="000000"/>
                <w:sz w:val="20"/>
                <w:szCs w:val="20"/>
              </w:rPr>
            </w:pPr>
            <w:r w:rsidRPr="006B4024">
              <w:rPr>
                <w:color w:val="000000"/>
                <w:sz w:val="20"/>
                <w:szCs w:val="20"/>
              </w:rPr>
              <w:t>60</w:t>
            </w:r>
          </w:p>
        </w:tc>
      </w:tr>
      <w:tr w:rsidR="00951062" w:rsidRPr="003A2F0D" w14:paraId="5E48FA96" w14:textId="77777777" w:rsidTr="0072181A">
        <w:trPr>
          <w:trHeight w:val="50"/>
        </w:trPr>
        <w:tc>
          <w:tcPr>
            <w:tcW w:w="3293" w:type="dxa"/>
            <w:tcBorders>
              <w:top w:val="nil"/>
              <w:left w:val="nil"/>
              <w:bottom w:val="nil"/>
              <w:right w:val="nil"/>
            </w:tcBorders>
            <w:shd w:val="clear" w:color="auto" w:fill="auto"/>
            <w:noWrap/>
            <w:vAlign w:val="bottom"/>
            <w:hideMark/>
          </w:tcPr>
          <w:p w14:paraId="0B3D0AEF" w14:textId="77777777" w:rsidR="00951062" w:rsidRPr="006B4024" w:rsidRDefault="00951062" w:rsidP="00A060AF">
            <w:pPr>
              <w:spacing w:after="0" w:line="240" w:lineRule="auto"/>
              <w:ind w:left="492"/>
              <w:rPr>
                <w:color w:val="000000"/>
                <w:sz w:val="20"/>
                <w:szCs w:val="20"/>
              </w:rPr>
            </w:pPr>
            <w:r w:rsidRPr="006B4024">
              <w:rPr>
                <w:color w:val="000000"/>
                <w:sz w:val="20"/>
                <w:szCs w:val="20"/>
              </w:rPr>
              <w:t>Calves 6 -12 months</w:t>
            </w:r>
          </w:p>
        </w:tc>
        <w:tc>
          <w:tcPr>
            <w:tcW w:w="1876" w:type="dxa"/>
            <w:tcBorders>
              <w:top w:val="nil"/>
              <w:left w:val="nil"/>
              <w:bottom w:val="nil"/>
              <w:right w:val="nil"/>
            </w:tcBorders>
            <w:shd w:val="clear" w:color="auto" w:fill="auto"/>
            <w:noWrap/>
            <w:vAlign w:val="bottom"/>
            <w:hideMark/>
          </w:tcPr>
          <w:p w14:paraId="3FD92327" w14:textId="77777777" w:rsidR="00951062" w:rsidRPr="006B4024" w:rsidRDefault="00951062" w:rsidP="00A060AF">
            <w:pPr>
              <w:spacing w:after="0" w:line="240" w:lineRule="auto"/>
              <w:jc w:val="center"/>
              <w:rPr>
                <w:color w:val="000000"/>
                <w:sz w:val="20"/>
                <w:szCs w:val="20"/>
              </w:rPr>
            </w:pPr>
            <w:r w:rsidRPr="006B4024">
              <w:rPr>
                <w:color w:val="000000"/>
                <w:sz w:val="20"/>
                <w:szCs w:val="20"/>
              </w:rPr>
              <w:t>78</w:t>
            </w:r>
          </w:p>
        </w:tc>
        <w:tc>
          <w:tcPr>
            <w:tcW w:w="1874" w:type="dxa"/>
            <w:tcBorders>
              <w:top w:val="nil"/>
              <w:left w:val="nil"/>
              <w:bottom w:val="nil"/>
              <w:right w:val="nil"/>
            </w:tcBorders>
            <w:shd w:val="clear" w:color="auto" w:fill="auto"/>
            <w:noWrap/>
            <w:vAlign w:val="bottom"/>
            <w:hideMark/>
          </w:tcPr>
          <w:p w14:paraId="08266F14" w14:textId="77777777" w:rsidR="00951062" w:rsidRPr="006B4024" w:rsidRDefault="00951062" w:rsidP="00A060AF">
            <w:pPr>
              <w:spacing w:after="0" w:line="240" w:lineRule="auto"/>
              <w:jc w:val="center"/>
              <w:rPr>
                <w:color w:val="000000"/>
                <w:sz w:val="20"/>
                <w:szCs w:val="20"/>
              </w:rPr>
            </w:pPr>
            <w:r w:rsidRPr="006B4024">
              <w:rPr>
                <w:color w:val="000000"/>
                <w:sz w:val="20"/>
                <w:szCs w:val="20"/>
              </w:rPr>
              <w:t>62</w:t>
            </w:r>
          </w:p>
        </w:tc>
        <w:tc>
          <w:tcPr>
            <w:tcW w:w="1673" w:type="dxa"/>
            <w:tcBorders>
              <w:top w:val="nil"/>
              <w:left w:val="nil"/>
              <w:bottom w:val="nil"/>
              <w:right w:val="nil"/>
            </w:tcBorders>
            <w:shd w:val="clear" w:color="auto" w:fill="auto"/>
            <w:noWrap/>
            <w:vAlign w:val="bottom"/>
            <w:hideMark/>
          </w:tcPr>
          <w:p w14:paraId="458018EC" w14:textId="77777777" w:rsidR="00951062" w:rsidRPr="006B4024" w:rsidRDefault="00951062" w:rsidP="00A060AF">
            <w:pPr>
              <w:spacing w:after="0" w:line="240" w:lineRule="auto"/>
              <w:jc w:val="center"/>
              <w:rPr>
                <w:color w:val="000000"/>
                <w:sz w:val="20"/>
                <w:szCs w:val="20"/>
              </w:rPr>
            </w:pPr>
            <w:r w:rsidRPr="006B4024">
              <w:rPr>
                <w:color w:val="000000"/>
                <w:sz w:val="20"/>
                <w:szCs w:val="20"/>
              </w:rPr>
              <w:t>81</w:t>
            </w:r>
          </w:p>
        </w:tc>
      </w:tr>
      <w:tr w:rsidR="00951062" w:rsidRPr="003A2F0D" w14:paraId="72741F57" w14:textId="77777777" w:rsidTr="0072181A">
        <w:trPr>
          <w:trHeight w:val="50"/>
        </w:trPr>
        <w:tc>
          <w:tcPr>
            <w:tcW w:w="3293" w:type="dxa"/>
            <w:tcBorders>
              <w:top w:val="nil"/>
              <w:left w:val="nil"/>
              <w:right w:val="nil"/>
            </w:tcBorders>
            <w:shd w:val="clear" w:color="auto" w:fill="auto"/>
            <w:noWrap/>
            <w:vAlign w:val="bottom"/>
            <w:hideMark/>
          </w:tcPr>
          <w:p w14:paraId="30C23911" w14:textId="77777777" w:rsidR="00951062" w:rsidRPr="006B4024" w:rsidRDefault="00951062" w:rsidP="00A060AF">
            <w:pPr>
              <w:spacing w:after="0" w:line="240" w:lineRule="auto"/>
              <w:ind w:left="492"/>
              <w:rPr>
                <w:color w:val="000000"/>
                <w:sz w:val="20"/>
                <w:szCs w:val="20"/>
              </w:rPr>
            </w:pPr>
            <w:r w:rsidRPr="006B4024">
              <w:rPr>
                <w:color w:val="000000"/>
                <w:sz w:val="20"/>
                <w:szCs w:val="20"/>
              </w:rPr>
              <w:t>Heifers 26 months</w:t>
            </w:r>
          </w:p>
        </w:tc>
        <w:tc>
          <w:tcPr>
            <w:tcW w:w="1876" w:type="dxa"/>
            <w:tcBorders>
              <w:top w:val="nil"/>
              <w:left w:val="nil"/>
              <w:right w:val="nil"/>
            </w:tcBorders>
            <w:shd w:val="clear" w:color="auto" w:fill="auto"/>
            <w:noWrap/>
            <w:vAlign w:val="bottom"/>
            <w:hideMark/>
          </w:tcPr>
          <w:p w14:paraId="2613FC39" w14:textId="77777777" w:rsidR="00951062" w:rsidRPr="006B4024" w:rsidRDefault="00951062" w:rsidP="00A060AF">
            <w:pPr>
              <w:spacing w:after="0" w:line="240" w:lineRule="auto"/>
              <w:jc w:val="center"/>
              <w:rPr>
                <w:color w:val="000000"/>
                <w:sz w:val="20"/>
                <w:szCs w:val="20"/>
              </w:rPr>
            </w:pPr>
            <w:r w:rsidRPr="006B4024">
              <w:rPr>
                <w:color w:val="000000"/>
                <w:sz w:val="20"/>
                <w:szCs w:val="20"/>
              </w:rPr>
              <w:t>226</w:t>
            </w:r>
          </w:p>
        </w:tc>
        <w:tc>
          <w:tcPr>
            <w:tcW w:w="1874" w:type="dxa"/>
            <w:tcBorders>
              <w:top w:val="nil"/>
              <w:left w:val="nil"/>
              <w:right w:val="nil"/>
            </w:tcBorders>
            <w:shd w:val="clear" w:color="auto" w:fill="auto"/>
            <w:noWrap/>
            <w:vAlign w:val="bottom"/>
            <w:hideMark/>
          </w:tcPr>
          <w:p w14:paraId="67BFCF47" w14:textId="77777777" w:rsidR="00951062" w:rsidRPr="006B4024" w:rsidRDefault="00951062" w:rsidP="00A060AF">
            <w:pPr>
              <w:spacing w:after="0" w:line="240" w:lineRule="auto"/>
              <w:jc w:val="center"/>
              <w:rPr>
                <w:color w:val="000000"/>
                <w:sz w:val="20"/>
                <w:szCs w:val="20"/>
              </w:rPr>
            </w:pPr>
            <w:r w:rsidRPr="006B4024">
              <w:rPr>
                <w:color w:val="000000"/>
                <w:sz w:val="20"/>
                <w:szCs w:val="20"/>
              </w:rPr>
              <w:t>62</w:t>
            </w:r>
          </w:p>
        </w:tc>
        <w:tc>
          <w:tcPr>
            <w:tcW w:w="1673" w:type="dxa"/>
            <w:tcBorders>
              <w:top w:val="nil"/>
              <w:left w:val="nil"/>
              <w:right w:val="nil"/>
            </w:tcBorders>
            <w:shd w:val="clear" w:color="auto" w:fill="auto"/>
            <w:noWrap/>
            <w:vAlign w:val="bottom"/>
            <w:hideMark/>
          </w:tcPr>
          <w:p w14:paraId="447FB5F4" w14:textId="77777777" w:rsidR="00951062" w:rsidRPr="006B4024" w:rsidRDefault="00951062" w:rsidP="00A060AF">
            <w:pPr>
              <w:spacing w:after="0" w:line="240" w:lineRule="auto"/>
              <w:jc w:val="center"/>
              <w:rPr>
                <w:color w:val="000000"/>
                <w:sz w:val="20"/>
                <w:szCs w:val="20"/>
              </w:rPr>
            </w:pPr>
            <w:r w:rsidRPr="006B4024">
              <w:rPr>
                <w:color w:val="000000"/>
                <w:sz w:val="20"/>
                <w:szCs w:val="20"/>
              </w:rPr>
              <w:t>81</w:t>
            </w:r>
          </w:p>
        </w:tc>
      </w:tr>
      <w:tr w:rsidR="00951062" w:rsidRPr="003A2F0D" w14:paraId="09009CED" w14:textId="77777777" w:rsidTr="0072181A">
        <w:trPr>
          <w:trHeight w:val="50"/>
        </w:trPr>
        <w:tc>
          <w:tcPr>
            <w:tcW w:w="3293" w:type="dxa"/>
            <w:tcBorders>
              <w:top w:val="nil"/>
              <w:left w:val="nil"/>
              <w:bottom w:val="single" w:sz="4" w:space="0" w:color="auto"/>
              <w:right w:val="nil"/>
            </w:tcBorders>
            <w:shd w:val="clear" w:color="auto" w:fill="auto"/>
            <w:noWrap/>
            <w:vAlign w:val="bottom"/>
            <w:hideMark/>
          </w:tcPr>
          <w:p w14:paraId="6BE3344E" w14:textId="77777777" w:rsidR="00951062" w:rsidRPr="006B4024" w:rsidRDefault="00951062" w:rsidP="00A060AF">
            <w:pPr>
              <w:spacing w:after="0" w:line="240" w:lineRule="auto"/>
              <w:ind w:left="492"/>
              <w:rPr>
                <w:color w:val="000000"/>
                <w:sz w:val="20"/>
                <w:szCs w:val="20"/>
              </w:rPr>
            </w:pPr>
            <w:r w:rsidRPr="006B4024">
              <w:rPr>
                <w:color w:val="000000"/>
                <w:sz w:val="20"/>
                <w:szCs w:val="20"/>
              </w:rPr>
              <w:t>Heifers 20 at the 1°birth</w:t>
            </w:r>
          </w:p>
        </w:tc>
        <w:tc>
          <w:tcPr>
            <w:tcW w:w="1876" w:type="dxa"/>
            <w:tcBorders>
              <w:top w:val="nil"/>
              <w:left w:val="nil"/>
              <w:bottom w:val="single" w:sz="4" w:space="0" w:color="auto"/>
              <w:right w:val="nil"/>
            </w:tcBorders>
            <w:shd w:val="clear" w:color="auto" w:fill="auto"/>
            <w:noWrap/>
            <w:vAlign w:val="bottom"/>
            <w:hideMark/>
          </w:tcPr>
          <w:p w14:paraId="065A7D2A" w14:textId="77777777" w:rsidR="00951062" w:rsidRPr="006B4024" w:rsidRDefault="00951062" w:rsidP="00A060AF">
            <w:pPr>
              <w:spacing w:after="0" w:line="240" w:lineRule="auto"/>
              <w:jc w:val="center"/>
              <w:rPr>
                <w:color w:val="000000"/>
                <w:sz w:val="20"/>
                <w:szCs w:val="20"/>
              </w:rPr>
            </w:pPr>
            <w:r w:rsidRPr="006B4024">
              <w:rPr>
                <w:color w:val="000000"/>
                <w:sz w:val="20"/>
                <w:szCs w:val="20"/>
              </w:rPr>
              <w:t>112</w:t>
            </w:r>
          </w:p>
        </w:tc>
        <w:tc>
          <w:tcPr>
            <w:tcW w:w="1874" w:type="dxa"/>
            <w:tcBorders>
              <w:top w:val="nil"/>
              <w:left w:val="nil"/>
              <w:bottom w:val="single" w:sz="4" w:space="0" w:color="auto"/>
              <w:right w:val="nil"/>
            </w:tcBorders>
            <w:shd w:val="clear" w:color="auto" w:fill="auto"/>
            <w:noWrap/>
            <w:vAlign w:val="bottom"/>
            <w:hideMark/>
          </w:tcPr>
          <w:p w14:paraId="58806C3A" w14:textId="77777777" w:rsidR="00951062" w:rsidRPr="006B4024" w:rsidRDefault="00951062" w:rsidP="00A060AF">
            <w:pPr>
              <w:spacing w:after="0" w:line="240" w:lineRule="auto"/>
              <w:jc w:val="center"/>
              <w:rPr>
                <w:color w:val="000000"/>
                <w:sz w:val="20"/>
                <w:szCs w:val="20"/>
              </w:rPr>
            </w:pPr>
            <w:r w:rsidRPr="006B4024">
              <w:rPr>
                <w:color w:val="000000"/>
                <w:sz w:val="20"/>
                <w:szCs w:val="20"/>
              </w:rPr>
              <w:t>62</w:t>
            </w:r>
          </w:p>
        </w:tc>
        <w:tc>
          <w:tcPr>
            <w:tcW w:w="1673" w:type="dxa"/>
            <w:tcBorders>
              <w:top w:val="nil"/>
              <w:left w:val="nil"/>
              <w:bottom w:val="single" w:sz="4" w:space="0" w:color="auto"/>
              <w:right w:val="nil"/>
            </w:tcBorders>
            <w:shd w:val="clear" w:color="auto" w:fill="auto"/>
            <w:noWrap/>
            <w:vAlign w:val="bottom"/>
            <w:hideMark/>
          </w:tcPr>
          <w:p w14:paraId="51C4E135" w14:textId="77777777" w:rsidR="00951062" w:rsidRPr="006B4024" w:rsidRDefault="00951062" w:rsidP="00A060AF">
            <w:pPr>
              <w:spacing w:after="0" w:line="240" w:lineRule="auto"/>
              <w:jc w:val="center"/>
              <w:rPr>
                <w:color w:val="000000"/>
                <w:sz w:val="20"/>
                <w:szCs w:val="20"/>
              </w:rPr>
            </w:pPr>
            <w:r w:rsidRPr="006B4024">
              <w:rPr>
                <w:color w:val="000000"/>
                <w:sz w:val="20"/>
                <w:szCs w:val="20"/>
              </w:rPr>
              <w:t>81</w:t>
            </w:r>
          </w:p>
        </w:tc>
      </w:tr>
      <w:tr w:rsidR="00951062" w:rsidRPr="003A2F0D" w14:paraId="3C6EA51B" w14:textId="77777777" w:rsidTr="0072181A">
        <w:trPr>
          <w:trHeight w:val="50"/>
        </w:trPr>
        <w:tc>
          <w:tcPr>
            <w:tcW w:w="3293" w:type="dxa"/>
            <w:tcBorders>
              <w:top w:val="single" w:sz="4" w:space="0" w:color="auto"/>
              <w:left w:val="nil"/>
              <w:bottom w:val="nil"/>
              <w:right w:val="nil"/>
            </w:tcBorders>
            <w:shd w:val="clear" w:color="auto" w:fill="auto"/>
            <w:noWrap/>
            <w:vAlign w:val="bottom"/>
            <w:hideMark/>
          </w:tcPr>
          <w:p w14:paraId="7790EE6F" w14:textId="77777777" w:rsidR="00951062" w:rsidRPr="006B4024" w:rsidRDefault="00951062" w:rsidP="00A060AF">
            <w:pPr>
              <w:spacing w:after="0" w:line="240" w:lineRule="auto"/>
              <w:jc w:val="center"/>
              <w:rPr>
                <w:color w:val="000000"/>
                <w:sz w:val="20"/>
                <w:szCs w:val="20"/>
              </w:rPr>
            </w:pPr>
          </w:p>
        </w:tc>
        <w:tc>
          <w:tcPr>
            <w:tcW w:w="1876" w:type="dxa"/>
            <w:tcBorders>
              <w:top w:val="single" w:sz="4" w:space="0" w:color="auto"/>
              <w:left w:val="nil"/>
              <w:bottom w:val="nil"/>
              <w:right w:val="nil"/>
            </w:tcBorders>
            <w:shd w:val="clear" w:color="auto" w:fill="auto"/>
            <w:noWrap/>
            <w:vAlign w:val="bottom"/>
            <w:hideMark/>
          </w:tcPr>
          <w:p w14:paraId="0E181D53" w14:textId="77777777" w:rsidR="00951062" w:rsidRPr="006B4024" w:rsidRDefault="00951062" w:rsidP="00A060AF">
            <w:pPr>
              <w:spacing w:after="0" w:line="240" w:lineRule="auto"/>
              <w:rPr>
                <w:sz w:val="20"/>
                <w:szCs w:val="20"/>
              </w:rPr>
            </w:pPr>
          </w:p>
        </w:tc>
        <w:tc>
          <w:tcPr>
            <w:tcW w:w="1874" w:type="dxa"/>
            <w:tcBorders>
              <w:top w:val="single" w:sz="4" w:space="0" w:color="auto"/>
              <w:left w:val="nil"/>
              <w:bottom w:val="nil"/>
              <w:right w:val="nil"/>
            </w:tcBorders>
            <w:shd w:val="clear" w:color="auto" w:fill="auto"/>
            <w:noWrap/>
            <w:vAlign w:val="bottom"/>
            <w:hideMark/>
          </w:tcPr>
          <w:p w14:paraId="4E29BC83" w14:textId="77777777" w:rsidR="00951062" w:rsidRPr="006B4024" w:rsidRDefault="00951062" w:rsidP="00A060AF">
            <w:pPr>
              <w:spacing w:after="0" w:line="240" w:lineRule="auto"/>
              <w:jc w:val="center"/>
              <w:rPr>
                <w:sz w:val="20"/>
                <w:szCs w:val="20"/>
              </w:rPr>
            </w:pPr>
          </w:p>
        </w:tc>
        <w:tc>
          <w:tcPr>
            <w:tcW w:w="1673" w:type="dxa"/>
            <w:tcBorders>
              <w:top w:val="single" w:sz="4" w:space="0" w:color="auto"/>
              <w:left w:val="nil"/>
              <w:bottom w:val="nil"/>
              <w:right w:val="nil"/>
            </w:tcBorders>
            <w:shd w:val="clear" w:color="auto" w:fill="auto"/>
            <w:noWrap/>
            <w:vAlign w:val="bottom"/>
            <w:hideMark/>
          </w:tcPr>
          <w:p w14:paraId="3231D2BF" w14:textId="77777777" w:rsidR="00951062" w:rsidRPr="006B4024" w:rsidRDefault="00951062" w:rsidP="00A060AF">
            <w:pPr>
              <w:spacing w:after="0" w:line="240" w:lineRule="auto"/>
              <w:jc w:val="center"/>
              <w:rPr>
                <w:sz w:val="20"/>
                <w:szCs w:val="20"/>
              </w:rPr>
            </w:pPr>
          </w:p>
        </w:tc>
      </w:tr>
      <w:tr w:rsidR="00951062" w:rsidRPr="003A2F0D" w14:paraId="5062A35A" w14:textId="77777777" w:rsidTr="0072181A">
        <w:trPr>
          <w:trHeight w:val="50"/>
        </w:trPr>
        <w:tc>
          <w:tcPr>
            <w:tcW w:w="3293" w:type="dxa"/>
            <w:tcBorders>
              <w:top w:val="nil"/>
              <w:left w:val="nil"/>
              <w:bottom w:val="nil"/>
              <w:right w:val="nil"/>
            </w:tcBorders>
            <w:shd w:val="clear" w:color="auto" w:fill="auto"/>
            <w:noWrap/>
            <w:vAlign w:val="bottom"/>
            <w:hideMark/>
          </w:tcPr>
          <w:p w14:paraId="7BC0CDBA" w14:textId="61B93DD8" w:rsidR="00951062" w:rsidRPr="006B4024" w:rsidRDefault="00EE3BC7" w:rsidP="00A060AF">
            <w:pPr>
              <w:spacing w:after="0" w:line="240" w:lineRule="auto"/>
              <w:rPr>
                <w:color w:val="000000"/>
                <w:sz w:val="20"/>
                <w:szCs w:val="20"/>
              </w:rPr>
            </w:pPr>
            <w:r>
              <w:rPr>
                <w:color w:val="000000"/>
                <w:sz w:val="20"/>
                <w:szCs w:val="20"/>
              </w:rPr>
              <w:t>Daily Milk yield</w:t>
            </w:r>
            <w:r w:rsidRPr="006B4024">
              <w:rPr>
                <w:color w:val="000000"/>
                <w:sz w:val="20"/>
                <w:szCs w:val="20"/>
              </w:rPr>
              <w:t xml:space="preserve"> </w:t>
            </w:r>
            <w:r>
              <w:rPr>
                <w:color w:val="000000"/>
                <w:sz w:val="20"/>
                <w:szCs w:val="20"/>
              </w:rPr>
              <w:t>(</w:t>
            </w:r>
            <w:r w:rsidR="00951062" w:rsidRPr="006B4024">
              <w:rPr>
                <w:color w:val="000000"/>
                <w:sz w:val="20"/>
                <w:szCs w:val="20"/>
              </w:rPr>
              <w:t>kg/day</w:t>
            </w:r>
            <w:r>
              <w:rPr>
                <w:color w:val="000000"/>
                <w:sz w:val="20"/>
                <w:szCs w:val="20"/>
              </w:rPr>
              <w:t>)/</w:t>
            </w:r>
            <w:r w:rsidR="00951062" w:rsidRPr="006B4024">
              <w:rPr>
                <w:color w:val="000000"/>
                <w:sz w:val="20"/>
                <w:szCs w:val="20"/>
              </w:rPr>
              <w:t>head</w:t>
            </w:r>
          </w:p>
        </w:tc>
        <w:tc>
          <w:tcPr>
            <w:tcW w:w="1876" w:type="dxa"/>
            <w:tcBorders>
              <w:top w:val="nil"/>
              <w:left w:val="nil"/>
              <w:bottom w:val="nil"/>
              <w:right w:val="nil"/>
            </w:tcBorders>
            <w:shd w:val="clear" w:color="auto" w:fill="auto"/>
            <w:noWrap/>
            <w:vAlign w:val="bottom"/>
            <w:hideMark/>
          </w:tcPr>
          <w:p w14:paraId="2EA15F5E" w14:textId="0055EC99" w:rsidR="00951062" w:rsidRPr="006B4024" w:rsidRDefault="00951062" w:rsidP="00143234">
            <w:pPr>
              <w:spacing w:after="0" w:line="240" w:lineRule="auto"/>
              <w:jc w:val="center"/>
              <w:rPr>
                <w:color w:val="000000"/>
                <w:sz w:val="20"/>
                <w:szCs w:val="20"/>
              </w:rPr>
            </w:pPr>
            <w:r w:rsidRPr="006B4024">
              <w:rPr>
                <w:color w:val="000000"/>
                <w:sz w:val="20"/>
                <w:szCs w:val="20"/>
              </w:rPr>
              <w:t>9</w:t>
            </w:r>
            <w:r w:rsidR="00143234">
              <w:rPr>
                <w:color w:val="000000"/>
                <w:sz w:val="20"/>
                <w:szCs w:val="20"/>
              </w:rPr>
              <w:t>.</w:t>
            </w:r>
            <w:r w:rsidRPr="006B4024">
              <w:rPr>
                <w:color w:val="000000"/>
                <w:sz w:val="20"/>
                <w:szCs w:val="20"/>
              </w:rPr>
              <w:t>0</w:t>
            </w:r>
          </w:p>
        </w:tc>
        <w:tc>
          <w:tcPr>
            <w:tcW w:w="1874" w:type="dxa"/>
            <w:tcBorders>
              <w:top w:val="nil"/>
              <w:left w:val="nil"/>
              <w:bottom w:val="nil"/>
              <w:right w:val="nil"/>
            </w:tcBorders>
            <w:shd w:val="clear" w:color="auto" w:fill="auto"/>
            <w:noWrap/>
            <w:vAlign w:val="bottom"/>
            <w:hideMark/>
          </w:tcPr>
          <w:p w14:paraId="7FD46A4B" w14:textId="7B625856" w:rsidR="00951062" w:rsidRPr="006B4024" w:rsidRDefault="00951062" w:rsidP="00143234">
            <w:pPr>
              <w:spacing w:after="0" w:line="240" w:lineRule="auto"/>
              <w:jc w:val="center"/>
              <w:rPr>
                <w:color w:val="000000"/>
                <w:sz w:val="20"/>
                <w:szCs w:val="20"/>
              </w:rPr>
            </w:pPr>
            <w:r w:rsidRPr="006B4024">
              <w:rPr>
                <w:color w:val="000000"/>
                <w:sz w:val="20"/>
                <w:szCs w:val="20"/>
              </w:rPr>
              <w:t>10</w:t>
            </w:r>
            <w:r w:rsidR="00143234">
              <w:rPr>
                <w:color w:val="000000"/>
                <w:sz w:val="20"/>
                <w:szCs w:val="20"/>
              </w:rPr>
              <w:t>.</w:t>
            </w:r>
            <w:r w:rsidRPr="006B4024">
              <w:rPr>
                <w:color w:val="000000"/>
                <w:sz w:val="20"/>
                <w:szCs w:val="20"/>
              </w:rPr>
              <w:t>3</w:t>
            </w:r>
          </w:p>
        </w:tc>
        <w:tc>
          <w:tcPr>
            <w:tcW w:w="1673" w:type="dxa"/>
            <w:tcBorders>
              <w:top w:val="nil"/>
              <w:left w:val="nil"/>
              <w:bottom w:val="nil"/>
              <w:right w:val="nil"/>
            </w:tcBorders>
            <w:shd w:val="clear" w:color="auto" w:fill="auto"/>
            <w:noWrap/>
            <w:vAlign w:val="bottom"/>
            <w:hideMark/>
          </w:tcPr>
          <w:p w14:paraId="12FEB496" w14:textId="06E3C246" w:rsidR="00951062" w:rsidRPr="006B4024" w:rsidRDefault="00951062" w:rsidP="00143234">
            <w:pPr>
              <w:spacing w:after="0" w:line="240" w:lineRule="auto"/>
              <w:jc w:val="center"/>
              <w:rPr>
                <w:color w:val="000000"/>
                <w:sz w:val="20"/>
                <w:szCs w:val="20"/>
              </w:rPr>
            </w:pPr>
            <w:r w:rsidRPr="006B4024">
              <w:rPr>
                <w:color w:val="000000"/>
                <w:sz w:val="20"/>
                <w:szCs w:val="20"/>
              </w:rPr>
              <w:t>8</w:t>
            </w:r>
            <w:r w:rsidR="00143234">
              <w:rPr>
                <w:color w:val="000000"/>
                <w:sz w:val="20"/>
                <w:szCs w:val="20"/>
              </w:rPr>
              <w:t>.</w:t>
            </w:r>
            <w:r w:rsidRPr="006B4024">
              <w:rPr>
                <w:color w:val="000000"/>
                <w:sz w:val="20"/>
                <w:szCs w:val="20"/>
              </w:rPr>
              <w:t>5</w:t>
            </w:r>
          </w:p>
        </w:tc>
      </w:tr>
      <w:tr w:rsidR="00951062" w:rsidRPr="003A2F0D" w14:paraId="2A77E7E8" w14:textId="77777777" w:rsidTr="0072181A">
        <w:trPr>
          <w:trHeight w:val="50"/>
        </w:trPr>
        <w:tc>
          <w:tcPr>
            <w:tcW w:w="3293" w:type="dxa"/>
            <w:tcBorders>
              <w:top w:val="nil"/>
              <w:left w:val="nil"/>
              <w:bottom w:val="nil"/>
              <w:right w:val="nil"/>
            </w:tcBorders>
            <w:shd w:val="clear" w:color="auto" w:fill="auto"/>
            <w:noWrap/>
            <w:vAlign w:val="bottom"/>
            <w:hideMark/>
          </w:tcPr>
          <w:p w14:paraId="1FFF3D81" w14:textId="63645C1F" w:rsidR="00951062" w:rsidRPr="006B4024" w:rsidRDefault="00951062" w:rsidP="00A060AF">
            <w:pPr>
              <w:spacing w:after="0" w:line="240" w:lineRule="auto"/>
              <w:rPr>
                <w:color w:val="000000"/>
                <w:sz w:val="20"/>
                <w:szCs w:val="20"/>
              </w:rPr>
            </w:pPr>
            <w:r w:rsidRPr="006B4024">
              <w:rPr>
                <w:color w:val="000000"/>
                <w:sz w:val="20"/>
                <w:szCs w:val="20"/>
              </w:rPr>
              <w:t xml:space="preserve">Protein </w:t>
            </w:r>
            <w:r w:rsidR="009C6720">
              <w:rPr>
                <w:color w:val="000000"/>
                <w:sz w:val="20"/>
                <w:szCs w:val="20"/>
              </w:rPr>
              <w:t>(</w:t>
            </w:r>
            <w:r w:rsidRPr="006B4024">
              <w:rPr>
                <w:color w:val="000000"/>
                <w:sz w:val="20"/>
                <w:szCs w:val="20"/>
              </w:rPr>
              <w:t>%</w:t>
            </w:r>
            <w:r w:rsidR="009C6720">
              <w:rPr>
                <w:color w:val="000000"/>
                <w:sz w:val="20"/>
                <w:szCs w:val="20"/>
              </w:rPr>
              <w:t>)</w:t>
            </w:r>
          </w:p>
        </w:tc>
        <w:tc>
          <w:tcPr>
            <w:tcW w:w="1876" w:type="dxa"/>
            <w:tcBorders>
              <w:top w:val="nil"/>
              <w:left w:val="nil"/>
              <w:bottom w:val="nil"/>
              <w:right w:val="nil"/>
            </w:tcBorders>
            <w:shd w:val="clear" w:color="auto" w:fill="auto"/>
            <w:noWrap/>
            <w:vAlign w:val="bottom"/>
            <w:hideMark/>
          </w:tcPr>
          <w:p w14:paraId="1DE73C48" w14:textId="6AA0B000" w:rsidR="00951062" w:rsidRPr="006B4024" w:rsidRDefault="00951062" w:rsidP="00143234">
            <w:pPr>
              <w:spacing w:after="0" w:line="240" w:lineRule="auto"/>
              <w:jc w:val="center"/>
              <w:rPr>
                <w:color w:val="000000"/>
                <w:sz w:val="20"/>
                <w:szCs w:val="20"/>
              </w:rPr>
            </w:pPr>
            <w:r w:rsidRPr="006B4024">
              <w:rPr>
                <w:color w:val="000000"/>
                <w:sz w:val="20"/>
                <w:szCs w:val="20"/>
              </w:rPr>
              <w:t>4</w:t>
            </w:r>
            <w:r w:rsidR="00143234">
              <w:rPr>
                <w:color w:val="000000"/>
                <w:sz w:val="20"/>
                <w:szCs w:val="20"/>
              </w:rPr>
              <w:t>.</w:t>
            </w:r>
            <w:r w:rsidRPr="006B4024">
              <w:rPr>
                <w:color w:val="000000"/>
                <w:sz w:val="20"/>
                <w:szCs w:val="20"/>
              </w:rPr>
              <w:t>4</w:t>
            </w:r>
          </w:p>
        </w:tc>
        <w:tc>
          <w:tcPr>
            <w:tcW w:w="1874" w:type="dxa"/>
            <w:tcBorders>
              <w:top w:val="nil"/>
              <w:left w:val="nil"/>
              <w:bottom w:val="nil"/>
              <w:right w:val="nil"/>
            </w:tcBorders>
            <w:shd w:val="clear" w:color="auto" w:fill="auto"/>
            <w:noWrap/>
            <w:vAlign w:val="bottom"/>
            <w:hideMark/>
          </w:tcPr>
          <w:p w14:paraId="4B005565" w14:textId="01F42599" w:rsidR="00951062" w:rsidRPr="006B4024" w:rsidRDefault="00951062" w:rsidP="00143234">
            <w:pPr>
              <w:spacing w:after="0" w:line="240" w:lineRule="auto"/>
              <w:jc w:val="center"/>
              <w:rPr>
                <w:color w:val="000000"/>
                <w:sz w:val="20"/>
                <w:szCs w:val="20"/>
              </w:rPr>
            </w:pPr>
            <w:r w:rsidRPr="006B4024">
              <w:rPr>
                <w:color w:val="000000"/>
                <w:sz w:val="20"/>
                <w:szCs w:val="20"/>
              </w:rPr>
              <w:t>4</w:t>
            </w:r>
            <w:r w:rsidR="00143234">
              <w:rPr>
                <w:color w:val="000000"/>
                <w:sz w:val="20"/>
                <w:szCs w:val="20"/>
              </w:rPr>
              <w:t>.</w:t>
            </w:r>
            <w:r w:rsidRPr="006B4024">
              <w:rPr>
                <w:color w:val="000000"/>
                <w:sz w:val="20"/>
                <w:szCs w:val="20"/>
              </w:rPr>
              <w:t>5</w:t>
            </w:r>
          </w:p>
        </w:tc>
        <w:tc>
          <w:tcPr>
            <w:tcW w:w="1673" w:type="dxa"/>
            <w:tcBorders>
              <w:top w:val="nil"/>
              <w:left w:val="nil"/>
              <w:bottom w:val="nil"/>
              <w:right w:val="nil"/>
            </w:tcBorders>
            <w:shd w:val="clear" w:color="auto" w:fill="auto"/>
            <w:noWrap/>
            <w:vAlign w:val="bottom"/>
            <w:hideMark/>
          </w:tcPr>
          <w:p w14:paraId="66D8E938" w14:textId="0E531FEC" w:rsidR="00951062" w:rsidRPr="006B4024" w:rsidRDefault="00951062" w:rsidP="00143234">
            <w:pPr>
              <w:spacing w:after="0" w:line="240" w:lineRule="auto"/>
              <w:jc w:val="center"/>
              <w:rPr>
                <w:color w:val="000000"/>
                <w:sz w:val="20"/>
                <w:szCs w:val="20"/>
              </w:rPr>
            </w:pPr>
            <w:r w:rsidRPr="006B4024">
              <w:rPr>
                <w:color w:val="000000"/>
                <w:sz w:val="20"/>
                <w:szCs w:val="20"/>
              </w:rPr>
              <w:t>4</w:t>
            </w:r>
            <w:r w:rsidR="00143234">
              <w:rPr>
                <w:color w:val="000000"/>
                <w:sz w:val="20"/>
                <w:szCs w:val="20"/>
              </w:rPr>
              <w:t>.</w:t>
            </w:r>
            <w:r w:rsidRPr="006B4024">
              <w:rPr>
                <w:color w:val="000000"/>
                <w:sz w:val="20"/>
                <w:szCs w:val="20"/>
              </w:rPr>
              <w:t>5</w:t>
            </w:r>
          </w:p>
        </w:tc>
      </w:tr>
      <w:tr w:rsidR="00951062" w:rsidRPr="003A2F0D" w14:paraId="634C429F" w14:textId="77777777" w:rsidTr="0072181A">
        <w:trPr>
          <w:trHeight w:val="50"/>
        </w:trPr>
        <w:tc>
          <w:tcPr>
            <w:tcW w:w="3293" w:type="dxa"/>
            <w:tcBorders>
              <w:top w:val="nil"/>
              <w:left w:val="nil"/>
              <w:right w:val="nil"/>
            </w:tcBorders>
            <w:shd w:val="clear" w:color="auto" w:fill="auto"/>
            <w:noWrap/>
            <w:vAlign w:val="bottom"/>
            <w:hideMark/>
          </w:tcPr>
          <w:p w14:paraId="55086B99" w14:textId="5B8F8356" w:rsidR="00951062" w:rsidRPr="006B4024" w:rsidRDefault="00951062" w:rsidP="00A060AF">
            <w:pPr>
              <w:spacing w:after="0" w:line="240" w:lineRule="auto"/>
              <w:rPr>
                <w:color w:val="000000"/>
                <w:sz w:val="20"/>
                <w:szCs w:val="20"/>
              </w:rPr>
            </w:pPr>
            <w:r w:rsidRPr="006B4024">
              <w:rPr>
                <w:color w:val="000000"/>
                <w:sz w:val="20"/>
                <w:szCs w:val="20"/>
              </w:rPr>
              <w:t xml:space="preserve">Fat </w:t>
            </w:r>
            <w:r w:rsidR="009C6720">
              <w:rPr>
                <w:color w:val="000000"/>
                <w:sz w:val="20"/>
                <w:szCs w:val="20"/>
              </w:rPr>
              <w:t>(</w:t>
            </w:r>
            <w:r w:rsidRPr="006B4024">
              <w:rPr>
                <w:color w:val="000000"/>
                <w:sz w:val="20"/>
                <w:szCs w:val="20"/>
              </w:rPr>
              <w:t>%</w:t>
            </w:r>
            <w:r w:rsidR="009C6720">
              <w:rPr>
                <w:color w:val="000000"/>
                <w:sz w:val="20"/>
                <w:szCs w:val="20"/>
              </w:rPr>
              <w:t>)</w:t>
            </w:r>
          </w:p>
        </w:tc>
        <w:tc>
          <w:tcPr>
            <w:tcW w:w="1876" w:type="dxa"/>
            <w:tcBorders>
              <w:top w:val="nil"/>
              <w:left w:val="nil"/>
              <w:right w:val="nil"/>
            </w:tcBorders>
            <w:shd w:val="clear" w:color="auto" w:fill="auto"/>
            <w:noWrap/>
            <w:vAlign w:val="bottom"/>
            <w:hideMark/>
          </w:tcPr>
          <w:p w14:paraId="3F14AEE3" w14:textId="25FC6333" w:rsidR="00951062" w:rsidRPr="006B4024" w:rsidRDefault="00951062" w:rsidP="00143234">
            <w:pPr>
              <w:spacing w:after="0" w:line="240" w:lineRule="auto"/>
              <w:jc w:val="center"/>
              <w:rPr>
                <w:color w:val="000000"/>
                <w:sz w:val="20"/>
                <w:szCs w:val="20"/>
              </w:rPr>
            </w:pPr>
            <w:r w:rsidRPr="006B4024">
              <w:rPr>
                <w:color w:val="000000"/>
                <w:sz w:val="20"/>
                <w:szCs w:val="20"/>
              </w:rPr>
              <w:t>8</w:t>
            </w:r>
            <w:r w:rsidR="00143234">
              <w:rPr>
                <w:color w:val="000000"/>
                <w:sz w:val="20"/>
                <w:szCs w:val="20"/>
              </w:rPr>
              <w:t>.</w:t>
            </w:r>
            <w:r w:rsidRPr="006B4024">
              <w:rPr>
                <w:color w:val="000000"/>
                <w:sz w:val="20"/>
                <w:szCs w:val="20"/>
              </w:rPr>
              <w:t>3</w:t>
            </w:r>
          </w:p>
        </w:tc>
        <w:tc>
          <w:tcPr>
            <w:tcW w:w="1874" w:type="dxa"/>
            <w:tcBorders>
              <w:top w:val="nil"/>
              <w:left w:val="nil"/>
              <w:right w:val="nil"/>
            </w:tcBorders>
            <w:shd w:val="clear" w:color="auto" w:fill="auto"/>
            <w:noWrap/>
            <w:vAlign w:val="bottom"/>
            <w:hideMark/>
          </w:tcPr>
          <w:p w14:paraId="1786204C" w14:textId="7FDDBBB3" w:rsidR="00951062" w:rsidRPr="006B4024" w:rsidRDefault="00951062" w:rsidP="00143234">
            <w:pPr>
              <w:spacing w:after="0" w:line="240" w:lineRule="auto"/>
              <w:jc w:val="center"/>
              <w:rPr>
                <w:color w:val="000000"/>
                <w:sz w:val="20"/>
                <w:szCs w:val="20"/>
              </w:rPr>
            </w:pPr>
            <w:r w:rsidRPr="006B4024">
              <w:rPr>
                <w:color w:val="000000"/>
                <w:sz w:val="20"/>
                <w:szCs w:val="20"/>
              </w:rPr>
              <w:t>8</w:t>
            </w:r>
            <w:r w:rsidR="00143234">
              <w:rPr>
                <w:color w:val="000000"/>
                <w:sz w:val="20"/>
                <w:szCs w:val="20"/>
              </w:rPr>
              <w:t>.</w:t>
            </w:r>
            <w:r w:rsidRPr="006B4024">
              <w:rPr>
                <w:color w:val="000000"/>
                <w:sz w:val="20"/>
                <w:szCs w:val="20"/>
              </w:rPr>
              <w:t>2</w:t>
            </w:r>
          </w:p>
        </w:tc>
        <w:tc>
          <w:tcPr>
            <w:tcW w:w="1673" w:type="dxa"/>
            <w:tcBorders>
              <w:top w:val="nil"/>
              <w:left w:val="nil"/>
              <w:right w:val="nil"/>
            </w:tcBorders>
            <w:shd w:val="clear" w:color="auto" w:fill="auto"/>
            <w:noWrap/>
            <w:vAlign w:val="bottom"/>
            <w:hideMark/>
          </w:tcPr>
          <w:p w14:paraId="0F91B152" w14:textId="7D2338E7" w:rsidR="00951062" w:rsidRPr="006B4024" w:rsidRDefault="00951062" w:rsidP="00143234">
            <w:pPr>
              <w:spacing w:after="0" w:line="240" w:lineRule="auto"/>
              <w:jc w:val="center"/>
              <w:rPr>
                <w:color w:val="000000"/>
                <w:sz w:val="20"/>
                <w:szCs w:val="20"/>
              </w:rPr>
            </w:pPr>
            <w:r w:rsidRPr="006B4024">
              <w:rPr>
                <w:color w:val="000000"/>
                <w:sz w:val="20"/>
                <w:szCs w:val="20"/>
              </w:rPr>
              <w:t>7</w:t>
            </w:r>
            <w:r w:rsidR="00143234">
              <w:rPr>
                <w:color w:val="000000"/>
                <w:sz w:val="20"/>
                <w:szCs w:val="20"/>
              </w:rPr>
              <w:t>.9</w:t>
            </w:r>
          </w:p>
        </w:tc>
      </w:tr>
      <w:tr w:rsidR="00951062" w:rsidRPr="003A2F0D" w14:paraId="25494757" w14:textId="77777777" w:rsidTr="0072181A">
        <w:trPr>
          <w:trHeight w:val="50"/>
        </w:trPr>
        <w:tc>
          <w:tcPr>
            <w:tcW w:w="3293" w:type="dxa"/>
            <w:tcBorders>
              <w:top w:val="nil"/>
              <w:left w:val="nil"/>
              <w:right w:val="nil"/>
            </w:tcBorders>
            <w:shd w:val="clear" w:color="auto" w:fill="auto"/>
            <w:noWrap/>
            <w:vAlign w:val="bottom"/>
          </w:tcPr>
          <w:p w14:paraId="7FA4B190" w14:textId="77777777" w:rsidR="00951062" w:rsidRPr="006B4024" w:rsidRDefault="00951062" w:rsidP="00A060AF">
            <w:pPr>
              <w:spacing w:after="0" w:line="240" w:lineRule="auto"/>
              <w:rPr>
                <w:color w:val="000000"/>
                <w:sz w:val="20"/>
                <w:szCs w:val="20"/>
              </w:rPr>
            </w:pPr>
            <w:r w:rsidRPr="006B4024">
              <w:rPr>
                <w:color w:val="000000"/>
                <w:sz w:val="20"/>
                <w:szCs w:val="20"/>
              </w:rPr>
              <w:t>ECM, kg/ head</w:t>
            </w:r>
          </w:p>
        </w:tc>
        <w:tc>
          <w:tcPr>
            <w:tcW w:w="1876" w:type="dxa"/>
            <w:tcBorders>
              <w:top w:val="nil"/>
              <w:left w:val="nil"/>
              <w:right w:val="nil"/>
            </w:tcBorders>
            <w:shd w:val="clear" w:color="auto" w:fill="auto"/>
            <w:noWrap/>
            <w:vAlign w:val="bottom"/>
          </w:tcPr>
          <w:p w14:paraId="6C3CDF6A" w14:textId="4B4AFE83" w:rsidR="00951062" w:rsidRPr="006B4024" w:rsidRDefault="000E74D7" w:rsidP="00143234">
            <w:pPr>
              <w:spacing w:after="0" w:line="240" w:lineRule="auto"/>
              <w:jc w:val="center"/>
              <w:rPr>
                <w:color w:val="000000"/>
                <w:sz w:val="20"/>
                <w:szCs w:val="20"/>
              </w:rPr>
            </w:pPr>
            <w:r>
              <w:rPr>
                <w:color w:val="000000"/>
                <w:sz w:val="20"/>
                <w:szCs w:val="20"/>
              </w:rPr>
              <w:t>14</w:t>
            </w:r>
            <w:r w:rsidR="00143234">
              <w:rPr>
                <w:color w:val="000000"/>
                <w:sz w:val="20"/>
                <w:szCs w:val="20"/>
              </w:rPr>
              <w:t>.</w:t>
            </w:r>
            <w:r>
              <w:rPr>
                <w:color w:val="000000"/>
                <w:sz w:val="20"/>
                <w:szCs w:val="20"/>
              </w:rPr>
              <w:t>8</w:t>
            </w:r>
          </w:p>
        </w:tc>
        <w:tc>
          <w:tcPr>
            <w:tcW w:w="1874" w:type="dxa"/>
            <w:tcBorders>
              <w:top w:val="nil"/>
              <w:left w:val="nil"/>
              <w:right w:val="nil"/>
            </w:tcBorders>
            <w:shd w:val="clear" w:color="auto" w:fill="auto"/>
            <w:noWrap/>
            <w:vAlign w:val="bottom"/>
          </w:tcPr>
          <w:p w14:paraId="7653DA51" w14:textId="1712C687" w:rsidR="00951062" w:rsidRPr="006B4024" w:rsidRDefault="000E74D7" w:rsidP="00143234">
            <w:pPr>
              <w:spacing w:after="0" w:line="240" w:lineRule="auto"/>
              <w:jc w:val="center"/>
              <w:rPr>
                <w:color w:val="000000"/>
                <w:sz w:val="20"/>
                <w:szCs w:val="20"/>
              </w:rPr>
            </w:pPr>
            <w:r>
              <w:rPr>
                <w:color w:val="000000"/>
                <w:sz w:val="20"/>
                <w:szCs w:val="20"/>
              </w:rPr>
              <w:t>17</w:t>
            </w:r>
            <w:r w:rsidR="00143234">
              <w:rPr>
                <w:color w:val="000000"/>
                <w:sz w:val="20"/>
                <w:szCs w:val="20"/>
              </w:rPr>
              <w:t>.</w:t>
            </w:r>
            <w:r>
              <w:rPr>
                <w:color w:val="000000"/>
                <w:sz w:val="20"/>
                <w:szCs w:val="20"/>
              </w:rPr>
              <w:t>0</w:t>
            </w:r>
          </w:p>
        </w:tc>
        <w:tc>
          <w:tcPr>
            <w:tcW w:w="1673" w:type="dxa"/>
            <w:tcBorders>
              <w:top w:val="nil"/>
              <w:left w:val="nil"/>
              <w:right w:val="nil"/>
            </w:tcBorders>
            <w:shd w:val="clear" w:color="auto" w:fill="auto"/>
            <w:noWrap/>
            <w:vAlign w:val="bottom"/>
          </w:tcPr>
          <w:p w14:paraId="09EB5C86" w14:textId="4656E1D7" w:rsidR="00951062" w:rsidRPr="006B4024" w:rsidRDefault="000E74D7" w:rsidP="00143234">
            <w:pPr>
              <w:spacing w:after="0" w:line="240" w:lineRule="auto"/>
              <w:jc w:val="center"/>
              <w:rPr>
                <w:color w:val="000000"/>
                <w:sz w:val="20"/>
                <w:szCs w:val="20"/>
              </w:rPr>
            </w:pPr>
            <w:r>
              <w:rPr>
                <w:color w:val="000000"/>
                <w:sz w:val="20"/>
                <w:szCs w:val="20"/>
              </w:rPr>
              <w:t>13</w:t>
            </w:r>
            <w:r w:rsidR="00143234">
              <w:rPr>
                <w:color w:val="000000"/>
                <w:sz w:val="20"/>
                <w:szCs w:val="20"/>
              </w:rPr>
              <w:t>.</w:t>
            </w:r>
            <w:r>
              <w:rPr>
                <w:color w:val="000000"/>
                <w:sz w:val="20"/>
                <w:szCs w:val="20"/>
              </w:rPr>
              <w:t>7</w:t>
            </w:r>
          </w:p>
        </w:tc>
      </w:tr>
      <w:tr w:rsidR="00951062" w:rsidRPr="003A2F0D" w14:paraId="25E18616" w14:textId="77777777" w:rsidTr="0072181A">
        <w:trPr>
          <w:trHeight w:val="50"/>
        </w:trPr>
        <w:tc>
          <w:tcPr>
            <w:tcW w:w="3293" w:type="dxa"/>
            <w:tcBorders>
              <w:top w:val="nil"/>
              <w:left w:val="nil"/>
              <w:bottom w:val="single" w:sz="4" w:space="0" w:color="auto"/>
              <w:right w:val="nil"/>
            </w:tcBorders>
            <w:shd w:val="clear" w:color="auto" w:fill="auto"/>
            <w:noWrap/>
            <w:vAlign w:val="bottom"/>
            <w:hideMark/>
          </w:tcPr>
          <w:p w14:paraId="07429319" w14:textId="77777777" w:rsidR="00951062" w:rsidRPr="006B4024" w:rsidRDefault="00951062" w:rsidP="00A060AF">
            <w:pPr>
              <w:spacing w:after="0" w:line="240" w:lineRule="auto"/>
              <w:rPr>
                <w:color w:val="000000"/>
                <w:sz w:val="20"/>
                <w:szCs w:val="20"/>
              </w:rPr>
            </w:pPr>
            <w:r>
              <w:rPr>
                <w:color w:val="000000"/>
                <w:sz w:val="20"/>
                <w:szCs w:val="20"/>
              </w:rPr>
              <w:t>Meat output, kg/year (LW)</w:t>
            </w:r>
          </w:p>
        </w:tc>
        <w:tc>
          <w:tcPr>
            <w:tcW w:w="1876" w:type="dxa"/>
            <w:tcBorders>
              <w:top w:val="nil"/>
              <w:left w:val="nil"/>
              <w:bottom w:val="single" w:sz="4" w:space="0" w:color="auto"/>
              <w:right w:val="nil"/>
            </w:tcBorders>
            <w:shd w:val="clear" w:color="auto" w:fill="auto"/>
            <w:noWrap/>
            <w:vAlign w:val="bottom"/>
            <w:hideMark/>
          </w:tcPr>
          <w:p w14:paraId="2011EC4B" w14:textId="37AD9877" w:rsidR="00951062" w:rsidRPr="006B4024" w:rsidRDefault="00951062" w:rsidP="00A060AF">
            <w:pPr>
              <w:spacing w:after="0" w:line="240" w:lineRule="auto"/>
              <w:jc w:val="center"/>
              <w:rPr>
                <w:color w:val="000000"/>
                <w:sz w:val="20"/>
                <w:szCs w:val="20"/>
              </w:rPr>
            </w:pPr>
            <w:r>
              <w:rPr>
                <w:color w:val="000000"/>
                <w:sz w:val="20"/>
                <w:szCs w:val="20"/>
              </w:rPr>
              <w:t>60</w:t>
            </w:r>
            <w:r w:rsidR="00143234">
              <w:rPr>
                <w:color w:val="000000"/>
                <w:sz w:val="20"/>
                <w:szCs w:val="20"/>
              </w:rPr>
              <w:t>,</w:t>
            </w:r>
            <w:r>
              <w:rPr>
                <w:color w:val="000000"/>
                <w:sz w:val="20"/>
                <w:szCs w:val="20"/>
              </w:rPr>
              <w:t>336</w:t>
            </w:r>
          </w:p>
        </w:tc>
        <w:tc>
          <w:tcPr>
            <w:tcW w:w="1874" w:type="dxa"/>
            <w:tcBorders>
              <w:top w:val="nil"/>
              <w:left w:val="nil"/>
              <w:bottom w:val="single" w:sz="4" w:space="0" w:color="auto"/>
              <w:right w:val="nil"/>
            </w:tcBorders>
            <w:shd w:val="clear" w:color="auto" w:fill="auto"/>
            <w:noWrap/>
            <w:vAlign w:val="bottom"/>
            <w:hideMark/>
          </w:tcPr>
          <w:p w14:paraId="6AA2B44A" w14:textId="293840FA" w:rsidR="00951062" w:rsidRPr="006B4024" w:rsidRDefault="00951062" w:rsidP="00A060AF">
            <w:pPr>
              <w:spacing w:after="0" w:line="240" w:lineRule="auto"/>
              <w:jc w:val="center"/>
              <w:rPr>
                <w:color w:val="000000"/>
                <w:sz w:val="20"/>
                <w:szCs w:val="20"/>
              </w:rPr>
            </w:pPr>
            <w:r>
              <w:rPr>
                <w:color w:val="000000"/>
                <w:sz w:val="20"/>
                <w:szCs w:val="20"/>
              </w:rPr>
              <w:t>33</w:t>
            </w:r>
            <w:r w:rsidR="00143234">
              <w:rPr>
                <w:color w:val="000000"/>
                <w:sz w:val="20"/>
                <w:szCs w:val="20"/>
              </w:rPr>
              <w:t>,</w:t>
            </w:r>
            <w:r>
              <w:rPr>
                <w:color w:val="000000"/>
                <w:sz w:val="20"/>
                <w:szCs w:val="20"/>
              </w:rPr>
              <w:t>419</w:t>
            </w:r>
          </w:p>
        </w:tc>
        <w:tc>
          <w:tcPr>
            <w:tcW w:w="1673" w:type="dxa"/>
            <w:tcBorders>
              <w:top w:val="nil"/>
              <w:left w:val="nil"/>
              <w:bottom w:val="single" w:sz="4" w:space="0" w:color="auto"/>
              <w:right w:val="nil"/>
            </w:tcBorders>
            <w:shd w:val="clear" w:color="auto" w:fill="auto"/>
            <w:noWrap/>
            <w:vAlign w:val="bottom"/>
            <w:hideMark/>
          </w:tcPr>
          <w:p w14:paraId="7EEB59D0" w14:textId="6E217575" w:rsidR="00951062" w:rsidRPr="006B4024" w:rsidRDefault="00951062" w:rsidP="00A060AF">
            <w:pPr>
              <w:spacing w:after="0" w:line="240" w:lineRule="auto"/>
              <w:jc w:val="center"/>
              <w:rPr>
                <w:color w:val="000000"/>
                <w:sz w:val="20"/>
                <w:szCs w:val="20"/>
              </w:rPr>
            </w:pPr>
            <w:r>
              <w:rPr>
                <w:color w:val="000000"/>
                <w:sz w:val="20"/>
                <w:szCs w:val="20"/>
              </w:rPr>
              <w:t>78</w:t>
            </w:r>
            <w:r w:rsidR="00143234">
              <w:rPr>
                <w:color w:val="000000"/>
                <w:sz w:val="20"/>
                <w:szCs w:val="20"/>
              </w:rPr>
              <w:t>,</w:t>
            </w:r>
            <w:r>
              <w:rPr>
                <w:color w:val="000000"/>
                <w:sz w:val="20"/>
                <w:szCs w:val="20"/>
              </w:rPr>
              <w:t>018</w:t>
            </w:r>
          </w:p>
        </w:tc>
      </w:tr>
      <w:tr w:rsidR="00951062" w:rsidRPr="003A2F0D" w14:paraId="7486578D" w14:textId="77777777" w:rsidTr="0072181A">
        <w:trPr>
          <w:trHeight w:val="50"/>
        </w:trPr>
        <w:tc>
          <w:tcPr>
            <w:tcW w:w="3293" w:type="dxa"/>
            <w:tcBorders>
              <w:top w:val="single" w:sz="4" w:space="0" w:color="auto"/>
              <w:left w:val="nil"/>
              <w:bottom w:val="nil"/>
              <w:right w:val="nil"/>
            </w:tcBorders>
            <w:shd w:val="clear" w:color="auto" w:fill="auto"/>
            <w:noWrap/>
            <w:vAlign w:val="bottom"/>
            <w:hideMark/>
          </w:tcPr>
          <w:p w14:paraId="57E1C7D7" w14:textId="77777777" w:rsidR="00951062" w:rsidRPr="006B4024" w:rsidRDefault="00951062" w:rsidP="00A060AF">
            <w:pPr>
              <w:spacing w:after="0" w:line="240" w:lineRule="auto"/>
              <w:jc w:val="center"/>
              <w:rPr>
                <w:color w:val="000000"/>
                <w:sz w:val="20"/>
                <w:szCs w:val="20"/>
              </w:rPr>
            </w:pPr>
          </w:p>
        </w:tc>
        <w:tc>
          <w:tcPr>
            <w:tcW w:w="1876" w:type="dxa"/>
            <w:tcBorders>
              <w:top w:val="single" w:sz="4" w:space="0" w:color="auto"/>
              <w:left w:val="nil"/>
              <w:bottom w:val="nil"/>
              <w:right w:val="nil"/>
            </w:tcBorders>
            <w:shd w:val="clear" w:color="auto" w:fill="auto"/>
            <w:noWrap/>
            <w:vAlign w:val="bottom"/>
            <w:hideMark/>
          </w:tcPr>
          <w:p w14:paraId="0BBC78BF" w14:textId="77777777" w:rsidR="00951062" w:rsidRPr="006B4024" w:rsidRDefault="00951062" w:rsidP="00A060AF">
            <w:pPr>
              <w:spacing w:after="0" w:line="240" w:lineRule="auto"/>
              <w:rPr>
                <w:sz w:val="20"/>
                <w:szCs w:val="20"/>
              </w:rPr>
            </w:pPr>
          </w:p>
        </w:tc>
        <w:tc>
          <w:tcPr>
            <w:tcW w:w="1874" w:type="dxa"/>
            <w:tcBorders>
              <w:top w:val="single" w:sz="4" w:space="0" w:color="auto"/>
              <w:left w:val="nil"/>
              <w:bottom w:val="nil"/>
              <w:right w:val="nil"/>
            </w:tcBorders>
            <w:shd w:val="clear" w:color="auto" w:fill="auto"/>
            <w:noWrap/>
            <w:vAlign w:val="bottom"/>
            <w:hideMark/>
          </w:tcPr>
          <w:p w14:paraId="5870F19B" w14:textId="77777777" w:rsidR="00951062" w:rsidRPr="006B4024" w:rsidRDefault="00951062" w:rsidP="00A060AF">
            <w:pPr>
              <w:spacing w:after="0" w:line="240" w:lineRule="auto"/>
              <w:jc w:val="center"/>
              <w:rPr>
                <w:sz w:val="20"/>
                <w:szCs w:val="20"/>
              </w:rPr>
            </w:pPr>
          </w:p>
        </w:tc>
        <w:tc>
          <w:tcPr>
            <w:tcW w:w="1673" w:type="dxa"/>
            <w:tcBorders>
              <w:top w:val="single" w:sz="4" w:space="0" w:color="auto"/>
              <w:left w:val="nil"/>
              <w:bottom w:val="nil"/>
              <w:right w:val="nil"/>
            </w:tcBorders>
            <w:shd w:val="clear" w:color="auto" w:fill="auto"/>
            <w:noWrap/>
            <w:vAlign w:val="bottom"/>
            <w:hideMark/>
          </w:tcPr>
          <w:p w14:paraId="7FF1A650" w14:textId="77777777" w:rsidR="00951062" w:rsidRPr="006B4024" w:rsidRDefault="00951062" w:rsidP="00A060AF">
            <w:pPr>
              <w:spacing w:after="0" w:line="240" w:lineRule="auto"/>
              <w:jc w:val="center"/>
              <w:rPr>
                <w:sz w:val="20"/>
                <w:szCs w:val="20"/>
              </w:rPr>
            </w:pPr>
          </w:p>
        </w:tc>
      </w:tr>
      <w:tr w:rsidR="00951062" w:rsidRPr="003A2F0D" w14:paraId="349D9730" w14:textId="77777777" w:rsidTr="0072181A">
        <w:trPr>
          <w:trHeight w:val="50"/>
        </w:trPr>
        <w:tc>
          <w:tcPr>
            <w:tcW w:w="3293" w:type="dxa"/>
            <w:tcBorders>
              <w:top w:val="nil"/>
              <w:left w:val="nil"/>
              <w:bottom w:val="nil"/>
              <w:right w:val="nil"/>
            </w:tcBorders>
            <w:shd w:val="clear" w:color="auto" w:fill="auto"/>
            <w:noWrap/>
            <w:vAlign w:val="bottom"/>
            <w:hideMark/>
          </w:tcPr>
          <w:p w14:paraId="60D9AC3D" w14:textId="77777777" w:rsidR="00951062" w:rsidRPr="006B4024" w:rsidRDefault="00951062" w:rsidP="00A060AF">
            <w:pPr>
              <w:spacing w:after="0" w:line="240" w:lineRule="auto"/>
              <w:rPr>
                <w:color w:val="000000"/>
                <w:sz w:val="20"/>
                <w:szCs w:val="20"/>
              </w:rPr>
            </w:pPr>
            <w:r w:rsidRPr="006B4024">
              <w:rPr>
                <w:color w:val="000000"/>
                <w:sz w:val="20"/>
                <w:szCs w:val="20"/>
              </w:rPr>
              <w:t>cultivated area, ha</w:t>
            </w:r>
          </w:p>
        </w:tc>
        <w:tc>
          <w:tcPr>
            <w:tcW w:w="1876" w:type="dxa"/>
            <w:tcBorders>
              <w:top w:val="nil"/>
              <w:left w:val="nil"/>
              <w:bottom w:val="nil"/>
              <w:right w:val="nil"/>
            </w:tcBorders>
            <w:shd w:val="clear" w:color="auto" w:fill="auto"/>
            <w:noWrap/>
            <w:vAlign w:val="bottom"/>
            <w:hideMark/>
          </w:tcPr>
          <w:p w14:paraId="19B18F48" w14:textId="77777777" w:rsidR="00951062" w:rsidRPr="006B4024" w:rsidRDefault="00951062" w:rsidP="00A060AF">
            <w:pPr>
              <w:spacing w:after="0" w:line="240" w:lineRule="auto"/>
              <w:jc w:val="center"/>
              <w:rPr>
                <w:color w:val="000000"/>
                <w:sz w:val="20"/>
                <w:szCs w:val="20"/>
              </w:rPr>
            </w:pPr>
            <w:r w:rsidRPr="006B4024">
              <w:rPr>
                <w:color w:val="000000"/>
                <w:sz w:val="20"/>
                <w:szCs w:val="20"/>
              </w:rPr>
              <w:t>140</w:t>
            </w:r>
          </w:p>
        </w:tc>
        <w:tc>
          <w:tcPr>
            <w:tcW w:w="1874" w:type="dxa"/>
            <w:tcBorders>
              <w:top w:val="nil"/>
              <w:left w:val="nil"/>
              <w:bottom w:val="nil"/>
              <w:right w:val="nil"/>
            </w:tcBorders>
            <w:shd w:val="clear" w:color="auto" w:fill="auto"/>
            <w:noWrap/>
            <w:vAlign w:val="bottom"/>
            <w:hideMark/>
          </w:tcPr>
          <w:p w14:paraId="4BD27EF1" w14:textId="77777777" w:rsidR="00951062" w:rsidRPr="006B4024" w:rsidRDefault="00F53BBA" w:rsidP="00A060AF">
            <w:pPr>
              <w:spacing w:after="0" w:line="240" w:lineRule="auto"/>
              <w:jc w:val="center"/>
              <w:rPr>
                <w:color w:val="000000"/>
                <w:sz w:val="20"/>
                <w:szCs w:val="20"/>
              </w:rPr>
            </w:pPr>
            <w:r>
              <w:rPr>
                <w:color w:val="000000"/>
                <w:sz w:val="20"/>
                <w:szCs w:val="20"/>
              </w:rPr>
              <w:t>44</w:t>
            </w:r>
          </w:p>
        </w:tc>
        <w:tc>
          <w:tcPr>
            <w:tcW w:w="1673" w:type="dxa"/>
            <w:tcBorders>
              <w:top w:val="nil"/>
              <w:left w:val="nil"/>
              <w:bottom w:val="nil"/>
              <w:right w:val="nil"/>
            </w:tcBorders>
            <w:shd w:val="clear" w:color="auto" w:fill="auto"/>
            <w:noWrap/>
            <w:vAlign w:val="bottom"/>
            <w:hideMark/>
          </w:tcPr>
          <w:p w14:paraId="655CCFD2" w14:textId="77777777" w:rsidR="00951062" w:rsidRPr="006B4024" w:rsidRDefault="00951062" w:rsidP="00A060AF">
            <w:pPr>
              <w:spacing w:after="0" w:line="240" w:lineRule="auto"/>
              <w:jc w:val="center"/>
              <w:rPr>
                <w:color w:val="000000"/>
                <w:sz w:val="20"/>
                <w:szCs w:val="20"/>
              </w:rPr>
            </w:pPr>
            <w:r w:rsidRPr="006B4024">
              <w:rPr>
                <w:color w:val="000000"/>
                <w:sz w:val="20"/>
                <w:szCs w:val="20"/>
              </w:rPr>
              <w:t>208</w:t>
            </w:r>
          </w:p>
        </w:tc>
      </w:tr>
      <w:tr w:rsidR="00951062" w:rsidRPr="003A2F0D" w14:paraId="46A76D02" w14:textId="77777777" w:rsidTr="0072181A">
        <w:trPr>
          <w:trHeight w:val="50"/>
        </w:trPr>
        <w:tc>
          <w:tcPr>
            <w:tcW w:w="3293" w:type="dxa"/>
            <w:tcBorders>
              <w:top w:val="nil"/>
              <w:left w:val="nil"/>
              <w:bottom w:val="nil"/>
              <w:right w:val="nil"/>
            </w:tcBorders>
            <w:shd w:val="clear" w:color="auto" w:fill="auto"/>
            <w:noWrap/>
            <w:vAlign w:val="bottom"/>
            <w:hideMark/>
          </w:tcPr>
          <w:p w14:paraId="1CBDD57F" w14:textId="77777777" w:rsidR="00951062" w:rsidRPr="006B4024" w:rsidRDefault="00951062" w:rsidP="00A060AF">
            <w:pPr>
              <w:spacing w:after="0" w:line="240" w:lineRule="auto"/>
              <w:ind w:left="492"/>
              <w:rPr>
                <w:color w:val="000000"/>
                <w:sz w:val="20"/>
                <w:szCs w:val="20"/>
              </w:rPr>
            </w:pPr>
            <w:r w:rsidRPr="006B4024">
              <w:rPr>
                <w:color w:val="000000"/>
                <w:sz w:val="20"/>
                <w:szCs w:val="20"/>
              </w:rPr>
              <w:t>Maize, ha</w:t>
            </w:r>
          </w:p>
        </w:tc>
        <w:tc>
          <w:tcPr>
            <w:tcW w:w="1876" w:type="dxa"/>
            <w:tcBorders>
              <w:top w:val="nil"/>
              <w:left w:val="nil"/>
              <w:bottom w:val="nil"/>
              <w:right w:val="nil"/>
            </w:tcBorders>
            <w:shd w:val="clear" w:color="auto" w:fill="auto"/>
            <w:noWrap/>
            <w:vAlign w:val="bottom"/>
            <w:hideMark/>
          </w:tcPr>
          <w:p w14:paraId="39B4206F" w14:textId="77777777" w:rsidR="00951062" w:rsidRPr="006B4024" w:rsidRDefault="00951062" w:rsidP="00A060AF">
            <w:pPr>
              <w:spacing w:after="0" w:line="240" w:lineRule="auto"/>
              <w:jc w:val="center"/>
              <w:rPr>
                <w:color w:val="000000"/>
                <w:sz w:val="20"/>
                <w:szCs w:val="20"/>
              </w:rPr>
            </w:pPr>
            <w:r w:rsidRPr="006B4024">
              <w:rPr>
                <w:color w:val="000000"/>
                <w:sz w:val="20"/>
                <w:szCs w:val="20"/>
              </w:rPr>
              <w:t>70</w:t>
            </w:r>
          </w:p>
        </w:tc>
        <w:tc>
          <w:tcPr>
            <w:tcW w:w="1874" w:type="dxa"/>
            <w:tcBorders>
              <w:top w:val="nil"/>
              <w:left w:val="nil"/>
              <w:bottom w:val="nil"/>
              <w:right w:val="nil"/>
            </w:tcBorders>
            <w:shd w:val="clear" w:color="auto" w:fill="auto"/>
            <w:noWrap/>
            <w:vAlign w:val="bottom"/>
            <w:hideMark/>
          </w:tcPr>
          <w:p w14:paraId="4E4D1E1C" w14:textId="77777777" w:rsidR="00951062" w:rsidRPr="006B4024" w:rsidRDefault="00951062" w:rsidP="00A060AF">
            <w:pPr>
              <w:spacing w:after="0" w:line="240" w:lineRule="auto"/>
              <w:jc w:val="center"/>
              <w:rPr>
                <w:color w:val="000000"/>
                <w:sz w:val="20"/>
                <w:szCs w:val="20"/>
              </w:rPr>
            </w:pPr>
            <w:r w:rsidRPr="006B4024">
              <w:rPr>
                <w:color w:val="000000"/>
                <w:sz w:val="20"/>
                <w:szCs w:val="20"/>
              </w:rPr>
              <w:t>30</w:t>
            </w:r>
          </w:p>
        </w:tc>
        <w:tc>
          <w:tcPr>
            <w:tcW w:w="1673" w:type="dxa"/>
            <w:tcBorders>
              <w:top w:val="nil"/>
              <w:left w:val="nil"/>
              <w:bottom w:val="nil"/>
              <w:right w:val="nil"/>
            </w:tcBorders>
            <w:shd w:val="clear" w:color="auto" w:fill="auto"/>
            <w:noWrap/>
            <w:vAlign w:val="bottom"/>
            <w:hideMark/>
          </w:tcPr>
          <w:p w14:paraId="7F890590" w14:textId="77777777" w:rsidR="00951062" w:rsidRPr="006B4024" w:rsidRDefault="00951062" w:rsidP="00A060AF">
            <w:pPr>
              <w:spacing w:after="0" w:line="240" w:lineRule="auto"/>
              <w:jc w:val="center"/>
              <w:rPr>
                <w:color w:val="000000"/>
                <w:sz w:val="20"/>
                <w:szCs w:val="20"/>
              </w:rPr>
            </w:pPr>
            <w:r w:rsidRPr="006B4024">
              <w:rPr>
                <w:color w:val="000000"/>
                <w:sz w:val="20"/>
                <w:szCs w:val="20"/>
              </w:rPr>
              <w:t>40</w:t>
            </w:r>
          </w:p>
        </w:tc>
      </w:tr>
      <w:tr w:rsidR="00951062" w:rsidRPr="003A2F0D" w14:paraId="072CDA3A" w14:textId="77777777" w:rsidTr="0072181A">
        <w:trPr>
          <w:trHeight w:val="50"/>
        </w:trPr>
        <w:tc>
          <w:tcPr>
            <w:tcW w:w="3293" w:type="dxa"/>
            <w:tcBorders>
              <w:top w:val="nil"/>
              <w:left w:val="nil"/>
              <w:bottom w:val="nil"/>
              <w:right w:val="nil"/>
            </w:tcBorders>
            <w:shd w:val="clear" w:color="auto" w:fill="auto"/>
            <w:noWrap/>
            <w:vAlign w:val="bottom"/>
            <w:hideMark/>
          </w:tcPr>
          <w:p w14:paraId="200DBDC5" w14:textId="77777777" w:rsidR="00951062" w:rsidRPr="006B4024" w:rsidRDefault="00951062" w:rsidP="00A060AF">
            <w:pPr>
              <w:spacing w:after="0" w:line="240" w:lineRule="auto"/>
              <w:ind w:left="492"/>
              <w:rPr>
                <w:color w:val="000000"/>
                <w:sz w:val="20"/>
                <w:szCs w:val="20"/>
              </w:rPr>
            </w:pPr>
            <w:r w:rsidRPr="006B4024">
              <w:rPr>
                <w:color w:val="000000"/>
                <w:sz w:val="20"/>
                <w:szCs w:val="20"/>
              </w:rPr>
              <w:t>Ryegrass, ha</w:t>
            </w:r>
          </w:p>
        </w:tc>
        <w:tc>
          <w:tcPr>
            <w:tcW w:w="1876" w:type="dxa"/>
            <w:tcBorders>
              <w:top w:val="nil"/>
              <w:left w:val="nil"/>
              <w:bottom w:val="nil"/>
              <w:right w:val="nil"/>
            </w:tcBorders>
            <w:shd w:val="clear" w:color="auto" w:fill="auto"/>
            <w:noWrap/>
            <w:vAlign w:val="bottom"/>
            <w:hideMark/>
          </w:tcPr>
          <w:p w14:paraId="4A35F273" w14:textId="77777777" w:rsidR="00951062" w:rsidRPr="006B4024" w:rsidRDefault="00951062" w:rsidP="00A060AF">
            <w:pPr>
              <w:spacing w:after="0" w:line="240" w:lineRule="auto"/>
              <w:jc w:val="center"/>
              <w:rPr>
                <w:color w:val="000000"/>
                <w:sz w:val="20"/>
                <w:szCs w:val="20"/>
              </w:rPr>
            </w:pPr>
            <w:r w:rsidRPr="006B4024">
              <w:rPr>
                <w:color w:val="000000"/>
                <w:sz w:val="20"/>
                <w:szCs w:val="20"/>
              </w:rPr>
              <w:t>65</w:t>
            </w:r>
          </w:p>
        </w:tc>
        <w:tc>
          <w:tcPr>
            <w:tcW w:w="1874" w:type="dxa"/>
            <w:tcBorders>
              <w:top w:val="nil"/>
              <w:left w:val="nil"/>
              <w:bottom w:val="nil"/>
              <w:right w:val="nil"/>
            </w:tcBorders>
            <w:shd w:val="clear" w:color="auto" w:fill="auto"/>
            <w:noWrap/>
            <w:vAlign w:val="bottom"/>
            <w:hideMark/>
          </w:tcPr>
          <w:p w14:paraId="12A31559" w14:textId="77777777" w:rsidR="00951062" w:rsidRPr="006B4024" w:rsidRDefault="00951062" w:rsidP="00A060AF">
            <w:pPr>
              <w:spacing w:after="0" w:line="240" w:lineRule="auto"/>
              <w:jc w:val="center"/>
              <w:rPr>
                <w:color w:val="000000"/>
                <w:sz w:val="20"/>
                <w:szCs w:val="20"/>
              </w:rPr>
            </w:pPr>
            <w:r w:rsidRPr="006B4024">
              <w:rPr>
                <w:color w:val="000000"/>
                <w:sz w:val="20"/>
                <w:szCs w:val="20"/>
              </w:rPr>
              <w:t>22</w:t>
            </w:r>
          </w:p>
        </w:tc>
        <w:tc>
          <w:tcPr>
            <w:tcW w:w="1673" w:type="dxa"/>
            <w:tcBorders>
              <w:top w:val="nil"/>
              <w:left w:val="nil"/>
              <w:bottom w:val="nil"/>
              <w:right w:val="nil"/>
            </w:tcBorders>
            <w:shd w:val="clear" w:color="auto" w:fill="auto"/>
            <w:noWrap/>
            <w:vAlign w:val="bottom"/>
            <w:hideMark/>
          </w:tcPr>
          <w:p w14:paraId="1576BC92" w14:textId="77777777" w:rsidR="00951062" w:rsidRPr="006B4024" w:rsidRDefault="00951062" w:rsidP="00A060AF">
            <w:pPr>
              <w:spacing w:after="0" w:line="240" w:lineRule="auto"/>
              <w:jc w:val="center"/>
              <w:rPr>
                <w:color w:val="000000"/>
                <w:sz w:val="20"/>
                <w:szCs w:val="20"/>
              </w:rPr>
            </w:pPr>
            <w:r w:rsidRPr="006B4024">
              <w:rPr>
                <w:color w:val="000000"/>
                <w:sz w:val="20"/>
                <w:szCs w:val="20"/>
              </w:rPr>
              <w:t>95</w:t>
            </w:r>
          </w:p>
        </w:tc>
      </w:tr>
      <w:tr w:rsidR="00951062" w:rsidRPr="003A2F0D" w14:paraId="52F2D691" w14:textId="77777777" w:rsidTr="0072181A">
        <w:trPr>
          <w:trHeight w:val="50"/>
        </w:trPr>
        <w:tc>
          <w:tcPr>
            <w:tcW w:w="3293" w:type="dxa"/>
            <w:tcBorders>
              <w:top w:val="nil"/>
              <w:left w:val="nil"/>
              <w:bottom w:val="nil"/>
              <w:right w:val="nil"/>
            </w:tcBorders>
            <w:shd w:val="clear" w:color="auto" w:fill="auto"/>
            <w:noWrap/>
            <w:vAlign w:val="bottom"/>
            <w:hideMark/>
          </w:tcPr>
          <w:p w14:paraId="5EBC847D" w14:textId="77777777" w:rsidR="00951062" w:rsidRPr="006B4024" w:rsidRDefault="00951062" w:rsidP="00A060AF">
            <w:pPr>
              <w:spacing w:after="0" w:line="240" w:lineRule="auto"/>
              <w:ind w:left="492"/>
              <w:rPr>
                <w:color w:val="000000"/>
                <w:sz w:val="20"/>
                <w:szCs w:val="20"/>
              </w:rPr>
            </w:pPr>
            <w:r w:rsidRPr="006B4024">
              <w:rPr>
                <w:color w:val="000000"/>
                <w:sz w:val="20"/>
                <w:szCs w:val="20"/>
              </w:rPr>
              <w:t>Alfalfa, ha</w:t>
            </w:r>
          </w:p>
        </w:tc>
        <w:tc>
          <w:tcPr>
            <w:tcW w:w="1876" w:type="dxa"/>
            <w:tcBorders>
              <w:top w:val="nil"/>
              <w:left w:val="nil"/>
              <w:bottom w:val="nil"/>
              <w:right w:val="nil"/>
            </w:tcBorders>
            <w:shd w:val="clear" w:color="auto" w:fill="auto"/>
            <w:noWrap/>
            <w:vAlign w:val="bottom"/>
            <w:hideMark/>
          </w:tcPr>
          <w:p w14:paraId="013389B4" w14:textId="77777777" w:rsidR="00951062" w:rsidRPr="006B4024" w:rsidRDefault="00F52365" w:rsidP="00A060AF">
            <w:pPr>
              <w:spacing w:after="0" w:line="240" w:lineRule="auto"/>
              <w:jc w:val="center"/>
              <w:rPr>
                <w:color w:val="000000"/>
                <w:sz w:val="20"/>
                <w:szCs w:val="20"/>
              </w:rPr>
            </w:pPr>
            <w:r>
              <w:rPr>
                <w:color w:val="000000"/>
                <w:sz w:val="20"/>
                <w:szCs w:val="20"/>
              </w:rPr>
              <w:t>-</w:t>
            </w:r>
          </w:p>
        </w:tc>
        <w:tc>
          <w:tcPr>
            <w:tcW w:w="1874" w:type="dxa"/>
            <w:tcBorders>
              <w:top w:val="nil"/>
              <w:left w:val="nil"/>
              <w:bottom w:val="nil"/>
              <w:right w:val="nil"/>
            </w:tcBorders>
            <w:shd w:val="clear" w:color="auto" w:fill="auto"/>
            <w:noWrap/>
            <w:vAlign w:val="bottom"/>
            <w:hideMark/>
          </w:tcPr>
          <w:p w14:paraId="31366D26" w14:textId="77777777" w:rsidR="00951062" w:rsidRPr="006B4024" w:rsidRDefault="00951062" w:rsidP="00A060AF">
            <w:pPr>
              <w:spacing w:after="0" w:line="240" w:lineRule="auto"/>
              <w:jc w:val="center"/>
              <w:rPr>
                <w:color w:val="000000"/>
                <w:sz w:val="20"/>
                <w:szCs w:val="20"/>
              </w:rPr>
            </w:pPr>
            <w:r w:rsidRPr="006B4024">
              <w:rPr>
                <w:color w:val="000000"/>
                <w:sz w:val="20"/>
                <w:szCs w:val="20"/>
              </w:rPr>
              <w:t>7</w:t>
            </w:r>
          </w:p>
        </w:tc>
        <w:tc>
          <w:tcPr>
            <w:tcW w:w="1673" w:type="dxa"/>
            <w:tcBorders>
              <w:top w:val="nil"/>
              <w:left w:val="nil"/>
              <w:bottom w:val="nil"/>
              <w:right w:val="nil"/>
            </w:tcBorders>
            <w:shd w:val="clear" w:color="auto" w:fill="auto"/>
            <w:noWrap/>
            <w:vAlign w:val="bottom"/>
            <w:hideMark/>
          </w:tcPr>
          <w:p w14:paraId="10060B79" w14:textId="77777777" w:rsidR="00951062" w:rsidRPr="006B4024" w:rsidRDefault="00951062" w:rsidP="00A060AF">
            <w:pPr>
              <w:spacing w:after="0" w:line="240" w:lineRule="auto"/>
              <w:jc w:val="center"/>
              <w:rPr>
                <w:color w:val="000000"/>
                <w:sz w:val="20"/>
                <w:szCs w:val="20"/>
              </w:rPr>
            </w:pPr>
            <w:r w:rsidRPr="006B4024">
              <w:rPr>
                <w:color w:val="000000"/>
                <w:sz w:val="20"/>
                <w:szCs w:val="20"/>
              </w:rPr>
              <w:t>30</w:t>
            </w:r>
          </w:p>
        </w:tc>
      </w:tr>
      <w:tr w:rsidR="00951062" w:rsidRPr="003A2F0D" w14:paraId="5FA6BEB3" w14:textId="77777777" w:rsidTr="0072181A">
        <w:trPr>
          <w:trHeight w:val="50"/>
        </w:trPr>
        <w:tc>
          <w:tcPr>
            <w:tcW w:w="3293" w:type="dxa"/>
            <w:tcBorders>
              <w:top w:val="nil"/>
              <w:left w:val="nil"/>
              <w:bottom w:val="nil"/>
              <w:right w:val="nil"/>
            </w:tcBorders>
            <w:shd w:val="clear" w:color="auto" w:fill="auto"/>
            <w:noWrap/>
            <w:vAlign w:val="bottom"/>
            <w:hideMark/>
          </w:tcPr>
          <w:p w14:paraId="491E644F" w14:textId="77777777" w:rsidR="00951062" w:rsidRPr="006B4024" w:rsidRDefault="00951062" w:rsidP="00A060AF">
            <w:pPr>
              <w:spacing w:after="0" w:line="240" w:lineRule="auto"/>
              <w:ind w:left="492"/>
              <w:rPr>
                <w:color w:val="000000"/>
                <w:sz w:val="20"/>
                <w:szCs w:val="20"/>
              </w:rPr>
            </w:pPr>
            <w:r w:rsidRPr="006B4024">
              <w:rPr>
                <w:color w:val="000000"/>
                <w:sz w:val="20"/>
                <w:szCs w:val="20"/>
              </w:rPr>
              <w:t>Triticale, ha</w:t>
            </w:r>
          </w:p>
        </w:tc>
        <w:tc>
          <w:tcPr>
            <w:tcW w:w="1876" w:type="dxa"/>
            <w:tcBorders>
              <w:top w:val="nil"/>
              <w:left w:val="nil"/>
              <w:bottom w:val="nil"/>
              <w:right w:val="nil"/>
            </w:tcBorders>
            <w:shd w:val="clear" w:color="auto" w:fill="auto"/>
            <w:noWrap/>
            <w:vAlign w:val="bottom"/>
            <w:hideMark/>
          </w:tcPr>
          <w:p w14:paraId="2DFB14F3" w14:textId="77777777" w:rsidR="00951062" w:rsidRPr="006B4024" w:rsidRDefault="00F52365" w:rsidP="00A060AF">
            <w:pPr>
              <w:spacing w:after="0" w:line="240" w:lineRule="auto"/>
              <w:jc w:val="center"/>
              <w:rPr>
                <w:color w:val="000000"/>
                <w:sz w:val="20"/>
                <w:szCs w:val="20"/>
              </w:rPr>
            </w:pPr>
            <w:r>
              <w:rPr>
                <w:color w:val="000000"/>
                <w:sz w:val="20"/>
                <w:szCs w:val="20"/>
              </w:rPr>
              <w:t>-</w:t>
            </w:r>
          </w:p>
        </w:tc>
        <w:tc>
          <w:tcPr>
            <w:tcW w:w="1874" w:type="dxa"/>
            <w:tcBorders>
              <w:top w:val="nil"/>
              <w:left w:val="nil"/>
              <w:bottom w:val="nil"/>
              <w:right w:val="nil"/>
            </w:tcBorders>
            <w:shd w:val="clear" w:color="auto" w:fill="auto"/>
            <w:noWrap/>
            <w:vAlign w:val="bottom"/>
            <w:hideMark/>
          </w:tcPr>
          <w:p w14:paraId="145F777C" w14:textId="77777777" w:rsidR="00951062" w:rsidRPr="006B4024" w:rsidRDefault="00951062" w:rsidP="00A060AF">
            <w:pPr>
              <w:spacing w:after="0" w:line="240" w:lineRule="auto"/>
              <w:jc w:val="center"/>
              <w:rPr>
                <w:color w:val="000000"/>
                <w:sz w:val="20"/>
                <w:szCs w:val="20"/>
              </w:rPr>
            </w:pPr>
            <w:r w:rsidRPr="006B4024">
              <w:rPr>
                <w:color w:val="000000"/>
                <w:sz w:val="20"/>
                <w:szCs w:val="20"/>
              </w:rPr>
              <w:t>15</w:t>
            </w:r>
          </w:p>
        </w:tc>
        <w:tc>
          <w:tcPr>
            <w:tcW w:w="1673" w:type="dxa"/>
            <w:tcBorders>
              <w:top w:val="nil"/>
              <w:left w:val="nil"/>
              <w:bottom w:val="nil"/>
              <w:right w:val="nil"/>
            </w:tcBorders>
            <w:shd w:val="clear" w:color="auto" w:fill="auto"/>
            <w:noWrap/>
            <w:vAlign w:val="bottom"/>
            <w:hideMark/>
          </w:tcPr>
          <w:p w14:paraId="2D779548" w14:textId="77777777" w:rsidR="00951062" w:rsidRPr="006B4024" w:rsidRDefault="00F52365" w:rsidP="00A060AF">
            <w:pPr>
              <w:spacing w:after="0" w:line="240" w:lineRule="auto"/>
              <w:jc w:val="center"/>
              <w:rPr>
                <w:color w:val="000000"/>
                <w:sz w:val="20"/>
                <w:szCs w:val="20"/>
              </w:rPr>
            </w:pPr>
            <w:r>
              <w:rPr>
                <w:color w:val="000000"/>
                <w:sz w:val="20"/>
                <w:szCs w:val="20"/>
              </w:rPr>
              <w:t>-</w:t>
            </w:r>
          </w:p>
        </w:tc>
      </w:tr>
      <w:tr w:rsidR="00951062" w:rsidRPr="003A2F0D" w14:paraId="462FA4F0" w14:textId="77777777" w:rsidTr="0072181A">
        <w:trPr>
          <w:trHeight w:val="50"/>
        </w:trPr>
        <w:tc>
          <w:tcPr>
            <w:tcW w:w="3293" w:type="dxa"/>
            <w:tcBorders>
              <w:top w:val="nil"/>
              <w:left w:val="nil"/>
              <w:right w:val="nil"/>
            </w:tcBorders>
            <w:shd w:val="clear" w:color="auto" w:fill="auto"/>
            <w:noWrap/>
            <w:vAlign w:val="bottom"/>
            <w:hideMark/>
          </w:tcPr>
          <w:p w14:paraId="1AEEC72D" w14:textId="77777777" w:rsidR="00951062" w:rsidRPr="006B4024" w:rsidRDefault="00951062" w:rsidP="00A060AF">
            <w:pPr>
              <w:spacing w:after="0" w:line="240" w:lineRule="auto"/>
              <w:ind w:left="492"/>
              <w:rPr>
                <w:color w:val="000000"/>
                <w:sz w:val="20"/>
                <w:szCs w:val="20"/>
              </w:rPr>
            </w:pPr>
            <w:r w:rsidRPr="006B4024">
              <w:rPr>
                <w:color w:val="000000"/>
                <w:sz w:val="20"/>
                <w:szCs w:val="20"/>
              </w:rPr>
              <w:t>Sorghum, ha</w:t>
            </w:r>
          </w:p>
        </w:tc>
        <w:tc>
          <w:tcPr>
            <w:tcW w:w="1876" w:type="dxa"/>
            <w:tcBorders>
              <w:top w:val="nil"/>
              <w:left w:val="nil"/>
              <w:right w:val="nil"/>
            </w:tcBorders>
            <w:shd w:val="clear" w:color="auto" w:fill="auto"/>
            <w:noWrap/>
            <w:vAlign w:val="bottom"/>
            <w:hideMark/>
          </w:tcPr>
          <w:p w14:paraId="555BBD46" w14:textId="77777777" w:rsidR="00951062" w:rsidRPr="006B4024" w:rsidRDefault="00F52365" w:rsidP="00A060AF">
            <w:pPr>
              <w:spacing w:after="0" w:line="240" w:lineRule="auto"/>
              <w:jc w:val="center"/>
              <w:rPr>
                <w:color w:val="000000"/>
                <w:sz w:val="20"/>
                <w:szCs w:val="20"/>
              </w:rPr>
            </w:pPr>
            <w:r>
              <w:rPr>
                <w:color w:val="000000"/>
                <w:sz w:val="20"/>
                <w:szCs w:val="20"/>
              </w:rPr>
              <w:t>-</w:t>
            </w:r>
          </w:p>
        </w:tc>
        <w:tc>
          <w:tcPr>
            <w:tcW w:w="1874" w:type="dxa"/>
            <w:tcBorders>
              <w:top w:val="nil"/>
              <w:left w:val="nil"/>
              <w:right w:val="nil"/>
            </w:tcBorders>
            <w:shd w:val="clear" w:color="auto" w:fill="auto"/>
            <w:noWrap/>
            <w:vAlign w:val="bottom"/>
            <w:hideMark/>
          </w:tcPr>
          <w:p w14:paraId="3B78FB8D" w14:textId="77777777" w:rsidR="00951062" w:rsidRPr="006B4024" w:rsidRDefault="00951062" w:rsidP="00A060AF">
            <w:pPr>
              <w:spacing w:after="0" w:line="240" w:lineRule="auto"/>
              <w:jc w:val="center"/>
              <w:rPr>
                <w:color w:val="000000"/>
                <w:sz w:val="20"/>
                <w:szCs w:val="20"/>
              </w:rPr>
            </w:pPr>
            <w:r w:rsidRPr="006B4024">
              <w:rPr>
                <w:color w:val="000000"/>
                <w:sz w:val="20"/>
                <w:szCs w:val="20"/>
              </w:rPr>
              <w:t>3</w:t>
            </w:r>
          </w:p>
        </w:tc>
        <w:tc>
          <w:tcPr>
            <w:tcW w:w="1673" w:type="dxa"/>
            <w:tcBorders>
              <w:top w:val="nil"/>
              <w:left w:val="nil"/>
              <w:right w:val="nil"/>
            </w:tcBorders>
            <w:shd w:val="clear" w:color="auto" w:fill="auto"/>
            <w:noWrap/>
            <w:vAlign w:val="bottom"/>
            <w:hideMark/>
          </w:tcPr>
          <w:p w14:paraId="2B5710E3" w14:textId="77777777" w:rsidR="00951062" w:rsidRPr="006B4024" w:rsidRDefault="00F52365" w:rsidP="00A060AF">
            <w:pPr>
              <w:spacing w:after="0" w:line="240" w:lineRule="auto"/>
              <w:jc w:val="center"/>
              <w:rPr>
                <w:color w:val="000000"/>
                <w:sz w:val="20"/>
                <w:szCs w:val="20"/>
              </w:rPr>
            </w:pPr>
            <w:r>
              <w:rPr>
                <w:color w:val="000000"/>
                <w:sz w:val="20"/>
                <w:szCs w:val="20"/>
              </w:rPr>
              <w:t>-</w:t>
            </w:r>
          </w:p>
        </w:tc>
      </w:tr>
      <w:tr w:rsidR="00951062" w:rsidRPr="003A2F0D" w14:paraId="4896EFE9" w14:textId="77777777" w:rsidTr="00A060AF">
        <w:trPr>
          <w:trHeight w:val="50"/>
        </w:trPr>
        <w:tc>
          <w:tcPr>
            <w:tcW w:w="3293" w:type="dxa"/>
            <w:tcBorders>
              <w:top w:val="nil"/>
              <w:left w:val="nil"/>
              <w:bottom w:val="single" w:sz="4" w:space="0" w:color="auto"/>
              <w:right w:val="nil"/>
            </w:tcBorders>
            <w:shd w:val="clear" w:color="auto" w:fill="auto"/>
            <w:noWrap/>
            <w:vAlign w:val="bottom"/>
            <w:hideMark/>
          </w:tcPr>
          <w:p w14:paraId="2CD7682D" w14:textId="77777777" w:rsidR="00951062" w:rsidRPr="006B4024" w:rsidRDefault="00951062" w:rsidP="00A060AF">
            <w:pPr>
              <w:spacing w:after="0" w:line="240" w:lineRule="auto"/>
              <w:ind w:left="492"/>
              <w:rPr>
                <w:color w:val="000000"/>
                <w:sz w:val="20"/>
                <w:szCs w:val="20"/>
              </w:rPr>
            </w:pPr>
            <w:r w:rsidRPr="006B4024">
              <w:rPr>
                <w:color w:val="000000"/>
                <w:sz w:val="20"/>
                <w:szCs w:val="20"/>
              </w:rPr>
              <w:t>Autumn winter mixture, ha</w:t>
            </w:r>
          </w:p>
        </w:tc>
        <w:tc>
          <w:tcPr>
            <w:tcW w:w="1876" w:type="dxa"/>
            <w:tcBorders>
              <w:top w:val="nil"/>
              <w:left w:val="nil"/>
              <w:bottom w:val="single" w:sz="4" w:space="0" w:color="auto"/>
              <w:right w:val="nil"/>
            </w:tcBorders>
            <w:shd w:val="clear" w:color="auto" w:fill="auto"/>
            <w:noWrap/>
            <w:vAlign w:val="bottom"/>
            <w:hideMark/>
          </w:tcPr>
          <w:p w14:paraId="5EC449C8" w14:textId="77777777" w:rsidR="00951062" w:rsidRPr="006B4024" w:rsidRDefault="00951062" w:rsidP="00A060AF">
            <w:pPr>
              <w:spacing w:after="0" w:line="240" w:lineRule="auto"/>
              <w:jc w:val="center"/>
              <w:rPr>
                <w:color w:val="000000"/>
                <w:sz w:val="20"/>
                <w:szCs w:val="20"/>
              </w:rPr>
            </w:pPr>
            <w:r w:rsidRPr="006B4024">
              <w:rPr>
                <w:color w:val="000000"/>
                <w:sz w:val="20"/>
                <w:szCs w:val="20"/>
              </w:rPr>
              <w:t>65</w:t>
            </w:r>
          </w:p>
        </w:tc>
        <w:tc>
          <w:tcPr>
            <w:tcW w:w="1874" w:type="dxa"/>
            <w:tcBorders>
              <w:top w:val="nil"/>
              <w:left w:val="nil"/>
              <w:bottom w:val="single" w:sz="4" w:space="0" w:color="auto"/>
              <w:right w:val="nil"/>
            </w:tcBorders>
            <w:shd w:val="clear" w:color="auto" w:fill="auto"/>
            <w:noWrap/>
            <w:vAlign w:val="bottom"/>
            <w:hideMark/>
          </w:tcPr>
          <w:p w14:paraId="2B4F69C8" w14:textId="77777777" w:rsidR="00951062" w:rsidRPr="006B4024" w:rsidRDefault="00F52365" w:rsidP="00A060AF">
            <w:pPr>
              <w:spacing w:after="0" w:line="240" w:lineRule="auto"/>
              <w:jc w:val="center"/>
              <w:rPr>
                <w:color w:val="000000"/>
                <w:sz w:val="20"/>
                <w:szCs w:val="20"/>
              </w:rPr>
            </w:pPr>
            <w:r>
              <w:rPr>
                <w:color w:val="000000"/>
                <w:sz w:val="20"/>
                <w:szCs w:val="20"/>
              </w:rPr>
              <w:t>-</w:t>
            </w:r>
          </w:p>
        </w:tc>
        <w:tc>
          <w:tcPr>
            <w:tcW w:w="1673" w:type="dxa"/>
            <w:tcBorders>
              <w:top w:val="nil"/>
              <w:left w:val="nil"/>
              <w:bottom w:val="single" w:sz="4" w:space="0" w:color="auto"/>
              <w:right w:val="nil"/>
            </w:tcBorders>
            <w:shd w:val="clear" w:color="auto" w:fill="auto"/>
            <w:noWrap/>
            <w:vAlign w:val="bottom"/>
            <w:hideMark/>
          </w:tcPr>
          <w:p w14:paraId="2099D541" w14:textId="77777777" w:rsidR="00951062" w:rsidRPr="006B4024" w:rsidRDefault="00951062" w:rsidP="00A060AF">
            <w:pPr>
              <w:spacing w:after="0" w:line="240" w:lineRule="auto"/>
              <w:jc w:val="center"/>
              <w:rPr>
                <w:color w:val="000000"/>
                <w:sz w:val="20"/>
                <w:szCs w:val="20"/>
              </w:rPr>
            </w:pPr>
            <w:r w:rsidRPr="006B4024">
              <w:rPr>
                <w:color w:val="000000"/>
                <w:sz w:val="20"/>
                <w:szCs w:val="20"/>
              </w:rPr>
              <w:t>43</w:t>
            </w:r>
          </w:p>
        </w:tc>
      </w:tr>
      <w:tr w:rsidR="0072181A" w:rsidRPr="003A2F0D" w14:paraId="04E35D24" w14:textId="77777777" w:rsidTr="0072181A">
        <w:trPr>
          <w:trHeight w:val="50"/>
        </w:trPr>
        <w:tc>
          <w:tcPr>
            <w:tcW w:w="3293" w:type="dxa"/>
            <w:tcBorders>
              <w:top w:val="single" w:sz="4" w:space="0" w:color="auto"/>
              <w:left w:val="nil"/>
              <w:right w:val="nil"/>
            </w:tcBorders>
            <w:shd w:val="clear" w:color="auto" w:fill="auto"/>
            <w:noWrap/>
            <w:vAlign w:val="center"/>
          </w:tcPr>
          <w:p w14:paraId="617E9A8E" w14:textId="77777777" w:rsidR="0072181A" w:rsidRPr="006B4024" w:rsidRDefault="00C464EE" w:rsidP="0072181A">
            <w:pPr>
              <w:spacing w:after="0" w:line="240" w:lineRule="auto"/>
              <w:rPr>
                <w:color w:val="000000"/>
                <w:sz w:val="20"/>
                <w:szCs w:val="20"/>
              </w:rPr>
            </w:pPr>
            <w:r>
              <w:rPr>
                <w:color w:val="000000"/>
                <w:sz w:val="20"/>
                <w:szCs w:val="20"/>
              </w:rPr>
              <w:t xml:space="preserve">Produced feed, </w:t>
            </w:r>
            <w:r w:rsidRPr="006B4024">
              <w:rPr>
                <w:color w:val="000000"/>
                <w:sz w:val="20"/>
                <w:szCs w:val="20"/>
              </w:rPr>
              <w:t>kg/ year</w:t>
            </w:r>
          </w:p>
        </w:tc>
        <w:tc>
          <w:tcPr>
            <w:tcW w:w="1876" w:type="dxa"/>
            <w:tcBorders>
              <w:top w:val="single" w:sz="4" w:space="0" w:color="auto"/>
              <w:left w:val="nil"/>
              <w:right w:val="nil"/>
            </w:tcBorders>
            <w:shd w:val="clear" w:color="auto" w:fill="auto"/>
            <w:vAlign w:val="center"/>
          </w:tcPr>
          <w:p w14:paraId="50FC1C6A" w14:textId="0E22C2CF" w:rsidR="0072181A" w:rsidRPr="00B15B53" w:rsidDel="0072181A" w:rsidRDefault="00F53BBA" w:rsidP="00143234">
            <w:pPr>
              <w:spacing w:after="0" w:line="240" w:lineRule="auto"/>
              <w:jc w:val="center"/>
              <w:rPr>
                <w:color w:val="000000"/>
                <w:sz w:val="20"/>
                <w:szCs w:val="20"/>
              </w:rPr>
            </w:pPr>
            <w:r w:rsidRPr="00A060AF">
              <w:rPr>
                <w:color w:val="000000"/>
                <w:sz w:val="20"/>
                <w:szCs w:val="20"/>
              </w:rPr>
              <w:t>5</w:t>
            </w:r>
            <w:r w:rsidR="00143234">
              <w:rPr>
                <w:color w:val="000000"/>
                <w:sz w:val="20"/>
                <w:szCs w:val="20"/>
              </w:rPr>
              <w:t>.</w:t>
            </w:r>
            <w:r w:rsidRPr="00A060AF">
              <w:rPr>
                <w:color w:val="000000"/>
                <w:sz w:val="20"/>
                <w:szCs w:val="20"/>
              </w:rPr>
              <w:t>39E+06</w:t>
            </w:r>
          </w:p>
        </w:tc>
        <w:tc>
          <w:tcPr>
            <w:tcW w:w="1874" w:type="dxa"/>
            <w:tcBorders>
              <w:top w:val="single" w:sz="4" w:space="0" w:color="auto"/>
              <w:left w:val="nil"/>
              <w:bottom w:val="nil"/>
              <w:right w:val="nil"/>
            </w:tcBorders>
            <w:shd w:val="clear" w:color="auto" w:fill="auto"/>
            <w:noWrap/>
            <w:vAlign w:val="bottom"/>
          </w:tcPr>
          <w:p w14:paraId="72DAFEBF" w14:textId="66984089" w:rsidR="0072181A" w:rsidRPr="00A060AF" w:rsidRDefault="001B7B10" w:rsidP="00143234">
            <w:pPr>
              <w:spacing w:after="0" w:line="240" w:lineRule="auto"/>
              <w:jc w:val="center"/>
              <w:rPr>
                <w:color w:val="000000"/>
                <w:sz w:val="20"/>
                <w:szCs w:val="20"/>
                <w:lang w:val="it-IT"/>
              </w:rPr>
            </w:pPr>
            <w:r w:rsidRPr="00B15B53">
              <w:rPr>
                <w:color w:val="000000"/>
                <w:sz w:val="20"/>
                <w:szCs w:val="20"/>
              </w:rPr>
              <w:t>3</w:t>
            </w:r>
            <w:r w:rsidR="00143234">
              <w:rPr>
                <w:color w:val="000000"/>
                <w:sz w:val="20"/>
                <w:szCs w:val="20"/>
              </w:rPr>
              <w:t>.</w:t>
            </w:r>
            <w:r w:rsidRPr="00B15B53">
              <w:rPr>
                <w:color w:val="000000"/>
                <w:sz w:val="20"/>
                <w:szCs w:val="20"/>
              </w:rPr>
              <w:t>43E+06</w:t>
            </w:r>
          </w:p>
        </w:tc>
        <w:tc>
          <w:tcPr>
            <w:tcW w:w="1673" w:type="dxa"/>
            <w:tcBorders>
              <w:top w:val="single" w:sz="4" w:space="0" w:color="auto"/>
              <w:left w:val="nil"/>
              <w:bottom w:val="nil"/>
              <w:right w:val="nil"/>
            </w:tcBorders>
            <w:shd w:val="clear" w:color="auto" w:fill="auto"/>
            <w:noWrap/>
            <w:vAlign w:val="bottom"/>
          </w:tcPr>
          <w:p w14:paraId="566BE956" w14:textId="79F0B097" w:rsidR="0072181A" w:rsidRPr="00A060AF" w:rsidRDefault="001B7B10" w:rsidP="00143234">
            <w:pPr>
              <w:spacing w:after="0" w:line="240" w:lineRule="auto"/>
              <w:jc w:val="center"/>
              <w:rPr>
                <w:color w:val="000000"/>
                <w:sz w:val="20"/>
                <w:szCs w:val="20"/>
                <w:lang w:val="it-IT"/>
              </w:rPr>
            </w:pPr>
            <w:r w:rsidRPr="00B15B53">
              <w:rPr>
                <w:color w:val="000000"/>
                <w:sz w:val="20"/>
                <w:szCs w:val="20"/>
              </w:rPr>
              <w:t>3</w:t>
            </w:r>
            <w:r w:rsidR="00143234">
              <w:rPr>
                <w:color w:val="000000"/>
                <w:sz w:val="20"/>
                <w:szCs w:val="20"/>
              </w:rPr>
              <w:t>.</w:t>
            </w:r>
            <w:r w:rsidRPr="00B15B53">
              <w:rPr>
                <w:color w:val="000000"/>
                <w:sz w:val="20"/>
                <w:szCs w:val="20"/>
              </w:rPr>
              <w:t>57E+06</w:t>
            </w:r>
          </w:p>
        </w:tc>
      </w:tr>
      <w:tr w:rsidR="0072181A" w:rsidRPr="003A2F0D" w14:paraId="34CDEE9F" w14:textId="77777777" w:rsidTr="00A060AF">
        <w:trPr>
          <w:trHeight w:val="50"/>
        </w:trPr>
        <w:tc>
          <w:tcPr>
            <w:tcW w:w="3293" w:type="dxa"/>
            <w:tcBorders>
              <w:left w:val="nil"/>
              <w:bottom w:val="single" w:sz="4" w:space="0" w:color="auto"/>
              <w:right w:val="nil"/>
            </w:tcBorders>
            <w:shd w:val="clear" w:color="auto" w:fill="auto"/>
            <w:noWrap/>
            <w:vAlign w:val="bottom"/>
          </w:tcPr>
          <w:p w14:paraId="2178D9D7" w14:textId="77777777" w:rsidR="0072181A" w:rsidRPr="006B4024" w:rsidRDefault="0072181A" w:rsidP="0072181A">
            <w:pPr>
              <w:spacing w:after="0" w:line="240" w:lineRule="auto"/>
              <w:rPr>
                <w:color w:val="000000"/>
                <w:sz w:val="20"/>
                <w:szCs w:val="20"/>
              </w:rPr>
            </w:pPr>
            <w:r w:rsidRPr="006B4024">
              <w:rPr>
                <w:color w:val="000000"/>
                <w:sz w:val="20"/>
                <w:szCs w:val="20"/>
              </w:rPr>
              <w:t>off-farm feed, kg/ year</w:t>
            </w:r>
          </w:p>
        </w:tc>
        <w:tc>
          <w:tcPr>
            <w:tcW w:w="1876" w:type="dxa"/>
            <w:tcBorders>
              <w:left w:val="nil"/>
              <w:bottom w:val="single" w:sz="4" w:space="0" w:color="auto"/>
              <w:right w:val="nil"/>
            </w:tcBorders>
            <w:shd w:val="clear" w:color="auto" w:fill="auto"/>
            <w:vAlign w:val="bottom"/>
          </w:tcPr>
          <w:p w14:paraId="3449C394" w14:textId="21B3957B" w:rsidR="0072181A" w:rsidRPr="00B15B53" w:rsidDel="0072181A" w:rsidRDefault="0072181A" w:rsidP="00143234">
            <w:pPr>
              <w:spacing w:after="0" w:line="240" w:lineRule="auto"/>
              <w:jc w:val="center"/>
              <w:rPr>
                <w:color w:val="000000"/>
                <w:sz w:val="20"/>
                <w:szCs w:val="20"/>
              </w:rPr>
            </w:pPr>
            <w:r w:rsidRPr="00B15B53">
              <w:rPr>
                <w:color w:val="000000"/>
                <w:sz w:val="20"/>
                <w:szCs w:val="20"/>
              </w:rPr>
              <w:t>1</w:t>
            </w:r>
            <w:r w:rsidR="00143234">
              <w:rPr>
                <w:color w:val="000000"/>
                <w:sz w:val="20"/>
                <w:szCs w:val="20"/>
              </w:rPr>
              <w:t>.</w:t>
            </w:r>
            <w:r w:rsidRPr="00B15B53">
              <w:rPr>
                <w:color w:val="000000"/>
                <w:sz w:val="20"/>
                <w:szCs w:val="20"/>
              </w:rPr>
              <w:t>35E+06</w:t>
            </w:r>
          </w:p>
        </w:tc>
        <w:tc>
          <w:tcPr>
            <w:tcW w:w="1874" w:type="dxa"/>
            <w:tcBorders>
              <w:left w:val="nil"/>
              <w:bottom w:val="single" w:sz="4" w:space="0" w:color="auto"/>
              <w:right w:val="nil"/>
            </w:tcBorders>
            <w:shd w:val="clear" w:color="auto" w:fill="auto"/>
            <w:noWrap/>
            <w:vAlign w:val="bottom"/>
          </w:tcPr>
          <w:p w14:paraId="0CE0E0A2" w14:textId="017A56A5" w:rsidR="0072181A" w:rsidRPr="00B15B53" w:rsidRDefault="0072181A" w:rsidP="00143234">
            <w:pPr>
              <w:spacing w:after="0" w:line="240" w:lineRule="auto"/>
              <w:jc w:val="center"/>
              <w:rPr>
                <w:color w:val="000000"/>
                <w:sz w:val="20"/>
                <w:szCs w:val="20"/>
              </w:rPr>
            </w:pPr>
            <w:r w:rsidRPr="00B15B53">
              <w:rPr>
                <w:color w:val="000000"/>
                <w:sz w:val="20"/>
                <w:szCs w:val="20"/>
              </w:rPr>
              <w:t>8</w:t>
            </w:r>
            <w:r w:rsidR="00143234">
              <w:rPr>
                <w:color w:val="000000"/>
                <w:sz w:val="20"/>
                <w:szCs w:val="20"/>
              </w:rPr>
              <w:t>.</w:t>
            </w:r>
            <w:r w:rsidRPr="00B15B53">
              <w:rPr>
                <w:color w:val="000000"/>
                <w:sz w:val="20"/>
                <w:szCs w:val="20"/>
              </w:rPr>
              <w:t>58E+05</w:t>
            </w:r>
          </w:p>
        </w:tc>
        <w:tc>
          <w:tcPr>
            <w:tcW w:w="1673" w:type="dxa"/>
            <w:tcBorders>
              <w:left w:val="nil"/>
              <w:bottom w:val="single" w:sz="4" w:space="0" w:color="auto"/>
              <w:right w:val="nil"/>
            </w:tcBorders>
            <w:shd w:val="clear" w:color="auto" w:fill="auto"/>
            <w:noWrap/>
            <w:vAlign w:val="bottom"/>
          </w:tcPr>
          <w:p w14:paraId="2A164E7E" w14:textId="4D5AABF1" w:rsidR="0072181A" w:rsidRPr="00B15B53" w:rsidRDefault="0072181A" w:rsidP="00143234">
            <w:pPr>
              <w:spacing w:after="0" w:line="240" w:lineRule="auto"/>
              <w:jc w:val="center"/>
              <w:rPr>
                <w:color w:val="000000"/>
                <w:sz w:val="20"/>
                <w:szCs w:val="20"/>
              </w:rPr>
            </w:pPr>
            <w:r w:rsidRPr="00B15B53">
              <w:rPr>
                <w:color w:val="000000"/>
                <w:sz w:val="20"/>
                <w:szCs w:val="20"/>
              </w:rPr>
              <w:t>2</w:t>
            </w:r>
            <w:r w:rsidR="00143234">
              <w:rPr>
                <w:color w:val="000000"/>
                <w:sz w:val="20"/>
                <w:szCs w:val="20"/>
              </w:rPr>
              <w:t>.</w:t>
            </w:r>
            <w:r w:rsidRPr="00B15B53">
              <w:rPr>
                <w:color w:val="000000"/>
                <w:sz w:val="20"/>
                <w:szCs w:val="20"/>
              </w:rPr>
              <w:t>34E+06</w:t>
            </w:r>
          </w:p>
        </w:tc>
      </w:tr>
      <w:tr w:rsidR="0072181A" w:rsidRPr="003A2F0D" w14:paraId="6C3F3256" w14:textId="77777777" w:rsidTr="00590CAB">
        <w:trPr>
          <w:trHeight w:val="50"/>
        </w:trPr>
        <w:tc>
          <w:tcPr>
            <w:tcW w:w="3293" w:type="dxa"/>
            <w:tcBorders>
              <w:top w:val="single" w:sz="4" w:space="0" w:color="auto"/>
              <w:left w:val="nil"/>
              <w:right w:val="nil"/>
            </w:tcBorders>
            <w:shd w:val="clear" w:color="auto" w:fill="auto"/>
            <w:noWrap/>
            <w:vAlign w:val="center"/>
            <w:hideMark/>
          </w:tcPr>
          <w:p w14:paraId="5B48221A" w14:textId="77777777" w:rsidR="0072181A" w:rsidRPr="006B4024" w:rsidRDefault="0072181A" w:rsidP="00A060AF">
            <w:pPr>
              <w:spacing w:after="0" w:line="240" w:lineRule="auto"/>
              <w:rPr>
                <w:color w:val="000000"/>
                <w:sz w:val="20"/>
                <w:szCs w:val="20"/>
              </w:rPr>
            </w:pPr>
            <w:r w:rsidRPr="006B4024">
              <w:rPr>
                <w:color w:val="000000"/>
                <w:sz w:val="20"/>
                <w:szCs w:val="20"/>
              </w:rPr>
              <w:t>Fertilizer P-N-k, kg/year</w:t>
            </w:r>
          </w:p>
          <w:p w14:paraId="79511F33" w14:textId="77777777" w:rsidR="0072181A" w:rsidRPr="006B4024" w:rsidRDefault="0072181A" w:rsidP="0072181A">
            <w:pPr>
              <w:spacing w:after="0" w:line="240" w:lineRule="auto"/>
              <w:rPr>
                <w:color w:val="000000"/>
                <w:sz w:val="20"/>
                <w:szCs w:val="20"/>
              </w:rPr>
            </w:pPr>
          </w:p>
        </w:tc>
        <w:tc>
          <w:tcPr>
            <w:tcW w:w="1876" w:type="dxa"/>
            <w:tcBorders>
              <w:top w:val="single" w:sz="4" w:space="0" w:color="auto"/>
              <w:left w:val="nil"/>
              <w:right w:val="nil"/>
            </w:tcBorders>
            <w:shd w:val="clear" w:color="auto" w:fill="auto"/>
            <w:vAlign w:val="center"/>
          </w:tcPr>
          <w:p w14:paraId="3826ECFA" w14:textId="77777777" w:rsidR="0072181A" w:rsidRPr="006B4024" w:rsidRDefault="00F52365" w:rsidP="00A060AF">
            <w:pPr>
              <w:spacing w:after="0" w:line="240" w:lineRule="auto"/>
              <w:jc w:val="center"/>
              <w:rPr>
                <w:color w:val="000000"/>
                <w:sz w:val="20"/>
                <w:szCs w:val="20"/>
              </w:rPr>
            </w:pPr>
            <w:r>
              <w:rPr>
                <w:color w:val="000000"/>
                <w:sz w:val="20"/>
                <w:szCs w:val="20"/>
              </w:rPr>
              <w:t>-</w:t>
            </w:r>
          </w:p>
        </w:tc>
        <w:tc>
          <w:tcPr>
            <w:tcW w:w="1874" w:type="dxa"/>
            <w:tcBorders>
              <w:top w:val="single" w:sz="4" w:space="0" w:color="auto"/>
              <w:left w:val="nil"/>
              <w:bottom w:val="nil"/>
              <w:right w:val="nil"/>
            </w:tcBorders>
            <w:shd w:val="clear" w:color="auto" w:fill="auto"/>
            <w:noWrap/>
            <w:vAlign w:val="center"/>
            <w:hideMark/>
          </w:tcPr>
          <w:p w14:paraId="485DF9A1" w14:textId="64DF379D" w:rsidR="0072181A" w:rsidRPr="006B4024" w:rsidRDefault="0072181A" w:rsidP="00F76036">
            <w:pPr>
              <w:spacing w:after="0" w:line="240" w:lineRule="auto"/>
              <w:jc w:val="center"/>
              <w:rPr>
                <w:color w:val="000000"/>
                <w:sz w:val="20"/>
                <w:szCs w:val="20"/>
              </w:rPr>
            </w:pPr>
            <w:r w:rsidRPr="006B4024">
              <w:rPr>
                <w:color w:val="000000"/>
                <w:sz w:val="20"/>
                <w:szCs w:val="20"/>
              </w:rPr>
              <w:t>2</w:t>
            </w:r>
            <w:r w:rsidR="00143234">
              <w:rPr>
                <w:color w:val="000000"/>
                <w:sz w:val="20"/>
                <w:szCs w:val="20"/>
              </w:rPr>
              <w:t>,</w:t>
            </w:r>
            <w:r w:rsidRPr="006B4024">
              <w:rPr>
                <w:color w:val="000000"/>
                <w:sz w:val="20"/>
                <w:szCs w:val="20"/>
              </w:rPr>
              <w:t>800</w:t>
            </w:r>
          </w:p>
        </w:tc>
        <w:tc>
          <w:tcPr>
            <w:tcW w:w="1673" w:type="dxa"/>
            <w:tcBorders>
              <w:top w:val="single" w:sz="4" w:space="0" w:color="auto"/>
              <w:left w:val="nil"/>
              <w:bottom w:val="nil"/>
              <w:right w:val="nil"/>
            </w:tcBorders>
            <w:shd w:val="clear" w:color="auto" w:fill="auto"/>
            <w:noWrap/>
            <w:vAlign w:val="bottom"/>
            <w:hideMark/>
          </w:tcPr>
          <w:p w14:paraId="583E61EA" w14:textId="77777777" w:rsidR="0072181A" w:rsidRPr="006B4024" w:rsidRDefault="00F52365" w:rsidP="00A060AF">
            <w:pPr>
              <w:spacing w:after="0" w:line="240" w:lineRule="auto"/>
              <w:jc w:val="center"/>
              <w:rPr>
                <w:color w:val="000000"/>
                <w:sz w:val="20"/>
                <w:szCs w:val="20"/>
              </w:rPr>
            </w:pPr>
            <w:r>
              <w:rPr>
                <w:color w:val="000000"/>
                <w:sz w:val="20"/>
                <w:szCs w:val="20"/>
              </w:rPr>
              <w:t>-</w:t>
            </w:r>
          </w:p>
        </w:tc>
      </w:tr>
      <w:tr w:rsidR="0072181A" w:rsidRPr="003A2F0D" w14:paraId="421A6C35" w14:textId="77777777" w:rsidTr="00A060AF">
        <w:trPr>
          <w:trHeight w:val="50"/>
        </w:trPr>
        <w:tc>
          <w:tcPr>
            <w:tcW w:w="3293" w:type="dxa"/>
            <w:tcBorders>
              <w:left w:val="nil"/>
              <w:right w:val="nil"/>
            </w:tcBorders>
            <w:shd w:val="clear" w:color="auto" w:fill="auto"/>
            <w:noWrap/>
            <w:vAlign w:val="bottom"/>
            <w:hideMark/>
          </w:tcPr>
          <w:p w14:paraId="4F7AEF66" w14:textId="77777777" w:rsidR="0072181A" w:rsidRPr="006B4024" w:rsidRDefault="00E75429" w:rsidP="0072181A">
            <w:pPr>
              <w:spacing w:after="0" w:line="240" w:lineRule="auto"/>
              <w:rPr>
                <w:color w:val="000000"/>
                <w:sz w:val="20"/>
                <w:szCs w:val="20"/>
              </w:rPr>
            </w:pPr>
            <w:r>
              <w:rPr>
                <w:color w:val="000000"/>
                <w:sz w:val="20"/>
                <w:szCs w:val="20"/>
              </w:rPr>
              <w:t>F</w:t>
            </w:r>
            <w:r w:rsidR="0072181A" w:rsidRPr="006B4024">
              <w:rPr>
                <w:color w:val="000000"/>
                <w:sz w:val="20"/>
                <w:szCs w:val="20"/>
              </w:rPr>
              <w:t>ertilizer P-N, kg/ year</w:t>
            </w:r>
          </w:p>
        </w:tc>
        <w:tc>
          <w:tcPr>
            <w:tcW w:w="1876" w:type="dxa"/>
            <w:tcBorders>
              <w:left w:val="nil"/>
              <w:right w:val="nil"/>
            </w:tcBorders>
            <w:shd w:val="clear" w:color="auto" w:fill="auto"/>
            <w:vAlign w:val="bottom"/>
          </w:tcPr>
          <w:p w14:paraId="3A3EF419" w14:textId="77777777" w:rsidR="0072181A" w:rsidRPr="006B4024" w:rsidRDefault="00F52365" w:rsidP="00A060AF">
            <w:pPr>
              <w:spacing w:after="0" w:line="240" w:lineRule="auto"/>
              <w:jc w:val="center"/>
              <w:rPr>
                <w:color w:val="000000"/>
                <w:sz w:val="20"/>
                <w:szCs w:val="20"/>
              </w:rPr>
            </w:pPr>
            <w:r>
              <w:rPr>
                <w:color w:val="000000"/>
                <w:sz w:val="20"/>
                <w:szCs w:val="20"/>
              </w:rPr>
              <w:t>-</w:t>
            </w:r>
          </w:p>
        </w:tc>
        <w:tc>
          <w:tcPr>
            <w:tcW w:w="1874" w:type="dxa"/>
            <w:tcBorders>
              <w:top w:val="nil"/>
              <w:left w:val="nil"/>
              <w:bottom w:val="nil"/>
              <w:right w:val="nil"/>
            </w:tcBorders>
            <w:shd w:val="clear" w:color="auto" w:fill="auto"/>
            <w:noWrap/>
            <w:vAlign w:val="bottom"/>
            <w:hideMark/>
          </w:tcPr>
          <w:p w14:paraId="1C2726F8" w14:textId="77777777" w:rsidR="0072181A" w:rsidRPr="006B4024" w:rsidRDefault="00F52365" w:rsidP="00A060AF">
            <w:pPr>
              <w:spacing w:after="0" w:line="240" w:lineRule="auto"/>
              <w:jc w:val="center"/>
              <w:rPr>
                <w:color w:val="000000"/>
                <w:sz w:val="20"/>
                <w:szCs w:val="20"/>
              </w:rPr>
            </w:pPr>
            <w:r>
              <w:rPr>
                <w:color w:val="000000"/>
                <w:sz w:val="20"/>
                <w:szCs w:val="20"/>
              </w:rPr>
              <w:t>-</w:t>
            </w:r>
          </w:p>
        </w:tc>
        <w:tc>
          <w:tcPr>
            <w:tcW w:w="1673" w:type="dxa"/>
            <w:tcBorders>
              <w:top w:val="nil"/>
              <w:left w:val="nil"/>
              <w:bottom w:val="nil"/>
              <w:right w:val="nil"/>
            </w:tcBorders>
            <w:shd w:val="clear" w:color="auto" w:fill="auto"/>
            <w:noWrap/>
            <w:vAlign w:val="bottom"/>
            <w:hideMark/>
          </w:tcPr>
          <w:p w14:paraId="250EC14D" w14:textId="390A0E5E" w:rsidR="0072181A" w:rsidRPr="006B4024" w:rsidRDefault="0072181A" w:rsidP="00A060AF">
            <w:pPr>
              <w:spacing w:after="0" w:line="240" w:lineRule="auto"/>
              <w:jc w:val="center"/>
              <w:rPr>
                <w:color w:val="000000"/>
                <w:sz w:val="20"/>
                <w:szCs w:val="20"/>
              </w:rPr>
            </w:pPr>
            <w:r w:rsidRPr="006B4024">
              <w:rPr>
                <w:color w:val="000000"/>
                <w:sz w:val="20"/>
                <w:szCs w:val="20"/>
              </w:rPr>
              <w:t>15</w:t>
            </w:r>
            <w:r w:rsidR="00143234">
              <w:rPr>
                <w:color w:val="000000"/>
                <w:sz w:val="20"/>
                <w:szCs w:val="20"/>
              </w:rPr>
              <w:t>,</w:t>
            </w:r>
            <w:r w:rsidRPr="006B4024">
              <w:rPr>
                <w:color w:val="000000"/>
                <w:sz w:val="20"/>
                <w:szCs w:val="20"/>
              </w:rPr>
              <w:t>000</w:t>
            </w:r>
          </w:p>
        </w:tc>
      </w:tr>
      <w:tr w:rsidR="0072181A" w:rsidRPr="003A2F0D" w14:paraId="1E042D4D" w14:textId="77777777" w:rsidTr="00A060AF">
        <w:trPr>
          <w:trHeight w:val="50"/>
        </w:trPr>
        <w:tc>
          <w:tcPr>
            <w:tcW w:w="3293" w:type="dxa"/>
            <w:tcBorders>
              <w:left w:val="nil"/>
              <w:right w:val="nil"/>
            </w:tcBorders>
            <w:shd w:val="clear" w:color="auto" w:fill="auto"/>
            <w:noWrap/>
            <w:vAlign w:val="bottom"/>
            <w:hideMark/>
          </w:tcPr>
          <w:p w14:paraId="0AB600CD" w14:textId="77777777" w:rsidR="0072181A" w:rsidRPr="006B4024" w:rsidRDefault="0072181A" w:rsidP="0072181A">
            <w:pPr>
              <w:spacing w:after="0" w:line="240" w:lineRule="auto"/>
              <w:rPr>
                <w:color w:val="000000"/>
                <w:sz w:val="20"/>
                <w:szCs w:val="20"/>
              </w:rPr>
            </w:pPr>
            <w:r w:rsidRPr="006B4024">
              <w:rPr>
                <w:color w:val="000000"/>
                <w:sz w:val="20"/>
                <w:szCs w:val="20"/>
              </w:rPr>
              <w:t>N fertilizer mineral, kg/ year</w:t>
            </w:r>
          </w:p>
        </w:tc>
        <w:tc>
          <w:tcPr>
            <w:tcW w:w="1876" w:type="dxa"/>
            <w:tcBorders>
              <w:left w:val="nil"/>
              <w:right w:val="nil"/>
            </w:tcBorders>
            <w:shd w:val="clear" w:color="auto" w:fill="auto"/>
            <w:vAlign w:val="bottom"/>
          </w:tcPr>
          <w:p w14:paraId="03498042" w14:textId="77777777" w:rsidR="0072181A" w:rsidRPr="006B4024" w:rsidRDefault="00F52365" w:rsidP="00A060AF">
            <w:pPr>
              <w:spacing w:after="0" w:line="240" w:lineRule="auto"/>
              <w:jc w:val="center"/>
              <w:rPr>
                <w:color w:val="000000"/>
                <w:sz w:val="20"/>
                <w:szCs w:val="20"/>
              </w:rPr>
            </w:pPr>
            <w:r>
              <w:rPr>
                <w:color w:val="000000"/>
                <w:sz w:val="20"/>
                <w:szCs w:val="20"/>
              </w:rPr>
              <w:t>-</w:t>
            </w:r>
          </w:p>
        </w:tc>
        <w:tc>
          <w:tcPr>
            <w:tcW w:w="1874" w:type="dxa"/>
            <w:tcBorders>
              <w:top w:val="nil"/>
              <w:left w:val="nil"/>
              <w:right w:val="nil"/>
            </w:tcBorders>
            <w:shd w:val="clear" w:color="auto" w:fill="auto"/>
            <w:noWrap/>
            <w:vAlign w:val="bottom"/>
            <w:hideMark/>
          </w:tcPr>
          <w:p w14:paraId="35CA17E7" w14:textId="62657C2B" w:rsidR="0072181A" w:rsidRPr="006B4024" w:rsidRDefault="0072181A" w:rsidP="00A060AF">
            <w:pPr>
              <w:spacing w:after="0" w:line="240" w:lineRule="auto"/>
              <w:jc w:val="center"/>
              <w:rPr>
                <w:color w:val="000000"/>
                <w:sz w:val="20"/>
                <w:szCs w:val="20"/>
              </w:rPr>
            </w:pPr>
            <w:r w:rsidRPr="006B4024">
              <w:rPr>
                <w:color w:val="000000"/>
                <w:sz w:val="20"/>
                <w:szCs w:val="20"/>
              </w:rPr>
              <w:t>13</w:t>
            </w:r>
            <w:r w:rsidR="00143234">
              <w:rPr>
                <w:color w:val="000000"/>
                <w:sz w:val="20"/>
                <w:szCs w:val="20"/>
              </w:rPr>
              <w:t>,</w:t>
            </w:r>
            <w:r w:rsidRPr="006B4024">
              <w:rPr>
                <w:color w:val="000000"/>
                <w:sz w:val="20"/>
                <w:szCs w:val="20"/>
              </w:rPr>
              <w:t>400</w:t>
            </w:r>
          </w:p>
        </w:tc>
        <w:tc>
          <w:tcPr>
            <w:tcW w:w="1673" w:type="dxa"/>
            <w:tcBorders>
              <w:top w:val="nil"/>
              <w:left w:val="nil"/>
              <w:right w:val="nil"/>
            </w:tcBorders>
            <w:shd w:val="clear" w:color="auto" w:fill="auto"/>
            <w:noWrap/>
            <w:vAlign w:val="bottom"/>
            <w:hideMark/>
          </w:tcPr>
          <w:p w14:paraId="2503CE0A" w14:textId="00EA56A1" w:rsidR="0072181A" w:rsidRPr="006B4024" w:rsidRDefault="0072181A" w:rsidP="00A060AF">
            <w:pPr>
              <w:spacing w:after="0" w:line="240" w:lineRule="auto"/>
              <w:jc w:val="center"/>
              <w:rPr>
                <w:color w:val="000000"/>
                <w:sz w:val="20"/>
                <w:szCs w:val="20"/>
              </w:rPr>
            </w:pPr>
            <w:r w:rsidRPr="006B4024">
              <w:rPr>
                <w:color w:val="000000"/>
                <w:sz w:val="20"/>
                <w:szCs w:val="20"/>
              </w:rPr>
              <w:t>33</w:t>
            </w:r>
            <w:r w:rsidR="00143234">
              <w:rPr>
                <w:color w:val="000000"/>
                <w:sz w:val="20"/>
                <w:szCs w:val="20"/>
              </w:rPr>
              <w:t>,</w:t>
            </w:r>
            <w:r w:rsidRPr="006B4024">
              <w:rPr>
                <w:color w:val="000000"/>
                <w:sz w:val="20"/>
                <w:szCs w:val="20"/>
              </w:rPr>
              <w:t>500</w:t>
            </w:r>
          </w:p>
        </w:tc>
      </w:tr>
      <w:tr w:rsidR="0072181A" w:rsidRPr="003A2F0D" w14:paraId="03C12FBE" w14:textId="77777777" w:rsidTr="0072181A">
        <w:trPr>
          <w:trHeight w:val="50"/>
        </w:trPr>
        <w:tc>
          <w:tcPr>
            <w:tcW w:w="3293" w:type="dxa"/>
            <w:tcBorders>
              <w:top w:val="nil"/>
              <w:left w:val="nil"/>
              <w:bottom w:val="single" w:sz="4" w:space="0" w:color="auto"/>
              <w:right w:val="nil"/>
            </w:tcBorders>
            <w:shd w:val="clear" w:color="auto" w:fill="auto"/>
            <w:noWrap/>
            <w:vAlign w:val="bottom"/>
            <w:hideMark/>
          </w:tcPr>
          <w:p w14:paraId="214AAA62" w14:textId="77777777" w:rsidR="0072181A" w:rsidRPr="006B4024" w:rsidRDefault="0072181A" w:rsidP="00A060AF">
            <w:pPr>
              <w:spacing w:after="0" w:line="240" w:lineRule="auto"/>
              <w:rPr>
                <w:color w:val="000000"/>
                <w:sz w:val="20"/>
                <w:szCs w:val="20"/>
              </w:rPr>
            </w:pPr>
            <w:r w:rsidRPr="006B4024">
              <w:rPr>
                <w:color w:val="000000"/>
                <w:sz w:val="20"/>
                <w:szCs w:val="20"/>
              </w:rPr>
              <w:t>N at the field</w:t>
            </w:r>
          </w:p>
        </w:tc>
        <w:tc>
          <w:tcPr>
            <w:tcW w:w="1876" w:type="dxa"/>
            <w:tcBorders>
              <w:top w:val="nil"/>
              <w:left w:val="nil"/>
              <w:bottom w:val="single" w:sz="4" w:space="0" w:color="auto"/>
              <w:right w:val="nil"/>
            </w:tcBorders>
            <w:shd w:val="clear" w:color="auto" w:fill="auto"/>
            <w:noWrap/>
            <w:vAlign w:val="bottom"/>
            <w:hideMark/>
          </w:tcPr>
          <w:p w14:paraId="4877290C" w14:textId="51D6089C" w:rsidR="0072181A" w:rsidRPr="006B4024" w:rsidRDefault="0072181A" w:rsidP="00A060AF">
            <w:pPr>
              <w:spacing w:after="0" w:line="240" w:lineRule="auto"/>
              <w:jc w:val="center"/>
              <w:rPr>
                <w:color w:val="000000"/>
                <w:sz w:val="20"/>
                <w:szCs w:val="20"/>
              </w:rPr>
            </w:pPr>
            <w:r w:rsidRPr="006B4024">
              <w:rPr>
                <w:color w:val="000000"/>
                <w:sz w:val="20"/>
                <w:szCs w:val="20"/>
              </w:rPr>
              <w:t>36</w:t>
            </w:r>
            <w:r w:rsidR="00143234">
              <w:rPr>
                <w:color w:val="000000"/>
                <w:sz w:val="20"/>
                <w:szCs w:val="20"/>
              </w:rPr>
              <w:t>,</w:t>
            </w:r>
            <w:r w:rsidRPr="006B4024">
              <w:rPr>
                <w:color w:val="000000"/>
                <w:sz w:val="20"/>
                <w:szCs w:val="20"/>
              </w:rPr>
              <w:t>200</w:t>
            </w:r>
          </w:p>
        </w:tc>
        <w:tc>
          <w:tcPr>
            <w:tcW w:w="1874" w:type="dxa"/>
            <w:tcBorders>
              <w:top w:val="nil"/>
              <w:left w:val="nil"/>
              <w:bottom w:val="single" w:sz="4" w:space="0" w:color="auto"/>
              <w:right w:val="nil"/>
            </w:tcBorders>
            <w:shd w:val="clear" w:color="auto" w:fill="auto"/>
            <w:noWrap/>
            <w:vAlign w:val="bottom"/>
            <w:hideMark/>
          </w:tcPr>
          <w:p w14:paraId="1E6E9B16" w14:textId="77777777" w:rsidR="0072181A" w:rsidRPr="006B4024" w:rsidRDefault="00F52365" w:rsidP="00A060AF">
            <w:pPr>
              <w:spacing w:after="0" w:line="240" w:lineRule="auto"/>
              <w:jc w:val="center"/>
              <w:rPr>
                <w:color w:val="000000"/>
                <w:sz w:val="20"/>
                <w:szCs w:val="20"/>
              </w:rPr>
            </w:pPr>
            <w:r>
              <w:rPr>
                <w:color w:val="000000"/>
                <w:sz w:val="20"/>
                <w:szCs w:val="20"/>
              </w:rPr>
              <w:t>-</w:t>
            </w:r>
          </w:p>
        </w:tc>
        <w:tc>
          <w:tcPr>
            <w:tcW w:w="1673" w:type="dxa"/>
            <w:tcBorders>
              <w:top w:val="nil"/>
              <w:left w:val="nil"/>
              <w:bottom w:val="single" w:sz="4" w:space="0" w:color="auto"/>
              <w:right w:val="nil"/>
            </w:tcBorders>
            <w:shd w:val="clear" w:color="auto" w:fill="auto"/>
            <w:noWrap/>
            <w:vAlign w:val="bottom"/>
            <w:hideMark/>
          </w:tcPr>
          <w:p w14:paraId="144059C9" w14:textId="6A595A4E" w:rsidR="0072181A" w:rsidRPr="006B4024" w:rsidRDefault="0072181A" w:rsidP="00A060AF">
            <w:pPr>
              <w:spacing w:after="0" w:line="240" w:lineRule="auto"/>
              <w:jc w:val="center"/>
              <w:rPr>
                <w:color w:val="000000"/>
                <w:sz w:val="20"/>
                <w:szCs w:val="20"/>
              </w:rPr>
            </w:pPr>
            <w:r w:rsidRPr="006B4024">
              <w:rPr>
                <w:color w:val="000000"/>
                <w:sz w:val="20"/>
                <w:szCs w:val="20"/>
              </w:rPr>
              <w:t>39</w:t>
            </w:r>
            <w:r w:rsidR="00143234">
              <w:rPr>
                <w:color w:val="000000"/>
                <w:sz w:val="20"/>
                <w:szCs w:val="20"/>
              </w:rPr>
              <w:t>,</w:t>
            </w:r>
            <w:r w:rsidRPr="006B4024">
              <w:rPr>
                <w:color w:val="000000"/>
                <w:sz w:val="20"/>
                <w:szCs w:val="20"/>
              </w:rPr>
              <w:t>463</w:t>
            </w:r>
          </w:p>
        </w:tc>
      </w:tr>
      <w:tr w:rsidR="0072181A" w:rsidRPr="003A2F0D" w14:paraId="63718949" w14:textId="77777777" w:rsidTr="0072181A">
        <w:trPr>
          <w:trHeight w:val="50"/>
        </w:trPr>
        <w:tc>
          <w:tcPr>
            <w:tcW w:w="3293" w:type="dxa"/>
            <w:tcBorders>
              <w:top w:val="single" w:sz="4" w:space="0" w:color="auto"/>
              <w:left w:val="nil"/>
              <w:bottom w:val="nil"/>
              <w:right w:val="nil"/>
            </w:tcBorders>
            <w:shd w:val="clear" w:color="auto" w:fill="auto"/>
            <w:noWrap/>
            <w:vAlign w:val="bottom"/>
            <w:hideMark/>
          </w:tcPr>
          <w:p w14:paraId="25513696" w14:textId="77777777" w:rsidR="0072181A" w:rsidRPr="006B4024" w:rsidRDefault="0072181A" w:rsidP="00A060AF">
            <w:pPr>
              <w:spacing w:after="0" w:line="240" w:lineRule="auto"/>
              <w:rPr>
                <w:color w:val="000000"/>
                <w:sz w:val="20"/>
                <w:szCs w:val="20"/>
              </w:rPr>
            </w:pPr>
            <w:r w:rsidRPr="006B4024">
              <w:rPr>
                <w:color w:val="000000"/>
                <w:sz w:val="20"/>
                <w:szCs w:val="20"/>
              </w:rPr>
              <w:t>diesel, L/ year</w:t>
            </w:r>
          </w:p>
        </w:tc>
        <w:tc>
          <w:tcPr>
            <w:tcW w:w="1876" w:type="dxa"/>
            <w:tcBorders>
              <w:top w:val="single" w:sz="4" w:space="0" w:color="auto"/>
              <w:left w:val="nil"/>
              <w:bottom w:val="nil"/>
              <w:right w:val="nil"/>
            </w:tcBorders>
            <w:shd w:val="clear" w:color="auto" w:fill="auto"/>
            <w:noWrap/>
            <w:vAlign w:val="bottom"/>
            <w:hideMark/>
          </w:tcPr>
          <w:p w14:paraId="37A7D290" w14:textId="2A8318A4" w:rsidR="0072181A" w:rsidRPr="006B4024" w:rsidRDefault="0072181A" w:rsidP="00143234">
            <w:pPr>
              <w:spacing w:after="0" w:line="240" w:lineRule="auto"/>
              <w:jc w:val="center"/>
              <w:rPr>
                <w:color w:val="000000"/>
                <w:sz w:val="20"/>
                <w:szCs w:val="20"/>
              </w:rPr>
            </w:pPr>
            <w:r w:rsidRPr="006B4024">
              <w:rPr>
                <w:color w:val="000000"/>
                <w:sz w:val="20"/>
                <w:szCs w:val="20"/>
              </w:rPr>
              <w:t>1</w:t>
            </w:r>
            <w:r w:rsidR="00143234">
              <w:rPr>
                <w:color w:val="000000"/>
                <w:sz w:val="20"/>
                <w:szCs w:val="20"/>
              </w:rPr>
              <w:t>.</w:t>
            </w:r>
            <w:r w:rsidRPr="006B4024">
              <w:rPr>
                <w:color w:val="000000"/>
                <w:sz w:val="20"/>
                <w:szCs w:val="20"/>
              </w:rPr>
              <w:t>10E+05</w:t>
            </w:r>
          </w:p>
        </w:tc>
        <w:tc>
          <w:tcPr>
            <w:tcW w:w="1874" w:type="dxa"/>
            <w:tcBorders>
              <w:top w:val="single" w:sz="4" w:space="0" w:color="auto"/>
              <w:left w:val="nil"/>
              <w:bottom w:val="nil"/>
              <w:right w:val="nil"/>
            </w:tcBorders>
            <w:shd w:val="clear" w:color="auto" w:fill="auto"/>
            <w:noWrap/>
            <w:vAlign w:val="bottom"/>
            <w:hideMark/>
          </w:tcPr>
          <w:p w14:paraId="3C45AF63" w14:textId="02551397" w:rsidR="0072181A" w:rsidRPr="006B4024" w:rsidRDefault="0072181A" w:rsidP="00143234">
            <w:pPr>
              <w:spacing w:after="0" w:line="240" w:lineRule="auto"/>
              <w:jc w:val="center"/>
              <w:rPr>
                <w:color w:val="000000"/>
                <w:sz w:val="20"/>
                <w:szCs w:val="20"/>
              </w:rPr>
            </w:pPr>
            <w:r w:rsidRPr="006B4024">
              <w:rPr>
                <w:color w:val="000000"/>
                <w:sz w:val="20"/>
                <w:szCs w:val="20"/>
              </w:rPr>
              <w:t>6</w:t>
            </w:r>
            <w:r w:rsidR="00143234">
              <w:rPr>
                <w:color w:val="000000"/>
                <w:sz w:val="20"/>
                <w:szCs w:val="20"/>
              </w:rPr>
              <w:t>.</w:t>
            </w:r>
            <w:r w:rsidRPr="006B4024">
              <w:rPr>
                <w:color w:val="000000"/>
                <w:sz w:val="20"/>
                <w:szCs w:val="20"/>
              </w:rPr>
              <w:t>00E+04</w:t>
            </w:r>
          </w:p>
        </w:tc>
        <w:tc>
          <w:tcPr>
            <w:tcW w:w="1673" w:type="dxa"/>
            <w:tcBorders>
              <w:top w:val="single" w:sz="4" w:space="0" w:color="auto"/>
              <w:left w:val="nil"/>
              <w:bottom w:val="nil"/>
              <w:right w:val="nil"/>
            </w:tcBorders>
            <w:shd w:val="clear" w:color="auto" w:fill="auto"/>
            <w:noWrap/>
            <w:vAlign w:val="bottom"/>
            <w:hideMark/>
          </w:tcPr>
          <w:p w14:paraId="586630F8" w14:textId="14DD2A53" w:rsidR="0072181A" w:rsidRPr="006B4024" w:rsidRDefault="0072181A" w:rsidP="00143234">
            <w:pPr>
              <w:spacing w:after="0" w:line="240" w:lineRule="auto"/>
              <w:jc w:val="center"/>
              <w:rPr>
                <w:color w:val="000000"/>
                <w:sz w:val="20"/>
                <w:szCs w:val="20"/>
              </w:rPr>
            </w:pPr>
            <w:r w:rsidRPr="006B4024">
              <w:rPr>
                <w:color w:val="000000"/>
                <w:sz w:val="20"/>
                <w:szCs w:val="20"/>
              </w:rPr>
              <w:t>1</w:t>
            </w:r>
            <w:r w:rsidR="00143234">
              <w:rPr>
                <w:color w:val="000000"/>
                <w:sz w:val="20"/>
                <w:szCs w:val="20"/>
              </w:rPr>
              <w:t>.</w:t>
            </w:r>
            <w:r w:rsidRPr="006B4024">
              <w:rPr>
                <w:color w:val="000000"/>
                <w:sz w:val="20"/>
                <w:szCs w:val="20"/>
              </w:rPr>
              <w:t>00E+05</w:t>
            </w:r>
          </w:p>
        </w:tc>
      </w:tr>
      <w:tr w:rsidR="0072181A" w:rsidRPr="003A2F0D" w14:paraId="53D2499A" w14:textId="77777777" w:rsidTr="0072181A">
        <w:trPr>
          <w:trHeight w:val="50"/>
        </w:trPr>
        <w:tc>
          <w:tcPr>
            <w:tcW w:w="3293" w:type="dxa"/>
            <w:tcBorders>
              <w:top w:val="nil"/>
              <w:left w:val="nil"/>
              <w:bottom w:val="nil"/>
              <w:right w:val="nil"/>
            </w:tcBorders>
            <w:shd w:val="clear" w:color="auto" w:fill="auto"/>
            <w:noWrap/>
            <w:vAlign w:val="bottom"/>
            <w:hideMark/>
          </w:tcPr>
          <w:p w14:paraId="15ACA4A4" w14:textId="77777777" w:rsidR="0072181A" w:rsidRPr="006B4024" w:rsidRDefault="0072181A" w:rsidP="00A060AF">
            <w:pPr>
              <w:spacing w:after="0" w:line="240" w:lineRule="auto"/>
              <w:rPr>
                <w:color w:val="000000"/>
                <w:sz w:val="20"/>
                <w:szCs w:val="20"/>
              </w:rPr>
            </w:pPr>
            <w:r w:rsidRPr="006B4024">
              <w:rPr>
                <w:color w:val="000000"/>
                <w:sz w:val="20"/>
                <w:szCs w:val="20"/>
              </w:rPr>
              <w:lastRenderedPageBreak/>
              <w:t>oil, L/ year</w:t>
            </w:r>
          </w:p>
        </w:tc>
        <w:tc>
          <w:tcPr>
            <w:tcW w:w="1876" w:type="dxa"/>
            <w:tcBorders>
              <w:top w:val="nil"/>
              <w:left w:val="nil"/>
              <w:bottom w:val="nil"/>
              <w:right w:val="nil"/>
            </w:tcBorders>
            <w:shd w:val="clear" w:color="auto" w:fill="auto"/>
            <w:noWrap/>
            <w:vAlign w:val="bottom"/>
            <w:hideMark/>
          </w:tcPr>
          <w:p w14:paraId="1B34E95E" w14:textId="03AD7AEA" w:rsidR="0072181A" w:rsidRPr="006B4024" w:rsidRDefault="0072181A" w:rsidP="00143234">
            <w:pPr>
              <w:spacing w:after="0" w:line="240" w:lineRule="auto"/>
              <w:jc w:val="center"/>
              <w:rPr>
                <w:color w:val="000000"/>
                <w:sz w:val="20"/>
                <w:szCs w:val="20"/>
              </w:rPr>
            </w:pPr>
            <w:r w:rsidRPr="006B4024">
              <w:rPr>
                <w:color w:val="000000"/>
                <w:sz w:val="20"/>
                <w:szCs w:val="20"/>
              </w:rPr>
              <w:t>1</w:t>
            </w:r>
            <w:r w:rsidR="00143234">
              <w:rPr>
                <w:color w:val="000000"/>
                <w:sz w:val="20"/>
                <w:szCs w:val="20"/>
              </w:rPr>
              <w:t>.</w:t>
            </w:r>
            <w:r w:rsidRPr="006B4024">
              <w:rPr>
                <w:color w:val="000000"/>
                <w:sz w:val="20"/>
                <w:szCs w:val="20"/>
              </w:rPr>
              <w:t>28E+03</w:t>
            </w:r>
          </w:p>
        </w:tc>
        <w:tc>
          <w:tcPr>
            <w:tcW w:w="1874" w:type="dxa"/>
            <w:tcBorders>
              <w:top w:val="nil"/>
              <w:left w:val="nil"/>
              <w:bottom w:val="nil"/>
              <w:right w:val="nil"/>
            </w:tcBorders>
            <w:shd w:val="clear" w:color="auto" w:fill="auto"/>
            <w:noWrap/>
            <w:vAlign w:val="bottom"/>
            <w:hideMark/>
          </w:tcPr>
          <w:p w14:paraId="57E9810E" w14:textId="31511570" w:rsidR="0072181A" w:rsidRPr="006B4024" w:rsidRDefault="0072181A" w:rsidP="00143234">
            <w:pPr>
              <w:spacing w:after="0" w:line="240" w:lineRule="auto"/>
              <w:jc w:val="center"/>
              <w:rPr>
                <w:color w:val="000000"/>
                <w:sz w:val="20"/>
                <w:szCs w:val="20"/>
              </w:rPr>
            </w:pPr>
            <w:r w:rsidRPr="006B4024">
              <w:rPr>
                <w:color w:val="000000"/>
                <w:sz w:val="20"/>
                <w:szCs w:val="20"/>
              </w:rPr>
              <w:t>5</w:t>
            </w:r>
            <w:r w:rsidR="00143234">
              <w:rPr>
                <w:color w:val="000000"/>
                <w:sz w:val="20"/>
                <w:szCs w:val="20"/>
              </w:rPr>
              <w:t>.</w:t>
            </w:r>
            <w:r w:rsidRPr="006B4024">
              <w:rPr>
                <w:color w:val="000000"/>
                <w:sz w:val="20"/>
                <w:szCs w:val="20"/>
              </w:rPr>
              <w:t>00E+02</w:t>
            </w:r>
          </w:p>
        </w:tc>
        <w:tc>
          <w:tcPr>
            <w:tcW w:w="1673" w:type="dxa"/>
            <w:tcBorders>
              <w:top w:val="nil"/>
              <w:left w:val="nil"/>
              <w:bottom w:val="nil"/>
              <w:right w:val="nil"/>
            </w:tcBorders>
            <w:shd w:val="clear" w:color="auto" w:fill="auto"/>
            <w:noWrap/>
            <w:vAlign w:val="bottom"/>
            <w:hideMark/>
          </w:tcPr>
          <w:p w14:paraId="3408E1FC" w14:textId="0EB02688" w:rsidR="0072181A" w:rsidRPr="006B4024" w:rsidRDefault="0072181A" w:rsidP="00143234">
            <w:pPr>
              <w:spacing w:after="0" w:line="240" w:lineRule="auto"/>
              <w:jc w:val="center"/>
              <w:rPr>
                <w:color w:val="000000"/>
                <w:sz w:val="20"/>
                <w:szCs w:val="20"/>
              </w:rPr>
            </w:pPr>
            <w:r w:rsidRPr="006B4024">
              <w:rPr>
                <w:color w:val="000000"/>
                <w:sz w:val="20"/>
                <w:szCs w:val="20"/>
              </w:rPr>
              <w:t>8</w:t>
            </w:r>
            <w:r w:rsidR="00143234">
              <w:rPr>
                <w:color w:val="000000"/>
                <w:sz w:val="20"/>
                <w:szCs w:val="20"/>
              </w:rPr>
              <w:t>.</w:t>
            </w:r>
            <w:r w:rsidRPr="006B4024">
              <w:rPr>
                <w:color w:val="000000"/>
                <w:sz w:val="20"/>
                <w:szCs w:val="20"/>
              </w:rPr>
              <w:t>56E+02</w:t>
            </w:r>
          </w:p>
        </w:tc>
      </w:tr>
      <w:tr w:rsidR="0072181A" w:rsidRPr="003A2F0D" w14:paraId="2A49CB9E" w14:textId="77777777" w:rsidTr="0072181A">
        <w:trPr>
          <w:trHeight w:val="50"/>
        </w:trPr>
        <w:tc>
          <w:tcPr>
            <w:tcW w:w="3293" w:type="dxa"/>
            <w:tcBorders>
              <w:top w:val="nil"/>
              <w:left w:val="nil"/>
              <w:bottom w:val="nil"/>
              <w:right w:val="nil"/>
            </w:tcBorders>
            <w:shd w:val="clear" w:color="auto" w:fill="auto"/>
            <w:noWrap/>
            <w:vAlign w:val="bottom"/>
            <w:hideMark/>
          </w:tcPr>
          <w:p w14:paraId="455E769B" w14:textId="77777777" w:rsidR="0072181A" w:rsidRPr="006B4024" w:rsidRDefault="0072181A" w:rsidP="00A060AF">
            <w:pPr>
              <w:spacing w:after="0" w:line="240" w:lineRule="auto"/>
              <w:rPr>
                <w:color w:val="000000"/>
                <w:sz w:val="20"/>
                <w:szCs w:val="20"/>
              </w:rPr>
            </w:pPr>
            <w:r w:rsidRPr="006B4024">
              <w:rPr>
                <w:color w:val="000000"/>
                <w:sz w:val="20"/>
                <w:szCs w:val="20"/>
              </w:rPr>
              <w:t>electricity, kWh/ year</w:t>
            </w:r>
          </w:p>
        </w:tc>
        <w:tc>
          <w:tcPr>
            <w:tcW w:w="1876" w:type="dxa"/>
            <w:tcBorders>
              <w:top w:val="nil"/>
              <w:left w:val="nil"/>
              <w:bottom w:val="nil"/>
              <w:right w:val="nil"/>
            </w:tcBorders>
            <w:shd w:val="clear" w:color="auto" w:fill="auto"/>
            <w:noWrap/>
            <w:vAlign w:val="bottom"/>
            <w:hideMark/>
          </w:tcPr>
          <w:p w14:paraId="53F8F418" w14:textId="16C2F5C4" w:rsidR="0072181A" w:rsidRPr="006B4024" w:rsidRDefault="0072181A" w:rsidP="00143234">
            <w:pPr>
              <w:spacing w:after="0" w:line="240" w:lineRule="auto"/>
              <w:jc w:val="center"/>
              <w:rPr>
                <w:color w:val="000000"/>
                <w:sz w:val="20"/>
                <w:szCs w:val="20"/>
              </w:rPr>
            </w:pPr>
            <w:r w:rsidRPr="006B4024">
              <w:rPr>
                <w:color w:val="000000"/>
                <w:sz w:val="20"/>
                <w:szCs w:val="20"/>
              </w:rPr>
              <w:t>1</w:t>
            </w:r>
            <w:r w:rsidR="00143234">
              <w:rPr>
                <w:color w:val="000000"/>
                <w:sz w:val="20"/>
                <w:szCs w:val="20"/>
              </w:rPr>
              <w:t>.</w:t>
            </w:r>
            <w:r w:rsidRPr="006B4024">
              <w:rPr>
                <w:color w:val="000000"/>
                <w:sz w:val="20"/>
                <w:szCs w:val="20"/>
              </w:rPr>
              <w:t>05E+05</w:t>
            </w:r>
          </w:p>
        </w:tc>
        <w:tc>
          <w:tcPr>
            <w:tcW w:w="1874" w:type="dxa"/>
            <w:tcBorders>
              <w:top w:val="nil"/>
              <w:left w:val="nil"/>
              <w:bottom w:val="nil"/>
              <w:right w:val="nil"/>
            </w:tcBorders>
            <w:shd w:val="clear" w:color="auto" w:fill="auto"/>
            <w:noWrap/>
            <w:vAlign w:val="bottom"/>
            <w:hideMark/>
          </w:tcPr>
          <w:p w14:paraId="10B92A1E" w14:textId="505B292F" w:rsidR="0072181A" w:rsidRPr="006B4024" w:rsidRDefault="0072181A" w:rsidP="00143234">
            <w:pPr>
              <w:spacing w:after="0" w:line="240" w:lineRule="auto"/>
              <w:jc w:val="center"/>
              <w:rPr>
                <w:color w:val="000000"/>
                <w:sz w:val="20"/>
                <w:szCs w:val="20"/>
              </w:rPr>
            </w:pPr>
            <w:r w:rsidRPr="006B4024">
              <w:rPr>
                <w:color w:val="000000"/>
                <w:sz w:val="20"/>
                <w:szCs w:val="20"/>
              </w:rPr>
              <w:t>7</w:t>
            </w:r>
            <w:r w:rsidR="00143234">
              <w:rPr>
                <w:color w:val="000000"/>
                <w:sz w:val="20"/>
                <w:szCs w:val="20"/>
              </w:rPr>
              <w:t>.</w:t>
            </w:r>
            <w:r w:rsidRPr="006B4024">
              <w:rPr>
                <w:color w:val="000000"/>
                <w:sz w:val="20"/>
                <w:szCs w:val="20"/>
              </w:rPr>
              <w:t>38E+04</w:t>
            </w:r>
          </w:p>
        </w:tc>
        <w:tc>
          <w:tcPr>
            <w:tcW w:w="1673" w:type="dxa"/>
            <w:tcBorders>
              <w:top w:val="nil"/>
              <w:left w:val="nil"/>
              <w:bottom w:val="nil"/>
              <w:right w:val="nil"/>
            </w:tcBorders>
            <w:shd w:val="clear" w:color="auto" w:fill="auto"/>
            <w:noWrap/>
            <w:vAlign w:val="bottom"/>
            <w:hideMark/>
          </w:tcPr>
          <w:p w14:paraId="2A917BDE" w14:textId="5447C6C4" w:rsidR="0072181A" w:rsidRPr="006B4024" w:rsidRDefault="0072181A" w:rsidP="00143234">
            <w:pPr>
              <w:spacing w:after="0" w:line="240" w:lineRule="auto"/>
              <w:jc w:val="center"/>
              <w:rPr>
                <w:color w:val="000000"/>
                <w:sz w:val="20"/>
                <w:szCs w:val="20"/>
              </w:rPr>
            </w:pPr>
            <w:r w:rsidRPr="006B4024">
              <w:rPr>
                <w:color w:val="000000"/>
                <w:sz w:val="20"/>
                <w:szCs w:val="20"/>
              </w:rPr>
              <w:t>3</w:t>
            </w:r>
            <w:r w:rsidR="00143234">
              <w:rPr>
                <w:color w:val="000000"/>
                <w:sz w:val="20"/>
                <w:szCs w:val="20"/>
              </w:rPr>
              <w:t>.</w:t>
            </w:r>
            <w:r w:rsidRPr="006B4024">
              <w:rPr>
                <w:color w:val="000000"/>
                <w:sz w:val="20"/>
                <w:szCs w:val="20"/>
              </w:rPr>
              <w:t>52E+04</w:t>
            </w:r>
          </w:p>
        </w:tc>
      </w:tr>
      <w:tr w:rsidR="0072181A" w:rsidRPr="003A2F0D" w14:paraId="0C908C13" w14:textId="77777777" w:rsidTr="0072181A">
        <w:trPr>
          <w:trHeight w:val="50"/>
        </w:trPr>
        <w:tc>
          <w:tcPr>
            <w:tcW w:w="3293" w:type="dxa"/>
            <w:tcBorders>
              <w:top w:val="nil"/>
              <w:left w:val="nil"/>
              <w:bottom w:val="nil"/>
              <w:right w:val="nil"/>
            </w:tcBorders>
            <w:shd w:val="clear" w:color="auto" w:fill="auto"/>
            <w:noWrap/>
            <w:vAlign w:val="bottom"/>
            <w:hideMark/>
          </w:tcPr>
          <w:p w14:paraId="6C152950" w14:textId="77777777" w:rsidR="0072181A" w:rsidRPr="006B4024" w:rsidRDefault="001B7B10" w:rsidP="00A060AF">
            <w:pPr>
              <w:spacing w:after="0" w:line="240" w:lineRule="auto"/>
              <w:rPr>
                <w:color w:val="000000"/>
                <w:sz w:val="20"/>
                <w:szCs w:val="20"/>
              </w:rPr>
            </w:pPr>
            <w:r w:rsidRPr="006B4024">
              <w:rPr>
                <w:color w:val="000000"/>
                <w:sz w:val="20"/>
                <w:szCs w:val="20"/>
              </w:rPr>
              <w:t>E</w:t>
            </w:r>
            <w:r w:rsidR="0072181A" w:rsidRPr="006B4024">
              <w:rPr>
                <w:color w:val="000000"/>
                <w:sz w:val="20"/>
                <w:szCs w:val="20"/>
              </w:rPr>
              <w:t>lectricity</w:t>
            </w:r>
            <w:r>
              <w:rPr>
                <w:color w:val="000000"/>
                <w:sz w:val="20"/>
                <w:szCs w:val="20"/>
              </w:rPr>
              <w:t xml:space="preserve"> surplus</w:t>
            </w:r>
            <w:r w:rsidR="0072181A" w:rsidRPr="006B4024">
              <w:rPr>
                <w:color w:val="000000"/>
                <w:sz w:val="20"/>
                <w:szCs w:val="20"/>
              </w:rPr>
              <w:t>, kWh/ year</w:t>
            </w:r>
          </w:p>
        </w:tc>
        <w:tc>
          <w:tcPr>
            <w:tcW w:w="1876" w:type="dxa"/>
            <w:tcBorders>
              <w:top w:val="nil"/>
              <w:left w:val="nil"/>
              <w:bottom w:val="nil"/>
              <w:right w:val="nil"/>
            </w:tcBorders>
            <w:shd w:val="clear" w:color="auto" w:fill="auto"/>
            <w:noWrap/>
            <w:vAlign w:val="bottom"/>
            <w:hideMark/>
          </w:tcPr>
          <w:p w14:paraId="02DED5C1" w14:textId="60A12D1C" w:rsidR="0072181A" w:rsidRPr="006B4024" w:rsidRDefault="001B7B10" w:rsidP="00143234">
            <w:pPr>
              <w:spacing w:after="0" w:line="240" w:lineRule="auto"/>
              <w:jc w:val="center"/>
              <w:rPr>
                <w:color w:val="000000"/>
                <w:sz w:val="20"/>
                <w:szCs w:val="20"/>
              </w:rPr>
            </w:pPr>
            <w:r>
              <w:rPr>
                <w:color w:val="000000"/>
                <w:sz w:val="20"/>
                <w:szCs w:val="20"/>
              </w:rPr>
              <w:t>2</w:t>
            </w:r>
            <w:r w:rsidR="00143234">
              <w:rPr>
                <w:color w:val="000000"/>
                <w:sz w:val="20"/>
                <w:szCs w:val="20"/>
              </w:rPr>
              <w:t>.</w:t>
            </w:r>
            <w:r>
              <w:rPr>
                <w:color w:val="000000"/>
                <w:sz w:val="20"/>
                <w:szCs w:val="20"/>
              </w:rPr>
              <w:t>25</w:t>
            </w:r>
            <w:r w:rsidRPr="006B4024">
              <w:rPr>
                <w:color w:val="000000"/>
                <w:sz w:val="20"/>
                <w:szCs w:val="20"/>
              </w:rPr>
              <w:t>E</w:t>
            </w:r>
            <w:r w:rsidR="0072181A" w:rsidRPr="006B4024">
              <w:rPr>
                <w:color w:val="000000"/>
                <w:sz w:val="20"/>
                <w:szCs w:val="20"/>
              </w:rPr>
              <w:t>+06</w:t>
            </w:r>
          </w:p>
        </w:tc>
        <w:tc>
          <w:tcPr>
            <w:tcW w:w="1874" w:type="dxa"/>
            <w:tcBorders>
              <w:top w:val="nil"/>
              <w:left w:val="nil"/>
              <w:bottom w:val="nil"/>
              <w:right w:val="nil"/>
            </w:tcBorders>
            <w:shd w:val="clear" w:color="auto" w:fill="auto"/>
            <w:noWrap/>
            <w:vAlign w:val="bottom"/>
            <w:hideMark/>
          </w:tcPr>
          <w:p w14:paraId="39BB11F9" w14:textId="224C7832" w:rsidR="0072181A" w:rsidRPr="006B4024" w:rsidRDefault="001B7B10" w:rsidP="00143234">
            <w:pPr>
              <w:spacing w:after="0" w:line="240" w:lineRule="auto"/>
              <w:jc w:val="center"/>
              <w:rPr>
                <w:color w:val="000000"/>
                <w:sz w:val="20"/>
                <w:szCs w:val="20"/>
              </w:rPr>
            </w:pPr>
            <w:r>
              <w:rPr>
                <w:color w:val="000000"/>
                <w:sz w:val="20"/>
                <w:szCs w:val="20"/>
              </w:rPr>
              <w:t>1</w:t>
            </w:r>
            <w:r w:rsidR="00143234">
              <w:rPr>
                <w:color w:val="000000"/>
                <w:sz w:val="20"/>
                <w:szCs w:val="20"/>
              </w:rPr>
              <w:t>.</w:t>
            </w:r>
            <w:r>
              <w:rPr>
                <w:color w:val="000000"/>
                <w:sz w:val="20"/>
                <w:szCs w:val="20"/>
              </w:rPr>
              <w:t>76</w:t>
            </w:r>
            <w:r w:rsidRPr="006B4024">
              <w:rPr>
                <w:color w:val="000000"/>
                <w:sz w:val="20"/>
                <w:szCs w:val="20"/>
              </w:rPr>
              <w:t>E</w:t>
            </w:r>
            <w:r w:rsidR="0072181A" w:rsidRPr="006B4024">
              <w:rPr>
                <w:color w:val="000000"/>
                <w:sz w:val="20"/>
                <w:szCs w:val="20"/>
              </w:rPr>
              <w:t>+</w:t>
            </w:r>
            <w:r w:rsidRPr="006B4024">
              <w:rPr>
                <w:color w:val="000000"/>
                <w:sz w:val="20"/>
                <w:szCs w:val="20"/>
              </w:rPr>
              <w:t>0</w:t>
            </w:r>
            <w:r>
              <w:rPr>
                <w:color w:val="000000"/>
                <w:sz w:val="20"/>
                <w:szCs w:val="20"/>
              </w:rPr>
              <w:t>6</w:t>
            </w:r>
          </w:p>
        </w:tc>
        <w:tc>
          <w:tcPr>
            <w:tcW w:w="1673" w:type="dxa"/>
            <w:tcBorders>
              <w:top w:val="nil"/>
              <w:left w:val="nil"/>
              <w:bottom w:val="nil"/>
              <w:right w:val="nil"/>
            </w:tcBorders>
            <w:shd w:val="clear" w:color="auto" w:fill="auto"/>
            <w:noWrap/>
            <w:vAlign w:val="bottom"/>
            <w:hideMark/>
          </w:tcPr>
          <w:p w14:paraId="58AD5486" w14:textId="77777777" w:rsidR="0072181A" w:rsidRPr="006B4024" w:rsidRDefault="00F52365" w:rsidP="00A060AF">
            <w:pPr>
              <w:spacing w:after="0" w:line="240" w:lineRule="auto"/>
              <w:jc w:val="center"/>
              <w:rPr>
                <w:color w:val="000000"/>
                <w:sz w:val="20"/>
                <w:szCs w:val="20"/>
              </w:rPr>
            </w:pPr>
            <w:r>
              <w:rPr>
                <w:color w:val="000000"/>
                <w:sz w:val="20"/>
                <w:szCs w:val="20"/>
              </w:rPr>
              <w:t>-</w:t>
            </w:r>
          </w:p>
        </w:tc>
      </w:tr>
    </w:tbl>
    <w:p w14:paraId="205A5DE4" w14:textId="77777777" w:rsidR="00951062" w:rsidRDefault="00951062" w:rsidP="00951062">
      <w:pPr>
        <w:spacing w:after="0" w:line="240" w:lineRule="auto"/>
        <w:ind w:firstLine="0"/>
        <w:jc w:val="left"/>
      </w:pPr>
    </w:p>
    <w:p w14:paraId="45D0B504" w14:textId="77777777" w:rsidR="00303907" w:rsidRPr="001127C7" w:rsidRDefault="00303907" w:rsidP="00951062">
      <w:pPr>
        <w:tabs>
          <w:tab w:val="left" w:pos="7797"/>
        </w:tabs>
        <w:spacing w:line="360" w:lineRule="auto"/>
        <w:ind w:firstLine="0"/>
      </w:pPr>
    </w:p>
    <w:p w14:paraId="72BD3557" w14:textId="77777777" w:rsidR="00114077" w:rsidRDefault="003A6636" w:rsidP="00114077">
      <w:pPr>
        <w:pStyle w:val="Titolo2"/>
      </w:pPr>
      <w:bookmarkStart w:id="8" w:name="_Ref77864383"/>
      <w:r>
        <w:t>Allocation</w:t>
      </w:r>
      <w:bookmarkEnd w:id="8"/>
    </w:p>
    <w:p w14:paraId="5FB4311B" w14:textId="706D8410" w:rsidR="002668AA" w:rsidRDefault="000D576A">
      <w:pPr>
        <w:spacing w:line="360" w:lineRule="auto"/>
        <w:ind w:firstLine="0"/>
      </w:pPr>
      <w:r>
        <w:t xml:space="preserve">Dairy </w:t>
      </w:r>
      <w:r w:rsidR="00FD66F6">
        <w:t>buffalo milk farms represent</w:t>
      </w:r>
      <w:r w:rsidR="002668AA">
        <w:t xml:space="preserve"> multi-function</w:t>
      </w:r>
      <w:r w:rsidR="00F45D08">
        <w:t>al</w:t>
      </w:r>
      <w:r w:rsidR="00FD66F6">
        <w:t xml:space="preserve"> systems. </w:t>
      </w:r>
      <w:r w:rsidR="002668AA">
        <w:t xml:space="preserve">Besides milk, </w:t>
      </w:r>
      <w:r w:rsidR="00FD66F6">
        <w:t>they</w:t>
      </w:r>
      <w:r w:rsidR="002668AA">
        <w:t xml:space="preserve"> produce meat (</w:t>
      </w:r>
      <w:r w:rsidR="002668AA" w:rsidRPr="001127C7">
        <w:t>from cull</w:t>
      </w:r>
      <w:r w:rsidR="002668AA">
        <w:t xml:space="preserve">ed buffalo and surplus of calves) and may also generate electricity, depending on the manure management strategy. </w:t>
      </w:r>
      <w:r w:rsidR="002668AA" w:rsidRPr="001127C7">
        <w:t xml:space="preserve">Multi-functional activities present </w:t>
      </w:r>
      <w:r w:rsidR="00FD66F6">
        <w:t xml:space="preserve">a </w:t>
      </w:r>
      <w:r w:rsidR="002668AA" w:rsidRPr="001127C7">
        <w:t>specific challenge in LCA when the environmental impacts need to be allocated between different products</w:t>
      </w:r>
      <w:r w:rsidR="00745337">
        <w:t xml:space="preserve"> </w:t>
      </w:r>
      <w:r w:rsidR="00745337">
        <w:fldChar w:fldCharType="begin" w:fldLock="1"/>
      </w:r>
      <w:r w:rsidR="00945DFB">
        <w:instrText>ADDIN CSL_CITATION {"citationItems":[{"id":"ITEM-1","itemData":{"DOI":"10.1007/978-3-319-56475-3","ISBN":"978-3-319-56474-6","author":[{"dropping-particle":"","family":"Hauschild","given":"Michael Z.","non-dropping-particle":"","parse-names":false,"suffix":""},{"dropping-particle":"","family":"Rosenbaum","given":"Ralph K.","non-dropping-particle":"","parse-names":false,"suffix":""},{"dropping-particle":"","family":"Olsen","given":"Stig Irving","non-dropping-particle":"","parse-names":false,"suffix":""}],"id":"ITEM-1","issued":{"date-parts":[["2017"]]},"number-of-pages":"1216","publisher":"Springer International Publishing","title":"Life Cycle Assessment: Theory and Practice","type":"book"},"uris":["http://www.mendeley.com/documents/?uuid=2a68f551-d67b-458e-b5a6-a2c58ab993d6"]}],"mendeley":{"formattedCitation":"(Hauschild et al., 2017)","plainTextFormattedCitation":"(Hauschild et al., 2017)","previouslyFormattedCitation":"(Hauschild et al., 2017)"},"properties":{"noteIndex":0},"schema":"https://github.com/citation-style-language/schema/raw/master/csl-citation.json"}</w:instrText>
      </w:r>
      <w:r w:rsidR="00745337">
        <w:fldChar w:fldCharType="separate"/>
      </w:r>
      <w:r w:rsidR="00745337" w:rsidRPr="00745337">
        <w:rPr>
          <w:noProof/>
        </w:rPr>
        <w:t>(Hauschild et al., 2017)</w:t>
      </w:r>
      <w:r w:rsidR="00745337">
        <w:fldChar w:fldCharType="end"/>
      </w:r>
      <w:r w:rsidR="002668AA" w:rsidRPr="001127C7">
        <w:t xml:space="preserve">. </w:t>
      </w:r>
      <w:r w:rsidR="002668AA">
        <w:t>Sub-</w:t>
      </w:r>
      <w:r w:rsidR="002668AA" w:rsidRPr="00A807DB">
        <w:t>division</w:t>
      </w:r>
      <w:r w:rsidR="002668AA">
        <w:t>, the preferred strategy according to the ISO standard</w:t>
      </w:r>
      <w:r w:rsidR="008A65D0">
        <w:t>s</w:t>
      </w:r>
      <w:r w:rsidR="006212D7">
        <w:t xml:space="preserve"> </w:t>
      </w:r>
      <w:r w:rsidR="00AD5933">
        <w:fldChar w:fldCharType="begin" w:fldLock="1"/>
      </w:r>
      <w:r w:rsidR="00523B4F">
        <w:instrText>ADDIN CSL_CITATION {"citationItems":[{"id":"ITEM-1","itemData":{"author":[{"dropping-particle":"","family":"ISO","given":"","non-dropping-particle":"","parse-names":false,"suffix":""}],"id":"ITEM-1","issued":{"date-parts":[["2006"]]},"title":"Environmental Management - Life Cycle Assessment - Requirements and guidelines. EN ISO 14044:2006","type":"report"},"uris":["http://www.mendeley.com/documents/?uuid=6e44739a-c7ee-4f5e-bef6-37e3fead6ae7"]}],"mendeley":{"formattedCitation":"(ISO, 2006)","plainTextFormattedCitation":"(ISO, 2006)","previouslyFormattedCitation":"(ISO, 2006)"},"properties":{"noteIndex":0},"schema":"https://github.com/citation-style-language/schema/raw/master/csl-citation.json"}</w:instrText>
      </w:r>
      <w:r w:rsidR="00AD5933">
        <w:fldChar w:fldCharType="separate"/>
      </w:r>
      <w:r w:rsidR="00523B4F" w:rsidRPr="00523B4F">
        <w:rPr>
          <w:noProof/>
        </w:rPr>
        <w:t>(ISO, 2006)</w:t>
      </w:r>
      <w:r w:rsidR="00AD5933">
        <w:fldChar w:fldCharType="end"/>
      </w:r>
      <w:r w:rsidR="00FD66F6">
        <w:t>,</w:t>
      </w:r>
      <w:r w:rsidR="002668AA" w:rsidRPr="00A807DB">
        <w:t xml:space="preserve"> </w:t>
      </w:r>
      <w:r w:rsidR="002668AA">
        <w:t>is</w:t>
      </w:r>
      <w:r w:rsidR="002668AA" w:rsidRPr="00A807DB">
        <w:t xml:space="preserve"> not practicable because milk and meat cannot be produced separately</w:t>
      </w:r>
      <w:r w:rsidR="006212D7">
        <w:t xml:space="preserve"> </w:t>
      </w:r>
      <w:r w:rsidR="002668AA">
        <w:fldChar w:fldCharType="begin" w:fldLock="1"/>
      </w:r>
      <w:r w:rsidR="00523B4F">
        <w:instrText>ADDIN CSL_CITATION {"citationItems":[{"id":"ITEM-1","itemData":{"id":"ITEM-1","issued":{"date-parts":[["2019"]]},"title":"European Commission, 2019. Product Category Rules for raw milk. VERSION 2.11 2019-09-06","type":"article"},"uris":["http://www.mendeley.com/documents/?uuid=674a7696-1179-4b5d-b77f-4ac4230bc6f0"]},{"id":"ITEM-2","itemData":{"ISBN":"0250-5118","ISSN":"03088197","abstract":"Bulletin of the International Dairy Federation 479/2015","author":[{"dropping-particle":"","family":"International Dairy Federation","given":"","non-dropping-particle":"","parse-names":false,"suffix":""}],"container-title":"Bulletin of the International Dairy Federation","id":"ITEM-2","issued":{"date-parts":[["2016"]]},"page":"48","title":"Bulletin of the International Dairy Federation 479 / 2015","type":"article-journal","volume":"482"},"uris":["http://www.mendeley.com/documents/?uuid=00d1644d-eff7-4949-b211-67ef317863dd"]}],"mendeley":{"formattedCitation":"(“European Commission, 2019. Product Category Rules for raw milk. VERSION 2.11 2019-09-06,” 2019; International Dairy Federation, 2016)","plainTextFormattedCitation":"(“European Commission, 2019. Product Category Rules for raw milk. VERSION 2.11 2019-09-06,” 2019; International Dairy Federation, 2016)","previouslyFormattedCitation":"(“European Commission, 2019. Product Category Rules for raw milk. VERSION 2.11 2019-09-06,” 2019; International Dairy Federation, 2016)"},"properties":{"noteIndex":0},"schema":"https://github.com/citation-style-language/schema/raw/master/csl-citation.json"}</w:instrText>
      </w:r>
      <w:r w:rsidR="002668AA">
        <w:fldChar w:fldCharType="separate"/>
      </w:r>
      <w:r w:rsidR="00523B4F" w:rsidRPr="00523B4F">
        <w:rPr>
          <w:noProof/>
        </w:rPr>
        <w:t>(“European Commission, 2019. Product Category Rules for raw milk. VERSION 2.11 2019-09-06,” 2019; International Dairy Federation, 2016)</w:t>
      </w:r>
      <w:r w:rsidR="002668AA">
        <w:fldChar w:fldCharType="end"/>
      </w:r>
      <w:r w:rsidR="002668AA">
        <w:t>.</w:t>
      </w:r>
    </w:p>
    <w:p w14:paraId="1ECCC53B" w14:textId="6E5A4974" w:rsidR="00225797" w:rsidRDefault="00A76765" w:rsidP="00783D10">
      <w:pPr>
        <w:spacing w:line="360" w:lineRule="auto"/>
        <w:ind w:firstLine="0"/>
      </w:pPr>
      <w:r w:rsidRPr="009B3880">
        <w:t xml:space="preserve">The handling of </w:t>
      </w:r>
      <w:r w:rsidR="008A65D0">
        <w:t>co</w:t>
      </w:r>
      <w:r w:rsidRPr="00A005DA">
        <w:t xml:space="preserve">-products is </w:t>
      </w:r>
      <w:r w:rsidRPr="001220B6">
        <w:t xml:space="preserve">one of the most debated and unresolved </w:t>
      </w:r>
      <w:r w:rsidR="002F3725" w:rsidRPr="001220B6">
        <w:t>dispute</w:t>
      </w:r>
      <w:r w:rsidRPr="001220B6">
        <w:t xml:space="preserve"> of </w:t>
      </w:r>
      <w:r w:rsidR="00F45D08" w:rsidRPr="001220B6">
        <w:t>LCA studies on</w:t>
      </w:r>
      <w:r w:rsidRPr="001220B6">
        <w:t xml:space="preserve"> milk</w:t>
      </w:r>
      <w:r w:rsidR="002F3725" w:rsidRPr="001220B6">
        <w:t xml:space="preserve"> </w:t>
      </w:r>
      <w:r w:rsidR="008663FC">
        <w:t>yield</w:t>
      </w:r>
      <w:r w:rsidR="00F45D08" w:rsidRPr="001220B6">
        <w:t xml:space="preserve">, because </w:t>
      </w:r>
      <w:r w:rsidRPr="001220B6">
        <w:t>the allocation</w:t>
      </w:r>
      <w:r w:rsidR="00F45D08" w:rsidRPr="001220B6">
        <w:t xml:space="preserve"> strategy</w:t>
      </w:r>
      <w:r w:rsidRPr="001220B6">
        <w:t xml:space="preserve"> strongly affec</w:t>
      </w:r>
      <w:r w:rsidR="00646F19" w:rsidRPr="001220B6">
        <w:t>t the results</w:t>
      </w:r>
      <w:r w:rsidR="006212D7">
        <w:t xml:space="preserve"> </w:t>
      </w:r>
      <w:r w:rsidR="00F84A89">
        <w:fldChar w:fldCharType="begin" w:fldLock="1"/>
      </w:r>
      <w:r w:rsidR="00FD6EFB">
        <w:instrText>ADDIN CSL_CITATION {"citationItems":[{"id":"ITEM-1","itemData":{"DOI":"10.1007/s11367-015-0977-5","ISBN":"9783319119397","ISSN":"0948-3349","abstract":"Background, Goal and Scope. Today, after the technologically and commercially successful breakthrough of electronic telecom- munication facilities, rapid and globally untrammelled informa- tion exchange has become an indispensable service in daily life. Associated with the tremendous growth in electronic telecom- munication hardware (GSMAssociation 2005), however, was and continues to be an increasing awareness of the environmental effects related to both the operation and the production, as well as the End-of-Life (EoL) treatment of such communication equip- ment. Environmental concerns, for example, have resulted in various governmental regulations such as the WEEE- (CEC 2003b) and the RoHS-directives (CEC 2003a). To analyse, interpret and improve the environmental performance of electronic telecommunication equipment, life cycle assessment (LCA) is increasingly recognised as one promising analytical tool. Based on a thorough review of the scientific work and by dis- cussing industrial views, this paper is intended to determine the key milestones achieved, to analyse the current research situa- tion and to outline the key challenges concerning LCA and elec- tronic telecommunication industries</w:instrText>
      </w:r>
      <w:r w:rsidR="00FD6EFB" w:rsidRPr="004474C3">
        <w:rPr>
          <w:lang w:val="it-IT"/>
        </w:rPr>
        <w:instrText>.","container-title":"The International Journal of Life Cycle Assessment","editor":[{"dropping-particle":"","family":"Notarnicola","given":"Bruno","non-dropping-particle":"","parse-names":false,"suffix":""},{"dropping-particle":"","family":"Salomone","given":"Roberta","non-dropping-particle":"","parse-names":false,"suffix":""},{"dropping-particle":"","family":"Petti","given":"Luigia","non-dropping-particle":"","parse-names":false,"suffix":""},{"dropping-particle":"","family":"Renzulli","given":"Pietro A.","non-dropping-particle":"","parse-names":false,"suffix":""},{"dropping-particle":"","family":"Roma","given":"Rocco","non-dropping-particle":"","parse-names":false,"suffix":""},{"dropping-particle":"","family":"Cerruti","given":"Alessandro K.","non-dropping-particle":"","parse-names":false,"suffix":""}],"id":"ITEM-1","issue":"5","issued":{"date-parts":[["2016"]]},"number-of-pages":"785-787","publisher":"Springer International Publishing Switzerland 2015","title":"Life cycle assessment in the agri-food sector: case studies, methodological issues, and best practices","type":"book","volume":"21"},"uris":["http://www.mendeley.com/documents/?uuid=638be601-6015-499e-8ef6-9c710af3c252"]}],"mendeley":{"formattedCitation":"(Notarnicola et al., 2016)","plainTextFormattedCitation":"(Notarnicola et al., 2016)","previouslyFormattedCitation":"(Notarnicola et al., 2016)"},"properties":{"noteIndex":0},"schema":"https://github.com/citation-style-language/schema/raw/master/csl-citation.json"}</w:instrText>
      </w:r>
      <w:r w:rsidR="00F84A89">
        <w:fldChar w:fldCharType="separate"/>
      </w:r>
      <w:r w:rsidR="00C22748" w:rsidRPr="004474C3">
        <w:rPr>
          <w:noProof/>
          <w:lang w:val="it-IT"/>
        </w:rPr>
        <w:t>(Notarnicola et al., 2016)</w:t>
      </w:r>
      <w:r w:rsidR="00F84A89">
        <w:fldChar w:fldCharType="end"/>
      </w:r>
      <w:r w:rsidR="000510D2" w:rsidRPr="004474C3">
        <w:rPr>
          <w:lang w:val="it-IT"/>
        </w:rPr>
        <w:t xml:space="preserve">. </w:t>
      </w:r>
      <w:r w:rsidR="00225797" w:rsidRPr="003574F7">
        <w:fldChar w:fldCharType="begin" w:fldLock="1"/>
      </w:r>
      <w:r w:rsidR="006212D7" w:rsidRPr="004474C3">
        <w:rPr>
          <w:lang w:val="it-IT"/>
        </w:rPr>
        <w:instrText>ADDIN CSL_CITATION {"citationItems":[{"id":"ITEM-1","itemData":{"DOI":"10.1016/j.jclepro.2016.06.078","ISSN":"09596526","abstract":"Life Cycle Assessment (LCA) is one of the key tools for the evaluation of the environmental sustainability of the agricultural sector. LCA related to milk production has gained attention in recent years, but the results are often discordant and conditioned by the practitioners’ choices. This has made it difficult to clearly identify the most environmentally friendly way to produce milk. In the present paper, 44 milk LCA studies published after 2009 are reviewed, in order to evaluate the level of harmonization and comparability of methods and results, and to discuss emerging issues and hot topics that would be worth further investigation. Furthermore, the effects that the choice of functional unit and allocation rule could have on the results were statistically analyzed. The understanding of the current research direction of milk-LCA studies is useful to promote a more responsible and sustainable livestock production in the perspective of increasing animal protein demand. This review highlighted the difficulties encountered in comparing milk LCA studies, underlining the importance of practitioners’ choices in determining the results. Harmonization among LCA studies applied to the milk sector still represents a goal to be achieved. It appeared that future LCAs should investigate a broad range of impact categories, including biodiversity and water consumption; define one or more common functional units; improve transparency, giving a detailed description of system boundaries and reporting the method used for impact calculation; and systematically conduct a sensitivity analysis for a better understanding of the effects of the choices of method.","author":[{"dropping-particle":"","family":"Baldini","given":"Cecilia","non-dropping-particle":"","parse-names":false,"suffix":""},{"dropping-particle":"","family":"Gardoni","given":"Davide","non-dropping-particle":"","parse-names":false,"suffix":""},{"dropping-particle":"","family":"Guarino","given":"Marcella","non-dropping-particle":"","parse-names":false,"suffix":""}],"container-title":"Journal of Cleaner Production","id":"ITEM-1","issued":{"date-parts":[["2017"]]},"page":"421-435","publisher":"Elsevier Ltd","title":"A critical review of the recent evolution of Life Cycle Assessment applied to milk production","type":"article-journal","volume":"140"},"uris":["http://www.mendeley.com/documents/?uuid=0a0a4050-5a06-44f3-ba64-b892732625e9"]}],"mendeley":{"formattedCitation":"(Baldini et al., 2017)","manualFormatting":"Baldini et al., 2017","plainTextFormattedCitation":"(Baldini et al., 2017)","previouslyFormattedCitation":"(Baldini et al., 2017)"},"properties":{"noteIndex":0},"schema":"https://github.com/citation-style-language/schema/raw/master/csl-citation.json"}</w:instrText>
      </w:r>
      <w:r w:rsidR="00225797" w:rsidRPr="003574F7">
        <w:fldChar w:fldCharType="separate"/>
      </w:r>
      <w:r w:rsidR="00523B4F" w:rsidRPr="004474C3">
        <w:rPr>
          <w:noProof/>
          <w:lang w:val="it-IT"/>
        </w:rPr>
        <w:t>Baldini et al., 2017</w:t>
      </w:r>
      <w:r w:rsidR="00225797" w:rsidRPr="003574F7">
        <w:fldChar w:fldCharType="end"/>
      </w:r>
      <w:r w:rsidR="002668AA" w:rsidRPr="004474C3">
        <w:rPr>
          <w:lang w:val="it-IT"/>
        </w:rPr>
        <w:t xml:space="preserve">, </w:t>
      </w:r>
      <w:proofErr w:type="spellStart"/>
      <w:r w:rsidR="002668AA" w:rsidRPr="004474C3">
        <w:rPr>
          <w:lang w:val="it-IT"/>
        </w:rPr>
        <w:t>which</w:t>
      </w:r>
      <w:proofErr w:type="spellEnd"/>
      <w:r w:rsidR="00225797" w:rsidRPr="004474C3">
        <w:rPr>
          <w:lang w:val="it-IT"/>
        </w:rPr>
        <w:t xml:space="preserve"> </w:t>
      </w:r>
      <w:proofErr w:type="spellStart"/>
      <w:r w:rsidR="002668AA" w:rsidRPr="004474C3">
        <w:rPr>
          <w:lang w:val="it-IT"/>
        </w:rPr>
        <w:t>reviewed</w:t>
      </w:r>
      <w:proofErr w:type="spellEnd"/>
      <w:r w:rsidR="002668AA" w:rsidRPr="004474C3">
        <w:rPr>
          <w:lang w:val="it-IT"/>
        </w:rPr>
        <w:t xml:space="preserve"> over </w:t>
      </w:r>
      <w:r w:rsidR="00143234" w:rsidRPr="004474C3">
        <w:rPr>
          <w:lang w:val="it-IT"/>
        </w:rPr>
        <w:t xml:space="preserve">44 </w:t>
      </w:r>
      <w:r w:rsidR="00225797" w:rsidRPr="004474C3">
        <w:rPr>
          <w:lang w:val="it-IT"/>
        </w:rPr>
        <w:t xml:space="preserve">LCA studies </w:t>
      </w:r>
      <w:r w:rsidR="002668AA" w:rsidRPr="004474C3">
        <w:rPr>
          <w:lang w:val="it-IT"/>
        </w:rPr>
        <w:t xml:space="preserve">on </w:t>
      </w:r>
      <w:proofErr w:type="spellStart"/>
      <w:r w:rsidR="002668AA" w:rsidRPr="004474C3">
        <w:rPr>
          <w:lang w:val="it-IT"/>
        </w:rPr>
        <w:t>milk</w:t>
      </w:r>
      <w:proofErr w:type="spellEnd"/>
      <w:r w:rsidR="002668AA" w:rsidRPr="004474C3">
        <w:rPr>
          <w:lang w:val="it-IT"/>
        </w:rPr>
        <w:t xml:space="preserve"> production </w:t>
      </w:r>
      <w:proofErr w:type="spellStart"/>
      <w:r w:rsidR="00225797" w:rsidRPr="004474C3">
        <w:rPr>
          <w:lang w:val="it-IT"/>
        </w:rPr>
        <w:t>published</w:t>
      </w:r>
      <w:proofErr w:type="spellEnd"/>
      <w:r w:rsidR="00225797" w:rsidRPr="004474C3">
        <w:rPr>
          <w:lang w:val="it-IT"/>
        </w:rPr>
        <w:t xml:space="preserve"> after 2009</w:t>
      </w:r>
      <w:r w:rsidR="002668AA" w:rsidRPr="004474C3">
        <w:rPr>
          <w:lang w:val="it-IT"/>
        </w:rPr>
        <w:t xml:space="preserve">, </w:t>
      </w:r>
      <w:proofErr w:type="spellStart"/>
      <w:r w:rsidR="00225797" w:rsidRPr="004474C3">
        <w:rPr>
          <w:lang w:val="it-IT"/>
        </w:rPr>
        <w:t>found</w:t>
      </w:r>
      <w:proofErr w:type="spellEnd"/>
      <w:r w:rsidR="00225797" w:rsidRPr="004474C3">
        <w:rPr>
          <w:lang w:val="it-IT"/>
        </w:rPr>
        <w:t xml:space="preserve"> </w:t>
      </w:r>
      <w:proofErr w:type="spellStart"/>
      <w:r w:rsidR="00225797" w:rsidRPr="004474C3">
        <w:rPr>
          <w:lang w:val="it-IT"/>
        </w:rPr>
        <w:t>that</w:t>
      </w:r>
      <w:proofErr w:type="spellEnd"/>
      <w:r w:rsidR="002668AA" w:rsidRPr="004474C3">
        <w:rPr>
          <w:lang w:val="it-IT"/>
        </w:rPr>
        <w:t xml:space="preserve"> the</w:t>
      </w:r>
      <w:r w:rsidR="00225797" w:rsidRPr="004474C3">
        <w:rPr>
          <w:lang w:val="it-IT"/>
        </w:rPr>
        <w:t xml:space="preserve"> </w:t>
      </w:r>
      <w:proofErr w:type="spellStart"/>
      <w:r w:rsidR="00225797" w:rsidRPr="004474C3">
        <w:rPr>
          <w:lang w:val="it-IT"/>
        </w:rPr>
        <w:t>most</w:t>
      </w:r>
      <w:proofErr w:type="spellEnd"/>
      <w:r w:rsidR="00225797" w:rsidRPr="004474C3">
        <w:rPr>
          <w:lang w:val="it-IT"/>
        </w:rPr>
        <w:t xml:space="preserve"> </w:t>
      </w:r>
      <w:proofErr w:type="spellStart"/>
      <w:r w:rsidR="00225797" w:rsidRPr="004474C3">
        <w:rPr>
          <w:lang w:val="it-IT"/>
        </w:rPr>
        <w:t>commonly</w:t>
      </w:r>
      <w:proofErr w:type="spellEnd"/>
      <w:r w:rsidR="00225797" w:rsidRPr="004474C3">
        <w:rPr>
          <w:lang w:val="it-IT"/>
        </w:rPr>
        <w:t xml:space="preserve"> </w:t>
      </w:r>
      <w:proofErr w:type="spellStart"/>
      <w:r w:rsidR="00225797" w:rsidRPr="004474C3">
        <w:rPr>
          <w:lang w:val="it-IT"/>
        </w:rPr>
        <w:t>adopted</w:t>
      </w:r>
      <w:proofErr w:type="spellEnd"/>
      <w:r w:rsidR="00225797" w:rsidRPr="004474C3">
        <w:rPr>
          <w:lang w:val="it-IT"/>
        </w:rPr>
        <w:t xml:space="preserve"> </w:t>
      </w:r>
      <w:proofErr w:type="spellStart"/>
      <w:r w:rsidR="00225797" w:rsidRPr="004474C3">
        <w:rPr>
          <w:lang w:val="it-IT"/>
        </w:rPr>
        <w:t>allocation</w:t>
      </w:r>
      <w:proofErr w:type="spellEnd"/>
      <w:r w:rsidR="00225797" w:rsidRPr="004474C3">
        <w:rPr>
          <w:lang w:val="it-IT"/>
        </w:rPr>
        <w:t xml:space="preserve"> </w:t>
      </w:r>
      <w:proofErr w:type="spellStart"/>
      <w:r w:rsidR="00225797" w:rsidRPr="004474C3">
        <w:rPr>
          <w:lang w:val="it-IT"/>
        </w:rPr>
        <w:t>methods</w:t>
      </w:r>
      <w:proofErr w:type="spellEnd"/>
      <w:r w:rsidR="009735A4" w:rsidRPr="004474C3">
        <w:rPr>
          <w:lang w:val="it-IT"/>
        </w:rPr>
        <w:t xml:space="preserve"> </w:t>
      </w:r>
      <w:r w:rsidR="002668AA" w:rsidRPr="004474C3">
        <w:rPr>
          <w:lang w:val="it-IT"/>
        </w:rPr>
        <w:t>include</w:t>
      </w:r>
      <w:r w:rsidR="00225797" w:rsidRPr="004474C3">
        <w:rPr>
          <w:lang w:val="it-IT"/>
        </w:rPr>
        <w:t xml:space="preserve"> </w:t>
      </w:r>
      <w:proofErr w:type="spellStart"/>
      <w:r w:rsidR="009735A4" w:rsidRPr="004474C3">
        <w:rPr>
          <w:lang w:val="it-IT"/>
        </w:rPr>
        <w:t>biological</w:t>
      </w:r>
      <w:proofErr w:type="spellEnd"/>
      <w:r w:rsidR="001220B6" w:rsidRPr="004474C3">
        <w:rPr>
          <w:lang w:val="it-IT"/>
        </w:rPr>
        <w:t xml:space="preserve"> (</w:t>
      </w:r>
      <w:proofErr w:type="spellStart"/>
      <w:r w:rsidR="008A65D0" w:rsidRPr="004474C3">
        <w:rPr>
          <w:lang w:val="it-IT"/>
        </w:rPr>
        <w:t>which</w:t>
      </w:r>
      <w:proofErr w:type="spellEnd"/>
      <w:r w:rsidR="008A65D0" w:rsidRPr="004474C3">
        <w:rPr>
          <w:lang w:val="it-IT"/>
        </w:rPr>
        <w:t xml:space="preserve"> </w:t>
      </w:r>
      <w:proofErr w:type="spellStart"/>
      <w:r w:rsidR="008A65D0" w:rsidRPr="004474C3">
        <w:rPr>
          <w:lang w:val="it-IT"/>
        </w:rPr>
        <w:t>considers</w:t>
      </w:r>
      <w:proofErr w:type="spellEnd"/>
      <w:r w:rsidR="008A65D0" w:rsidRPr="004474C3">
        <w:rPr>
          <w:lang w:val="it-IT"/>
        </w:rPr>
        <w:t xml:space="preserve"> the</w:t>
      </w:r>
      <w:r w:rsidR="001220B6" w:rsidRPr="004474C3">
        <w:rPr>
          <w:lang w:val="it-IT"/>
        </w:rPr>
        <w:t xml:space="preserve"> energy </w:t>
      </w:r>
      <w:proofErr w:type="spellStart"/>
      <w:r w:rsidR="008A65D0" w:rsidRPr="004474C3">
        <w:rPr>
          <w:lang w:val="it-IT"/>
        </w:rPr>
        <w:t>required</w:t>
      </w:r>
      <w:proofErr w:type="spellEnd"/>
      <w:r w:rsidR="001220B6" w:rsidRPr="004474C3">
        <w:rPr>
          <w:lang w:val="it-IT"/>
        </w:rPr>
        <w:t xml:space="preserve"> by cow</w:t>
      </w:r>
      <w:r w:rsidR="008A65D0" w:rsidRPr="004474C3">
        <w:rPr>
          <w:lang w:val="it-IT"/>
        </w:rPr>
        <w:t>s</w:t>
      </w:r>
      <w:r w:rsidR="001220B6" w:rsidRPr="004474C3">
        <w:rPr>
          <w:lang w:val="it-IT"/>
        </w:rPr>
        <w:t xml:space="preserve"> to produce 1 kg of </w:t>
      </w:r>
      <w:proofErr w:type="spellStart"/>
      <w:r w:rsidR="001220B6" w:rsidRPr="004474C3">
        <w:rPr>
          <w:lang w:val="it-IT"/>
        </w:rPr>
        <w:t>milk</w:t>
      </w:r>
      <w:proofErr w:type="spellEnd"/>
      <w:r w:rsidR="001220B6" w:rsidRPr="004474C3">
        <w:rPr>
          <w:lang w:val="it-IT"/>
        </w:rPr>
        <w:t xml:space="preserve"> </w:t>
      </w:r>
      <w:r w:rsidR="008A65D0" w:rsidRPr="004474C3">
        <w:rPr>
          <w:lang w:val="it-IT"/>
        </w:rPr>
        <w:t>and</w:t>
      </w:r>
      <w:r w:rsidR="001220B6" w:rsidRPr="004474C3">
        <w:rPr>
          <w:lang w:val="it-IT"/>
        </w:rPr>
        <w:t xml:space="preserve"> </w:t>
      </w:r>
      <w:proofErr w:type="spellStart"/>
      <w:r w:rsidR="001220B6" w:rsidRPr="004474C3">
        <w:rPr>
          <w:lang w:val="it-IT"/>
        </w:rPr>
        <w:t>meat</w:t>
      </w:r>
      <w:proofErr w:type="spellEnd"/>
      <w:r w:rsidR="001220B6" w:rsidRPr="004474C3">
        <w:rPr>
          <w:lang w:val="it-IT"/>
        </w:rPr>
        <w:t>)</w:t>
      </w:r>
      <w:r w:rsidR="009735A4" w:rsidRPr="004474C3">
        <w:rPr>
          <w:lang w:val="it-IT"/>
        </w:rPr>
        <w:t xml:space="preserve"> and</w:t>
      </w:r>
      <w:r w:rsidR="00330F87" w:rsidRPr="004474C3">
        <w:rPr>
          <w:lang w:val="it-IT"/>
        </w:rPr>
        <w:t xml:space="preserve"> </w:t>
      </w:r>
      <w:proofErr w:type="spellStart"/>
      <w:r w:rsidR="00330F87" w:rsidRPr="004474C3">
        <w:rPr>
          <w:lang w:val="it-IT"/>
        </w:rPr>
        <w:t>economic</w:t>
      </w:r>
      <w:proofErr w:type="spellEnd"/>
      <w:r w:rsidR="00330F87" w:rsidRPr="004474C3">
        <w:rPr>
          <w:lang w:val="it-IT"/>
        </w:rPr>
        <w:t xml:space="preserve"> </w:t>
      </w:r>
      <w:proofErr w:type="spellStart"/>
      <w:r w:rsidR="00330F87" w:rsidRPr="004474C3">
        <w:rPr>
          <w:lang w:val="it-IT"/>
        </w:rPr>
        <w:t>allocation</w:t>
      </w:r>
      <w:proofErr w:type="spellEnd"/>
      <w:r w:rsidR="00243C4B" w:rsidRPr="004474C3">
        <w:rPr>
          <w:lang w:val="it-IT"/>
        </w:rPr>
        <w:t xml:space="preserve">. </w:t>
      </w:r>
      <w:r w:rsidR="00487C27" w:rsidRPr="003574F7">
        <w:fldChar w:fldCharType="begin" w:fldLock="1"/>
      </w:r>
      <w:r w:rsidR="006212D7">
        <w:instrText>ADDIN CSL_CITATION {"citationItems":[{"id":"ITEM-1","itemData":{"DOI":"10.1016/j.livsci.2013.12.007","ISSN":"18711413","abstract":"The carbon footprint (CF) of milk produced in six Italian Mediterranean Buffalo farms was estimated through a simplified Life Cycle Assessment. Functional unit was 1kg of fat and protein corrected milk (FPCM).The farms were characterized by high levels of inputs, as purchased feeds, chemical fertilizers and fossil fuels. Average cultivated area was 53.2ha; the forage system was based mainly on maize silage, immediately followed by Italian ryegrass and/or whole cereal silage. Average herd size was 360 and the average FPCM per lactating buffalo was 3563kg/year with an average milk fat and protein percentage of 8.24 and 4.57 respectively. The CF assessment was from cradle to farm gate. The greenhouse gases (GHG) that were taken into account were CH4 from enteric fermentations, CH4 from manure in the stable and in the tank; N2O from nitrification and denitrification processes in the manure before application into the soil and N2O produced after organic and synthetic fertilizer application; direct emissions of CO2 from the fossil fuels combustion within the farms and indirect emissions of CO2 deriving from production of electricity, off-farm feeds, synthetic fertilizers and other minor inputs. Carbon footprint of 1kg of FPCM was 3.75kg CO2eq. Main sources of GHG are enteric CH4 (45%) and indirect CO2eq (25%). Besides enteric CH4, the farm activity that gives the highest contribution to milk CF is on-farm feed production, with 34% on total greenhouse gas emissions (TGE). Carbon footprint with economic allocation (CFea) was estimated by considering the live-weight of males calves and culled cows: its value was 3.60kg CO2eq. If the economic value of the increase of the herd size is considered in the assessment, CFea decreases to 3.45 or 3.27kg CO2eq with an increase of 10% or 20% of the number of mature buffalos. © 2013 Elsevier B.V.","author":[{"dropping-particle":"","family":"Pirlo","given":"G.","non-dropping-particle":"","parse-names":false,"suffix":""},{"dropping-particle":"","family":"Terzano","given":"G.","non-dropping-particle":"","parse-names":false,"suffix":""},{"dropping-particle":"","family":"Pacelli","given":"C.","non-dropping-particle":"","parse-names":false,"suffix":""},{"dropping-particle":"","family":"Abeni","given":"F.","non-dropping-particle":"","parse-names":false,"suffix":""},{"dropping-particle":"","family":"Carè","given":"S.","non-dropping-particle":"","parse-names":false,"suffix":""}],"container-title":"Livestock Science","id":"ITEM-1","issue":"1","issued":{"date-parts":[["2014"]]},"page":"176-184","publisher":"Elsevier","title":"Carbon footprint of milk produced at Italian buffalo farms","type":"article-journal","volume":"161"},"uris":["http://www.mendeley.com/documents/?uuid=41da65ed-bf8b-48ba-9b86-830321fb6950"]}],"mendeley":{"formattedCitation":"(Pirlo et al., 2014b)","manualFormatting":"Pirlo et al., 2014b","plainTextFormattedCitation":"(Pirlo et al., 2014b)","previouslyFormattedCitation":"(Pirlo et al., 2014b)"},"properties":{"noteIndex":0},"schema":"https://github.com/citation-style-language/schema/raw/master/csl-citation.json"}</w:instrText>
      </w:r>
      <w:r w:rsidR="00487C27" w:rsidRPr="003574F7">
        <w:fldChar w:fldCharType="separate"/>
      </w:r>
      <w:r w:rsidR="00523B4F" w:rsidRPr="00523B4F">
        <w:rPr>
          <w:noProof/>
        </w:rPr>
        <w:t>Pirlo et al., 2014b</w:t>
      </w:r>
      <w:r w:rsidR="00487C27" w:rsidRPr="003574F7">
        <w:fldChar w:fldCharType="end"/>
      </w:r>
      <w:r w:rsidR="00487C27" w:rsidRPr="001220B6">
        <w:t xml:space="preserve"> </w:t>
      </w:r>
      <w:r w:rsidR="008A65D0">
        <w:t>investigated</w:t>
      </w:r>
      <w:r w:rsidR="008A65D0" w:rsidRPr="001220B6">
        <w:t xml:space="preserve"> </w:t>
      </w:r>
      <w:r w:rsidR="00487C27" w:rsidRPr="001220B6">
        <w:t>the carbon footprint of buffalo farm</w:t>
      </w:r>
      <w:r w:rsidR="008A65D0">
        <w:t>s</w:t>
      </w:r>
      <w:r w:rsidR="00487C27" w:rsidRPr="001220B6">
        <w:t xml:space="preserve"> producing milk and meat. They found a reduction of around 4% in the carbon footprint of buffalo milk production using an economic allocation.</w:t>
      </w:r>
      <w:r w:rsidR="008A65D0">
        <w:t xml:space="preserve"> </w:t>
      </w:r>
    </w:p>
    <w:p w14:paraId="30B73BE8" w14:textId="33E4CD6D" w:rsidR="00243C4B" w:rsidRPr="00A76765" w:rsidRDefault="00FD6EFB" w:rsidP="00243C4B">
      <w:pPr>
        <w:spacing w:line="360" w:lineRule="auto"/>
        <w:ind w:firstLine="0"/>
      </w:pPr>
      <w:r>
        <w:t>T</w:t>
      </w:r>
      <w:r w:rsidR="00D80EFB" w:rsidRPr="001E4071">
        <w:t xml:space="preserve">his study </w:t>
      </w:r>
      <w:r w:rsidR="00243C4B">
        <w:t>investigate</w:t>
      </w:r>
      <w:r>
        <w:t>s</w:t>
      </w:r>
      <w:r w:rsidR="009B7B86">
        <w:t xml:space="preserve"> the </w:t>
      </w:r>
      <w:r w:rsidR="00243C4B">
        <w:t>effect</w:t>
      </w:r>
      <w:r w:rsidR="009B7B86">
        <w:t xml:space="preserve"> of </w:t>
      </w:r>
      <w:r w:rsidR="00243C4B">
        <w:t xml:space="preserve">different </w:t>
      </w:r>
      <w:r w:rsidR="009B7B86">
        <w:t xml:space="preserve">allocation methods on the environmental </w:t>
      </w:r>
      <w:r w:rsidR="00243C4B">
        <w:t xml:space="preserve">impacts </w:t>
      </w:r>
      <w:r w:rsidR="009B7B86">
        <w:t>of milk production</w:t>
      </w:r>
      <w:r w:rsidR="00243C4B">
        <w:t xml:space="preserve">. </w:t>
      </w:r>
      <w:r w:rsidR="00243C4B" w:rsidRPr="00225797">
        <w:t xml:space="preserve">To the best of the </w:t>
      </w:r>
      <w:r w:rsidR="00243C4B">
        <w:t>A</w:t>
      </w:r>
      <w:r w:rsidR="00243C4B" w:rsidRPr="00225797">
        <w:t xml:space="preserve">uthors’ knowledge, there </w:t>
      </w:r>
      <w:r w:rsidR="00243C4B">
        <w:t>are no</w:t>
      </w:r>
      <w:r w:rsidR="00243C4B" w:rsidRPr="00225797">
        <w:t xml:space="preserve"> previous work</w:t>
      </w:r>
      <w:r w:rsidR="00243C4B">
        <w:t>s</w:t>
      </w:r>
      <w:r w:rsidR="00243C4B" w:rsidRPr="00225797">
        <w:t xml:space="preserve"> in the literature dealing with </w:t>
      </w:r>
      <w:r w:rsidR="00243C4B">
        <w:t>milk allocation when electricity is a co-product</w:t>
      </w:r>
      <w:r w:rsidR="00243C4B" w:rsidRPr="00225797">
        <w:t xml:space="preserve">. </w:t>
      </w:r>
      <w:r>
        <w:t>B</w:t>
      </w:r>
      <w:r w:rsidR="00243C4B">
        <w:t xml:space="preserve">oth </w:t>
      </w:r>
      <w:r w:rsidR="00243C4B" w:rsidRPr="001E4071">
        <w:t>bio-physical and economic allocation methods</w:t>
      </w:r>
      <w:r>
        <w:t xml:space="preserve"> are considered and </w:t>
      </w:r>
      <w:r w:rsidR="00243C4B">
        <w:t>compare</w:t>
      </w:r>
      <w:r>
        <w:t>d</w:t>
      </w:r>
      <w:r w:rsidR="00243C4B">
        <w:t xml:space="preserve"> </w:t>
      </w:r>
      <w:r>
        <w:t xml:space="preserve">with </w:t>
      </w:r>
      <w:r w:rsidR="00243C4B">
        <w:t>a scenario where no allocation is adopted.</w:t>
      </w:r>
    </w:p>
    <w:p w14:paraId="0081F419" w14:textId="2A9C1CE1" w:rsidR="00243C4B" w:rsidRDefault="00243C4B">
      <w:pPr>
        <w:spacing w:line="360" w:lineRule="auto"/>
        <w:ind w:firstLine="0"/>
      </w:pPr>
      <w:r>
        <w:t>T</w:t>
      </w:r>
      <w:r w:rsidR="003A6636" w:rsidRPr="001E4071">
        <w:t>he biophysical allocation method</w:t>
      </w:r>
      <w:r>
        <w:t xml:space="preserve">, which was </w:t>
      </w:r>
      <w:r w:rsidR="003A6636" w:rsidRPr="001E4071">
        <w:t xml:space="preserve">proposed by the International Dairy Federation </w:t>
      </w:r>
      <w:r w:rsidR="006212D7">
        <w:t>(</w:t>
      </w:r>
      <w:r w:rsidR="00A21A19">
        <w:fldChar w:fldCharType="begin" w:fldLock="1"/>
      </w:r>
      <w:r w:rsidR="006212D7">
        <w:instrText>ADDIN CSL_CITATION {"citationItems":[{"id":"ITEM-1","itemData":{"author":[{"dropping-particle":"","family":"IDF","given":"A","non-dropping-particle":"","parse-names":false,"suffix":""}],"container-title":"Bull. Int. Dairy Fed","id":"ITEM-1","issued":{"date-parts":[["2010"]]},"title":"common carbon footprint approach for dairy: The IDF guide to standard lifecycle assessment methodology for the dairy sector","type":"article-journal"},"uris":["http://www.mendeley.com/documents/?uuid=694bc447-88a5-474c-8618-77458864f1d5"]}],"mendeley":{"formattedCitation":"(IDF, 2010)","manualFormatting":"IDF, 2010","plainTextFormattedCitation":"(IDF, 2010)","previouslyFormattedCitation":"(IDF, 2010)"},"properties":{"noteIndex":0},"schema":"https://github.com/citation-style-language/schema/raw/master/csl-citation.json"}</w:instrText>
      </w:r>
      <w:r w:rsidR="00A21A19">
        <w:fldChar w:fldCharType="separate"/>
      </w:r>
      <w:r w:rsidR="00523B4F" w:rsidRPr="00523B4F">
        <w:rPr>
          <w:noProof/>
        </w:rPr>
        <w:t>IDF, 2010</w:t>
      </w:r>
      <w:r w:rsidR="00A21A19">
        <w:fldChar w:fldCharType="end"/>
      </w:r>
      <w:r w:rsidR="006212D7">
        <w:t>)</w:t>
      </w:r>
      <w:r>
        <w:t xml:space="preserve"> is obtained according to </w:t>
      </w:r>
      <w:r w:rsidR="00BB6F3B">
        <w:fldChar w:fldCharType="begin"/>
      </w:r>
      <w:r w:rsidR="00BB6F3B">
        <w:instrText xml:space="preserve"> REF _Ref78467916 \h </w:instrText>
      </w:r>
      <w:r w:rsidR="00BB6F3B">
        <w:fldChar w:fldCharType="separate"/>
      </w:r>
      <w:r w:rsidR="008D2EFC">
        <w:t xml:space="preserve">Eq. </w:t>
      </w:r>
      <w:r w:rsidR="008D2EFC">
        <w:rPr>
          <w:noProof/>
        </w:rPr>
        <w:t>2</w:t>
      </w:r>
      <w:r w:rsidR="00BB6F3B">
        <w:fldChar w:fldCharType="end"/>
      </w:r>
      <w:r w:rsidR="00BB6F3B">
        <w:t>:</w:t>
      </w:r>
    </w:p>
    <w:tbl>
      <w:tblPr>
        <w:tblW w:w="0" w:type="auto"/>
        <w:tblLook w:val="04A0" w:firstRow="1" w:lastRow="0" w:firstColumn="1" w:lastColumn="0" w:noHBand="0" w:noVBand="1"/>
      </w:tblPr>
      <w:tblGrid>
        <w:gridCol w:w="4962"/>
        <w:gridCol w:w="4099"/>
      </w:tblGrid>
      <w:tr w:rsidR="00BB6F3B" w14:paraId="69F41CFB" w14:textId="77777777" w:rsidTr="003D0ADE">
        <w:tc>
          <w:tcPr>
            <w:tcW w:w="4962" w:type="dxa"/>
            <w:shd w:val="clear" w:color="auto" w:fill="auto"/>
          </w:tcPr>
          <w:p w14:paraId="147E1B22" w14:textId="60AA0BB1" w:rsidR="00BB6F3B" w:rsidRPr="00740E49" w:rsidRDefault="00740E49" w:rsidP="003D0ADE">
            <w:pPr>
              <w:spacing w:line="360" w:lineRule="auto"/>
              <w:ind w:firstLine="0"/>
            </w:pPr>
            <m:oMathPara>
              <m:oMathParaPr>
                <m:jc m:val="left"/>
              </m:oMathParaPr>
              <m:oMath>
                <m:r>
                  <w:rPr>
                    <w:rFonts w:ascii="Cambria Math" w:hAnsi="Cambria Math"/>
                  </w:rPr>
                  <m:t>AF=1-6.04×BMQ</m:t>
                </m:r>
              </m:oMath>
            </m:oMathPara>
          </w:p>
        </w:tc>
        <w:tc>
          <w:tcPr>
            <w:tcW w:w="4099" w:type="dxa"/>
            <w:shd w:val="clear" w:color="auto" w:fill="auto"/>
          </w:tcPr>
          <w:p w14:paraId="44E395BC" w14:textId="1C5ACB17" w:rsidR="00BB6F3B" w:rsidRDefault="00BB6F3B" w:rsidP="003D0ADE">
            <w:pPr>
              <w:pStyle w:val="Didascalia"/>
              <w:jc w:val="right"/>
            </w:pPr>
            <w:bookmarkStart w:id="9" w:name="_Ref78467916"/>
            <w:r>
              <w:t xml:space="preserve">Eq. </w:t>
            </w:r>
            <w:r>
              <w:fldChar w:fldCharType="begin"/>
            </w:r>
            <w:r>
              <w:instrText xml:space="preserve"> SEQ Eq. \* ARABIC </w:instrText>
            </w:r>
            <w:r>
              <w:fldChar w:fldCharType="separate"/>
            </w:r>
            <w:r w:rsidR="008D2EFC">
              <w:rPr>
                <w:noProof/>
              </w:rPr>
              <w:t>2</w:t>
            </w:r>
            <w:r>
              <w:fldChar w:fldCharType="end"/>
            </w:r>
            <w:bookmarkEnd w:id="9"/>
          </w:p>
        </w:tc>
      </w:tr>
    </w:tbl>
    <w:p w14:paraId="5508BCDF" w14:textId="726CF399" w:rsidR="009A2CC4" w:rsidRDefault="009A2CC4" w:rsidP="009A2CC4">
      <w:pPr>
        <w:spacing w:line="360" w:lineRule="auto"/>
        <w:ind w:firstLine="0"/>
      </w:pPr>
      <w:r>
        <w:t>Where AF is the allocation factor for milk, and BM</w:t>
      </w:r>
      <w:r w:rsidR="00F45D08">
        <w:t>Q</w:t>
      </w:r>
      <w:r>
        <w:t xml:space="preserve"> is the ratio of the </w:t>
      </w:r>
      <w:r w:rsidRPr="001E4071">
        <w:t xml:space="preserve">mass of live weight of all animals sold </w:t>
      </w:r>
      <w:r w:rsidR="008A65D0">
        <w:t>(</w:t>
      </w:r>
      <w:r w:rsidRPr="001E4071">
        <w:t>including bull calves and culled mature animals per year</w:t>
      </w:r>
      <w:r w:rsidR="008A65D0">
        <w:t>)</w:t>
      </w:r>
      <w:r w:rsidRPr="001E4071">
        <w:t xml:space="preserve"> and the mass of fat </w:t>
      </w:r>
      <w:r w:rsidRPr="001E4071">
        <w:lastRenderedPageBreak/>
        <w:t>and protein corrected milk (ECM) sold per year.</w:t>
      </w:r>
      <w:r>
        <w:t xml:space="preserve"> With respect to electricity production, we follo</w:t>
      </w:r>
      <w:r w:rsidR="00F45D08">
        <w:t>w</w:t>
      </w:r>
      <w:r>
        <w:t xml:space="preserve"> </w:t>
      </w:r>
      <w:r w:rsidR="00E23F43">
        <w:t>IDF</w:t>
      </w:r>
      <w:r>
        <w:t xml:space="preserve"> recommendations</w:t>
      </w:r>
      <w:r w:rsidR="006212D7">
        <w:t xml:space="preserve"> </w:t>
      </w:r>
      <w:r w:rsidR="00E23F43">
        <w:fldChar w:fldCharType="begin" w:fldLock="1"/>
      </w:r>
      <w:r w:rsidR="00523B4F">
        <w:instrText>ADDIN CSL_CITATION {"citationItems":[{"id":"ITEM-1","itemData":{"ISBN":"0250-5118","ISSN":"03088197","abstract":"Bulletin of the International Dairy Federation 479/2015","author":[{"dropping-particle":"","family":"International Dairy Federation","given":"","non-dropping-particle":"","parse-names":false,"suffix":""}],"container-title":"Bulletin of the International Dairy Federation","id":"ITEM-1","issued":{"date-parts":[["2016"]]},"page":"48","title":"Bulletin of the International Dairy Federation 479 / 2015","type":"article-journal","volume":"482"},"uris":["http://www.mendeley.com/documents/?uuid=00d1644d-eff7-4949-b211-67ef317863dd"]}],"mendeley":{"formattedCitation":"(International Dairy Federation, 2016)","plainTextFormattedCitation":"(International Dairy Federation, 2016)","previouslyFormattedCitation":"(International Dairy Federation, 2016)"},"properties":{"noteIndex":0},"schema":"https://github.com/citation-style-language/schema/raw/master/csl-citation.json"}</w:instrText>
      </w:r>
      <w:r w:rsidR="00E23F43">
        <w:fldChar w:fldCharType="separate"/>
      </w:r>
      <w:r w:rsidR="00523B4F" w:rsidRPr="00523B4F">
        <w:rPr>
          <w:noProof/>
        </w:rPr>
        <w:t>(International Dairy Federation, 2016)</w:t>
      </w:r>
      <w:r w:rsidR="00E23F43">
        <w:fldChar w:fldCharType="end"/>
      </w:r>
      <w:r>
        <w:t xml:space="preserve">, which entail crediting the system </w:t>
      </w:r>
      <w:r w:rsidR="00F45D08">
        <w:t xml:space="preserve">with </w:t>
      </w:r>
      <w:r>
        <w:t>the avoided environmental impacts associated with the generation of electricity from the conventional technology.</w:t>
      </w:r>
      <w:r w:rsidRPr="009A2CC4">
        <w:t xml:space="preserve"> </w:t>
      </w:r>
      <w:r w:rsidR="008A65D0">
        <w:t xml:space="preserve">We assumed that the excess electricity from the </w:t>
      </w:r>
      <w:r w:rsidRPr="00326E32">
        <w:t xml:space="preserve">anaerobic digestion plant </w:t>
      </w:r>
      <w:r w:rsidR="008A65D0">
        <w:t>displaces</w:t>
      </w:r>
      <w:r w:rsidRPr="00326E32">
        <w:t xml:space="preserve"> that generated according to the Italian grid mix</w:t>
      </w:r>
      <w:r w:rsidR="00A43E64">
        <w:t>.</w:t>
      </w:r>
    </w:p>
    <w:p w14:paraId="4B42A23C" w14:textId="6531538F" w:rsidR="00951062" w:rsidRDefault="009A2CC4" w:rsidP="00157DCC">
      <w:pPr>
        <w:spacing w:line="360" w:lineRule="auto"/>
        <w:ind w:firstLine="0"/>
      </w:pPr>
      <w:r>
        <w:t xml:space="preserve">The method of economic allocation partitions the environmental impacts according to the revenues associated </w:t>
      </w:r>
      <w:r w:rsidR="00A47878">
        <w:t>with the co-products. W</w:t>
      </w:r>
      <w:r w:rsidR="00D80EFB">
        <w:t xml:space="preserve">e </w:t>
      </w:r>
      <w:r w:rsidR="00C722C2">
        <w:t xml:space="preserve">averaged </w:t>
      </w:r>
      <w:r w:rsidR="007A4C4B">
        <w:t>annual</w:t>
      </w:r>
      <w:r w:rsidR="007C7F02">
        <w:t xml:space="preserve"> selling price</w:t>
      </w:r>
      <w:r w:rsidR="00A47878">
        <w:t>s</w:t>
      </w:r>
      <w:r w:rsidR="00C722C2">
        <w:t xml:space="preserve"> for milk and meat from the three farms, which equal 1</w:t>
      </w:r>
      <w:r w:rsidR="000971E9">
        <w:t>.</w:t>
      </w:r>
      <w:r w:rsidR="00C722C2">
        <w:t>33 €/L and 0</w:t>
      </w:r>
      <w:r w:rsidR="000971E9">
        <w:t>.</w:t>
      </w:r>
      <w:r w:rsidR="00C722C2">
        <w:t xml:space="preserve">94 respectively. </w:t>
      </w:r>
      <w:r w:rsidR="00951062">
        <w:t xml:space="preserve">The resulting allocation factors are reported in </w:t>
      </w:r>
      <w:r w:rsidR="00951062">
        <w:fldChar w:fldCharType="begin"/>
      </w:r>
      <w:r w:rsidR="00951062">
        <w:instrText xml:space="preserve"> REF _Ref77864647 \h </w:instrText>
      </w:r>
      <w:r w:rsidR="00951062">
        <w:fldChar w:fldCharType="separate"/>
      </w:r>
      <w:r w:rsidR="008D2EFC">
        <w:t xml:space="preserve">Table </w:t>
      </w:r>
      <w:r w:rsidR="008D2EFC">
        <w:rPr>
          <w:noProof/>
        </w:rPr>
        <w:t>2</w:t>
      </w:r>
      <w:r w:rsidR="00951062">
        <w:fldChar w:fldCharType="end"/>
      </w:r>
      <w:r w:rsidR="00951062">
        <w:t>.</w:t>
      </w:r>
    </w:p>
    <w:p w14:paraId="5656AEDD" w14:textId="74BC7136" w:rsidR="00951062" w:rsidRPr="00326E32" w:rsidRDefault="00951062" w:rsidP="00157DCC">
      <w:pPr>
        <w:pStyle w:val="Didascalia"/>
        <w:keepNext/>
        <w:spacing w:after="0"/>
        <w:rPr>
          <w:b/>
        </w:rPr>
      </w:pPr>
      <w:bookmarkStart w:id="10" w:name="_Ref77864647"/>
      <w:r>
        <w:t xml:space="preserve">Table </w:t>
      </w:r>
      <w:r>
        <w:fldChar w:fldCharType="begin"/>
      </w:r>
      <w:r>
        <w:instrText xml:space="preserve"> SEQ Table \* ARABIC </w:instrText>
      </w:r>
      <w:r>
        <w:fldChar w:fldCharType="separate"/>
      </w:r>
      <w:r w:rsidR="008D2EFC">
        <w:rPr>
          <w:noProof/>
        </w:rPr>
        <w:t>2</w:t>
      </w:r>
      <w:r>
        <w:fldChar w:fldCharType="end"/>
      </w:r>
      <w:bookmarkEnd w:id="10"/>
      <w:r w:rsidRPr="002201BA">
        <w:t xml:space="preserve"> - </w:t>
      </w:r>
      <w:r>
        <w:t xml:space="preserve">Allocation </w:t>
      </w:r>
      <w:r w:rsidR="00E20550">
        <w:t>factors.</w:t>
      </w:r>
    </w:p>
    <w:tbl>
      <w:tblPr>
        <w:tblW w:w="5100" w:type="pct"/>
        <w:tblLayout w:type="fixed"/>
        <w:tblCellMar>
          <w:left w:w="70" w:type="dxa"/>
          <w:right w:w="70" w:type="dxa"/>
        </w:tblCellMar>
        <w:tblLook w:val="04A0" w:firstRow="1" w:lastRow="0" w:firstColumn="1" w:lastColumn="0" w:noHBand="0" w:noVBand="1"/>
      </w:tblPr>
      <w:tblGrid>
        <w:gridCol w:w="3977"/>
        <w:gridCol w:w="1676"/>
        <w:gridCol w:w="1954"/>
        <w:gridCol w:w="1645"/>
      </w:tblGrid>
      <w:tr w:rsidR="00FA6DE4" w:rsidRPr="006B4024" w14:paraId="1F14715F" w14:textId="77777777" w:rsidTr="00A060AF">
        <w:trPr>
          <w:trHeight w:val="57"/>
        </w:trPr>
        <w:tc>
          <w:tcPr>
            <w:tcW w:w="2149" w:type="pct"/>
            <w:tcBorders>
              <w:top w:val="nil"/>
              <w:left w:val="nil"/>
              <w:bottom w:val="single" w:sz="4" w:space="0" w:color="auto"/>
              <w:right w:val="nil"/>
            </w:tcBorders>
            <w:shd w:val="clear" w:color="auto" w:fill="auto"/>
            <w:noWrap/>
            <w:vAlign w:val="bottom"/>
            <w:hideMark/>
          </w:tcPr>
          <w:p w14:paraId="567F30AC" w14:textId="77777777" w:rsidR="00951062" w:rsidRPr="006B4024" w:rsidRDefault="00951062" w:rsidP="00A060AF">
            <w:pPr>
              <w:spacing w:after="0" w:line="240" w:lineRule="auto"/>
              <w:rPr>
                <w:sz w:val="20"/>
                <w:szCs w:val="20"/>
              </w:rPr>
            </w:pPr>
          </w:p>
        </w:tc>
        <w:tc>
          <w:tcPr>
            <w:tcW w:w="906" w:type="pct"/>
            <w:tcBorders>
              <w:top w:val="single" w:sz="4" w:space="0" w:color="auto"/>
              <w:left w:val="nil"/>
              <w:bottom w:val="single" w:sz="4" w:space="0" w:color="auto"/>
              <w:right w:val="nil"/>
            </w:tcBorders>
            <w:shd w:val="clear" w:color="000000" w:fill="FFFFFF"/>
            <w:noWrap/>
            <w:vAlign w:val="bottom"/>
            <w:hideMark/>
          </w:tcPr>
          <w:p w14:paraId="687B0EE6" w14:textId="065C8CC3" w:rsidR="00951062" w:rsidRPr="00326E32" w:rsidRDefault="000E74D7" w:rsidP="000E74D7">
            <w:pPr>
              <w:spacing w:after="0" w:line="240" w:lineRule="auto"/>
              <w:jc w:val="center"/>
              <w:rPr>
                <w:b/>
                <w:color w:val="000000"/>
                <w:sz w:val="20"/>
                <w:szCs w:val="20"/>
              </w:rPr>
            </w:pPr>
            <w:r>
              <w:rPr>
                <w:b/>
                <w:color w:val="000000"/>
                <w:sz w:val="20"/>
                <w:szCs w:val="20"/>
              </w:rPr>
              <w:t>Farm A</w:t>
            </w:r>
          </w:p>
        </w:tc>
        <w:tc>
          <w:tcPr>
            <w:tcW w:w="1056" w:type="pct"/>
            <w:tcBorders>
              <w:top w:val="single" w:sz="4" w:space="0" w:color="auto"/>
              <w:left w:val="nil"/>
              <w:bottom w:val="single" w:sz="4" w:space="0" w:color="auto"/>
              <w:right w:val="nil"/>
            </w:tcBorders>
            <w:shd w:val="clear" w:color="000000" w:fill="FFFFFF"/>
            <w:noWrap/>
            <w:vAlign w:val="bottom"/>
            <w:hideMark/>
          </w:tcPr>
          <w:p w14:paraId="53F77448" w14:textId="3A56FC78" w:rsidR="00951062" w:rsidRPr="00326E32" w:rsidRDefault="000E74D7" w:rsidP="00A060AF">
            <w:pPr>
              <w:spacing w:after="0" w:line="240" w:lineRule="auto"/>
              <w:jc w:val="center"/>
              <w:rPr>
                <w:b/>
                <w:color w:val="000000"/>
                <w:sz w:val="20"/>
                <w:szCs w:val="20"/>
              </w:rPr>
            </w:pPr>
            <w:r>
              <w:rPr>
                <w:b/>
                <w:color w:val="000000"/>
                <w:sz w:val="20"/>
                <w:szCs w:val="20"/>
              </w:rPr>
              <w:t xml:space="preserve">Farm </w:t>
            </w:r>
            <w:r w:rsidR="003559E0">
              <w:rPr>
                <w:b/>
                <w:color w:val="000000"/>
                <w:sz w:val="20"/>
                <w:szCs w:val="20"/>
              </w:rPr>
              <w:t>B</w:t>
            </w:r>
          </w:p>
        </w:tc>
        <w:tc>
          <w:tcPr>
            <w:tcW w:w="889" w:type="pct"/>
            <w:tcBorders>
              <w:top w:val="single" w:sz="4" w:space="0" w:color="auto"/>
              <w:left w:val="nil"/>
              <w:bottom w:val="single" w:sz="4" w:space="0" w:color="auto"/>
              <w:right w:val="nil"/>
            </w:tcBorders>
            <w:shd w:val="clear" w:color="000000" w:fill="FFFFFF"/>
            <w:noWrap/>
            <w:vAlign w:val="bottom"/>
            <w:hideMark/>
          </w:tcPr>
          <w:p w14:paraId="5734C91E" w14:textId="2790BA9B" w:rsidR="00951062" w:rsidRPr="00326E32" w:rsidRDefault="000E74D7" w:rsidP="000E74D7">
            <w:pPr>
              <w:spacing w:after="0" w:line="240" w:lineRule="auto"/>
              <w:jc w:val="center"/>
              <w:rPr>
                <w:b/>
                <w:color w:val="000000"/>
                <w:sz w:val="20"/>
                <w:szCs w:val="20"/>
              </w:rPr>
            </w:pPr>
            <w:r>
              <w:rPr>
                <w:b/>
                <w:color w:val="000000"/>
                <w:sz w:val="20"/>
                <w:szCs w:val="20"/>
              </w:rPr>
              <w:t>Farm C</w:t>
            </w:r>
          </w:p>
        </w:tc>
      </w:tr>
      <w:tr w:rsidR="00FA6DE4" w:rsidRPr="006B4024" w14:paraId="52726C5B" w14:textId="77777777" w:rsidTr="00A060AF">
        <w:trPr>
          <w:trHeight w:val="57"/>
        </w:trPr>
        <w:tc>
          <w:tcPr>
            <w:tcW w:w="2149" w:type="pct"/>
            <w:tcBorders>
              <w:top w:val="single" w:sz="4" w:space="0" w:color="auto"/>
              <w:left w:val="nil"/>
              <w:bottom w:val="nil"/>
              <w:right w:val="nil"/>
            </w:tcBorders>
            <w:shd w:val="clear" w:color="auto" w:fill="auto"/>
            <w:noWrap/>
            <w:vAlign w:val="bottom"/>
            <w:hideMark/>
          </w:tcPr>
          <w:p w14:paraId="6E4E0B72" w14:textId="77777777" w:rsidR="00951062" w:rsidRPr="002201BA" w:rsidRDefault="00951062" w:rsidP="00A060AF">
            <w:pPr>
              <w:spacing w:after="0" w:line="240" w:lineRule="auto"/>
              <w:ind w:firstLine="0"/>
              <w:rPr>
                <w:color w:val="000000"/>
                <w:sz w:val="20"/>
                <w:szCs w:val="20"/>
              </w:rPr>
            </w:pPr>
            <w:r w:rsidRPr="002201BA">
              <w:rPr>
                <w:color w:val="000000"/>
                <w:sz w:val="20"/>
                <w:szCs w:val="20"/>
              </w:rPr>
              <w:t>NO ALLOCATION</w:t>
            </w:r>
          </w:p>
        </w:tc>
        <w:tc>
          <w:tcPr>
            <w:tcW w:w="906" w:type="pct"/>
            <w:tcBorders>
              <w:top w:val="single" w:sz="4" w:space="0" w:color="auto"/>
              <w:left w:val="nil"/>
              <w:bottom w:val="nil"/>
              <w:right w:val="nil"/>
            </w:tcBorders>
            <w:shd w:val="clear" w:color="auto" w:fill="auto"/>
            <w:noWrap/>
            <w:vAlign w:val="bottom"/>
            <w:hideMark/>
          </w:tcPr>
          <w:p w14:paraId="431A0E9F" w14:textId="77777777" w:rsidR="00951062" w:rsidRPr="00C82D7B" w:rsidRDefault="00951062" w:rsidP="00A060AF">
            <w:pPr>
              <w:spacing w:after="0" w:line="240" w:lineRule="auto"/>
              <w:jc w:val="center"/>
              <w:rPr>
                <w:color w:val="000000"/>
                <w:sz w:val="20"/>
                <w:szCs w:val="20"/>
              </w:rPr>
            </w:pPr>
          </w:p>
        </w:tc>
        <w:tc>
          <w:tcPr>
            <w:tcW w:w="1056" w:type="pct"/>
            <w:tcBorders>
              <w:top w:val="single" w:sz="4" w:space="0" w:color="auto"/>
              <w:left w:val="nil"/>
              <w:bottom w:val="nil"/>
              <w:right w:val="nil"/>
            </w:tcBorders>
            <w:shd w:val="clear" w:color="auto" w:fill="auto"/>
            <w:noWrap/>
            <w:vAlign w:val="bottom"/>
            <w:hideMark/>
          </w:tcPr>
          <w:p w14:paraId="59AFCD7D" w14:textId="77777777" w:rsidR="00951062" w:rsidRPr="00C82D7B" w:rsidRDefault="00951062" w:rsidP="00A060AF">
            <w:pPr>
              <w:spacing w:after="0" w:line="240" w:lineRule="auto"/>
              <w:jc w:val="center"/>
              <w:rPr>
                <w:color w:val="000000"/>
                <w:sz w:val="20"/>
                <w:szCs w:val="20"/>
              </w:rPr>
            </w:pPr>
          </w:p>
        </w:tc>
        <w:tc>
          <w:tcPr>
            <w:tcW w:w="889" w:type="pct"/>
            <w:tcBorders>
              <w:top w:val="single" w:sz="4" w:space="0" w:color="auto"/>
              <w:left w:val="nil"/>
              <w:bottom w:val="nil"/>
              <w:right w:val="nil"/>
            </w:tcBorders>
            <w:shd w:val="clear" w:color="auto" w:fill="auto"/>
            <w:noWrap/>
            <w:vAlign w:val="bottom"/>
            <w:hideMark/>
          </w:tcPr>
          <w:p w14:paraId="486B2B8C" w14:textId="77777777" w:rsidR="00951062" w:rsidRPr="00C82D7B" w:rsidRDefault="00951062" w:rsidP="00A060AF">
            <w:pPr>
              <w:spacing w:after="0" w:line="240" w:lineRule="auto"/>
              <w:jc w:val="center"/>
              <w:rPr>
                <w:color w:val="000000"/>
                <w:sz w:val="20"/>
                <w:szCs w:val="20"/>
              </w:rPr>
            </w:pPr>
          </w:p>
        </w:tc>
      </w:tr>
      <w:tr w:rsidR="00FA6DE4" w:rsidRPr="006B4024" w14:paraId="1DCCE8E4" w14:textId="77777777" w:rsidTr="00A060AF">
        <w:trPr>
          <w:trHeight w:val="57"/>
        </w:trPr>
        <w:tc>
          <w:tcPr>
            <w:tcW w:w="2149" w:type="pct"/>
            <w:tcBorders>
              <w:top w:val="nil"/>
              <w:left w:val="nil"/>
              <w:bottom w:val="nil"/>
              <w:right w:val="nil"/>
            </w:tcBorders>
            <w:shd w:val="clear" w:color="auto" w:fill="auto"/>
            <w:noWrap/>
            <w:vAlign w:val="bottom"/>
            <w:hideMark/>
          </w:tcPr>
          <w:p w14:paraId="0AB3B860" w14:textId="77777777" w:rsidR="00951062" w:rsidRPr="002201BA" w:rsidRDefault="00951062" w:rsidP="00A060AF">
            <w:pPr>
              <w:spacing w:after="0" w:line="240" w:lineRule="auto"/>
              <w:rPr>
                <w:color w:val="000000"/>
                <w:sz w:val="20"/>
                <w:szCs w:val="20"/>
              </w:rPr>
            </w:pPr>
            <w:r w:rsidRPr="002201BA">
              <w:rPr>
                <w:color w:val="000000"/>
                <w:sz w:val="20"/>
                <w:szCs w:val="20"/>
              </w:rPr>
              <w:t>Milk</w:t>
            </w:r>
          </w:p>
        </w:tc>
        <w:tc>
          <w:tcPr>
            <w:tcW w:w="906" w:type="pct"/>
            <w:tcBorders>
              <w:top w:val="nil"/>
              <w:left w:val="nil"/>
              <w:bottom w:val="nil"/>
              <w:right w:val="nil"/>
            </w:tcBorders>
            <w:shd w:val="clear" w:color="auto" w:fill="auto"/>
            <w:noWrap/>
            <w:vAlign w:val="bottom"/>
            <w:hideMark/>
          </w:tcPr>
          <w:p w14:paraId="2BB50222" w14:textId="77777777" w:rsidR="00951062" w:rsidRPr="00C82D7B" w:rsidRDefault="00951062" w:rsidP="00A060AF">
            <w:pPr>
              <w:spacing w:after="0" w:line="240" w:lineRule="auto"/>
              <w:jc w:val="center"/>
              <w:rPr>
                <w:color w:val="000000"/>
                <w:sz w:val="20"/>
                <w:szCs w:val="20"/>
              </w:rPr>
            </w:pPr>
            <w:r w:rsidRPr="00C82D7B">
              <w:rPr>
                <w:color w:val="000000"/>
                <w:sz w:val="20"/>
                <w:szCs w:val="20"/>
              </w:rPr>
              <w:t>100%</w:t>
            </w:r>
          </w:p>
        </w:tc>
        <w:tc>
          <w:tcPr>
            <w:tcW w:w="1056" w:type="pct"/>
            <w:tcBorders>
              <w:top w:val="nil"/>
              <w:left w:val="nil"/>
              <w:bottom w:val="nil"/>
              <w:right w:val="nil"/>
            </w:tcBorders>
            <w:shd w:val="clear" w:color="auto" w:fill="auto"/>
            <w:noWrap/>
            <w:vAlign w:val="bottom"/>
            <w:hideMark/>
          </w:tcPr>
          <w:p w14:paraId="5A1FA239" w14:textId="77777777" w:rsidR="00951062" w:rsidRPr="00C82D7B" w:rsidRDefault="00951062" w:rsidP="00A060AF">
            <w:pPr>
              <w:spacing w:after="0" w:line="240" w:lineRule="auto"/>
              <w:jc w:val="center"/>
              <w:rPr>
                <w:color w:val="000000"/>
                <w:sz w:val="20"/>
                <w:szCs w:val="20"/>
              </w:rPr>
            </w:pPr>
            <w:r w:rsidRPr="00C82D7B">
              <w:rPr>
                <w:color w:val="000000"/>
                <w:sz w:val="20"/>
                <w:szCs w:val="20"/>
              </w:rPr>
              <w:t>100%</w:t>
            </w:r>
          </w:p>
        </w:tc>
        <w:tc>
          <w:tcPr>
            <w:tcW w:w="889" w:type="pct"/>
            <w:tcBorders>
              <w:top w:val="nil"/>
              <w:left w:val="nil"/>
              <w:bottom w:val="nil"/>
              <w:right w:val="nil"/>
            </w:tcBorders>
            <w:shd w:val="clear" w:color="auto" w:fill="auto"/>
            <w:noWrap/>
            <w:vAlign w:val="bottom"/>
            <w:hideMark/>
          </w:tcPr>
          <w:p w14:paraId="0A9F56AD" w14:textId="77777777" w:rsidR="00951062" w:rsidRPr="00C82D7B" w:rsidRDefault="00951062" w:rsidP="00A060AF">
            <w:pPr>
              <w:spacing w:after="0" w:line="240" w:lineRule="auto"/>
              <w:jc w:val="center"/>
              <w:rPr>
                <w:color w:val="000000"/>
                <w:sz w:val="20"/>
                <w:szCs w:val="20"/>
              </w:rPr>
            </w:pPr>
            <w:r w:rsidRPr="00C82D7B">
              <w:rPr>
                <w:color w:val="000000"/>
                <w:sz w:val="20"/>
                <w:szCs w:val="20"/>
              </w:rPr>
              <w:t>100%</w:t>
            </w:r>
          </w:p>
        </w:tc>
      </w:tr>
      <w:tr w:rsidR="00FA6DE4" w:rsidRPr="006B4024" w14:paraId="770795A6" w14:textId="77777777" w:rsidTr="00A060AF">
        <w:trPr>
          <w:trHeight w:val="57"/>
        </w:trPr>
        <w:tc>
          <w:tcPr>
            <w:tcW w:w="2149" w:type="pct"/>
            <w:tcBorders>
              <w:top w:val="nil"/>
              <w:left w:val="nil"/>
              <w:bottom w:val="nil"/>
              <w:right w:val="nil"/>
            </w:tcBorders>
            <w:shd w:val="clear" w:color="auto" w:fill="auto"/>
            <w:noWrap/>
            <w:vAlign w:val="bottom"/>
            <w:hideMark/>
          </w:tcPr>
          <w:p w14:paraId="590F3597" w14:textId="77777777" w:rsidR="00951062" w:rsidRPr="002201BA" w:rsidRDefault="00951062" w:rsidP="00A060AF">
            <w:pPr>
              <w:spacing w:after="0" w:line="240" w:lineRule="auto"/>
              <w:rPr>
                <w:color w:val="000000"/>
                <w:sz w:val="20"/>
                <w:szCs w:val="20"/>
              </w:rPr>
            </w:pPr>
            <w:r w:rsidRPr="002201BA">
              <w:rPr>
                <w:color w:val="000000"/>
                <w:sz w:val="20"/>
                <w:szCs w:val="20"/>
              </w:rPr>
              <w:t xml:space="preserve">Meat Surplus </w:t>
            </w:r>
          </w:p>
        </w:tc>
        <w:tc>
          <w:tcPr>
            <w:tcW w:w="906" w:type="pct"/>
            <w:tcBorders>
              <w:top w:val="nil"/>
              <w:left w:val="nil"/>
              <w:bottom w:val="nil"/>
              <w:right w:val="nil"/>
            </w:tcBorders>
            <w:shd w:val="clear" w:color="auto" w:fill="auto"/>
            <w:noWrap/>
            <w:vAlign w:val="bottom"/>
            <w:hideMark/>
          </w:tcPr>
          <w:p w14:paraId="3787B5A0" w14:textId="77777777" w:rsidR="00951062" w:rsidRPr="00C82D7B" w:rsidRDefault="00951062" w:rsidP="00A060AF">
            <w:pPr>
              <w:spacing w:after="0" w:line="240" w:lineRule="auto"/>
              <w:jc w:val="center"/>
              <w:rPr>
                <w:color w:val="000000"/>
                <w:sz w:val="20"/>
                <w:szCs w:val="20"/>
              </w:rPr>
            </w:pPr>
            <w:r w:rsidRPr="00C82D7B">
              <w:rPr>
                <w:color w:val="000000"/>
                <w:sz w:val="20"/>
                <w:szCs w:val="20"/>
              </w:rPr>
              <w:t>0</w:t>
            </w:r>
          </w:p>
        </w:tc>
        <w:tc>
          <w:tcPr>
            <w:tcW w:w="1056" w:type="pct"/>
            <w:tcBorders>
              <w:top w:val="nil"/>
              <w:left w:val="nil"/>
              <w:bottom w:val="nil"/>
              <w:right w:val="nil"/>
            </w:tcBorders>
            <w:shd w:val="clear" w:color="auto" w:fill="auto"/>
            <w:noWrap/>
            <w:vAlign w:val="bottom"/>
            <w:hideMark/>
          </w:tcPr>
          <w:p w14:paraId="6C4F97CF" w14:textId="77777777" w:rsidR="00951062" w:rsidRPr="00C82D7B" w:rsidRDefault="00951062" w:rsidP="00A060AF">
            <w:pPr>
              <w:spacing w:after="0" w:line="240" w:lineRule="auto"/>
              <w:jc w:val="center"/>
              <w:rPr>
                <w:color w:val="000000"/>
                <w:sz w:val="20"/>
                <w:szCs w:val="20"/>
              </w:rPr>
            </w:pPr>
            <w:r w:rsidRPr="00C82D7B">
              <w:rPr>
                <w:color w:val="000000"/>
                <w:sz w:val="20"/>
                <w:szCs w:val="20"/>
              </w:rPr>
              <w:t>0</w:t>
            </w:r>
          </w:p>
        </w:tc>
        <w:tc>
          <w:tcPr>
            <w:tcW w:w="889" w:type="pct"/>
            <w:tcBorders>
              <w:top w:val="nil"/>
              <w:left w:val="nil"/>
              <w:bottom w:val="nil"/>
              <w:right w:val="nil"/>
            </w:tcBorders>
            <w:shd w:val="clear" w:color="auto" w:fill="auto"/>
            <w:noWrap/>
            <w:vAlign w:val="bottom"/>
            <w:hideMark/>
          </w:tcPr>
          <w:p w14:paraId="447FD47D" w14:textId="77777777" w:rsidR="00951062" w:rsidRPr="00C82D7B" w:rsidRDefault="00951062" w:rsidP="00A060AF">
            <w:pPr>
              <w:spacing w:after="0" w:line="240" w:lineRule="auto"/>
              <w:jc w:val="center"/>
              <w:rPr>
                <w:color w:val="000000"/>
                <w:sz w:val="20"/>
                <w:szCs w:val="20"/>
              </w:rPr>
            </w:pPr>
            <w:r w:rsidRPr="00C82D7B">
              <w:rPr>
                <w:color w:val="000000"/>
                <w:sz w:val="20"/>
                <w:szCs w:val="20"/>
              </w:rPr>
              <w:t>0</w:t>
            </w:r>
          </w:p>
        </w:tc>
      </w:tr>
      <w:tr w:rsidR="00FA6DE4" w:rsidRPr="006B4024" w14:paraId="6F22540A" w14:textId="77777777" w:rsidTr="00A060AF">
        <w:trPr>
          <w:trHeight w:val="57"/>
        </w:trPr>
        <w:tc>
          <w:tcPr>
            <w:tcW w:w="2149" w:type="pct"/>
            <w:tcBorders>
              <w:top w:val="nil"/>
              <w:left w:val="nil"/>
              <w:bottom w:val="nil"/>
              <w:right w:val="nil"/>
            </w:tcBorders>
            <w:shd w:val="clear" w:color="auto" w:fill="auto"/>
            <w:noWrap/>
            <w:vAlign w:val="bottom"/>
            <w:hideMark/>
          </w:tcPr>
          <w:p w14:paraId="79050420" w14:textId="77777777" w:rsidR="00951062" w:rsidRPr="002201BA" w:rsidRDefault="00951062" w:rsidP="00A060AF">
            <w:pPr>
              <w:spacing w:after="0" w:line="240" w:lineRule="auto"/>
              <w:rPr>
                <w:color w:val="000000"/>
                <w:sz w:val="20"/>
                <w:szCs w:val="20"/>
              </w:rPr>
            </w:pPr>
            <w:r w:rsidRPr="002201BA">
              <w:rPr>
                <w:color w:val="000000"/>
                <w:sz w:val="20"/>
                <w:szCs w:val="20"/>
              </w:rPr>
              <w:t>Electricity Surplus</w:t>
            </w:r>
          </w:p>
        </w:tc>
        <w:tc>
          <w:tcPr>
            <w:tcW w:w="906" w:type="pct"/>
            <w:tcBorders>
              <w:top w:val="nil"/>
              <w:left w:val="nil"/>
              <w:bottom w:val="nil"/>
              <w:right w:val="nil"/>
            </w:tcBorders>
            <w:shd w:val="clear" w:color="auto" w:fill="auto"/>
            <w:noWrap/>
            <w:vAlign w:val="bottom"/>
            <w:hideMark/>
          </w:tcPr>
          <w:p w14:paraId="507C4585" w14:textId="77777777" w:rsidR="00951062" w:rsidRPr="00C82D7B" w:rsidRDefault="00951062" w:rsidP="00A060AF">
            <w:pPr>
              <w:spacing w:after="0" w:line="240" w:lineRule="auto"/>
              <w:jc w:val="center"/>
              <w:rPr>
                <w:color w:val="000000"/>
                <w:sz w:val="20"/>
                <w:szCs w:val="20"/>
              </w:rPr>
            </w:pPr>
            <w:r w:rsidRPr="00C82D7B">
              <w:rPr>
                <w:color w:val="000000"/>
                <w:sz w:val="20"/>
                <w:szCs w:val="20"/>
              </w:rPr>
              <w:t>0</w:t>
            </w:r>
          </w:p>
        </w:tc>
        <w:tc>
          <w:tcPr>
            <w:tcW w:w="1056" w:type="pct"/>
            <w:tcBorders>
              <w:top w:val="nil"/>
              <w:left w:val="nil"/>
              <w:bottom w:val="nil"/>
              <w:right w:val="nil"/>
            </w:tcBorders>
            <w:shd w:val="clear" w:color="auto" w:fill="auto"/>
            <w:noWrap/>
            <w:vAlign w:val="bottom"/>
            <w:hideMark/>
          </w:tcPr>
          <w:p w14:paraId="4A83EFEF" w14:textId="77777777" w:rsidR="00951062" w:rsidRPr="00C82D7B" w:rsidRDefault="00951062" w:rsidP="00A060AF">
            <w:pPr>
              <w:spacing w:after="0" w:line="240" w:lineRule="auto"/>
              <w:jc w:val="center"/>
              <w:rPr>
                <w:color w:val="000000"/>
                <w:sz w:val="20"/>
                <w:szCs w:val="20"/>
              </w:rPr>
            </w:pPr>
            <w:r w:rsidRPr="00C82D7B">
              <w:rPr>
                <w:color w:val="000000"/>
                <w:sz w:val="20"/>
                <w:szCs w:val="20"/>
              </w:rPr>
              <w:t>0</w:t>
            </w:r>
          </w:p>
        </w:tc>
        <w:tc>
          <w:tcPr>
            <w:tcW w:w="889" w:type="pct"/>
            <w:tcBorders>
              <w:top w:val="nil"/>
              <w:left w:val="nil"/>
              <w:bottom w:val="nil"/>
              <w:right w:val="nil"/>
            </w:tcBorders>
            <w:shd w:val="clear" w:color="auto" w:fill="auto"/>
            <w:noWrap/>
            <w:vAlign w:val="bottom"/>
            <w:hideMark/>
          </w:tcPr>
          <w:p w14:paraId="42987DE3" w14:textId="77777777" w:rsidR="00951062" w:rsidRPr="00C82D7B" w:rsidRDefault="00951062" w:rsidP="00A060AF">
            <w:pPr>
              <w:spacing w:after="0" w:line="240" w:lineRule="auto"/>
              <w:jc w:val="center"/>
              <w:rPr>
                <w:color w:val="000000"/>
                <w:sz w:val="20"/>
                <w:szCs w:val="20"/>
              </w:rPr>
            </w:pPr>
            <w:r w:rsidRPr="00C82D7B">
              <w:rPr>
                <w:color w:val="000000"/>
                <w:sz w:val="20"/>
                <w:szCs w:val="20"/>
              </w:rPr>
              <w:t>0</w:t>
            </w:r>
          </w:p>
        </w:tc>
      </w:tr>
      <w:tr w:rsidR="00FA6DE4" w:rsidRPr="006B4024" w14:paraId="4561AE4F" w14:textId="77777777" w:rsidTr="00A060AF">
        <w:trPr>
          <w:trHeight w:val="57"/>
        </w:trPr>
        <w:tc>
          <w:tcPr>
            <w:tcW w:w="2149" w:type="pct"/>
            <w:tcBorders>
              <w:top w:val="nil"/>
              <w:left w:val="nil"/>
              <w:bottom w:val="nil"/>
              <w:right w:val="nil"/>
            </w:tcBorders>
            <w:shd w:val="clear" w:color="auto" w:fill="auto"/>
            <w:noWrap/>
            <w:vAlign w:val="bottom"/>
            <w:hideMark/>
          </w:tcPr>
          <w:p w14:paraId="12FEF707" w14:textId="77777777" w:rsidR="00951062" w:rsidRPr="002201BA" w:rsidRDefault="00951062" w:rsidP="00A060AF">
            <w:pPr>
              <w:spacing w:after="0" w:line="240" w:lineRule="auto"/>
              <w:rPr>
                <w:color w:val="000000"/>
                <w:sz w:val="20"/>
                <w:szCs w:val="20"/>
              </w:rPr>
            </w:pPr>
          </w:p>
        </w:tc>
        <w:tc>
          <w:tcPr>
            <w:tcW w:w="906" w:type="pct"/>
            <w:tcBorders>
              <w:top w:val="nil"/>
              <w:left w:val="nil"/>
              <w:bottom w:val="nil"/>
              <w:right w:val="nil"/>
            </w:tcBorders>
            <w:shd w:val="clear" w:color="auto" w:fill="auto"/>
            <w:noWrap/>
            <w:vAlign w:val="bottom"/>
            <w:hideMark/>
          </w:tcPr>
          <w:p w14:paraId="5A577087" w14:textId="77777777" w:rsidR="00951062" w:rsidRPr="00C82D7B" w:rsidRDefault="00951062" w:rsidP="00A060AF">
            <w:pPr>
              <w:spacing w:after="0" w:line="240" w:lineRule="auto"/>
              <w:jc w:val="center"/>
              <w:rPr>
                <w:color w:val="000000"/>
                <w:sz w:val="20"/>
                <w:szCs w:val="20"/>
              </w:rPr>
            </w:pPr>
          </w:p>
        </w:tc>
        <w:tc>
          <w:tcPr>
            <w:tcW w:w="1056" w:type="pct"/>
            <w:tcBorders>
              <w:top w:val="nil"/>
              <w:left w:val="nil"/>
              <w:bottom w:val="nil"/>
              <w:right w:val="nil"/>
            </w:tcBorders>
            <w:shd w:val="clear" w:color="auto" w:fill="auto"/>
            <w:noWrap/>
            <w:vAlign w:val="bottom"/>
            <w:hideMark/>
          </w:tcPr>
          <w:p w14:paraId="6784D297" w14:textId="77777777" w:rsidR="00951062" w:rsidRPr="00C82D7B" w:rsidRDefault="00951062" w:rsidP="00A060AF">
            <w:pPr>
              <w:spacing w:after="0" w:line="240" w:lineRule="auto"/>
              <w:jc w:val="center"/>
              <w:rPr>
                <w:color w:val="000000"/>
                <w:sz w:val="20"/>
                <w:szCs w:val="20"/>
              </w:rPr>
            </w:pPr>
          </w:p>
        </w:tc>
        <w:tc>
          <w:tcPr>
            <w:tcW w:w="889" w:type="pct"/>
            <w:tcBorders>
              <w:top w:val="nil"/>
              <w:left w:val="nil"/>
              <w:bottom w:val="nil"/>
              <w:right w:val="nil"/>
            </w:tcBorders>
            <w:shd w:val="clear" w:color="auto" w:fill="auto"/>
            <w:noWrap/>
            <w:vAlign w:val="bottom"/>
            <w:hideMark/>
          </w:tcPr>
          <w:p w14:paraId="6D8FEC1B" w14:textId="77777777" w:rsidR="00951062" w:rsidRPr="00C82D7B" w:rsidRDefault="00951062" w:rsidP="00A060AF">
            <w:pPr>
              <w:spacing w:after="0" w:line="240" w:lineRule="auto"/>
              <w:jc w:val="center"/>
              <w:rPr>
                <w:color w:val="000000"/>
                <w:sz w:val="20"/>
                <w:szCs w:val="20"/>
              </w:rPr>
            </w:pPr>
          </w:p>
        </w:tc>
      </w:tr>
      <w:tr w:rsidR="00FA6DE4" w:rsidRPr="006B4024" w14:paraId="1BCAAEE0" w14:textId="77777777" w:rsidTr="00A060AF">
        <w:trPr>
          <w:trHeight w:val="57"/>
        </w:trPr>
        <w:tc>
          <w:tcPr>
            <w:tcW w:w="2149" w:type="pct"/>
            <w:tcBorders>
              <w:top w:val="nil"/>
              <w:left w:val="nil"/>
              <w:bottom w:val="nil"/>
              <w:right w:val="nil"/>
            </w:tcBorders>
            <w:shd w:val="clear" w:color="auto" w:fill="auto"/>
            <w:noWrap/>
            <w:vAlign w:val="bottom"/>
          </w:tcPr>
          <w:p w14:paraId="4F68F91F" w14:textId="77777777" w:rsidR="00951062" w:rsidRPr="002201BA" w:rsidRDefault="00951062" w:rsidP="00A060AF">
            <w:pPr>
              <w:spacing w:after="0" w:line="240" w:lineRule="auto"/>
              <w:ind w:firstLine="0"/>
              <w:rPr>
                <w:color w:val="000000"/>
                <w:sz w:val="20"/>
                <w:szCs w:val="20"/>
              </w:rPr>
            </w:pPr>
            <w:r w:rsidRPr="002201BA">
              <w:rPr>
                <w:color w:val="000000"/>
                <w:sz w:val="20"/>
                <w:szCs w:val="20"/>
              </w:rPr>
              <w:t>BIO-PHYSICAL</w:t>
            </w:r>
            <w:r w:rsidR="00FA6DE4">
              <w:rPr>
                <w:color w:val="000000"/>
                <w:sz w:val="20"/>
                <w:szCs w:val="20"/>
              </w:rPr>
              <w:t xml:space="preserve"> + </w:t>
            </w:r>
            <w:r w:rsidR="00C82576">
              <w:rPr>
                <w:color w:val="000000"/>
                <w:sz w:val="20"/>
                <w:szCs w:val="20"/>
              </w:rPr>
              <w:t>CREDITING</w:t>
            </w:r>
          </w:p>
        </w:tc>
        <w:tc>
          <w:tcPr>
            <w:tcW w:w="906" w:type="pct"/>
            <w:tcBorders>
              <w:top w:val="nil"/>
              <w:left w:val="nil"/>
              <w:bottom w:val="nil"/>
              <w:right w:val="nil"/>
            </w:tcBorders>
            <w:shd w:val="clear" w:color="auto" w:fill="auto"/>
            <w:noWrap/>
            <w:vAlign w:val="bottom"/>
          </w:tcPr>
          <w:p w14:paraId="0929EDBC" w14:textId="77777777" w:rsidR="00951062" w:rsidRPr="00C82D7B" w:rsidRDefault="00951062" w:rsidP="00A060AF">
            <w:pPr>
              <w:spacing w:after="0" w:line="240" w:lineRule="auto"/>
              <w:jc w:val="center"/>
              <w:rPr>
                <w:color w:val="000000"/>
                <w:sz w:val="20"/>
                <w:szCs w:val="20"/>
              </w:rPr>
            </w:pPr>
          </w:p>
        </w:tc>
        <w:tc>
          <w:tcPr>
            <w:tcW w:w="1056" w:type="pct"/>
            <w:tcBorders>
              <w:top w:val="nil"/>
              <w:left w:val="nil"/>
              <w:bottom w:val="nil"/>
              <w:right w:val="nil"/>
            </w:tcBorders>
            <w:shd w:val="clear" w:color="auto" w:fill="auto"/>
            <w:noWrap/>
            <w:vAlign w:val="bottom"/>
          </w:tcPr>
          <w:p w14:paraId="2892061D" w14:textId="77777777" w:rsidR="00951062" w:rsidRPr="00C82D7B" w:rsidRDefault="00951062" w:rsidP="00A060AF">
            <w:pPr>
              <w:spacing w:after="0" w:line="240" w:lineRule="auto"/>
              <w:jc w:val="center"/>
              <w:rPr>
                <w:color w:val="000000"/>
                <w:sz w:val="20"/>
                <w:szCs w:val="20"/>
              </w:rPr>
            </w:pPr>
          </w:p>
        </w:tc>
        <w:tc>
          <w:tcPr>
            <w:tcW w:w="889" w:type="pct"/>
            <w:tcBorders>
              <w:top w:val="nil"/>
              <w:left w:val="nil"/>
              <w:bottom w:val="nil"/>
              <w:right w:val="nil"/>
            </w:tcBorders>
            <w:shd w:val="clear" w:color="auto" w:fill="auto"/>
            <w:noWrap/>
            <w:vAlign w:val="bottom"/>
          </w:tcPr>
          <w:p w14:paraId="05013E96" w14:textId="77777777" w:rsidR="00951062" w:rsidRPr="00C82D7B" w:rsidRDefault="00951062" w:rsidP="00A060AF">
            <w:pPr>
              <w:spacing w:after="0" w:line="240" w:lineRule="auto"/>
              <w:jc w:val="center"/>
              <w:rPr>
                <w:color w:val="000000"/>
                <w:sz w:val="20"/>
                <w:szCs w:val="20"/>
              </w:rPr>
            </w:pPr>
          </w:p>
        </w:tc>
      </w:tr>
      <w:tr w:rsidR="00FA6DE4" w:rsidRPr="006B4024" w14:paraId="0394EBF7" w14:textId="77777777" w:rsidTr="00A060AF">
        <w:trPr>
          <w:trHeight w:val="57"/>
        </w:trPr>
        <w:tc>
          <w:tcPr>
            <w:tcW w:w="2149" w:type="pct"/>
            <w:tcBorders>
              <w:top w:val="nil"/>
              <w:left w:val="nil"/>
              <w:bottom w:val="nil"/>
              <w:right w:val="nil"/>
            </w:tcBorders>
            <w:shd w:val="clear" w:color="auto" w:fill="auto"/>
            <w:noWrap/>
            <w:vAlign w:val="bottom"/>
          </w:tcPr>
          <w:p w14:paraId="49A38B8F" w14:textId="77777777" w:rsidR="00951062" w:rsidRPr="002201BA" w:rsidRDefault="00951062" w:rsidP="00A060AF">
            <w:pPr>
              <w:spacing w:after="0" w:line="240" w:lineRule="auto"/>
              <w:rPr>
                <w:color w:val="000000"/>
                <w:sz w:val="20"/>
                <w:szCs w:val="20"/>
              </w:rPr>
            </w:pPr>
            <w:r w:rsidRPr="002201BA">
              <w:rPr>
                <w:color w:val="000000"/>
                <w:sz w:val="20"/>
                <w:szCs w:val="20"/>
              </w:rPr>
              <w:t>Milk</w:t>
            </w:r>
          </w:p>
        </w:tc>
        <w:tc>
          <w:tcPr>
            <w:tcW w:w="906" w:type="pct"/>
            <w:tcBorders>
              <w:top w:val="nil"/>
              <w:left w:val="nil"/>
              <w:bottom w:val="nil"/>
              <w:right w:val="nil"/>
            </w:tcBorders>
            <w:shd w:val="clear" w:color="auto" w:fill="auto"/>
            <w:noWrap/>
            <w:vAlign w:val="bottom"/>
          </w:tcPr>
          <w:p w14:paraId="222DD208" w14:textId="77777777" w:rsidR="00951062" w:rsidRPr="00C82D7B" w:rsidRDefault="00951062" w:rsidP="00A060AF">
            <w:pPr>
              <w:spacing w:after="0" w:line="240" w:lineRule="auto"/>
              <w:jc w:val="center"/>
              <w:rPr>
                <w:color w:val="000000"/>
                <w:sz w:val="20"/>
                <w:szCs w:val="20"/>
              </w:rPr>
            </w:pPr>
            <w:r w:rsidRPr="00C82D7B">
              <w:rPr>
                <w:color w:val="000000"/>
                <w:sz w:val="20"/>
                <w:szCs w:val="20"/>
              </w:rPr>
              <w:t>73%</w:t>
            </w:r>
          </w:p>
        </w:tc>
        <w:tc>
          <w:tcPr>
            <w:tcW w:w="1056" w:type="pct"/>
            <w:tcBorders>
              <w:top w:val="nil"/>
              <w:left w:val="nil"/>
              <w:bottom w:val="nil"/>
              <w:right w:val="nil"/>
            </w:tcBorders>
            <w:shd w:val="clear" w:color="auto" w:fill="auto"/>
            <w:noWrap/>
            <w:vAlign w:val="bottom"/>
          </w:tcPr>
          <w:p w14:paraId="52DF31A8" w14:textId="77777777" w:rsidR="00951062" w:rsidRPr="00C82D7B" w:rsidRDefault="00951062" w:rsidP="00A060AF">
            <w:pPr>
              <w:spacing w:after="0" w:line="240" w:lineRule="auto"/>
              <w:jc w:val="center"/>
              <w:rPr>
                <w:color w:val="000000"/>
                <w:sz w:val="20"/>
                <w:szCs w:val="20"/>
              </w:rPr>
            </w:pPr>
            <w:r w:rsidRPr="00C82D7B">
              <w:rPr>
                <w:color w:val="000000"/>
                <w:sz w:val="20"/>
                <w:szCs w:val="20"/>
              </w:rPr>
              <w:t>83%</w:t>
            </w:r>
          </w:p>
        </w:tc>
        <w:tc>
          <w:tcPr>
            <w:tcW w:w="889" w:type="pct"/>
            <w:tcBorders>
              <w:top w:val="nil"/>
              <w:left w:val="nil"/>
              <w:bottom w:val="nil"/>
              <w:right w:val="nil"/>
            </w:tcBorders>
            <w:shd w:val="clear" w:color="auto" w:fill="auto"/>
            <w:noWrap/>
            <w:vAlign w:val="bottom"/>
          </w:tcPr>
          <w:p w14:paraId="5780CF13" w14:textId="77777777" w:rsidR="00951062" w:rsidRPr="00C82D7B" w:rsidRDefault="00951062" w:rsidP="00A060AF">
            <w:pPr>
              <w:spacing w:after="0" w:line="240" w:lineRule="auto"/>
              <w:jc w:val="center"/>
              <w:rPr>
                <w:color w:val="000000"/>
                <w:sz w:val="20"/>
                <w:szCs w:val="20"/>
              </w:rPr>
            </w:pPr>
            <w:r w:rsidRPr="00C82D7B">
              <w:rPr>
                <w:color w:val="000000"/>
                <w:sz w:val="20"/>
                <w:szCs w:val="20"/>
              </w:rPr>
              <w:t>68%</w:t>
            </w:r>
          </w:p>
        </w:tc>
      </w:tr>
      <w:tr w:rsidR="00FA6DE4" w:rsidRPr="006B4024" w14:paraId="68AA576F" w14:textId="77777777" w:rsidTr="00A060AF">
        <w:trPr>
          <w:trHeight w:val="57"/>
        </w:trPr>
        <w:tc>
          <w:tcPr>
            <w:tcW w:w="2149" w:type="pct"/>
            <w:tcBorders>
              <w:top w:val="nil"/>
              <w:left w:val="nil"/>
              <w:bottom w:val="nil"/>
              <w:right w:val="nil"/>
            </w:tcBorders>
            <w:shd w:val="clear" w:color="auto" w:fill="auto"/>
            <w:noWrap/>
            <w:vAlign w:val="bottom"/>
          </w:tcPr>
          <w:p w14:paraId="032D10F7" w14:textId="77777777" w:rsidR="00951062" w:rsidRPr="002201BA" w:rsidRDefault="00951062" w:rsidP="00A060AF">
            <w:pPr>
              <w:spacing w:after="0" w:line="240" w:lineRule="auto"/>
              <w:rPr>
                <w:color w:val="000000"/>
                <w:sz w:val="20"/>
                <w:szCs w:val="20"/>
              </w:rPr>
            </w:pPr>
            <w:r w:rsidRPr="002201BA">
              <w:rPr>
                <w:color w:val="000000"/>
                <w:sz w:val="20"/>
                <w:szCs w:val="20"/>
              </w:rPr>
              <w:t xml:space="preserve">Meat Surplus </w:t>
            </w:r>
          </w:p>
        </w:tc>
        <w:tc>
          <w:tcPr>
            <w:tcW w:w="906" w:type="pct"/>
            <w:tcBorders>
              <w:top w:val="nil"/>
              <w:left w:val="nil"/>
              <w:bottom w:val="nil"/>
              <w:right w:val="nil"/>
            </w:tcBorders>
            <w:shd w:val="clear" w:color="auto" w:fill="auto"/>
            <w:noWrap/>
            <w:vAlign w:val="bottom"/>
          </w:tcPr>
          <w:p w14:paraId="72F089FA" w14:textId="77777777" w:rsidR="00951062" w:rsidRPr="00C82D7B" w:rsidRDefault="00951062" w:rsidP="00A060AF">
            <w:pPr>
              <w:spacing w:after="0" w:line="240" w:lineRule="auto"/>
              <w:jc w:val="center"/>
              <w:rPr>
                <w:color w:val="000000"/>
                <w:sz w:val="20"/>
                <w:szCs w:val="20"/>
              </w:rPr>
            </w:pPr>
            <w:r w:rsidRPr="00C82D7B">
              <w:rPr>
                <w:color w:val="000000"/>
                <w:sz w:val="20"/>
                <w:szCs w:val="20"/>
              </w:rPr>
              <w:t>23%</w:t>
            </w:r>
          </w:p>
        </w:tc>
        <w:tc>
          <w:tcPr>
            <w:tcW w:w="1056" w:type="pct"/>
            <w:tcBorders>
              <w:top w:val="nil"/>
              <w:left w:val="nil"/>
              <w:bottom w:val="nil"/>
              <w:right w:val="nil"/>
            </w:tcBorders>
            <w:shd w:val="clear" w:color="auto" w:fill="auto"/>
            <w:noWrap/>
            <w:vAlign w:val="bottom"/>
          </w:tcPr>
          <w:p w14:paraId="10EA2925" w14:textId="77777777" w:rsidR="00951062" w:rsidRPr="00C82D7B" w:rsidRDefault="00951062" w:rsidP="00A060AF">
            <w:pPr>
              <w:spacing w:after="0" w:line="240" w:lineRule="auto"/>
              <w:jc w:val="center"/>
              <w:rPr>
                <w:color w:val="000000"/>
                <w:sz w:val="20"/>
                <w:szCs w:val="20"/>
              </w:rPr>
            </w:pPr>
            <w:r w:rsidRPr="00C82D7B">
              <w:rPr>
                <w:color w:val="000000"/>
                <w:sz w:val="20"/>
                <w:szCs w:val="20"/>
              </w:rPr>
              <w:t>16%</w:t>
            </w:r>
          </w:p>
        </w:tc>
        <w:tc>
          <w:tcPr>
            <w:tcW w:w="889" w:type="pct"/>
            <w:tcBorders>
              <w:top w:val="nil"/>
              <w:left w:val="nil"/>
              <w:bottom w:val="nil"/>
              <w:right w:val="nil"/>
            </w:tcBorders>
            <w:shd w:val="clear" w:color="auto" w:fill="auto"/>
            <w:noWrap/>
            <w:vAlign w:val="bottom"/>
          </w:tcPr>
          <w:p w14:paraId="02393B73" w14:textId="77777777" w:rsidR="00951062" w:rsidRPr="00C82D7B" w:rsidRDefault="00951062" w:rsidP="00A060AF">
            <w:pPr>
              <w:spacing w:after="0" w:line="240" w:lineRule="auto"/>
              <w:jc w:val="center"/>
              <w:rPr>
                <w:color w:val="000000"/>
                <w:sz w:val="20"/>
                <w:szCs w:val="20"/>
              </w:rPr>
            </w:pPr>
            <w:r w:rsidRPr="00C82D7B">
              <w:rPr>
                <w:color w:val="000000"/>
                <w:sz w:val="20"/>
                <w:szCs w:val="20"/>
              </w:rPr>
              <w:t>32%</w:t>
            </w:r>
          </w:p>
        </w:tc>
      </w:tr>
      <w:tr w:rsidR="00FA6DE4" w:rsidRPr="006B4024" w14:paraId="29A558F2" w14:textId="77777777" w:rsidTr="00A060AF">
        <w:trPr>
          <w:trHeight w:val="57"/>
        </w:trPr>
        <w:tc>
          <w:tcPr>
            <w:tcW w:w="2149" w:type="pct"/>
            <w:tcBorders>
              <w:top w:val="nil"/>
              <w:left w:val="nil"/>
              <w:bottom w:val="nil"/>
              <w:right w:val="nil"/>
            </w:tcBorders>
            <w:shd w:val="clear" w:color="auto" w:fill="auto"/>
            <w:noWrap/>
            <w:vAlign w:val="center"/>
          </w:tcPr>
          <w:p w14:paraId="69E9210E" w14:textId="77777777" w:rsidR="00951062" w:rsidRPr="002201BA" w:rsidRDefault="00951062" w:rsidP="00A060AF">
            <w:pPr>
              <w:spacing w:after="0" w:line="240" w:lineRule="auto"/>
              <w:jc w:val="left"/>
              <w:rPr>
                <w:color w:val="000000"/>
                <w:sz w:val="20"/>
                <w:szCs w:val="20"/>
              </w:rPr>
            </w:pPr>
            <w:r w:rsidRPr="002201BA">
              <w:rPr>
                <w:color w:val="000000"/>
                <w:sz w:val="20"/>
                <w:szCs w:val="20"/>
              </w:rPr>
              <w:t>Electricity Surplus Credits</w:t>
            </w:r>
          </w:p>
        </w:tc>
        <w:tc>
          <w:tcPr>
            <w:tcW w:w="906" w:type="pct"/>
            <w:tcBorders>
              <w:top w:val="nil"/>
              <w:left w:val="nil"/>
              <w:bottom w:val="nil"/>
              <w:right w:val="nil"/>
            </w:tcBorders>
            <w:shd w:val="clear" w:color="auto" w:fill="auto"/>
            <w:noWrap/>
            <w:vAlign w:val="center"/>
          </w:tcPr>
          <w:p w14:paraId="2FA5FDDD" w14:textId="77777777" w:rsidR="00951062" w:rsidRPr="00C82D7B" w:rsidRDefault="00951062" w:rsidP="00157DCC">
            <w:pPr>
              <w:spacing w:after="0" w:line="240" w:lineRule="auto"/>
              <w:ind w:firstLine="0"/>
              <w:jc w:val="center"/>
              <w:rPr>
                <w:color w:val="000000"/>
                <w:sz w:val="20"/>
                <w:szCs w:val="20"/>
              </w:rPr>
            </w:pPr>
            <w:r w:rsidRPr="00C82D7B">
              <w:rPr>
                <w:color w:val="000000"/>
                <w:sz w:val="20"/>
                <w:szCs w:val="20"/>
              </w:rPr>
              <w:t>System expansion</w:t>
            </w:r>
          </w:p>
        </w:tc>
        <w:tc>
          <w:tcPr>
            <w:tcW w:w="1056" w:type="pct"/>
            <w:tcBorders>
              <w:top w:val="nil"/>
              <w:left w:val="nil"/>
              <w:bottom w:val="nil"/>
              <w:right w:val="nil"/>
            </w:tcBorders>
            <w:shd w:val="clear" w:color="auto" w:fill="auto"/>
            <w:noWrap/>
            <w:vAlign w:val="center"/>
          </w:tcPr>
          <w:p w14:paraId="0E08D0B8" w14:textId="77777777" w:rsidR="00951062" w:rsidRPr="00C82D7B" w:rsidRDefault="00951062" w:rsidP="00A060AF">
            <w:pPr>
              <w:spacing w:after="0" w:line="240" w:lineRule="auto"/>
              <w:jc w:val="center"/>
              <w:rPr>
                <w:color w:val="000000"/>
                <w:sz w:val="20"/>
                <w:szCs w:val="20"/>
              </w:rPr>
            </w:pPr>
            <w:r w:rsidRPr="00C82D7B">
              <w:rPr>
                <w:color w:val="000000"/>
                <w:sz w:val="20"/>
                <w:szCs w:val="20"/>
              </w:rPr>
              <w:t>System expansion</w:t>
            </w:r>
          </w:p>
        </w:tc>
        <w:tc>
          <w:tcPr>
            <w:tcW w:w="889" w:type="pct"/>
            <w:tcBorders>
              <w:top w:val="nil"/>
              <w:left w:val="nil"/>
              <w:bottom w:val="nil"/>
              <w:right w:val="nil"/>
            </w:tcBorders>
            <w:shd w:val="clear" w:color="auto" w:fill="auto"/>
            <w:noWrap/>
            <w:vAlign w:val="bottom"/>
          </w:tcPr>
          <w:p w14:paraId="033BD6A0" w14:textId="77777777" w:rsidR="00951062" w:rsidRPr="00C82D7B" w:rsidRDefault="00951062" w:rsidP="00A060AF">
            <w:pPr>
              <w:spacing w:after="0" w:line="240" w:lineRule="auto"/>
              <w:jc w:val="center"/>
              <w:rPr>
                <w:color w:val="000000"/>
                <w:sz w:val="20"/>
                <w:szCs w:val="20"/>
              </w:rPr>
            </w:pPr>
            <w:r w:rsidRPr="00C82D7B">
              <w:rPr>
                <w:color w:val="000000"/>
                <w:sz w:val="20"/>
                <w:szCs w:val="20"/>
              </w:rPr>
              <w:t>-</w:t>
            </w:r>
          </w:p>
        </w:tc>
      </w:tr>
      <w:tr w:rsidR="00FA6DE4" w:rsidRPr="006B4024" w14:paraId="2C3EC51F" w14:textId="77777777" w:rsidTr="00A060AF">
        <w:trPr>
          <w:trHeight w:val="57"/>
        </w:trPr>
        <w:tc>
          <w:tcPr>
            <w:tcW w:w="2149" w:type="pct"/>
            <w:tcBorders>
              <w:top w:val="nil"/>
              <w:left w:val="nil"/>
              <w:bottom w:val="nil"/>
              <w:right w:val="nil"/>
            </w:tcBorders>
            <w:shd w:val="clear" w:color="auto" w:fill="auto"/>
            <w:noWrap/>
            <w:vAlign w:val="bottom"/>
          </w:tcPr>
          <w:p w14:paraId="475204D2" w14:textId="77777777" w:rsidR="00951062" w:rsidRPr="002201BA" w:rsidRDefault="00951062" w:rsidP="00A060AF">
            <w:pPr>
              <w:spacing w:after="0" w:line="240" w:lineRule="auto"/>
              <w:ind w:firstLine="0"/>
              <w:rPr>
                <w:color w:val="000000"/>
                <w:sz w:val="20"/>
                <w:szCs w:val="20"/>
              </w:rPr>
            </w:pPr>
            <w:r w:rsidRPr="002201BA">
              <w:rPr>
                <w:color w:val="000000"/>
                <w:sz w:val="20"/>
                <w:szCs w:val="20"/>
              </w:rPr>
              <w:t>ECONOMIC ALLOCATION</w:t>
            </w:r>
          </w:p>
        </w:tc>
        <w:tc>
          <w:tcPr>
            <w:tcW w:w="906" w:type="pct"/>
            <w:tcBorders>
              <w:top w:val="nil"/>
              <w:left w:val="nil"/>
              <w:bottom w:val="nil"/>
              <w:right w:val="nil"/>
            </w:tcBorders>
            <w:shd w:val="clear" w:color="auto" w:fill="auto"/>
            <w:noWrap/>
            <w:vAlign w:val="bottom"/>
          </w:tcPr>
          <w:p w14:paraId="308FD304" w14:textId="77777777" w:rsidR="00951062" w:rsidRPr="00C82D7B" w:rsidRDefault="00951062" w:rsidP="00A060AF">
            <w:pPr>
              <w:spacing w:after="0" w:line="240" w:lineRule="auto"/>
              <w:jc w:val="center"/>
              <w:rPr>
                <w:color w:val="000000"/>
                <w:sz w:val="20"/>
                <w:szCs w:val="20"/>
              </w:rPr>
            </w:pPr>
          </w:p>
        </w:tc>
        <w:tc>
          <w:tcPr>
            <w:tcW w:w="1056" w:type="pct"/>
            <w:tcBorders>
              <w:top w:val="nil"/>
              <w:left w:val="nil"/>
              <w:bottom w:val="nil"/>
              <w:right w:val="nil"/>
            </w:tcBorders>
            <w:shd w:val="clear" w:color="auto" w:fill="auto"/>
            <w:noWrap/>
            <w:vAlign w:val="bottom"/>
          </w:tcPr>
          <w:p w14:paraId="189F1B6B" w14:textId="77777777" w:rsidR="00951062" w:rsidRPr="00C82D7B" w:rsidRDefault="00951062" w:rsidP="00A060AF">
            <w:pPr>
              <w:spacing w:after="0" w:line="240" w:lineRule="auto"/>
              <w:jc w:val="center"/>
              <w:rPr>
                <w:color w:val="000000"/>
                <w:sz w:val="20"/>
                <w:szCs w:val="20"/>
              </w:rPr>
            </w:pPr>
          </w:p>
        </w:tc>
        <w:tc>
          <w:tcPr>
            <w:tcW w:w="889" w:type="pct"/>
            <w:tcBorders>
              <w:top w:val="nil"/>
              <w:left w:val="nil"/>
              <w:bottom w:val="nil"/>
              <w:right w:val="nil"/>
            </w:tcBorders>
            <w:shd w:val="clear" w:color="auto" w:fill="auto"/>
            <w:noWrap/>
            <w:vAlign w:val="bottom"/>
          </w:tcPr>
          <w:p w14:paraId="2AEB9EFB" w14:textId="77777777" w:rsidR="00951062" w:rsidRPr="00C82D7B" w:rsidRDefault="00951062" w:rsidP="00A060AF">
            <w:pPr>
              <w:spacing w:after="0" w:line="240" w:lineRule="auto"/>
              <w:jc w:val="center"/>
              <w:rPr>
                <w:color w:val="000000"/>
                <w:sz w:val="20"/>
                <w:szCs w:val="20"/>
              </w:rPr>
            </w:pPr>
          </w:p>
        </w:tc>
      </w:tr>
      <w:tr w:rsidR="00FA6DE4" w:rsidRPr="006B4024" w14:paraId="6312702F" w14:textId="77777777" w:rsidTr="00A060AF">
        <w:trPr>
          <w:trHeight w:val="57"/>
        </w:trPr>
        <w:tc>
          <w:tcPr>
            <w:tcW w:w="2149" w:type="pct"/>
            <w:tcBorders>
              <w:top w:val="nil"/>
              <w:left w:val="nil"/>
              <w:bottom w:val="nil"/>
              <w:right w:val="nil"/>
            </w:tcBorders>
            <w:shd w:val="clear" w:color="auto" w:fill="auto"/>
            <w:noWrap/>
            <w:vAlign w:val="bottom"/>
          </w:tcPr>
          <w:p w14:paraId="7F1D0A1A" w14:textId="77777777" w:rsidR="00951062" w:rsidRPr="002201BA" w:rsidRDefault="00951062" w:rsidP="00A060AF">
            <w:pPr>
              <w:spacing w:after="0" w:line="240" w:lineRule="auto"/>
              <w:rPr>
                <w:color w:val="000000"/>
                <w:sz w:val="20"/>
                <w:szCs w:val="20"/>
              </w:rPr>
            </w:pPr>
            <w:r w:rsidRPr="002201BA">
              <w:rPr>
                <w:color w:val="000000"/>
                <w:sz w:val="20"/>
                <w:szCs w:val="20"/>
              </w:rPr>
              <w:t>Milk</w:t>
            </w:r>
          </w:p>
        </w:tc>
        <w:tc>
          <w:tcPr>
            <w:tcW w:w="906" w:type="pct"/>
            <w:tcBorders>
              <w:top w:val="nil"/>
              <w:left w:val="nil"/>
              <w:bottom w:val="nil"/>
              <w:right w:val="nil"/>
            </w:tcBorders>
            <w:shd w:val="clear" w:color="auto" w:fill="auto"/>
            <w:noWrap/>
            <w:vAlign w:val="bottom"/>
          </w:tcPr>
          <w:p w14:paraId="18199177" w14:textId="77777777" w:rsidR="00951062" w:rsidRPr="00C82D7B" w:rsidRDefault="00951062" w:rsidP="00A060AF">
            <w:pPr>
              <w:spacing w:after="0" w:line="240" w:lineRule="auto"/>
              <w:jc w:val="center"/>
              <w:rPr>
                <w:color w:val="000000"/>
                <w:sz w:val="20"/>
                <w:szCs w:val="20"/>
              </w:rPr>
            </w:pPr>
            <w:r w:rsidRPr="00C82D7B">
              <w:rPr>
                <w:color w:val="000000"/>
                <w:sz w:val="20"/>
                <w:szCs w:val="20"/>
              </w:rPr>
              <w:t>93%</w:t>
            </w:r>
          </w:p>
        </w:tc>
        <w:tc>
          <w:tcPr>
            <w:tcW w:w="1056" w:type="pct"/>
            <w:tcBorders>
              <w:top w:val="nil"/>
              <w:left w:val="nil"/>
              <w:bottom w:val="nil"/>
              <w:right w:val="nil"/>
            </w:tcBorders>
            <w:shd w:val="clear" w:color="auto" w:fill="auto"/>
            <w:noWrap/>
            <w:vAlign w:val="bottom"/>
          </w:tcPr>
          <w:p w14:paraId="27EE4C30" w14:textId="77777777" w:rsidR="00951062" w:rsidRPr="00C82D7B" w:rsidRDefault="00951062" w:rsidP="00A060AF">
            <w:pPr>
              <w:spacing w:after="0" w:line="240" w:lineRule="auto"/>
              <w:jc w:val="center"/>
              <w:rPr>
                <w:color w:val="000000"/>
                <w:sz w:val="20"/>
                <w:szCs w:val="20"/>
              </w:rPr>
            </w:pPr>
            <w:r w:rsidRPr="00C82D7B">
              <w:rPr>
                <w:color w:val="000000"/>
                <w:sz w:val="20"/>
                <w:szCs w:val="20"/>
              </w:rPr>
              <w:t>89%</w:t>
            </w:r>
          </w:p>
        </w:tc>
        <w:tc>
          <w:tcPr>
            <w:tcW w:w="889" w:type="pct"/>
            <w:tcBorders>
              <w:top w:val="nil"/>
              <w:left w:val="nil"/>
              <w:bottom w:val="nil"/>
              <w:right w:val="nil"/>
            </w:tcBorders>
            <w:shd w:val="clear" w:color="auto" w:fill="auto"/>
            <w:noWrap/>
            <w:vAlign w:val="bottom"/>
          </w:tcPr>
          <w:p w14:paraId="7BED8BA0" w14:textId="77777777" w:rsidR="00951062" w:rsidRPr="00C82D7B" w:rsidRDefault="00951062" w:rsidP="00A060AF">
            <w:pPr>
              <w:spacing w:after="0" w:line="240" w:lineRule="auto"/>
              <w:jc w:val="center"/>
              <w:rPr>
                <w:color w:val="000000"/>
                <w:sz w:val="20"/>
                <w:szCs w:val="20"/>
              </w:rPr>
            </w:pPr>
            <w:r w:rsidRPr="00C82D7B">
              <w:rPr>
                <w:color w:val="000000"/>
                <w:sz w:val="20"/>
                <w:szCs w:val="20"/>
              </w:rPr>
              <w:t>94%</w:t>
            </w:r>
          </w:p>
        </w:tc>
      </w:tr>
      <w:tr w:rsidR="00FA6DE4" w:rsidRPr="006B4024" w14:paraId="778CEC8D" w14:textId="77777777" w:rsidTr="00A060AF">
        <w:trPr>
          <w:trHeight w:val="57"/>
        </w:trPr>
        <w:tc>
          <w:tcPr>
            <w:tcW w:w="2149" w:type="pct"/>
            <w:tcBorders>
              <w:top w:val="nil"/>
              <w:left w:val="nil"/>
              <w:bottom w:val="nil"/>
              <w:right w:val="nil"/>
            </w:tcBorders>
            <w:shd w:val="clear" w:color="auto" w:fill="auto"/>
            <w:noWrap/>
            <w:vAlign w:val="bottom"/>
          </w:tcPr>
          <w:p w14:paraId="5566AD0A" w14:textId="77777777" w:rsidR="00951062" w:rsidRPr="002201BA" w:rsidRDefault="00951062" w:rsidP="00A060AF">
            <w:pPr>
              <w:spacing w:after="0" w:line="240" w:lineRule="auto"/>
              <w:rPr>
                <w:color w:val="000000"/>
                <w:sz w:val="20"/>
                <w:szCs w:val="20"/>
              </w:rPr>
            </w:pPr>
            <w:r w:rsidRPr="002201BA">
              <w:rPr>
                <w:color w:val="000000"/>
                <w:sz w:val="20"/>
                <w:szCs w:val="20"/>
              </w:rPr>
              <w:t xml:space="preserve">Meat Surplus </w:t>
            </w:r>
          </w:p>
        </w:tc>
        <w:tc>
          <w:tcPr>
            <w:tcW w:w="906" w:type="pct"/>
            <w:tcBorders>
              <w:top w:val="nil"/>
              <w:left w:val="nil"/>
              <w:bottom w:val="nil"/>
              <w:right w:val="nil"/>
            </w:tcBorders>
            <w:shd w:val="clear" w:color="auto" w:fill="auto"/>
            <w:noWrap/>
            <w:vAlign w:val="bottom"/>
          </w:tcPr>
          <w:p w14:paraId="5F093D09" w14:textId="77777777" w:rsidR="00951062" w:rsidRPr="00C82D7B" w:rsidRDefault="00951062" w:rsidP="00A060AF">
            <w:pPr>
              <w:spacing w:after="0" w:line="240" w:lineRule="auto"/>
              <w:jc w:val="center"/>
              <w:rPr>
                <w:color w:val="000000"/>
                <w:sz w:val="20"/>
                <w:szCs w:val="20"/>
              </w:rPr>
            </w:pPr>
            <w:r w:rsidRPr="00C82D7B">
              <w:rPr>
                <w:color w:val="000000"/>
                <w:sz w:val="20"/>
                <w:szCs w:val="20"/>
              </w:rPr>
              <w:t>4%</w:t>
            </w:r>
          </w:p>
        </w:tc>
        <w:tc>
          <w:tcPr>
            <w:tcW w:w="1056" w:type="pct"/>
            <w:tcBorders>
              <w:top w:val="nil"/>
              <w:left w:val="nil"/>
              <w:bottom w:val="nil"/>
              <w:right w:val="nil"/>
            </w:tcBorders>
            <w:shd w:val="clear" w:color="auto" w:fill="auto"/>
            <w:noWrap/>
            <w:vAlign w:val="bottom"/>
          </w:tcPr>
          <w:p w14:paraId="00776B66" w14:textId="77777777" w:rsidR="00951062" w:rsidRPr="00C82D7B" w:rsidRDefault="00951062" w:rsidP="00A060AF">
            <w:pPr>
              <w:spacing w:after="0" w:line="240" w:lineRule="auto"/>
              <w:jc w:val="center"/>
              <w:rPr>
                <w:color w:val="000000"/>
                <w:sz w:val="20"/>
                <w:szCs w:val="20"/>
              </w:rPr>
            </w:pPr>
            <w:r w:rsidRPr="00C82D7B">
              <w:rPr>
                <w:color w:val="000000"/>
                <w:sz w:val="20"/>
                <w:szCs w:val="20"/>
              </w:rPr>
              <w:t>3%</w:t>
            </w:r>
          </w:p>
        </w:tc>
        <w:tc>
          <w:tcPr>
            <w:tcW w:w="889" w:type="pct"/>
            <w:tcBorders>
              <w:top w:val="nil"/>
              <w:left w:val="nil"/>
              <w:bottom w:val="nil"/>
              <w:right w:val="nil"/>
            </w:tcBorders>
            <w:shd w:val="clear" w:color="auto" w:fill="auto"/>
            <w:noWrap/>
            <w:vAlign w:val="bottom"/>
          </w:tcPr>
          <w:p w14:paraId="005FD577" w14:textId="77777777" w:rsidR="00951062" w:rsidRPr="00C82D7B" w:rsidRDefault="00951062" w:rsidP="00A060AF">
            <w:pPr>
              <w:spacing w:after="0" w:line="240" w:lineRule="auto"/>
              <w:jc w:val="center"/>
              <w:rPr>
                <w:color w:val="000000"/>
                <w:sz w:val="20"/>
                <w:szCs w:val="20"/>
              </w:rPr>
            </w:pPr>
            <w:r w:rsidRPr="00C82D7B">
              <w:rPr>
                <w:color w:val="000000"/>
                <w:sz w:val="20"/>
                <w:szCs w:val="20"/>
              </w:rPr>
              <w:t>6%</w:t>
            </w:r>
          </w:p>
        </w:tc>
      </w:tr>
      <w:tr w:rsidR="00FA6DE4" w:rsidRPr="006B4024" w14:paraId="491F01E3" w14:textId="77777777" w:rsidTr="00A060AF">
        <w:trPr>
          <w:trHeight w:val="57"/>
        </w:trPr>
        <w:tc>
          <w:tcPr>
            <w:tcW w:w="2149" w:type="pct"/>
            <w:tcBorders>
              <w:top w:val="nil"/>
              <w:left w:val="nil"/>
              <w:bottom w:val="nil"/>
              <w:right w:val="nil"/>
            </w:tcBorders>
            <w:shd w:val="clear" w:color="auto" w:fill="auto"/>
            <w:noWrap/>
            <w:vAlign w:val="bottom"/>
          </w:tcPr>
          <w:p w14:paraId="745BDD02" w14:textId="77777777" w:rsidR="00951062" w:rsidRPr="002201BA" w:rsidRDefault="00951062" w:rsidP="00A060AF">
            <w:pPr>
              <w:spacing w:after="0" w:line="240" w:lineRule="auto"/>
              <w:rPr>
                <w:color w:val="000000"/>
                <w:sz w:val="20"/>
                <w:szCs w:val="20"/>
              </w:rPr>
            </w:pPr>
            <w:r w:rsidRPr="002201BA">
              <w:rPr>
                <w:color w:val="000000"/>
                <w:sz w:val="20"/>
                <w:szCs w:val="20"/>
              </w:rPr>
              <w:t>Electricity Surplus</w:t>
            </w:r>
          </w:p>
        </w:tc>
        <w:tc>
          <w:tcPr>
            <w:tcW w:w="906" w:type="pct"/>
            <w:tcBorders>
              <w:top w:val="nil"/>
              <w:left w:val="nil"/>
              <w:bottom w:val="nil"/>
              <w:right w:val="nil"/>
            </w:tcBorders>
            <w:shd w:val="clear" w:color="auto" w:fill="auto"/>
            <w:noWrap/>
            <w:vAlign w:val="bottom"/>
          </w:tcPr>
          <w:p w14:paraId="033A8CF1" w14:textId="77777777" w:rsidR="00951062" w:rsidRPr="00C82D7B" w:rsidRDefault="00951062" w:rsidP="00A060AF">
            <w:pPr>
              <w:spacing w:after="0" w:line="240" w:lineRule="auto"/>
              <w:jc w:val="center"/>
              <w:rPr>
                <w:color w:val="000000"/>
                <w:sz w:val="20"/>
                <w:szCs w:val="20"/>
              </w:rPr>
            </w:pPr>
            <w:r w:rsidRPr="00C82D7B">
              <w:rPr>
                <w:color w:val="000000"/>
                <w:sz w:val="20"/>
                <w:szCs w:val="20"/>
              </w:rPr>
              <w:t>3%</w:t>
            </w:r>
          </w:p>
        </w:tc>
        <w:tc>
          <w:tcPr>
            <w:tcW w:w="1056" w:type="pct"/>
            <w:tcBorders>
              <w:top w:val="nil"/>
              <w:left w:val="nil"/>
              <w:bottom w:val="nil"/>
              <w:right w:val="nil"/>
            </w:tcBorders>
            <w:shd w:val="clear" w:color="auto" w:fill="auto"/>
            <w:noWrap/>
            <w:vAlign w:val="bottom"/>
          </w:tcPr>
          <w:p w14:paraId="783DACB9" w14:textId="77777777" w:rsidR="00951062" w:rsidRPr="00C82D7B" w:rsidRDefault="00951062" w:rsidP="00A060AF">
            <w:pPr>
              <w:spacing w:after="0" w:line="240" w:lineRule="auto"/>
              <w:jc w:val="center"/>
              <w:rPr>
                <w:color w:val="000000"/>
                <w:sz w:val="20"/>
                <w:szCs w:val="20"/>
              </w:rPr>
            </w:pPr>
            <w:r w:rsidRPr="00C82D7B">
              <w:rPr>
                <w:color w:val="000000"/>
                <w:sz w:val="20"/>
                <w:szCs w:val="20"/>
              </w:rPr>
              <w:t>8%</w:t>
            </w:r>
          </w:p>
        </w:tc>
        <w:tc>
          <w:tcPr>
            <w:tcW w:w="889" w:type="pct"/>
            <w:tcBorders>
              <w:top w:val="nil"/>
              <w:left w:val="nil"/>
              <w:bottom w:val="nil"/>
              <w:right w:val="nil"/>
            </w:tcBorders>
            <w:shd w:val="clear" w:color="auto" w:fill="auto"/>
            <w:noWrap/>
            <w:vAlign w:val="bottom"/>
          </w:tcPr>
          <w:p w14:paraId="711837BB" w14:textId="77777777" w:rsidR="00951062" w:rsidRPr="00C82D7B" w:rsidRDefault="00951062" w:rsidP="00A060AF">
            <w:pPr>
              <w:spacing w:after="0" w:line="240" w:lineRule="auto"/>
              <w:jc w:val="center"/>
              <w:rPr>
                <w:color w:val="000000"/>
                <w:sz w:val="20"/>
                <w:szCs w:val="20"/>
              </w:rPr>
            </w:pPr>
            <w:r w:rsidRPr="00C82D7B">
              <w:rPr>
                <w:color w:val="000000"/>
                <w:sz w:val="20"/>
                <w:szCs w:val="20"/>
              </w:rPr>
              <w:t>-</w:t>
            </w:r>
          </w:p>
        </w:tc>
      </w:tr>
    </w:tbl>
    <w:p w14:paraId="45982C2B" w14:textId="77777777" w:rsidR="00951062" w:rsidRPr="00951062" w:rsidRDefault="00951062" w:rsidP="00A060AF"/>
    <w:p w14:paraId="79E34B21" w14:textId="77777777" w:rsidR="0089030F" w:rsidRPr="001127C7" w:rsidRDefault="008B19E1" w:rsidP="008B19E1">
      <w:pPr>
        <w:pStyle w:val="Titolo2"/>
      </w:pPr>
      <w:r>
        <w:t>Impact assessment</w:t>
      </w:r>
    </w:p>
    <w:p w14:paraId="1FC62534" w14:textId="400F1C1F" w:rsidR="00867BAE" w:rsidRPr="001127C7" w:rsidRDefault="003D6A2D" w:rsidP="00A060AF">
      <w:pPr>
        <w:spacing w:line="360" w:lineRule="auto"/>
        <w:ind w:firstLine="0"/>
      </w:pPr>
      <w:r>
        <w:t>We use t</w:t>
      </w:r>
      <w:r w:rsidR="00940192" w:rsidRPr="001127C7">
        <w:t xml:space="preserve">he Environmental Footprint (EF) </w:t>
      </w:r>
      <w:r w:rsidR="000D5FC9" w:rsidRPr="001127C7">
        <w:t>3</w:t>
      </w:r>
      <w:r w:rsidR="00940192" w:rsidRPr="001127C7">
        <w:t>.0</w:t>
      </w:r>
      <w:r w:rsidR="00E23F43">
        <w:t xml:space="preserve"> method</w:t>
      </w:r>
      <w:r w:rsidR="00940192" w:rsidRPr="001127C7">
        <w:t xml:space="preserve">  </w:t>
      </w:r>
      <w:r>
        <w:t>to</w:t>
      </w:r>
      <w:r w:rsidR="00940192" w:rsidRPr="001127C7">
        <w:t xml:space="preserve"> quantify</w:t>
      </w:r>
      <w:r>
        <w:t xml:space="preserve"> environmental impacts</w:t>
      </w:r>
      <w:r w:rsidR="00E23F43">
        <w:t xml:space="preserve"> </w:t>
      </w:r>
      <w:r w:rsidR="00E23F43" w:rsidRPr="001127C7">
        <w:fldChar w:fldCharType="begin" w:fldLock="1"/>
      </w:r>
      <w:r w:rsidR="00523B4F">
        <w:instrText>ADDIN CSL_CITATION {"citationItems":[{"id":"ITEM-1","itemData":{"author":[{"dropping-particle":"","family":"Fazio","given":"S.","non-dropping-particle":"","parse-names":false,"suffix":""},{"dropping-particle":"","family":"Castellani","given":"V.","non-dropping-particle":"","parse-names":false,"suffix":""},{"dropping-particle":"","family":"Salasa","given":"S.","non-dropping-particle":"","parse-names":false,"suffix":""},{"dropping-particle":"","family":"Schau","given":"EM.","non-dropping-particle":"","parse-names":false,"suffix":""},{"dropping-particle":"","family":"Secchi","given":"M.","non-dropping-particle":"","parse-names":false,"suffix":""},{"dropping-particle":"","family":"Zamporti","given":"L.","non-dropping-particle":"","parse-names":false,"suffix":""},{"dropping-particle":"","family":"Diaconou","given":"E.","non-dropping-particle":"","parse-names":false,"suffix":""}],"id":"ITEM-1","issued":{"date-parts":[["2018"]]},"title":"Supporting information to the characterisation factors of recommended EF Life Cycle Impact Assessment method","type":"report"},"uris":["http://www.mendeley.com/documents/?uuid=2f300bfc-ecc8-425f-a28c-1de706f35865"]},{"id":"ITEM-2","itemData":{"author":[{"dropping-particle":"","family":"JRC","given":"","non-dropping-particle":"","parse-names":false,"suffix":""}],"id":"ITEM-2","issued":{"date-parts":[["2018"]]},"title":"Product Environmental Footprint Category Rules Guidance. Version 6.3","type":"report"},"uris":["http://www.mendeley.com/documents/?uuid=ad40e76a-aa8a-4589-8a0d-613e5a662c9e"]}],"mendeley":{"formattedCitation":"(Fazio et al., 2018; JRC, 2018)","plainTextFormattedCitation":"(Fazio et al., 2018; JRC, 2018)","previouslyFormattedCitation":"(Fazio et al., 2018; JRC, 2018)"},"properties":{"noteIndex":0},"schema":"https://github.com/citation-style-language/schema/raw/master/csl-citation.json"}</w:instrText>
      </w:r>
      <w:r w:rsidR="00E23F43" w:rsidRPr="001127C7">
        <w:fldChar w:fldCharType="separate"/>
      </w:r>
      <w:r w:rsidR="00523B4F" w:rsidRPr="00523B4F">
        <w:rPr>
          <w:noProof/>
        </w:rPr>
        <w:t>(Fazio et al., 2018; JRC, 2018)</w:t>
      </w:r>
      <w:r w:rsidR="00E23F43" w:rsidRPr="001127C7">
        <w:fldChar w:fldCharType="end"/>
      </w:r>
      <w:r w:rsidR="00E23F43">
        <w:t xml:space="preserve">; we consider </w:t>
      </w:r>
      <w:r w:rsidR="00940192" w:rsidRPr="001127C7">
        <w:t xml:space="preserve">14 </w:t>
      </w:r>
      <w:r>
        <w:t xml:space="preserve">impact </w:t>
      </w:r>
      <w:r w:rsidR="00940192" w:rsidRPr="001127C7">
        <w:t>categories</w:t>
      </w:r>
      <w:r w:rsidR="00E23F43">
        <w:t xml:space="preserve">, which </w:t>
      </w:r>
      <w:r w:rsidR="00940192" w:rsidRPr="001127C7">
        <w:t>are reported</w:t>
      </w:r>
      <w:r>
        <w:t xml:space="preserve"> in </w:t>
      </w:r>
      <w:r>
        <w:fldChar w:fldCharType="begin"/>
      </w:r>
      <w:r>
        <w:instrText xml:space="preserve"> REF _Ref74127261 \h </w:instrText>
      </w:r>
      <w:r>
        <w:fldChar w:fldCharType="separate"/>
      </w:r>
      <w:r w:rsidR="008D2EFC">
        <w:t xml:space="preserve">Table </w:t>
      </w:r>
      <w:r w:rsidR="008D2EFC">
        <w:rPr>
          <w:noProof/>
        </w:rPr>
        <w:t>3</w:t>
      </w:r>
      <w:r>
        <w:fldChar w:fldCharType="end"/>
      </w:r>
      <w:r w:rsidR="00940192" w:rsidRPr="001127C7">
        <w:t xml:space="preserve">. A description of these categories can be found </w:t>
      </w:r>
      <w:r>
        <w:t>in</w:t>
      </w:r>
      <w:r w:rsidR="00940192" w:rsidRPr="001127C7">
        <w:t xml:space="preserve"> </w:t>
      </w:r>
      <w:r w:rsidR="00940192" w:rsidRPr="001127C7">
        <w:fldChar w:fldCharType="begin" w:fldLock="1"/>
      </w:r>
      <w:r w:rsidR="00F2122B">
        <w:instrText>ADDIN CSL_CITATION {"citationItems":[{"id":"ITEM-1","itemData":{"DOI":"10.1007/978-3-319-56475-3","ISBN":"978-3-319-56474-6","author":[{"dropping-particle":"","family":"Hauschild","given":"Michael Z.","non-dropping-particle":"","parse-names":false,"suffix":""},{"dropping-particle":"","family":"Rosenbaum","given":"Ralph K.","non-dropping-particle":"","parse-names":false,"suffix":""},{"dropping-particle":"","family":"Olsen","given":"Stig Irving","non-dropping-particle":"","parse-names":false,"suffix":""}],"id":"ITEM-1","issued":{"date-parts":[["2017"]]},"number-of-pages":"1216","publisher":"Springer International Publishing","title":"Life Cycle Assessment: Theory and Practice","type":"book"},"uris":["http://www.mendeley.com/documents/?uuid=2a68f551-d67b-458e-b5a6-a2c58ab993d6"]}],"mendeley":{"formattedCitation":"(Hauschild et al., 2017)","manualFormatting":"Hauschild et al., 2017","plainTextFormattedCitation":"(Hauschild et al., 2017)","previouslyFormattedCitation":"(Hauschild et al., 2017)"},"properties":{"noteIndex":0},"schema":"https://github.com/citation-style-language/schema/raw/master/csl-citation.json"}</w:instrText>
      </w:r>
      <w:r w:rsidR="00940192" w:rsidRPr="001127C7">
        <w:fldChar w:fldCharType="separate"/>
      </w:r>
      <w:r w:rsidR="00523B4F" w:rsidRPr="00523B4F">
        <w:rPr>
          <w:noProof/>
        </w:rPr>
        <w:t>Hauschild et al., 2017</w:t>
      </w:r>
      <w:r w:rsidR="00940192" w:rsidRPr="001127C7">
        <w:fldChar w:fldCharType="end"/>
      </w:r>
      <w:r w:rsidR="00940192" w:rsidRPr="001127C7">
        <w:t>.</w:t>
      </w:r>
    </w:p>
    <w:p w14:paraId="0F8E0B3E" w14:textId="4CCCCB77" w:rsidR="00940192" w:rsidRPr="001127C7" w:rsidRDefault="00C0622A" w:rsidP="00A060AF">
      <w:pPr>
        <w:pStyle w:val="Didascalia"/>
        <w:keepNext/>
        <w:spacing w:after="0"/>
        <w:rPr>
          <w:b/>
        </w:rPr>
      </w:pPr>
      <w:bookmarkStart w:id="11" w:name="_Ref74127261"/>
      <w:r>
        <w:t xml:space="preserve">Table </w:t>
      </w:r>
      <w:r>
        <w:fldChar w:fldCharType="begin"/>
      </w:r>
      <w:r>
        <w:instrText xml:space="preserve"> SEQ Table \* ARABIC </w:instrText>
      </w:r>
      <w:r>
        <w:fldChar w:fldCharType="separate"/>
      </w:r>
      <w:r w:rsidR="008D2EFC">
        <w:rPr>
          <w:noProof/>
        </w:rPr>
        <w:t>3</w:t>
      </w:r>
      <w:r>
        <w:fldChar w:fldCharType="end"/>
      </w:r>
      <w:bookmarkEnd w:id="11"/>
      <w:r w:rsidRPr="00A060AF">
        <w:t xml:space="preserve"> -</w:t>
      </w:r>
      <w:r w:rsidR="00940192" w:rsidRPr="00C0622A">
        <w:t xml:space="preserve"> </w:t>
      </w:r>
      <w:r w:rsidR="00940192" w:rsidRPr="001127C7">
        <w:t>Environmental impact categories analysed</w:t>
      </w:r>
      <w:r w:rsidR="00E42FC7">
        <w:t>.</w:t>
      </w:r>
    </w:p>
    <w:tbl>
      <w:tblPr>
        <w:tblW w:w="3513" w:type="pct"/>
        <w:tblBorders>
          <w:top w:val="single" w:sz="4" w:space="0" w:color="7F7F7F"/>
          <w:bottom w:val="single" w:sz="4" w:space="0" w:color="7F7F7F"/>
        </w:tblBorders>
        <w:tblLook w:val="0620" w:firstRow="1" w:lastRow="0" w:firstColumn="0" w:lastColumn="0" w:noHBand="1" w:noVBand="1"/>
      </w:tblPr>
      <w:tblGrid>
        <w:gridCol w:w="3370"/>
        <w:gridCol w:w="3003"/>
      </w:tblGrid>
      <w:tr w:rsidR="00940192" w:rsidRPr="001127C7" w14:paraId="0452E3DF" w14:textId="77777777" w:rsidTr="003D0ADE">
        <w:trPr>
          <w:cantSplit/>
          <w:trHeight w:val="430"/>
        </w:trPr>
        <w:tc>
          <w:tcPr>
            <w:tcW w:w="0" w:type="pct"/>
            <w:tcBorders>
              <w:top w:val="single" w:sz="12" w:space="0" w:color="auto"/>
              <w:left w:val="nil"/>
              <w:bottom w:val="single" w:sz="4" w:space="0" w:color="7F7F7F"/>
              <w:right w:val="nil"/>
            </w:tcBorders>
            <w:shd w:val="clear" w:color="auto" w:fill="auto"/>
            <w:vAlign w:val="center"/>
            <w:hideMark/>
          </w:tcPr>
          <w:p w14:paraId="57520AB6" w14:textId="77777777" w:rsidR="00940192" w:rsidRPr="00F84A89" w:rsidRDefault="00940192" w:rsidP="00A060AF">
            <w:pPr>
              <w:spacing w:after="0" w:line="240" w:lineRule="auto"/>
              <w:ind w:firstLine="0"/>
              <w:jc w:val="center"/>
              <w:rPr>
                <w:rFonts w:eastAsia="Calibri"/>
                <w:b/>
                <w:bCs/>
                <w:sz w:val="20"/>
                <w:szCs w:val="20"/>
                <w:lang w:eastAsia="en-US"/>
              </w:rPr>
            </w:pPr>
            <w:r w:rsidRPr="00F84A89">
              <w:rPr>
                <w:rFonts w:eastAsia="Calibri"/>
                <w:b/>
                <w:bCs/>
                <w:sz w:val="20"/>
                <w:szCs w:val="20"/>
                <w:lang w:eastAsia="en-US"/>
              </w:rPr>
              <w:t>IMPACT CATEGORY</w:t>
            </w:r>
          </w:p>
        </w:tc>
        <w:tc>
          <w:tcPr>
            <w:tcW w:w="0" w:type="pct"/>
            <w:tcBorders>
              <w:top w:val="single" w:sz="12" w:space="0" w:color="auto"/>
              <w:left w:val="nil"/>
              <w:bottom w:val="single" w:sz="4" w:space="0" w:color="7F7F7F"/>
              <w:right w:val="nil"/>
            </w:tcBorders>
            <w:shd w:val="clear" w:color="auto" w:fill="auto"/>
            <w:vAlign w:val="center"/>
            <w:hideMark/>
          </w:tcPr>
          <w:p w14:paraId="0171C302" w14:textId="77777777" w:rsidR="00940192" w:rsidRPr="00F84A89" w:rsidRDefault="00940192" w:rsidP="00A060AF">
            <w:pPr>
              <w:spacing w:after="0" w:line="240" w:lineRule="auto"/>
              <w:ind w:firstLine="0"/>
              <w:jc w:val="center"/>
              <w:rPr>
                <w:rFonts w:eastAsia="Calibri"/>
                <w:b/>
                <w:bCs/>
                <w:sz w:val="20"/>
                <w:szCs w:val="20"/>
                <w:lang w:eastAsia="en-GB"/>
              </w:rPr>
            </w:pPr>
            <w:r w:rsidRPr="00F84A89">
              <w:rPr>
                <w:rFonts w:eastAsia="Calibri"/>
                <w:b/>
                <w:bCs/>
                <w:sz w:val="20"/>
                <w:szCs w:val="20"/>
                <w:lang w:eastAsia="en-GB"/>
              </w:rPr>
              <w:t>METRIC</w:t>
            </w:r>
          </w:p>
        </w:tc>
      </w:tr>
      <w:tr w:rsidR="00940192" w:rsidRPr="001127C7" w14:paraId="22E21011" w14:textId="77777777" w:rsidTr="003D0ADE">
        <w:trPr>
          <w:cantSplit/>
          <w:trHeight w:val="21"/>
        </w:trPr>
        <w:tc>
          <w:tcPr>
            <w:tcW w:w="0" w:type="pct"/>
            <w:tcBorders>
              <w:top w:val="nil"/>
              <w:left w:val="nil"/>
              <w:bottom w:val="nil"/>
              <w:right w:val="nil"/>
            </w:tcBorders>
            <w:shd w:val="clear" w:color="auto" w:fill="auto"/>
            <w:vAlign w:val="center"/>
            <w:hideMark/>
          </w:tcPr>
          <w:p w14:paraId="7AFC81B4" w14:textId="77777777" w:rsidR="00940192" w:rsidRPr="003D0ADE" w:rsidRDefault="00940192" w:rsidP="00A060AF">
            <w:pPr>
              <w:spacing w:after="0" w:line="240" w:lineRule="auto"/>
              <w:ind w:firstLine="0"/>
              <w:jc w:val="left"/>
              <w:rPr>
                <w:rFonts w:eastAsia="Calibri"/>
                <w:sz w:val="20"/>
                <w:szCs w:val="20"/>
                <w:lang w:eastAsia="en-US"/>
              </w:rPr>
            </w:pPr>
            <w:r w:rsidRPr="003D0ADE">
              <w:rPr>
                <w:rFonts w:eastAsia="Calibri"/>
                <w:sz w:val="20"/>
                <w:szCs w:val="20"/>
                <w:lang w:eastAsia="en-US"/>
              </w:rPr>
              <w:t>Acidification</w:t>
            </w:r>
          </w:p>
        </w:tc>
        <w:tc>
          <w:tcPr>
            <w:tcW w:w="0" w:type="pct"/>
            <w:tcBorders>
              <w:top w:val="nil"/>
              <w:left w:val="nil"/>
              <w:bottom w:val="nil"/>
              <w:right w:val="nil"/>
            </w:tcBorders>
            <w:shd w:val="clear" w:color="auto" w:fill="auto"/>
            <w:vAlign w:val="center"/>
            <w:hideMark/>
          </w:tcPr>
          <w:p w14:paraId="4408DBB9" w14:textId="77777777" w:rsidR="00940192" w:rsidRPr="003D0ADE" w:rsidRDefault="00940192" w:rsidP="00A060AF">
            <w:pPr>
              <w:spacing w:after="0" w:line="240" w:lineRule="auto"/>
              <w:ind w:firstLine="0"/>
              <w:jc w:val="left"/>
              <w:rPr>
                <w:rFonts w:eastAsia="Calibri"/>
                <w:sz w:val="20"/>
                <w:szCs w:val="20"/>
                <w:lang w:eastAsia="en-US"/>
              </w:rPr>
            </w:pPr>
            <w:r w:rsidRPr="003D0ADE">
              <w:rPr>
                <w:rFonts w:eastAsia="Calibri"/>
                <w:sz w:val="20"/>
                <w:szCs w:val="20"/>
                <w:lang w:eastAsia="en-US"/>
              </w:rPr>
              <w:t>Mole of H+ eq.</w:t>
            </w:r>
          </w:p>
        </w:tc>
      </w:tr>
      <w:tr w:rsidR="00940192" w:rsidRPr="001127C7" w14:paraId="378A152C" w14:textId="77777777" w:rsidTr="003D0ADE">
        <w:trPr>
          <w:cantSplit/>
          <w:trHeight w:val="21"/>
        </w:trPr>
        <w:tc>
          <w:tcPr>
            <w:tcW w:w="0" w:type="pct"/>
            <w:tcBorders>
              <w:top w:val="nil"/>
              <w:left w:val="nil"/>
              <w:bottom w:val="nil"/>
              <w:right w:val="nil"/>
            </w:tcBorders>
            <w:shd w:val="clear" w:color="auto" w:fill="auto"/>
            <w:vAlign w:val="center"/>
            <w:hideMark/>
          </w:tcPr>
          <w:p w14:paraId="558F1712" w14:textId="77777777" w:rsidR="00940192" w:rsidRPr="003D0ADE" w:rsidRDefault="00940192" w:rsidP="00A060AF">
            <w:pPr>
              <w:spacing w:after="0" w:line="240" w:lineRule="auto"/>
              <w:ind w:firstLine="0"/>
              <w:jc w:val="left"/>
              <w:rPr>
                <w:rFonts w:eastAsia="Calibri"/>
                <w:sz w:val="20"/>
                <w:szCs w:val="20"/>
                <w:lang w:eastAsia="en-US"/>
              </w:rPr>
            </w:pPr>
            <w:r w:rsidRPr="003D0ADE">
              <w:rPr>
                <w:rFonts w:eastAsia="Calibri"/>
                <w:sz w:val="20"/>
                <w:szCs w:val="20"/>
                <w:lang w:eastAsia="en-US"/>
              </w:rPr>
              <w:t>Cancer human health effects</w:t>
            </w:r>
          </w:p>
        </w:tc>
        <w:tc>
          <w:tcPr>
            <w:tcW w:w="0" w:type="pct"/>
            <w:tcBorders>
              <w:top w:val="nil"/>
              <w:left w:val="nil"/>
              <w:bottom w:val="nil"/>
              <w:right w:val="nil"/>
            </w:tcBorders>
            <w:shd w:val="clear" w:color="auto" w:fill="auto"/>
            <w:vAlign w:val="center"/>
            <w:hideMark/>
          </w:tcPr>
          <w:p w14:paraId="6D74DE89" w14:textId="77777777" w:rsidR="00940192" w:rsidRPr="003D0ADE" w:rsidRDefault="00940192" w:rsidP="00A060AF">
            <w:pPr>
              <w:spacing w:after="0" w:line="240" w:lineRule="auto"/>
              <w:ind w:firstLine="0"/>
              <w:jc w:val="left"/>
              <w:rPr>
                <w:rFonts w:eastAsia="Calibri"/>
                <w:sz w:val="20"/>
                <w:szCs w:val="20"/>
                <w:lang w:eastAsia="en-US"/>
              </w:rPr>
            </w:pPr>
            <w:proofErr w:type="spellStart"/>
            <w:r w:rsidRPr="003D0ADE">
              <w:rPr>
                <w:rFonts w:eastAsia="Calibri"/>
                <w:sz w:val="20"/>
                <w:szCs w:val="20"/>
                <w:lang w:eastAsia="en-US"/>
              </w:rPr>
              <w:t>CTUh</w:t>
            </w:r>
            <w:proofErr w:type="spellEnd"/>
          </w:p>
        </w:tc>
      </w:tr>
      <w:tr w:rsidR="00940192" w:rsidRPr="001127C7" w14:paraId="2C59F659" w14:textId="77777777" w:rsidTr="003D0ADE">
        <w:trPr>
          <w:cantSplit/>
          <w:trHeight w:val="21"/>
        </w:trPr>
        <w:tc>
          <w:tcPr>
            <w:tcW w:w="0" w:type="pct"/>
            <w:tcBorders>
              <w:top w:val="nil"/>
              <w:left w:val="nil"/>
              <w:bottom w:val="nil"/>
              <w:right w:val="nil"/>
            </w:tcBorders>
            <w:shd w:val="clear" w:color="auto" w:fill="auto"/>
            <w:vAlign w:val="center"/>
            <w:hideMark/>
          </w:tcPr>
          <w:p w14:paraId="475B05F0" w14:textId="77777777" w:rsidR="00940192" w:rsidRPr="003D0ADE" w:rsidRDefault="00940192" w:rsidP="00A060AF">
            <w:pPr>
              <w:spacing w:after="0" w:line="240" w:lineRule="auto"/>
              <w:ind w:firstLine="0"/>
              <w:jc w:val="left"/>
              <w:rPr>
                <w:rFonts w:eastAsia="Calibri"/>
                <w:sz w:val="20"/>
                <w:szCs w:val="20"/>
                <w:lang w:eastAsia="en-US"/>
              </w:rPr>
            </w:pPr>
            <w:r w:rsidRPr="003D0ADE">
              <w:rPr>
                <w:rFonts w:eastAsia="Calibri"/>
                <w:sz w:val="20"/>
                <w:szCs w:val="20"/>
                <w:lang w:eastAsia="en-US"/>
              </w:rPr>
              <w:t>Climate change</w:t>
            </w:r>
          </w:p>
        </w:tc>
        <w:tc>
          <w:tcPr>
            <w:tcW w:w="0" w:type="pct"/>
            <w:tcBorders>
              <w:top w:val="nil"/>
              <w:left w:val="nil"/>
              <w:bottom w:val="nil"/>
              <w:right w:val="nil"/>
            </w:tcBorders>
            <w:shd w:val="clear" w:color="auto" w:fill="auto"/>
            <w:vAlign w:val="center"/>
            <w:hideMark/>
          </w:tcPr>
          <w:p w14:paraId="09FF9092" w14:textId="77777777" w:rsidR="00940192" w:rsidRPr="003D0ADE" w:rsidRDefault="00940192" w:rsidP="00A060AF">
            <w:pPr>
              <w:spacing w:after="0" w:line="240" w:lineRule="auto"/>
              <w:ind w:firstLine="0"/>
              <w:jc w:val="left"/>
              <w:rPr>
                <w:rFonts w:eastAsia="Calibri"/>
                <w:sz w:val="20"/>
                <w:szCs w:val="20"/>
                <w:lang w:eastAsia="en-US"/>
              </w:rPr>
            </w:pPr>
            <w:r w:rsidRPr="003D0ADE">
              <w:rPr>
                <w:rFonts w:eastAsia="Calibri"/>
                <w:sz w:val="20"/>
                <w:szCs w:val="20"/>
                <w:lang w:eastAsia="en-US"/>
              </w:rPr>
              <w:t>kg CO2 eq.</w:t>
            </w:r>
          </w:p>
        </w:tc>
      </w:tr>
      <w:tr w:rsidR="00940192" w:rsidRPr="001127C7" w14:paraId="08346271" w14:textId="77777777" w:rsidTr="003D0ADE">
        <w:trPr>
          <w:cantSplit/>
          <w:trHeight w:val="21"/>
        </w:trPr>
        <w:tc>
          <w:tcPr>
            <w:tcW w:w="0" w:type="pct"/>
            <w:tcBorders>
              <w:top w:val="nil"/>
              <w:left w:val="nil"/>
              <w:bottom w:val="nil"/>
              <w:right w:val="nil"/>
            </w:tcBorders>
            <w:shd w:val="clear" w:color="auto" w:fill="auto"/>
            <w:vAlign w:val="center"/>
            <w:hideMark/>
          </w:tcPr>
          <w:p w14:paraId="124C8ED9" w14:textId="77777777" w:rsidR="00940192" w:rsidRPr="003D0ADE" w:rsidRDefault="00940192" w:rsidP="00A060AF">
            <w:pPr>
              <w:spacing w:after="0" w:line="240" w:lineRule="auto"/>
              <w:ind w:firstLine="0"/>
              <w:jc w:val="left"/>
              <w:rPr>
                <w:rFonts w:eastAsia="Calibri"/>
                <w:sz w:val="20"/>
                <w:szCs w:val="20"/>
                <w:lang w:eastAsia="en-US"/>
              </w:rPr>
            </w:pPr>
            <w:r w:rsidRPr="003D0ADE">
              <w:rPr>
                <w:rFonts w:eastAsia="Calibri"/>
                <w:sz w:val="20"/>
                <w:szCs w:val="20"/>
                <w:lang w:eastAsia="en-US"/>
              </w:rPr>
              <w:t>Ecotoxicity freshwater</w:t>
            </w:r>
          </w:p>
        </w:tc>
        <w:tc>
          <w:tcPr>
            <w:tcW w:w="0" w:type="pct"/>
            <w:tcBorders>
              <w:top w:val="nil"/>
              <w:left w:val="nil"/>
              <w:bottom w:val="nil"/>
              <w:right w:val="nil"/>
            </w:tcBorders>
            <w:shd w:val="clear" w:color="auto" w:fill="auto"/>
            <w:vAlign w:val="center"/>
            <w:hideMark/>
          </w:tcPr>
          <w:p w14:paraId="1E10DE7F" w14:textId="77777777" w:rsidR="00940192" w:rsidRPr="003D0ADE" w:rsidRDefault="00940192" w:rsidP="00A060AF">
            <w:pPr>
              <w:spacing w:after="0" w:line="240" w:lineRule="auto"/>
              <w:ind w:firstLine="0"/>
              <w:jc w:val="left"/>
              <w:rPr>
                <w:rFonts w:eastAsia="Calibri"/>
                <w:sz w:val="20"/>
                <w:szCs w:val="20"/>
                <w:lang w:eastAsia="en-US"/>
              </w:rPr>
            </w:pPr>
            <w:proofErr w:type="spellStart"/>
            <w:r w:rsidRPr="003D0ADE">
              <w:rPr>
                <w:rFonts w:eastAsia="Calibri"/>
                <w:sz w:val="20"/>
                <w:szCs w:val="20"/>
                <w:lang w:eastAsia="en-US"/>
              </w:rPr>
              <w:t>CTUe</w:t>
            </w:r>
            <w:proofErr w:type="spellEnd"/>
          </w:p>
        </w:tc>
      </w:tr>
      <w:tr w:rsidR="00940192" w:rsidRPr="001127C7" w14:paraId="60243DE5" w14:textId="77777777" w:rsidTr="003D0ADE">
        <w:trPr>
          <w:cantSplit/>
          <w:trHeight w:val="21"/>
        </w:trPr>
        <w:tc>
          <w:tcPr>
            <w:tcW w:w="0" w:type="pct"/>
            <w:tcBorders>
              <w:top w:val="nil"/>
              <w:left w:val="nil"/>
              <w:bottom w:val="nil"/>
              <w:right w:val="nil"/>
            </w:tcBorders>
            <w:shd w:val="clear" w:color="auto" w:fill="auto"/>
            <w:vAlign w:val="center"/>
            <w:hideMark/>
          </w:tcPr>
          <w:p w14:paraId="5CB13448" w14:textId="77777777" w:rsidR="00940192" w:rsidRPr="003D0ADE" w:rsidRDefault="00940192" w:rsidP="00A060AF">
            <w:pPr>
              <w:spacing w:after="0" w:line="240" w:lineRule="auto"/>
              <w:ind w:firstLine="0"/>
              <w:jc w:val="left"/>
              <w:rPr>
                <w:rFonts w:eastAsia="Calibri"/>
                <w:sz w:val="20"/>
                <w:szCs w:val="20"/>
                <w:lang w:eastAsia="en-US"/>
              </w:rPr>
            </w:pPr>
            <w:r w:rsidRPr="003D0ADE">
              <w:rPr>
                <w:rFonts w:eastAsia="Calibri"/>
                <w:sz w:val="20"/>
                <w:szCs w:val="20"/>
                <w:lang w:eastAsia="en-US"/>
              </w:rPr>
              <w:t>Eutrophication freshwater</w:t>
            </w:r>
          </w:p>
        </w:tc>
        <w:tc>
          <w:tcPr>
            <w:tcW w:w="0" w:type="pct"/>
            <w:tcBorders>
              <w:top w:val="nil"/>
              <w:left w:val="nil"/>
              <w:bottom w:val="nil"/>
              <w:right w:val="nil"/>
            </w:tcBorders>
            <w:shd w:val="clear" w:color="auto" w:fill="auto"/>
            <w:vAlign w:val="center"/>
            <w:hideMark/>
          </w:tcPr>
          <w:p w14:paraId="152FA6F2" w14:textId="77777777" w:rsidR="00940192" w:rsidRPr="003D0ADE" w:rsidRDefault="00940192" w:rsidP="00A060AF">
            <w:pPr>
              <w:spacing w:after="0" w:line="240" w:lineRule="auto"/>
              <w:ind w:firstLine="0"/>
              <w:jc w:val="left"/>
              <w:rPr>
                <w:rFonts w:eastAsia="Calibri"/>
                <w:sz w:val="20"/>
                <w:szCs w:val="20"/>
                <w:lang w:eastAsia="en-US"/>
              </w:rPr>
            </w:pPr>
            <w:r w:rsidRPr="003D0ADE">
              <w:rPr>
                <w:rFonts w:eastAsia="Calibri"/>
                <w:sz w:val="20"/>
                <w:szCs w:val="20"/>
                <w:lang w:eastAsia="en-US"/>
              </w:rPr>
              <w:t>kg P eq.</w:t>
            </w:r>
          </w:p>
        </w:tc>
      </w:tr>
      <w:tr w:rsidR="00940192" w:rsidRPr="001127C7" w14:paraId="24B56247" w14:textId="77777777" w:rsidTr="003D0ADE">
        <w:trPr>
          <w:cantSplit/>
          <w:trHeight w:val="21"/>
        </w:trPr>
        <w:tc>
          <w:tcPr>
            <w:tcW w:w="0" w:type="pct"/>
            <w:tcBorders>
              <w:top w:val="nil"/>
              <w:left w:val="nil"/>
              <w:bottom w:val="nil"/>
              <w:right w:val="nil"/>
            </w:tcBorders>
            <w:shd w:val="clear" w:color="auto" w:fill="auto"/>
            <w:vAlign w:val="center"/>
            <w:hideMark/>
          </w:tcPr>
          <w:p w14:paraId="69676BEE" w14:textId="77777777" w:rsidR="00940192" w:rsidRPr="003D0ADE" w:rsidRDefault="00940192" w:rsidP="00A060AF">
            <w:pPr>
              <w:spacing w:after="0" w:line="240" w:lineRule="auto"/>
              <w:ind w:firstLine="0"/>
              <w:jc w:val="left"/>
              <w:rPr>
                <w:rFonts w:eastAsia="Calibri"/>
                <w:sz w:val="20"/>
                <w:szCs w:val="20"/>
                <w:lang w:eastAsia="en-US"/>
              </w:rPr>
            </w:pPr>
            <w:r w:rsidRPr="003D0ADE">
              <w:rPr>
                <w:rFonts w:eastAsia="Calibri"/>
                <w:sz w:val="20"/>
                <w:szCs w:val="20"/>
                <w:lang w:eastAsia="en-US"/>
              </w:rPr>
              <w:t>Eutrophication marine</w:t>
            </w:r>
          </w:p>
        </w:tc>
        <w:tc>
          <w:tcPr>
            <w:tcW w:w="0" w:type="pct"/>
            <w:tcBorders>
              <w:top w:val="nil"/>
              <w:left w:val="nil"/>
              <w:bottom w:val="nil"/>
              <w:right w:val="nil"/>
            </w:tcBorders>
            <w:shd w:val="clear" w:color="auto" w:fill="auto"/>
            <w:vAlign w:val="center"/>
            <w:hideMark/>
          </w:tcPr>
          <w:p w14:paraId="3FA47F53" w14:textId="77777777" w:rsidR="00940192" w:rsidRPr="003D0ADE" w:rsidRDefault="00940192" w:rsidP="00A060AF">
            <w:pPr>
              <w:spacing w:after="0" w:line="240" w:lineRule="auto"/>
              <w:ind w:firstLine="0"/>
              <w:jc w:val="left"/>
              <w:rPr>
                <w:rFonts w:eastAsia="Calibri"/>
                <w:sz w:val="20"/>
                <w:szCs w:val="20"/>
                <w:lang w:eastAsia="en-US"/>
              </w:rPr>
            </w:pPr>
            <w:r w:rsidRPr="003D0ADE">
              <w:rPr>
                <w:rFonts w:eastAsia="Calibri"/>
                <w:sz w:val="20"/>
                <w:szCs w:val="20"/>
                <w:lang w:eastAsia="en-US"/>
              </w:rPr>
              <w:t>kg N eq.</w:t>
            </w:r>
          </w:p>
        </w:tc>
      </w:tr>
      <w:tr w:rsidR="00940192" w:rsidRPr="001127C7" w14:paraId="3097FF91" w14:textId="77777777" w:rsidTr="003D0ADE">
        <w:trPr>
          <w:cantSplit/>
          <w:trHeight w:val="21"/>
        </w:trPr>
        <w:tc>
          <w:tcPr>
            <w:tcW w:w="0" w:type="pct"/>
            <w:tcBorders>
              <w:top w:val="nil"/>
              <w:left w:val="nil"/>
              <w:bottom w:val="nil"/>
              <w:right w:val="nil"/>
            </w:tcBorders>
            <w:shd w:val="clear" w:color="auto" w:fill="auto"/>
            <w:vAlign w:val="center"/>
            <w:hideMark/>
          </w:tcPr>
          <w:p w14:paraId="5D881070" w14:textId="77777777" w:rsidR="00940192" w:rsidRPr="003D0ADE" w:rsidRDefault="00940192" w:rsidP="00A060AF">
            <w:pPr>
              <w:spacing w:after="0" w:line="240" w:lineRule="auto"/>
              <w:ind w:firstLine="0"/>
              <w:jc w:val="left"/>
              <w:rPr>
                <w:rFonts w:eastAsia="Calibri"/>
                <w:sz w:val="20"/>
                <w:szCs w:val="20"/>
                <w:lang w:eastAsia="en-US"/>
              </w:rPr>
            </w:pPr>
            <w:r w:rsidRPr="003D0ADE">
              <w:rPr>
                <w:rFonts w:eastAsia="Calibri"/>
                <w:sz w:val="20"/>
                <w:szCs w:val="20"/>
                <w:lang w:eastAsia="en-US"/>
              </w:rPr>
              <w:t>Eutrophication terrestrial</w:t>
            </w:r>
          </w:p>
        </w:tc>
        <w:tc>
          <w:tcPr>
            <w:tcW w:w="0" w:type="pct"/>
            <w:tcBorders>
              <w:top w:val="nil"/>
              <w:left w:val="nil"/>
              <w:bottom w:val="nil"/>
              <w:right w:val="nil"/>
            </w:tcBorders>
            <w:shd w:val="clear" w:color="auto" w:fill="auto"/>
            <w:vAlign w:val="center"/>
            <w:hideMark/>
          </w:tcPr>
          <w:p w14:paraId="47EB7FF0" w14:textId="77777777" w:rsidR="00940192" w:rsidRPr="003D0ADE" w:rsidRDefault="00940192" w:rsidP="00A060AF">
            <w:pPr>
              <w:spacing w:after="0" w:line="240" w:lineRule="auto"/>
              <w:ind w:firstLine="0"/>
              <w:jc w:val="left"/>
              <w:rPr>
                <w:rFonts w:eastAsia="Calibri"/>
                <w:sz w:val="20"/>
                <w:szCs w:val="20"/>
                <w:lang w:eastAsia="en-US"/>
              </w:rPr>
            </w:pPr>
            <w:r w:rsidRPr="003D0ADE">
              <w:rPr>
                <w:rFonts w:eastAsia="Calibri"/>
                <w:sz w:val="20"/>
                <w:szCs w:val="20"/>
                <w:lang w:eastAsia="en-US"/>
              </w:rPr>
              <w:t>Mole of N eq.</w:t>
            </w:r>
          </w:p>
        </w:tc>
      </w:tr>
      <w:tr w:rsidR="00940192" w:rsidRPr="001127C7" w14:paraId="7177B6F6" w14:textId="77777777" w:rsidTr="003D0ADE">
        <w:trPr>
          <w:cantSplit/>
          <w:trHeight w:val="21"/>
        </w:trPr>
        <w:tc>
          <w:tcPr>
            <w:tcW w:w="0" w:type="pct"/>
            <w:tcBorders>
              <w:top w:val="nil"/>
              <w:left w:val="nil"/>
              <w:bottom w:val="nil"/>
              <w:right w:val="nil"/>
            </w:tcBorders>
            <w:shd w:val="clear" w:color="auto" w:fill="auto"/>
            <w:vAlign w:val="center"/>
            <w:hideMark/>
          </w:tcPr>
          <w:p w14:paraId="52342E4C" w14:textId="77777777" w:rsidR="00940192" w:rsidRPr="003D0ADE" w:rsidRDefault="00940192" w:rsidP="00A060AF">
            <w:pPr>
              <w:spacing w:after="0" w:line="240" w:lineRule="auto"/>
              <w:ind w:firstLine="0"/>
              <w:jc w:val="left"/>
              <w:rPr>
                <w:rFonts w:eastAsia="Calibri"/>
                <w:sz w:val="20"/>
                <w:szCs w:val="20"/>
                <w:lang w:eastAsia="en-US"/>
              </w:rPr>
            </w:pPr>
            <w:r w:rsidRPr="003D0ADE">
              <w:rPr>
                <w:rFonts w:eastAsia="Calibri"/>
                <w:sz w:val="20"/>
                <w:szCs w:val="20"/>
                <w:lang w:eastAsia="en-US"/>
              </w:rPr>
              <w:t>Land use</w:t>
            </w:r>
          </w:p>
        </w:tc>
        <w:tc>
          <w:tcPr>
            <w:tcW w:w="0" w:type="pct"/>
            <w:tcBorders>
              <w:top w:val="nil"/>
              <w:left w:val="nil"/>
              <w:bottom w:val="nil"/>
              <w:right w:val="nil"/>
            </w:tcBorders>
            <w:shd w:val="clear" w:color="auto" w:fill="auto"/>
            <w:vAlign w:val="center"/>
            <w:hideMark/>
          </w:tcPr>
          <w:p w14:paraId="36E10488" w14:textId="77777777" w:rsidR="00940192" w:rsidRPr="003D0ADE" w:rsidRDefault="00940192" w:rsidP="00A060AF">
            <w:pPr>
              <w:spacing w:after="0" w:line="240" w:lineRule="auto"/>
              <w:ind w:firstLine="0"/>
              <w:jc w:val="left"/>
              <w:rPr>
                <w:rFonts w:eastAsia="Calibri"/>
                <w:sz w:val="20"/>
                <w:szCs w:val="20"/>
                <w:lang w:eastAsia="en-US"/>
              </w:rPr>
            </w:pPr>
            <w:r w:rsidRPr="003D0ADE">
              <w:rPr>
                <w:rFonts w:eastAsia="Calibri"/>
                <w:sz w:val="20"/>
                <w:szCs w:val="20"/>
                <w:lang w:eastAsia="en-US"/>
              </w:rPr>
              <w:t>Pt</w:t>
            </w:r>
          </w:p>
        </w:tc>
      </w:tr>
      <w:tr w:rsidR="00940192" w:rsidRPr="001127C7" w14:paraId="47110496" w14:textId="77777777" w:rsidTr="003D0ADE">
        <w:trPr>
          <w:cantSplit/>
          <w:trHeight w:val="21"/>
        </w:trPr>
        <w:tc>
          <w:tcPr>
            <w:tcW w:w="0" w:type="pct"/>
            <w:tcBorders>
              <w:top w:val="nil"/>
              <w:left w:val="nil"/>
              <w:bottom w:val="nil"/>
              <w:right w:val="nil"/>
            </w:tcBorders>
            <w:shd w:val="clear" w:color="auto" w:fill="auto"/>
            <w:vAlign w:val="center"/>
            <w:hideMark/>
          </w:tcPr>
          <w:p w14:paraId="18B2E83E" w14:textId="77777777" w:rsidR="00940192" w:rsidRPr="003D0ADE" w:rsidRDefault="00940192" w:rsidP="00A060AF">
            <w:pPr>
              <w:spacing w:after="0" w:line="240" w:lineRule="auto"/>
              <w:ind w:firstLine="0"/>
              <w:jc w:val="left"/>
              <w:rPr>
                <w:rFonts w:eastAsia="Calibri"/>
                <w:sz w:val="20"/>
                <w:szCs w:val="20"/>
                <w:lang w:eastAsia="en-US"/>
              </w:rPr>
            </w:pPr>
            <w:r w:rsidRPr="003D0ADE">
              <w:rPr>
                <w:rFonts w:eastAsia="Calibri"/>
                <w:sz w:val="20"/>
                <w:szCs w:val="20"/>
                <w:lang w:eastAsia="en-US"/>
              </w:rPr>
              <w:t>Non-cancer human health effects</w:t>
            </w:r>
          </w:p>
        </w:tc>
        <w:tc>
          <w:tcPr>
            <w:tcW w:w="0" w:type="pct"/>
            <w:tcBorders>
              <w:top w:val="nil"/>
              <w:left w:val="nil"/>
              <w:bottom w:val="nil"/>
              <w:right w:val="nil"/>
            </w:tcBorders>
            <w:shd w:val="clear" w:color="auto" w:fill="auto"/>
            <w:vAlign w:val="center"/>
            <w:hideMark/>
          </w:tcPr>
          <w:p w14:paraId="22844327" w14:textId="77777777" w:rsidR="00940192" w:rsidRPr="003D0ADE" w:rsidRDefault="00940192" w:rsidP="00A060AF">
            <w:pPr>
              <w:spacing w:after="0" w:line="240" w:lineRule="auto"/>
              <w:ind w:firstLine="0"/>
              <w:jc w:val="left"/>
              <w:rPr>
                <w:rFonts w:eastAsia="Calibri"/>
                <w:sz w:val="20"/>
                <w:szCs w:val="20"/>
                <w:lang w:eastAsia="en-US"/>
              </w:rPr>
            </w:pPr>
            <w:proofErr w:type="spellStart"/>
            <w:r w:rsidRPr="003D0ADE">
              <w:rPr>
                <w:rFonts w:eastAsia="Calibri"/>
                <w:sz w:val="20"/>
                <w:szCs w:val="20"/>
                <w:lang w:eastAsia="en-US"/>
              </w:rPr>
              <w:t>CTUh</w:t>
            </w:r>
            <w:proofErr w:type="spellEnd"/>
          </w:p>
        </w:tc>
      </w:tr>
      <w:tr w:rsidR="00940192" w:rsidRPr="001127C7" w14:paraId="4A9B7CD3" w14:textId="77777777" w:rsidTr="003D0ADE">
        <w:trPr>
          <w:cantSplit/>
          <w:trHeight w:val="21"/>
        </w:trPr>
        <w:tc>
          <w:tcPr>
            <w:tcW w:w="0" w:type="pct"/>
            <w:tcBorders>
              <w:top w:val="nil"/>
              <w:left w:val="nil"/>
              <w:bottom w:val="nil"/>
              <w:right w:val="nil"/>
            </w:tcBorders>
            <w:shd w:val="clear" w:color="auto" w:fill="auto"/>
            <w:vAlign w:val="center"/>
            <w:hideMark/>
          </w:tcPr>
          <w:p w14:paraId="72E9CB07" w14:textId="77777777" w:rsidR="00940192" w:rsidRPr="003D0ADE" w:rsidRDefault="00940192" w:rsidP="00A060AF">
            <w:pPr>
              <w:spacing w:after="0" w:line="240" w:lineRule="auto"/>
              <w:ind w:firstLine="0"/>
              <w:jc w:val="left"/>
              <w:rPr>
                <w:rFonts w:eastAsia="Calibri"/>
                <w:sz w:val="20"/>
                <w:szCs w:val="20"/>
                <w:lang w:eastAsia="en-US"/>
              </w:rPr>
            </w:pPr>
            <w:r w:rsidRPr="003D0ADE">
              <w:rPr>
                <w:rFonts w:eastAsia="Calibri"/>
                <w:sz w:val="20"/>
                <w:szCs w:val="20"/>
                <w:lang w:eastAsia="en-US"/>
              </w:rPr>
              <w:t>Ozone depletion</w:t>
            </w:r>
          </w:p>
        </w:tc>
        <w:tc>
          <w:tcPr>
            <w:tcW w:w="0" w:type="pct"/>
            <w:tcBorders>
              <w:top w:val="nil"/>
              <w:left w:val="nil"/>
              <w:bottom w:val="nil"/>
              <w:right w:val="nil"/>
            </w:tcBorders>
            <w:shd w:val="clear" w:color="auto" w:fill="auto"/>
            <w:vAlign w:val="center"/>
            <w:hideMark/>
          </w:tcPr>
          <w:p w14:paraId="0E1EB1E6" w14:textId="77777777" w:rsidR="00940192" w:rsidRPr="003D0ADE" w:rsidRDefault="00940192" w:rsidP="00A060AF">
            <w:pPr>
              <w:spacing w:after="0" w:line="240" w:lineRule="auto"/>
              <w:ind w:firstLine="0"/>
              <w:jc w:val="left"/>
              <w:rPr>
                <w:rFonts w:eastAsia="Calibri"/>
                <w:sz w:val="20"/>
                <w:szCs w:val="20"/>
                <w:lang w:eastAsia="en-US"/>
              </w:rPr>
            </w:pPr>
            <w:r w:rsidRPr="003D0ADE">
              <w:rPr>
                <w:rFonts w:eastAsia="Calibri"/>
                <w:sz w:val="20"/>
                <w:szCs w:val="20"/>
                <w:lang w:eastAsia="en-US"/>
              </w:rPr>
              <w:t>kg CFC-11 eq.</w:t>
            </w:r>
          </w:p>
        </w:tc>
      </w:tr>
      <w:tr w:rsidR="00940192" w:rsidRPr="001127C7" w14:paraId="62A8E0BB" w14:textId="77777777" w:rsidTr="003D0ADE">
        <w:trPr>
          <w:cantSplit/>
          <w:trHeight w:val="21"/>
        </w:trPr>
        <w:tc>
          <w:tcPr>
            <w:tcW w:w="0" w:type="pct"/>
            <w:tcBorders>
              <w:top w:val="nil"/>
              <w:left w:val="nil"/>
              <w:bottom w:val="nil"/>
              <w:right w:val="nil"/>
            </w:tcBorders>
            <w:shd w:val="clear" w:color="auto" w:fill="auto"/>
            <w:vAlign w:val="center"/>
            <w:hideMark/>
          </w:tcPr>
          <w:p w14:paraId="4A10944D" w14:textId="77777777" w:rsidR="00940192" w:rsidRPr="003D0ADE" w:rsidRDefault="00940192" w:rsidP="00A060AF">
            <w:pPr>
              <w:spacing w:after="0" w:line="240" w:lineRule="auto"/>
              <w:ind w:firstLine="0"/>
              <w:jc w:val="left"/>
              <w:rPr>
                <w:rFonts w:eastAsia="Calibri"/>
                <w:sz w:val="20"/>
                <w:szCs w:val="20"/>
                <w:lang w:eastAsia="en-US"/>
              </w:rPr>
            </w:pPr>
            <w:r w:rsidRPr="003D0ADE">
              <w:rPr>
                <w:rFonts w:eastAsia="Calibri"/>
                <w:sz w:val="20"/>
                <w:szCs w:val="20"/>
                <w:lang w:eastAsia="en-US"/>
              </w:rPr>
              <w:t>Photochemical ozone formation - human health</w:t>
            </w:r>
          </w:p>
        </w:tc>
        <w:tc>
          <w:tcPr>
            <w:tcW w:w="0" w:type="pct"/>
            <w:tcBorders>
              <w:top w:val="nil"/>
              <w:left w:val="nil"/>
              <w:bottom w:val="nil"/>
              <w:right w:val="nil"/>
            </w:tcBorders>
            <w:shd w:val="clear" w:color="auto" w:fill="auto"/>
            <w:vAlign w:val="center"/>
            <w:hideMark/>
          </w:tcPr>
          <w:p w14:paraId="79162C28" w14:textId="77777777" w:rsidR="00940192" w:rsidRPr="003D0ADE" w:rsidRDefault="00940192" w:rsidP="00A060AF">
            <w:pPr>
              <w:spacing w:after="0" w:line="240" w:lineRule="auto"/>
              <w:ind w:firstLine="0"/>
              <w:jc w:val="left"/>
              <w:rPr>
                <w:rFonts w:eastAsia="Calibri"/>
                <w:sz w:val="20"/>
                <w:szCs w:val="20"/>
                <w:lang w:eastAsia="en-US"/>
              </w:rPr>
            </w:pPr>
            <w:r w:rsidRPr="003D0ADE">
              <w:rPr>
                <w:rFonts w:eastAsia="Calibri"/>
                <w:sz w:val="20"/>
                <w:szCs w:val="20"/>
                <w:lang w:eastAsia="en-US"/>
              </w:rPr>
              <w:t>kg NMVOC eq.</w:t>
            </w:r>
          </w:p>
        </w:tc>
      </w:tr>
      <w:tr w:rsidR="00940192" w:rsidRPr="001127C7" w14:paraId="47E04AE9" w14:textId="77777777" w:rsidTr="003D0ADE">
        <w:trPr>
          <w:cantSplit/>
          <w:trHeight w:val="21"/>
        </w:trPr>
        <w:tc>
          <w:tcPr>
            <w:tcW w:w="0" w:type="pct"/>
            <w:tcBorders>
              <w:top w:val="nil"/>
              <w:left w:val="nil"/>
              <w:bottom w:val="nil"/>
              <w:right w:val="nil"/>
            </w:tcBorders>
            <w:shd w:val="clear" w:color="auto" w:fill="auto"/>
            <w:vAlign w:val="center"/>
            <w:hideMark/>
          </w:tcPr>
          <w:p w14:paraId="03C25CD9" w14:textId="77777777" w:rsidR="00940192" w:rsidRPr="003D0ADE" w:rsidRDefault="00940192" w:rsidP="00A060AF">
            <w:pPr>
              <w:spacing w:after="0" w:line="240" w:lineRule="auto"/>
              <w:ind w:firstLine="0"/>
              <w:jc w:val="left"/>
              <w:rPr>
                <w:rFonts w:eastAsia="Calibri"/>
                <w:sz w:val="20"/>
                <w:szCs w:val="20"/>
                <w:lang w:eastAsia="en-US"/>
              </w:rPr>
            </w:pPr>
            <w:r w:rsidRPr="003D0ADE">
              <w:rPr>
                <w:rFonts w:eastAsia="Calibri"/>
                <w:sz w:val="20"/>
                <w:szCs w:val="20"/>
                <w:lang w:eastAsia="en-US"/>
              </w:rPr>
              <w:lastRenderedPageBreak/>
              <w:t>Resource use, energy carriers</w:t>
            </w:r>
          </w:p>
        </w:tc>
        <w:tc>
          <w:tcPr>
            <w:tcW w:w="0" w:type="pct"/>
            <w:tcBorders>
              <w:top w:val="nil"/>
              <w:left w:val="nil"/>
              <w:bottom w:val="nil"/>
              <w:right w:val="nil"/>
            </w:tcBorders>
            <w:shd w:val="clear" w:color="auto" w:fill="auto"/>
            <w:vAlign w:val="center"/>
            <w:hideMark/>
          </w:tcPr>
          <w:p w14:paraId="5270AE6C" w14:textId="77777777" w:rsidR="00940192" w:rsidRPr="003D0ADE" w:rsidRDefault="00940192" w:rsidP="00A060AF">
            <w:pPr>
              <w:spacing w:after="0" w:line="240" w:lineRule="auto"/>
              <w:ind w:firstLine="0"/>
              <w:jc w:val="left"/>
              <w:rPr>
                <w:rFonts w:eastAsia="Calibri"/>
                <w:sz w:val="20"/>
                <w:szCs w:val="20"/>
                <w:lang w:eastAsia="en-US"/>
              </w:rPr>
            </w:pPr>
            <w:r w:rsidRPr="003D0ADE">
              <w:rPr>
                <w:rFonts w:eastAsia="Calibri"/>
                <w:sz w:val="20"/>
                <w:szCs w:val="20"/>
                <w:lang w:eastAsia="en-US"/>
              </w:rPr>
              <w:t>MJ</w:t>
            </w:r>
          </w:p>
        </w:tc>
      </w:tr>
      <w:tr w:rsidR="00940192" w:rsidRPr="001127C7" w14:paraId="5897CF02" w14:textId="77777777" w:rsidTr="003D0ADE">
        <w:trPr>
          <w:cantSplit/>
          <w:trHeight w:val="21"/>
        </w:trPr>
        <w:tc>
          <w:tcPr>
            <w:tcW w:w="0" w:type="pct"/>
            <w:tcBorders>
              <w:top w:val="nil"/>
              <w:left w:val="nil"/>
              <w:bottom w:val="nil"/>
              <w:right w:val="nil"/>
            </w:tcBorders>
            <w:shd w:val="clear" w:color="auto" w:fill="auto"/>
            <w:vAlign w:val="center"/>
            <w:hideMark/>
          </w:tcPr>
          <w:p w14:paraId="02A6B925" w14:textId="77777777" w:rsidR="00940192" w:rsidRPr="003D0ADE" w:rsidRDefault="00940192" w:rsidP="00A060AF">
            <w:pPr>
              <w:spacing w:after="0" w:line="240" w:lineRule="auto"/>
              <w:ind w:firstLine="0"/>
              <w:jc w:val="left"/>
              <w:rPr>
                <w:rFonts w:eastAsia="Calibri"/>
                <w:sz w:val="20"/>
                <w:szCs w:val="20"/>
                <w:lang w:eastAsia="en-US"/>
              </w:rPr>
            </w:pPr>
            <w:r w:rsidRPr="003D0ADE">
              <w:rPr>
                <w:rFonts w:eastAsia="Calibri"/>
                <w:sz w:val="20"/>
                <w:szCs w:val="20"/>
                <w:lang w:eastAsia="en-US"/>
              </w:rPr>
              <w:t>Resource use, mineral and metals</w:t>
            </w:r>
          </w:p>
        </w:tc>
        <w:tc>
          <w:tcPr>
            <w:tcW w:w="0" w:type="pct"/>
            <w:tcBorders>
              <w:top w:val="nil"/>
              <w:left w:val="nil"/>
              <w:bottom w:val="nil"/>
              <w:right w:val="nil"/>
            </w:tcBorders>
            <w:shd w:val="clear" w:color="auto" w:fill="auto"/>
            <w:vAlign w:val="center"/>
            <w:hideMark/>
          </w:tcPr>
          <w:p w14:paraId="51197484" w14:textId="77777777" w:rsidR="00940192" w:rsidRPr="003D0ADE" w:rsidRDefault="00940192" w:rsidP="00A060AF">
            <w:pPr>
              <w:spacing w:after="0" w:line="240" w:lineRule="auto"/>
              <w:ind w:firstLine="0"/>
              <w:jc w:val="left"/>
              <w:rPr>
                <w:rFonts w:eastAsia="Calibri"/>
                <w:sz w:val="20"/>
                <w:szCs w:val="20"/>
                <w:lang w:eastAsia="en-US"/>
              </w:rPr>
            </w:pPr>
            <w:r w:rsidRPr="003D0ADE">
              <w:rPr>
                <w:rFonts w:eastAsia="Calibri"/>
                <w:sz w:val="20"/>
                <w:szCs w:val="20"/>
                <w:lang w:eastAsia="en-US"/>
              </w:rPr>
              <w:t>kg Sb eq.</w:t>
            </w:r>
          </w:p>
        </w:tc>
      </w:tr>
      <w:tr w:rsidR="00940192" w:rsidRPr="001127C7" w14:paraId="021735F1" w14:textId="77777777" w:rsidTr="003D0ADE">
        <w:trPr>
          <w:cantSplit/>
          <w:trHeight w:val="21"/>
        </w:trPr>
        <w:tc>
          <w:tcPr>
            <w:tcW w:w="0" w:type="pct"/>
            <w:tcBorders>
              <w:top w:val="nil"/>
              <w:left w:val="nil"/>
              <w:bottom w:val="nil"/>
              <w:right w:val="nil"/>
            </w:tcBorders>
            <w:shd w:val="clear" w:color="auto" w:fill="auto"/>
            <w:vAlign w:val="center"/>
            <w:hideMark/>
          </w:tcPr>
          <w:p w14:paraId="52ED7583" w14:textId="77777777" w:rsidR="00940192" w:rsidRPr="003D0ADE" w:rsidRDefault="00940192" w:rsidP="00A060AF">
            <w:pPr>
              <w:spacing w:after="0" w:line="240" w:lineRule="auto"/>
              <w:ind w:firstLine="0"/>
              <w:jc w:val="left"/>
              <w:rPr>
                <w:rFonts w:eastAsia="Calibri"/>
                <w:sz w:val="20"/>
                <w:szCs w:val="20"/>
                <w:lang w:eastAsia="en-US"/>
              </w:rPr>
            </w:pPr>
            <w:r w:rsidRPr="003D0ADE">
              <w:rPr>
                <w:rFonts w:eastAsia="Calibri"/>
                <w:sz w:val="20"/>
                <w:szCs w:val="20"/>
                <w:lang w:eastAsia="en-US"/>
              </w:rPr>
              <w:t>Respiratory inorganics</w:t>
            </w:r>
          </w:p>
        </w:tc>
        <w:tc>
          <w:tcPr>
            <w:tcW w:w="0" w:type="pct"/>
            <w:tcBorders>
              <w:top w:val="nil"/>
              <w:left w:val="nil"/>
              <w:bottom w:val="nil"/>
              <w:right w:val="nil"/>
            </w:tcBorders>
            <w:shd w:val="clear" w:color="auto" w:fill="auto"/>
            <w:vAlign w:val="center"/>
            <w:hideMark/>
          </w:tcPr>
          <w:p w14:paraId="7AC2111B" w14:textId="77777777" w:rsidR="00940192" w:rsidRPr="003D0ADE" w:rsidRDefault="00940192" w:rsidP="00A060AF">
            <w:pPr>
              <w:spacing w:after="0" w:line="240" w:lineRule="auto"/>
              <w:ind w:firstLine="0"/>
              <w:jc w:val="left"/>
              <w:rPr>
                <w:rFonts w:eastAsia="Calibri"/>
                <w:sz w:val="20"/>
                <w:szCs w:val="20"/>
                <w:lang w:eastAsia="en-US"/>
              </w:rPr>
            </w:pPr>
            <w:r w:rsidRPr="003D0ADE">
              <w:rPr>
                <w:rFonts w:eastAsia="Calibri"/>
                <w:sz w:val="20"/>
                <w:szCs w:val="20"/>
                <w:lang w:eastAsia="en-US"/>
              </w:rPr>
              <w:t>Deaths</w:t>
            </w:r>
          </w:p>
        </w:tc>
      </w:tr>
      <w:tr w:rsidR="00940192" w:rsidRPr="001127C7" w14:paraId="7BF8C320" w14:textId="77777777" w:rsidTr="003D0ADE">
        <w:trPr>
          <w:cantSplit/>
          <w:trHeight w:val="21"/>
        </w:trPr>
        <w:tc>
          <w:tcPr>
            <w:tcW w:w="0" w:type="pct"/>
            <w:tcBorders>
              <w:top w:val="nil"/>
              <w:left w:val="nil"/>
              <w:bottom w:val="single" w:sz="12" w:space="0" w:color="auto"/>
              <w:right w:val="nil"/>
            </w:tcBorders>
            <w:shd w:val="clear" w:color="auto" w:fill="auto"/>
            <w:vAlign w:val="center"/>
            <w:hideMark/>
          </w:tcPr>
          <w:p w14:paraId="4F7D1F37" w14:textId="77777777" w:rsidR="00940192" w:rsidRPr="003D0ADE" w:rsidRDefault="00940192" w:rsidP="00A060AF">
            <w:pPr>
              <w:spacing w:after="0" w:line="240" w:lineRule="auto"/>
              <w:ind w:firstLine="0"/>
              <w:jc w:val="left"/>
              <w:rPr>
                <w:rFonts w:eastAsia="Calibri"/>
                <w:sz w:val="20"/>
                <w:szCs w:val="20"/>
                <w:lang w:eastAsia="en-US"/>
              </w:rPr>
            </w:pPr>
            <w:r w:rsidRPr="003D0ADE">
              <w:rPr>
                <w:rFonts w:eastAsia="Calibri"/>
                <w:sz w:val="20"/>
                <w:szCs w:val="20"/>
                <w:lang w:eastAsia="en-US"/>
              </w:rPr>
              <w:t>Water scarcity</w:t>
            </w:r>
          </w:p>
        </w:tc>
        <w:tc>
          <w:tcPr>
            <w:tcW w:w="0" w:type="pct"/>
            <w:tcBorders>
              <w:top w:val="nil"/>
              <w:left w:val="nil"/>
              <w:bottom w:val="single" w:sz="12" w:space="0" w:color="auto"/>
              <w:right w:val="nil"/>
            </w:tcBorders>
            <w:shd w:val="clear" w:color="auto" w:fill="auto"/>
            <w:vAlign w:val="center"/>
            <w:hideMark/>
          </w:tcPr>
          <w:p w14:paraId="0E235176" w14:textId="77777777" w:rsidR="00940192" w:rsidRPr="003D0ADE" w:rsidRDefault="00940192" w:rsidP="00A060AF">
            <w:pPr>
              <w:spacing w:after="0" w:line="240" w:lineRule="auto"/>
              <w:ind w:firstLine="0"/>
              <w:jc w:val="left"/>
              <w:rPr>
                <w:rFonts w:eastAsia="Calibri"/>
                <w:sz w:val="20"/>
                <w:szCs w:val="20"/>
                <w:lang w:eastAsia="en-US"/>
              </w:rPr>
            </w:pPr>
            <w:r w:rsidRPr="003D0ADE">
              <w:rPr>
                <w:rFonts w:eastAsia="Calibri"/>
                <w:sz w:val="20"/>
                <w:szCs w:val="20"/>
                <w:lang w:eastAsia="en-US"/>
              </w:rPr>
              <w:t>m³ world equiv.</w:t>
            </w:r>
          </w:p>
        </w:tc>
      </w:tr>
    </w:tbl>
    <w:p w14:paraId="1162A9B9" w14:textId="77777777" w:rsidR="00B77243" w:rsidRPr="001127C7" w:rsidRDefault="00B77243" w:rsidP="00D9525A">
      <w:pPr>
        <w:spacing w:line="360" w:lineRule="auto"/>
        <w:ind w:firstLine="0"/>
      </w:pPr>
    </w:p>
    <w:p w14:paraId="1115E4DE" w14:textId="77777777" w:rsidR="00B77243" w:rsidRDefault="00B77243" w:rsidP="00296675">
      <w:pPr>
        <w:pStyle w:val="Titolo1"/>
      </w:pPr>
      <w:r w:rsidRPr="001127C7">
        <w:t xml:space="preserve">Results </w:t>
      </w:r>
      <w:r w:rsidR="000B244B">
        <w:t>and discussion</w:t>
      </w:r>
    </w:p>
    <w:p w14:paraId="0FF9D724" w14:textId="77777777" w:rsidR="00E64E76" w:rsidRDefault="00E64E76" w:rsidP="00A060AF">
      <w:pPr>
        <w:pStyle w:val="Titolo2"/>
      </w:pPr>
      <w:bookmarkStart w:id="12" w:name="_Ref78291153"/>
      <w:r>
        <w:t>Allocation</w:t>
      </w:r>
      <w:bookmarkEnd w:id="12"/>
    </w:p>
    <w:p w14:paraId="7EBF4648" w14:textId="736AB256" w:rsidR="00951062" w:rsidRDefault="00C0622A">
      <w:pPr>
        <w:spacing w:line="360" w:lineRule="auto"/>
        <w:ind w:firstLine="0"/>
      </w:pPr>
      <w:r>
        <w:fldChar w:fldCharType="begin"/>
      </w:r>
      <w:r>
        <w:instrText xml:space="preserve"> REF _Ref74127340 \h </w:instrText>
      </w:r>
      <w:r>
        <w:fldChar w:fldCharType="separate"/>
      </w:r>
      <w:r w:rsidR="008D2EFC">
        <w:t xml:space="preserve">Figure </w:t>
      </w:r>
      <w:r w:rsidR="008D2EFC">
        <w:rPr>
          <w:noProof/>
        </w:rPr>
        <w:t>2</w:t>
      </w:r>
      <w:r>
        <w:fldChar w:fldCharType="end"/>
      </w:r>
      <w:r w:rsidR="00951062">
        <w:t xml:space="preserve"> </w:t>
      </w:r>
      <w:r w:rsidR="00EF0A13">
        <w:t xml:space="preserve">shows </w:t>
      </w:r>
      <w:r w:rsidR="00951062">
        <w:t>the effects of two allocation methods</w:t>
      </w:r>
      <w:r w:rsidR="00F57407">
        <w:t xml:space="preserve"> –</w:t>
      </w:r>
      <w:r w:rsidR="003D6A2D">
        <w:t xml:space="preserve"> </w:t>
      </w:r>
      <w:r w:rsidR="00951062">
        <w:t xml:space="preserve">bio-physical allocation </w:t>
      </w:r>
      <w:r w:rsidR="003D6A2D">
        <w:t>combined with</w:t>
      </w:r>
      <w:r w:rsidR="00951062">
        <w:t xml:space="preserve"> </w:t>
      </w:r>
      <w:r w:rsidR="00C82576">
        <w:t>crediting for electricity</w:t>
      </w:r>
      <w:r w:rsidR="003D6A2D">
        <w:t>, and economic allocation</w:t>
      </w:r>
      <w:r w:rsidR="00951062">
        <w:t xml:space="preserve"> (see Section </w:t>
      </w:r>
      <w:r w:rsidR="00951062">
        <w:fldChar w:fldCharType="begin"/>
      </w:r>
      <w:r w:rsidR="00951062">
        <w:instrText xml:space="preserve"> REF _Ref77864383 \r \h </w:instrText>
      </w:r>
      <w:r w:rsidR="00951062">
        <w:fldChar w:fldCharType="separate"/>
      </w:r>
      <w:r w:rsidR="008D2EFC">
        <w:t>2.5</w:t>
      </w:r>
      <w:r w:rsidR="00951062">
        <w:fldChar w:fldCharType="end"/>
      </w:r>
      <w:r w:rsidR="00951062">
        <w:t>) – on the environmental impacts of buffalo milk production</w:t>
      </w:r>
      <w:r w:rsidR="00D42959">
        <w:t xml:space="preserve"> for </w:t>
      </w:r>
      <w:r w:rsidR="00E038F2">
        <w:t>F</w:t>
      </w:r>
      <w:r w:rsidR="003D6A2D">
        <w:t xml:space="preserve">arm </w:t>
      </w:r>
      <w:r w:rsidR="00C46C95">
        <w:t>B</w:t>
      </w:r>
      <w:r w:rsidR="00951062">
        <w:t xml:space="preserve">. </w:t>
      </w:r>
      <w:r w:rsidR="00D42959">
        <w:t xml:space="preserve">The </w:t>
      </w:r>
      <w:r w:rsidR="00F57407">
        <w:t xml:space="preserve">chart </w:t>
      </w:r>
      <w:r w:rsidR="00C5467F">
        <w:t xml:space="preserve">compares the two allocation methods with </w:t>
      </w:r>
      <w:r w:rsidR="00F57407">
        <w:t>the case where no allocation is adopted,</w:t>
      </w:r>
      <w:r w:rsidR="00C218E6">
        <w:t xml:space="preserve"> that is,</w:t>
      </w:r>
      <w:r w:rsidR="00F57407">
        <w:t xml:space="preserve"> all environmental impacts </w:t>
      </w:r>
      <w:r w:rsidR="00C218E6">
        <w:t>associated with</w:t>
      </w:r>
      <w:r w:rsidR="00F57407">
        <w:t xml:space="preserve"> the farm are attributed to milk production.</w:t>
      </w:r>
      <w:r w:rsidR="00D42959">
        <w:t xml:space="preserve"> The results for </w:t>
      </w:r>
      <w:r w:rsidR="00841E2C">
        <w:t xml:space="preserve">Farm A </w:t>
      </w:r>
      <w:r w:rsidR="00D42959">
        <w:t xml:space="preserve">and </w:t>
      </w:r>
      <w:r w:rsidR="00841E2C">
        <w:t>Farm C</w:t>
      </w:r>
      <w:r w:rsidR="00D42959">
        <w:t xml:space="preserve"> are reported in </w:t>
      </w:r>
      <w:r w:rsidR="00AE79C2">
        <w:t xml:space="preserve">Figure S1 and S2 </w:t>
      </w:r>
      <w:r w:rsidR="00C5467F">
        <w:t>in</w:t>
      </w:r>
      <w:r w:rsidR="00AE79C2">
        <w:t xml:space="preserve"> </w:t>
      </w:r>
      <w:r w:rsidR="00D42959">
        <w:t xml:space="preserve">the Supporting </w:t>
      </w:r>
      <w:r w:rsidR="00C5467F">
        <w:t>I</w:t>
      </w:r>
      <w:r w:rsidR="00D42959">
        <w:t xml:space="preserve">nformation. </w:t>
      </w:r>
    </w:p>
    <w:p w14:paraId="0AF83FEE" w14:textId="77777777" w:rsidR="00951062" w:rsidRDefault="00951062">
      <w:pPr>
        <w:spacing w:line="360" w:lineRule="auto"/>
        <w:ind w:firstLine="0"/>
      </w:pPr>
    </w:p>
    <w:p w14:paraId="70B94607" w14:textId="59DF771E" w:rsidR="00A5792D" w:rsidRDefault="00497A5E" w:rsidP="00783D10">
      <w:pPr>
        <w:spacing w:line="360" w:lineRule="auto"/>
        <w:ind w:firstLine="0"/>
        <w:jc w:val="center"/>
      </w:pPr>
      <w:r>
        <w:rPr>
          <w:noProof/>
          <w:lang w:val="it-IT"/>
        </w:rPr>
        <w:drawing>
          <wp:inline distT="0" distB="0" distL="0" distR="0" wp14:anchorId="3599D846" wp14:editId="01428816">
            <wp:extent cx="5485798" cy="3168000"/>
            <wp:effectExtent l="0" t="0" r="63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5798" cy="3168000"/>
                    </a:xfrm>
                    <a:prstGeom prst="rect">
                      <a:avLst/>
                    </a:prstGeom>
                    <a:noFill/>
                  </pic:spPr>
                </pic:pic>
              </a:graphicData>
            </a:graphic>
          </wp:inline>
        </w:drawing>
      </w:r>
    </w:p>
    <w:p w14:paraId="0EC08012" w14:textId="123FBB76" w:rsidR="00A5792D" w:rsidRPr="00A060AF" w:rsidRDefault="00C0622A" w:rsidP="00832EB9">
      <w:pPr>
        <w:pStyle w:val="Didascalia"/>
        <w:jc w:val="center"/>
      </w:pPr>
      <w:bookmarkStart w:id="13" w:name="_Ref74127340"/>
      <w:r>
        <w:t xml:space="preserve">Figure </w:t>
      </w:r>
      <w:r>
        <w:fldChar w:fldCharType="begin"/>
      </w:r>
      <w:r>
        <w:instrText xml:space="preserve"> SEQ Figure \* ARABIC </w:instrText>
      </w:r>
      <w:r>
        <w:fldChar w:fldCharType="separate"/>
      </w:r>
      <w:r w:rsidR="008D2EFC">
        <w:rPr>
          <w:noProof/>
        </w:rPr>
        <w:t>2</w:t>
      </w:r>
      <w:r>
        <w:fldChar w:fldCharType="end"/>
      </w:r>
      <w:bookmarkEnd w:id="13"/>
      <w:r w:rsidR="00A5792D" w:rsidRPr="00F46B4C">
        <w:rPr>
          <w:szCs w:val="22"/>
        </w:rPr>
        <w:t xml:space="preserve"> –</w:t>
      </w:r>
      <w:r w:rsidR="00A5792D">
        <w:rPr>
          <w:szCs w:val="22"/>
        </w:rPr>
        <w:t xml:space="preserve"> </w:t>
      </w:r>
      <w:r w:rsidR="00C82576">
        <w:rPr>
          <w:szCs w:val="22"/>
        </w:rPr>
        <w:t xml:space="preserve">Environmental impacts for milk production at </w:t>
      </w:r>
      <w:r w:rsidR="00C5467F">
        <w:rPr>
          <w:szCs w:val="22"/>
        </w:rPr>
        <w:t>farm</w:t>
      </w:r>
      <w:r w:rsidR="00C82576">
        <w:rPr>
          <w:szCs w:val="22"/>
        </w:rPr>
        <w:t xml:space="preserve"> </w:t>
      </w:r>
      <w:r w:rsidR="001E3E46">
        <w:rPr>
          <w:szCs w:val="22"/>
        </w:rPr>
        <w:t xml:space="preserve">B </w:t>
      </w:r>
      <w:r w:rsidR="00C82576">
        <w:rPr>
          <w:szCs w:val="22"/>
        </w:rPr>
        <w:t>according to different allocation methods</w:t>
      </w:r>
      <w:r w:rsidR="00A5792D" w:rsidRPr="00A060AF">
        <w:rPr>
          <w:szCs w:val="22"/>
        </w:rPr>
        <w:t>.</w:t>
      </w:r>
    </w:p>
    <w:p w14:paraId="09FDDA08" w14:textId="1CB2F136" w:rsidR="000C048B" w:rsidRDefault="00D42959">
      <w:pPr>
        <w:spacing w:line="360" w:lineRule="auto"/>
        <w:ind w:firstLine="0"/>
      </w:pPr>
      <w:r>
        <w:t xml:space="preserve">The chart shows that the </w:t>
      </w:r>
      <w:r w:rsidR="002F2CEA">
        <w:t>economic allocation is significantly more conservative than the</w:t>
      </w:r>
      <w:r w:rsidR="00C218E6">
        <w:t xml:space="preserve"> alternative method (</w:t>
      </w:r>
      <w:r w:rsidR="002F2CEA">
        <w:t xml:space="preserve">bio-physical allocation plus </w:t>
      </w:r>
      <w:r w:rsidR="00E20550">
        <w:t>crediting</w:t>
      </w:r>
      <w:r w:rsidR="00C218E6">
        <w:t>)</w:t>
      </w:r>
      <w:r w:rsidR="00F57407">
        <w:t xml:space="preserve"> because it entails a lower reduction from the no allocation scenario; in other words, it allocates a larger portion of the environmental </w:t>
      </w:r>
      <w:r w:rsidR="00F57407">
        <w:lastRenderedPageBreak/>
        <w:t xml:space="preserve">impacts to milk production. </w:t>
      </w:r>
      <w:r w:rsidR="002F2CEA">
        <w:t xml:space="preserve">For </w:t>
      </w:r>
      <w:r w:rsidR="0087730D">
        <w:t>Farm B</w:t>
      </w:r>
      <w:r w:rsidR="002F2CEA">
        <w:t xml:space="preserve">, </w:t>
      </w:r>
      <w:r w:rsidR="00C218E6">
        <w:t>economic allocation</w:t>
      </w:r>
      <w:r w:rsidR="002F2CEA">
        <w:t xml:space="preserve"> attributes </w:t>
      </w:r>
      <w:r w:rsidR="00AC5B64">
        <w:t>89% of the</w:t>
      </w:r>
      <w:r w:rsidR="00C218E6">
        <w:t xml:space="preserve"> farm’s</w:t>
      </w:r>
      <w:r w:rsidR="00AC5B64">
        <w:t xml:space="preserve"> environmental impacts to milk</w:t>
      </w:r>
      <w:r w:rsidR="00F57407">
        <w:t xml:space="preserve"> for each environmental category</w:t>
      </w:r>
      <w:r w:rsidR="00AC5B64">
        <w:t xml:space="preserve"> (</w:t>
      </w:r>
      <w:r w:rsidR="00F57407">
        <w:t xml:space="preserve">see </w:t>
      </w:r>
      <w:r w:rsidR="00AC5B64">
        <w:fldChar w:fldCharType="begin"/>
      </w:r>
      <w:r w:rsidR="00AC5B64">
        <w:instrText xml:space="preserve"> REF _Ref77864647 \h </w:instrText>
      </w:r>
      <w:r w:rsidR="00AC5B64">
        <w:fldChar w:fldCharType="separate"/>
      </w:r>
      <w:r w:rsidR="008D2EFC">
        <w:t xml:space="preserve">Table </w:t>
      </w:r>
      <w:r w:rsidR="008D2EFC">
        <w:rPr>
          <w:noProof/>
        </w:rPr>
        <w:t>2</w:t>
      </w:r>
      <w:r w:rsidR="00AC5B64">
        <w:fldChar w:fldCharType="end"/>
      </w:r>
      <w:r w:rsidR="00AC5B64">
        <w:t xml:space="preserve">). </w:t>
      </w:r>
      <w:r w:rsidR="000C048B">
        <w:t>For most categories, t</w:t>
      </w:r>
      <w:r w:rsidR="00AC5B64">
        <w:t>he</w:t>
      </w:r>
      <w:r w:rsidR="00F57407">
        <w:t xml:space="preserve"> impacts allocated by the</w:t>
      </w:r>
      <w:r w:rsidR="00AC5B64">
        <w:t xml:space="preserve"> </w:t>
      </w:r>
      <w:r w:rsidR="00F57407">
        <w:t>alternative</w:t>
      </w:r>
      <w:r w:rsidR="00AC5B64">
        <w:t xml:space="preserve"> </w:t>
      </w:r>
      <w:r w:rsidR="002A5E54">
        <w:t xml:space="preserve">method </w:t>
      </w:r>
      <w:r w:rsidR="000C048B">
        <w:t xml:space="preserve">range from 60% to 82%. The categories ionising radiation and resource use, energy carriers </w:t>
      </w:r>
      <w:r w:rsidR="00C218E6">
        <w:t>re</w:t>
      </w:r>
      <w:r w:rsidR="000C048B">
        <w:t xml:space="preserve">present a </w:t>
      </w:r>
      <w:r w:rsidR="00C464EE">
        <w:t>notable exception</w:t>
      </w:r>
      <w:r w:rsidR="000C048B">
        <w:t xml:space="preserve">, with substantially lower allocation factors that equal -20% and 20%, respectively. Notably, a value of -20% </w:t>
      </w:r>
      <w:r w:rsidR="00C218E6">
        <w:t>indicates</w:t>
      </w:r>
      <w:r w:rsidR="000C048B">
        <w:t xml:space="preserve"> that the impact score in the category is negative, </w:t>
      </w:r>
      <w:proofErr w:type="gramStart"/>
      <w:r w:rsidR="000C048B">
        <w:t>i.e.</w:t>
      </w:r>
      <w:proofErr w:type="gramEnd"/>
      <w:r w:rsidR="000C048B">
        <w:t xml:space="preserve"> the environmental benefits from the avoided activities are larger than the impacts of milk production.</w:t>
      </w:r>
    </w:p>
    <w:p w14:paraId="6AA20DD1" w14:textId="671637FD" w:rsidR="00D42959" w:rsidRDefault="00693D43">
      <w:pPr>
        <w:spacing w:line="360" w:lineRule="auto"/>
        <w:ind w:firstLine="0"/>
      </w:pPr>
      <w:r>
        <w:t xml:space="preserve">The economic allocation approach is representative of the revenues of the farm relative to the two co-products. The resulting allocation factors </w:t>
      </w:r>
      <w:r w:rsidR="00C218E6">
        <w:t>implies</w:t>
      </w:r>
      <w:r>
        <w:t xml:space="preserve"> that nearly 90% of the revenues of </w:t>
      </w:r>
      <w:r w:rsidR="00D06F27">
        <w:t xml:space="preserve">dairy </w:t>
      </w:r>
      <w:r>
        <w:t>buffalo farms derive from the sale of milk, with the remain</w:t>
      </w:r>
      <w:r w:rsidR="000A3872">
        <w:t>der</w:t>
      </w:r>
      <w:r>
        <w:t xml:space="preserve"> being shared between meat surplus and electricity (see </w:t>
      </w:r>
      <w:r>
        <w:fldChar w:fldCharType="begin"/>
      </w:r>
      <w:r>
        <w:instrText xml:space="preserve"> REF _Ref77864647 \h </w:instrText>
      </w:r>
      <w:r>
        <w:fldChar w:fldCharType="separate"/>
      </w:r>
      <w:r w:rsidR="008D2EFC">
        <w:t xml:space="preserve">Table </w:t>
      </w:r>
      <w:r w:rsidR="008D2EFC">
        <w:rPr>
          <w:noProof/>
        </w:rPr>
        <w:t>2</w:t>
      </w:r>
      <w:r>
        <w:fldChar w:fldCharType="end"/>
      </w:r>
      <w:r>
        <w:t xml:space="preserve">). The bio-physical allocation </w:t>
      </w:r>
      <w:r w:rsidR="00E20550">
        <w:t xml:space="preserve">plus crediting </w:t>
      </w:r>
      <w:r>
        <w:t xml:space="preserve">approach </w:t>
      </w:r>
      <w:r w:rsidR="000A3872">
        <w:t>partitions</w:t>
      </w:r>
      <w:r>
        <w:t xml:space="preserve"> the environmental impacts between milk and meat based on the proportion of feed used for lactation and growth of the </w:t>
      </w:r>
      <w:r w:rsidR="00C464EE">
        <w:t>herd</w:t>
      </w:r>
      <w:r>
        <w:t xml:space="preserve"> </w:t>
      </w:r>
      <w:r w:rsidR="00E038F2">
        <w:t xml:space="preserve">whilst </w:t>
      </w:r>
      <w:r w:rsidR="000A3872">
        <w:t>subtract</w:t>
      </w:r>
      <w:r w:rsidR="00245BC1">
        <w:t>ing</w:t>
      </w:r>
      <w:r>
        <w:t xml:space="preserve"> the avoide</w:t>
      </w:r>
      <w:r w:rsidR="000A3872">
        <w:t>d</w:t>
      </w:r>
      <w:r>
        <w:t xml:space="preserve"> environmental impacts of electricity generation. This method attributes </w:t>
      </w:r>
      <w:r w:rsidR="000A3872">
        <w:t>a</w:t>
      </w:r>
      <w:r w:rsidR="00E20550">
        <w:t xml:space="preserve"> smaller</w:t>
      </w:r>
      <w:r w:rsidR="000A3872">
        <w:t xml:space="preserve"> proportion of the environmental impacts </w:t>
      </w:r>
      <w:r>
        <w:t>to milk for two reasons. First, the p</w:t>
      </w:r>
      <w:r w:rsidR="000A3872">
        <w:t>ortion</w:t>
      </w:r>
      <w:r>
        <w:t xml:space="preserve"> of feed used for lactation is lower than </w:t>
      </w:r>
      <w:r w:rsidR="000A3872">
        <w:t>that</w:t>
      </w:r>
      <w:r>
        <w:t xml:space="preserve"> of revenues associated with milk (83% compared to 89%, as shown in </w:t>
      </w:r>
      <w:r>
        <w:fldChar w:fldCharType="begin"/>
      </w:r>
      <w:r>
        <w:instrText xml:space="preserve"> REF _Ref77864647 \h </w:instrText>
      </w:r>
      <w:r>
        <w:fldChar w:fldCharType="separate"/>
      </w:r>
      <w:r w:rsidR="008D2EFC">
        <w:t xml:space="preserve">Table </w:t>
      </w:r>
      <w:r w:rsidR="008D2EFC">
        <w:rPr>
          <w:noProof/>
        </w:rPr>
        <w:t>2</w:t>
      </w:r>
      <w:r>
        <w:fldChar w:fldCharType="end"/>
      </w:r>
      <w:r>
        <w:t>)</w:t>
      </w:r>
      <w:r w:rsidR="00E20550">
        <w:t>. S</w:t>
      </w:r>
      <w:r w:rsidR="00AC5B64">
        <w:t>econd, the avoided burdens of electricity production</w:t>
      </w:r>
      <w:r>
        <w:t xml:space="preserve"> yield</w:t>
      </w:r>
      <w:r w:rsidR="00AC5B64">
        <w:t xml:space="preserve"> a</w:t>
      </w:r>
      <w:r>
        <w:t>n additional significant</w:t>
      </w:r>
      <w:r w:rsidR="00AC5B64">
        <w:t xml:space="preserve"> reduction </w:t>
      </w:r>
      <w:r>
        <w:t xml:space="preserve">in the environmental impacts, in particular in </w:t>
      </w:r>
      <w:r w:rsidR="00AC5B64">
        <w:t xml:space="preserve">those categories where the credits from electricity are particularly relevant, </w:t>
      </w:r>
      <w:proofErr w:type="gramStart"/>
      <w:r w:rsidR="00AC5B64">
        <w:t>i.e.</w:t>
      </w:r>
      <w:proofErr w:type="gramEnd"/>
      <w:r w:rsidR="00AC5B64">
        <w:t xml:space="preserve"> ionising radiations, climate change, ecotoxicity and resource use - energy carriers (see hot-spot analysis</w:t>
      </w:r>
      <w:r>
        <w:t xml:space="preserve"> in Section </w:t>
      </w:r>
      <w:r>
        <w:fldChar w:fldCharType="begin"/>
      </w:r>
      <w:r>
        <w:instrText xml:space="preserve"> REF _Ref77932332 \r \h </w:instrText>
      </w:r>
      <w:r>
        <w:fldChar w:fldCharType="separate"/>
      </w:r>
      <w:r w:rsidR="008D2EFC">
        <w:t>3.4</w:t>
      </w:r>
      <w:r>
        <w:fldChar w:fldCharType="end"/>
      </w:r>
      <w:r w:rsidR="00AC5B64">
        <w:t>).</w:t>
      </w:r>
    </w:p>
    <w:p w14:paraId="65F8EB82" w14:textId="0F47EF8E" w:rsidR="002A5E54" w:rsidRDefault="00AC5B64">
      <w:pPr>
        <w:spacing w:line="360" w:lineRule="auto"/>
        <w:ind w:firstLine="0"/>
      </w:pPr>
      <w:r>
        <w:t xml:space="preserve">The results for the other farms </w:t>
      </w:r>
      <w:r w:rsidR="00C218E6">
        <w:t xml:space="preserve">(Figure S1 and S2) </w:t>
      </w:r>
      <w:r w:rsidR="00F60913">
        <w:t>confirm</w:t>
      </w:r>
      <w:r>
        <w:t xml:space="preserve"> that</w:t>
      </w:r>
      <w:r w:rsidR="004F27D1">
        <w:t xml:space="preserve"> economic allocation is more conservative than bio-physical allocation plus </w:t>
      </w:r>
      <w:r w:rsidR="00E20550">
        <w:t>crediting</w:t>
      </w:r>
      <w:r w:rsidR="00B87A0C">
        <w:t xml:space="preserve"> approach</w:t>
      </w:r>
      <w:r w:rsidR="00F60913">
        <w:t xml:space="preserve">, </w:t>
      </w:r>
      <w:r w:rsidR="004F27D1">
        <w:t>allocat</w:t>
      </w:r>
      <w:r w:rsidR="00F60913">
        <w:t>ing</w:t>
      </w:r>
      <w:r w:rsidR="004F27D1">
        <w:t xml:space="preserve"> around </w:t>
      </w:r>
      <w:r w:rsidR="00F80D39">
        <w:t>93</w:t>
      </w:r>
      <w:r w:rsidR="004F27D1">
        <w:t xml:space="preserve">% and </w:t>
      </w:r>
      <w:r w:rsidR="00F80D39">
        <w:t>94</w:t>
      </w:r>
      <w:r w:rsidR="004F27D1">
        <w:t xml:space="preserve">% of the impacts to milk for </w:t>
      </w:r>
      <w:r w:rsidR="00D0024E">
        <w:t xml:space="preserve">Farm </w:t>
      </w:r>
      <w:r w:rsidR="00F80D39">
        <w:t xml:space="preserve">A </w:t>
      </w:r>
      <w:r w:rsidR="004F27D1">
        <w:t xml:space="preserve">and </w:t>
      </w:r>
      <w:r w:rsidR="00D0024E">
        <w:t xml:space="preserve">Farm </w:t>
      </w:r>
      <w:r w:rsidR="00F80D39">
        <w:t>C</w:t>
      </w:r>
      <w:r w:rsidR="00F60913">
        <w:t>,</w:t>
      </w:r>
      <w:r w:rsidR="004F27D1">
        <w:t xml:space="preserve"> respectively. </w:t>
      </w:r>
      <w:r w:rsidR="00F60913">
        <w:t>The allocation factors for these farms are</w:t>
      </w:r>
      <w:r w:rsidR="004F27D1">
        <w:t xml:space="preserve"> higher compared to </w:t>
      </w:r>
      <w:r w:rsidR="00D0024E">
        <w:t>Farm B</w:t>
      </w:r>
      <w:r w:rsidR="008F00EF">
        <w:t>,</w:t>
      </w:r>
      <w:r w:rsidR="004F27D1">
        <w:t xml:space="preserve"> </w:t>
      </w:r>
      <w:r w:rsidR="002A5E54">
        <w:t>due to</w:t>
      </w:r>
      <w:r w:rsidR="004F27D1">
        <w:t xml:space="preserve"> smaller amount</w:t>
      </w:r>
      <w:r w:rsidR="00F60913">
        <w:t>s</w:t>
      </w:r>
      <w:r w:rsidR="004F27D1">
        <w:t xml:space="preserve"> of meat sold. </w:t>
      </w:r>
      <w:r w:rsidR="00FA6DE4">
        <w:t>T</w:t>
      </w:r>
      <w:r w:rsidR="002A5E54">
        <w:t>he alternative allocation method</w:t>
      </w:r>
      <w:r w:rsidR="00FA6DE4">
        <w:t xml:space="preserve"> yields a smaller range of variation for the environmental impacts of </w:t>
      </w:r>
      <w:r w:rsidR="008F00EF">
        <w:t>Farm C</w:t>
      </w:r>
      <w:r w:rsidR="00FA6DE4">
        <w:t xml:space="preserve"> (from 45% to 76%) compared to </w:t>
      </w:r>
      <w:r w:rsidR="008F00EF">
        <w:t>Farm B,</w:t>
      </w:r>
      <w:r w:rsidR="00FA6DE4">
        <w:t xml:space="preserve"> because the farm generates less electricity surplus. </w:t>
      </w:r>
      <w:r w:rsidR="008F00EF">
        <w:t>Farm A</w:t>
      </w:r>
      <w:r w:rsidR="00FA6DE4">
        <w:t xml:space="preserve"> does not generate any electricity from manure management; therefore, the environmental impacts allocated to milk production are apportioned only on the basis of the bio-physical allocation factor, which is equal to 68% for all categories</w:t>
      </w:r>
      <w:r w:rsidR="00E20550">
        <w:t xml:space="preserve"> (</w:t>
      </w:r>
      <w:r w:rsidR="00E20550">
        <w:fldChar w:fldCharType="begin"/>
      </w:r>
      <w:r w:rsidR="00E20550">
        <w:instrText xml:space="preserve"> REF _Ref77864647 \h </w:instrText>
      </w:r>
      <w:r w:rsidR="00E20550">
        <w:fldChar w:fldCharType="separate"/>
      </w:r>
      <w:r w:rsidR="008D2EFC">
        <w:t xml:space="preserve">Table </w:t>
      </w:r>
      <w:r w:rsidR="008D2EFC">
        <w:rPr>
          <w:noProof/>
        </w:rPr>
        <w:t>2</w:t>
      </w:r>
      <w:r w:rsidR="00E20550">
        <w:fldChar w:fldCharType="end"/>
      </w:r>
      <w:r w:rsidR="00E20550">
        <w:t>)</w:t>
      </w:r>
      <w:r w:rsidR="00FA6DE4">
        <w:t xml:space="preserve">.  </w:t>
      </w:r>
    </w:p>
    <w:p w14:paraId="196FB93D" w14:textId="5F487E02" w:rsidR="00223CCC" w:rsidRDefault="00FD6EFB">
      <w:pPr>
        <w:pStyle w:val="Testocommento"/>
        <w:spacing w:line="360" w:lineRule="auto"/>
        <w:ind w:firstLine="0"/>
      </w:pPr>
      <w:r>
        <w:t xml:space="preserve">This </w:t>
      </w:r>
      <w:r w:rsidR="001775A1">
        <w:t>analysis</w:t>
      </w:r>
      <w:r w:rsidR="00693D43">
        <w:t xml:space="preserve"> is in line with literature </w:t>
      </w:r>
      <w:r w:rsidR="000A3872">
        <w:t>findings</w:t>
      </w:r>
      <w:r w:rsidR="00693D43">
        <w:t xml:space="preserve"> in</w:t>
      </w:r>
      <w:r w:rsidR="009E6C9B">
        <w:t xml:space="preserve"> suggest</w:t>
      </w:r>
      <w:r w:rsidR="00693D43">
        <w:t>ing</w:t>
      </w:r>
      <w:r w:rsidR="009E6C9B">
        <w:t xml:space="preserve"> that the environmental </w:t>
      </w:r>
      <w:r w:rsidR="00693D43">
        <w:t>impacts</w:t>
      </w:r>
      <w:r w:rsidR="009E6C9B">
        <w:t xml:space="preserve"> of buffalo milk</w:t>
      </w:r>
      <w:r w:rsidR="00693D43">
        <w:t xml:space="preserve"> production</w:t>
      </w:r>
      <w:r w:rsidR="009E6C9B">
        <w:t xml:space="preserve"> </w:t>
      </w:r>
      <w:r w:rsidR="00693D43">
        <w:t>are</w:t>
      </w:r>
      <w:r w:rsidR="009E6C9B">
        <w:t xml:space="preserve"> highly dependent on the</w:t>
      </w:r>
      <w:r w:rsidR="000A3872">
        <w:t xml:space="preserve"> chosen</w:t>
      </w:r>
      <w:r w:rsidR="009E6C9B">
        <w:t xml:space="preserve"> allocation </w:t>
      </w:r>
      <w:r w:rsidR="000A3872">
        <w:t>method</w:t>
      </w:r>
      <w:r w:rsidR="009E6C9B">
        <w:t xml:space="preserve">. </w:t>
      </w:r>
      <w:r w:rsidR="00693D43">
        <w:t>T</w:t>
      </w:r>
      <w:r w:rsidR="00A84CEF">
        <w:t>he economic allocation</w:t>
      </w:r>
      <w:r w:rsidR="000A3872">
        <w:t>, which</w:t>
      </w:r>
      <w:r w:rsidR="00D83620">
        <w:t xml:space="preserve"> </w:t>
      </w:r>
      <w:r w:rsidR="003E0103">
        <w:t>is the most</w:t>
      </w:r>
      <w:r w:rsidR="00C5508D">
        <w:t xml:space="preserve"> widely adopted</w:t>
      </w:r>
      <w:r w:rsidR="003E0103">
        <w:t xml:space="preserve"> method in literature</w:t>
      </w:r>
      <w:r w:rsidR="003A634F">
        <w:t xml:space="preserve"> on milk production</w:t>
      </w:r>
      <w:r w:rsidR="00F2122B">
        <w:t xml:space="preserve"> </w:t>
      </w:r>
      <w:r w:rsidR="00405EA7">
        <w:fldChar w:fldCharType="begin" w:fldLock="1"/>
      </w:r>
      <w:r w:rsidR="00523B4F">
        <w:instrText>ADDIN CSL_CITATION {"citationItems":[{"id":"ITEM-1","itemData":{"DOI":"10.1016/j.jclepro.2016.06.078","ISSN":"09596526","abstract":"Life Cycle Assessment (LCA) is one of the key tools for the evaluation of the environmental sustainability of the agricultural sector. LCA related to milk production has gained attention in recent years, but the results are often discordant and conditioned by the practitioners’ choices. This has made it difficult to clearly identify the most environmentally friendly way to produce milk. In the present paper, 44 milk LCA studies published after 2009 are reviewed, in order to evaluate the level of harmonization and comparability of methods and results, and to discuss emerging issues and hot topics that would be worth further investigation. Furthermore, the effects that the choice of functional unit and allocation rule could have on the results were statistically analyzed. The understanding of the current research direction of milk-LCA studies is useful to promote a more responsible and sustainable livestock production in the perspective of increasing animal protein demand. This review highlighted the difficulties encountered in comparing milk LCA studies, underlining the importance of practitioners’ choices in determining the results. Harmonization among LCA studies applied to the milk sector still represents a goal to be achieved. It appeared that future LCAs should investigate a broad range of impact categories, including biodiversity and water consumption; define one or more common functional units; improve transparency, giving a detailed description of system boundaries and reporting the method used for impact calculation; and systematically conduct a sensitivity analysis for a better understanding of the effects of the choices of method.","author":[{"dropping-particle":"","family":"Baldini","given":"Cecilia","non-dropping-particle":"","parse-names":false,"suffix":""},{"dropping-particle":"","family":"Gardoni","given":"Davide","non-dropping-particle":"","parse-names":false,"suffix":""},{"dropping-particle":"","family":"Guarino","given":"Marcella","non-dropping-particle":"","parse-names":false,"suffix":""}],"container-title":"Journal of Cleaner Production","id":"ITEM-1","issued":{"date-parts":[["2017"]]},"page":"421-435","publisher":"Elsevier Ltd","title":"A critical review of the recent evolution of Life Cycle Assessment applied to milk production","type":"article-journal","volume":"140"},"uris":["http://www.mendeley.com/documents/?uuid=0a0a4050-5a06-44f3-ba64-b892732625e9"]}],"mendeley":{"formattedCitation":"(Baldini et al., 2017)","plainTextFormattedCitation":"(Baldini et al., 2017)","previouslyFormattedCitation":"(Baldini et al., 2017)"},"properties":{"noteIndex":0},"schema":"https://github.com/citation-style-language/schema/raw/master/csl-citation.json"}</w:instrText>
      </w:r>
      <w:r w:rsidR="00405EA7">
        <w:fldChar w:fldCharType="separate"/>
      </w:r>
      <w:r w:rsidR="00523B4F" w:rsidRPr="00523B4F">
        <w:rPr>
          <w:noProof/>
        </w:rPr>
        <w:t xml:space="preserve">(Baldini </w:t>
      </w:r>
      <w:r w:rsidR="00523B4F" w:rsidRPr="00523B4F">
        <w:rPr>
          <w:noProof/>
        </w:rPr>
        <w:lastRenderedPageBreak/>
        <w:t>et al., 2017)</w:t>
      </w:r>
      <w:r w:rsidR="00405EA7">
        <w:fldChar w:fldCharType="end"/>
      </w:r>
      <w:r w:rsidR="00CE2ECD">
        <w:t xml:space="preserve"> (Section </w:t>
      </w:r>
      <w:r w:rsidR="00CE2ECD">
        <w:fldChar w:fldCharType="begin"/>
      </w:r>
      <w:r w:rsidR="00CE2ECD">
        <w:instrText xml:space="preserve"> REF _Ref77864383 \r \h </w:instrText>
      </w:r>
      <w:r w:rsidR="00CE2ECD">
        <w:fldChar w:fldCharType="separate"/>
      </w:r>
      <w:r w:rsidR="008D2EFC">
        <w:t>2.5</w:t>
      </w:r>
      <w:r w:rsidR="00CE2ECD">
        <w:fldChar w:fldCharType="end"/>
      </w:r>
      <w:r w:rsidR="00CE2ECD">
        <w:t>)</w:t>
      </w:r>
      <w:r w:rsidR="000A3872">
        <w:t xml:space="preserve">, </w:t>
      </w:r>
      <w:r w:rsidR="003A634F">
        <w:t xml:space="preserve">is based on </w:t>
      </w:r>
      <w:r w:rsidR="000A3872">
        <w:t>precept</w:t>
      </w:r>
      <w:r w:rsidR="00CE2ECD">
        <w:t xml:space="preserve"> that revenue generation is the primary reason for any economic activity, and therefore that the activity generating the largest share of revenues is to be attributed the largest portion of the environmental impacts. </w:t>
      </w:r>
      <w:r w:rsidR="000A3872">
        <w:t>T</w:t>
      </w:r>
      <w:r w:rsidR="00223CCC">
        <w:t xml:space="preserve">he </w:t>
      </w:r>
      <w:r w:rsidR="003A634F">
        <w:t xml:space="preserve">main limitation is that the </w:t>
      </w:r>
      <w:r w:rsidR="00693D43">
        <w:t>price</w:t>
      </w:r>
      <w:r w:rsidR="003A634F">
        <w:t>s</w:t>
      </w:r>
      <w:r w:rsidR="00693D43">
        <w:t xml:space="preserve"> of </w:t>
      </w:r>
      <w:r w:rsidR="00CE2ECD">
        <w:t xml:space="preserve">many co-products, especially of </w:t>
      </w:r>
      <w:r w:rsidR="00693D43">
        <w:t>milk, meat and electricity</w:t>
      </w:r>
      <w:r w:rsidR="00CE2ECD">
        <w:t>,</w:t>
      </w:r>
      <w:r w:rsidR="00693D43">
        <w:t xml:space="preserve"> vary </w:t>
      </w:r>
      <w:r w:rsidR="00EF0FE0">
        <w:t>temporally and spatially</w:t>
      </w:r>
      <w:r w:rsidR="00693D43">
        <w:t xml:space="preserve"> </w:t>
      </w:r>
      <w:r w:rsidR="00EF0FE0">
        <w:t>(</w:t>
      </w:r>
      <w:r w:rsidR="00693D43">
        <w:t>they differ between countries, but may also vary within the same country</w:t>
      </w:r>
      <w:r w:rsidR="00EF0FE0">
        <w:t>)</w:t>
      </w:r>
      <w:r w:rsidR="00693D43">
        <w:t>. This entails that</w:t>
      </w:r>
      <w:r w:rsidR="001E4B06">
        <w:t xml:space="preserve"> the </w:t>
      </w:r>
      <w:r w:rsidR="00693D43">
        <w:t>results</w:t>
      </w:r>
      <w:r w:rsidR="000A3872">
        <w:t xml:space="preserve"> from </w:t>
      </w:r>
      <w:r w:rsidR="003A634F">
        <w:t>different</w:t>
      </w:r>
      <w:r w:rsidR="00693D43">
        <w:t xml:space="preserve"> LCA </w:t>
      </w:r>
      <w:r w:rsidR="003A634F">
        <w:t>studies may not be immediately comparable a</w:t>
      </w:r>
      <w:r w:rsidR="000C048B">
        <w:t>nd</w:t>
      </w:r>
      <w:r w:rsidR="003A634F">
        <w:t xml:space="preserve"> </w:t>
      </w:r>
      <w:r w:rsidR="000A3872">
        <w:t xml:space="preserve">that </w:t>
      </w:r>
      <w:r w:rsidR="003A634F">
        <w:t xml:space="preserve">key differences in </w:t>
      </w:r>
      <w:r w:rsidR="000A3872">
        <w:t xml:space="preserve">environmental performance </w:t>
      </w:r>
      <w:r w:rsidR="000B244B">
        <w:t>of</w:t>
      </w:r>
      <w:r w:rsidR="000A3872">
        <w:t xml:space="preserve"> competing </w:t>
      </w:r>
      <w:r w:rsidR="003A634F">
        <w:t xml:space="preserve">farms may be </w:t>
      </w:r>
      <w:r w:rsidR="000B244B">
        <w:t xml:space="preserve">concealed by </w:t>
      </w:r>
      <w:r w:rsidR="003A634F">
        <w:t>variation</w:t>
      </w:r>
      <w:r w:rsidR="000A3872">
        <w:t>s</w:t>
      </w:r>
      <w:r w:rsidR="003A634F">
        <w:t xml:space="preserve"> </w:t>
      </w:r>
      <w:r w:rsidR="00CE2ECD">
        <w:t>in</w:t>
      </w:r>
      <w:r w:rsidR="003A634F">
        <w:t xml:space="preserve"> the allocation factor</w:t>
      </w:r>
      <w:r w:rsidR="00CE2ECD">
        <w:t>s</w:t>
      </w:r>
      <w:r w:rsidR="003A634F">
        <w:t xml:space="preserve">. </w:t>
      </w:r>
    </w:p>
    <w:p w14:paraId="6E2218EC" w14:textId="7EC31B77" w:rsidR="00B03BB0" w:rsidRDefault="000F3ED1" w:rsidP="00B03BB0">
      <w:pPr>
        <w:pStyle w:val="Testocommento"/>
        <w:spacing w:line="360" w:lineRule="auto"/>
        <w:ind w:firstLine="0"/>
      </w:pPr>
      <w:r>
        <w:t xml:space="preserve">The </w:t>
      </w:r>
      <w:r w:rsidR="00223CCC">
        <w:t>bio-</w:t>
      </w:r>
      <w:r w:rsidR="00AC167B">
        <w:t xml:space="preserve">physical </w:t>
      </w:r>
      <w:r w:rsidR="00493881">
        <w:t>approach</w:t>
      </w:r>
      <w:r>
        <w:t xml:space="preserve">, </w:t>
      </w:r>
      <w:r w:rsidR="00B03BB0">
        <w:t>which is preferred according to the ISO hierarchy</w:t>
      </w:r>
      <w:r w:rsidR="00F2122B">
        <w:t xml:space="preserve"> </w:t>
      </w:r>
      <w:r w:rsidR="00B03BB0">
        <w:fldChar w:fldCharType="begin" w:fldLock="1"/>
      </w:r>
      <w:r w:rsidR="00FD6EFB">
        <w:instrText>ADDIN CSL_CITATION {"citationItems":[{"id":"ITEM-1","itemData":{"author":[{"dropping-particle":"","family":"ISO 14044","given":"","non-dropping-particle":"","parse-names":false,"suffix":""}],"id":"ITEM-1","issued":{"date-parts":[["2006"]]},"title":"Environmental management - life cycle assessment - requirements and guidelines. 2006. EN ISO 14044:2006.","type":"article"},"uris":["http://www.mendeley.com/documents/?uuid=91942503-a66d-4e41-b9f1-1a0a825ac535"]}],"mendeley":{"formattedCitation":"(ISO 14044, 2006)","manualFormatting":"(ISO, 2006)","plainTextFormattedCitation":"(ISO 14044, 2006)","previouslyFormattedCitation":"(ISO 14044, 2006)"},"properties":{"noteIndex":0},"schema":"https://github.com/citation-style-language/schema/raw/master/csl-citation.json"}</w:instrText>
      </w:r>
      <w:r w:rsidR="00B03BB0">
        <w:fldChar w:fldCharType="separate"/>
      </w:r>
      <w:r w:rsidR="00FD6EFB" w:rsidRPr="00FD6EFB">
        <w:rPr>
          <w:noProof/>
        </w:rPr>
        <w:t>(ISO, 2006)</w:t>
      </w:r>
      <w:r w:rsidR="00B03BB0">
        <w:fldChar w:fldCharType="end"/>
      </w:r>
      <w:r w:rsidR="00FD6EFB">
        <w:t xml:space="preserve"> </w:t>
      </w:r>
      <w:r w:rsidR="00EF0A13">
        <w:t xml:space="preserve">and recommended </w:t>
      </w:r>
      <w:r w:rsidR="00271C4C">
        <w:t>by</w:t>
      </w:r>
      <w:r w:rsidR="00FD6EFB">
        <w:t xml:space="preserve"> the International Dairy </w:t>
      </w:r>
      <w:r w:rsidR="00423443">
        <w:t>Federation</w:t>
      </w:r>
      <w:r w:rsidR="00271C4C">
        <w:t xml:space="preserve"> </w:t>
      </w:r>
      <w:r w:rsidR="00FD6EFB">
        <w:fldChar w:fldCharType="begin" w:fldLock="1"/>
      </w:r>
      <w:r w:rsidR="00FD6EFB">
        <w:instrText>ADDIN CSL_CITATION {"citationItems":[{"id":"ITEM-1","itemData":{"author":[{"dropping-particle":"","family":"IDF","given":"A","non-dropping-particle":"","parse-names":false,"suffix":""}],"container-title":"Bull. Int. Dairy Fed","id":"ITEM-1","issued":{"date-parts":[["2010"]]},"title":"common carbon footprint approach for dairy: The IDF guide to standard lifecycle assessment methodology for the dairy sector","type":"article-journal"},"uris":["http://www.mendeley.com/documents/?uuid=694bc447-88a5-474c-8618-77458864f1d5"]}],"mendeley":{"formattedCitation":"(IDF, 2010)","plainTextFormattedCitation":"(IDF, 2010)","previouslyFormattedCitation":"(IDF, 2010)"},"properties":{"noteIndex":0},"schema":"https://github.com/citation-style-language/schema/raw/master/csl-citation.json"}</w:instrText>
      </w:r>
      <w:r w:rsidR="00FD6EFB">
        <w:fldChar w:fldCharType="separate"/>
      </w:r>
      <w:r w:rsidR="00FD6EFB" w:rsidRPr="00FD6EFB">
        <w:rPr>
          <w:noProof/>
        </w:rPr>
        <w:t>(IDF, 2010)</w:t>
      </w:r>
      <w:r w:rsidR="00FD6EFB">
        <w:fldChar w:fldCharType="end"/>
      </w:r>
      <w:r w:rsidR="00B03BB0">
        <w:t>,</w:t>
      </w:r>
      <w:r>
        <w:t xml:space="preserve"> is based </w:t>
      </w:r>
      <w:r w:rsidR="00B03BB0">
        <w:t>on an underlying</w:t>
      </w:r>
      <w:r>
        <w:t xml:space="preserve"> </w:t>
      </w:r>
      <w:r w:rsidR="00CE2ECD">
        <w:t>physical causality</w:t>
      </w:r>
      <w:r w:rsidR="00B03BB0">
        <w:t xml:space="preserve"> between feed for growth and lactation</w:t>
      </w:r>
      <w:r w:rsidR="000B244B">
        <w:t>,</w:t>
      </w:r>
      <w:r w:rsidR="00B03BB0">
        <w:t xml:space="preserve"> and environmental impacts.</w:t>
      </w:r>
      <w:r w:rsidR="002455A0">
        <w:t xml:space="preserve"> </w:t>
      </w:r>
      <w:r>
        <w:t xml:space="preserve">The crediting approach is mathematically related to the system expansion </w:t>
      </w:r>
      <w:r w:rsidR="00B03BB0">
        <w:t>method</w:t>
      </w:r>
      <w:r>
        <w:t xml:space="preserve">, and therefore, according to </w:t>
      </w:r>
      <w:r w:rsidR="000B244B">
        <w:t xml:space="preserve">the </w:t>
      </w:r>
      <w:r>
        <w:t>ISO</w:t>
      </w:r>
      <w:r w:rsidR="000B244B">
        <w:t xml:space="preserve"> hierarchy</w:t>
      </w:r>
      <w:r>
        <w:t xml:space="preserve">, preferred to economic allocation. </w:t>
      </w:r>
      <w:r w:rsidR="00B03BB0">
        <w:t>However, it must be noted that the crediting approach suffers from similar limitation</w:t>
      </w:r>
      <w:r w:rsidR="00E20550">
        <w:t>s</w:t>
      </w:r>
      <w:r w:rsidR="00B03BB0">
        <w:t xml:space="preserve"> to economic allocation: the identification of the avoided environmental activities is mostly subjective, which hinders comparability of results; and even when </w:t>
      </w:r>
      <w:r w:rsidR="00E20550">
        <w:t>literature approaches</w:t>
      </w:r>
      <w:r w:rsidR="00B87A0C">
        <w:t xml:space="preserve"> for selecting the counterfactual scenarios</w:t>
      </w:r>
      <w:r w:rsidR="00B03BB0">
        <w:t xml:space="preserve"> </w:t>
      </w:r>
      <w:r w:rsidR="00E20550">
        <w:t>are</w:t>
      </w:r>
      <w:r w:rsidR="00B03BB0">
        <w:t xml:space="preserve"> adopted</w:t>
      </w:r>
      <w:r w:rsidR="00E20550">
        <w:t xml:space="preserve"> </w:t>
      </w:r>
      <w:r w:rsidR="00497A5E">
        <w:fldChar w:fldCharType="begin" w:fldLock="1"/>
      </w:r>
      <w:r w:rsidR="00523B4F">
        <w:instrText>ADDIN CSL_CITATION {"citationItems":[{"id":"ITEM-1","itemData":{"ISSN":"1614-7502","author":[{"dropping-particle":"","family":"Weidema","given":"Bo P","non-dropping-particle":"","parse-names":false,"suffix":""},{"dropping-particle":"","family":"Frees","given":"Niels","non-dropping-particle":"","parse-names":false,"suffix":""},{"dropping-particle":"","family":"Nielsen","given":"Anne-Merete","non-dropping-particle":"","parse-names":false,"suffix":""}],"container-title":"The International Journal of Life Cycle Assessment","id":"ITEM-1","issue":"1","issued":{"date-parts":[["1999"]]},"page":"48-56","publisher":"Springer","title":"Marginal production technologies for life cycle inventories","type":"article-journal","volume":"4"},"uris":["http://www.mendeley.com/documents/?uuid=787a0762-95fb-4b29-baa2-2aa3dce0bd14"]}],"mendeley":{"formattedCitation":"(Weidema et al., 1999)","plainTextFormattedCitation":"(Weidema et al., 1999)","previouslyFormattedCitation":"(Weidema et al., 1999)"},"properties":{"noteIndex":0},"schema":"https://github.com/citation-style-language/schema/raw/master/csl-citation.json"}</w:instrText>
      </w:r>
      <w:r w:rsidR="00497A5E">
        <w:fldChar w:fldCharType="separate"/>
      </w:r>
      <w:r w:rsidR="00523B4F" w:rsidRPr="00523B4F">
        <w:rPr>
          <w:noProof/>
        </w:rPr>
        <w:t>(Weidema et al., 1999)</w:t>
      </w:r>
      <w:r w:rsidR="00497A5E">
        <w:fldChar w:fldCharType="end"/>
      </w:r>
      <w:r w:rsidR="00B03BB0">
        <w:t xml:space="preserve">, </w:t>
      </w:r>
      <w:r w:rsidR="00B87A0C">
        <w:t>th</w:t>
      </w:r>
      <w:r w:rsidR="000737C3">
        <w:t>ese</w:t>
      </w:r>
      <w:r w:rsidR="00B03BB0">
        <w:t xml:space="preserve"> change both spatially and temporally.</w:t>
      </w:r>
      <w:r w:rsidR="000737C3">
        <w:t xml:space="preserve"> </w:t>
      </w:r>
    </w:p>
    <w:p w14:paraId="2D2305AE" w14:textId="24162067" w:rsidR="00B03BB0" w:rsidRDefault="00697F92" w:rsidP="00B03BB0">
      <w:pPr>
        <w:pStyle w:val="Testocommento"/>
        <w:spacing w:line="360" w:lineRule="auto"/>
        <w:ind w:firstLine="0"/>
      </w:pPr>
      <w:r>
        <w:t>The above demonstrates the importance of developing a</w:t>
      </w:r>
      <w:r w:rsidR="000737C3">
        <w:t xml:space="preserve"> standardised approach to enable comparison between LCA studies that allocate </w:t>
      </w:r>
      <w:r>
        <w:t xml:space="preserve">impacts between co-products. This is outside the scope of this article, but it should be part of future efforts in the methodological development of LCA. </w:t>
      </w:r>
      <w:r w:rsidR="00B03BB0">
        <w:t xml:space="preserve">In the remainder of this article, we </w:t>
      </w:r>
      <w:r w:rsidR="00077D63">
        <w:t>focus on</w:t>
      </w:r>
      <w:r w:rsidR="00B03BB0">
        <w:t xml:space="preserve"> the results obtained via </w:t>
      </w:r>
      <w:r w:rsidR="002C479F">
        <w:t xml:space="preserve">bio-physical </w:t>
      </w:r>
      <w:r w:rsidR="007D5ABA">
        <w:t xml:space="preserve">allocation for meat surplus and </w:t>
      </w:r>
      <w:r w:rsidR="00B03BB0">
        <w:t>crediting</w:t>
      </w:r>
      <w:r w:rsidR="007D5ABA">
        <w:t xml:space="preserve"> for electricity surplus</w:t>
      </w:r>
      <w:r w:rsidR="00D37B5D">
        <w:t>, in accordance with the IDF recommendations</w:t>
      </w:r>
      <w:r w:rsidR="00B03BB0">
        <w:t>;</w:t>
      </w:r>
      <w:r w:rsidR="00DE183E">
        <w:t xml:space="preserve"> the results for the </w:t>
      </w:r>
      <w:r w:rsidR="00B03BB0">
        <w:t xml:space="preserve">economic allocation method </w:t>
      </w:r>
      <w:r w:rsidR="000B244B">
        <w:t xml:space="preserve">are </w:t>
      </w:r>
      <w:r w:rsidR="00DE183E">
        <w:t>reported for completeness in</w:t>
      </w:r>
      <w:r w:rsidR="000B244B">
        <w:t xml:space="preserve"> the</w:t>
      </w:r>
      <w:r w:rsidR="00DE183E">
        <w:t xml:space="preserve"> </w:t>
      </w:r>
      <w:r w:rsidR="00B03BB0">
        <w:t>Supporting Information</w:t>
      </w:r>
      <w:r w:rsidR="009E6C9B">
        <w:t xml:space="preserve">. </w:t>
      </w:r>
    </w:p>
    <w:p w14:paraId="41F8F3C7" w14:textId="77777777" w:rsidR="009D53F6" w:rsidRDefault="00DD3EF3" w:rsidP="00832EB9">
      <w:pPr>
        <w:pStyle w:val="Titolo2"/>
      </w:pPr>
      <w:bookmarkStart w:id="14" w:name="_Ref84325135"/>
      <w:r>
        <w:t xml:space="preserve">Climate </w:t>
      </w:r>
      <w:r w:rsidR="009D53F6">
        <w:t>change impac</w:t>
      </w:r>
      <w:r w:rsidR="00C82576">
        <w:t>ts</w:t>
      </w:r>
      <w:bookmarkEnd w:id="14"/>
      <w:r>
        <w:t xml:space="preserve"> </w:t>
      </w:r>
    </w:p>
    <w:p w14:paraId="06AD0113" w14:textId="116E5114" w:rsidR="00893CFF" w:rsidRDefault="00174B8B" w:rsidP="00C30425">
      <w:pPr>
        <w:spacing w:line="360" w:lineRule="auto"/>
        <w:ind w:firstLine="0"/>
      </w:pPr>
      <w:r>
        <w:fldChar w:fldCharType="begin"/>
      </w:r>
      <w:r>
        <w:instrText xml:space="preserve"> REF _Ref78290264 \h </w:instrText>
      </w:r>
      <w:r>
        <w:fldChar w:fldCharType="separate"/>
      </w:r>
      <w:r w:rsidR="008D2EFC">
        <w:t xml:space="preserve">Figure </w:t>
      </w:r>
      <w:r w:rsidR="008D2EFC">
        <w:rPr>
          <w:noProof/>
        </w:rPr>
        <w:t>3</w:t>
      </w:r>
      <w:r>
        <w:fldChar w:fldCharType="end"/>
      </w:r>
      <w:r w:rsidR="00EF56EF" w:rsidRPr="000C53F2">
        <w:rPr>
          <w:lang w:val="en-US"/>
        </w:rPr>
        <w:t xml:space="preserve"> </w:t>
      </w:r>
      <w:r w:rsidR="00EF56EF">
        <w:t xml:space="preserve">reports </w:t>
      </w:r>
      <w:r w:rsidR="00893CFF">
        <w:t>climate change results for the three farms investigated, using th</w:t>
      </w:r>
      <w:r w:rsidR="00E20550">
        <w:t>e</w:t>
      </w:r>
      <w:r w:rsidR="00893CFF">
        <w:t xml:space="preserve"> bio-physical</w:t>
      </w:r>
      <w:r w:rsidR="00C82576">
        <w:t xml:space="preserve"> allocation plus </w:t>
      </w:r>
      <w:r>
        <w:t>crediting</w:t>
      </w:r>
      <w:r w:rsidR="00893CFF">
        <w:t xml:space="preserve"> approach. The chart also reports</w:t>
      </w:r>
      <w:r w:rsidR="00C82576">
        <w:t xml:space="preserve"> literature</w:t>
      </w:r>
      <w:r w:rsidR="00893CFF">
        <w:t xml:space="preserve"> estimates for buffalo</w:t>
      </w:r>
      <w:r w:rsidR="00440B85">
        <w:t xml:space="preserve"> </w:t>
      </w:r>
      <w:r w:rsidR="00EF0A13">
        <w:t xml:space="preserve">milk production </w:t>
      </w:r>
      <w:r w:rsidR="00440B85">
        <w:t xml:space="preserve">in </w:t>
      </w:r>
      <w:r w:rsidR="00EF0A13">
        <w:t xml:space="preserve">the </w:t>
      </w:r>
      <w:r w:rsidR="00440B85">
        <w:t>Umbria Region</w:t>
      </w:r>
      <w:r w:rsidR="00EF0A13">
        <w:t xml:space="preserve"> in Italy</w:t>
      </w:r>
      <w:r w:rsidR="00440B85">
        <w:t xml:space="preserve"> </w:t>
      </w:r>
      <w:r w:rsidR="00440B85">
        <w:fldChar w:fldCharType="begin" w:fldLock="1"/>
      </w:r>
      <w:r w:rsidR="00440B85">
        <w:instrText>ADDIN CSL_CITATION {"citationItems":[{"id":"ITEM-1","itemData":{"DOI":"10.3390/su8080728","ISSN":"20711050","abstract":"This article aims to investigate the environmental and economic sustainability of five dairy farms in the Umbria Region (Italy). The study also provides an assessment of aggregate sustainability, which is less investigated with reference to cattle milk both globally and in Italy, through the analysis of the relationship between economic and environmental performance. Primary data were collected through a direct survey carried out in 2014. The environmental assessment was conducted with a Life Cycle Assessment (LCA) \"cradle to farm gate\" approach, while the economic dimension was evaluated by determining the direct and indirect costs related to the factors involved in the production process. A correlation analysis and a linear regression were performed in order to study the relationship between the carbon footprint (CF) and operating income. The average operating income amounted to 0.03 Euro/L of milk. The CF values of the five companies are contained within a variation range comprised between 0.90 and 1.76 kg CO2 eq/L of milk. The existence of an inverse relationship between the CF of milk and operating income confirms the hypothesis regarding the possibility of implementing strategies aimed at improving performance in both investigated dimensions at the same time, thus increasing the aggregate sustainability.","author":[{"dropping-particle":"","family":"Cecchini","given":"Lucio","non-dropping-particle":"","parse-names":false,"suffix":""},{"dropping-particle":"","family":"Torquati","given":"Biancamaria","non-dropping-particle":"","parse-names":false,"suffix":""},{"dropping-particle":"","family":"Paffarini","given":"Chiara","non-dropping-particle":"","parse-names":false,"suffix":""},{"dropping-particle":"","family":"Barbanera","given":"Marco","non-dropping-particle":"","parse-names":false,"suffix":""},{"dropping-particle":"","family":"Foschini","given":"Daniele","non-dropping-particle":"","parse-names":false,"suffix":""},{"dropping-particle":"","family":"Chiorri","given":"Massimo","non-dropping-particle":"","parse-names":false,"suffix":""}],"container-title":"Sustainability (Switzerland)","id":"ITEM-1","issue":"8","issued":{"date-parts":[["2016"]]},"title":"The milk supply chain in Italy's Umbria Region: Environmental and economic sustainability","type":"article-journal","volume":"8"},"uris":["http://www.mendeley.com/documents/?uuid=1d9c00d4-f92d-491a-ad29-21fe523d3eed"]}],"mendeley":{"formattedCitation":"(Cecchini et al., 2016)","plainTextFormattedCitation":"(Cecchini et al., 2016)","previouslyFormattedCitation":"(Cecchini et al., 2016)"},"properties":{"noteIndex":0},"schema":"https://github.com/citation-style-language/schema/raw/master/csl-citation.json"}</w:instrText>
      </w:r>
      <w:r w:rsidR="00440B85">
        <w:fldChar w:fldCharType="separate"/>
      </w:r>
      <w:r w:rsidR="00440B85" w:rsidRPr="00440B85">
        <w:rPr>
          <w:noProof/>
        </w:rPr>
        <w:t>(Cecchini et al., 2016)</w:t>
      </w:r>
      <w:r w:rsidR="00440B85">
        <w:fldChar w:fldCharType="end"/>
      </w:r>
      <w:r w:rsidR="00440B85">
        <w:t xml:space="preserve">, in </w:t>
      </w:r>
      <w:r w:rsidR="00EF0A13">
        <w:t xml:space="preserve">the </w:t>
      </w:r>
      <w:r w:rsidR="00440B85">
        <w:t xml:space="preserve">Mediterranean </w:t>
      </w:r>
      <w:r w:rsidR="00EF0A13">
        <w:t>a</w:t>
      </w:r>
      <w:r w:rsidR="00440B85">
        <w:t xml:space="preserve">rea </w:t>
      </w:r>
      <w:r w:rsidR="00440B85">
        <w:fldChar w:fldCharType="begin" w:fldLock="1"/>
      </w:r>
      <w:r w:rsidR="00D859E5">
        <w:instrText>ADDIN CSL_CITATION {"citationItems":[{"id":"ITEM-1","itemData":{"DOI":"10.1016/j.livsci.2013.12.007","ISSN":"18711413","abstract":"The carbon footprint (CF) of milk produced in six Italian Mediterranean Buffalo farms was estimated through a simplified Life Cycle Assessment. Functional unit was 1kg of fat and protein corrected milk (FPCM).The farms were characterized by high levels of inputs, as purchased feeds, chemical fertilizers and fossil fuels. Average cultivated area was 53.2ha; the forage system was based mainly on maize silage, immediately followed by Italian ryegrass and/or whole cereal silage. Average herd size was 360 and the average FPCM per lactating buffalo was 3563kg/year with an average milk fat and protein percentage of 8.24 and 4.57 respectively. The CF assessment was from cradle to farm gate. The greenhouse gases (GHG) that were taken into account were CH4 from enteric fermentations, CH4 from manure in the stable and in the tank; N2O from nitrification and denitrification processes in the manure before application into the soil and N2O produced after organic and synthetic fertilizer application; direct emissions of CO2 from the fossil fuels combustion within the farms and indirect emissions of CO2 deriving from production of electricity, off-farm feeds, synthetic fertilizers and other minor inputs. Carbon footprint of 1kg of FPCM was 3.75kg CO2eq. Main sources of GHG are enteric CH4 (45%) and indirect CO2eq (25%). Besides enteric CH4, the farm activity that gives the highest contribution to milk CF is on-farm feed production, with 34% on total greenhouse gas emissions (TGE). Carbon footprint with economic allocation (CFea) was estimated by considering the live-weight of males calves and culled cows: its value was 3.60kg CO2eq. If the economic value of the increase of the herd size is considered in the assessment, CFea decreases to 3.45 or 3.27kg CO2eq with an increase of 10% or 20% of the number of mature buffalos. © 2013 Elsevier B.V.","author":[{"dropping-particle":"","family":"Pirlo","given":"G.","non-dropping-particle":"","parse-names":false,"suffix":""},{"dropping-particle":"","family":"Terzano","given":"G.","non-dropping-particle":"","parse-names":false,"suffix":""},{"dropping-particle":"","family":"Pacelli","given":"C.","non-dropping-particle":"","parse-names":false,"suffix":""},{"dropping-particle":"","family":"Abeni","given":"F.","non-dropping-particle":"","parse-names":false,"suffix":""},{"dropping-particle":"","family":"Carè","given":"S.","non-dropping-particle":"","parse-names":false,"suffix":""}],"container-title":"Livestock Science","id":"ITEM-1","issue":"1","issued":{"date-parts":[["2014"]]},"page":"176-184","publisher":"Elsevier","title":"Carbon footprint of milk produced at Italian buffalo farms","type":"article-journal","volume":"161"},"uris":["http://www.mendeley.com/documents/?uuid=41da65ed-bf8b-48ba-9b86-830321fb6950"]}],"mendeley":{"formattedCitation":"(Pirlo et al., 2014b)","plainTextFormattedCitation":"(Pirlo et al., 2014b)","previouslyFormattedCitation":"(Pirlo et al., 2014b)"},"properties":{"noteIndex":0},"schema":"https://github.com/citation-style-language/schema/raw/master/csl-citation.json"}</w:instrText>
      </w:r>
      <w:r w:rsidR="00440B85">
        <w:fldChar w:fldCharType="separate"/>
      </w:r>
      <w:r w:rsidR="00440B85" w:rsidRPr="00440B85">
        <w:rPr>
          <w:noProof/>
        </w:rPr>
        <w:t>(Pirlo et al., 2014b)</w:t>
      </w:r>
      <w:r w:rsidR="00440B85">
        <w:fldChar w:fldCharType="end"/>
      </w:r>
      <w:r w:rsidR="00440B85">
        <w:t xml:space="preserve"> and </w:t>
      </w:r>
      <w:r w:rsidR="00D859E5">
        <w:t xml:space="preserve">for different heifer rearing systems </w:t>
      </w:r>
      <w:r w:rsidR="00D859E5">
        <w:fldChar w:fldCharType="begin" w:fldLock="1"/>
      </w:r>
      <w:r w:rsidR="00D859E5">
        <w:instrText xml:space="preserve">ADDIN CSL_CITATION {"citationItems":[{"id":"ITEM-1","itemData":{"DOI":"10.1016/j.jclepro.2018.04.158","ISSN":"09596526","abstract":"In the near future dairy enterprises will have to meet increasing environmental regulations. Therefore, we aimed to evaluate the effects on the environment of dairy buffalo farming as affected by two different heifer rearing systems, free-ranging (FR) and confinement (C) using the Life Cycle Assessment approach. The primary data were collected from 32 subjects. The analysis included all of the farming phases (i.e. birth to weaning, weaning to 7–8 months of age, 7–8 months to puberty, puberty to first calving, lactation, dry period). During the heifer phase from 7 to 8 months of age to puberty, sixteen animals were group-housed and confined in an indoor slatted floor pen (4 m2/animal) with an outdoor paddock (4 m2/animal); 16 others were FR on a Mediterranean natural pasture. When pubertal, the animals from system FR were returned to the farm and reunited with the animals from system C. We used 1 kg of fat and protein corrected buffalo milk (FPCM), with a reference milk fat and protein content of 8.3% and 4.73%, respectively, as functional unit. Impact categories investigated were Climate Change (CC), Terrestrial Acidification (TA), Marine Eutrophication (ME), Agricultural land occupation (ALO), Water depletion (WD). At category level system FR showed a reduction of the impact in terms of CC (9%), TA (10%), ME (6%) and WD (11%), whereas ALO was 7% higher as compared to system C. In conclusion, we clearly showed that the conduction of part of dairy buffalo farming (i.e. the unproductive phase from 7 to 8 months of age to puberty) on natural pasture is possible and it also allows the reduction of several sources of pollution while reducing the production costs, hence the economic sustainability. Although this system requires a greater </w:instrText>
      </w:r>
      <w:r w:rsidR="00D859E5" w:rsidRPr="004474C3">
        <w:rPr>
          <w:lang w:val="it-IT"/>
        </w:rPr>
        <w:instrText>use of land, parameters concerning the quality of land use should be included for a more accurate assessment of this aspect.","author":[{"dropping-particle":"","family":"Sabia","given":"Emilio","non-dropping-particle":"","parse-names":false,"suffix":""},{"dropping-particle":"","family":"Napolitano","given":"Fabio","non-dropping-particle":"","parse-names":false,"suffix":""},{"dropping-particle":"","family":"Claps","given":"Salvatore","non-dropping-particle":"","parse-names":false,"suffix":""},{"dropping-particle":"","family":"Rosa","given":"Giuseppe","non-dropping-particle":"De","parse-names":false,"suffix":""},{"dropping-particle":"","family":"Braghieri","given":"Ada","non-dropping-particle":"","parse-names":false,"suffix":""},{"dropping-particle":"","family":"Pacelli","given":"Corrado","non-dropping-particle":"","parse-names":false,"suffix":""}],"container-title":"Journal of Cleaner Production","id":"ITEM-1","issued":{"date-parts":[["2018"]]},"page":"647-655","publisher":"Elsevier Ltd","title":"Dairy buffalo life cycle assessment as affected by heifer rearing system","type":"article-journal","volume":"192"},"uris":["http://www.mendeley.com/documents/?uuid=1196c4b4-95df-4556-aaae-9c594668eeb9"]}],"mendeley":{"formattedCitation":"(Sabia et al., 2018a)","plainTextFormattedCitation":"(Sabia et al., 2018a)","previouslyFormattedCitation":"(Sabia et al., 2018a)"},"properties":{"noteIndex":0},"schema":"https://github.com/citation-style-language/schema/raw/master/csl-citation.json"}</w:instrText>
      </w:r>
      <w:r w:rsidR="00D859E5">
        <w:fldChar w:fldCharType="separate"/>
      </w:r>
      <w:r w:rsidR="00D859E5" w:rsidRPr="004474C3">
        <w:rPr>
          <w:noProof/>
          <w:lang w:val="it-IT"/>
        </w:rPr>
        <w:t>(Sabia et al., 2018a)</w:t>
      </w:r>
      <w:r w:rsidR="00D859E5">
        <w:fldChar w:fldCharType="end"/>
      </w:r>
      <w:r w:rsidR="00893CFF" w:rsidRPr="004474C3">
        <w:rPr>
          <w:lang w:val="it-IT"/>
        </w:rPr>
        <w:t xml:space="preserve"> </w:t>
      </w:r>
      <w:proofErr w:type="spellStart"/>
      <w:r w:rsidR="00893CFF" w:rsidRPr="004474C3">
        <w:rPr>
          <w:lang w:val="it-IT"/>
        </w:rPr>
        <w:t>as</w:t>
      </w:r>
      <w:proofErr w:type="spellEnd"/>
      <w:r w:rsidR="00893CFF" w:rsidRPr="004474C3">
        <w:rPr>
          <w:lang w:val="it-IT"/>
        </w:rPr>
        <w:t xml:space="preserve"> </w:t>
      </w:r>
      <w:proofErr w:type="spellStart"/>
      <w:r w:rsidR="00893CFF" w:rsidRPr="004474C3">
        <w:rPr>
          <w:lang w:val="it-IT"/>
        </w:rPr>
        <w:t>well</w:t>
      </w:r>
      <w:proofErr w:type="spellEnd"/>
      <w:r w:rsidR="00893CFF" w:rsidRPr="004474C3">
        <w:rPr>
          <w:lang w:val="it-IT"/>
        </w:rPr>
        <w:t xml:space="preserve"> </w:t>
      </w:r>
      <w:proofErr w:type="spellStart"/>
      <w:r w:rsidR="00893CFF" w:rsidRPr="004474C3">
        <w:rPr>
          <w:lang w:val="it-IT"/>
        </w:rPr>
        <w:t>as</w:t>
      </w:r>
      <w:proofErr w:type="spellEnd"/>
      <w:r w:rsidR="00893CFF" w:rsidRPr="004474C3">
        <w:rPr>
          <w:lang w:val="it-IT"/>
        </w:rPr>
        <w:t xml:space="preserve"> cow </w:t>
      </w:r>
      <w:proofErr w:type="spellStart"/>
      <w:r w:rsidR="00F2122B" w:rsidRPr="004474C3">
        <w:rPr>
          <w:lang w:val="it-IT"/>
        </w:rPr>
        <w:t>milk</w:t>
      </w:r>
      <w:proofErr w:type="spellEnd"/>
      <w:r w:rsidR="00F2122B" w:rsidRPr="004474C3">
        <w:rPr>
          <w:color w:val="000000"/>
          <w:lang w:val="it-IT"/>
        </w:rPr>
        <w:t xml:space="preserve"> </w:t>
      </w:r>
      <w:r w:rsidR="00893CFF">
        <w:rPr>
          <w:color w:val="000000"/>
        </w:rPr>
        <w:fldChar w:fldCharType="begin" w:fldLock="1"/>
      </w:r>
      <w:r w:rsidR="00523B4F" w:rsidRPr="004474C3">
        <w:rPr>
          <w:color w:val="000000"/>
          <w:lang w:val="it-IT"/>
        </w:rPr>
        <w:instrText>ADDIN CSL_CITATION {"citationItems":[{"id":"ITEM-1","itemData":{"DOI":"10.1016/j.jclepro.2016.06.078","ISSN":"09596526","abstract":"Life Cycle Assessment (LCA) is one of the key tools for the evaluation of the environmental sustainability of the agricultural sector. LCA related to milk production has gained attention in recent years, but the results are often discordant and conditioned by the practitioners’ choices. This has made it difficult to clearly identify the most environmentally friendly way to produce milk. In the present paper, 44 milk LCA studies published after 2009 are reviewed, in order to evaluate the level of harmonization and comparability of methods and results, and to discuss emerging issues and hot topics that would be worth further investigation. Furthermore, the effects that the choice of functional unit and allocation rule could have on the results were statistically analyzed. The understanding of the current research direction of milk-LCA studies is useful to promote a more responsible and sustainable livestock production in the perspective of increasing animal protein demand. This review highlighted the difficulties encountered in comparing milk LCA studies, underlining the importance of practitioners’ choices in determining the results. Harmonization among LCA studies applied to the milk sector still represents a goal to be achieved. It appeared that future LCAs should investigate a broad range of impact categories, including biodiversity and water consumption; define one or more common functional units; improve transparency, giving a detailed description of system boundaries and reporting the method used for impact calculation; and systematically conduct a sensitivity analysis for a better understanding of the effects of the choices of method.","author":[{"dropping-particle":"","family":"Baldini","given":"Cecilia","non-dropping-particle":"","parse-names":false,"suffix":""},{"dropping-particle":"","family":"Gardoni","given":"Davide","non-dropping-particle":"","parse-names":false,"suffix":""},{"dropping-particle":"","family":"Guarino","given":"Marcella","non-dropping-particle":"","parse-names":false,"suffix":""}],"container-title":"Journal of Cleaner Production","id":"ITEM-1","issued":{"date-parts":[["2017"]]},"page":"421-435","publisher":"Elsevier Ltd","title":"A critical review of the recent evolution of Life Cycle Assessment applied to milk production","type":"article-journal","volume":"140"},"uris":["http://www.mendeley.com/documents/?uuid=0a0a4050-5a06-44f3-ba64-b892732625e9"]}],"mendeley":{"formattedCitation":"(Baldini et al., 2017)","plainTextFormattedCitation":"(Baldini et al., 2017)","previouslyFormattedCitation":"(Baldini et al., 2017)"},"properties":{"noteIndex":0},"schema":"https://github.com/citation-style-language/schema/raw/master/csl-citation.json"}</w:instrText>
      </w:r>
      <w:r w:rsidR="00893CFF">
        <w:rPr>
          <w:color w:val="000000"/>
        </w:rPr>
        <w:fldChar w:fldCharType="separate"/>
      </w:r>
      <w:r w:rsidR="00523B4F" w:rsidRPr="004474C3">
        <w:rPr>
          <w:noProof/>
          <w:color w:val="000000"/>
          <w:lang w:val="it-IT"/>
        </w:rPr>
        <w:t>(Baldini et al., 2017)</w:t>
      </w:r>
      <w:r w:rsidR="00893CFF">
        <w:rPr>
          <w:color w:val="000000"/>
        </w:rPr>
        <w:fldChar w:fldCharType="end"/>
      </w:r>
      <w:r w:rsidR="00893CFF" w:rsidRPr="004474C3">
        <w:rPr>
          <w:lang w:val="it-IT"/>
        </w:rPr>
        <w:t xml:space="preserve">. </w:t>
      </w:r>
      <w:r w:rsidR="00833FFB">
        <w:t xml:space="preserve">The latter reviewed around 44 LCA studies on milk production published after 2009. </w:t>
      </w:r>
      <w:r w:rsidR="00893CFF">
        <w:t xml:space="preserve">The literature estimates are reported as box and whisker plots with </w:t>
      </w:r>
      <w:r w:rsidR="00893CFF">
        <w:lastRenderedPageBreak/>
        <w:t>horizontal line</w:t>
      </w:r>
      <w:r>
        <w:t>s, boxes and whiskers</w:t>
      </w:r>
      <w:r w:rsidR="00893CFF">
        <w:t xml:space="preserve"> representing</w:t>
      </w:r>
      <w:r>
        <w:t>, respectively, medi</w:t>
      </w:r>
      <w:r w:rsidR="00D440FF">
        <w:t>an</w:t>
      </w:r>
      <w:r>
        <w:t xml:space="preserve"> values, </w:t>
      </w:r>
      <w:r w:rsidR="00893CFF">
        <w:t>25</w:t>
      </w:r>
      <w:r w:rsidR="00893CFF" w:rsidRPr="00832EB9">
        <w:rPr>
          <w:vertAlign w:val="superscript"/>
        </w:rPr>
        <w:t>th</w:t>
      </w:r>
      <w:r>
        <w:t xml:space="preserve"> and</w:t>
      </w:r>
      <w:r w:rsidR="00893CFF">
        <w:t xml:space="preserve"> 75</w:t>
      </w:r>
      <w:r w:rsidR="00893CFF" w:rsidRPr="00832EB9">
        <w:rPr>
          <w:vertAlign w:val="superscript"/>
        </w:rPr>
        <w:t>th</w:t>
      </w:r>
      <w:r w:rsidR="00893CFF">
        <w:t xml:space="preserve">, </w:t>
      </w:r>
      <w:r w:rsidR="003959D0">
        <w:t>1</w:t>
      </w:r>
      <w:r w:rsidR="00E20550">
        <w:rPr>
          <w:vertAlign w:val="superscript"/>
        </w:rPr>
        <w:t>st</w:t>
      </w:r>
      <w:r w:rsidR="003959D0">
        <w:t xml:space="preserve"> and 99</w:t>
      </w:r>
      <w:r w:rsidR="003959D0" w:rsidRPr="00832EB9">
        <w:rPr>
          <w:vertAlign w:val="superscript"/>
        </w:rPr>
        <w:t>th</w:t>
      </w:r>
      <w:r w:rsidR="003959D0">
        <w:t xml:space="preserve"> percentiles</w:t>
      </w:r>
      <w:r w:rsidR="00893CFF">
        <w:t xml:space="preserve">. The numerical values as well as results for </w:t>
      </w:r>
      <w:r>
        <w:t xml:space="preserve">economic </w:t>
      </w:r>
      <w:r w:rsidR="00893CFF">
        <w:t>allocation are reported in</w:t>
      </w:r>
      <w:r w:rsidR="00C82576">
        <w:t xml:space="preserve"> Table S3</w:t>
      </w:r>
      <w:r w:rsidR="00893CFF">
        <w:t xml:space="preserve">. </w:t>
      </w:r>
      <w:r w:rsidR="00403836">
        <w:t xml:space="preserve">Although we use a Functional Unit that takes into account different compositions of milk, the comparison between cow and buffalo milk must be made with caution because the products may not be recognised as being fully replaceable each other. For example, buffalo milk may provide an alternative to those allergic to cow milk. In addition, the proteins in buffalo milk </w:t>
      </w:r>
      <w:r w:rsidR="00403836" w:rsidRPr="00403836">
        <w:t xml:space="preserve">have been recognised to offer additional health </w:t>
      </w:r>
      <w:r w:rsidR="00403836" w:rsidRPr="00107634">
        <w:t>benefits, i</w:t>
      </w:r>
      <w:r w:rsidR="00403836" w:rsidRPr="00590CAB">
        <w:rPr>
          <w:iCs/>
        </w:rPr>
        <w:t>.e., antimicrobial, immunomodulation, antitumor, antidiabetic, antihypertensive and antioxidant properties</w:t>
      </w:r>
      <w:r w:rsidR="00403836" w:rsidRPr="00590CAB">
        <w:rPr>
          <w:i/>
          <w:iCs/>
        </w:rPr>
        <w:t xml:space="preserve"> </w:t>
      </w:r>
      <w:r w:rsidR="00403836" w:rsidRPr="00590CAB">
        <w:rPr>
          <w:i/>
          <w:iCs/>
        </w:rPr>
        <w:fldChar w:fldCharType="begin" w:fldLock="1"/>
      </w:r>
      <w:r w:rsidR="00DA4B99">
        <w:rPr>
          <w:i/>
          <w:iCs/>
        </w:rPr>
        <w:instrText>ADDIN CSL_CITATION {"citationItems":[{"id":"ITEM-1","itemData":{"DOI":"10.3390/ijms19071955","author":[{"dropping-particle":"","family":"Basilicata","given":"Manuela Giovanna","non-dropping-particle":"","parse-names":false,"suffix":""},{"dropping-particle":"","family":"Pepe","given":"Giacomo","non-dropping-particle":"","parse-names":false,"suffix":""},{"dropping-particle":"","family":"Adesso","given":"Simona","non-dropping-particle":"","parse-names":false,"suffix":""},{"dropping-particle":"","family":"Ostacolo","given":"Carmine","non-dropping-particle":"","parse-names":false,"suffix":""},{"dropping-particle":"","family":"Id","given":"Marina Sala","non-dropping-particle":"","parse-names":false,"suffix":""},{"dropping-particle":"","family":"Sommella","given":"Eduardo","non-dropping-particle":"","parse-names":false,"suffix":""},{"dropping-particle":"","family":"Scala","given":"Maria Carmina","non-dropping-particle":"","parse-names":false,"suffix":""},{"dropping-particle":"","family":"Messore","given":"Antonella","non-dropping-particle":"","parse-names":false,"suffix":""},{"dropping-particle":"","family":"Autore","given":"Giuseppina","non-dropping-particle":"","parse-names":false,"suffix":""},{"dropping-particle":"","family":"Marzocco","given":"Stefania","non-dropping-particle":"","parse-names":false,"suffix":""},{"dropping-particle":"","family":"Campiglia","given":"Pietro","non-dropping-particle":"","parse-names":false,"suffix":""}],"id":"ITEM-1","issued":{"date-parts":[["2018"]]},"title":"Antioxidant Properties of Buffalo-Milk Dairy Products : A β -Lg Peptide Released after Gastrointestinal Digestion of Buffalo Ricotta Cheese Reduces Oxidative Stress in Intestinal Epithelial Cells","type":"article-journal","volume":"1"},"uris":["http://www.mendeley.com/documents/?uuid=3538140f-dcf8-4780-b287-10e0e3718b6b"]}],"mendeley":{"formattedCitation":"(Basilicata et al., 2018)","plainTextFormattedCitation":"(Basilicata et al., 2018)","previouslyFormattedCitation":"(Basilicata et al., 2018)"},"properties":{"noteIndex":0},"schema":"https://github.com/citation-style-language/schema/raw/master/csl-citation.json"}</w:instrText>
      </w:r>
      <w:r w:rsidR="00403836" w:rsidRPr="00590CAB">
        <w:rPr>
          <w:i/>
          <w:iCs/>
        </w:rPr>
        <w:fldChar w:fldCharType="separate"/>
      </w:r>
      <w:r w:rsidR="00403836" w:rsidRPr="00590CAB">
        <w:rPr>
          <w:iCs/>
          <w:noProof/>
        </w:rPr>
        <w:t>(Basilicata et al., 2018)</w:t>
      </w:r>
      <w:r w:rsidR="00403836" w:rsidRPr="00590CAB">
        <w:rPr>
          <w:i/>
          <w:iCs/>
        </w:rPr>
        <w:fldChar w:fldCharType="end"/>
      </w:r>
      <w:r w:rsidR="00403836">
        <w:rPr>
          <w:i/>
          <w:iCs/>
        </w:rPr>
        <w:t>.</w:t>
      </w:r>
    </w:p>
    <w:p w14:paraId="360ED8F8" w14:textId="5ABAD242" w:rsidR="00714974" w:rsidRPr="00590CAB" w:rsidRDefault="00740E49" w:rsidP="00714974">
      <w:pPr>
        <w:tabs>
          <w:tab w:val="left" w:pos="1605"/>
        </w:tabs>
        <w:spacing w:line="360" w:lineRule="auto"/>
        <w:jc w:val="center"/>
        <w:rPr>
          <w:noProof/>
          <w:lang w:val="en-US"/>
        </w:rPr>
      </w:pPr>
      <w:r w:rsidRPr="00E84C03">
        <w:rPr>
          <w:noProof/>
          <w:lang w:val="it-IT"/>
        </w:rPr>
        <w:drawing>
          <wp:inline distT="0" distB="0" distL="0" distR="0" wp14:anchorId="559923D8" wp14:editId="050E3547">
            <wp:extent cx="3672915" cy="2520563"/>
            <wp:effectExtent l="0" t="0" r="381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igure 2 new"/>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r="-17" b="10307"/>
                    <a:stretch/>
                  </pic:blipFill>
                  <pic:spPr bwMode="auto">
                    <a:xfrm>
                      <a:off x="0" y="0"/>
                      <a:ext cx="3683540" cy="2527855"/>
                    </a:xfrm>
                    <a:prstGeom prst="rect">
                      <a:avLst/>
                    </a:prstGeom>
                    <a:noFill/>
                    <a:ln>
                      <a:noFill/>
                    </a:ln>
                    <a:extLst>
                      <a:ext uri="{53640926-AAD7-44D8-BBD7-CCE9431645EC}">
                        <a14:shadowObscured xmlns:a14="http://schemas.microsoft.com/office/drawing/2010/main"/>
                      </a:ext>
                    </a:extLst>
                  </pic:spPr>
                </pic:pic>
              </a:graphicData>
            </a:graphic>
          </wp:inline>
        </w:drawing>
      </w:r>
    </w:p>
    <w:p w14:paraId="72A67C3B" w14:textId="4D50D979" w:rsidR="00714974" w:rsidRDefault="00714974" w:rsidP="00714974">
      <w:pPr>
        <w:pStyle w:val="Didascalia"/>
      </w:pPr>
      <w:bookmarkStart w:id="15" w:name="_Ref78290264"/>
      <w:r>
        <w:t xml:space="preserve">Figure </w:t>
      </w:r>
      <w:r>
        <w:fldChar w:fldCharType="begin"/>
      </w:r>
      <w:r>
        <w:instrText xml:space="preserve"> SEQ Figure \* ARABIC </w:instrText>
      </w:r>
      <w:r>
        <w:fldChar w:fldCharType="separate"/>
      </w:r>
      <w:r w:rsidR="008D2EFC">
        <w:rPr>
          <w:noProof/>
        </w:rPr>
        <w:t>3</w:t>
      </w:r>
      <w:r>
        <w:fldChar w:fldCharType="end"/>
      </w:r>
      <w:bookmarkEnd w:id="15"/>
      <w:r w:rsidRPr="00C64B9E">
        <w:t xml:space="preserve"> –</w:t>
      </w:r>
      <w:r>
        <w:t xml:space="preserve"> Climate change results for the three farms investigated in this study, compared to literature estimates for cow and buffalo milk. </w:t>
      </w:r>
    </w:p>
    <w:p w14:paraId="77F8D0FA" w14:textId="67485F5C" w:rsidR="00893CFF" w:rsidRDefault="00D859E5" w:rsidP="00893CFF">
      <w:pPr>
        <w:spacing w:line="360" w:lineRule="auto"/>
        <w:ind w:firstLine="0"/>
      </w:pPr>
      <w:r>
        <w:t xml:space="preserve">The </w:t>
      </w:r>
      <w:r w:rsidR="00893CFF">
        <w:t>results show that</w:t>
      </w:r>
      <w:r w:rsidR="00C82576">
        <w:t>,</w:t>
      </w:r>
      <w:r w:rsidR="00893CFF">
        <w:t xml:space="preserve"> </w:t>
      </w:r>
      <w:r w:rsidR="00714974">
        <w:t xml:space="preserve">at </w:t>
      </w:r>
      <w:r w:rsidR="00876E4D">
        <w:t>1</w:t>
      </w:r>
      <w:r w:rsidR="000971E9">
        <w:t>.</w:t>
      </w:r>
      <w:r w:rsidR="00876E4D">
        <w:t xml:space="preserve">5 </w:t>
      </w:r>
      <w:r w:rsidR="00174B8B">
        <w:t xml:space="preserve">kg </w:t>
      </w:r>
      <w:r w:rsidR="00174B8B" w:rsidRPr="00174B8B">
        <w:t>CO</w:t>
      </w:r>
      <w:r w:rsidR="00174B8B" w:rsidRPr="00832EB9">
        <w:rPr>
          <w:vertAlign w:val="subscript"/>
        </w:rPr>
        <w:t>2</w:t>
      </w:r>
      <w:r w:rsidR="00174B8B">
        <w:t>-eq.</w:t>
      </w:r>
      <w:r w:rsidR="00C82576">
        <w:t xml:space="preserve">, </w:t>
      </w:r>
      <w:r w:rsidR="00AD4D05">
        <w:t>Farm B</w:t>
      </w:r>
      <w:r w:rsidR="00714974">
        <w:t xml:space="preserve"> features the lowest carbon footprint among the farms investigated, compared to </w:t>
      </w:r>
      <w:r w:rsidR="00876E4D">
        <w:t>2</w:t>
      </w:r>
      <w:r w:rsidR="000971E9">
        <w:t>.</w:t>
      </w:r>
      <w:r w:rsidR="00876E4D">
        <w:t xml:space="preserve">3 </w:t>
      </w:r>
      <w:r w:rsidR="00714974">
        <w:t xml:space="preserve">and </w:t>
      </w:r>
      <w:r w:rsidR="00876E4D">
        <w:t>2</w:t>
      </w:r>
      <w:r w:rsidR="000971E9">
        <w:t>.</w:t>
      </w:r>
      <w:r w:rsidR="00876E4D">
        <w:t>5</w:t>
      </w:r>
      <w:r w:rsidR="00C82576">
        <w:t xml:space="preserve"> kg </w:t>
      </w:r>
      <w:r w:rsidR="00C82576" w:rsidRPr="00174B8B">
        <w:t>CO</w:t>
      </w:r>
      <w:r w:rsidR="00C82576" w:rsidRPr="00832EB9">
        <w:rPr>
          <w:vertAlign w:val="subscript"/>
        </w:rPr>
        <w:t>2</w:t>
      </w:r>
      <w:r w:rsidR="00C82576">
        <w:t>-eq.</w:t>
      </w:r>
      <w:r w:rsidR="00876E4D">
        <w:t xml:space="preserve"> </w:t>
      </w:r>
      <w:r w:rsidR="00714974">
        <w:t xml:space="preserve">for </w:t>
      </w:r>
      <w:r w:rsidR="0095782A">
        <w:t xml:space="preserve">Farm </w:t>
      </w:r>
      <w:r w:rsidR="00F80D39">
        <w:t xml:space="preserve">A </w:t>
      </w:r>
      <w:r w:rsidR="00714974">
        <w:t xml:space="preserve">and </w:t>
      </w:r>
      <w:r w:rsidR="00FF7280">
        <w:t xml:space="preserve">Farm </w:t>
      </w:r>
      <w:r w:rsidR="00F80D39">
        <w:t>C</w:t>
      </w:r>
      <w:r w:rsidR="0095782A">
        <w:t xml:space="preserve">, </w:t>
      </w:r>
      <w:r w:rsidR="00E3016E">
        <w:t>respectively</w:t>
      </w:r>
      <w:r w:rsidR="00714974">
        <w:t xml:space="preserve">. The </w:t>
      </w:r>
      <w:r w:rsidR="00C82576">
        <w:t>carbon</w:t>
      </w:r>
      <w:r w:rsidR="00714974">
        <w:t xml:space="preserve"> performance of </w:t>
      </w:r>
      <w:r w:rsidR="00FF7280">
        <w:t>F</w:t>
      </w:r>
      <w:r w:rsidR="00714974">
        <w:t xml:space="preserve">arm </w:t>
      </w:r>
      <w:r w:rsidR="0095782A">
        <w:t xml:space="preserve">B </w:t>
      </w:r>
      <w:r w:rsidR="00714974">
        <w:t>is mainly due to high</w:t>
      </w:r>
      <w:r w:rsidR="00C82576">
        <w:t>er</w:t>
      </w:r>
      <w:r w:rsidR="00714974">
        <w:t xml:space="preserve"> milk productivity and </w:t>
      </w:r>
      <w:r w:rsidR="00C82576">
        <w:t>higher</w:t>
      </w:r>
      <w:r w:rsidR="00714974">
        <w:t xml:space="preserve"> electricity surp</w:t>
      </w:r>
      <w:r w:rsidR="00174B8B">
        <w:t>l</w:t>
      </w:r>
      <w:r w:rsidR="00714974">
        <w:t xml:space="preserve">us </w:t>
      </w:r>
      <w:r w:rsidR="00267E50">
        <w:t>(</w:t>
      </w:r>
      <w:r w:rsidR="00714974">
        <w:t xml:space="preserve">and </w:t>
      </w:r>
      <w:r w:rsidR="00267E50">
        <w:t xml:space="preserve">thus </w:t>
      </w:r>
      <w:r w:rsidR="00714974">
        <w:t>avoided environmental impacts</w:t>
      </w:r>
      <w:r w:rsidR="00267E50">
        <w:t>)</w:t>
      </w:r>
      <w:r w:rsidR="00714974">
        <w:t xml:space="preserve"> compared to the other two farms</w:t>
      </w:r>
      <w:r w:rsidR="005945A8">
        <w:t xml:space="preserve"> </w:t>
      </w:r>
      <w:r w:rsidR="00267E50">
        <w:t xml:space="preserve">(see </w:t>
      </w:r>
      <w:r w:rsidR="00267E50">
        <w:fldChar w:fldCharType="begin"/>
      </w:r>
      <w:r w:rsidR="00267E50">
        <w:instrText xml:space="preserve"> REF _Ref78274130 \h </w:instrText>
      </w:r>
      <w:r w:rsidR="00267E50">
        <w:fldChar w:fldCharType="separate"/>
      </w:r>
      <w:r w:rsidR="008D2EFC">
        <w:t xml:space="preserve">Table </w:t>
      </w:r>
      <w:r w:rsidR="008D2EFC">
        <w:rPr>
          <w:noProof/>
        </w:rPr>
        <w:t>1</w:t>
      </w:r>
      <w:r w:rsidR="00267E50">
        <w:fldChar w:fldCharType="end"/>
      </w:r>
      <w:r w:rsidR="00267E50">
        <w:t>).</w:t>
      </w:r>
      <w:r w:rsidR="00130635">
        <w:t xml:space="preserve"> </w:t>
      </w:r>
      <w:bookmarkStart w:id="16" w:name="_Hlk100935131"/>
      <w:r w:rsidR="00130635">
        <w:t xml:space="preserve">The other allocation approaches reported in Section </w:t>
      </w:r>
      <w:r w:rsidR="00130635">
        <w:fldChar w:fldCharType="begin"/>
      </w:r>
      <w:r w:rsidR="00130635">
        <w:instrText xml:space="preserve"> REF _Ref78291153 \r \h </w:instrText>
      </w:r>
      <w:r w:rsidR="00130635">
        <w:fldChar w:fldCharType="separate"/>
      </w:r>
      <w:r w:rsidR="008D2EFC">
        <w:t>3.1</w:t>
      </w:r>
      <w:r w:rsidR="00130635">
        <w:fldChar w:fldCharType="end"/>
      </w:r>
      <w:r w:rsidR="00130635">
        <w:t xml:space="preserve"> generate similar </w:t>
      </w:r>
      <w:proofErr w:type="gramStart"/>
      <w:r w:rsidR="00130635">
        <w:t>results(</w:t>
      </w:r>
      <w:proofErr w:type="gramEnd"/>
      <w:r w:rsidR="00130635">
        <w:t xml:space="preserve">see Table S4 of supplementary Material), suggesting that </w:t>
      </w:r>
      <w:r w:rsidR="009E0F46">
        <w:t>Farm B</w:t>
      </w:r>
      <w:r w:rsidR="00130635">
        <w:t xml:space="preserve"> generates </w:t>
      </w:r>
      <w:r w:rsidR="009E0F46">
        <w:t xml:space="preserve">the smallest carbon </w:t>
      </w:r>
      <w:r w:rsidR="00130635">
        <w:t>emissions independently of the allocation approach used.</w:t>
      </w:r>
      <w:bookmarkEnd w:id="16"/>
    </w:p>
    <w:p w14:paraId="051E3D61" w14:textId="4DBEA624" w:rsidR="00136680" w:rsidRDefault="00C30425" w:rsidP="00C30425">
      <w:pPr>
        <w:spacing w:line="360" w:lineRule="auto"/>
        <w:ind w:firstLine="0"/>
      </w:pPr>
      <w:r>
        <w:t>T</w:t>
      </w:r>
      <w:r w:rsidR="00143756">
        <w:t xml:space="preserve">he comparison with literature data </w:t>
      </w:r>
      <w:r w:rsidR="00267E50">
        <w:t>shows</w:t>
      </w:r>
      <w:r w:rsidR="00143756">
        <w:t xml:space="preserve"> that our results </w:t>
      </w:r>
      <w:r w:rsidR="006A60C0">
        <w:t>are</w:t>
      </w:r>
      <w:r w:rsidR="00714974">
        <w:t xml:space="preserve"> comparable</w:t>
      </w:r>
      <w:r w:rsidR="00267E50">
        <w:t xml:space="preserve"> with</w:t>
      </w:r>
      <w:r w:rsidR="00714974">
        <w:t xml:space="preserve">, but </w:t>
      </w:r>
      <w:r w:rsidR="006A60C0">
        <w:t xml:space="preserve">in the </w:t>
      </w:r>
      <w:r w:rsidR="00714974">
        <w:t>lower range (1-25</w:t>
      </w:r>
      <w:r w:rsidR="00714974" w:rsidRPr="00832EB9">
        <w:rPr>
          <w:vertAlign w:val="superscript"/>
        </w:rPr>
        <w:t>th</w:t>
      </w:r>
      <w:r w:rsidR="00714974">
        <w:t xml:space="preserve"> percentile)</w:t>
      </w:r>
      <w:r w:rsidR="00267E50">
        <w:t xml:space="preserve"> of</w:t>
      </w:r>
      <w:r w:rsidR="00714974">
        <w:t xml:space="preserve"> the literature estimates for buffalo milk. The chart also </w:t>
      </w:r>
      <w:r w:rsidR="00267E50">
        <w:t xml:space="preserve">indicates </w:t>
      </w:r>
      <w:r w:rsidR="00714974">
        <w:t xml:space="preserve">that the carbon emissions associated with cow milk production are substantially lower than those </w:t>
      </w:r>
      <w:r w:rsidR="005B5F14">
        <w:t xml:space="preserve">reported </w:t>
      </w:r>
      <w:r w:rsidR="00714974">
        <w:t xml:space="preserve">for buffalo milk, varying from </w:t>
      </w:r>
      <w:r w:rsidR="003959D0">
        <w:t xml:space="preserve">0.58 </w:t>
      </w:r>
      <w:r w:rsidR="00714974">
        <w:t xml:space="preserve">to </w:t>
      </w:r>
      <w:r w:rsidR="003959D0">
        <w:t>1.68</w:t>
      </w:r>
      <w:r w:rsidR="00267E50" w:rsidRPr="00267E50">
        <w:t xml:space="preserve"> </w:t>
      </w:r>
      <w:r w:rsidR="00267E50">
        <w:t xml:space="preserve">kg </w:t>
      </w:r>
      <w:r w:rsidR="00267E50" w:rsidRPr="00174B8B">
        <w:t>CO</w:t>
      </w:r>
      <w:r w:rsidR="00267E50" w:rsidRPr="00832EB9">
        <w:rPr>
          <w:vertAlign w:val="subscript"/>
        </w:rPr>
        <w:t>2</w:t>
      </w:r>
      <w:r w:rsidR="00267E50">
        <w:t>-eq</w:t>
      </w:r>
      <w:r w:rsidR="00714974">
        <w:t>.</w:t>
      </w:r>
      <w:r w:rsidR="005945A8">
        <w:t xml:space="preserve"> This is </w:t>
      </w:r>
      <w:r w:rsidR="003959D0">
        <w:t>mainly due to</w:t>
      </w:r>
      <w:r w:rsidR="00267E50">
        <w:t xml:space="preserve"> the </w:t>
      </w:r>
      <w:r w:rsidR="00267E50">
        <w:lastRenderedPageBreak/>
        <w:t xml:space="preserve">fact that cows yield higher milk productivity </w:t>
      </w:r>
      <w:r w:rsidR="00C97385">
        <w:t xml:space="preserve">than </w:t>
      </w:r>
      <w:r w:rsidR="00267E50">
        <w:t>buffalo</w:t>
      </w:r>
      <w:r w:rsidR="00C97385">
        <w:t>e</w:t>
      </w:r>
      <w:r w:rsidR="00267E50">
        <w:t xml:space="preserve">s </w:t>
      </w:r>
      <w:r w:rsidR="00C97385">
        <w:t>(34.05 vs. 8.78 kg/day on average in Italian Holstein and Mediterranean buffalo, respectively</w:t>
      </w:r>
      <w:r w:rsidR="00161C15">
        <w:rPr>
          <w:rStyle w:val="Rimandonotaapidipagina"/>
        </w:rPr>
        <w:footnoteReference w:id="6"/>
      </w:r>
      <w:r w:rsidR="00C97385">
        <w:t>)</w:t>
      </w:r>
      <w:r w:rsidR="003959D0">
        <w:t>.</w:t>
      </w:r>
      <w:r w:rsidR="00714974">
        <w:t xml:space="preserve"> </w:t>
      </w:r>
      <w:r w:rsidR="00267E50">
        <w:t xml:space="preserve">We note that the carbon footprint of </w:t>
      </w:r>
      <w:r w:rsidR="008E6EA6">
        <w:t>Farm B</w:t>
      </w:r>
      <w:r w:rsidR="00267E50">
        <w:t xml:space="preserve"> is included in the upper quartile for cow milk.</w:t>
      </w:r>
      <w:r w:rsidR="00130635">
        <w:t xml:space="preserve"> </w:t>
      </w:r>
      <w:bookmarkStart w:id="17" w:name="_Hlk100935213"/>
      <w:r w:rsidR="00130635">
        <w:t xml:space="preserve">When other allocation approaches are used, the farms’ carbon emissions </w:t>
      </w:r>
      <w:r w:rsidR="00136680">
        <w:t>are</w:t>
      </w:r>
      <w:r w:rsidR="007A6C3A">
        <w:t xml:space="preserve"> higher (from 32 to 540%) than that of cow milk. </w:t>
      </w:r>
      <w:bookmarkEnd w:id="17"/>
    </w:p>
    <w:p w14:paraId="717B942D" w14:textId="4447B44D" w:rsidR="00A80C4E" w:rsidRDefault="00714974" w:rsidP="00833FFB">
      <w:pPr>
        <w:spacing w:line="360" w:lineRule="auto"/>
        <w:ind w:firstLine="0"/>
      </w:pPr>
      <w:r>
        <w:t xml:space="preserve">The comparison with the literature must be done with caution, for two reasons. First, as noted </w:t>
      </w:r>
      <w:r w:rsidR="005945A8">
        <w:t xml:space="preserve">in Section </w:t>
      </w:r>
      <w:r w:rsidR="005945A8">
        <w:fldChar w:fldCharType="begin"/>
      </w:r>
      <w:r w:rsidR="005945A8">
        <w:instrText xml:space="preserve"> REF _Ref78291153 \r \h </w:instrText>
      </w:r>
      <w:r w:rsidR="005945A8">
        <w:fldChar w:fldCharType="separate"/>
      </w:r>
      <w:r w:rsidR="008D2EFC">
        <w:t>3.1</w:t>
      </w:r>
      <w:r w:rsidR="005945A8">
        <w:fldChar w:fldCharType="end"/>
      </w:r>
      <w:r>
        <w:t xml:space="preserve">, </w:t>
      </w:r>
      <w:r w:rsidR="005945A8">
        <w:t>LCA results</w:t>
      </w:r>
      <w:r>
        <w:t xml:space="preserve"> </w:t>
      </w:r>
      <w:r w:rsidR="00EB22D8">
        <w:t>on milk production are significantly dependent on the allocation method</w:t>
      </w:r>
      <w:r w:rsidR="00FF7280">
        <w:t>; and</w:t>
      </w:r>
      <w:r w:rsidR="00BA60CB">
        <w:t xml:space="preserve"> </w:t>
      </w:r>
      <w:r w:rsidR="005945A8">
        <w:t>w</w:t>
      </w:r>
      <w:r w:rsidR="00EB22D8">
        <w:t xml:space="preserve">e could not discern which results were obtained </w:t>
      </w:r>
      <w:r w:rsidR="005945A8">
        <w:t xml:space="preserve">for </w:t>
      </w:r>
      <w:r w:rsidR="00EB22D8">
        <w:t xml:space="preserve">a specific </w:t>
      </w:r>
      <w:r w:rsidR="005945A8">
        <w:t xml:space="preserve">allocation </w:t>
      </w:r>
      <w:r w:rsidR="00EB22D8">
        <w:t xml:space="preserve">method. Second, </w:t>
      </w:r>
      <w:r w:rsidR="005945A8">
        <w:t xml:space="preserve">climate change </w:t>
      </w:r>
      <w:r w:rsidR="00EB22D8">
        <w:t>results are also dependent on global warming potential</w:t>
      </w:r>
      <w:r w:rsidR="005945A8">
        <w:t xml:space="preserve"> (GWP) factors</w:t>
      </w:r>
      <w:r w:rsidR="00EB22D8">
        <w:t xml:space="preserve">, which are updated </w:t>
      </w:r>
      <w:r w:rsidR="00FF7280">
        <w:t xml:space="preserve">approximately </w:t>
      </w:r>
      <w:r w:rsidR="005C6E3A">
        <w:t>every seven</w:t>
      </w:r>
      <w:r w:rsidR="00EB22D8">
        <w:t xml:space="preserve"> years by the Intergov</w:t>
      </w:r>
      <w:r w:rsidR="00F2122B">
        <w:t>ernmental Panel Climate Change</w:t>
      </w:r>
      <w:r w:rsidR="00EB22D8">
        <w:t>. Older studies may underestimate climate change im</w:t>
      </w:r>
      <w:r w:rsidR="005945A8">
        <w:t>pacts</w:t>
      </w:r>
      <w:r w:rsidR="00EB22D8">
        <w:t xml:space="preserve"> </w:t>
      </w:r>
      <w:r w:rsidR="005945A8">
        <w:t xml:space="preserve">because the GWP </w:t>
      </w:r>
      <w:r w:rsidR="00EB22D8">
        <w:t xml:space="preserve">of relevant greenhouse gases </w:t>
      </w:r>
      <w:r w:rsidR="005945A8">
        <w:t>have been repeatedly revised upwards as new scientific evidence on climate change was developed;</w:t>
      </w:r>
      <w:r w:rsidR="00EB22D8">
        <w:t xml:space="preserve"> for example</w:t>
      </w:r>
      <w:r w:rsidR="005945A8">
        <w:t>,</w:t>
      </w:r>
      <w:r w:rsidR="00EB22D8">
        <w:t xml:space="preserve"> the GWP for methane increase</w:t>
      </w:r>
      <w:r w:rsidR="005945A8">
        <w:t>d</w:t>
      </w:r>
      <w:r w:rsidR="00EB22D8">
        <w:t xml:space="preserve"> from 2</w:t>
      </w:r>
      <w:r w:rsidR="008D3CF9">
        <w:t>1</w:t>
      </w:r>
      <w:r w:rsidR="00EB22D8">
        <w:t xml:space="preserve"> to 28 kg CO</w:t>
      </w:r>
      <w:r w:rsidR="00EB22D8" w:rsidRPr="00326E32">
        <w:rPr>
          <w:vertAlign w:val="subscript"/>
        </w:rPr>
        <w:t>2</w:t>
      </w:r>
      <w:r w:rsidR="005C6E3A">
        <w:t>-</w:t>
      </w:r>
      <w:r w:rsidR="00EB22D8">
        <w:t>eq.</w:t>
      </w:r>
      <w:r w:rsidR="005C6E3A">
        <w:t>/kg CH</w:t>
      </w:r>
      <w:r w:rsidR="005C6E3A" w:rsidRPr="00A060AF">
        <w:rPr>
          <w:vertAlign w:val="subscript"/>
        </w:rPr>
        <w:t>4</w:t>
      </w:r>
      <w:r w:rsidR="00EB22D8">
        <w:t xml:space="preserve"> </w:t>
      </w:r>
      <w:r w:rsidR="005C6E3A">
        <w:t>from the third</w:t>
      </w:r>
      <w:r w:rsidR="00D859E5">
        <w:t xml:space="preserve"> </w:t>
      </w:r>
      <w:r w:rsidR="00D859E5">
        <w:fldChar w:fldCharType="begin" w:fldLock="1"/>
      </w:r>
      <w:r w:rsidR="00D859E5">
        <w:instrText>ADDIN CSL_CITATION {"citationItems":[{"id":"ITEM-1","itemData":{"author":[{"dropping-particle":"","family":"IPCC","given":"","non-dropping-particle":"","parse-names":false,"suffix":""}],"id":"ITEM-1","issued":{"date-parts":[["1995"]]},"title":"IPCC Second Assessment Climate Change 1995","type":"article-journal"},"uris":["http://www.mendeley.com/documents/?uuid=719c5e0c-2592-4361-841f-d3837e99a271"]}],"mendeley":{"formattedCitation":"(IPCC, 1995)","plainTextFormattedCitation":"(IPCC, 1995)","previouslyFormattedCitation":"(IPCC, 1995)"},"properties":{"noteIndex":0},"schema":"https://github.com/citation-style-language/schema/raw/master/csl-citation.json"}</w:instrText>
      </w:r>
      <w:r w:rsidR="00D859E5">
        <w:fldChar w:fldCharType="separate"/>
      </w:r>
      <w:r w:rsidR="00D859E5" w:rsidRPr="00D859E5">
        <w:rPr>
          <w:noProof/>
        </w:rPr>
        <w:t>(IPCC, 1995)</w:t>
      </w:r>
      <w:r w:rsidR="00D859E5">
        <w:fldChar w:fldCharType="end"/>
      </w:r>
      <w:r w:rsidR="005C6E3A">
        <w:t xml:space="preserve"> to the fifth assessment reports of the IPCC</w:t>
      </w:r>
      <w:r w:rsidR="00F2122B">
        <w:t xml:space="preserve"> </w:t>
      </w:r>
      <w:r w:rsidR="008D3CF9">
        <w:fldChar w:fldCharType="begin" w:fldLock="1"/>
      </w:r>
      <w:r w:rsidR="00AC0AE4">
        <w:instrText>ADDIN CSL_CITATION {"citationItems":[{"id":"ITEM-1","itemData":{"ISBN":"9789291691432","author":[{"dropping-particle":"","family":"IPCC","given":"","non-dropping-particle":"","parse-names":false,"suffix":""}],"id":"ITEM-1","issued":{"date-parts":[["2014"]]},"number-of-pages":"151","publisher-place":"Geneva, Switzerland","title":"Climate Change 2014: Synthesis Report. Contribution of Working Groups I, II and III to the Fifth Assessment Report of the Intergovernmental Panel on Climate Change [Core Writing Team, R.K. Pachauri and L.A. Meyer (eds.)]","type":"report"},"uris":["http://www.mendeley.com/documents/?uuid=b282b5f4-43b1-4e49-9d13-416fb1f383c8"]}],"mendeley":{"formattedCitation":"(IPCC, 2014)","plainTextFormattedCitation":"(IPCC, 2014)","previouslyFormattedCitation":"(IPCC, 2014)"},"properties":{"noteIndex":0},"schema":"https://github.com/citation-style-language/schema/raw/master/csl-citation.json"}</w:instrText>
      </w:r>
      <w:r w:rsidR="008D3CF9">
        <w:fldChar w:fldCharType="separate"/>
      </w:r>
      <w:r w:rsidR="00D859E5" w:rsidRPr="00D859E5">
        <w:rPr>
          <w:noProof/>
        </w:rPr>
        <w:t>(IPCC, 2014)</w:t>
      </w:r>
      <w:r w:rsidR="008D3CF9">
        <w:fldChar w:fldCharType="end"/>
      </w:r>
      <w:r w:rsidR="00EB22D8">
        <w:t>.</w:t>
      </w:r>
      <w:r w:rsidR="00833FFB" w:rsidRPr="00833FFB">
        <w:t xml:space="preserve"> </w:t>
      </w:r>
    </w:p>
    <w:p w14:paraId="0A8FB6F3" w14:textId="524FC2F4" w:rsidR="0024095E" w:rsidRDefault="00C0622A" w:rsidP="00F45D08">
      <w:pPr>
        <w:spacing w:line="360" w:lineRule="auto"/>
        <w:ind w:firstLine="0"/>
      </w:pPr>
      <w:r>
        <w:fldChar w:fldCharType="begin"/>
      </w:r>
      <w:r>
        <w:instrText xml:space="preserve"> REF _Ref74127534 \h </w:instrText>
      </w:r>
      <w:r>
        <w:fldChar w:fldCharType="separate"/>
      </w:r>
      <w:r w:rsidR="008D2EFC">
        <w:t xml:space="preserve">Figure </w:t>
      </w:r>
      <w:r w:rsidR="008D2EFC">
        <w:rPr>
          <w:noProof/>
        </w:rPr>
        <w:t>4</w:t>
      </w:r>
      <w:r>
        <w:fldChar w:fldCharType="end"/>
      </w:r>
      <w:r w:rsidR="009B3E7A">
        <w:t xml:space="preserve"> </w:t>
      </w:r>
      <w:r w:rsidR="006F1458">
        <w:t xml:space="preserve"> </w:t>
      </w:r>
      <w:r w:rsidR="00366FE7">
        <w:t>examine</w:t>
      </w:r>
      <w:r w:rsidR="00D859E5">
        <w:t>s</w:t>
      </w:r>
      <w:r w:rsidR="00366FE7">
        <w:t xml:space="preserve"> </w:t>
      </w:r>
      <w:r w:rsidR="00D46144">
        <w:t xml:space="preserve">in detail </w:t>
      </w:r>
      <w:r w:rsidR="006E5FD7">
        <w:t>the sources of climate change impact</w:t>
      </w:r>
      <w:r w:rsidR="005C6E3A">
        <w:t>s</w:t>
      </w:r>
      <w:r w:rsidR="006E5FD7">
        <w:t xml:space="preserve">. The chart </w:t>
      </w:r>
      <w:r w:rsidR="006F1458">
        <w:t>report</w:t>
      </w:r>
      <w:r w:rsidR="006E5FD7">
        <w:t>s</w:t>
      </w:r>
      <w:r w:rsidR="006F1458">
        <w:t xml:space="preserve"> hot-spot analysis for </w:t>
      </w:r>
      <w:r w:rsidR="00857418">
        <w:t>F</w:t>
      </w:r>
      <w:r w:rsidR="00BE114B">
        <w:t>arm B</w:t>
      </w:r>
      <w:r w:rsidR="006F1458">
        <w:t xml:space="preserve"> in the form of Sankey diagram</w:t>
      </w:r>
      <w:r w:rsidR="00366FE7">
        <w:t>;</w:t>
      </w:r>
      <w:r w:rsidR="006F1458">
        <w:t xml:space="preserve"> those for </w:t>
      </w:r>
      <w:r w:rsidR="00857418">
        <w:t>F</w:t>
      </w:r>
      <w:r w:rsidR="00BE114B">
        <w:t xml:space="preserve">arm </w:t>
      </w:r>
      <w:r w:rsidR="00E24D8C">
        <w:t xml:space="preserve">A </w:t>
      </w:r>
      <w:r w:rsidR="006F1458" w:rsidRPr="001127C7">
        <w:t xml:space="preserve">and </w:t>
      </w:r>
      <w:r w:rsidR="00857418">
        <w:t>Farm</w:t>
      </w:r>
      <w:r w:rsidR="00E24D8C">
        <w:t xml:space="preserve"> C </w:t>
      </w:r>
      <w:r w:rsidR="006F1458">
        <w:t>are reported in Figure S</w:t>
      </w:r>
      <w:r w:rsidR="001338E4">
        <w:t>3</w:t>
      </w:r>
      <w:r w:rsidR="005C6E3A">
        <w:t xml:space="preserve"> and S4.</w:t>
      </w:r>
      <w:r w:rsidR="006E5FD7">
        <w:t xml:space="preserve"> </w:t>
      </w:r>
      <w:r w:rsidR="00366FE7">
        <w:t>Carbon emissions from e</w:t>
      </w:r>
      <w:r w:rsidR="0024095E">
        <w:t xml:space="preserve">nteric fermentation contribute to nearly half (45%) of </w:t>
      </w:r>
      <w:r w:rsidR="00366FE7">
        <w:t>overall climate change impacts</w:t>
      </w:r>
      <w:r w:rsidR="006E5FD7">
        <w:t xml:space="preserve">; other significant </w:t>
      </w:r>
      <w:r w:rsidR="0024095E">
        <w:t>contributors include machine operatio</w:t>
      </w:r>
      <w:r w:rsidR="000C6746">
        <w:t>n (</w:t>
      </w:r>
      <w:proofErr w:type="gramStart"/>
      <w:r w:rsidR="000C6746">
        <w:t>i.e.</w:t>
      </w:r>
      <w:proofErr w:type="gramEnd"/>
      <w:r w:rsidR="000C6746">
        <w:t xml:space="preserve"> production, transportation and consumption of fuels - 1</w:t>
      </w:r>
      <w:r w:rsidR="0024095E">
        <w:t xml:space="preserve">9%), purchased feeds (13%) and fugitive </w:t>
      </w:r>
      <w:r w:rsidR="006E5FD7">
        <w:t>emissions</w:t>
      </w:r>
      <w:r w:rsidR="0024095E">
        <w:t xml:space="preserve"> from the bio-digeste</w:t>
      </w:r>
      <w:r w:rsidR="006E5FD7">
        <w:t>r</w:t>
      </w:r>
      <w:r w:rsidR="0024095E">
        <w:t xml:space="preserve"> (11%). The remaining sources</w:t>
      </w:r>
      <w:r w:rsidR="006E5FD7">
        <w:t xml:space="preserve"> of </w:t>
      </w:r>
      <w:r w:rsidR="00366FE7">
        <w:t>climate impacts</w:t>
      </w:r>
      <w:r w:rsidR="0024095E">
        <w:t xml:space="preserve"> have combined contributions </w:t>
      </w:r>
      <w:r w:rsidR="006E5FD7">
        <w:t xml:space="preserve">of </w:t>
      </w:r>
      <w:r w:rsidR="0024095E">
        <w:t xml:space="preserve">around 10%, with each contributing to less than 2.5%. Enteric fermentation, machine operation and bio-digester </w:t>
      </w:r>
      <w:r w:rsidR="006E5FD7">
        <w:t>are</w:t>
      </w:r>
      <w:r w:rsidR="0024095E">
        <w:t xml:space="preserve"> the most significant sources of direct </w:t>
      </w:r>
      <w:r w:rsidR="00366FE7">
        <w:t xml:space="preserve">(i.e., on-site) </w:t>
      </w:r>
      <w:r w:rsidR="006E5FD7">
        <w:t>e</w:t>
      </w:r>
      <w:r w:rsidR="00366FE7">
        <w:t>missions</w:t>
      </w:r>
      <w:r w:rsidR="006E5FD7">
        <w:t xml:space="preserve">, which </w:t>
      </w:r>
      <w:r w:rsidR="0024095E">
        <w:t>represent over 80% of total</w:t>
      </w:r>
      <w:r w:rsidR="006E5FD7">
        <w:t xml:space="preserve">. On the other hand, </w:t>
      </w:r>
      <w:r w:rsidR="0024095E">
        <w:t xml:space="preserve">purchased feed is the </w:t>
      </w:r>
      <w:r w:rsidR="006E5FD7">
        <w:t>main</w:t>
      </w:r>
      <w:r w:rsidR="0024095E">
        <w:t xml:space="preserve"> contributor to indirect emiss</w:t>
      </w:r>
      <w:r w:rsidR="006E5FD7">
        <w:t>i</w:t>
      </w:r>
      <w:r w:rsidR="0024095E">
        <w:t>ons. Methane</w:t>
      </w:r>
      <w:r w:rsidR="006E5FD7">
        <w:t xml:space="preserve"> emissions</w:t>
      </w:r>
      <w:r w:rsidR="0024095E">
        <w:t xml:space="preserve"> </w:t>
      </w:r>
      <w:r w:rsidR="006E5FD7">
        <w:t>generate</w:t>
      </w:r>
      <w:r w:rsidR="0024095E">
        <w:t xml:space="preserve"> around 60% of climate change impacts, followed by CO</w:t>
      </w:r>
      <w:r w:rsidR="0024095E" w:rsidRPr="00832EB9">
        <w:rPr>
          <w:vertAlign w:val="subscript"/>
        </w:rPr>
        <w:t>2</w:t>
      </w:r>
      <w:r w:rsidR="0024095E">
        <w:t>, at 31% and N</w:t>
      </w:r>
      <w:r w:rsidR="0024095E" w:rsidRPr="00832EB9">
        <w:rPr>
          <w:sz w:val="22"/>
          <w:szCs w:val="22"/>
          <w:vertAlign w:val="subscript"/>
        </w:rPr>
        <w:t>2</w:t>
      </w:r>
      <w:r w:rsidR="006E5FD7">
        <w:t>O</w:t>
      </w:r>
      <w:r w:rsidR="0024095E">
        <w:t xml:space="preserve"> at 8</w:t>
      </w:r>
      <w:r w:rsidR="006E5FD7">
        <w:t>%</w:t>
      </w:r>
      <w:r w:rsidR="0024095E">
        <w:t>. Methane emiss</w:t>
      </w:r>
      <w:r w:rsidR="006E5FD7">
        <w:t>i</w:t>
      </w:r>
      <w:r w:rsidR="0024095E">
        <w:t xml:space="preserve">ons </w:t>
      </w:r>
      <w:r w:rsidR="00301958">
        <w:t xml:space="preserve">mainly </w:t>
      </w:r>
      <w:r w:rsidR="0024095E">
        <w:t xml:space="preserve">originate from enteric </w:t>
      </w:r>
      <w:r w:rsidR="007F34D3">
        <w:t>fermentation</w:t>
      </w:r>
      <w:r w:rsidR="0024095E">
        <w:t xml:space="preserve"> and</w:t>
      </w:r>
      <w:r w:rsidR="007F34D3">
        <w:t xml:space="preserve"> from </w:t>
      </w:r>
      <w:r w:rsidR="000F5361">
        <w:t xml:space="preserve">fugitive emissions from </w:t>
      </w:r>
      <w:r w:rsidR="0024095E">
        <w:t xml:space="preserve">bio-digester, </w:t>
      </w:r>
      <w:r w:rsidR="007F34D3">
        <w:t>w</w:t>
      </w:r>
      <w:r w:rsidR="0024095E">
        <w:t>hilst CO</w:t>
      </w:r>
      <w:r w:rsidR="0024095E" w:rsidRPr="00832EB9">
        <w:rPr>
          <w:vertAlign w:val="subscript"/>
        </w:rPr>
        <w:t>2</w:t>
      </w:r>
      <w:r w:rsidR="0024095E">
        <w:t xml:space="preserve"> </w:t>
      </w:r>
      <w:r w:rsidR="007F34D3">
        <w:t>is released by</w:t>
      </w:r>
      <w:r w:rsidR="0024095E">
        <w:t xml:space="preserve"> machine operation and</w:t>
      </w:r>
      <w:r w:rsidR="007F34D3">
        <w:t xml:space="preserve"> from the production and transportation of</w:t>
      </w:r>
      <w:r w:rsidR="0024095E">
        <w:t xml:space="preserve"> purchased feed. </w:t>
      </w:r>
      <w:r w:rsidR="0024095E">
        <w:lastRenderedPageBreak/>
        <w:t>T</w:t>
      </w:r>
      <w:r w:rsidR="007F34D3">
        <w:t>he latter</w:t>
      </w:r>
      <w:r w:rsidR="0024095E">
        <w:t xml:space="preserve"> is also responsible for</w:t>
      </w:r>
      <w:r w:rsidR="007F34D3">
        <w:t xml:space="preserve"> the majority of</w:t>
      </w:r>
      <w:r w:rsidR="0024095E">
        <w:t xml:space="preserve"> N</w:t>
      </w:r>
      <w:r w:rsidR="0024095E" w:rsidRPr="00832EB9">
        <w:rPr>
          <w:vertAlign w:val="subscript"/>
        </w:rPr>
        <w:t>2</w:t>
      </w:r>
      <w:r w:rsidR="007F34D3">
        <w:t>O</w:t>
      </w:r>
      <w:r w:rsidR="0024095E">
        <w:t xml:space="preserve"> emission</w:t>
      </w:r>
      <w:r w:rsidR="007F34D3">
        <w:t>s (the other</w:t>
      </w:r>
      <w:r w:rsidR="00366FE7">
        <w:t xml:space="preserve"> key</w:t>
      </w:r>
      <w:r w:rsidR="007F34D3">
        <w:t xml:space="preserve"> contributor being the production and application of fertilizers)</w:t>
      </w:r>
      <w:r w:rsidR="0024095E">
        <w:t xml:space="preserve">. </w:t>
      </w:r>
    </w:p>
    <w:p w14:paraId="466A4B30" w14:textId="68140D43" w:rsidR="009D53F6" w:rsidRPr="001847D7" w:rsidRDefault="00FF3B04" w:rsidP="00326E32">
      <w:pPr>
        <w:spacing w:after="160" w:line="259" w:lineRule="auto"/>
        <w:ind w:firstLine="0"/>
        <w:jc w:val="center"/>
        <w:rPr>
          <w:rFonts w:ascii="Calibri" w:hAnsi="Calibri" w:cs="Calibri"/>
          <w:color w:val="000000"/>
          <w:sz w:val="22"/>
          <w:szCs w:val="22"/>
        </w:rPr>
      </w:pPr>
      <w:r>
        <w:rPr>
          <w:rFonts w:ascii="Calibri" w:hAnsi="Calibri" w:cs="Calibri"/>
          <w:noProof/>
          <w:color w:val="000000"/>
          <w:sz w:val="22"/>
          <w:szCs w:val="22"/>
          <w:lang w:val="it-IT"/>
        </w:rPr>
        <w:drawing>
          <wp:inline distT="0" distB="0" distL="0" distR="0" wp14:anchorId="644DB29B" wp14:editId="2E5FD41B">
            <wp:extent cx="5760085" cy="28194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 4 rev.tif"/>
                    <pic:cNvPicPr/>
                  </pic:nvPicPr>
                  <pic:blipFill rotWithShape="1">
                    <a:blip r:embed="rId14" cstate="print">
                      <a:extLst>
                        <a:ext uri="{28A0092B-C50C-407E-A947-70E740481C1C}">
                          <a14:useLocalDpi xmlns:a14="http://schemas.microsoft.com/office/drawing/2010/main" val="0"/>
                        </a:ext>
                      </a:extLst>
                    </a:blip>
                    <a:srcRect t="6266" b="29766"/>
                    <a:stretch/>
                  </pic:blipFill>
                  <pic:spPr bwMode="auto">
                    <a:xfrm>
                      <a:off x="0" y="0"/>
                      <a:ext cx="5760085" cy="2819400"/>
                    </a:xfrm>
                    <a:prstGeom prst="rect">
                      <a:avLst/>
                    </a:prstGeom>
                    <a:ln>
                      <a:noFill/>
                    </a:ln>
                    <a:extLst>
                      <a:ext uri="{53640926-AAD7-44D8-BBD7-CCE9431645EC}">
                        <a14:shadowObscured xmlns:a14="http://schemas.microsoft.com/office/drawing/2010/main"/>
                      </a:ext>
                    </a:extLst>
                  </pic:spPr>
                </pic:pic>
              </a:graphicData>
            </a:graphic>
          </wp:inline>
        </w:drawing>
      </w:r>
    </w:p>
    <w:p w14:paraId="76D35224" w14:textId="4BE4120E" w:rsidR="00470D0A" w:rsidRDefault="00C0622A" w:rsidP="00A060AF">
      <w:pPr>
        <w:pStyle w:val="Didascalia"/>
        <w:jc w:val="center"/>
      </w:pPr>
      <w:bookmarkStart w:id="18" w:name="_Ref74127534"/>
      <w:r>
        <w:t xml:space="preserve">Figure </w:t>
      </w:r>
      <w:r>
        <w:rPr>
          <w:bCs w:val="0"/>
          <w:i w:val="0"/>
          <w:iCs w:val="0"/>
        </w:rPr>
        <w:fldChar w:fldCharType="begin"/>
      </w:r>
      <w:r>
        <w:instrText xml:space="preserve"> SEQ Figure \* ARABIC </w:instrText>
      </w:r>
      <w:r>
        <w:rPr>
          <w:bCs w:val="0"/>
          <w:i w:val="0"/>
          <w:iCs w:val="0"/>
        </w:rPr>
        <w:fldChar w:fldCharType="separate"/>
      </w:r>
      <w:r w:rsidR="008D2EFC">
        <w:rPr>
          <w:noProof/>
        </w:rPr>
        <w:t>4</w:t>
      </w:r>
      <w:r>
        <w:rPr>
          <w:bCs w:val="0"/>
          <w:i w:val="0"/>
          <w:iCs w:val="0"/>
        </w:rPr>
        <w:fldChar w:fldCharType="end"/>
      </w:r>
      <w:bookmarkEnd w:id="18"/>
      <w:r>
        <w:t xml:space="preserve"> </w:t>
      </w:r>
      <w:r w:rsidR="009D53F6" w:rsidRPr="001847D7">
        <w:t xml:space="preserve">– Sankey diagram of the greenhouse gas emissions and credits for </w:t>
      </w:r>
      <w:r w:rsidR="008E26C9">
        <w:t>Farm B</w:t>
      </w:r>
      <w:r w:rsidR="00366FE7">
        <w:t xml:space="preserve">. </w:t>
      </w:r>
      <w:r w:rsidR="00FD07DE">
        <w:t>PFC:</w:t>
      </w:r>
      <w:r w:rsidR="00FD6AF7" w:rsidRPr="00FD6AF7">
        <w:t xml:space="preserve"> perfluorocarbons</w:t>
      </w:r>
      <w:r w:rsidR="00FD6AF7">
        <w:t>.</w:t>
      </w:r>
      <w:r w:rsidR="00FD07DE">
        <w:t xml:space="preserve"> </w:t>
      </w:r>
    </w:p>
    <w:p w14:paraId="240329E3" w14:textId="77777777" w:rsidR="009D235D" w:rsidRDefault="009D235D" w:rsidP="00DD44AA">
      <w:pPr>
        <w:spacing w:line="360" w:lineRule="auto"/>
        <w:ind w:firstLine="0"/>
      </w:pPr>
    </w:p>
    <w:p w14:paraId="286AB837" w14:textId="0F83558F" w:rsidR="007F34D3" w:rsidRDefault="007F34D3" w:rsidP="007F34D3">
      <w:pPr>
        <w:spacing w:line="360" w:lineRule="auto"/>
        <w:ind w:firstLine="0"/>
      </w:pPr>
      <w:r>
        <w:t xml:space="preserve">The Sankey diagrams for </w:t>
      </w:r>
      <w:r w:rsidR="008E26C9">
        <w:t xml:space="preserve">Farm </w:t>
      </w:r>
      <w:r w:rsidR="00E24D8C">
        <w:t xml:space="preserve">A </w:t>
      </w:r>
      <w:r>
        <w:t xml:space="preserve">and </w:t>
      </w:r>
      <w:r w:rsidR="00857418">
        <w:t xml:space="preserve">Farm </w:t>
      </w:r>
      <w:r w:rsidR="00E24D8C">
        <w:t xml:space="preserve">C </w:t>
      </w:r>
      <w:r>
        <w:t xml:space="preserve">(Figure </w:t>
      </w:r>
      <w:r w:rsidR="00700C6F">
        <w:t xml:space="preserve">S3 </w:t>
      </w:r>
      <w:r>
        <w:t xml:space="preserve">and </w:t>
      </w:r>
      <w:r w:rsidR="00700C6F">
        <w:t>S4</w:t>
      </w:r>
      <w:r>
        <w:t xml:space="preserve">) provide similar results, with </w:t>
      </w:r>
      <w:r w:rsidR="000C6746">
        <w:t xml:space="preserve">some </w:t>
      </w:r>
      <w:r>
        <w:t>notable difference</w:t>
      </w:r>
      <w:r w:rsidR="000C6746">
        <w:t>s</w:t>
      </w:r>
      <w:r>
        <w:t>. The share of direct emissions from</w:t>
      </w:r>
      <w:r w:rsidR="006F5517">
        <w:t xml:space="preserve"> </w:t>
      </w:r>
      <w:r w:rsidR="00857418">
        <w:t>F</w:t>
      </w:r>
      <w:r>
        <w:t>arm</w:t>
      </w:r>
      <w:r w:rsidR="006F5517">
        <w:t xml:space="preserve"> A</w:t>
      </w:r>
      <w:r>
        <w:t xml:space="preserve"> is lower (73%)</w:t>
      </w:r>
      <w:r w:rsidR="006F5517">
        <w:t>,</w:t>
      </w:r>
      <w:r>
        <w:t xml:space="preserve"> because there are no fugitive emissions from the bio-digester: the farm uses manure as </w:t>
      </w:r>
      <w:r w:rsidR="0079201D">
        <w:t>natura</w:t>
      </w:r>
      <w:r w:rsidR="00A12BF0">
        <w:t>l</w:t>
      </w:r>
      <w:r w:rsidR="0079201D">
        <w:t xml:space="preserve"> </w:t>
      </w:r>
      <w:r>
        <w:t>fertilizer</w:t>
      </w:r>
      <w:r w:rsidR="0079201D">
        <w:t xml:space="preserve"> instead for generating electricity. </w:t>
      </w:r>
      <w:r w:rsidR="00D02549">
        <w:t>It must be noted that the Sankey diagrams do not include</w:t>
      </w:r>
      <w:r w:rsidR="0079201D">
        <w:t xml:space="preserve"> the environmental benefits </w:t>
      </w:r>
      <w:r w:rsidR="00D02549">
        <w:t xml:space="preserve">– </w:t>
      </w:r>
      <w:proofErr w:type="gramStart"/>
      <w:r w:rsidR="00D02549">
        <w:t>i.e.</w:t>
      </w:r>
      <w:proofErr w:type="gramEnd"/>
      <w:r w:rsidR="00D02549">
        <w:t xml:space="preserve"> the credits - </w:t>
      </w:r>
      <w:r w:rsidR="0079201D">
        <w:t>of generating electricity. The absence of a bio-digester</w:t>
      </w:r>
      <w:r w:rsidR="00D02549">
        <w:t xml:space="preserve"> plant</w:t>
      </w:r>
      <w:r w:rsidR="0079201D">
        <w:t xml:space="preserve"> also entails that the contribution of methane emission</w:t>
      </w:r>
      <w:r w:rsidR="00D02549">
        <w:t>s</w:t>
      </w:r>
      <w:r w:rsidR="0079201D">
        <w:t xml:space="preserve"> is </w:t>
      </w:r>
      <w:r w:rsidR="00E3016E">
        <w:t>smaller</w:t>
      </w:r>
      <w:r w:rsidR="0079201D">
        <w:t xml:space="preserve">, at ~ 51%. </w:t>
      </w:r>
    </w:p>
    <w:p w14:paraId="2129EC26" w14:textId="36059059" w:rsidR="00782D69" w:rsidRDefault="0079201D" w:rsidP="00DD44AA">
      <w:pPr>
        <w:spacing w:line="360" w:lineRule="auto"/>
        <w:ind w:firstLine="0"/>
        <w:rPr>
          <w:lang w:val="en-US"/>
        </w:rPr>
      </w:pPr>
      <w:r>
        <w:t>Even though</w:t>
      </w:r>
      <w:r w:rsidR="001847D7" w:rsidRPr="00832EB9">
        <w:t xml:space="preserve"> </w:t>
      </w:r>
      <w:r w:rsidR="00650379" w:rsidRPr="00832EB9">
        <w:t>enteric fermentation is a</w:t>
      </w:r>
      <w:r w:rsidR="003235B1" w:rsidRPr="00832EB9">
        <w:t xml:space="preserve"> </w:t>
      </w:r>
      <w:r w:rsidR="00650379" w:rsidRPr="00832EB9">
        <w:t>natural proces</w:t>
      </w:r>
      <w:r w:rsidR="00F4493B" w:rsidRPr="00832EB9">
        <w:t>s</w:t>
      </w:r>
      <w:r w:rsidR="000C6746">
        <w:t xml:space="preserve"> that is</w:t>
      </w:r>
      <w:r>
        <w:t xml:space="preserve"> </w:t>
      </w:r>
      <w:r w:rsidR="0078645F" w:rsidRPr="00A060AF">
        <w:t xml:space="preserve">inherent </w:t>
      </w:r>
      <w:r>
        <w:t>of</w:t>
      </w:r>
      <w:r w:rsidR="0078645F" w:rsidRPr="00832EB9">
        <w:t xml:space="preserve"> the digestive physiology of ruminants</w:t>
      </w:r>
      <w:r w:rsidR="0078645F" w:rsidRPr="00366965">
        <w:t xml:space="preserve">, several </w:t>
      </w:r>
      <w:r w:rsidR="005823C0" w:rsidRPr="00366965">
        <w:t>strategies</w:t>
      </w:r>
      <w:r>
        <w:t xml:space="preserve"> to reduce carbon emissions</w:t>
      </w:r>
      <w:r w:rsidR="009D235D">
        <w:t xml:space="preserve"> are available</w:t>
      </w:r>
      <w:r>
        <w:t>; these are</w:t>
      </w:r>
      <w:r w:rsidR="009D235D">
        <w:t xml:space="preserve"> mainly </w:t>
      </w:r>
      <w:r w:rsidR="001D6CC2">
        <w:t>related</w:t>
      </w:r>
      <w:r w:rsidR="001366E4" w:rsidRPr="00832EB9">
        <w:t xml:space="preserve"> </w:t>
      </w:r>
      <w:r w:rsidR="001D6CC2">
        <w:t>to</w:t>
      </w:r>
      <w:r w:rsidR="00562E58" w:rsidRPr="00832EB9">
        <w:t xml:space="preserve"> </w:t>
      </w:r>
      <w:r w:rsidR="00F93F2B" w:rsidRPr="00832EB9">
        <w:t xml:space="preserve">the </w:t>
      </w:r>
      <w:r w:rsidR="00562E58" w:rsidRPr="00832EB9">
        <w:t>type</w:t>
      </w:r>
      <w:r w:rsidR="00F93F2B" w:rsidRPr="00832EB9">
        <w:t xml:space="preserve"> and quality</w:t>
      </w:r>
      <w:r w:rsidR="00562E58" w:rsidRPr="00832EB9">
        <w:t xml:space="preserve"> of </w:t>
      </w:r>
      <w:r>
        <w:t xml:space="preserve">the animals’ </w:t>
      </w:r>
      <w:r w:rsidR="00562E58" w:rsidRPr="00832EB9">
        <w:t>diet</w:t>
      </w:r>
      <w:r w:rsidR="006A5485" w:rsidRPr="00832EB9">
        <w:t xml:space="preserve">. </w:t>
      </w:r>
      <w:r w:rsidR="00951CFA">
        <w:t xml:space="preserve">The release of methane from enteric fermentation </w:t>
      </w:r>
      <w:r w:rsidR="00D31901">
        <w:t>is mainly due to the degradation of</w:t>
      </w:r>
      <w:r w:rsidR="002F63B1">
        <w:t xml:space="preserve"> structural carbohydrates (</w:t>
      </w:r>
      <w:proofErr w:type="spellStart"/>
      <w:r w:rsidR="002F63B1">
        <w:t>fiber</w:t>
      </w:r>
      <w:proofErr w:type="spellEnd"/>
      <w:r w:rsidR="002F63B1">
        <w:t xml:space="preserve">) </w:t>
      </w:r>
      <w:r w:rsidR="00165220">
        <w:t>by some population of bacteria present in the rumen</w:t>
      </w:r>
      <w:r w:rsidR="00943077">
        <w:t xml:space="preserve"> </w:t>
      </w:r>
      <w:r w:rsidR="00C34F36">
        <w:fldChar w:fldCharType="begin" w:fldLock="1"/>
      </w:r>
      <w:r w:rsidR="00523B4F">
        <w:instrText>ADDIN CSL_CITATION {"citationItems":[{"id":"ITEM-1","itemData":{"ISSN":"1949-0976","author":[{"dropping-particle":"","family":"Matthews","given":"Chloe","non-dropping-particle":"","parse-names":false,"suffix":""},{"dropping-particle":"","family":"Crispie","given":"Fiona","non-dropping-particle":"","parse-names":false,"suffix":""},{"dropping-particle":"","family":"Lewis","given":"Eva","non-dropping-particle":"","parse-names":false,"suffix":""},{"dropping-particle":"","family":"Reid","given":"Michael","non-dropping-particle":"","parse-names":false,"suffix":""},{"dropping-particle":"","family":"O’Toole","given":"Paul W","non-dropping-particle":"","parse-names":false,"suffix":""},{"dropping-particle":"","family":"Cotter","given":"Paul D","non-dropping-particle":"","parse-names":false,"suffix":""}],"container-title":"Gut microbes","id":"ITEM-1","issue":"2","issued":{"date-parts":[["2019"]]},"page":"115-132","publisher":"Taylor &amp; Francis","title":"The rumen microbiome: a crucial consideration when optimising milk and meat production and nitrogen utilisation efficiency","type":"article-journal","volume":"10"},"uris":["http://www.mendeley.com/documents/?uuid=1a36f06c-9f1d-4456-a935-77aaa7aec23c"]},{"id":"ITEM-2","itemData":{"ISSN":"0021-8812","author":[{"dropping-particle":"","family":"Asselstine","given":"Victoria","non-dropping-particle":"","parse-names":false,"suffix":""},{"dropping-particle":"","family":"Lam","given":"Stephanie","non-dropping-particle":"","parse-names":false,"suffix":""},{"dropping-particle":"","family":"Miglior","given":"Filippo","non-dropping-particle":"","parse-names":false,"suffix":""},{"dropping-particle":"","family":"Brito","given":"Luiz F","non-dropping-particle":"","parse-names":false,"suffix":""},{"dropping-particle":"","family":"Sweett","given":"Hannah","non-dropping-particle":"","parse-names":false,"suffix":""},{"dropping-particle":"","family":"Guan","given":"Leluo","non-dropping-particle":"","parse-names":false,"suffix":""},{"dropping-particle":"","family":"Waters","given":"Sinead M","non-dropping-particle":"","parse-names":false,"suffix":""},{"dropping-particle":"","family":"Plastow","given":"Graham","non-dropping-particle":"","parse-names":false,"suffix":""},{"dropping-particle":"","family":"Cánovas","given":"Angela","non-dropping-particle":"","parse-names":false,"suffix":""}],"container-title":"Journal of Animal Science","id":"ITEM-2","issue":"10","issued":{"date-parts":[["2021"]]},"page":"skab193","publisher":"Oxford University Press US","title":"The potential for mitigation of methane emissions in ruminants through the application of metagenomics, metabolomics, and other-OMICS technologies","type":"article-journal","volume":"99"},"uris":["http://www.mendeley.com/documents/?uuid=6d1fd425-0ada-43c3-9b2f-c23da1cc7604"]}],"mendeley":{"formattedCitation":"(Asselstine et al., 2021; Matthews et al., 2019)","plainTextFormattedCitation":"(Asselstine et al., 2021; Matthews et al., 2019)","previouslyFormattedCitation":"(Asselstine et al., 2021; Matthews et al., 2019)"},"properties":{"noteIndex":0},"schema":"https://github.com/citation-style-language/schema/raw/master/csl-citation.json"}</w:instrText>
      </w:r>
      <w:r w:rsidR="00C34F36">
        <w:fldChar w:fldCharType="separate"/>
      </w:r>
      <w:r w:rsidR="00523B4F" w:rsidRPr="00523B4F">
        <w:rPr>
          <w:noProof/>
        </w:rPr>
        <w:t>(Asselstine et al., 2021)</w:t>
      </w:r>
      <w:r w:rsidR="00C34F36">
        <w:fldChar w:fldCharType="end"/>
      </w:r>
      <w:r w:rsidR="00165220">
        <w:t xml:space="preserve">. </w:t>
      </w:r>
      <w:r w:rsidR="00C538A6">
        <w:t xml:space="preserve">Therefore, methane production </w:t>
      </w:r>
      <w:r w:rsidR="00951CFA">
        <w:t>decreases</w:t>
      </w:r>
      <w:r w:rsidR="001D6CC2">
        <w:t xml:space="preserve"> when</w:t>
      </w:r>
      <w:r w:rsidR="000C6746">
        <w:t xml:space="preserve"> </w:t>
      </w:r>
      <w:proofErr w:type="spellStart"/>
      <w:r w:rsidR="000C6746">
        <w:t>i</w:t>
      </w:r>
      <w:proofErr w:type="spellEnd"/>
      <w:r w:rsidR="000C6746">
        <w:t>)</w:t>
      </w:r>
      <w:r w:rsidR="00B640C1" w:rsidRPr="00B640C1">
        <w:t xml:space="preserve"> daily </w:t>
      </w:r>
      <w:r w:rsidR="00220016">
        <w:t xml:space="preserve">animal </w:t>
      </w:r>
      <w:r w:rsidR="00B640C1" w:rsidRPr="00B640C1">
        <w:t>ingestion</w:t>
      </w:r>
      <w:r w:rsidR="000C6746">
        <w:t xml:space="preserve"> increase</w:t>
      </w:r>
      <w:r w:rsidR="00220016">
        <w:t>,</w:t>
      </w:r>
      <w:r w:rsidR="00B640C1" w:rsidRPr="00B640C1">
        <w:t xml:space="preserve"> </w:t>
      </w:r>
      <w:r w:rsidR="000C6746">
        <w:t xml:space="preserve">ii) the </w:t>
      </w:r>
      <w:r w:rsidR="00B640C1" w:rsidRPr="00B640C1">
        <w:t xml:space="preserve">percentage of </w:t>
      </w:r>
      <w:proofErr w:type="spellStart"/>
      <w:r w:rsidR="00B640C1" w:rsidRPr="00B640C1">
        <w:t>fiber</w:t>
      </w:r>
      <w:proofErr w:type="spellEnd"/>
      <w:r w:rsidR="00B640C1" w:rsidRPr="00B640C1">
        <w:t xml:space="preserve"> and fodder</w:t>
      </w:r>
      <w:r w:rsidR="000C6746">
        <w:t xml:space="preserve"> decreases</w:t>
      </w:r>
      <w:r w:rsidR="00B640C1" w:rsidRPr="00B640C1">
        <w:t xml:space="preserve"> and </w:t>
      </w:r>
      <w:r w:rsidR="000C6746">
        <w:t>iii)</w:t>
      </w:r>
      <w:r w:rsidR="00B640C1" w:rsidRPr="00B640C1">
        <w:t xml:space="preserve"> </w:t>
      </w:r>
      <w:r w:rsidR="00F07552" w:rsidRPr="00F07552">
        <w:t>the percentage of non-structural carbohydrates</w:t>
      </w:r>
      <w:r w:rsidR="00D9786C">
        <w:t xml:space="preserve"> (such as starch)</w:t>
      </w:r>
      <w:r w:rsidR="000C6746">
        <w:t xml:space="preserve"> increases</w:t>
      </w:r>
      <w:r w:rsidR="00167A64">
        <w:t>.</w:t>
      </w:r>
      <w:r w:rsidR="008C66DF">
        <w:t xml:space="preserve"> </w:t>
      </w:r>
      <w:r w:rsidR="00951CFA">
        <w:rPr>
          <w:lang w:val="en-US"/>
        </w:rPr>
        <w:t>Additional strategies include sp</w:t>
      </w:r>
      <w:r w:rsidR="008C66DF" w:rsidRPr="00832EB9">
        <w:rPr>
          <w:lang w:val="en-US"/>
        </w:rPr>
        <w:t>ecific treatment</w:t>
      </w:r>
      <w:r w:rsidR="00A00D63">
        <w:rPr>
          <w:lang w:val="en-US"/>
        </w:rPr>
        <w:t>s</w:t>
      </w:r>
      <w:r w:rsidR="001B5384" w:rsidRPr="00832EB9">
        <w:rPr>
          <w:lang w:val="en-US"/>
        </w:rPr>
        <w:t xml:space="preserve"> </w:t>
      </w:r>
      <w:r w:rsidR="00042636" w:rsidRPr="00832EB9">
        <w:rPr>
          <w:lang w:val="en-US"/>
        </w:rPr>
        <w:t xml:space="preserve">for increasing the </w:t>
      </w:r>
      <w:r w:rsidR="00F07552" w:rsidRPr="00832EB9">
        <w:rPr>
          <w:lang w:val="en-US"/>
        </w:rPr>
        <w:t>starch degradability</w:t>
      </w:r>
      <w:r w:rsidR="000C6746">
        <w:rPr>
          <w:lang w:val="en-US"/>
        </w:rPr>
        <w:t>,</w:t>
      </w:r>
      <w:r w:rsidR="00042636" w:rsidRPr="00832EB9">
        <w:rPr>
          <w:lang w:val="en-US"/>
        </w:rPr>
        <w:t xml:space="preserve"> </w:t>
      </w:r>
      <w:r w:rsidR="000C6746">
        <w:rPr>
          <w:lang w:val="en-US"/>
        </w:rPr>
        <w:t>adoption</w:t>
      </w:r>
      <w:r w:rsidR="00932513" w:rsidRPr="00832EB9">
        <w:rPr>
          <w:lang w:val="en-US"/>
        </w:rPr>
        <w:t xml:space="preserve"> of </w:t>
      </w:r>
      <w:r w:rsidR="00F07552" w:rsidRPr="00832EB9">
        <w:rPr>
          <w:lang w:val="en-US"/>
        </w:rPr>
        <w:t>more degradable fodder</w:t>
      </w:r>
      <w:r w:rsidR="00932513" w:rsidRPr="00832EB9">
        <w:rPr>
          <w:lang w:val="en-US"/>
        </w:rPr>
        <w:t xml:space="preserve"> or </w:t>
      </w:r>
      <w:r w:rsidR="00DE146E" w:rsidRPr="00832EB9">
        <w:rPr>
          <w:lang w:val="en-US"/>
        </w:rPr>
        <w:t>grinded fiber</w:t>
      </w:r>
      <w:r w:rsidR="00A50442" w:rsidRPr="00832EB9">
        <w:rPr>
          <w:lang w:val="en-US"/>
        </w:rPr>
        <w:t xml:space="preserve">, </w:t>
      </w:r>
      <w:r w:rsidR="00BA0BBF" w:rsidRPr="00832EB9">
        <w:rPr>
          <w:lang w:val="en-US"/>
        </w:rPr>
        <w:t xml:space="preserve">the </w:t>
      </w:r>
      <w:r w:rsidR="00DD44AA" w:rsidRPr="00832EB9">
        <w:rPr>
          <w:lang w:val="en-US"/>
        </w:rPr>
        <w:t xml:space="preserve">addition of </w:t>
      </w:r>
      <w:r w:rsidR="00F07552" w:rsidRPr="00CB3D49">
        <w:t xml:space="preserve">unsaturated fats </w:t>
      </w:r>
      <w:r w:rsidR="004474C3">
        <w:t>(</w:t>
      </w:r>
      <w:r w:rsidR="004474C3" w:rsidRPr="00523B4F">
        <w:rPr>
          <w:noProof/>
        </w:rPr>
        <w:t>González et al., 2018</w:t>
      </w:r>
      <w:r w:rsidR="004474C3">
        <w:rPr>
          <w:noProof/>
        </w:rPr>
        <w:t>)</w:t>
      </w:r>
      <w:r w:rsidR="00F07552" w:rsidRPr="00CB3D49">
        <w:t xml:space="preserve"> other additives such as tannins</w:t>
      </w:r>
      <w:r w:rsidR="00455B77">
        <w:t xml:space="preserve"> or</w:t>
      </w:r>
      <w:r w:rsidR="00F07552" w:rsidRPr="00CB3D49">
        <w:t xml:space="preserve"> essential oils</w:t>
      </w:r>
      <w:r w:rsidR="00943077">
        <w:t xml:space="preserve"> </w:t>
      </w:r>
      <w:r w:rsidR="00C34F36">
        <w:fldChar w:fldCharType="begin" w:fldLock="1"/>
      </w:r>
      <w:r w:rsidR="00523B4F">
        <w:instrText>ADDIN CSL_CITATION {"citationItems":[{"id":"ITEM-1","itemData":{"ISSN":"1751-7311","author":[{"dropping-particle":"","family":"González","given":"L A","non-dropping-particle":"","parse-names":false,"suffix":""},{"dropping-particle":"","family":"Kyriazakis","given":"I","non-dropping-particle":"","parse-names":false,"suffix":""},{"dropping-particle":"","family":"Tedeschi","given":"L O","non-dropping-particle":"","parse-names":false,"suffix":""}],"container-title":"Animal","id":"ITEM-1","issue":"s2","issued":{"date-parts":[["2018"]]},"page":"s246-s261","publisher":"Cambridge University Press","title":"Precision nutrition of ruminants: approaches, challenges and potential gains","type":"article-journal","volume":"12"},"uris":["http://www.mendeley.com/documents/?uuid=6f7331ce-2827-4129-8bea-fce7fecf7807"]},{"id":"ITEM-2","itemData":{"ISSN":"2405-6545","author":[{"dropping-particle":"","family":"Min","given":"Byeng R","non-dropping-particle":"","parse-names":false,"suffix":""},{"dropping-particle":"","family":"Solaiman","given":"Sandra","non-dropping-particle":"","parse-names":false,"suffix":""},{"dropping-particle":"","family":"Waldrip","given":"Heidi M","non-dropping-particle":"","parse-names":false,"suffix":""},{"dropping-particle":"","family":"Parker","given":"David","non-dropping-particle":"","parse-names":false,"suffix":""},{"dropping-particle":"","family":"Todd","given":"Richard W","non-dropping-particle":"","parse-names":false,"suffix":""},{"dropping-particle":"","family":"Brauer","given":"David","non-dropping-particle":"","parse-names":false,"suffix":""}],"container-title":"Animal Nutrition","id":"ITEM-2","issued":{"date-parts":[["2020"]]},"publisher":"Elsevier","title":"Dietary mitigation of enteric methane emissions from ruminants: A review of plant tannins mitigation options</w:instrText>
      </w:r>
      <w:r w:rsidR="00523B4F">
        <w:rPr>
          <w:rFonts w:ascii="Segoe UI Symbol" w:hAnsi="Segoe UI Symbol" w:cs="Segoe UI Symbol"/>
        </w:rPr>
        <w:instrText>☆</w:instrText>
      </w:r>
      <w:r w:rsidR="00523B4F">
        <w:instrText>","type":"article-journal"},"uris":["http://www.mendeley.com/documents/?uuid=c1062284-9d6b-4333-871d-81ee044c774a"]}],"mendeley":{"formattedCitation":"(González et al., 2018; Min et al., 2020)","plainTextFormattedCitation":"(González et al., 2018; Min et al., 2020)","previouslyFormattedCitation":"(González et al., 2018; Min et al., 2020)"},"properties":{"noteIndex":0},"schema":"https://github.com/citation-style-language/schema/raw/master/csl-citation.json"}</w:instrText>
      </w:r>
      <w:r w:rsidR="00C34F36">
        <w:fldChar w:fldCharType="separate"/>
      </w:r>
      <w:r w:rsidR="00523B4F" w:rsidRPr="00523B4F">
        <w:rPr>
          <w:noProof/>
        </w:rPr>
        <w:t>(Min et al., 2020)</w:t>
      </w:r>
      <w:r w:rsidR="00C34F36">
        <w:fldChar w:fldCharType="end"/>
      </w:r>
      <w:r w:rsidR="00191F32" w:rsidRPr="00832EB9">
        <w:t>.</w:t>
      </w:r>
      <w:r w:rsidR="003F0529" w:rsidRPr="00832EB9">
        <w:t xml:space="preserve"> </w:t>
      </w:r>
      <w:r w:rsidR="00191F32" w:rsidRPr="00832EB9">
        <w:lastRenderedPageBreak/>
        <w:t>A</w:t>
      </w:r>
      <w:r w:rsidR="009D7EDC" w:rsidRPr="00832EB9">
        <w:rPr>
          <w:lang w:val="en-US"/>
        </w:rPr>
        <w:t xml:space="preserve"> </w:t>
      </w:r>
      <w:r w:rsidR="00EA1AE3">
        <w:rPr>
          <w:lang w:val="en-US"/>
        </w:rPr>
        <w:t>correct</w:t>
      </w:r>
      <w:r w:rsidR="00D40DAB" w:rsidRPr="00832EB9">
        <w:rPr>
          <w:lang w:val="en-US"/>
        </w:rPr>
        <w:t xml:space="preserve"> fo</w:t>
      </w:r>
      <w:r w:rsidR="00455B77">
        <w:rPr>
          <w:lang w:val="en-US"/>
        </w:rPr>
        <w:t>rage</w:t>
      </w:r>
      <w:r w:rsidR="00D40DAB" w:rsidRPr="00832EB9">
        <w:rPr>
          <w:lang w:val="en-US"/>
        </w:rPr>
        <w:t xml:space="preserve">/concentrate ratio </w:t>
      </w:r>
      <w:r w:rsidR="009E1F72" w:rsidRPr="00832EB9">
        <w:rPr>
          <w:lang w:val="en-US"/>
        </w:rPr>
        <w:t xml:space="preserve">is </w:t>
      </w:r>
      <w:r w:rsidR="00EA1AE3">
        <w:rPr>
          <w:lang w:val="en-US"/>
        </w:rPr>
        <w:t xml:space="preserve">also </w:t>
      </w:r>
      <w:r w:rsidR="009E1F72" w:rsidRPr="00832EB9">
        <w:rPr>
          <w:lang w:val="en-US"/>
        </w:rPr>
        <w:t>an effective means to reduce CH</w:t>
      </w:r>
      <w:r w:rsidR="009E1F72" w:rsidRPr="00832EB9">
        <w:rPr>
          <w:vertAlign w:val="subscript"/>
          <w:lang w:val="en-US"/>
        </w:rPr>
        <w:t>4</w:t>
      </w:r>
      <w:r w:rsidR="009E1F72" w:rsidRPr="00832EB9">
        <w:rPr>
          <w:lang w:val="en-US"/>
        </w:rPr>
        <w:t xml:space="preserve"> </w:t>
      </w:r>
      <w:r w:rsidR="005C3798">
        <w:rPr>
          <w:lang w:val="en-US"/>
        </w:rPr>
        <w:t>emissions</w:t>
      </w:r>
      <w:r w:rsidR="00943077">
        <w:rPr>
          <w:lang w:val="en-US"/>
        </w:rPr>
        <w:t xml:space="preserve"> </w:t>
      </w:r>
      <w:r w:rsidR="005C3798">
        <w:rPr>
          <w:lang w:val="en-US"/>
        </w:rPr>
        <w:fldChar w:fldCharType="begin" w:fldLock="1"/>
      </w:r>
      <w:r w:rsidR="00523B4F">
        <w:rPr>
          <w:lang w:val="en-US"/>
        </w:rPr>
        <w:instrText>ADDIN CSL_CITATION {"citationItems":[{"id":"ITEM-1","itemData":{"DOI":"10.1016/j.livprodsci.2003.09.010","ISSN":"03016226","abstract":"Intake, animal performance and methane (CH4) output was investigated using 36 finishing Charolais cross heifers (mean starting weight 462 kg, S.D. ± 16) fed ad libitum over an 11-week period. Six dietary treatments were investigated in a randomised block design experiment with a factorial arrangement of treatments. The six experimental diets consisted of three forage/concentrate (F/C) ratios (0.65:0.35, 0.40:0.60 and 0.10:0.90) supplemented with two levels of coconut oil (0 or 350 g/ day). Rumen protozoa numbers were significantly (P &lt; 0.001) lower for diets containing coconut oil at the end of the trial. Reducing the F/C ratio resulted in significantly (P &lt; 0.001) increased rates of live weight gain (LWG) and carcass gain (CG), but coconut oil had no effect on animal performance. Methane output in litres per day was significantly modified (P &lt; 0.001) by both the F/C ratio and level of coconut oil. Maximal CH4 output was recorded on the 0.40:0.60 diet, with coconut oil reducing daily CH4 output regardless of the F/C ratio. Methane output per unit of animal product (per kg of LWG and carcass gain) was significantly reduced by lower F/C ratios and the dietary inclusion of coconut oil (P &lt; 0.001 and P ≤ 0.003, respectively). No significant (P&gt;0.05) interaction between the F/C ratio and coconut oil level was identified although coconut oil significantly reduced dry matter intake (DMI), CH4 1/day and LWG on the 0.65:0.35 F/C ratio diet. © 2003 Elsevier B.V. All rights reserved.","author":[{"dropping-particle":"","family":"Lovett","given":"D.","non-dropping-particle":"","parse-names":false,"suffix":""},{"dropping-particle":"","family":"Lovell","given":"S.","non-dropping-particle":"","parse-names":false,"suffix":""},{"dropping-particle":"","family":"Stack","given":"L.","non-dropping-particle":"","parse-names":false,"suffix":""},{"dropping-particle":"","family":"Callan","given":"J.","non-dropping-particle":"","parse-names":false,"suffix":""},{"dropping-particle":"","family":"Finlay","given":"M.","non-dropping-particle":"","parse-names":false,"suffix":""},{"dropping-particle":"","family":"Conolly","given":"J.","non-dropping-particle":"","parse-names":false,"suffix":""},{"dropping-particle":"","family":"O'Mara","given":"F. P.","non-dropping-particle":"","parse-names":false,"suffix":""}],"container-title":"Livestock Production Science","id":"ITEM-1","issue":"2","issued":{"date-parts":[["2003"]]},"page":"135-146","title":"Effect of forage/concentrate ratio and dietary coconut oil level on methane output and performance of finishing beef heifers","type":"article-journal","volume":"84"},"uris":["http://www.mendeley.com/documents/?uuid=7beb0dae-c067-4b91-a23a-4ad7a520179a"]}],"mendeley":{"formattedCitation":"(Lovett et al., 2003)","plainTextFormattedCitation":"(Lovett et al., 2003)","previouslyFormattedCitation":"(Lovett et al., 2003)"},"properties":{"noteIndex":0},"schema":"https://github.com/citation-style-language/schema/raw/master/csl-citation.json"}</w:instrText>
      </w:r>
      <w:r w:rsidR="005C3798">
        <w:rPr>
          <w:lang w:val="en-US"/>
        </w:rPr>
        <w:fldChar w:fldCharType="separate"/>
      </w:r>
      <w:r w:rsidR="00523B4F" w:rsidRPr="00523B4F">
        <w:rPr>
          <w:noProof/>
          <w:lang w:val="en-US"/>
        </w:rPr>
        <w:t>(Lovett et al., 2003)</w:t>
      </w:r>
      <w:r w:rsidR="005C3798">
        <w:rPr>
          <w:lang w:val="en-US"/>
        </w:rPr>
        <w:fldChar w:fldCharType="end"/>
      </w:r>
      <w:r w:rsidR="009D7EDC" w:rsidRPr="00832EB9">
        <w:rPr>
          <w:lang w:val="en-US"/>
        </w:rPr>
        <w:t>.</w:t>
      </w:r>
    </w:p>
    <w:p w14:paraId="3D62D500" w14:textId="2B8F6FF6" w:rsidR="00B179B5" w:rsidRDefault="00475E48" w:rsidP="00DD44AA">
      <w:pPr>
        <w:spacing w:line="360" w:lineRule="auto"/>
        <w:ind w:firstLine="0"/>
        <w:rPr>
          <w:lang w:val="en-US"/>
        </w:rPr>
      </w:pPr>
      <w:r>
        <w:rPr>
          <w:lang w:val="en-US"/>
        </w:rPr>
        <w:t>The carbon emissions from machine operation, which includes production and transportation of fuel as well as direct emissions from its consumption, are strictly dependent on the type of machines and their efficiency. In this study, we estimated direct emissions using dataset</w:t>
      </w:r>
      <w:r w:rsidR="00E3016E">
        <w:rPr>
          <w:lang w:val="en-US"/>
        </w:rPr>
        <w:t>s</w:t>
      </w:r>
      <w:r>
        <w:rPr>
          <w:lang w:val="en-US"/>
        </w:rPr>
        <w:t xml:space="preserve"> </w:t>
      </w:r>
      <w:r w:rsidR="00E3016E">
        <w:rPr>
          <w:lang w:val="en-US"/>
        </w:rPr>
        <w:t xml:space="preserve">for tractors </w:t>
      </w:r>
      <w:r>
        <w:rPr>
          <w:lang w:val="en-US"/>
        </w:rPr>
        <w:t xml:space="preserve">from </w:t>
      </w:r>
      <w:proofErr w:type="spellStart"/>
      <w:r w:rsidR="00E3016E">
        <w:rPr>
          <w:lang w:val="en-US"/>
        </w:rPr>
        <w:t>e</w:t>
      </w:r>
      <w:r>
        <w:rPr>
          <w:lang w:val="en-US"/>
        </w:rPr>
        <w:t>coinvent</w:t>
      </w:r>
      <w:proofErr w:type="spellEnd"/>
      <w:r w:rsidR="00295A32">
        <w:rPr>
          <w:lang w:val="en-US"/>
        </w:rPr>
        <w:t xml:space="preserve"> </w:t>
      </w:r>
      <w:r>
        <w:rPr>
          <w:lang w:val="en-US"/>
        </w:rPr>
        <w:t xml:space="preserve">with validity expiring in 2012; notably, this is consistent with the average age of the machines used in the farms investigated. Replacing old with new </w:t>
      </w:r>
      <w:r w:rsidR="00857418">
        <w:rPr>
          <w:lang w:val="en-US"/>
        </w:rPr>
        <w:t>(</w:t>
      </w:r>
      <w:r>
        <w:rPr>
          <w:lang w:val="en-US"/>
        </w:rPr>
        <w:t>and thus more efficient</w:t>
      </w:r>
      <w:r w:rsidR="00857418">
        <w:rPr>
          <w:lang w:val="en-US"/>
        </w:rPr>
        <w:t>)</w:t>
      </w:r>
      <w:r>
        <w:rPr>
          <w:lang w:val="en-US"/>
        </w:rPr>
        <w:t xml:space="preserve"> machines is likely to yield a reduction of carbon emissions.</w:t>
      </w:r>
      <w:r w:rsidR="00AF5DC1">
        <w:rPr>
          <w:lang w:val="en-US"/>
        </w:rPr>
        <w:t xml:space="preserve"> </w:t>
      </w:r>
      <w:r w:rsidR="00AC1626">
        <w:rPr>
          <w:lang w:val="en-US"/>
        </w:rPr>
        <w:t>Furthermore, t</w:t>
      </w:r>
      <w:r w:rsidR="00AF5DC1">
        <w:rPr>
          <w:lang w:val="en-US"/>
        </w:rPr>
        <w:t xml:space="preserve">his </w:t>
      </w:r>
      <w:r w:rsidR="00AC1626">
        <w:rPr>
          <w:lang w:val="en-US"/>
        </w:rPr>
        <w:t>may</w:t>
      </w:r>
      <w:r w:rsidR="00E31FB8">
        <w:rPr>
          <w:lang w:val="en-US"/>
        </w:rPr>
        <w:t xml:space="preserve"> also</w:t>
      </w:r>
      <w:r w:rsidR="00AF5DC1">
        <w:rPr>
          <w:lang w:val="en-US"/>
        </w:rPr>
        <w:t xml:space="preserve"> allow to </w:t>
      </w:r>
      <w:r w:rsidR="00AC1626">
        <w:rPr>
          <w:lang w:val="en-US"/>
        </w:rPr>
        <w:t xml:space="preserve">improve the </w:t>
      </w:r>
      <w:r w:rsidR="00BE3796">
        <w:rPr>
          <w:lang w:val="en-US"/>
        </w:rPr>
        <w:t>forage and feedstuff yields/hectare</w:t>
      </w:r>
      <w:r w:rsidR="00911D0A">
        <w:rPr>
          <w:lang w:val="en-US"/>
        </w:rPr>
        <w:t>, which in turn can give other advantag</w:t>
      </w:r>
      <w:r w:rsidR="00B179B5">
        <w:rPr>
          <w:lang w:val="en-US"/>
        </w:rPr>
        <w:t>es, such as reduction of purchased feed and relative transportation.</w:t>
      </w:r>
    </w:p>
    <w:p w14:paraId="6055434C" w14:textId="425A35A1" w:rsidR="00475E48" w:rsidRDefault="00475E48" w:rsidP="00DD44AA">
      <w:pPr>
        <w:spacing w:line="360" w:lineRule="auto"/>
        <w:ind w:firstLine="0"/>
        <w:rPr>
          <w:lang w:val="en-US"/>
        </w:rPr>
      </w:pPr>
    </w:p>
    <w:p w14:paraId="42039E1D" w14:textId="77777777" w:rsidR="00493131" w:rsidRDefault="00493131" w:rsidP="00493131">
      <w:pPr>
        <w:pStyle w:val="Titolo2"/>
      </w:pPr>
      <w:bookmarkStart w:id="19" w:name="_Ref78374800"/>
      <w:bookmarkStart w:id="20" w:name="_Ref83895640"/>
      <w:r>
        <w:t>Hot-spot analysis</w:t>
      </w:r>
      <w:bookmarkEnd w:id="19"/>
      <w:bookmarkEnd w:id="20"/>
    </w:p>
    <w:p w14:paraId="1FD5A0C5" w14:textId="633EF1B5" w:rsidR="00A563EF" w:rsidRDefault="003D47BD" w:rsidP="00493131">
      <w:pPr>
        <w:spacing w:line="360" w:lineRule="auto"/>
        <w:ind w:firstLine="0"/>
      </w:pPr>
      <w:r>
        <w:fldChar w:fldCharType="begin"/>
      </w:r>
      <w:r>
        <w:instrText xml:space="preserve"> REF _Ref81219518 \h </w:instrText>
      </w:r>
      <w:r>
        <w:fldChar w:fldCharType="separate"/>
      </w:r>
      <w:r w:rsidR="008D2EFC">
        <w:t xml:space="preserve">Figure </w:t>
      </w:r>
      <w:r w:rsidR="008D2EFC">
        <w:rPr>
          <w:noProof/>
        </w:rPr>
        <w:t>5</w:t>
      </w:r>
      <w:r>
        <w:fldChar w:fldCharType="end"/>
      </w:r>
      <w:r>
        <w:t xml:space="preserve"> </w:t>
      </w:r>
      <w:r w:rsidR="00CE7294">
        <w:t>reports</w:t>
      </w:r>
      <w:r w:rsidR="00A563EF">
        <w:t xml:space="preserve"> contributions of each sub-system (see </w:t>
      </w:r>
      <w:r>
        <w:fldChar w:fldCharType="begin"/>
      </w:r>
      <w:r>
        <w:instrText xml:space="preserve"> REF _Ref74127061 \h </w:instrText>
      </w:r>
      <w:r>
        <w:fldChar w:fldCharType="separate"/>
      </w:r>
      <w:r w:rsidR="008D2EFC">
        <w:t xml:space="preserve">Figure </w:t>
      </w:r>
      <w:r w:rsidR="008D2EFC">
        <w:rPr>
          <w:noProof/>
        </w:rPr>
        <w:t>1</w:t>
      </w:r>
      <w:r>
        <w:fldChar w:fldCharType="end"/>
      </w:r>
      <w:r w:rsidR="00A563EF">
        <w:t xml:space="preserve">) to environmental impacts of </w:t>
      </w:r>
      <w:r w:rsidR="00857418">
        <w:t>F</w:t>
      </w:r>
      <w:r w:rsidR="006135FC">
        <w:t>arm B</w:t>
      </w:r>
      <w:r w:rsidR="00A563EF">
        <w:t>, including all environmental categories except climate change (discussed in Section</w:t>
      </w:r>
      <w:r w:rsidR="00E3016E">
        <w:t xml:space="preserve"> </w:t>
      </w:r>
      <w:r w:rsidR="00E3016E">
        <w:fldChar w:fldCharType="begin"/>
      </w:r>
      <w:r w:rsidR="00E3016E">
        <w:instrText xml:space="preserve"> REF _Ref84325135 \r \h </w:instrText>
      </w:r>
      <w:r w:rsidR="00E3016E">
        <w:fldChar w:fldCharType="separate"/>
      </w:r>
      <w:r w:rsidR="008D2EFC">
        <w:t>3.2</w:t>
      </w:r>
      <w:r w:rsidR="00E3016E">
        <w:fldChar w:fldCharType="end"/>
      </w:r>
      <w:r w:rsidR="00A563EF">
        <w:t>). The charts for the other farms are reported in</w:t>
      </w:r>
      <w:r w:rsidR="00CE7294">
        <w:t xml:space="preserve"> </w:t>
      </w:r>
      <w:r w:rsidR="00E3016E">
        <w:t xml:space="preserve">Figure S5 and S6. Numerical values are included in </w:t>
      </w:r>
      <w:r w:rsidR="000E2423">
        <w:t>Table S</w:t>
      </w:r>
      <w:r w:rsidR="000E74D7">
        <w:t>5</w:t>
      </w:r>
      <w:r w:rsidR="00E3016E">
        <w:t>.</w:t>
      </w:r>
    </w:p>
    <w:p w14:paraId="61855E10" w14:textId="136153A5" w:rsidR="00A563EF" w:rsidRPr="001127C7" w:rsidRDefault="006A1739" w:rsidP="00A563EF">
      <w:pPr>
        <w:spacing w:line="360" w:lineRule="auto"/>
      </w:pPr>
      <w:r>
        <w:rPr>
          <w:noProof/>
          <w:lang w:val="it-IT"/>
        </w:rPr>
        <w:drawing>
          <wp:inline distT="0" distB="0" distL="0" distR="0" wp14:anchorId="17D29F6F" wp14:editId="7E898F02">
            <wp:extent cx="5076825" cy="3286125"/>
            <wp:effectExtent l="0" t="0" r="9525" b="952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 5.tif"/>
                    <pic:cNvPicPr/>
                  </pic:nvPicPr>
                  <pic:blipFill rotWithShape="1">
                    <a:blip r:embed="rId15" cstate="print">
                      <a:extLst>
                        <a:ext uri="{28A0092B-C50C-407E-A947-70E740481C1C}">
                          <a14:useLocalDpi xmlns:a14="http://schemas.microsoft.com/office/drawing/2010/main" val="0"/>
                        </a:ext>
                      </a:extLst>
                    </a:blip>
                    <a:srcRect l="8433" t="11021" r="3429" b="14422"/>
                    <a:stretch/>
                  </pic:blipFill>
                  <pic:spPr bwMode="auto">
                    <a:xfrm>
                      <a:off x="0" y="0"/>
                      <a:ext cx="5076825" cy="3286125"/>
                    </a:xfrm>
                    <a:prstGeom prst="rect">
                      <a:avLst/>
                    </a:prstGeom>
                    <a:ln>
                      <a:noFill/>
                    </a:ln>
                    <a:extLst>
                      <a:ext uri="{53640926-AAD7-44D8-BBD7-CCE9431645EC}">
                        <a14:shadowObscured xmlns:a14="http://schemas.microsoft.com/office/drawing/2010/main"/>
                      </a:ext>
                    </a:extLst>
                  </pic:spPr>
                </pic:pic>
              </a:graphicData>
            </a:graphic>
          </wp:inline>
        </w:drawing>
      </w:r>
    </w:p>
    <w:p w14:paraId="54766401" w14:textId="63753EE4" w:rsidR="00A563EF" w:rsidRPr="001127C7" w:rsidRDefault="00A563EF" w:rsidP="00A563EF">
      <w:pPr>
        <w:pStyle w:val="Didascalia"/>
        <w:jc w:val="center"/>
      </w:pPr>
      <w:bookmarkStart w:id="21" w:name="_Ref81219518"/>
      <w:r>
        <w:t xml:space="preserve">Figure </w:t>
      </w:r>
      <w:r>
        <w:fldChar w:fldCharType="begin"/>
      </w:r>
      <w:r>
        <w:instrText xml:space="preserve"> SEQ Figure \* ARABIC </w:instrText>
      </w:r>
      <w:r>
        <w:fldChar w:fldCharType="separate"/>
      </w:r>
      <w:r w:rsidR="008D2EFC">
        <w:rPr>
          <w:noProof/>
        </w:rPr>
        <w:t>5</w:t>
      </w:r>
      <w:r>
        <w:fldChar w:fldCharType="end"/>
      </w:r>
      <w:bookmarkEnd w:id="21"/>
      <w:r w:rsidRPr="001127C7">
        <w:t xml:space="preserve"> – Hot-spot analysis </w:t>
      </w:r>
      <w:r>
        <w:t xml:space="preserve">for </w:t>
      </w:r>
      <w:r w:rsidR="00857418">
        <w:t>F</w:t>
      </w:r>
      <w:r w:rsidR="00E277E2">
        <w:t>arm B</w:t>
      </w:r>
      <w:r>
        <w:t>.</w:t>
      </w:r>
    </w:p>
    <w:p w14:paraId="5CE74C2F" w14:textId="42350819" w:rsidR="001F37F8" w:rsidRDefault="00A563EF" w:rsidP="00493131">
      <w:pPr>
        <w:spacing w:line="360" w:lineRule="auto"/>
        <w:ind w:firstLine="0"/>
      </w:pPr>
      <w:r>
        <w:lastRenderedPageBreak/>
        <w:t>The ch</w:t>
      </w:r>
      <w:r w:rsidR="00CE7294">
        <w:t>art</w:t>
      </w:r>
      <w:r>
        <w:t xml:space="preserve"> shows that the majority of the environmental impacts originate </w:t>
      </w:r>
      <w:r w:rsidR="001F37F8">
        <w:t>from purchased feed</w:t>
      </w:r>
      <w:r w:rsidR="00CE7294">
        <w:t>s</w:t>
      </w:r>
      <w:r w:rsidR="001F37F8">
        <w:t xml:space="preserve"> (mainly fodder) and utilities (machine operation), with combined contributions varying from </w:t>
      </w:r>
      <w:r w:rsidR="003D47BD">
        <w:t>13% for the acidification</w:t>
      </w:r>
      <w:r w:rsidR="00CE7294">
        <w:t xml:space="preserve"> category</w:t>
      </w:r>
      <w:r w:rsidR="00FC6713">
        <w:t>, up</w:t>
      </w:r>
      <w:r w:rsidR="003D47BD">
        <w:t xml:space="preserve"> </w:t>
      </w:r>
      <w:r w:rsidR="001F37F8">
        <w:t xml:space="preserve">to </w:t>
      </w:r>
      <w:r w:rsidR="003D47BD">
        <w:t xml:space="preserve">98% as for cancer </w:t>
      </w:r>
      <w:r w:rsidR="00FC6713">
        <w:t xml:space="preserve">and </w:t>
      </w:r>
      <w:r w:rsidR="003D47BD">
        <w:t>non-cancer human health</w:t>
      </w:r>
      <w:r w:rsidR="00FC6713">
        <w:t xml:space="preserve"> effects, </w:t>
      </w:r>
      <w:r w:rsidR="003D47BD">
        <w:t>and land use</w:t>
      </w:r>
      <w:r w:rsidR="001F37F8">
        <w:t xml:space="preserve">. </w:t>
      </w:r>
      <w:r w:rsidR="00CE7294">
        <w:t xml:space="preserve">Buffalo breeding, which includes enteric methane emissions and ammonia emissions </w:t>
      </w:r>
      <w:r w:rsidR="00FC6713">
        <w:t>from</w:t>
      </w:r>
      <w:r w:rsidR="00CE7294">
        <w:t xml:space="preserve"> animal excrete</w:t>
      </w:r>
      <w:r w:rsidR="00FC6713">
        <w:t>,</w:t>
      </w:r>
      <w:r w:rsidR="001F37F8">
        <w:t xml:space="preserve"> is </w:t>
      </w:r>
      <w:r w:rsidR="00CE7294">
        <w:t xml:space="preserve">only </w:t>
      </w:r>
      <w:r w:rsidR="001F37F8">
        <w:t xml:space="preserve">relevant </w:t>
      </w:r>
      <w:r w:rsidR="00FC6713">
        <w:t>to</w:t>
      </w:r>
      <w:r w:rsidR="001F37F8">
        <w:t xml:space="preserve"> acidification, </w:t>
      </w:r>
      <w:r w:rsidR="00CE7294">
        <w:t xml:space="preserve">terrestrial </w:t>
      </w:r>
      <w:r w:rsidR="001F37F8">
        <w:t>eutrophicatio</w:t>
      </w:r>
      <w:r w:rsidR="00CE7294">
        <w:t>n</w:t>
      </w:r>
      <w:r w:rsidR="001F37F8">
        <w:t xml:space="preserve"> and respiratory inorganics</w:t>
      </w:r>
      <w:r w:rsidR="0016456A">
        <w:t xml:space="preserve"> (48, 47 and 30% respectively)</w:t>
      </w:r>
      <w:r w:rsidR="00FC6713">
        <w:t>; whilst i</w:t>
      </w:r>
      <w:r w:rsidR="001F37F8">
        <w:t>n-house production</w:t>
      </w:r>
      <w:r w:rsidR="00FC6713">
        <w:t xml:space="preserve"> of crops has non-negligible contributions in several categories including </w:t>
      </w:r>
      <w:r w:rsidR="001F37F8">
        <w:t>water scarcity, eutrophication, acidification and respiratory ino</w:t>
      </w:r>
      <w:r w:rsidR="00E3016E">
        <w:t>r</w:t>
      </w:r>
      <w:r w:rsidR="001F37F8">
        <w:t>ganics. The contributions of manure management and milk production are minor to negligible. The credits due to electricity generation from the bio-digester are particularly (&gt;40%) relevant in the categories ionising radiation</w:t>
      </w:r>
      <w:r w:rsidR="00945694">
        <w:t xml:space="preserve"> and</w:t>
      </w:r>
      <w:r w:rsidR="001C4614">
        <w:t xml:space="preserve"> </w:t>
      </w:r>
      <w:r w:rsidR="001F37F8">
        <w:t>resource use (energy carriers)</w:t>
      </w:r>
      <w:r w:rsidR="00945694">
        <w:t>; notably, for the former the credits are higher than the sum of all other impacts, implying a net saving.</w:t>
      </w:r>
    </w:p>
    <w:p w14:paraId="30628E67" w14:textId="00A4E5D1" w:rsidR="00945694" w:rsidRDefault="001F37F8" w:rsidP="00493131">
      <w:pPr>
        <w:spacing w:line="360" w:lineRule="auto"/>
        <w:ind w:firstLine="0"/>
      </w:pPr>
      <w:r>
        <w:t xml:space="preserve">The hot-spot analysis </w:t>
      </w:r>
      <w:r w:rsidR="009C7036">
        <w:t xml:space="preserve">for </w:t>
      </w:r>
      <w:r w:rsidR="00C8390A">
        <w:t>F</w:t>
      </w:r>
      <w:r w:rsidR="009C7036">
        <w:t>arm</w:t>
      </w:r>
      <w:r w:rsidR="00C8485B">
        <w:t xml:space="preserve"> </w:t>
      </w:r>
      <w:r w:rsidR="00E24D8C">
        <w:t>A</w:t>
      </w:r>
      <w:r w:rsidR="0030584B">
        <w:t xml:space="preserve"> </w:t>
      </w:r>
      <w:r>
        <w:t xml:space="preserve">(Figure </w:t>
      </w:r>
      <w:r w:rsidR="003D47BD">
        <w:t>S5</w:t>
      </w:r>
      <w:r>
        <w:t xml:space="preserve">) </w:t>
      </w:r>
      <w:r w:rsidR="009C7036">
        <w:t>identif</w:t>
      </w:r>
      <w:r w:rsidR="00945694">
        <w:t>ies</w:t>
      </w:r>
      <w:r w:rsidR="009C7036">
        <w:t xml:space="preserve"> similar </w:t>
      </w:r>
      <w:r w:rsidR="00945694">
        <w:t>sources</w:t>
      </w:r>
      <w:r w:rsidR="009C7036">
        <w:t xml:space="preserve"> of environmental impact</w:t>
      </w:r>
      <w:r w:rsidR="00945694">
        <w:t>s</w:t>
      </w:r>
      <w:r w:rsidR="00F15DA7">
        <w:t xml:space="preserve">, with key differences </w:t>
      </w:r>
      <w:r w:rsidR="009C7036">
        <w:t>includ</w:t>
      </w:r>
      <w:r w:rsidR="00945694">
        <w:t>ing</w:t>
      </w:r>
      <w:r w:rsidR="009C7036">
        <w:t xml:space="preserve"> higher contributions of </w:t>
      </w:r>
      <w:r w:rsidR="00945694">
        <w:t>manure</w:t>
      </w:r>
      <w:r w:rsidR="009C7036">
        <w:t xml:space="preserve"> management to </w:t>
      </w:r>
      <w:r w:rsidR="00945694">
        <w:t xml:space="preserve">terrestrial </w:t>
      </w:r>
      <w:r w:rsidR="009C7036">
        <w:t>eutrophication, acidification and respiratory inorganics, and the absence of credits</w:t>
      </w:r>
      <w:r w:rsidR="00945694">
        <w:t xml:space="preserve"> from electricity generation</w:t>
      </w:r>
      <w:r w:rsidR="009C7036">
        <w:t>.</w:t>
      </w:r>
      <w:r w:rsidR="00F15DA7">
        <w:t xml:space="preserve"> These differences are linked to the manure management strategy that entails using manure as natural fertilizer. This leads to reduced consumption of artificial fertilizer but also higher fugitive emissions of </w:t>
      </w:r>
      <w:r w:rsidR="00EB4B2A">
        <w:t xml:space="preserve">ammonia </w:t>
      </w:r>
      <w:r w:rsidR="00E3016E">
        <w:t>from storage of manure</w:t>
      </w:r>
      <w:r w:rsidR="00F15DA7">
        <w:t xml:space="preserve"> before its spreading.</w:t>
      </w:r>
      <w:r w:rsidR="00F15DA7" w:rsidDel="00945694">
        <w:t xml:space="preserve"> </w:t>
      </w:r>
    </w:p>
    <w:p w14:paraId="4FFDCB66" w14:textId="1DB9CF93" w:rsidR="009C7036" w:rsidRDefault="009C7036" w:rsidP="00493131">
      <w:pPr>
        <w:spacing w:line="360" w:lineRule="auto"/>
        <w:ind w:firstLine="0"/>
      </w:pPr>
      <w:r>
        <w:t xml:space="preserve">The results for </w:t>
      </w:r>
      <w:r w:rsidR="00C8390A">
        <w:t>F</w:t>
      </w:r>
      <w:r>
        <w:t>arm</w:t>
      </w:r>
      <w:r w:rsidR="00E0170C">
        <w:t xml:space="preserve"> </w:t>
      </w:r>
      <w:r w:rsidR="00E24D8C">
        <w:t>C</w:t>
      </w:r>
      <w:r w:rsidR="0030584B">
        <w:t xml:space="preserve"> </w:t>
      </w:r>
      <w:r>
        <w:t>(Figure S</w:t>
      </w:r>
      <w:r w:rsidR="003D47BD">
        <w:t>6</w:t>
      </w:r>
      <w:r>
        <w:t>) highlight substantially higher contributions from crop production, particular</w:t>
      </w:r>
      <w:r w:rsidR="00C464EE">
        <w:t>ly</w:t>
      </w:r>
      <w:r>
        <w:t xml:space="preserve"> in terms of water consumption and land use. These are related to the fact that this farm employs an organic</w:t>
      </w:r>
      <w:r w:rsidR="00482EAB">
        <w:t xml:space="preserve"> method of</w:t>
      </w:r>
      <w:r>
        <w:t xml:space="preserve"> </w:t>
      </w:r>
      <w:r w:rsidR="00F15DA7">
        <w:t xml:space="preserve">farming, which typically entails lower </w:t>
      </w:r>
      <w:r w:rsidR="001A4669">
        <w:t xml:space="preserve">crop productivity </w:t>
      </w:r>
      <w:r w:rsidR="00F15DA7">
        <w:t>(</w:t>
      </w:r>
      <w:r w:rsidR="001A4669">
        <w:t>due to the inability to use non-natural fertilizer</w:t>
      </w:r>
      <w:r w:rsidR="00F15DA7">
        <w:t>)</w:t>
      </w:r>
      <w:r w:rsidR="001A4669">
        <w:t xml:space="preserve">. </w:t>
      </w:r>
      <w:r w:rsidR="009935D3">
        <w:t>Furthermore,</w:t>
      </w:r>
      <w:r>
        <w:t xml:space="preserve"> the credits from electricity generation are less significant, because </w:t>
      </w:r>
      <w:r w:rsidR="00FD521F">
        <w:t>the manure produced i</w:t>
      </w:r>
      <w:r w:rsidR="00F15DA7">
        <w:t>s</w:t>
      </w:r>
      <w:r w:rsidR="00FD521F">
        <w:t xml:space="preserve"> </w:t>
      </w:r>
      <w:r w:rsidR="00F15DA7">
        <w:t>only</w:t>
      </w:r>
      <w:r w:rsidR="00FD521F">
        <w:t xml:space="preserve"> partially used for energy valorisation</w:t>
      </w:r>
      <w:r w:rsidR="00F15DA7">
        <w:t>, with the remainder being used as fertilizer.</w:t>
      </w:r>
    </w:p>
    <w:p w14:paraId="5670FAEB" w14:textId="77777777" w:rsidR="00CA4427" w:rsidRDefault="006F2A14" w:rsidP="00A060AF">
      <w:pPr>
        <w:pStyle w:val="Titolo2"/>
      </w:pPr>
      <w:bookmarkStart w:id="22" w:name="_Ref77932332"/>
      <w:r w:rsidRPr="00FE4137">
        <w:t>Comparative</w:t>
      </w:r>
      <w:r>
        <w:t xml:space="preserve"> </w:t>
      </w:r>
      <w:bookmarkEnd w:id="22"/>
      <w:r w:rsidR="00EC4A13">
        <w:t>analysis</w:t>
      </w:r>
      <w:r w:rsidR="00C961B5">
        <w:t xml:space="preserve"> and the role of </w:t>
      </w:r>
      <w:r w:rsidR="00CA4427">
        <w:t xml:space="preserve">buffalo </w:t>
      </w:r>
      <w:r w:rsidR="00C961B5">
        <w:t>productivity</w:t>
      </w:r>
    </w:p>
    <w:p w14:paraId="4756F4AB" w14:textId="15CCF026" w:rsidR="00B2288E" w:rsidRDefault="000C53F2" w:rsidP="00F45D08">
      <w:pPr>
        <w:spacing w:line="360" w:lineRule="auto"/>
        <w:ind w:firstLine="0"/>
      </w:pPr>
      <w:r>
        <w:fldChar w:fldCharType="begin"/>
      </w:r>
      <w:r w:rsidRPr="000C53F2">
        <w:rPr>
          <w:lang w:val="en-US"/>
        </w:rPr>
        <w:instrText xml:space="preserve"> REF _Ref102472900 \h </w:instrText>
      </w:r>
      <w:r>
        <w:fldChar w:fldCharType="separate"/>
      </w:r>
      <w:r w:rsidR="008D2EFC">
        <w:t xml:space="preserve">Figure </w:t>
      </w:r>
      <w:r w:rsidR="008D2EFC">
        <w:rPr>
          <w:noProof/>
        </w:rPr>
        <w:t>6</w:t>
      </w:r>
      <w:r>
        <w:fldChar w:fldCharType="end"/>
      </w:r>
      <w:r>
        <w:t xml:space="preserve"> </w:t>
      </w:r>
      <w:r w:rsidR="00264FE8">
        <w:t>compar</w:t>
      </w:r>
      <w:r w:rsidR="006B4F84">
        <w:t>e</w:t>
      </w:r>
      <w:r w:rsidR="00AC0AE4">
        <w:t>s</w:t>
      </w:r>
      <w:r w:rsidR="00264FE8">
        <w:t xml:space="preserve"> the life-cycle performance of the three farms investigated across the full spectrum of environmental categories</w:t>
      </w:r>
      <w:r w:rsidR="004602E1">
        <w:t xml:space="preserve">; </w:t>
      </w:r>
      <w:r w:rsidR="00833042">
        <w:t xml:space="preserve">the underlying </w:t>
      </w:r>
      <w:r w:rsidR="004602E1">
        <w:t xml:space="preserve">numerical values are </w:t>
      </w:r>
      <w:r w:rsidR="00833042">
        <w:t>included</w:t>
      </w:r>
      <w:r w:rsidR="004602E1">
        <w:t xml:space="preserve"> in Table </w:t>
      </w:r>
      <w:r w:rsidR="000E74D7">
        <w:t>S6</w:t>
      </w:r>
      <w:r w:rsidR="004602E1">
        <w:t>.</w:t>
      </w:r>
      <w:r w:rsidR="00B2288E">
        <w:t xml:space="preserve"> The </w:t>
      </w:r>
      <w:r w:rsidR="00B2288E" w:rsidRPr="00D9550C">
        <w:t xml:space="preserve">impacts are normalized </w:t>
      </w:r>
      <w:r w:rsidR="00B2288E">
        <w:t xml:space="preserve">using reference values for per-capita </w:t>
      </w:r>
      <w:r w:rsidR="00B2288E" w:rsidRPr="00D9550C">
        <w:t>impact</w:t>
      </w:r>
      <w:r w:rsidR="00B2288E">
        <w:t xml:space="preserve"> in the European Union </w:t>
      </w:r>
      <w:r w:rsidR="00B2288E">
        <w:fldChar w:fldCharType="begin" w:fldLock="1"/>
      </w:r>
      <w:r w:rsidR="00523B4F">
        <w:instrText>ADDIN CSL_CITATION {"citationItems":[{"id":"ITEM-1","itemData":{"author":[{"dropping-particle":"","family":"Sala","given":"Serenella","non-dropping-particle":"","parse-names":false,"suffix":""},{"dropping-particle":"","family":"Cerutti","given":"Alessandro Kim","non-dropping-particle":"","parse-names":false,"suffix":""},{"dropping-particle":"","family":"Pant","given":"Rana","non-dropping-particle":"","parse-names":false,"suffix":""}],"container-title":"Publications Office of the European Union: Luxembourg","id":"ITEM-1","issued":{"date-parts":[["2018"]]},"title":"Development of a weighting approach for the environmental footprint","type":"article-journal"},"uris":["http://www.mendeley.com/documents/?uuid=8f4a97cb-a5eb-4ddb-97df-dcfbd4c19720"]}],"mendeley":{"formattedCitation":"(Sala et al., 2018)","plainTextFormattedCitation":"(Sala et al., 2018)","previouslyFormattedCitation":"(Sala et al., 2018)"},"properties":{"noteIndex":0},"schema":"https://github.com/citation-style-language/schema/raw/master/csl-citation.json"}</w:instrText>
      </w:r>
      <w:r w:rsidR="00B2288E">
        <w:fldChar w:fldCharType="separate"/>
      </w:r>
      <w:r w:rsidR="00523B4F" w:rsidRPr="00523B4F">
        <w:rPr>
          <w:noProof/>
        </w:rPr>
        <w:t>(Sala et al., 2018)</w:t>
      </w:r>
      <w:r w:rsidR="00B2288E">
        <w:fldChar w:fldCharType="end"/>
      </w:r>
      <w:r w:rsidR="00B2288E" w:rsidRPr="001127C7">
        <w:t>.</w:t>
      </w:r>
      <w:r w:rsidR="00B2288E">
        <w:t xml:space="preserve"> Notably, we report in </w:t>
      </w:r>
      <w:r w:rsidR="00A708B4">
        <w:t>darker</w:t>
      </w:r>
      <w:r w:rsidR="00B2288E">
        <w:t xml:space="preserve"> colours the environmental impacts when </w:t>
      </w:r>
      <w:r w:rsidR="00B2288E">
        <w:lastRenderedPageBreak/>
        <w:t xml:space="preserve">the farms are assumed to attain the same average productivity, which we arbitrarily set to be equal to that of </w:t>
      </w:r>
      <w:r w:rsidR="00C8390A">
        <w:t>F</w:t>
      </w:r>
      <w:r w:rsidR="008775AF">
        <w:t>arm B</w:t>
      </w:r>
      <w:r w:rsidR="00B2288E">
        <w:t xml:space="preserve"> (10.3 kg of milk per head per day).</w:t>
      </w:r>
    </w:p>
    <w:p w14:paraId="6DF52227" w14:textId="2740C8D8" w:rsidR="00A474EB" w:rsidRDefault="00F16B78" w:rsidP="00380F72">
      <w:pPr>
        <w:spacing w:line="360" w:lineRule="auto"/>
        <w:ind w:firstLine="0"/>
      </w:pPr>
      <w:r w:rsidRPr="001127C7">
        <w:t xml:space="preserve">The </w:t>
      </w:r>
      <w:r w:rsidR="00C961B5">
        <w:t>comparative analysis</w:t>
      </w:r>
      <w:r w:rsidRPr="001127C7">
        <w:t xml:space="preserve"> shows</w:t>
      </w:r>
      <w:r w:rsidR="00C961B5">
        <w:t xml:space="preserve"> that no farm outperforms the others across all environmental categories. </w:t>
      </w:r>
      <w:r w:rsidR="00F7665E">
        <w:t>F</w:t>
      </w:r>
      <w:r w:rsidR="00833042">
        <w:t xml:space="preserve">arm </w:t>
      </w:r>
      <w:r w:rsidR="00F7665E">
        <w:t xml:space="preserve">A </w:t>
      </w:r>
      <w:r w:rsidR="003B2BD2">
        <w:t xml:space="preserve">yields the </w:t>
      </w:r>
      <w:r w:rsidRPr="001127C7">
        <w:t>large</w:t>
      </w:r>
      <w:r w:rsidR="00A474EB">
        <w:t>st</w:t>
      </w:r>
      <w:r w:rsidRPr="001127C7">
        <w:t xml:space="preserve"> impacts i</w:t>
      </w:r>
      <w:r>
        <w:t>n</w:t>
      </w:r>
      <w:r w:rsidR="003B2BD2">
        <w:t xml:space="preserve"> </w:t>
      </w:r>
      <w:r w:rsidR="00A474EB">
        <w:t>the vast majority of</w:t>
      </w:r>
      <w:r w:rsidR="003B2BD2">
        <w:t xml:space="preserve"> categories</w:t>
      </w:r>
      <w:r w:rsidR="00A474EB">
        <w:t>,</w:t>
      </w:r>
      <w:r w:rsidR="003B2BD2">
        <w:t xml:space="preserve"> with the exception of</w:t>
      </w:r>
      <w:r w:rsidR="00A474EB">
        <w:t xml:space="preserve"> </w:t>
      </w:r>
      <w:r w:rsidR="000F167D">
        <w:t>land use</w:t>
      </w:r>
      <w:r w:rsidR="00051DF7">
        <w:t>,</w:t>
      </w:r>
      <w:r w:rsidR="00EA4A7D">
        <w:t xml:space="preserve"> water scarcity</w:t>
      </w:r>
      <w:r w:rsidR="005C538E">
        <w:t xml:space="preserve"> </w:t>
      </w:r>
      <w:r w:rsidR="00051DF7">
        <w:t>and</w:t>
      </w:r>
      <w:r w:rsidR="001C4614">
        <w:t xml:space="preserve"> </w:t>
      </w:r>
      <w:r w:rsidR="005C538E">
        <w:t>non-cancer human health</w:t>
      </w:r>
      <w:r w:rsidR="00833042">
        <w:t xml:space="preserve">. </w:t>
      </w:r>
      <w:r w:rsidR="00F7665E">
        <w:t>Farm C</w:t>
      </w:r>
      <w:r w:rsidR="00A474EB">
        <w:t xml:space="preserve"> generates the largest impacts in these categories, but also the smallest in cancer human health and ecotoxicity freshwater</w:t>
      </w:r>
      <w:r w:rsidR="00A474EB" w:rsidRPr="001127C7">
        <w:t>.</w:t>
      </w:r>
      <w:r w:rsidR="00A474EB" w:rsidRPr="00A474EB">
        <w:t xml:space="preserve"> </w:t>
      </w:r>
      <w:r w:rsidR="00F7665E">
        <w:t>Farm B</w:t>
      </w:r>
      <w:r w:rsidR="00A474EB" w:rsidRPr="001127C7">
        <w:t xml:space="preserve"> </w:t>
      </w:r>
      <w:r w:rsidR="00A474EB">
        <w:t>outperforms the other farms</w:t>
      </w:r>
      <w:r w:rsidR="00B2288E">
        <w:t xml:space="preserve"> in the remaining categories.</w:t>
      </w:r>
    </w:p>
    <w:p w14:paraId="702C30CB" w14:textId="16662829" w:rsidR="008E34ED" w:rsidRDefault="008E34ED" w:rsidP="008E34ED">
      <w:pPr>
        <w:ind w:firstLine="0"/>
        <w:jc w:val="center"/>
        <w:rPr>
          <w:noProof/>
        </w:rPr>
      </w:pPr>
    </w:p>
    <w:p w14:paraId="6474B129" w14:textId="3A23B33D" w:rsidR="009B6D6D" w:rsidRPr="001127C7" w:rsidRDefault="005D1C31" w:rsidP="008E34ED">
      <w:pPr>
        <w:ind w:firstLine="0"/>
        <w:jc w:val="center"/>
        <w:rPr>
          <w:noProof/>
        </w:rPr>
      </w:pPr>
      <w:r>
        <w:rPr>
          <w:noProof/>
          <w:lang w:val="it-IT"/>
        </w:rPr>
        <w:pict w14:anchorId="594FA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9pt;height:286.5pt">
            <v:imagedata r:id="rId16" o:title="figura 6 rev"/>
          </v:shape>
        </w:pict>
      </w:r>
    </w:p>
    <w:p w14:paraId="6A58DB0C" w14:textId="49664246" w:rsidR="008E34ED" w:rsidRPr="00B2288E" w:rsidRDefault="008E34ED" w:rsidP="00A060AF">
      <w:pPr>
        <w:pStyle w:val="Didascalia"/>
        <w:jc w:val="center"/>
      </w:pPr>
      <w:bookmarkStart w:id="23" w:name="_Ref102472900"/>
      <w:r>
        <w:t xml:space="preserve">Figure </w:t>
      </w:r>
      <w:r>
        <w:rPr>
          <w:bCs w:val="0"/>
          <w:i w:val="0"/>
          <w:iCs w:val="0"/>
        </w:rPr>
        <w:fldChar w:fldCharType="begin"/>
      </w:r>
      <w:r>
        <w:instrText xml:space="preserve"> SEQ Figure \* ARABIC </w:instrText>
      </w:r>
      <w:r>
        <w:rPr>
          <w:bCs w:val="0"/>
          <w:i w:val="0"/>
          <w:iCs w:val="0"/>
        </w:rPr>
        <w:fldChar w:fldCharType="separate"/>
      </w:r>
      <w:r w:rsidR="008D2EFC">
        <w:rPr>
          <w:noProof/>
        </w:rPr>
        <w:t>6</w:t>
      </w:r>
      <w:r>
        <w:rPr>
          <w:bCs w:val="0"/>
          <w:i w:val="0"/>
          <w:iCs w:val="0"/>
        </w:rPr>
        <w:fldChar w:fldCharType="end"/>
      </w:r>
      <w:bookmarkEnd w:id="23"/>
      <w:r w:rsidRPr="001127C7">
        <w:t xml:space="preserve"> – Comparison </w:t>
      </w:r>
      <w:r>
        <w:t>of</w:t>
      </w:r>
      <w:r w:rsidRPr="001127C7">
        <w:t xml:space="preserve"> environmental impacts of </w:t>
      </w:r>
      <w:r>
        <w:t xml:space="preserve">milk production for the three farms investigated. </w:t>
      </w:r>
      <w:r w:rsidR="00A708B4">
        <w:t>Light</w:t>
      </w:r>
      <w:r>
        <w:t xml:space="preserve">-coloured bars represent impacts considering varying productivity of animals. </w:t>
      </w:r>
      <w:r w:rsidR="00A708B4">
        <w:t>Dark</w:t>
      </w:r>
      <w:r>
        <w:t xml:space="preserve">-coloured bars assume all farms have same productivity, equal to that of </w:t>
      </w:r>
      <w:r w:rsidR="00FF07DE">
        <w:t>Farm B</w:t>
      </w:r>
      <w:r>
        <w:t xml:space="preserve"> (10.3 kg/head day)</w:t>
      </w:r>
    </w:p>
    <w:p w14:paraId="6DD84C93" w14:textId="7B65DAC3" w:rsidR="008E34ED" w:rsidRDefault="00833042" w:rsidP="00380F72">
      <w:pPr>
        <w:spacing w:line="360" w:lineRule="auto"/>
        <w:ind w:firstLine="0"/>
      </w:pPr>
      <w:r>
        <w:t xml:space="preserve">The farms’ relative environmental performance is determined by </w:t>
      </w:r>
      <w:r w:rsidR="008E34ED">
        <w:t xml:space="preserve">a </w:t>
      </w:r>
      <w:r w:rsidR="009935D3">
        <w:t xml:space="preserve">combination </w:t>
      </w:r>
      <w:r>
        <w:t>of multiple factors</w:t>
      </w:r>
      <w:r w:rsidR="00B2288E">
        <w:t>,</w:t>
      </w:r>
      <w:r>
        <w:t xml:space="preserve"> including </w:t>
      </w:r>
      <w:r w:rsidR="009935D3">
        <w:t xml:space="preserve">buffalos’ milk </w:t>
      </w:r>
      <w:r w:rsidR="00E61BA0">
        <w:t>yield</w:t>
      </w:r>
      <w:r>
        <w:t>, the manure management strategy</w:t>
      </w:r>
      <w:r w:rsidR="00170A0C">
        <w:t xml:space="preserve">, the type of animal feed and the proportion </w:t>
      </w:r>
      <w:r w:rsidR="00B2288E">
        <w:t>that is cultivated/purchased</w:t>
      </w:r>
      <w:r w:rsidR="00170A0C">
        <w:t xml:space="preserve">. </w:t>
      </w:r>
      <w:r w:rsidR="009935D3">
        <w:t>Milk</w:t>
      </w:r>
      <w:r w:rsidR="00170A0C">
        <w:t xml:space="preserve"> productivity is arguably one of the most influential parameters: </w:t>
      </w:r>
      <w:r w:rsidR="00CC3915">
        <w:t>higher productivity</w:t>
      </w:r>
      <w:r w:rsidR="00170A0C">
        <w:t xml:space="preserve"> entails</w:t>
      </w:r>
      <w:r w:rsidR="00CC3915">
        <w:t xml:space="preserve"> lower environmental impacts per unit of milk because the overall, </w:t>
      </w:r>
      <w:r w:rsidR="00B2288E">
        <w:t xml:space="preserve">farm-wide impacts </w:t>
      </w:r>
      <w:r w:rsidR="00CC3915">
        <w:t xml:space="preserve">are distributed across </w:t>
      </w:r>
      <w:r w:rsidR="00B2288E">
        <w:t>larger amounts of milk</w:t>
      </w:r>
      <w:r w:rsidR="00CC3915">
        <w:t xml:space="preserve">. </w:t>
      </w:r>
      <w:r w:rsidR="009935D3">
        <w:t>This parameter</w:t>
      </w:r>
      <w:r w:rsidR="00CC3915">
        <w:t xml:space="preserve"> is affected by several aspects that are related to the farm management, such as </w:t>
      </w:r>
      <w:r w:rsidR="00CC3915">
        <w:lastRenderedPageBreak/>
        <w:t>buffalo diets and health, and region of growth</w:t>
      </w:r>
      <w:r w:rsidR="008E34ED">
        <w:t>; but crucially, it also</w:t>
      </w:r>
      <w:r w:rsidR="00CC3915">
        <w:t xml:space="preserve"> depends on the genetics of the animals, which is not related to the farm operation. </w:t>
      </w:r>
    </w:p>
    <w:p w14:paraId="1DFE8EDA" w14:textId="3D9EA590" w:rsidR="001A2119" w:rsidRDefault="00CC3915" w:rsidP="00380F72">
      <w:pPr>
        <w:spacing w:line="360" w:lineRule="auto"/>
        <w:ind w:firstLine="0"/>
      </w:pPr>
      <w:r>
        <w:t>For this reason</w:t>
      </w:r>
      <w:r w:rsidR="008E34ED">
        <w:t>,</w:t>
      </w:r>
      <w:r>
        <w:t xml:space="preserve"> we adjusted the comparison considering all farms have the same</w:t>
      </w:r>
      <w:r w:rsidR="008E34ED">
        <w:t xml:space="preserve"> milk</w:t>
      </w:r>
      <w:r>
        <w:t xml:space="preserve"> productivity</w:t>
      </w:r>
      <w:r w:rsidR="00894B79">
        <w:t>;</w:t>
      </w:r>
      <w:r>
        <w:t xml:space="preserve"> </w:t>
      </w:r>
      <w:r w:rsidR="00894B79">
        <w:t>in essence, this</w:t>
      </w:r>
      <w:r w:rsidR="001A2119">
        <w:t xml:space="preserve"> entails reducing the environmental impacts of </w:t>
      </w:r>
      <w:r w:rsidR="00C8390A">
        <w:t>F</w:t>
      </w:r>
      <w:r w:rsidR="003F03D7">
        <w:t xml:space="preserve">arm A </w:t>
      </w:r>
      <w:r w:rsidR="001A2119">
        <w:t xml:space="preserve">and </w:t>
      </w:r>
      <w:r w:rsidR="00C8390A">
        <w:t xml:space="preserve">Farm </w:t>
      </w:r>
      <w:r w:rsidR="003F03D7">
        <w:t>C</w:t>
      </w:r>
      <w:r w:rsidR="001A2119">
        <w:t xml:space="preserve"> in proportion to the</w:t>
      </w:r>
      <w:r w:rsidR="008E34ED">
        <w:t xml:space="preserve"> difference in</w:t>
      </w:r>
      <w:r w:rsidR="001A2119">
        <w:t xml:space="preserve"> productivit</w:t>
      </w:r>
      <w:r w:rsidR="008E34ED">
        <w:t>y</w:t>
      </w:r>
      <w:r w:rsidR="001A2119">
        <w:t xml:space="preserve"> compared to </w:t>
      </w:r>
      <w:r w:rsidR="00C8390A">
        <w:t>F</w:t>
      </w:r>
      <w:r w:rsidR="003F1123">
        <w:t>arm B</w:t>
      </w:r>
      <w:r w:rsidR="001A2119">
        <w:t>.</w:t>
      </w:r>
      <w:r w:rsidR="008E34ED">
        <w:t xml:space="preserve"> </w:t>
      </w:r>
      <w:r w:rsidR="00C8390A">
        <w:t>T</w:t>
      </w:r>
      <w:r w:rsidR="0030584B">
        <w:t>he</w:t>
      </w:r>
      <w:r w:rsidR="001A2119">
        <w:t xml:space="preserve"> productivity-adjusted comparison</w:t>
      </w:r>
      <w:r w:rsidR="00894B79">
        <w:t xml:space="preserve"> </w:t>
      </w:r>
      <w:r w:rsidR="001A2119">
        <w:t xml:space="preserve">shows that </w:t>
      </w:r>
      <w:r w:rsidR="00C8390A">
        <w:t>F</w:t>
      </w:r>
      <w:r w:rsidR="003F1123">
        <w:t xml:space="preserve">arm A </w:t>
      </w:r>
      <w:r w:rsidR="001A2119">
        <w:t xml:space="preserve">and </w:t>
      </w:r>
      <w:r w:rsidR="00C8390A">
        <w:t xml:space="preserve">Farm </w:t>
      </w:r>
      <w:r w:rsidR="003F1123">
        <w:t>C</w:t>
      </w:r>
      <w:r w:rsidR="001A2119">
        <w:t xml:space="preserve"> yield lower environmental impacts, approaching the performance of </w:t>
      </w:r>
      <w:r w:rsidR="00C8390A">
        <w:t>F</w:t>
      </w:r>
      <w:r w:rsidR="003F1123">
        <w:t>arm B</w:t>
      </w:r>
      <w:r w:rsidR="001A2119">
        <w:t>. Interestingly,</w:t>
      </w:r>
      <w:r w:rsidR="00894B79">
        <w:t xml:space="preserve"> adjusting for productivity only changes </w:t>
      </w:r>
      <w:r w:rsidR="001A2119">
        <w:t>the difference between the impacts</w:t>
      </w:r>
      <w:r w:rsidR="00894B79">
        <w:t xml:space="preserve"> of the farms</w:t>
      </w:r>
      <w:r w:rsidR="001A2119">
        <w:t xml:space="preserve"> in each category, </w:t>
      </w:r>
      <w:r w:rsidR="00894B79">
        <w:t>but</w:t>
      </w:r>
      <w:r w:rsidR="001A2119">
        <w:t xml:space="preserve"> not the ranking. </w:t>
      </w:r>
    </w:p>
    <w:p w14:paraId="49BB06F4" w14:textId="141DBFF4" w:rsidR="00170A0C" w:rsidRDefault="00170A0C" w:rsidP="00380F72">
      <w:pPr>
        <w:spacing w:line="360" w:lineRule="auto"/>
        <w:ind w:firstLine="0"/>
      </w:pPr>
      <w:r>
        <w:t>The remaining differences in the environmental performance</w:t>
      </w:r>
      <w:r w:rsidR="00894B79">
        <w:t>s of the farms</w:t>
      </w:r>
      <w:r>
        <w:t xml:space="preserve"> </w:t>
      </w:r>
      <w:r w:rsidR="00894B79">
        <w:t>are</w:t>
      </w:r>
      <w:r>
        <w:t xml:space="preserve"> explained by </w:t>
      </w:r>
      <w:r w:rsidR="001A2119">
        <w:t xml:space="preserve">the other above-mentioned aspects: </w:t>
      </w:r>
      <w:r>
        <w:t xml:space="preserve">manure management strategy and type of animal feed. </w:t>
      </w:r>
      <w:r w:rsidR="005A4E03">
        <w:t xml:space="preserve">The </w:t>
      </w:r>
      <w:r w:rsidR="001A2119">
        <w:t xml:space="preserve">former primarily </w:t>
      </w:r>
      <w:r w:rsidR="005A4E03">
        <w:t xml:space="preserve">affects </w:t>
      </w:r>
      <w:r w:rsidR="001A2119">
        <w:t>the categories</w:t>
      </w:r>
      <w:r w:rsidR="005A4E03">
        <w:t xml:space="preserve"> ionising radiation</w:t>
      </w:r>
      <w:r w:rsidR="001A2119">
        <w:t>,</w:t>
      </w:r>
      <w:r w:rsidR="005A4E03">
        <w:t xml:space="preserve"> resource use (energy carries)</w:t>
      </w:r>
      <w:r w:rsidR="001A2119">
        <w:t>,</w:t>
      </w:r>
      <w:r w:rsidR="005A4E03">
        <w:t xml:space="preserve"> terrestrial eutrophication and </w:t>
      </w:r>
      <w:r w:rsidR="001A2119">
        <w:t xml:space="preserve">acidification (as discussed in Section </w:t>
      </w:r>
      <w:r w:rsidR="001A2119">
        <w:fldChar w:fldCharType="begin"/>
      </w:r>
      <w:r w:rsidR="001A2119">
        <w:instrText xml:space="preserve"> REF _Ref78374800 \r \h </w:instrText>
      </w:r>
      <w:r w:rsidR="001A2119">
        <w:fldChar w:fldCharType="separate"/>
      </w:r>
      <w:r w:rsidR="008D2EFC">
        <w:t>3.3</w:t>
      </w:r>
      <w:r w:rsidR="001A2119">
        <w:fldChar w:fldCharType="end"/>
      </w:r>
      <w:r w:rsidR="001A2119">
        <w:t>)</w:t>
      </w:r>
      <w:r w:rsidR="00894B79">
        <w:t xml:space="preserve">, with the latter explaining </w:t>
      </w:r>
      <w:r w:rsidR="005A4E03">
        <w:t xml:space="preserve">the remaining differences. </w:t>
      </w:r>
      <w:r w:rsidR="00894B79">
        <w:t>For example,</w:t>
      </w:r>
      <w:r w:rsidR="001A2119">
        <w:t xml:space="preserve"> the significan</w:t>
      </w:r>
      <w:r w:rsidR="00894B79">
        <w:t>t</w:t>
      </w:r>
      <w:r w:rsidR="001A2119">
        <w:t xml:space="preserve"> water consumption of </w:t>
      </w:r>
      <w:r w:rsidR="008D57CE">
        <w:t>Farm A</w:t>
      </w:r>
      <w:r w:rsidR="001A2119">
        <w:t xml:space="preserve"> </w:t>
      </w:r>
      <w:r w:rsidR="00894B79">
        <w:t xml:space="preserve">compared to the other farms </w:t>
      </w:r>
      <w:r w:rsidR="001A2119">
        <w:t>is due to high</w:t>
      </w:r>
      <w:r w:rsidR="00894B79">
        <w:t>er</w:t>
      </w:r>
      <w:r w:rsidR="001A2119">
        <w:t xml:space="preserve"> proportion of in-house cultivated corn, which is a water-intensive crop.</w:t>
      </w:r>
    </w:p>
    <w:p w14:paraId="7AB37660" w14:textId="39091CCB" w:rsidR="009B6D6D" w:rsidRDefault="009B6D6D" w:rsidP="00380F72">
      <w:pPr>
        <w:spacing w:line="360" w:lineRule="auto"/>
        <w:ind w:firstLine="0"/>
      </w:pPr>
      <w:r w:rsidRPr="009B6D6D">
        <w:t>The results are also interesting in terms of comparison between conventional (Farm B and Farm C) and organic farming (Farm A). Farm A has larger environmental impacts than the conventional counterparts in terms of land use, water scarcity and non-cancer human health, regardless of whether impacts are adjusted for productivity or even if credits for electricity production are considered. Higher impacts in the categories land use and water scarcity primarily stem from in-farm production of crops, which have lower yields due to inability of using non-natural fertilizers. Higher land use is also directly related to larger breeding space that is required in organic farming. Finally, higher non-cancer human health impact</w:t>
      </w:r>
      <w:r w:rsidR="007E5D58">
        <w:t>s</w:t>
      </w:r>
      <w:r w:rsidRPr="009B6D6D">
        <w:t xml:space="preserve"> originate from production of purchased feed, for similar reasons to those mentioned for in-farm crops.</w:t>
      </w:r>
    </w:p>
    <w:p w14:paraId="65FF72D6" w14:textId="77777777" w:rsidR="0093525A" w:rsidRPr="0048066D" w:rsidRDefault="0093525A" w:rsidP="00380F72">
      <w:pPr>
        <w:spacing w:line="360" w:lineRule="auto"/>
        <w:ind w:firstLine="0"/>
      </w:pPr>
    </w:p>
    <w:p w14:paraId="27069C9A" w14:textId="77777777" w:rsidR="000D5042" w:rsidRPr="009757AE" w:rsidRDefault="0025676E" w:rsidP="005646E9">
      <w:pPr>
        <w:pStyle w:val="Stile1"/>
        <w:spacing w:line="360" w:lineRule="auto"/>
      </w:pPr>
      <w:r w:rsidRPr="0048066D">
        <w:t>4</w:t>
      </w:r>
      <w:r w:rsidR="00AD45D2" w:rsidRPr="0048066D">
        <w:t>.</w:t>
      </w:r>
      <w:r w:rsidR="00015EE7" w:rsidRPr="009757AE">
        <w:t xml:space="preserve"> </w:t>
      </w:r>
      <w:r w:rsidR="00AD45D2" w:rsidRPr="009757AE">
        <w:t>CONCLUSIONS</w:t>
      </w:r>
    </w:p>
    <w:p w14:paraId="43B2913E" w14:textId="2C9DE370" w:rsidR="00224DB4" w:rsidRDefault="00AC0AE4">
      <w:pPr>
        <w:spacing w:line="360" w:lineRule="auto"/>
        <w:ind w:firstLine="0"/>
      </w:pPr>
      <w:r>
        <w:t>T</w:t>
      </w:r>
      <w:r w:rsidR="00224DB4">
        <w:t xml:space="preserve">his article presented a comprehensive Life Cycle Assessment (LCA) study that </w:t>
      </w:r>
      <w:r w:rsidR="00D3550C">
        <w:t>assessed</w:t>
      </w:r>
      <w:r w:rsidR="00224DB4">
        <w:t xml:space="preserve"> the environmental impacts</w:t>
      </w:r>
      <w:r w:rsidR="00D3550C">
        <w:t xml:space="preserve"> </w:t>
      </w:r>
      <w:r w:rsidR="00224DB4">
        <w:t xml:space="preserve">of buffalo milk production from three farms in southern Italy. </w:t>
      </w:r>
      <w:r>
        <w:t xml:space="preserve">It </w:t>
      </w:r>
      <w:r w:rsidR="00D3550C">
        <w:t>analysed</w:t>
      </w:r>
      <w:r w:rsidR="00224DB4">
        <w:t xml:space="preserve"> </w:t>
      </w:r>
      <w:r w:rsidR="00D3550C">
        <w:t>different approaches</w:t>
      </w:r>
      <w:r w:rsidR="00224DB4">
        <w:t xml:space="preserve"> for allocating the environmental impacts </w:t>
      </w:r>
      <w:r w:rsidR="00D3550C">
        <w:t xml:space="preserve">of the farms </w:t>
      </w:r>
      <w:r w:rsidR="00224DB4">
        <w:t xml:space="preserve">to milk </w:t>
      </w:r>
      <w:r w:rsidR="00D3550C">
        <w:lastRenderedPageBreak/>
        <w:t>production, and investigate</w:t>
      </w:r>
      <w:r w:rsidR="00DE271E">
        <w:t>d</w:t>
      </w:r>
      <w:r w:rsidR="00D3550C">
        <w:t xml:space="preserve"> the role of buffalos’ milk productivity on the environmental performance.</w:t>
      </w:r>
    </w:p>
    <w:p w14:paraId="347AD470" w14:textId="402AFCAE" w:rsidR="003D195A" w:rsidRDefault="00AC0AE4">
      <w:pPr>
        <w:spacing w:line="360" w:lineRule="auto"/>
        <w:ind w:firstLine="0"/>
      </w:pPr>
      <w:r>
        <w:t xml:space="preserve">The </w:t>
      </w:r>
      <w:r w:rsidR="00DE271E">
        <w:t xml:space="preserve">analysis confirms other literature studies in demonstrating </w:t>
      </w:r>
      <w:r w:rsidR="003D195A">
        <w:t xml:space="preserve">that the environmental impacts of milk production are highly dependent on the chosen allocation method. Economic allocation consistently apportions larger share of environmental impacts to milk production compared to the bio-physical plus crediting approach. </w:t>
      </w:r>
      <w:r w:rsidR="00DE271E">
        <w:t>However, b</w:t>
      </w:r>
      <w:r w:rsidR="003D195A">
        <w:t xml:space="preserve">oth methods suffer from similar limitations regarding spatial and temporal variability of </w:t>
      </w:r>
      <w:r w:rsidR="00DE271E">
        <w:t xml:space="preserve">the allocation </w:t>
      </w:r>
      <w:r w:rsidR="003D195A">
        <w:t xml:space="preserve">factors. </w:t>
      </w:r>
      <w:r w:rsidR="00DE271E">
        <w:t>F</w:t>
      </w:r>
      <w:r w:rsidR="003D195A">
        <w:t xml:space="preserve">ollowing </w:t>
      </w:r>
      <w:r w:rsidR="00DE271E">
        <w:t>recommendations from relevant</w:t>
      </w:r>
      <w:r w:rsidR="003D195A">
        <w:t xml:space="preserve"> Product Category Rules</w:t>
      </w:r>
      <w:r w:rsidR="00DE271E">
        <w:t xml:space="preserve"> (PCR)</w:t>
      </w:r>
      <w:r w:rsidR="003D195A">
        <w:t xml:space="preserve">, we reported </w:t>
      </w:r>
      <w:r w:rsidR="00DE271E">
        <w:t>and discussed in the main text the results obtained via the bio-physical plus crediting approac</w:t>
      </w:r>
      <w:r w:rsidR="008E4EA3">
        <w:t>h.</w:t>
      </w:r>
    </w:p>
    <w:p w14:paraId="67348927" w14:textId="72BD29B7" w:rsidR="008E4EA3" w:rsidRDefault="003D195A" w:rsidP="008E4EA3">
      <w:pPr>
        <w:spacing w:line="360" w:lineRule="auto"/>
        <w:ind w:firstLine="0"/>
      </w:pPr>
      <w:r>
        <w:t xml:space="preserve">The </w:t>
      </w:r>
      <w:r w:rsidR="00DE271E">
        <w:t>analysis</w:t>
      </w:r>
      <w:r>
        <w:t xml:space="preserve"> of climate change impacts shows that </w:t>
      </w:r>
      <w:proofErr w:type="spellStart"/>
      <w:r w:rsidR="00DE271E">
        <w:t>i</w:t>
      </w:r>
      <w:proofErr w:type="spellEnd"/>
      <w:r w:rsidR="00DE271E">
        <w:t xml:space="preserve">) the three farms investigated yield lower impacts compared to </w:t>
      </w:r>
      <w:r w:rsidR="008E4EA3">
        <w:t>median values from literature</w:t>
      </w:r>
      <w:r w:rsidR="00DE271E">
        <w:t xml:space="preserve">, and that ii) </w:t>
      </w:r>
      <w:r>
        <w:t xml:space="preserve">buffalo milk </w:t>
      </w:r>
      <w:r w:rsidR="00DE271E">
        <w:t>typically has</w:t>
      </w:r>
      <w:r>
        <w:t xml:space="preserve"> </w:t>
      </w:r>
      <w:r w:rsidR="0077387B">
        <w:t xml:space="preserve">larger </w:t>
      </w:r>
      <w:r w:rsidR="00DE271E">
        <w:t>carbon footprint compared to</w:t>
      </w:r>
      <w:r>
        <w:t xml:space="preserve"> cow milk</w:t>
      </w:r>
      <w:r w:rsidR="00DE271E">
        <w:t>; this is</w:t>
      </w:r>
      <w:r w:rsidR="008E4EA3">
        <w:t xml:space="preserve"> mainly</w:t>
      </w:r>
      <w:r>
        <w:t xml:space="preserve"> because of higher milk productivity of cows compared to buffalos. The hot-spot analysis shows that</w:t>
      </w:r>
      <w:r w:rsidR="004C52A6">
        <w:t xml:space="preserve"> the largest source of climate change impacts are direct </w:t>
      </w:r>
      <w:r>
        <w:t>emissions from enteric;</w:t>
      </w:r>
      <w:r w:rsidR="009A20BA">
        <w:t xml:space="preserve"> these c</w:t>
      </w:r>
      <w:r w:rsidR="008E4EA3">
        <w:t>ould</w:t>
      </w:r>
      <w:r w:rsidR="009A20BA">
        <w:t xml:space="preserve"> </w:t>
      </w:r>
      <w:r w:rsidR="00D3663A">
        <w:t xml:space="preserve">be </w:t>
      </w:r>
      <w:r w:rsidR="00F24B67">
        <w:t>reduced via changes in the diets of the animals. O</w:t>
      </w:r>
      <w:r>
        <w:t>ther significant contributor</w:t>
      </w:r>
      <w:r w:rsidR="004C52A6">
        <w:t>s</w:t>
      </w:r>
      <w:r>
        <w:t xml:space="preserve"> include </w:t>
      </w:r>
      <w:r w:rsidR="004C52A6">
        <w:t xml:space="preserve">direct </w:t>
      </w:r>
      <w:r>
        <w:t>emissions from machine operation, purchased feed an</w:t>
      </w:r>
      <w:r w:rsidR="004C52A6">
        <w:t>d, where</w:t>
      </w:r>
      <w:r w:rsidR="009A20BA">
        <w:t xml:space="preserve"> applicable</w:t>
      </w:r>
      <w:r w:rsidR="004C52A6">
        <w:t>, fugitive emissions from the bio-digester, which is used to generate electricity from manure</w:t>
      </w:r>
      <w:r w:rsidR="009A20BA">
        <w:t xml:space="preserve">. The other environmental categories are </w:t>
      </w:r>
      <w:r w:rsidR="004C52A6">
        <w:t>primarily</w:t>
      </w:r>
      <w:r w:rsidR="009A20BA">
        <w:t xml:space="preserve"> dominated by</w:t>
      </w:r>
      <w:r w:rsidR="004C52A6">
        <w:t xml:space="preserve"> impacts associated with</w:t>
      </w:r>
      <w:r w:rsidR="009A20BA">
        <w:t xml:space="preserve"> purchased feed and machine operation, with credits from electricity</w:t>
      </w:r>
      <w:r w:rsidR="004C52A6">
        <w:t xml:space="preserve"> generation</w:t>
      </w:r>
      <w:r w:rsidR="009A20BA">
        <w:t xml:space="preserve"> being</w:t>
      </w:r>
      <w:r w:rsidR="004C52A6">
        <w:t xml:space="preserve"> particularly</w:t>
      </w:r>
      <w:r w:rsidR="009A20BA">
        <w:t xml:space="preserve"> significan</w:t>
      </w:r>
      <w:r w:rsidR="004C52A6">
        <w:t>t</w:t>
      </w:r>
      <w:r w:rsidR="009A20BA">
        <w:t xml:space="preserve"> in a</w:t>
      </w:r>
      <w:r w:rsidR="004C52A6">
        <w:t xml:space="preserve"> limited</w:t>
      </w:r>
      <w:r w:rsidR="009A20BA">
        <w:t xml:space="preserve"> number of categories, including ionising </w:t>
      </w:r>
      <w:r w:rsidR="004C52A6">
        <w:t>radiation</w:t>
      </w:r>
      <w:r w:rsidR="009A20BA">
        <w:t xml:space="preserve"> and resource use (energy carriers).</w:t>
      </w:r>
      <w:r w:rsidR="008E4EA3">
        <w:t xml:space="preserve"> </w:t>
      </w:r>
      <w:r w:rsidR="008E4EA3" w:rsidRPr="00607073">
        <w:t>Possible strategies to improve the environmental impacts should therefore focus</w:t>
      </w:r>
      <w:r w:rsidR="00505010">
        <w:t xml:space="preserve"> on the improvement of machine operations through precision agriculture techniques, which can lead to increased crop production and, consequently, reduced feedstuff purchase.</w:t>
      </w:r>
    </w:p>
    <w:p w14:paraId="657E8D69" w14:textId="19C1D5EC" w:rsidR="004C52A6" w:rsidRDefault="008E4EA3" w:rsidP="004C52A6">
      <w:pPr>
        <w:spacing w:line="360" w:lineRule="auto"/>
        <w:ind w:firstLine="0"/>
      </w:pPr>
      <w:r>
        <w:t>T</w:t>
      </w:r>
      <w:r w:rsidR="00F24B67">
        <w:t xml:space="preserve">he comparative analysis </w:t>
      </w:r>
      <w:r w:rsidR="004C52A6">
        <w:t>demonstrated</w:t>
      </w:r>
      <w:r w:rsidR="00F24B67">
        <w:t xml:space="preserve"> that no farm outperforms the other across the entire spectrum of categories</w:t>
      </w:r>
      <w:r w:rsidR="004C52A6">
        <w:t>.</w:t>
      </w:r>
      <w:r w:rsidR="00F24B67">
        <w:t xml:space="preserve"> </w:t>
      </w:r>
      <w:r w:rsidR="00684BB7">
        <w:t xml:space="preserve">Farm A </w:t>
      </w:r>
      <w:r w:rsidR="004C52A6">
        <w:t xml:space="preserve">and </w:t>
      </w:r>
      <w:r w:rsidR="006A4CDC">
        <w:t xml:space="preserve">Farm </w:t>
      </w:r>
      <w:r w:rsidR="00684BB7">
        <w:t>B</w:t>
      </w:r>
      <w:r w:rsidR="00F24B67">
        <w:t xml:space="preserve"> yield</w:t>
      </w:r>
      <w:r w:rsidR="004C52A6">
        <w:t xml:space="preserve"> respectively the la</w:t>
      </w:r>
      <w:r w:rsidR="00F24B67">
        <w:t>rgest</w:t>
      </w:r>
      <w:r w:rsidR="004C52A6">
        <w:t xml:space="preserve"> and smallest</w:t>
      </w:r>
      <w:r w:rsidR="00F24B67">
        <w:t xml:space="preserve"> impacts in the majority of categories.</w:t>
      </w:r>
      <w:r w:rsidR="004C52A6">
        <w:t xml:space="preserve"> The milk productivity of buffalos, which varies from farm to farm, is a key aspect determining the environmental performance of each farm: </w:t>
      </w:r>
      <w:r w:rsidR="006A4CDC">
        <w:t>F</w:t>
      </w:r>
      <w:r w:rsidR="00832BEF">
        <w:t xml:space="preserve">arm A </w:t>
      </w:r>
      <w:r w:rsidR="004C52A6">
        <w:t xml:space="preserve">and </w:t>
      </w:r>
      <w:r w:rsidR="006A4CDC">
        <w:t xml:space="preserve">Farm </w:t>
      </w:r>
      <w:r w:rsidR="00832BEF">
        <w:t>B</w:t>
      </w:r>
      <w:r w:rsidR="004C52A6">
        <w:t xml:space="preserve"> have respectively the lowest and highest productivity. </w:t>
      </w:r>
      <w:r w:rsidR="00F24B67">
        <w:t xml:space="preserve">The productivity-adjusted comparison </w:t>
      </w:r>
      <w:r w:rsidR="004C52A6">
        <w:t>shows smaller differences in the environmental performance of the farms, though the ranking in each category remains the same. The remaining differences are explained by a combination of type of feed (including the portion that is cultivated in-house and purchased) and the strategy for managing manure.</w:t>
      </w:r>
    </w:p>
    <w:p w14:paraId="4303D2BB" w14:textId="77777777" w:rsidR="00D3550C" w:rsidRDefault="00D3550C" w:rsidP="00A060AF">
      <w:pPr>
        <w:spacing w:line="360" w:lineRule="auto"/>
        <w:ind w:firstLine="0"/>
      </w:pPr>
    </w:p>
    <w:p w14:paraId="45C772C9" w14:textId="77777777" w:rsidR="001E24A6" w:rsidRDefault="001E24A6" w:rsidP="001E24A6">
      <w:pPr>
        <w:ind w:firstLine="0"/>
        <w:rPr>
          <w:b/>
          <w:bCs/>
          <w:sz w:val="26"/>
          <w:szCs w:val="26"/>
        </w:rPr>
      </w:pPr>
      <w:r w:rsidRPr="001E24A6">
        <w:rPr>
          <w:b/>
          <w:bCs/>
          <w:sz w:val="26"/>
          <w:szCs w:val="26"/>
        </w:rPr>
        <w:t>ACKNOWLEDGEMENTS</w:t>
      </w:r>
    </w:p>
    <w:p w14:paraId="04B824C2" w14:textId="22219A22" w:rsidR="00F203D7" w:rsidRPr="00E1594B" w:rsidRDefault="001E24A6" w:rsidP="00590CAB">
      <w:pPr>
        <w:spacing w:line="360" w:lineRule="auto"/>
        <w:ind w:firstLine="0"/>
        <w:rPr>
          <w:lang w:val="it-IT"/>
        </w:rPr>
      </w:pPr>
      <w:r w:rsidRPr="001E24A6">
        <w:t xml:space="preserve">This research was funded by ITALIAN MINISTRY OF AGRICULTURE (MIPAAF – DISR 07) - </w:t>
      </w:r>
      <w:proofErr w:type="spellStart"/>
      <w:r w:rsidRPr="001E24A6">
        <w:t>Programma</w:t>
      </w:r>
      <w:proofErr w:type="spellEnd"/>
      <w:r w:rsidRPr="001E24A6">
        <w:t xml:space="preserve"> di </w:t>
      </w:r>
      <w:proofErr w:type="spellStart"/>
      <w:r w:rsidRPr="001E24A6">
        <w:t>Sviluppo</w:t>
      </w:r>
      <w:proofErr w:type="spellEnd"/>
      <w:r w:rsidRPr="001E24A6">
        <w:t xml:space="preserve"> </w:t>
      </w:r>
      <w:proofErr w:type="spellStart"/>
      <w:r w:rsidRPr="001E24A6">
        <w:t>Rurale</w:t>
      </w:r>
      <w:proofErr w:type="spellEnd"/>
      <w:r w:rsidRPr="001E24A6">
        <w:t xml:space="preserve"> Nazionale 2014/2020. </w:t>
      </w:r>
      <w:r w:rsidRPr="00E1594B">
        <w:rPr>
          <w:lang w:val="it-IT"/>
        </w:rPr>
        <w:t xml:space="preserve">Caratterizzazione delle risorse genetiche animali di interesse zootecnico e salvaguardia della biodiversità. Sottomisura: 10.2 - Sostegno per la conservazione, l’uso e lo sviluppo sostenibili delle risorse genetiche in agricoltura. Project: ‘Bufala Mediterranea Italiana – tecnologie innovative per il miglioramento Genetico – BIG’ Prot. N. 0215513 11/05/2021. CUP ANASB: J29J21003720005; CUP UNINA: J69J21003020005 and </w:t>
      </w:r>
      <w:r w:rsidR="00F56984" w:rsidRPr="00E1594B">
        <w:rPr>
          <w:lang w:val="it-IT"/>
        </w:rPr>
        <w:t>Progetto TRANSFER - Tecnologie innovative per la realizzazione di una smart farming nel settore bufalino, Sportello Agrifood F/200090/01-03/X45, CUP B61B20000570005</w:t>
      </w:r>
      <w:r w:rsidR="00F203D7" w:rsidRPr="00E1594B">
        <w:rPr>
          <w:lang w:val="it-IT"/>
        </w:rPr>
        <w:br w:type="page"/>
      </w:r>
    </w:p>
    <w:p w14:paraId="2766CB45" w14:textId="77777777" w:rsidR="00F203D7" w:rsidRPr="00E1594B" w:rsidRDefault="00F203D7" w:rsidP="00326E32">
      <w:pPr>
        <w:rPr>
          <w:lang w:val="it-IT"/>
        </w:rPr>
      </w:pPr>
    </w:p>
    <w:p w14:paraId="2D90D0A9" w14:textId="77777777" w:rsidR="003C1C68" w:rsidRPr="001127C7" w:rsidRDefault="00674641" w:rsidP="005646E9">
      <w:pPr>
        <w:pStyle w:val="Stile1"/>
        <w:spacing w:line="360" w:lineRule="auto"/>
      </w:pPr>
      <w:r w:rsidRPr="001127C7">
        <w:t>REFERENCES</w:t>
      </w:r>
    </w:p>
    <w:p w14:paraId="4CC2E147" w14:textId="16F9C2F5" w:rsidR="000971E9" w:rsidRPr="004474C3" w:rsidRDefault="00201ECE" w:rsidP="000971E9">
      <w:pPr>
        <w:widowControl w:val="0"/>
        <w:autoSpaceDE w:val="0"/>
        <w:autoSpaceDN w:val="0"/>
        <w:adjustRightInd w:val="0"/>
        <w:spacing w:line="360" w:lineRule="auto"/>
        <w:ind w:left="480" w:hanging="480"/>
        <w:rPr>
          <w:noProof/>
          <w:lang w:val="it-IT"/>
        </w:rPr>
      </w:pPr>
      <w:r w:rsidRPr="001127C7">
        <w:rPr>
          <w:noProof/>
        </w:rPr>
        <w:fldChar w:fldCharType="begin" w:fldLock="1"/>
      </w:r>
      <w:r w:rsidRPr="001127C7">
        <w:rPr>
          <w:noProof/>
        </w:rPr>
        <w:instrText xml:space="preserve">ADDIN Mendeley Bibliography CSL_BIBLIOGRAPHY </w:instrText>
      </w:r>
      <w:r w:rsidRPr="001127C7">
        <w:rPr>
          <w:noProof/>
        </w:rPr>
        <w:fldChar w:fldCharType="separate"/>
      </w:r>
      <w:r w:rsidR="000971E9" w:rsidRPr="000971E9">
        <w:rPr>
          <w:noProof/>
        </w:rPr>
        <w:t xml:space="preserve">Asselstine, V., Lam, S., Miglior, F., Brito, L.F., Sweett, H., Guan, L., Waters, S.M., Plastow, G., Cánovas, A., 2021. The potential for mitigation of methane emissions in ruminants through the application of metagenomics, metabolomics, and other-OMICS technologies. </w:t>
      </w:r>
      <w:r w:rsidR="000971E9" w:rsidRPr="004474C3">
        <w:rPr>
          <w:noProof/>
          <w:lang w:val="it-IT"/>
        </w:rPr>
        <w:t>J. Anim. Sci. 99, skab193.</w:t>
      </w:r>
    </w:p>
    <w:p w14:paraId="6B49420C" w14:textId="77777777" w:rsidR="000971E9" w:rsidRPr="004474C3" w:rsidRDefault="000971E9" w:rsidP="000971E9">
      <w:pPr>
        <w:widowControl w:val="0"/>
        <w:autoSpaceDE w:val="0"/>
        <w:autoSpaceDN w:val="0"/>
        <w:adjustRightInd w:val="0"/>
        <w:spacing w:line="360" w:lineRule="auto"/>
        <w:ind w:left="480" w:hanging="480"/>
        <w:rPr>
          <w:noProof/>
          <w:lang w:val="it-IT"/>
        </w:rPr>
      </w:pPr>
      <w:r w:rsidRPr="004474C3">
        <w:rPr>
          <w:noProof/>
          <w:lang w:val="it-IT"/>
        </w:rPr>
        <w:t xml:space="preserve">Baldini, C., Gardoni, D., Guarino, M., 2017. </w:t>
      </w:r>
      <w:r w:rsidRPr="000971E9">
        <w:rPr>
          <w:noProof/>
        </w:rPr>
        <w:t xml:space="preserve">A critical review of the recent evolution of Life Cycle Assessment applied to milk production. </w:t>
      </w:r>
      <w:r w:rsidRPr="004474C3">
        <w:rPr>
          <w:noProof/>
          <w:lang w:val="it-IT"/>
        </w:rPr>
        <w:t>J. Clean. Prod. 140, 421–435. https://doi.org/10.1016/j.jclepro.2016.06.078</w:t>
      </w:r>
    </w:p>
    <w:p w14:paraId="7477BDB8" w14:textId="77777777" w:rsidR="000971E9" w:rsidRPr="000971E9" w:rsidRDefault="000971E9" w:rsidP="000971E9">
      <w:pPr>
        <w:widowControl w:val="0"/>
        <w:autoSpaceDE w:val="0"/>
        <w:autoSpaceDN w:val="0"/>
        <w:adjustRightInd w:val="0"/>
        <w:spacing w:line="360" w:lineRule="auto"/>
        <w:ind w:left="480" w:hanging="480"/>
        <w:rPr>
          <w:noProof/>
        </w:rPr>
      </w:pPr>
      <w:r w:rsidRPr="004474C3">
        <w:rPr>
          <w:noProof/>
          <w:lang w:val="it-IT"/>
        </w:rPr>
        <w:t xml:space="preserve">Basilicata, M.G., Pepe, G., Adesso, S., Ostacolo, C., Id, M.S., Sommella, E., Scala, M.C., Messore, A., Autore, G., Marzocco, S., Campiglia, P., 2018. </w:t>
      </w:r>
      <w:r w:rsidRPr="000971E9">
        <w:rPr>
          <w:noProof/>
        </w:rPr>
        <w:t>Antioxidant Properties of Buffalo-Milk Dairy Products : A β -Lg Peptide Released after Gastrointestinal Digestion of Buffalo Ricotta Cheese Reduces Oxidative Stress in Intestinal Epithelial Cells 1. https://doi.org/10.3390/ijms19071955</w:t>
      </w:r>
    </w:p>
    <w:p w14:paraId="30B62352" w14:textId="77777777" w:rsidR="000971E9" w:rsidRPr="000971E9" w:rsidRDefault="000971E9" w:rsidP="000971E9">
      <w:pPr>
        <w:widowControl w:val="0"/>
        <w:autoSpaceDE w:val="0"/>
        <w:autoSpaceDN w:val="0"/>
        <w:adjustRightInd w:val="0"/>
        <w:spacing w:line="360" w:lineRule="auto"/>
        <w:ind w:left="480" w:hanging="480"/>
        <w:rPr>
          <w:noProof/>
        </w:rPr>
      </w:pPr>
      <w:r w:rsidRPr="000971E9">
        <w:rPr>
          <w:noProof/>
        </w:rPr>
        <w:t>Boxall, A.B.A., Kolpin, D.W., Halling-Sørensen, B., Tolls, J., 2003. Peer reviewed: are veterinary medicines causing environmental risks? Environ. Sci. Technol. 37, 286A-294A.</w:t>
      </w:r>
    </w:p>
    <w:p w14:paraId="5675D4C8" w14:textId="77777777" w:rsidR="000971E9" w:rsidRPr="004474C3" w:rsidRDefault="000971E9" w:rsidP="000971E9">
      <w:pPr>
        <w:widowControl w:val="0"/>
        <w:autoSpaceDE w:val="0"/>
        <w:autoSpaceDN w:val="0"/>
        <w:adjustRightInd w:val="0"/>
        <w:spacing w:line="360" w:lineRule="auto"/>
        <w:ind w:left="480" w:hanging="480"/>
        <w:rPr>
          <w:noProof/>
          <w:lang w:val="it-IT"/>
        </w:rPr>
      </w:pPr>
      <w:r w:rsidRPr="000971E9">
        <w:rPr>
          <w:noProof/>
        </w:rPr>
        <w:t xml:space="preserve">Campagnolo, E.R., Johnson, K.R., Karpati, A., Rubin, C.S., Kolpin, D.W., Meyer, M.T., Esteban, J.E., Currier, R.W., Smith, K., Thu, K.M., 2002. Antimicrobial residues in animal waste and water resources proximal to large-scale swine and poultry feeding operations. </w:t>
      </w:r>
      <w:r w:rsidRPr="004474C3">
        <w:rPr>
          <w:noProof/>
          <w:lang w:val="it-IT"/>
        </w:rPr>
        <w:t>Sci. Total Environ. 299, 89–95.</w:t>
      </w:r>
    </w:p>
    <w:p w14:paraId="0170EE40" w14:textId="77777777" w:rsidR="000971E9" w:rsidRPr="004474C3" w:rsidRDefault="000971E9" w:rsidP="000971E9">
      <w:pPr>
        <w:widowControl w:val="0"/>
        <w:autoSpaceDE w:val="0"/>
        <w:autoSpaceDN w:val="0"/>
        <w:adjustRightInd w:val="0"/>
        <w:spacing w:line="360" w:lineRule="auto"/>
        <w:ind w:left="480" w:hanging="480"/>
        <w:rPr>
          <w:noProof/>
          <w:lang w:val="it-IT"/>
        </w:rPr>
      </w:pPr>
      <w:r w:rsidRPr="004474C3">
        <w:rPr>
          <w:noProof/>
          <w:lang w:val="it-IT"/>
        </w:rPr>
        <w:t xml:space="preserve">Campanile, G., Di Palo, R., Infascelli, F., Gasparrini, B., Neglia, G., Zicarelli, F., Michael, J.D., 2003. </w:t>
      </w:r>
      <w:r w:rsidRPr="000971E9">
        <w:rPr>
          <w:noProof/>
        </w:rPr>
        <w:t xml:space="preserve">Influence of rumen protein degradability on productive and reproductive performance in buffalo cows. </w:t>
      </w:r>
      <w:r w:rsidRPr="004474C3">
        <w:rPr>
          <w:noProof/>
          <w:lang w:val="it-IT"/>
        </w:rPr>
        <w:t>Reprod. Nutr. Dev. 43, 557–566.</w:t>
      </w:r>
    </w:p>
    <w:p w14:paraId="6470CECF" w14:textId="77777777" w:rsidR="000971E9" w:rsidRPr="000971E9" w:rsidRDefault="000971E9" w:rsidP="000971E9">
      <w:pPr>
        <w:widowControl w:val="0"/>
        <w:autoSpaceDE w:val="0"/>
        <w:autoSpaceDN w:val="0"/>
        <w:adjustRightInd w:val="0"/>
        <w:spacing w:line="360" w:lineRule="auto"/>
        <w:ind w:left="480" w:hanging="480"/>
        <w:rPr>
          <w:noProof/>
        </w:rPr>
      </w:pPr>
      <w:r w:rsidRPr="004474C3">
        <w:rPr>
          <w:noProof/>
          <w:lang w:val="it-IT"/>
        </w:rPr>
        <w:t xml:space="preserve">Cecchini, L., Torquati, B., Paffarini, C., Barbanera, M., Foschini, D., Chiorri, M., 2016. </w:t>
      </w:r>
      <w:r w:rsidRPr="000971E9">
        <w:rPr>
          <w:noProof/>
        </w:rPr>
        <w:t>The milk supply chain in Italy’s Umbria Region: Environmental and economic sustainability. Sustain. 8. https://doi.org/10.3390/su8080728</w:t>
      </w:r>
    </w:p>
    <w:p w14:paraId="56BAD8EE" w14:textId="77777777" w:rsidR="000971E9" w:rsidRPr="004474C3" w:rsidRDefault="000971E9" w:rsidP="000971E9">
      <w:pPr>
        <w:widowControl w:val="0"/>
        <w:autoSpaceDE w:val="0"/>
        <w:autoSpaceDN w:val="0"/>
        <w:adjustRightInd w:val="0"/>
        <w:spacing w:line="360" w:lineRule="auto"/>
        <w:ind w:left="480" w:hanging="480"/>
        <w:rPr>
          <w:noProof/>
          <w:lang w:val="it-IT"/>
        </w:rPr>
      </w:pPr>
      <w:r w:rsidRPr="000971E9">
        <w:rPr>
          <w:noProof/>
        </w:rPr>
        <w:t xml:space="preserve">Clift, R., Doig, A., Finnveden, G., 2000. The Application of Life Cycle Assessment to Integrated Solid Waste Management. </w:t>
      </w:r>
      <w:r w:rsidRPr="004474C3">
        <w:rPr>
          <w:noProof/>
          <w:lang w:val="it-IT"/>
        </w:rPr>
        <w:t>Part 1 - Methodology. Process Saf. Environ. Prot. 78, 279–287. https://doi.org/10.1205/095758200530790</w:t>
      </w:r>
    </w:p>
    <w:p w14:paraId="5920FFD2" w14:textId="77777777" w:rsidR="000971E9" w:rsidRPr="004474C3" w:rsidRDefault="000971E9" w:rsidP="000971E9">
      <w:pPr>
        <w:widowControl w:val="0"/>
        <w:autoSpaceDE w:val="0"/>
        <w:autoSpaceDN w:val="0"/>
        <w:adjustRightInd w:val="0"/>
        <w:spacing w:line="360" w:lineRule="auto"/>
        <w:ind w:left="480" w:hanging="480"/>
        <w:rPr>
          <w:noProof/>
          <w:lang w:val="it-IT"/>
        </w:rPr>
      </w:pPr>
      <w:r w:rsidRPr="004474C3">
        <w:rPr>
          <w:noProof/>
          <w:lang w:val="it-IT"/>
        </w:rPr>
        <w:lastRenderedPageBreak/>
        <w:t xml:space="preserve">Cóndor, R.D., Valli, L., De Rosa, G., Di Francia, A., De Lauretis, R., 2008. </w:t>
      </w:r>
      <w:r w:rsidRPr="000971E9">
        <w:rPr>
          <w:noProof/>
        </w:rPr>
        <w:t xml:space="preserve">Estimation of the methane emission factor for the Italian Mediterranean buffalo. </w:t>
      </w:r>
      <w:r w:rsidRPr="004474C3">
        <w:rPr>
          <w:noProof/>
          <w:lang w:val="it-IT"/>
        </w:rPr>
        <w:t>Animal 2, 1247–1253. https://doi.org/10.1017/S1751731108002292</w:t>
      </w:r>
    </w:p>
    <w:p w14:paraId="62030190" w14:textId="77777777" w:rsidR="000971E9" w:rsidRPr="004474C3" w:rsidRDefault="000971E9" w:rsidP="000971E9">
      <w:pPr>
        <w:widowControl w:val="0"/>
        <w:autoSpaceDE w:val="0"/>
        <w:autoSpaceDN w:val="0"/>
        <w:adjustRightInd w:val="0"/>
        <w:spacing w:line="360" w:lineRule="auto"/>
        <w:ind w:left="480" w:hanging="480"/>
        <w:rPr>
          <w:noProof/>
          <w:lang w:val="it-IT"/>
        </w:rPr>
      </w:pPr>
      <w:r w:rsidRPr="004474C3">
        <w:rPr>
          <w:noProof/>
          <w:lang w:val="it-IT"/>
        </w:rPr>
        <w:t xml:space="preserve">Costa, A., Neglia, G., Campanile, G., De Marchi, M., 2020. </w:t>
      </w:r>
      <w:r w:rsidRPr="000971E9">
        <w:rPr>
          <w:noProof/>
        </w:rPr>
        <w:t xml:space="preserve">Milk somatic cell count and its relationship with milk yield and quality traits in Italian water buffaloes. </w:t>
      </w:r>
      <w:r w:rsidRPr="004474C3">
        <w:rPr>
          <w:noProof/>
          <w:lang w:val="it-IT"/>
        </w:rPr>
        <w:t>J. Dairy Sci. 103, 5485–5494.</w:t>
      </w:r>
    </w:p>
    <w:p w14:paraId="285FEF32" w14:textId="77777777" w:rsidR="000971E9" w:rsidRPr="000971E9" w:rsidRDefault="000971E9" w:rsidP="000971E9">
      <w:pPr>
        <w:widowControl w:val="0"/>
        <w:autoSpaceDE w:val="0"/>
        <w:autoSpaceDN w:val="0"/>
        <w:adjustRightInd w:val="0"/>
        <w:spacing w:line="360" w:lineRule="auto"/>
        <w:ind w:left="480" w:hanging="480"/>
        <w:rPr>
          <w:noProof/>
        </w:rPr>
      </w:pPr>
      <w:r w:rsidRPr="004474C3">
        <w:rPr>
          <w:noProof/>
          <w:lang w:val="it-IT"/>
        </w:rPr>
        <w:t xml:space="preserve">Crescio, M.I., Forastiere, F., Maurella, C., Ingravalle, F., Ru, G., 2010. </w:t>
      </w:r>
      <w:r w:rsidRPr="000971E9">
        <w:rPr>
          <w:noProof/>
        </w:rPr>
        <w:t>Heat-related mortality in dairy cattle: A case crossover study. Prev. Vet. Med. 97, 191–197. https://doi.org/https://doi.org/10.1016/j.prevetmed.2010.09.004</w:t>
      </w:r>
    </w:p>
    <w:p w14:paraId="03680AA3" w14:textId="77777777" w:rsidR="000971E9" w:rsidRPr="000971E9" w:rsidRDefault="000971E9" w:rsidP="000971E9">
      <w:pPr>
        <w:widowControl w:val="0"/>
        <w:autoSpaceDE w:val="0"/>
        <w:autoSpaceDN w:val="0"/>
        <w:adjustRightInd w:val="0"/>
        <w:spacing w:line="360" w:lineRule="auto"/>
        <w:ind w:left="480" w:hanging="480"/>
        <w:rPr>
          <w:noProof/>
        </w:rPr>
      </w:pPr>
      <w:r w:rsidRPr="000971E9">
        <w:rPr>
          <w:noProof/>
        </w:rPr>
        <w:t>de Vries, M., de Boer, I.J.M., 2010. Comparing environmental impacts for livestock products: A review of life cycle assessments. Livest. Sci. 128, 1–11. https://doi.org/https://doi.org/10.1016/j.livsci.2009.11.007</w:t>
      </w:r>
    </w:p>
    <w:p w14:paraId="496CCEE7" w14:textId="77777777" w:rsidR="000971E9" w:rsidRPr="000971E9" w:rsidRDefault="000971E9" w:rsidP="000971E9">
      <w:pPr>
        <w:widowControl w:val="0"/>
        <w:autoSpaceDE w:val="0"/>
        <w:autoSpaceDN w:val="0"/>
        <w:adjustRightInd w:val="0"/>
        <w:spacing w:line="360" w:lineRule="auto"/>
        <w:ind w:left="480" w:hanging="480"/>
        <w:rPr>
          <w:noProof/>
        </w:rPr>
      </w:pPr>
      <w:r w:rsidRPr="000971E9">
        <w:rPr>
          <w:noProof/>
        </w:rPr>
        <w:t>EPD. Product Category Rules According to ISO 14025 (PCR) - Arable crops, 2013.</w:t>
      </w:r>
    </w:p>
    <w:p w14:paraId="6E4A5CE4" w14:textId="77777777" w:rsidR="000971E9" w:rsidRPr="004474C3" w:rsidRDefault="000971E9" w:rsidP="000971E9">
      <w:pPr>
        <w:widowControl w:val="0"/>
        <w:autoSpaceDE w:val="0"/>
        <w:autoSpaceDN w:val="0"/>
        <w:adjustRightInd w:val="0"/>
        <w:spacing w:line="360" w:lineRule="auto"/>
        <w:ind w:left="480" w:hanging="480"/>
        <w:rPr>
          <w:noProof/>
          <w:lang w:val="it-IT"/>
        </w:rPr>
      </w:pPr>
      <w:r w:rsidRPr="000971E9">
        <w:rPr>
          <w:noProof/>
        </w:rPr>
        <w:t xml:space="preserve">European Commission, 2019. Product Category Rules for raw milk. </w:t>
      </w:r>
      <w:r w:rsidRPr="004474C3">
        <w:rPr>
          <w:noProof/>
          <w:lang w:val="it-IT"/>
        </w:rPr>
        <w:t>VERSION 2.11 2019-09-06, 2019.</w:t>
      </w:r>
    </w:p>
    <w:p w14:paraId="35DA8307" w14:textId="77777777" w:rsidR="000971E9" w:rsidRPr="000971E9" w:rsidRDefault="000971E9" w:rsidP="000971E9">
      <w:pPr>
        <w:widowControl w:val="0"/>
        <w:autoSpaceDE w:val="0"/>
        <w:autoSpaceDN w:val="0"/>
        <w:adjustRightInd w:val="0"/>
        <w:spacing w:line="360" w:lineRule="auto"/>
        <w:ind w:left="480" w:hanging="480"/>
        <w:rPr>
          <w:noProof/>
        </w:rPr>
      </w:pPr>
      <w:r w:rsidRPr="004474C3">
        <w:rPr>
          <w:noProof/>
          <w:lang w:val="it-IT"/>
        </w:rPr>
        <w:t xml:space="preserve">Fantin, V., Buttol, P., Pergreffi, R., Masoni, P., 2012. </w:t>
      </w:r>
      <w:r w:rsidRPr="000971E9">
        <w:rPr>
          <w:noProof/>
        </w:rPr>
        <w:t>Life cycle assessment of Italian high quality milk production. A comparison with an EPD study. J. Clean. Prod. 28, 150–159. https://doi.org/https://doi.org/10.1016/j.jclepro.2011.10.017</w:t>
      </w:r>
    </w:p>
    <w:p w14:paraId="1AE1621C" w14:textId="77777777" w:rsidR="000971E9" w:rsidRPr="000971E9" w:rsidRDefault="000971E9" w:rsidP="000971E9">
      <w:pPr>
        <w:widowControl w:val="0"/>
        <w:autoSpaceDE w:val="0"/>
        <w:autoSpaceDN w:val="0"/>
        <w:adjustRightInd w:val="0"/>
        <w:spacing w:line="360" w:lineRule="auto"/>
        <w:ind w:left="480" w:hanging="480"/>
        <w:rPr>
          <w:noProof/>
        </w:rPr>
      </w:pPr>
      <w:r w:rsidRPr="000971E9">
        <w:rPr>
          <w:noProof/>
        </w:rPr>
        <w:t>FAO, 2018. World Livestock: Transforming the livestock sector through the Sustainable Development Goals. https://doi.org/978-92-5-130883-7</w:t>
      </w:r>
    </w:p>
    <w:p w14:paraId="537D9959" w14:textId="77777777" w:rsidR="000971E9" w:rsidRPr="000971E9" w:rsidRDefault="000971E9" w:rsidP="000971E9">
      <w:pPr>
        <w:widowControl w:val="0"/>
        <w:autoSpaceDE w:val="0"/>
        <w:autoSpaceDN w:val="0"/>
        <w:adjustRightInd w:val="0"/>
        <w:spacing w:line="360" w:lineRule="auto"/>
        <w:ind w:left="480" w:hanging="480"/>
        <w:rPr>
          <w:noProof/>
        </w:rPr>
      </w:pPr>
      <w:r w:rsidRPr="004474C3">
        <w:rPr>
          <w:noProof/>
          <w:lang w:val="it-IT"/>
        </w:rPr>
        <w:t xml:space="preserve">Fazio, S., Castellani, V., Salasa, S., Schau, E., Secchi, M., Zamporti, L., Diaconou, E., 2018. </w:t>
      </w:r>
      <w:r w:rsidRPr="000971E9">
        <w:rPr>
          <w:noProof/>
        </w:rPr>
        <w:t>Supporting information to the characterisation factors of recommended EF Life Cycle Impact Assessment method.</w:t>
      </w:r>
    </w:p>
    <w:p w14:paraId="1470C89F" w14:textId="77777777" w:rsidR="000971E9" w:rsidRPr="000971E9" w:rsidRDefault="000971E9" w:rsidP="000971E9">
      <w:pPr>
        <w:widowControl w:val="0"/>
        <w:autoSpaceDE w:val="0"/>
        <w:autoSpaceDN w:val="0"/>
        <w:adjustRightInd w:val="0"/>
        <w:spacing w:line="360" w:lineRule="auto"/>
        <w:ind w:left="480" w:hanging="480"/>
        <w:rPr>
          <w:noProof/>
        </w:rPr>
      </w:pPr>
      <w:r w:rsidRPr="000971E9">
        <w:rPr>
          <w:noProof/>
        </w:rPr>
        <w:t>González-García, S., Castanheira, É.G., Dias, A.C., Arroja, L., 2013. Environmental performance of a Portuguese mature cheese-making dairy mill. J. Clean. Prod. 41, 65–73. https://doi.org/https://doi.org/10.1016/j.jclepro.2012.10.010</w:t>
      </w:r>
    </w:p>
    <w:p w14:paraId="45CD34B5" w14:textId="77777777" w:rsidR="000971E9" w:rsidRPr="000971E9" w:rsidRDefault="000971E9" w:rsidP="000971E9">
      <w:pPr>
        <w:widowControl w:val="0"/>
        <w:autoSpaceDE w:val="0"/>
        <w:autoSpaceDN w:val="0"/>
        <w:adjustRightInd w:val="0"/>
        <w:spacing w:line="360" w:lineRule="auto"/>
        <w:ind w:left="480" w:hanging="480"/>
        <w:rPr>
          <w:noProof/>
        </w:rPr>
      </w:pPr>
      <w:r w:rsidRPr="000971E9">
        <w:rPr>
          <w:noProof/>
        </w:rPr>
        <w:t>González, L.A., Kyriazakis, I., Tedeschi, L.O., 2018. Precision nutrition of ruminants: approaches, challenges and potential gains. Animal 12, s246–s261.</w:t>
      </w:r>
    </w:p>
    <w:p w14:paraId="6C6BDF64" w14:textId="77777777" w:rsidR="000971E9" w:rsidRPr="000971E9" w:rsidRDefault="000971E9" w:rsidP="000971E9">
      <w:pPr>
        <w:widowControl w:val="0"/>
        <w:autoSpaceDE w:val="0"/>
        <w:autoSpaceDN w:val="0"/>
        <w:adjustRightInd w:val="0"/>
        <w:spacing w:line="360" w:lineRule="auto"/>
        <w:ind w:left="480" w:hanging="480"/>
        <w:rPr>
          <w:noProof/>
        </w:rPr>
      </w:pPr>
      <w:r w:rsidRPr="000971E9">
        <w:rPr>
          <w:noProof/>
        </w:rPr>
        <w:t xml:space="preserve">Hauschild, M.Z., Rosenbaum, R.K., Olsen, S.I., 2017. Life Cycle Assessment: Theory and </w:t>
      </w:r>
      <w:r w:rsidRPr="000971E9">
        <w:rPr>
          <w:noProof/>
        </w:rPr>
        <w:lastRenderedPageBreak/>
        <w:t>Practice. Springer International Publishing. https://doi.org/10.1007/978-3-319-56475-3</w:t>
      </w:r>
    </w:p>
    <w:p w14:paraId="0165DECA" w14:textId="77777777" w:rsidR="000971E9" w:rsidRPr="000971E9" w:rsidRDefault="000971E9" w:rsidP="000971E9">
      <w:pPr>
        <w:widowControl w:val="0"/>
        <w:autoSpaceDE w:val="0"/>
        <w:autoSpaceDN w:val="0"/>
        <w:adjustRightInd w:val="0"/>
        <w:spacing w:line="360" w:lineRule="auto"/>
        <w:ind w:left="480" w:hanging="480"/>
        <w:rPr>
          <w:noProof/>
        </w:rPr>
      </w:pPr>
      <w:r w:rsidRPr="000971E9">
        <w:rPr>
          <w:noProof/>
        </w:rPr>
        <w:t>IDF, A., 2010. common carbon footprint approach for dairy: The IDF guide to standard lifecycle assessment methodology for the dairy sector. Bull. Int. Dairy Fed.</w:t>
      </w:r>
    </w:p>
    <w:p w14:paraId="3C20AEBE" w14:textId="77777777" w:rsidR="000971E9" w:rsidRPr="000971E9" w:rsidRDefault="000971E9" w:rsidP="000971E9">
      <w:pPr>
        <w:widowControl w:val="0"/>
        <w:autoSpaceDE w:val="0"/>
        <w:autoSpaceDN w:val="0"/>
        <w:adjustRightInd w:val="0"/>
        <w:spacing w:line="360" w:lineRule="auto"/>
        <w:ind w:left="480" w:hanging="480"/>
        <w:rPr>
          <w:noProof/>
        </w:rPr>
      </w:pPr>
      <w:r w:rsidRPr="000971E9">
        <w:rPr>
          <w:noProof/>
        </w:rPr>
        <w:t>International Dairy Federation, 2016. Bulletin of the International Dairy Federation 479 / 2015. Bull. Int. Dairy Fed. 482, 48.</w:t>
      </w:r>
    </w:p>
    <w:p w14:paraId="4CDC942D" w14:textId="77777777" w:rsidR="000971E9" w:rsidRPr="000971E9" w:rsidRDefault="000971E9" w:rsidP="000971E9">
      <w:pPr>
        <w:widowControl w:val="0"/>
        <w:autoSpaceDE w:val="0"/>
        <w:autoSpaceDN w:val="0"/>
        <w:adjustRightInd w:val="0"/>
        <w:spacing w:line="360" w:lineRule="auto"/>
        <w:ind w:left="480" w:hanging="480"/>
        <w:rPr>
          <w:noProof/>
        </w:rPr>
      </w:pPr>
      <w:r w:rsidRPr="000971E9">
        <w:rPr>
          <w:noProof/>
        </w:rPr>
        <w:t>IPCC, 2014. Climate Change 2014: Synthesis Report. Contribution of Working Groups I, II and III to the Fifth Assessment Report of the Intergovernmental Panel on Climate Change [Core Writing Team, R.K. Pachauri and L.A. Meyer (eds.)]. Geneva, Switzerland.</w:t>
      </w:r>
    </w:p>
    <w:p w14:paraId="452D6FE5" w14:textId="77777777" w:rsidR="000971E9" w:rsidRPr="000971E9" w:rsidRDefault="000971E9" w:rsidP="000971E9">
      <w:pPr>
        <w:widowControl w:val="0"/>
        <w:autoSpaceDE w:val="0"/>
        <w:autoSpaceDN w:val="0"/>
        <w:adjustRightInd w:val="0"/>
        <w:spacing w:line="360" w:lineRule="auto"/>
        <w:ind w:left="480" w:hanging="480"/>
        <w:rPr>
          <w:noProof/>
        </w:rPr>
      </w:pPr>
      <w:r w:rsidRPr="000971E9">
        <w:rPr>
          <w:noProof/>
        </w:rPr>
        <w:t>IPCC, 2006. 2006 IPCC Guidelines for National Greenhouse Inventories – A primer, Prepared by the National Greenhouse Gas Inventories Programme, Eggleston H.S., Miwa K., Srivastava N. and Tanabe K. Iges 20.</w:t>
      </w:r>
    </w:p>
    <w:p w14:paraId="7B2A6D18" w14:textId="77777777" w:rsidR="000971E9" w:rsidRPr="000971E9" w:rsidRDefault="000971E9" w:rsidP="000971E9">
      <w:pPr>
        <w:widowControl w:val="0"/>
        <w:autoSpaceDE w:val="0"/>
        <w:autoSpaceDN w:val="0"/>
        <w:adjustRightInd w:val="0"/>
        <w:spacing w:line="360" w:lineRule="auto"/>
        <w:ind w:left="480" w:hanging="480"/>
        <w:rPr>
          <w:noProof/>
        </w:rPr>
      </w:pPr>
      <w:r w:rsidRPr="000971E9">
        <w:rPr>
          <w:noProof/>
        </w:rPr>
        <w:t>IPCC, 1995. IPCC Second Assessment Climate Change 1995.</w:t>
      </w:r>
    </w:p>
    <w:p w14:paraId="25A827CF" w14:textId="77777777" w:rsidR="000971E9" w:rsidRPr="000971E9" w:rsidRDefault="000971E9" w:rsidP="000971E9">
      <w:pPr>
        <w:widowControl w:val="0"/>
        <w:autoSpaceDE w:val="0"/>
        <w:autoSpaceDN w:val="0"/>
        <w:adjustRightInd w:val="0"/>
        <w:spacing w:line="360" w:lineRule="auto"/>
        <w:ind w:left="480" w:hanging="480"/>
        <w:rPr>
          <w:noProof/>
        </w:rPr>
      </w:pPr>
      <w:r w:rsidRPr="000971E9">
        <w:rPr>
          <w:noProof/>
        </w:rPr>
        <w:t>ISO, 2006. Environmental Management - Life Cycle Assessment - Requirements and guidelines. EN ISO 14044:2006.</w:t>
      </w:r>
    </w:p>
    <w:p w14:paraId="3F0BEDDE" w14:textId="77777777" w:rsidR="000971E9" w:rsidRPr="000971E9" w:rsidRDefault="000971E9" w:rsidP="000971E9">
      <w:pPr>
        <w:widowControl w:val="0"/>
        <w:autoSpaceDE w:val="0"/>
        <w:autoSpaceDN w:val="0"/>
        <w:adjustRightInd w:val="0"/>
        <w:spacing w:line="360" w:lineRule="auto"/>
        <w:ind w:left="480" w:hanging="480"/>
        <w:rPr>
          <w:noProof/>
        </w:rPr>
      </w:pPr>
      <w:r w:rsidRPr="000971E9">
        <w:rPr>
          <w:noProof/>
        </w:rPr>
        <w:t>ISO 14044, 2006. Environmental management - life cycle assessment - requirements and guidelines. 2006. EN ISO 14044:2006.</w:t>
      </w:r>
    </w:p>
    <w:p w14:paraId="47B123EE" w14:textId="77777777" w:rsidR="000971E9" w:rsidRPr="000971E9" w:rsidRDefault="000971E9" w:rsidP="000971E9">
      <w:pPr>
        <w:widowControl w:val="0"/>
        <w:autoSpaceDE w:val="0"/>
        <w:autoSpaceDN w:val="0"/>
        <w:adjustRightInd w:val="0"/>
        <w:spacing w:line="360" w:lineRule="auto"/>
        <w:ind w:left="480" w:hanging="480"/>
        <w:rPr>
          <w:noProof/>
        </w:rPr>
      </w:pPr>
      <w:r w:rsidRPr="000971E9">
        <w:rPr>
          <w:noProof/>
        </w:rPr>
        <w:t>Jadhav, R., 2015. Indian chicken prices surge to record as heat wave kills millions of birds.</w:t>
      </w:r>
    </w:p>
    <w:p w14:paraId="71BC49D5" w14:textId="77777777" w:rsidR="000971E9" w:rsidRPr="000971E9" w:rsidRDefault="000971E9" w:rsidP="000971E9">
      <w:pPr>
        <w:widowControl w:val="0"/>
        <w:autoSpaceDE w:val="0"/>
        <w:autoSpaceDN w:val="0"/>
        <w:adjustRightInd w:val="0"/>
        <w:spacing w:line="360" w:lineRule="auto"/>
        <w:ind w:left="480" w:hanging="480"/>
        <w:rPr>
          <w:noProof/>
        </w:rPr>
      </w:pPr>
      <w:r w:rsidRPr="000971E9">
        <w:rPr>
          <w:noProof/>
        </w:rPr>
        <w:t>JRC, 2018. Product Environmental Footprint Category Rules Guidance. Version 6.3.</w:t>
      </w:r>
    </w:p>
    <w:p w14:paraId="5F69718E" w14:textId="77777777" w:rsidR="000971E9" w:rsidRPr="000971E9" w:rsidRDefault="000971E9" w:rsidP="000971E9">
      <w:pPr>
        <w:widowControl w:val="0"/>
        <w:autoSpaceDE w:val="0"/>
        <w:autoSpaceDN w:val="0"/>
        <w:adjustRightInd w:val="0"/>
        <w:spacing w:line="360" w:lineRule="auto"/>
        <w:ind w:left="480" w:hanging="480"/>
        <w:rPr>
          <w:noProof/>
        </w:rPr>
      </w:pPr>
      <w:r w:rsidRPr="000971E9">
        <w:rPr>
          <w:noProof/>
        </w:rPr>
        <w:t>Lovett, D., Lovell, S., Stack, L., Callan, J., Finlay, M., Conolly, J., O’Mara, F.P., 2003. Effect of forage/concentrate ratio and dietary coconut oil level on methane output and performance of finishing beef heifers. Livest. Prod. Sci. 84, 135–146. https://doi.org/10.1016/j.livprodsci.2003.09.010</w:t>
      </w:r>
    </w:p>
    <w:p w14:paraId="6B36341E" w14:textId="77777777" w:rsidR="000971E9" w:rsidRPr="000971E9" w:rsidRDefault="000971E9" w:rsidP="000971E9">
      <w:pPr>
        <w:widowControl w:val="0"/>
        <w:autoSpaceDE w:val="0"/>
        <w:autoSpaceDN w:val="0"/>
        <w:adjustRightInd w:val="0"/>
        <w:spacing w:line="360" w:lineRule="auto"/>
        <w:ind w:left="480" w:hanging="480"/>
        <w:rPr>
          <w:noProof/>
        </w:rPr>
      </w:pPr>
      <w:r w:rsidRPr="000971E9">
        <w:rPr>
          <w:noProof/>
        </w:rPr>
        <w:t>Macleod, M.J., Vellinga, T., Opio, C., Falcucci, A., Tempio, G., Henderson, B., Makkar, H., Mottet, A., Robinson, T., Steinfeld, H., Gerber, P.J., 2018. Invited review : A position on the Global Livestock Environmental Assessment Model ( GLEAM ) 383–397. https://doi.org/10.1017/S1751731117001847</w:t>
      </w:r>
    </w:p>
    <w:p w14:paraId="04DFE94D" w14:textId="77777777" w:rsidR="000971E9" w:rsidRPr="000971E9" w:rsidRDefault="000971E9" w:rsidP="000971E9">
      <w:pPr>
        <w:widowControl w:val="0"/>
        <w:autoSpaceDE w:val="0"/>
        <w:autoSpaceDN w:val="0"/>
        <w:adjustRightInd w:val="0"/>
        <w:spacing w:line="360" w:lineRule="auto"/>
        <w:ind w:left="480" w:hanging="480"/>
        <w:rPr>
          <w:noProof/>
        </w:rPr>
      </w:pPr>
      <w:r w:rsidRPr="000971E9">
        <w:rPr>
          <w:noProof/>
        </w:rPr>
        <w:t>Mekonnen, M.M., Hoekstra, A.Y., 2012. A global assessment of the water footprint of farm animal products. Ecosystems 15, 401–415.</w:t>
      </w:r>
    </w:p>
    <w:p w14:paraId="1D05DAE2" w14:textId="77777777" w:rsidR="000971E9" w:rsidRPr="000971E9" w:rsidRDefault="000971E9" w:rsidP="000971E9">
      <w:pPr>
        <w:widowControl w:val="0"/>
        <w:autoSpaceDE w:val="0"/>
        <w:autoSpaceDN w:val="0"/>
        <w:adjustRightInd w:val="0"/>
        <w:spacing w:line="360" w:lineRule="auto"/>
        <w:ind w:left="480" w:hanging="480"/>
        <w:rPr>
          <w:noProof/>
        </w:rPr>
      </w:pPr>
      <w:r w:rsidRPr="000971E9">
        <w:rPr>
          <w:noProof/>
        </w:rPr>
        <w:t xml:space="preserve">Mekonnen, M.M., Neale, C.M.U., Ray, C., Erickson, G.E., Hoekstra, A.Y., 2019. Water </w:t>
      </w:r>
      <w:r w:rsidRPr="000971E9">
        <w:rPr>
          <w:noProof/>
        </w:rPr>
        <w:lastRenderedPageBreak/>
        <w:t>productivity in meat and milk production in the US from 1960 to 2016. Environ. Int. 132, 105084.</w:t>
      </w:r>
    </w:p>
    <w:p w14:paraId="04AAD484" w14:textId="77777777" w:rsidR="000971E9" w:rsidRPr="000971E9" w:rsidRDefault="000971E9" w:rsidP="000971E9">
      <w:pPr>
        <w:widowControl w:val="0"/>
        <w:autoSpaceDE w:val="0"/>
        <w:autoSpaceDN w:val="0"/>
        <w:adjustRightInd w:val="0"/>
        <w:spacing w:line="360" w:lineRule="auto"/>
        <w:ind w:left="480" w:hanging="480"/>
        <w:rPr>
          <w:noProof/>
        </w:rPr>
      </w:pPr>
      <w:r w:rsidRPr="000971E9">
        <w:rPr>
          <w:noProof/>
        </w:rPr>
        <w:t>Min, B.R., Solaiman, S., Waldrip, H.M., Parker, D., Todd, R.W., Brauer, D., 2020. Dietary mitigation of enteric methane emissions from ruminants: A review of plant tannins mitigation options</w:t>
      </w:r>
      <w:r w:rsidRPr="000971E9">
        <w:rPr>
          <w:rFonts w:ascii="Segoe UI Symbol" w:hAnsi="Segoe UI Symbol" w:cs="Segoe UI Symbol"/>
          <w:noProof/>
        </w:rPr>
        <w:t>☆</w:t>
      </w:r>
      <w:r w:rsidRPr="000971E9">
        <w:rPr>
          <w:noProof/>
        </w:rPr>
        <w:t>. Anim. Nutr.</w:t>
      </w:r>
    </w:p>
    <w:p w14:paraId="28A77936" w14:textId="77777777" w:rsidR="000971E9" w:rsidRPr="000971E9" w:rsidRDefault="000971E9" w:rsidP="000971E9">
      <w:pPr>
        <w:widowControl w:val="0"/>
        <w:autoSpaceDE w:val="0"/>
        <w:autoSpaceDN w:val="0"/>
        <w:adjustRightInd w:val="0"/>
        <w:spacing w:line="360" w:lineRule="auto"/>
        <w:ind w:left="480" w:hanging="480"/>
        <w:rPr>
          <w:noProof/>
        </w:rPr>
      </w:pPr>
      <w:r w:rsidRPr="000971E9">
        <w:rPr>
          <w:noProof/>
        </w:rPr>
        <w:t>Naylor, R., Steinfeld, H., Falcon, W., Galloway, J., Smil, V., Bradford, E., Alder, J., Mooney, H., 2005. Losing the links between livestock and land. Science (80-. ). 310, 1621–1622.</w:t>
      </w:r>
    </w:p>
    <w:p w14:paraId="3BE1DB5E" w14:textId="77777777" w:rsidR="000971E9" w:rsidRPr="000971E9" w:rsidRDefault="000971E9" w:rsidP="000971E9">
      <w:pPr>
        <w:widowControl w:val="0"/>
        <w:autoSpaceDE w:val="0"/>
        <w:autoSpaceDN w:val="0"/>
        <w:adjustRightInd w:val="0"/>
        <w:spacing w:line="360" w:lineRule="auto"/>
        <w:ind w:left="480" w:hanging="480"/>
        <w:rPr>
          <w:noProof/>
        </w:rPr>
      </w:pPr>
      <w:r w:rsidRPr="000971E9">
        <w:rPr>
          <w:noProof/>
        </w:rPr>
        <w:t>Notarnicola, B., Salomone, R., Petti, L., Renzulli, P.A., Roma, R., Cerruti, A.K. (Eds.), 2016. Life cycle assessment in the agri-food sector: case studies, methodological issues, and best practices, The International Journal of Life Cycle Assessment. Springer International Publishing Switzerland 2015. https://doi.org/10.1007/s11367-015-0977-5</w:t>
      </w:r>
    </w:p>
    <w:p w14:paraId="62A97B50" w14:textId="77777777" w:rsidR="000971E9" w:rsidRPr="004474C3" w:rsidRDefault="000971E9" w:rsidP="000971E9">
      <w:pPr>
        <w:widowControl w:val="0"/>
        <w:autoSpaceDE w:val="0"/>
        <w:autoSpaceDN w:val="0"/>
        <w:adjustRightInd w:val="0"/>
        <w:spacing w:line="360" w:lineRule="auto"/>
        <w:ind w:left="480" w:hanging="480"/>
        <w:rPr>
          <w:noProof/>
          <w:lang w:val="it-IT"/>
        </w:rPr>
      </w:pPr>
      <w:r w:rsidRPr="000971E9">
        <w:rPr>
          <w:noProof/>
        </w:rPr>
        <w:t xml:space="preserve">Pirlo, G., Carè, S., Fantin, V., Falconi, F., Buttol, P., Terzano, G.M., Masoni, P., Pacelli, C., 2014a. Factors affecting life cycle assessment of milk produced on 6 Mediterranean buffalo farms. </w:t>
      </w:r>
      <w:r w:rsidRPr="004474C3">
        <w:rPr>
          <w:noProof/>
          <w:lang w:val="it-IT"/>
        </w:rPr>
        <w:t>J. Dairy Sci. 97, 6583–6593. https://doi.org/10.3168/jds.2014-8007</w:t>
      </w:r>
    </w:p>
    <w:p w14:paraId="1AECA7EC" w14:textId="77777777" w:rsidR="000971E9" w:rsidRPr="000971E9" w:rsidRDefault="000971E9" w:rsidP="000971E9">
      <w:pPr>
        <w:widowControl w:val="0"/>
        <w:autoSpaceDE w:val="0"/>
        <w:autoSpaceDN w:val="0"/>
        <w:adjustRightInd w:val="0"/>
        <w:spacing w:line="360" w:lineRule="auto"/>
        <w:ind w:left="480" w:hanging="480"/>
        <w:rPr>
          <w:noProof/>
        </w:rPr>
      </w:pPr>
      <w:r w:rsidRPr="004474C3">
        <w:rPr>
          <w:noProof/>
          <w:lang w:val="it-IT"/>
        </w:rPr>
        <w:t xml:space="preserve">Pirlo, G., Terzano, G., Pacelli, C., Abeni, F., Carè, S., 2014b. </w:t>
      </w:r>
      <w:r w:rsidRPr="000971E9">
        <w:rPr>
          <w:noProof/>
        </w:rPr>
        <w:t>Carbon footprint of milk produced at Italian buffalo farms. Livest. Sci. 161, 176–184. https://doi.org/10.1016/j.livsci.2013.12.007</w:t>
      </w:r>
    </w:p>
    <w:p w14:paraId="03F2C5E1" w14:textId="77777777" w:rsidR="000971E9" w:rsidRPr="000971E9" w:rsidRDefault="000971E9" w:rsidP="000971E9">
      <w:pPr>
        <w:widowControl w:val="0"/>
        <w:autoSpaceDE w:val="0"/>
        <w:autoSpaceDN w:val="0"/>
        <w:adjustRightInd w:val="0"/>
        <w:spacing w:line="360" w:lineRule="auto"/>
        <w:ind w:left="480" w:hanging="480"/>
        <w:rPr>
          <w:noProof/>
        </w:rPr>
      </w:pPr>
      <w:r w:rsidRPr="000971E9">
        <w:rPr>
          <w:noProof/>
        </w:rPr>
        <w:t>Raman, D.R., Williams, E.L., Layton, A.C., Burns, R.T., Easter, J.P., Daugherty, A.S., Mullen, M.D., Sayler, G.S., 2004. Estrogen content of dairy and swine wastes. Environ. Sci. Technol. 38, 3567–3573.</w:t>
      </w:r>
    </w:p>
    <w:p w14:paraId="139E049C" w14:textId="77777777" w:rsidR="000971E9" w:rsidRPr="000971E9" w:rsidRDefault="000971E9" w:rsidP="000971E9">
      <w:pPr>
        <w:widowControl w:val="0"/>
        <w:autoSpaceDE w:val="0"/>
        <w:autoSpaceDN w:val="0"/>
        <w:adjustRightInd w:val="0"/>
        <w:spacing w:line="360" w:lineRule="auto"/>
        <w:ind w:left="480" w:hanging="480"/>
        <w:rPr>
          <w:noProof/>
        </w:rPr>
      </w:pPr>
      <w:r w:rsidRPr="000971E9">
        <w:rPr>
          <w:noProof/>
        </w:rPr>
        <w:t>Ran, Y., Lannerstad, M., Herrero, M., Van Middelaar, C.E., De Boer, I.J.M., 2016. Assessing water resource use in livestock production: A review of methods. Livest. Sci. 187, 68–79. https://doi.org/https://doi.org/10.1016/j.livsci.2016.02.012</w:t>
      </w:r>
    </w:p>
    <w:p w14:paraId="30238D2B" w14:textId="77777777" w:rsidR="000971E9" w:rsidRPr="004474C3" w:rsidRDefault="000971E9" w:rsidP="000971E9">
      <w:pPr>
        <w:widowControl w:val="0"/>
        <w:autoSpaceDE w:val="0"/>
        <w:autoSpaceDN w:val="0"/>
        <w:adjustRightInd w:val="0"/>
        <w:spacing w:line="360" w:lineRule="auto"/>
        <w:ind w:left="480" w:hanging="480"/>
        <w:rPr>
          <w:noProof/>
          <w:lang w:val="it-IT"/>
        </w:rPr>
      </w:pPr>
      <w:r w:rsidRPr="000971E9">
        <w:rPr>
          <w:noProof/>
        </w:rPr>
        <w:t xml:space="preserve">Reddy, P.R.K., Kumar, D.S., Rao, E.R., Seshiah, C.V., Sateesh, K., Rao, K.A., Reddy, Y.P.K., Hyder, I., 2019. Environmental sustainability assessment of tropical dairy buffalo farming vis-a-vis sustainable feed replacement strategy. </w:t>
      </w:r>
      <w:r w:rsidRPr="004474C3">
        <w:rPr>
          <w:noProof/>
          <w:lang w:val="it-IT"/>
        </w:rPr>
        <w:t>Sci. Rep. 9, 1–16. https://doi.org/10.1038/s41598-019-53378-w</w:t>
      </w:r>
    </w:p>
    <w:p w14:paraId="5EEB82CF" w14:textId="77777777" w:rsidR="000971E9" w:rsidRPr="004474C3" w:rsidRDefault="000971E9" w:rsidP="000971E9">
      <w:pPr>
        <w:widowControl w:val="0"/>
        <w:autoSpaceDE w:val="0"/>
        <w:autoSpaceDN w:val="0"/>
        <w:adjustRightInd w:val="0"/>
        <w:spacing w:line="360" w:lineRule="auto"/>
        <w:ind w:left="480" w:hanging="480"/>
        <w:rPr>
          <w:noProof/>
          <w:lang w:val="it-IT"/>
        </w:rPr>
      </w:pPr>
      <w:r w:rsidRPr="004474C3">
        <w:rPr>
          <w:noProof/>
          <w:lang w:val="it-IT"/>
        </w:rPr>
        <w:t xml:space="preserve">Sabia, E., Napolitano, F., Claps, S., De Rosa, G., Braghieri, A., Pacelli, C., 2018a. </w:t>
      </w:r>
      <w:r w:rsidRPr="000971E9">
        <w:rPr>
          <w:noProof/>
        </w:rPr>
        <w:t xml:space="preserve">Dairy buffalo life cycle assessment as affected by heifer rearing system. </w:t>
      </w:r>
      <w:r w:rsidRPr="004474C3">
        <w:rPr>
          <w:noProof/>
          <w:lang w:val="it-IT"/>
        </w:rPr>
        <w:t>J. Clean. Prod. 192, 647–655. https://doi.org/10.1016/j.jclepro.2018.04.158</w:t>
      </w:r>
    </w:p>
    <w:p w14:paraId="0C063763" w14:textId="77777777" w:rsidR="000971E9" w:rsidRPr="000971E9" w:rsidRDefault="000971E9" w:rsidP="000971E9">
      <w:pPr>
        <w:widowControl w:val="0"/>
        <w:autoSpaceDE w:val="0"/>
        <w:autoSpaceDN w:val="0"/>
        <w:adjustRightInd w:val="0"/>
        <w:spacing w:line="360" w:lineRule="auto"/>
        <w:ind w:left="480" w:hanging="480"/>
        <w:rPr>
          <w:noProof/>
        </w:rPr>
      </w:pPr>
      <w:r w:rsidRPr="004474C3">
        <w:rPr>
          <w:noProof/>
          <w:lang w:val="it-IT"/>
        </w:rPr>
        <w:lastRenderedPageBreak/>
        <w:t xml:space="preserve">Sabia, E., Napolitano, F., Rosa, G. De, Gauly, M., Braghieri, A., Pacelli, C., 2018b. </w:t>
      </w:r>
      <w:r w:rsidRPr="000971E9">
        <w:rPr>
          <w:noProof/>
        </w:rPr>
        <w:t>Life Cycle Assessment of Dairy Buffalo Calves in an Italian Farm. J. Buffalo Sci. 7, 58–63. https://doi.org/10.6000/1927-520x.2018.07.03.4</w:t>
      </w:r>
    </w:p>
    <w:p w14:paraId="658791ED" w14:textId="77777777" w:rsidR="000971E9" w:rsidRPr="000971E9" w:rsidRDefault="000971E9" w:rsidP="000971E9">
      <w:pPr>
        <w:widowControl w:val="0"/>
        <w:autoSpaceDE w:val="0"/>
        <w:autoSpaceDN w:val="0"/>
        <w:adjustRightInd w:val="0"/>
        <w:spacing w:line="360" w:lineRule="auto"/>
        <w:ind w:left="480" w:hanging="480"/>
        <w:rPr>
          <w:noProof/>
        </w:rPr>
      </w:pPr>
      <w:r w:rsidRPr="004474C3">
        <w:rPr>
          <w:noProof/>
          <w:lang w:val="it-IT"/>
        </w:rPr>
        <w:t xml:space="preserve">Sala, S., Cerutti, A.K., Pant, R., 2018. </w:t>
      </w:r>
      <w:r w:rsidRPr="000971E9">
        <w:rPr>
          <w:noProof/>
        </w:rPr>
        <w:t>Development of a weighting approach for the environmental footprint. Publ. Off. Eur. Union Luxemb.</w:t>
      </w:r>
    </w:p>
    <w:p w14:paraId="1CF61D72" w14:textId="77777777" w:rsidR="000971E9" w:rsidRPr="000971E9" w:rsidRDefault="000971E9" w:rsidP="000971E9">
      <w:pPr>
        <w:widowControl w:val="0"/>
        <w:autoSpaceDE w:val="0"/>
        <w:autoSpaceDN w:val="0"/>
        <w:adjustRightInd w:val="0"/>
        <w:spacing w:line="360" w:lineRule="auto"/>
        <w:ind w:left="480" w:hanging="480"/>
        <w:rPr>
          <w:noProof/>
        </w:rPr>
      </w:pPr>
      <w:r w:rsidRPr="000971E9">
        <w:rPr>
          <w:noProof/>
        </w:rPr>
        <w:t>Steinfeld, H., Gerber, P., Wassenaar, T.D., Castel, V., Rosales, M., Rosales, M., de Haan, C., 2006. Livestock’s long shadow: environmental issues and options. Food &amp; Agriculture Org.</w:t>
      </w:r>
    </w:p>
    <w:p w14:paraId="28D46AEB" w14:textId="77777777" w:rsidR="000971E9" w:rsidRPr="000971E9" w:rsidRDefault="000971E9" w:rsidP="000971E9">
      <w:pPr>
        <w:widowControl w:val="0"/>
        <w:autoSpaceDE w:val="0"/>
        <w:autoSpaceDN w:val="0"/>
        <w:adjustRightInd w:val="0"/>
        <w:spacing w:line="360" w:lineRule="auto"/>
        <w:ind w:left="480" w:hanging="480"/>
        <w:rPr>
          <w:noProof/>
        </w:rPr>
      </w:pPr>
      <w:r w:rsidRPr="000971E9">
        <w:rPr>
          <w:noProof/>
        </w:rPr>
        <w:t>Tasho, R.P., Cho, J.Y., 2016. Veterinary antibiotics in animal waste, its distribution in soil and uptake by plants: a review. Sci. Total Environ. 563, 366–376.</w:t>
      </w:r>
    </w:p>
    <w:p w14:paraId="78167E4D" w14:textId="77777777" w:rsidR="000971E9" w:rsidRPr="000971E9" w:rsidRDefault="000971E9" w:rsidP="000971E9">
      <w:pPr>
        <w:widowControl w:val="0"/>
        <w:autoSpaceDE w:val="0"/>
        <w:autoSpaceDN w:val="0"/>
        <w:adjustRightInd w:val="0"/>
        <w:spacing w:line="360" w:lineRule="auto"/>
        <w:ind w:left="480" w:hanging="480"/>
        <w:rPr>
          <w:noProof/>
        </w:rPr>
      </w:pPr>
      <w:r w:rsidRPr="000971E9">
        <w:rPr>
          <w:noProof/>
        </w:rPr>
        <w:t>Thomassen, M.A., van Calker, K.J., Smits, M.C.J., Iepema, G.L., de Boer, I.J.M., 2008. Life cycle assessment of conventional and organic milk production in the Netherlands. Agric. Syst. 96, 95–107. https://doi.org/10.1016/j.agsy.2007.06.001</w:t>
      </w:r>
    </w:p>
    <w:p w14:paraId="11F85460" w14:textId="77777777" w:rsidR="000971E9" w:rsidRPr="000971E9" w:rsidRDefault="000971E9" w:rsidP="000971E9">
      <w:pPr>
        <w:widowControl w:val="0"/>
        <w:autoSpaceDE w:val="0"/>
        <w:autoSpaceDN w:val="0"/>
        <w:adjustRightInd w:val="0"/>
        <w:spacing w:line="360" w:lineRule="auto"/>
        <w:ind w:left="480" w:hanging="480"/>
        <w:rPr>
          <w:noProof/>
        </w:rPr>
      </w:pPr>
      <w:r w:rsidRPr="000971E9">
        <w:rPr>
          <w:noProof/>
        </w:rPr>
        <w:t>Thornton, P.K., Herrero, M., 2014. Climate change adaptation in mixed crop–livestock systems in developing countries. Glob. Food Sec. 3, 99–107. https://doi.org/https://doi.org/10.1016/j.gfs.2014.02.002</w:t>
      </w:r>
    </w:p>
    <w:p w14:paraId="7EC998D9" w14:textId="77777777" w:rsidR="000971E9" w:rsidRPr="000971E9" w:rsidRDefault="000971E9" w:rsidP="000971E9">
      <w:pPr>
        <w:widowControl w:val="0"/>
        <w:autoSpaceDE w:val="0"/>
        <w:autoSpaceDN w:val="0"/>
        <w:adjustRightInd w:val="0"/>
        <w:spacing w:line="360" w:lineRule="auto"/>
        <w:ind w:left="480" w:hanging="480"/>
        <w:rPr>
          <w:noProof/>
        </w:rPr>
      </w:pPr>
      <w:r w:rsidRPr="000971E9">
        <w:rPr>
          <w:noProof/>
        </w:rPr>
        <w:t>Weidema, B.P., Frees, N., Nielsen, A.-M., 1999. Marginal production technologies for life cycle inventories. Int. J. Life Cycle Assess. 4, 48–56.</w:t>
      </w:r>
    </w:p>
    <w:p w14:paraId="61065BB1" w14:textId="77777777" w:rsidR="00201ECE" w:rsidRDefault="00201ECE" w:rsidP="005646E9">
      <w:pPr>
        <w:spacing w:line="360" w:lineRule="auto"/>
        <w:rPr>
          <w:noProof/>
        </w:rPr>
      </w:pPr>
      <w:r w:rsidRPr="001127C7">
        <w:rPr>
          <w:noProof/>
        </w:rPr>
        <w:fldChar w:fldCharType="end"/>
      </w:r>
    </w:p>
    <w:p w14:paraId="4BF888C4" w14:textId="77777777" w:rsidR="00333764" w:rsidRDefault="00333764" w:rsidP="005646E9">
      <w:pPr>
        <w:spacing w:line="360" w:lineRule="auto"/>
        <w:rPr>
          <w:noProof/>
        </w:rPr>
      </w:pPr>
    </w:p>
    <w:p w14:paraId="18A39D86" w14:textId="77777777" w:rsidR="00333764" w:rsidRDefault="00333764" w:rsidP="005646E9">
      <w:pPr>
        <w:spacing w:line="360" w:lineRule="auto"/>
        <w:rPr>
          <w:noProof/>
        </w:rPr>
      </w:pPr>
    </w:p>
    <w:p w14:paraId="57DEDABF" w14:textId="77777777" w:rsidR="00AE56F0" w:rsidRDefault="00AE56F0" w:rsidP="005646E9">
      <w:pPr>
        <w:spacing w:line="360" w:lineRule="auto"/>
        <w:rPr>
          <w:noProof/>
        </w:rPr>
      </w:pPr>
    </w:p>
    <w:sectPr w:rsidR="00AE56F0" w:rsidSect="00AE0900">
      <w:footerReference w:type="even" r:id="rId17"/>
      <w:footerReference w:type="default" r:id="rId18"/>
      <w:footerReference w:type="first" r:id="rId19"/>
      <w:pgSz w:w="11907" w:h="16840" w:code="9"/>
      <w:pgMar w:top="1134" w:right="1418" w:bottom="1701" w:left="1418" w:header="709" w:footer="851"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13305" w14:textId="77777777" w:rsidR="00B954C3" w:rsidRDefault="00B954C3" w:rsidP="0068001D">
      <w:r>
        <w:separator/>
      </w:r>
    </w:p>
    <w:p w14:paraId="7ACF4179" w14:textId="77777777" w:rsidR="00B954C3" w:rsidRDefault="00B954C3" w:rsidP="0068001D"/>
  </w:endnote>
  <w:endnote w:type="continuationSeparator" w:id="0">
    <w:p w14:paraId="011A312F" w14:textId="77777777" w:rsidR="00B954C3" w:rsidRDefault="00B954C3" w:rsidP="0068001D">
      <w:r>
        <w:continuationSeparator/>
      </w:r>
    </w:p>
    <w:p w14:paraId="64DD80E9" w14:textId="77777777" w:rsidR="00B954C3" w:rsidRDefault="00B954C3" w:rsidP="006800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CD027" w14:textId="77777777" w:rsidR="00DD0B75" w:rsidRDefault="00DD0B75" w:rsidP="0068001D">
    <w:pPr>
      <w:pStyle w:val="Pidipagina"/>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4</w:t>
    </w:r>
    <w:r>
      <w:rPr>
        <w:rStyle w:val="Numeropagina"/>
      </w:rPr>
      <w:fldChar w:fldCharType="end"/>
    </w:r>
  </w:p>
  <w:p w14:paraId="17AA3B31" w14:textId="77777777" w:rsidR="00DD0B75" w:rsidRDefault="00DD0B75" w:rsidP="0068001D">
    <w:pPr>
      <w:pStyle w:val="Pidipagina"/>
    </w:pPr>
  </w:p>
  <w:p w14:paraId="78AD842A" w14:textId="77777777" w:rsidR="00DD0B75" w:rsidRDefault="00DD0B75" w:rsidP="0068001D"/>
  <w:p w14:paraId="33B43665" w14:textId="77777777" w:rsidR="00DD0B75" w:rsidRDefault="00DD0B75" w:rsidP="0068001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76CCA" w14:textId="77777777" w:rsidR="00DD0B75" w:rsidRDefault="00DD0B75" w:rsidP="0068001D"/>
  <w:p w14:paraId="06F56C4F" w14:textId="77777777" w:rsidR="00DD0B75" w:rsidRDefault="00DD0B75" w:rsidP="0068001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563D5" w14:textId="77777777" w:rsidR="00DD0B75" w:rsidRPr="00254726" w:rsidRDefault="00DD0B75" w:rsidP="00254726">
    <w:pPr>
      <w:pStyle w:val="Pidipagina"/>
      <w:spacing w:after="0" w:line="240" w:lineRule="auto"/>
      <w:ind w:firstLine="0"/>
      <w:jc w:val="left"/>
      <w:rPr>
        <w:rFonts w:asciiTheme="minorHAnsi" w:eastAsiaTheme="minorHAnsi" w:hAnsiTheme="minorHAnsi" w:cstheme="minorBidi"/>
        <w:sz w:val="22"/>
        <w:szCs w:val="22"/>
        <w:lang w:val="en-US" w:eastAsia="en-US"/>
      </w:rPr>
    </w:pPr>
    <w:r w:rsidRPr="00254726">
      <w:rPr>
        <w:rFonts w:asciiTheme="minorHAnsi" w:eastAsiaTheme="minorHAnsi" w:hAnsiTheme="minorHAnsi" w:cstheme="minorBidi"/>
        <w:sz w:val="22"/>
        <w:szCs w:val="22"/>
        <w:lang w:val="en-US" w:eastAsia="en-US"/>
      </w:rPr>
      <w:t>*Correspondence about this article should be addressed to:</w:t>
    </w:r>
  </w:p>
  <w:p w14:paraId="4C83D791" w14:textId="2CA4C5F5" w:rsidR="00DD0B75" w:rsidRPr="00E1594B" w:rsidRDefault="00DD0B75" w:rsidP="00254726">
    <w:pPr>
      <w:pStyle w:val="Pidipagina"/>
      <w:spacing w:after="0" w:line="240" w:lineRule="auto"/>
      <w:ind w:firstLine="0"/>
      <w:jc w:val="left"/>
      <w:rPr>
        <w:rFonts w:asciiTheme="minorHAnsi" w:eastAsiaTheme="minorHAnsi" w:hAnsiTheme="minorHAnsi" w:cstheme="minorBidi"/>
        <w:sz w:val="22"/>
        <w:szCs w:val="22"/>
        <w:lang w:val="it-IT" w:eastAsia="en-US"/>
      </w:rPr>
    </w:pPr>
    <w:r w:rsidRPr="00E1594B">
      <w:rPr>
        <w:rFonts w:asciiTheme="minorHAnsi" w:eastAsiaTheme="minorHAnsi" w:hAnsiTheme="minorHAnsi" w:cstheme="minorBidi"/>
        <w:sz w:val="22"/>
        <w:szCs w:val="22"/>
        <w:lang w:val="it-IT" w:eastAsia="en-US"/>
      </w:rPr>
      <w:t xml:space="preserve">Dr. Angela Salzano </w:t>
    </w:r>
  </w:p>
  <w:p w14:paraId="78F1B2CF" w14:textId="0FAF9D28" w:rsidR="00DD0B75" w:rsidRPr="00E1594B" w:rsidRDefault="00DD0B75" w:rsidP="00254726">
    <w:pPr>
      <w:pStyle w:val="Pidipagina"/>
      <w:spacing w:after="0" w:line="240" w:lineRule="auto"/>
      <w:ind w:firstLine="0"/>
      <w:jc w:val="left"/>
      <w:rPr>
        <w:rFonts w:asciiTheme="minorHAnsi" w:eastAsiaTheme="minorHAnsi" w:hAnsiTheme="minorHAnsi" w:cstheme="minorBidi"/>
        <w:sz w:val="22"/>
        <w:szCs w:val="22"/>
        <w:lang w:val="it-IT" w:eastAsia="en-US"/>
      </w:rPr>
    </w:pPr>
    <w:r w:rsidRPr="00E1594B">
      <w:rPr>
        <w:rFonts w:asciiTheme="minorHAnsi" w:eastAsiaTheme="minorHAnsi" w:hAnsiTheme="minorHAnsi" w:cstheme="minorBidi"/>
        <w:sz w:val="22"/>
        <w:szCs w:val="22"/>
        <w:lang w:val="it-IT" w:eastAsia="en-US"/>
      </w:rPr>
      <w:t>email: angela.salzano@unina.it</w:t>
    </w:r>
  </w:p>
  <w:p w14:paraId="6B65A6EF" w14:textId="77777777" w:rsidR="00DD0B75" w:rsidRPr="00523B4F" w:rsidRDefault="00DD0B75" w:rsidP="0068001D">
    <w:pPr>
      <w:rPr>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593BC" w14:textId="77777777" w:rsidR="00B954C3" w:rsidRDefault="00B954C3" w:rsidP="0068001D">
      <w:r>
        <w:separator/>
      </w:r>
    </w:p>
    <w:p w14:paraId="5AB15469" w14:textId="77777777" w:rsidR="00B954C3" w:rsidRDefault="00B954C3" w:rsidP="0068001D"/>
  </w:footnote>
  <w:footnote w:type="continuationSeparator" w:id="0">
    <w:p w14:paraId="7E0E946F" w14:textId="77777777" w:rsidR="00B954C3" w:rsidRDefault="00B954C3" w:rsidP="0068001D">
      <w:r>
        <w:continuationSeparator/>
      </w:r>
    </w:p>
    <w:p w14:paraId="10615260" w14:textId="77777777" w:rsidR="00B954C3" w:rsidRDefault="00B954C3" w:rsidP="0068001D"/>
  </w:footnote>
  <w:footnote w:id="1">
    <w:p w14:paraId="2190C352" w14:textId="7A068056" w:rsidR="00DD0B75" w:rsidRPr="00BA03F1" w:rsidRDefault="00DD0B75" w:rsidP="00BA03F1">
      <w:pPr>
        <w:pStyle w:val="Testonotaapidipagina"/>
        <w:spacing w:after="0" w:line="240" w:lineRule="auto"/>
        <w:ind w:left="426" w:hanging="142"/>
        <w:rPr>
          <w:sz w:val="20"/>
        </w:rPr>
      </w:pPr>
      <w:r>
        <w:rPr>
          <w:rStyle w:val="Rimandonotaapidipagina"/>
        </w:rPr>
        <w:footnoteRef/>
      </w:r>
      <w:r>
        <w:t xml:space="preserve"> </w:t>
      </w:r>
      <w:r w:rsidRPr="00BA03F1">
        <w:rPr>
          <w:sz w:val="20"/>
        </w:rPr>
        <w:t>DIRECTIVE (EU) 2018/2001 OF THE EUROPEAN PARL</w:t>
      </w:r>
      <w:r>
        <w:rPr>
          <w:sz w:val="20"/>
        </w:rPr>
        <w:t xml:space="preserve">IAMENT AND OF THE COUNCIL of 11 </w:t>
      </w:r>
      <w:r w:rsidRPr="00BA03F1">
        <w:rPr>
          <w:sz w:val="20"/>
        </w:rPr>
        <w:t>December 2018</w:t>
      </w:r>
      <w:r>
        <w:rPr>
          <w:sz w:val="20"/>
        </w:rPr>
        <w:t xml:space="preserve"> </w:t>
      </w:r>
      <w:r w:rsidRPr="00BA03F1">
        <w:rPr>
          <w:sz w:val="20"/>
        </w:rPr>
        <w:t>on the promotion of the use of energy from renewable sources</w:t>
      </w:r>
    </w:p>
  </w:footnote>
  <w:footnote w:id="2">
    <w:p w14:paraId="4F2D3232" w14:textId="4CB4A012" w:rsidR="00DD0B75" w:rsidRPr="00BA03F1" w:rsidRDefault="00DD0B75" w:rsidP="00F53C82">
      <w:pPr>
        <w:pStyle w:val="Testonotaapidipagina"/>
        <w:spacing w:after="0" w:line="240" w:lineRule="auto"/>
        <w:ind w:left="426" w:hanging="142"/>
      </w:pPr>
      <w:r>
        <w:rPr>
          <w:rStyle w:val="Rimandonotaapidipagina"/>
        </w:rPr>
        <w:footnoteRef/>
      </w:r>
      <w:r w:rsidR="00033E2F">
        <w:rPr>
          <w:sz w:val="20"/>
        </w:rPr>
        <w:t xml:space="preserve"> </w:t>
      </w:r>
      <w:r w:rsidRPr="00BA03F1">
        <w:rPr>
          <w:sz w:val="20"/>
        </w:rPr>
        <w:t>National Emission Ceilings Directive</w:t>
      </w:r>
      <w:r>
        <w:rPr>
          <w:sz w:val="20"/>
        </w:rPr>
        <w:t xml:space="preserve"> (EEA)</w:t>
      </w:r>
      <w:r w:rsidRPr="00BA03F1">
        <w:rPr>
          <w:sz w:val="20"/>
        </w:rPr>
        <w:t xml:space="preserve"> Published online 2018:5-12. https://www.eea.europa.eu/data-and-maps/dashboards/necd-directive-data-viewer</w:t>
      </w:r>
    </w:p>
  </w:footnote>
  <w:footnote w:id="3">
    <w:p w14:paraId="0E636B1E" w14:textId="77777777" w:rsidR="00DD0B75" w:rsidRPr="00F53C82" w:rsidRDefault="00DD0B75" w:rsidP="008774F3">
      <w:pPr>
        <w:pStyle w:val="Testonotaapidipagina"/>
        <w:spacing w:after="0" w:line="240" w:lineRule="auto"/>
        <w:rPr>
          <w:sz w:val="20"/>
        </w:rPr>
      </w:pPr>
      <w:r>
        <w:rPr>
          <w:rStyle w:val="Rimandonotaapidipagina"/>
        </w:rPr>
        <w:footnoteRef/>
      </w:r>
      <w:r>
        <w:t xml:space="preserve"> </w:t>
      </w:r>
      <w:proofErr w:type="spellStart"/>
      <w:r w:rsidRPr="00F53C82">
        <w:rPr>
          <w:sz w:val="20"/>
        </w:rPr>
        <w:t>Ecoinvent</w:t>
      </w:r>
      <w:proofErr w:type="spellEnd"/>
      <w:r w:rsidRPr="00F53C82">
        <w:rPr>
          <w:sz w:val="20"/>
        </w:rPr>
        <w:t xml:space="preserve"> Database 3.6, Cut-Off. Available online: www.ecoinvent.org (accessed on 13 October 2020)</w:t>
      </w:r>
    </w:p>
  </w:footnote>
  <w:footnote w:id="4">
    <w:p w14:paraId="2A1EA65B" w14:textId="39EB399A" w:rsidR="00DD0B75" w:rsidRPr="008774F3" w:rsidRDefault="00DD0B75" w:rsidP="008774F3">
      <w:pPr>
        <w:pStyle w:val="Testonotaapidipagina"/>
        <w:spacing w:after="0" w:line="240" w:lineRule="auto"/>
        <w:ind w:left="426" w:hanging="69"/>
      </w:pPr>
      <w:r>
        <w:rPr>
          <w:rStyle w:val="Rimandonotaapidipagina"/>
        </w:rPr>
        <w:footnoteRef/>
      </w:r>
      <w:r>
        <w:t xml:space="preserve"> </w:t>
      </w:r>
      <w:proofErr w:type="spellStart"/>
      <w:r w:rsidRPr="008774F3">
        <w:rPr>
          <w:sz w:val="20"/>
        </w:rPr>
        <w:t>GaBi</w:t>
      </w:r>
      <w:proofErr w:type="spellEnd"/>
      <w:r w:rsidRPr="008774F3">
        <w:rPr>
          <w:sz w:val="20"/>
        </w:rPr>
        <w:t xml:space="preserve"> Database. Available online: http://www.gabi-software.com (accessed on 13 October 2020)</w:t>
      </w:r>
    </w:p>
  </w:footnote>
  <w:footnote w:id="5">
    <w:p w14:paraId="55F1A2A4" w14:textId="351B531D" w:rsidR="00577A03" w:rsidRPr="004474C3" w:rsidRDefault="00577A03" w:rsidP="00577A03">
      <w:pPr>
        <w:pStyle w:val="Testonotaapidipagina"/>
        <w:rPr>
          <w:lang w:val="en-US"/>
        </w:rPr>
      </w:pPr>
      <w:r>
        <w:rPr>
          <w:rStyle w:val="Rimandonotaapidipagina"/>
        </w:rPr>
        <w:footnoteRef/>
      </w:r>
      <w:r w:rsidRPr="004474C3">
        <w:rPr>
          <w:lang w:val="en-US"/>
        </w:rPr>
        <w:t xml:space="preserve"> </w:t>
      </w:r>
      <w:r w:rsidR="00A7373F" w:rsidRPr="008774F3">
        <w:rPr>
          <w:sz w:val="20"/>
        </w:rPr>
        <w:t>http://</w:t>
      </w:r>
      <w:hyperlink r:id="rId1" w:history="1">
        <w:r w:rsidR="00A7373F" w:rsidRPr="004474C3">
          <w:rPr>
            <w:rStyle w:val="Collegamentoipertestuale"/>
            <w:sz w:val="20"/>
            <w:szCs w:val="20"/>
            <w:lang w:val="en-US"/>
          </w:rPr>
          <w:t>www.anasb.it/statistiche/</w:t>
        </w:r>
      </w:hyperlink>
      <w:r w:rsidR="00A7373F" w:rsidRPr="004474C3">
        <w:rPr>
          <w:sz w:val="20"/>
          <w:szCs w:val="20"/>
          <w:lang w:val="en-US"/>
        </w:rPr>
        <w:t xml:space="preserve"> </w:t>
      </w:r>
      <w:r w:rsidR="00A7373F" w:rsidRPr="008774F3">
        <w:rPr>
          <w:sz w:val="20"/>
        </w:rPr>
        <w:t>(accessed on 13 October 2020)</w:t>
      </w:r>
    </w:p>
  </w:footnote>
  <w:footnote w:id="6">
    <w:p w14:paraId="2E944C16" w14:textId="35865698" w:rsidR="00DD0B75" w:rsidRPr="004474C3" w:rsidRDefault="00DD0B75" w:rsidP="00A2117B">
      <w:pPr>
        <w:pStyle w:val="Testonotaapidipagina"/>
        <w:spacing w:after="0" w:line="240" w:lineRule="auto"/>
        <w:rPr>
          <w:sz w:val="20"/>
          <w:szCs w:val="20"/>
          <w:lang w:val="en-US"/>
        </w:rPr>
      </w:pPr>
      <w:r>
        <w:rPr>
          <w:rStyle w:val="Rimandonotaapidipagina"/>
        </w:rPr>
        <w:footnoteRef/>
      </w:r>
      <w:r w:rsidRPr="004474C3">
        <w:rPr>
          <w:lang w:val="en-US"/>
        </w:rPr>
        <w:t xml:space="preserve"> </w:t>
      </w:r>
      <w:hyperlink r:id="rId2" w:history="1">
        <w:r w:rsidRPr="004474C3">
          <w:rPr>
            <w:rStyle w:val="Collegamentoipertestuale"/>
            <w:sz w:val="20"/>
            <w:szCs w:val="20"/>
            <w:lang w:val="en-US"/>
          </w:rPr>
          <w:t>https://www.anasb.it/statistiche/</w:t>
        </w:r>
      </w:hyperlink>
      <w:r w:rsidRPr="004474C3">
        <w:rPr>
          <w:sz w:val="20"/>
          <w:szCs w:val="20"/>
          <w:lang w:val="en-US"/>
        </w:rPr>
        <w:t>;</w:t>
      </w:r>
    </w:p>
    <w:p w14:paraId="642491A9" w14:textId="1CA4EDBB" w:rsidR="00DD0B75" w:rsidRPr="00A2117B" w:rsidRDefault="00DD0B75" w:rsidP="00A2117B">
      <w:pPr>
        <w:pStyle w:val="Testonotaapidipagina"/>
        <w:spacing w:after="0" w:line="240" w:lineRule="auto"/>
        <w:rPr>
          <w:sz w:val="20"/>
          <w:szCs w:val="20"/>
        </w:rPr>
      </w:pPr>
      <w:r w:rsidRPr="004474C3">
        <w:rPr>
          <w:sz w:val="20"/>
          <w:szCs w:val="20"/>
          <w:lang w:val="en-US"/>
        </w:rPr>
        <w:t xml:space="preserve">   </w:t>
      </w:r>
      <w:r w:rsidRPr="00A2117B">
        <w:rPr>
          <w:sz w:val="20"/>
          <w:szCs w:val="20"/>
        </w:rPr>
        <w:t>http://www.anafi.it/it/pubblicazioni-statistiche/medie-produzioni-nazionali-link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C2163"/>
    <w:multiLevelType w:val="multilevel"/>
    <w:tmpl w:val="33FCD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DE2493"/>
    <w:multiLevelType w:val="hybridMultilevel"/>
    <w:tmpl w:val="17FC72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45E2A95"/>
    <w:multiLevelType w:val="hybridMultilevel"/>
    <w:tmpl w:val="7D20DB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FD73B3"/>
    <w:multiLevelType w:val="hybridMultilevel"/>
    <w:tmpl w:val="B67AF07E"/>
    <w:lvl w:ilvl="0" w:tplc="3970F64C">
      <w:start w:val="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8350CB5"/>
    <w:multiLevelType w:val="hybridMultilevel"/>
    <w:tmpl w:val="BCEEAFA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88C165E"/>
    <w:multiLevelType w:val="hybridMultilevel"/>
    <w:tmpl w:val="AC2EDF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9187C7D"/>
    <w:multiLevelType w:val="hybridMultilevel"/>
    <w:tmpl w:val="149E6E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35A0AE3"/>
    <w:multiLevelType w:val="singleLevel"/>
    <w:tmpl w:val="04100017"/>
    <w:lvl w:ilvl="0">
      <w:start w:val="1"/>
      <w:numFmt w:val="lowerLetter"/>
      <w:lvlText w:val="%1)"/>
      <w:lvlJc w:val="left"/>
      <w:pPr>
        <w:tabs>
          <w:tab w:val="num" w:pos="360"/>
        </w:tabs>
        <w:ind w:left="360" w:hanging="360"/>
      </w:pPr>
    </w:lvl>
  </w:abstractNum>
  <w:abstractNum w:abstractNumId="8" w15:restartNumberingAfterBreak="0">
    <w:nsid w:val="16056C5D"/>
    <w:multiLevelType w:val="multilevel"/>
    <w:tmpl w:val="D292A3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1B60633F"/>
    <w:multiLevelType w:val="hybridMultilevel"/>
    <w:tmpl w:val="1B001F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D8823A6"/>
    <w:multiLevelType w:val="hybridMultilevel"/>
    <w:tmpl w:val="8664148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0F1ECB"/>
    <w:multiLevelType w:val="hybridMultilevel"/>
    <w:tmpl w:val="34CCE24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2" w15:restartNumberingAfterBreak="0">
    <w:nsid w:val="29086513"/>
    <w:multiLevelType w:val="hybridMultilevel"/>
    <w:tmpl w:val="25EC51BE"/>
    <w:lvl w:ilvl="0" w:tplc="847E6110">
      <w:start w:val="2"/>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AFA6F94"/>
    <w:multiLevelType w:val="hybridMultilevel"/>
    <w:tmpl w:val="F55082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CC6549D"/>
    <w:multiLevelType w:val="hybridMultilevel"/>
    <w:tmpl w:val="C9CE5E80"/>
    <w:lvl w:ilvl="0" w:tplc="0410000F">
      <w:start w:val="1"/>
      <w:numFmt w:val="decimal"/>
      <w:lvlText w:val="%1."/>
      <w:lvlJc w:val="left"/>
      <w:pPr>
        <w:ind w:left="108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2D624CD1"/>
    <w:multiLevelType w:val="multilevel"/>
    <w:tmpl w:val="826AA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EA77FD8"/>
    <w:multiLevelType w:val="hybridMultilevel"/>
    <w:tmpl w:val="3E489DD2"/>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39814A57"/>
    <w:multiLevelType w:val="hybridMultilevel"/>
    <w:tmpl w:val="0C4E726A"/>
    <w:lvl w:ilvl="0" w:tplc="332C8134">
      <w:start w:val="52"/>
      <w:numFmt w:val="bullet"/>
      <w:lvlText w:val="-"/>
      <w:lvlJc w:val="left"/>
      <w:pPr>
        <w:ind w:left="717" w:hanging="360"/>
      </w:pPr>
      <w:rPr>
        <w:rFonts w:ascii="Times New Roman" w:eastAsia="Times New Roman" w:hAnsi="Times New Roman" w:cs="Times New Roman" w:hint="default"/>
      </w:rPr>
    </w:lvl>
    <w:lvl w:ilvl="1" w:tplc="04100003" w:tentative="1">
      <w:start w:val="1"/>
      <w:numFmt w:val="bullet"/>
      <w:lvlText w:val="o"/>
      <w:lvlJc w:val="left"/>
      <w:pPr>
        <w:ind w:left="1437" w:hanging="360"/>
      </w:pPr>
      <w:rPr>
        <w:rFonts w:ascii="Courier New" w:hAnsi="Courier New" w:cs="Courier New" w:hint="default"/>
      </w:rPr>
    </w:lvl>
    <w:lvl w:ilvl="2" w:tplc="04100005" w:tentative="1">
      <w:start w:val="1"/>
      <w:numFmt w:val="bullet"/>
      <w:lvlText w:val=""/>
      <w:lvlJc w:val="left"/>
      <w:pPr>
        <w:ind w:left="2157" w:hanging="360"/>
      </w:pPr>
      <w:rPr>
        <w:rFonts w:ascii="Wingdings" w:hAnsi="Wingdings" w:hint="default"/>
      </w:rPr>
    </w:lvl>
    <w:lvl w:ilvl="3" w:tplc="04100001" w:tentative="1">
      <w:start w:val="1"/>
      <w:numFmt w:val="bullet"/>
      <w:lvlText w:val=""/>
      <w:lvlJc w:val="left"/>
      <w:pPr>
        <w:ind w:left="2877" w:hanging="360"/>
      </w:pPr>
      <w:rPr>
        <w:rFonts w:ascii="Symbol" w:hAnsi="Symbol" w:hint="default"/>
      </w:rPr>
    </w:lvl>
    <w:lvl w:ilvl="4" w:tplc="04100003" w:tentative="1">
      <w:start w:val="1"/>
      <w:numFmt w:val="bullet"/>
      <w:lvlText w:val="o"/>
      <w:lvlJc w:val="left"/>
      <w:pPr>
        <w:ind w:left="3597" w:hanging="360"/>
      </w:pPr>
      <w:rPr>
        <w:rFonts w:ascii="Courier New" w:hAnsi="Courier New" w:cs="Courier New" w:hint="default"/>
      </w:rPr>
    </w:lvl>
    <w:lvl w:ilvl="5" w:tplc="04100005" w:tentative="1">
      <w:start w:val="1"/>
      <w:numFmt w:val="bullet"/>
      <w:lvlText w:val=""/>
      <w:lvlJc w:val="left"/>
      <w:pPr>
        <w:ind w:left="4317" w:hanging="360"/>
      </w:pPr>
      <w:rPr>
        <w:rFonts w:ascii="Wingdings" w:hAnsi="Wingdings" w:hint="default"/>
      </w:rPr>
    </w:lvl>
    <w:lvl w:ilvl="6" w:tplc="04100001" w:tentative="1">
      <w:start w:val="1"/>
      <w:numFmt w:val="bullet"/>
      <w:lvlText w:val=""/>
      <w:lvlJc w:val="left"/>
      <w:pPr>
        <w:ind w:left="5037" w:hanging="360"/>
      </w:pPr>
      <w:rPr>
        <w:rFonts w:ascii="Symbol" w:hAnsi="Symbol" w:hint="default"/>
      </w:rPr>
    </w:lvl>
    <w:lvl w:ilvl="7" w:tplc="04100003" w:tentative="1">
      <w:start w:val="1"/>
      <w:numFmt w:val="bullet"/>
      <w:lvlText w:val="o"/>
      <w:lvlJc w:val="left"/>
      <w:pPr>
        <w:ind w:left="5757" w:hanging="360"/>
      </w:pPr>
      <w:rPr>
        <w:rFonts w:ascii="Courier New" w:hAnsi="Courier New" w:cs="Courier New" w:hint="default"/>
      </w:rPr>
    </w:lvl>
    <w:lvl w:ilvl="8" w:tplc="04100005" w:tentative="1">
      <w:start w:val="1"/>
      <w:numFmt w:val="bullet"/>
      <w:lvlText w:val=""/>
      <w:lvlJc w:val="left"/>
      <w:pPr>
        <w:ind w:left="6477" w:hanging="360"/>
      </w:pPr>
      <w:rPr>
        <w:rFonts w:ascii="Wingdings" w:hAnsi="Wingdings" w:hint="default"/>
      </w:rPr>
    </w:lvl>
  </w:abstractNum>
  <w:abstractNum w:abstractNumId="18" w15:restartNumberingAfterBreak="0">
    <w:nsid w:val="3A9C392F"/>
    <w:multiLevelType w:val="hybridMultilevel"/>
    <w:tmpl w:val="830A787C"/>
    <w:lvl w:ilvl="0" w:tplc="90D0EC72">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0A1D5A"/>
    <w:multiLevelType w:val="hybridMultilevel"/>
    <w:tmpl w:val="087E212A"/>
    <w:lvl w:ilvl="0" w:tplc="06540174">
      <w:start w:val="1"/>
      <w:numFmt w:val="decimal"/>
      <w:lvlText w:val="%1)"/>
      <w:lvlJc w:val="left"/>
      <w:pPr>
        <w:ind w:left="717" w:hanging="360"/>
      </w:pPr>
      <w:rPr>
        <w:rFonts w:hint="default"/>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20" w15:restartNumberingAfterBreak="0">
    <w:nsid w:val="3F711881"/>
    <w:multiLevelType w:val="hybridMultilevel"/>
    <w:tmpl w:val="F07EC2A6"/>
    <w:lvl w:ilvl="0" w:tplc="2346B958">
      <w:start w:val="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40AE0420"/>
    <w:multiLevelType w:val="hybridMultilevel"/>
    <w:tmpl w:val="BD7253DC"/>
    <w:lvl w:ilvl="0" w:tplc="EA848918">
      <w:start w:val="3"/>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2" w15:restartNumberingAfterBreak="0">
    <w:nsid w:val="43B94C8F"/>
    <w:multiLevelType w:val="multilevel"/>
    <w:tmpl w:val="3A3A1B6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59D61AE"/>
    <w:multiLevelType w:val="hybridMultilevel"/>
    <w:tmpl w:val="700AB90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470B25B7"/>
    <w:multiLevelType w:val="hybridMultilevel"/>
    <w:tmpl w:val="49EE7C9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D307C18"/>
    <w:multiLevelType w:val="multilevel"/>
    <w:tmpl w:val="FEB06D8C"/>
    <w:lvl w:ilvl="0">
      <w:start w:val="1"/>
      <w:numFmt w:val="decimal"/>
      <w:lvlText w:val="[%1]"/>
      <w:lvlJc w:val="left"/>
      <w:pPr>
        <w:tabs>
          <w:tab w:val="num" w:pos="814"/>
        </w:tabs>
        <w:ind w:left="814" w:hanging="45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51810A89"/>
    <w:multiLevelType w:val="multilevel"/>
    <w:tmpl w:val="A822A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AD205F"/>
    <w:multiLevelType w:val="hybridMultilevel"/>
    <w:tmpl w:val="F1EA1F02"/>
    <w:lvl w:ilvl="0" w:tplc="8626C218">
      <w:start w:val="1"/>
      <w:numFmt w:val="decimal"/>
      <w:lvlText w:val="%1."/>
      <w:lvlJc w:val="left"/>
      <w:pPr>
        <w:tabs>
          <w:tab w:val="num" w:pos="814"/>
        </w:tabs>
        <w:ind w:left="814" w:hanging="454"/>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51C36488"/>
    <w:multiLevelType w:val="hybridMultilevel"/>
    <w:tmpl w:val="E4924042"/>
    <w:lvl w:ilvl="0" w:tplc="198C678C">
      <w:start w:val="1"/>
      <w:numFmt w:val="decimal"/>
      <w:lvlText w:val="(%1)"/>
      <w:lvlJc w:val="center"/>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581A17E8"/>
    <w:multiLevelType w:val="multilevel"/>
    <w:tmpl w:val="08090025"/>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30" w15:restartNumberingAfterBreak="0">
    <w:nsid w:val="5E761E33"/>
    <w:multiLevelType w:val="hybridMultilevel"/>
    <w:tmpl w:val="D570D05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0B95F71"/>
    <w:multiLevelType w:val="hybridMultilevel"/>
    <w:tmpl w:val="93E2E4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7737D17"/>
    <w:multiLevelType w:val="hybridMultilevel"/>
    <w:tmpl w:val="4F8C0F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69E07C90"/>
    <w:multiLevelType w:val="multilevel"/>
    <w:tmpl w:val="02002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362AA2"/>
    <w:multiLevelType w:val="hybridMultilevel"/>
    <w:tmpl w:val="A856855C"/>
    <w:lvl w:ilvl="0" w:tplc="717AB656">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7C3E261F"/>
    <w:multiLevelType w:val="hybridMultilevel"/>
    <w:tmpl w:val="C92C4FAA"/>
    <w:lvl w:ilvl="0" w:tplc="E34EBF26">
      <w:start w:val="3"/>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4E1319"/>
    <w:multiLevelType w:val="singleLevel"/>
    <w:tmpl w:val="0410000F"/>
    <w:lvl w:ilvl="0">
      <w:start w:val="1"/>
      <w:numFmt w:val="decimal"/>
      <w:lvlText w:val="%1."/>
      <w:lvlJc w:val="left"/>
      <w:pPr>
        <w:tabs>
          <w:tab w:val="num" w:pos="360"/>
        </w:tabs>
        <w:ind w:left="360" w:hanging="360"/>
      </w:pPr>
    </w:lvl>
  </w:abstractNum>
  <w:num w:numId="1" w16cid:durableId="277835675">
    <w:abstractNumId w:val="36"/>
  </w:num>
  <w:num w:numId="2" w16cid:durableId="1264418286">
    <w:abstractNumId w:val="7"/>
  </w:num>
  <w:num w:numId="3" w16cid:durableId="1414090506">
    <w:abstractNumId w:val="16"/>
  </w:num>
  <w:num w:numId="4" w16cid:durableId="1414354565">
    <w:abstractNumId w:val="27"/>
  </w:num>
  <w:num w:numId="5" w16cid:durableId="551505822">
    <w:abstractNumId w:val="22"/>
  </w:num>
  <w:num w:numId="6" w16cid:durableId="842012287">
    <w:abstractNumId w:val="25"/>
  </w:num>
  <w:num w:numId="7" w16cid:durableId="28651256">
    <w:abstractNumId w:val="30"/>
  </w:num>
  <w:num w:numId="8" w16cid:durableId="700327542">
    <w:abstractNumId w:val="31"/>
  </w:num>
  <w:num w:numId="9" w16cid:durableId="1869874198">
    <w:abstractNumId w:val="12"/>
  </w:num>
  <w:num w:numId="10" w16cid:durableId="1562255738">
    <w:abstractNumId w:val="18"/>
  </w:num>
  <w:num w:numId="11" w16cid:durableId="1258170583">
    <w:abstractNumId w:val="9"/>
  </w:num>
  <w:num w:numId="12" w16cid:durableId="458228194">
    <w:abstractNumId w:val="5"/>
  </w:num>
  <w:num w:numId="13" w16cid:durableId="107041955">
    <w:abstractNumId w:val="13"/>
  </w:num>
  <w:num w:numId="14" w16cid:durableId="1024748664">
    <w:abstractNumId w:val="6"/>
  </w:num>
  <w:num w:numId="15" w16cid:durableId="349990422">
    <w:abstractNumId w:val="1"/>
  </w:num>
  <w:num w:numId="16" w16cid:durableId="1375152288">
    <w:abstractNumId w:val="2"/>
  </w:num>
  <w:num w:numId="17" w16cid:durableId="1995641098">
    <w:abstractNumId w:val="20"/>
  </w:num>
  <w:num w:numId="18" w16cid:durableId="419447879">
    <w:abstractNumId w:val="3"/>
  </w:num>
  <w:num w:numId="19" w16cid:durableId="418983012">
    <w:abstractNumId w:val="28"/>
  </w:num>
  <w:num w:numId="20" w16cid:durableId="399209215">
    <w:abstractNumId w:val="32"/>
  </w:num>
  <w:num w:numId="21" w16cid:durableId="1543707258">
    <w:abstractNumId w:val="34"/>
  </w:num>
  <w:num w:numId="22" w16cid:durableId="213153452">
    <w:abstractNumId w:val="8"/>
  </w:num>
  <w:num w:numId="23" w16cid:durableId="523902097">
    <w:abstractNumId w:val="26"/>
  </w:num>
  <w:num w:numId="24" w16cid:durableId="651712685">
    <w:abstractNumId w:val="0"/>
  </w:num>
  <w:num w:numId="25" w16cid:durableId="600383963">
    <w:abstractNumId w:val="33"/>
  </w:num>
  <w:num w:numId="26" w16cid:durableId="810514786">
    <w:abstractNumId w:val="29"/>
  </w:num>
  <w:num w:numId="27" w16cid:durableId="1482428049">
    <w:abstractNumId w:val="21"/>
  </w:num>
  <w:num w:numId="28" w16cid:durableId="2094815490">
    <w:abstractNumId w:val="35"/>
  </w:num>
  <w:num w:numId="29" w16cid:durableId="1239287424">
    <w:abstractNumId w:val="4"/>
  </w:num>
  <w:num w:numId="30" w16cid:durableId="2091925027">
    <w:abstractNumId w:val="24"/>
  </w:num>
  <w:num w:numId="31" w16cid:durableId="435172840">
    <w:abstractNumId w:val="10"/>
  </w:num>
  <w:num w:numId="32" w16cid:durableId="1446846261">
    <w:abstractNumId w:val="11"/>
  </w:num>
  <w:num w:numId="33" w16cid:durableId="180047587">
    <w:abstractNumId w:val="14"/>
  </w:num>
  <w:num w:numId="34" w16cid:durableId="1947735158">
    <w:abstractNumId w:val="23"/>
  </w:num>
  <w:num w:numId="35" w16cid:durableId="2091078797">
    <w:abstractNumId w:val="19"/>
  </w:num>
  <w:num w:numId="36" w16cid:durableId="596718573">
    <w:abstractNumId w:val="15"/>
  </w:num>
  <w:num w:numId="37" w16cid:durableId="10972902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isplayHorizontalDrawingGridEvery w:val="0"/>
  <w:displayVerticalDrawingGridEvery w:val="0"/>
  <w:doNotUseMarginsForDrawingGridOrigin/>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27D3"/>
    <w:rsid w:val="00000167"/>
    <w:rsid w:val="00002C94"/>
    <w:rsid w:val="00002F90"/>
    <w:rsid w:val="000044CE"/>
    <w:rsid w:val="000045E2"/>
    <w:rsid w:val="00004F56"/>
    <w:rsid w:val="000105A9"/>
    <w:rsid w:val="00012780"/>
    <w:rsid w:val="00012FB9"/>
    <w:rsid w:val="0001443D"/>
    <w:rsid w:val="000155C1"/>
    <w:rsid w:val="00015E24"/>
    <w:rsid w:val="00015EE7"/>
    <w:rsid w:val="00016FD4"/>
    <w:rsid w:val="0001708E"/>
    <w:rsid w:val="00017517"/>
    <w:rsid w:val="00020B75"/>
    <w:rsid w:val="000219C1"/>
    <w:rsid w:val="00022D5F"/>
    <w:rsid w:val="000246F7"/>
    <w:rsid w:val="00025637"/>
    <w:rsid w:val="00025825"/>
    <w:rsid w:val="00025C50"/>
    <w:rsid w:val="00025E00"/>
    <w:rsid w:val="00026CDD"/>
    <w:rsid w:val="00026D73"/>
    <w:rsid w:val="00027303"/>
    <w:rsid w:val="00030110"/>
    <w:rsid w:val="00032B93"/>
    <w:rsid w:val="00032EA6"/>
    <w:rsid w:val="00033AA0"/>
    <w:rsid w:val="00033E2F"/>
    <w:rsid w:val="000342DB"/>
    <w:rsid w:val="000355C5"/>
    <w:rsid w:val="00035F59"/>
    <w:rsid w:val="00035F8D"/>
    <w:rsid w:val="00036BBF"/>
    <w:rsid w:val="00036C07"/>
    <w:rsid w:val="000378A5"/>
    <w:rsid w:val="0004073E"/>
    <w:rsid w:val="00040A69"/>
    <w:rsid w:val="00041FF9"/>
    <w:rsid w:val="00042636"/>
    <w:rsid w:val="00042B53"/>
    <w:rsid w:val="0004353D"/>
    <w:rsid w:val="00043A17"/>
    <w:rsid w:val="00043EFC"/>
    <w:rsid w:val="00044A89"/>
    <w:rsid w:val="00044EBC"/>
    <w:rsid w:val="00045244"/>
    <w:rsid w:val="000459C7"/>
    <w:rsid w:val="000470D3"/>
    <w:rsid w:val="000507BD"/>
    <w:rsid w:val="000510D2"/>
    <w:rsid w:val="000519BD"/>
    <w:rsid w:val="00051DF7"/>
    <w:rsid w:val="00053920"/>
    <w:rsid w:val="000541E9"/>
    <w:rsid w:val="00055490"/>
    <w:rsid w:val="0005670C"/>
    <w:rsid w:val="00056B72"/>
    <w:rsid w:val="000571B4"/>
    <w:rsid w:val="000604F7"/>
    <w:rsid w:val="000613DF"/>
    <w:rsid w:val="0006146F"/>
    <w:rsid w:val="00061F43"/>
    <w:rsid w:val="00063E65"/>
    <w:rsid w:val="000657BA"/>
    <w:rsid w:val="000658DB"/>
    <w:rsid w:val="000661B1"/>
    <w:rsid w:val="0006684E"/>
    <w:rsid w:val="00066D6D"/>
    <w:rsid w:val="000676AB"/>
    <w:rsid w:val="00070618"/>
    <w:rsid w:val="00070E30"/>
    <w:rsid w:val="00071298"/>
    <w:rsid w:val="000713A4"/>
    <w:rsid w:val="0007188B"/>
    <w:rsid w:val="00071E63"/>
    <w:rsid w:val="0007299C"/>
    <w:rsid w:val="00073427"/>
    <w:rsid w:val="000737C3"/>
    <w:rsid w:val="00074DC3"/>
    <w:rsid w:val="00075697"/>
    <w:rsid w:val="00075CBA"/>
    <w:rsid w:val="00075CDB"/>
    <w:rsid w:val="00077926"/>
    <w:rsid w:val="00077CE6"/>
    <w:rsid w:val="00077D63"/>
    <w:rsid w:val="000801A6"/>
    <w:rsid w:val="0008068F"/>
    <w:rsid w:val="00080C8B"/>
    <w:rsid w:val="00081984"/>
    <w:rsid w:val="00081F81"/>
    <w:rsid w:val="000830C0"/>
    <w:rsid w:val="0008475E"/>
    <w:rsid w:val="000857A6"/>
    <w:rsid w:val="00086E23"/>
    <w:rsid w:val="00086FA2"/>
    <w:rsid w:val="00090C3D"/>
    <w:rsid w:val="000911AA"/>
    <w:rsid w:val="0009262A"/>
    <w:rsid w:val="00093AFC"/>
    <w:rsid w:val="00094712"/>
    <w:rsid w:val="000952B0"/>
    <w:rsid w:val="00095C34"/>
    <w:rsid w:val="00096E58"/>
    <w:rsid w:val="000971E9"/>
    <w:rsid w:val="00097D1E"/>
    <w:rsid w:val="000A053D"/>
    <w:rsid w:val="000A0E00"/>
    <w:rsid w:val="000A17ED"/>
    <w:rsid w:val="000A1AE7"/>
    <w:rsid w:val="000A36CF"/>
    <w:rsid w:val="000A3872"/>
    <w:rsid w:val="000A3C95"/>
    <w:rsid w:val="000A404D"/>
    <w:rsid w:val="000A4368"/>
    <w:rsid w:val="000A44F5"/>
    <w:rsid w:val="000A5BEA"/>
    <w:rsid w:val="000A7B3F"/>
    <w:rsid w:val="000B0E63"/>
    <w:rsid w:val="000B1274"/>
    <w:rsid w:val="000B14CE"/>
    <w:rsid w:val="000B244B"/>
    <w:rsid w:val="000B263B"/>
    <w:rsid w:val="000B26DE"/>
    <w:rsid w:val="000B2B2D"/>
    <w:rsid w:val="000B33DE"/>
    <w:rsid w:val="000B540F"/>
    <w:rsid w:val="000B57BE"/>
    <w:rsid w:val="000B5DB4"/>
    <w:rsid w:val="000B64F1"/>
    <w:rsid w:val="000B7FE4"/>
    <w:rsid w:val="000C048B"/>
    <w:rsid w:val="000C07C1"/>
    <w:rsid w:val="000C1CEE"/>
    <w:rsid w:val="000C1D30"/>
    <w:rsid w:val="000C2798"/>
    <w:rsid w:val="000C3C36"/>
    <w:rsid w:val="000C3FFC"/>
    <w:rsid w:val="000C48B3"/>
    <w:rsid w:val="000C535D"/>
    <w:rsid w:val="000C53F2"/>
    <w:rsid w:val="000C5849"/>
    <w:rsid w:val="000C59B9"/>
    <w:rsid w:val="000C5D19"/>
    <w:rsid w:val="000C60E8"/>
    <w:rsid w:val="000C6746"/>
    <w:rsid w:val="000C6F8F"/>
    <w:rsid w:val="000D00ED"/>
    <w:rsid w:val="000D024E"/>
    <w:rsid w:val="000D03C2"/>
    <w:rsid w:val="000D1187"/>
    <w:rsid w:val="000D1549"/>
    <w:rsid w:val="000D1D71"/>
    <w:rsid w:val="000D2184"/>
    <w:rsid w:val="000D3301"/>
    <w:rsid w:val="000D4651"/>
    <w:rsid w:val="000D5042"/>
    <w:rsid w:val="000D576A"/>
    <w:rsid w:val="000D5FC9"/>
    <w:rsid w:val="000D7BD0"/>
    <w:rsid w:val="000D7EC5"/>
    <w:rsid w:val="000E2423"/>
    <w:rsid w:val="000E2CAC"/>
    <w:rsid w:val="000E3460"/>
    <w:rsid w:val="000E3DE2"/>
    <w:rsid w:val="000E3DF5"/>
    <w:rsid w:val="000E3FC4"/>
    <w:rsid w:val="000E4171"/>
    <w:rsid w:val="000E44D2"/>
    <w:rsid w:val="000E47E9"/>
    <w:rsid w:val="000E5EFB"/>
    <w:rsid w:val="000E74D7"/>
    <w:rsid w:val="000F0B09"/>
    <w:rsid w:val="000F0C6D"/>
    <w:rsid w:val="000F167D"/>
    <w:rsid w:val="000F184C"/>
    <w:rsid w:val="000F1CB3"/>
    <w:rsid w:val="000F2855"/>
    <w:rsid w:val="000F3ED1"/>
    <w:rsid w:val="000F4E1C"/>
    <w:rsid w:val="000F5361"/>
    <w:rsid w:val="000F6178"/>
    <w:rsid w:val="00100062"/>
    <w:rsid w:val="001004D7"/>
    <w:rsid w:val="001015F9"/>
    <w:rsid w:val="001027CA"/>
    <w:rsid w:val="00102FAE"/>
    <w:rsid w:val="001030D6"/>
    <w:rsid w:val="001038B6"/>
    <w:rsid w:val="00103A36"/>
    <w:rsid w:val="0010505D"/>
    <w:rsid w:val="00105326"/>
    <w:rsid w:val="001056FD"/>
    <w:rsid w:val="001057AC"/>
    <w:rsid w:val="001057F7"/>
    <w:rsid w:val="001069EA"/>
    <w:rsid w:val="00106FA9"/>
    <w:rsid w:val="00107634"/>
    <w:rsid w:val="0011088D"/>
    <w:rsid w:val="0011188C"/>
    <w:rsid w:val="00111AA4"/>
    <w:rsid w:val="00111BA2"/>
    <w:rsid w:val="00111F9B"/>
    <w:rsid w:val="001127C7"/>
    <w:rsid w:val="00112B5D"/>
    <w:rsid w:val="00112BF6"/>
    <w:rsid w:val="00113B56"/>
    <w:rsid w:val="0011402F"/>
    <w:rsid w:val="00114077"/>
    <w:rsid w:val="001150BC"/>
    <w:rsid w:val="001153E0"/>
    <w:rsid w:val="00115711"/>
    <w:rsid w:val="00116959"/>
    <w:rsid w:val="001200BD"/>
    <w:rsid w:val="00120B1E"/>
    <w:rsid w:val="001219BF"/>
    <w:rsid w:val="001220B6"/>
    <w:rsid w:val="00122E10"/>
    <w:rsid w:val="00130635"/>
    <w:rsid w:val="00130A4A"/>
    <w:rsid w:val="00130B70"/>
    <w:rsid w:val="00130F33"/>
    <w:rsid w:val="0013180C"/>
    <w:rsid w:val="00132619"/>
    <w:rsid w:val="001338E4"/>
    <w:rsid w:val="00133A44"/>
    <w:rsid w:val="00133D38"/>
    <w:rsid w:val="00133FF9"/>
    <w:rsid w:val="0013445C"/>
    <w:rsid w:val="00135490"/>
    <w:rsid w:val="0013579D"/>
    <w:rsid w:val="00136680"/>
    <w:rsid w:val="001366E4"/>
    <w:rsid w:val="0013754F"/>
    <w:rsid w:val="00140027"/>
    <w:rsid w:val="0014008D"/>
    <w:rsid w:val="001404A7"/>
    <w:rsid w:val="0014186E"/>
    <w:rsid w:val="00141D7D"/>
    <w:rsid w:val="00141EAF"/>
    <w:rsid w:val="001428A4"/>
    <w:rsid w:val="00142B8E"/>
    <w:rsid w:val="001430B2"/>
    <w:rsid w:val="00143127"/>
    <w:rsid w:val="00143234"/>
    <w:rsid w:val="00143756"/>
    <w:rsid w:val="00143B82"/>
    <w:rsid w:val="0014615D"/>
    <w:rsid w:val="00147511"/>
    <w:rsid w:val="0014787E"/>
    <w:rsid w:val="00150212"/>
    <w:rsid w:val="00150D1E"/>
    <w:rsid w:val="0015131D"/>
    <w:rsid w:val="001513A8"/>
    <w:rsid w:val="0015157A"/>
    <w:rsid w:val="00151636"/>
    <w:rsid w:val="00151B0B"/>
    <w:rsid w:val="00151B81"/>
    <w:rsid w:val="00152B08"/>
    <w:rsid w:val="00152B10"/>
    <w:rsid w:val="001547DA"/>
    <w:rsid w:val="0015574F"/>
    <w:rsid w:val="00155978"/>
    <w:rsid w:val="00157DCC"/>
    <w:rsid w:val="00157F2B"/>
    <w:rsid w:val="001601AF"/>
    <w:rsid w:val="0016064B"/>
    <w:rsid w:val="00161C15"/>
    <w:rsid w:val="00161EA6"/>
    <w:rsid w:val="00162B40"/>
    <w:rsid w:val="0016375A"/>
    <w:rsid w:val="00164481"/>
    <w:rsid w:val="0016456A"/>
    <w:rsid w:val="00164DC4"/>
    <w:rsid w:val="00164E69"/>
    <w:rsid w:val="00164F66"/>
    <w:rsid w:val="00165220"/>
    <w:rsid w:val="00165E1B"/>
    <w:rsid w:val="00166E26"/>
    <w:rsid w:val="0016703D"/>
    <w:rsid w:val="00167A64"/>
    <w:rsid w:val="00167E90"/>
    <w:rsid w:val="00170157"/>
    <w:rsid w:val="00170A0C"/>
    <w:rsid w:val="00172234"/>
    <w:rsid w:val="00172B80"/>
    <w:rsid w:val="0017386D"/>
    <w:rsid w:val="00173993"/>
    <w:rsid w:val="00173BAE"/>
    <w:rsid w:val="001742A1"/>
    <w:rsid w:val="001744E3"/>
    <w:rsid w:val="0017466B"/>
    <w:rsid w:val="00174B8B"/>
    <w:rsid w:val="001756B8"/>
    <w:rsid w:val="00176147"/>
    <w:rsid w:val="001767D6"/>
    <w:rsid w:val="00176897"/>
    <w:rsid w:val="001775A1"/>
    <w:rsid w:val="00181288"/>
    <w:rsid w:val="001825AA"/>
    <w:rsid w:val="00182FC2"/>
    <w:rsid w:val="00183061"/>
    <w:rsid w:val="00183A79"/>
    <w:rsid w:val="001847D7"/>
    <w:rsid w:val="00186169"/>
    <w:rsid w:val="00186443"/>
    <w:rsid w:val="00186E7C"/>
    <w:rsid w:val="001878A4"/>
    <w:rsid w:val="001906B3"/>
    <w:rsid w:val="00191F32"/>
    <w:rsid w:val="001920EA"/>
    <w:rsid w:val="00193D66"/>
    <w:rsid w:val="00193DFE"/>
    <w:rsid w:val="00194C3D"/>
    <w:rsid w:val="001958D4"/>
    <w:rsid w:val="00196A27"/>
    <w:rsid w:val="00197B62"/>
    <w:rsid w:val="00197C27"/>
    <w:rsid w:val="001A0164"/>
    <w:rsid w:val="001A0738"/>
    <w:rsid w:val="001A0DDB"/>
    <w:rsid w:val="001A0E72"/>
    <w:rsid w:val="001A19C2"/>
    <w:rsid w:val="001A1A83"/>
    <w:rsid w:val="001A1E82"/>
    <w:rsid w:val="001A2119"/>
    <w:rsid w:val="001A2BDE"/>
    <w:rsid w:val="001A39DD"/>
    <w:rsid w:val="001A3FB1"/>
    <w:rsid w:val="001A44F9"/>
    <w:rsid w:val="001A4538"/>
    <w:rsid w:val="001A4669"/>
    <w:rsid w:val="001A5299"/>
    <w:rsid w:val="001A5622"/>
    <w:rsid w:val="001A6A72"/>
    <w:rsid w:val="001A7109"/>
    <w:rsid w:val="001A710F"/>
    <w:rsid w:val="001B02D4"/>
    <w:rsid w:val="001B0B4A"/>
    <w:rsid w:val="001B1002"/>
    <w:rsid w:val="001B11CF"/>
    <w:rsid w:val="001B1577"/>
    <w:rsid w:val="001B3020"/>
    <w:rsid w:val="001B364A"/>
    <w:rsid w:val="001B38BF"/>
    <w:rsid w:val="001B4051"/>
    <w:rsid w:val="001B449C"/>
    <w:rsid w:val="001B47FA"/>
    <w:rsid w:val="001B531A"/>
    <w:rsid w:val="001B5384"/>
    <w:rsid w:val="001B5C7C"/>
    <w:rsid w:val="001B7B10"/>
    <w:rsid w:val="001C01D8"/>
    <w:rsid w:val="001C10AF"/>
    <w:rsid w:val="001C1350"/>
    <w:rsid w:val="001C17A6"/>
    <w:rsid w:val="001C1C22"/>
    <w:rsid w:val="001C218F"/>
    <w:rsid w:val="001C25A9"/>
    <w:rsid w:val="001C4614"/>
    <w:rsid w:val="001C49ED"/>
    <w:rsid w:val="001C58DB"/>
    <w:rsid w:val="001C5DCA"/>
    <w:rsid w:val="001C6D2A"/>
    <w:rsid w:val="001C759C"/>
    <w:rsid w:val="001D0390"/>
    <w:rsid w:val="001D2631"/>
    <w:rsid w:val="001D32C7"/>
    <w:rsid w:val="001D3441"/>
    <w:rsid w:val="001D3AB1"/>
    <w:rsid w:val="001D3E07"/>
    <w:rsid w:val="001D446B"/>
    <w:rsid w:val="001D4D18"/>
    <w:rsid w:val="001D4F40"/>
    <w:rsid w:val="001D4F4B"/>
    <w:rsid w:val="001D53CA"/>
    <w:rsid w:val="001D65D2"/>
    <w:rsid w:val="001D6B2E"/>
    <w:rsid w:val="001D6CC2"/>
    <w:rsid w:val="001D760E"/>
    <w:rsid w:val="001E0268"/>
    <w:rsid w:val="001E02F3"/>
    <w:rsid w:val="001E118E"/>
    <w:rsid w:val="001E1484"/>
    <w:rsid w:val="001E24A6"/>
    <w:rsid w:val="001E3ABC"/>
    <w:rsid w:val="001E3E46"/>
    <w:rsid w:val="001E4071"/>
    <w:rsid w:val="001E420C"/>
    <w:rsid w:val="001E4B06"/>
    <w:rsid w:val="001E4C1E"/>
    <w:rsid w:val="001E4E04"/>
    <w:rsid w:val="001E60FF"/>
    <w:rsid w:val="001E7338"/>
    <w:rsid w:val="001F0A0B"/>
    <w:rsid w:val="001F18D7"/>
    <w:rsid w:val="001F1FFA"/>
    <w:rsid w:val="001F37F8"/>
    <w:rsid w:val="001F3CFF"/>
    <w:rsid w:val="001F6B83"/>
    <w:rsid w:val="001F7099"/>
    <w:rsid w:val="001F7DFC"/>
    <w:rsid w:val="00200A8A"/>
    <w:rsid w:val="00200E57"/>
    <w:rsid w:val="00201ECE"/>
    <w:rsid w:val="00201EF9"/>
    <w:rsid w:val="00202961"/>
    <w:rsid w:val="00203BF7"/>
    <w:rsid w:val="00206C8D"/>
    <w:rsid w:val="0020773B"/>
    <w:rsid w:val="00210E1B"/>
    <w:rsid w:val="002110E5"/>
    <w:rsid w:val="00211A20"/>
    <w:rsid w:val="002120B6"/>
    <w:rsid w:val="002126E6"/>
    <w:rsid w:val="00213FBA"/>
    <w:rsid w:val="00216825"/>
    <w:rsid w:val="00217775"/>
    <w:rsid w:val="00220016"/>
    <w:rsid w:val="00221133"/>
    <w:rsid w:val="00222DD7"/>
    <w:rsid w:val="002239E1"/>
    <w:rsid w:val="00223BDC"/>
    <w:rsid w:val="00223CCC"/>
    <w:rsid w:val="002240C2"/>
    <w:rsid w:val="00224DB4"/>
    <w:rsid w:val="00225797"/>
    <w:rsid w:val="00225917"/>
    <w:rsid w:val="00225A6E"/>
    <w:rsid w:val="0023109D"/>
    <w:rsid w:val="00231468"/>
    <w:rsid w:val="00231632"/>
    <w:rsid w:val="00234888"/>
    <w:rsid w:val="00235274"/>
    <w:rsid w:val="002355C4"/>
    <w:rsid w:val="0023752E"/>
    <w:rsid w:val="002403D3"/>
    <w:rsid w:val="0024095E"/>
    <w:rsid w:val="0024183F"/>
    <w:rsid w:val="00241884"/>
    <w:rsid w:val="00241C8D"/>
    <w:rsid w:val="00243049"/>
    <w:rsid w:val="0024305B"/>
    <w:rsid w:val="00243627"/>
    <w:rsid w:val="00243C4B"/>
    <w:rsid w:val="00243C67"/>
    <w:rsid w:val="002455A0"/>
    <w:rsid w:val="00245BC1"/>
    <w:rsid w:val="00245E9B"/>
    <w:rsid w:val="002466CF"/>
    <w:rsid w:val="0024780C"/>
    <w:rsid w:val="00254726"/>
    <w:rsid w:val="00255592"/>
    <w:rsid w:val="002559DD"/>
    <w:rsid w:val="00256189"/>
    <w:rsid w:val="0025624B"/>
    <w:rsid w:val="0025676E"/>
    <w:rsid w:val="00256ACB"/>
    <w:rsid w:val="00256E24"/>
    <w:rsid w:val="00260807"/>
    <w:rsid w:val="00260E78"/>
    <w:rsid w:val="0026143A"/>
    <w:rsid w:val="00261737"/>
    <w:rsid w:val="0026462A"/>
    <w:rsid w:val="00264FBC"/>
    <w:rsid w:val="00264FE8"/>
    <w:rsid w:val="00265459"/>
    <w:rsid w:val="002668AA"/>
    <w:rsid w:val="002679FA"/>
    <w:rsid w:val="00267E50"/>
    <w:rsid w:val="002708E5"/>
    <w:rsid w:val="00270F82"/>
    <w:rsid w:val="00271C4C"/>
    <w:rsid w:val="002725E9"/>
    <w:rsid w:val="00272875"/>
    <w:rsid w:val="00272881"/>
    <w:rsid w:val="002737E1"/>
    <w:rsid w:val="00273977"/>
    <w:rsid w:val="00273DA8"/>
    <w:rsid w:val="00274490"/>
    <w:rsid w:val="002757F5"/>
    <w:rsid w:val="00276647"/>
    <w:rsid w:val="0027676D"/>
    <w:rsid w:val="002768D1"/>
    <w:rsid w:val="00276D69"/>
    <w:rsid w:val="00276F4F"/>
    <w:rsid w:val="002775A1"/>
    <w:rsid w:val="0027776C"/>
    <w:rsid w:val="00277C38"/>
    <w:rsid w:val="0028068A"/>
    <w:rsid w:val="0028078C"/>
    <w:rsid w:val="00280E0F"/>
    <w:rsid w:val="00281212"/>
    <w:rsid w:val="00281F42"/>
    <w:rsid w:val="0028268F"/>
    <w:rsid w:val="002831D1"/>
    <w:rsid w:val="00283897"/>
    <w:rsid w:val="00283914"/>
    <w:rsid w:val="00283EE3"/>
    <w:rsid w:val="00284D2A"/>
    <w:rsid w:val="0028589A"/>
    <w:rsid w:val="0028659F"/>
    <w:rsid w:val="00286728"/>
    <w:rsid w:val="0028682E"/>
    <w:rsid w:val="002877B7"/>
    <w:rsid w:val="00287F30"/>
    <w:rsid w:val="0029006D"/>
    <w:rsid w:val="00290117"/>
    <w:rsid w:val="00290FCA"/>
    <w:rsid w:val="00291021"/>
    <w:rsid w:val="00291150"/>
    <w:rsid w:val="0029220A"/>
    <w:rsid w:val="002926F1"/>
    <w:rsid w:val="00292BE4"/>
    <w:rsid w:val="00292E86"/>
    <w:rsid w:val="00294102"/>
    <w:rsid w:val="0029429B"/>
    <w:rsid w:val="00294F38"/>
    <w:rsid w:val="00295213"/>
    <w:rsid w:val="002954C4"/>
    <w:rsid w:val="002958DF"/>
    <w:rsid w:val="00295A32"/>
    <w:rsid w:val="00296675"/>
    <w:rsid w:val="00296964"/>
    <w:rsid w:val="002977BB"/>
    <w:rsid w:val="002A0467"/>
    <w:rsid w:val="002A08D5"/>
    <w:rsid w:val="002A1534"/>
    <w:rsid w:val="002A237C"/>
    <w:rsid w:val="002A27D3"/>
    <w:rsid w:val="002A2AE8"/>
    <w:rsid w:val="002A44A4"/>
    <w:rsid w:val="002A4551"/>
    <w:rsid w:val="002A534B"/>
    <w:rsid w:val="002A5E54"/>
    <w:rsid w:val="002A6352"/>
    <w:rsid w:val="002B04A5"/>
    <w:rsid w:val="002B1129"/>
    <w:rsid w:val="002B16F5"/>
    <w:rsid w:val="002B25D5"/>
    <w:rsid w:val="002B47D3"/>
    <w:rsid w:val="002B5109"/>
    <w:rsid w:val="002B74EE"/>
    <w:rsid w:val="002B7E08"/>
    <w:rsid w:val="002C1B3C"/>
    <w:rsid w:val="002C1FEE"/>
    <w:rsid w:val="002C479F"/>
    <w:rsid w:val="002C4B31"/>
    <w:rsid w:val="002C4B54"/>
    <w:rsid w:val="002C4C53"/>
    <w:rsid w:val="002C4C93"/>
    <w:rsid w:val="002C5425"/>
    <w:rsid w:val="002C5B29"/>
    <w:rsid w:val="002C66D7"/>
    <w:rsid w:val="002D061D"/>
    <w:rsid w:val="002D1A45"/>
    <w:rsid w:val="002D2CE5"/>
    <w:rsid w:val="002D2D84"/>
    <w:rsid w:val="002D3531"/>
    <w:rsid w:val="002D55F5"/>
    <w:rsid w:val="002D6B72"/>
    <w:rsid w:val="002D799D"/>
    <w:rsid w:val="002D7DDE"/>
    <w:rsid w:val="002E0FD9"/>
    <w:rsid w:val="002E2127"/>
    <w:rsid w:val="002E324D"/>
    <w:rsid w:val="002E3541"/>
    <w:rsid w:val="002E42E3"/>
    <w:rsid w:val="002E5C6F"/>
    <w:rsid w:val="002E5D5A"/>
    <w:rsid w:val="002E5F8A"/>
    <w:rsid w:val="002E63E4"/>
    <w:rsid w:val="002E6C46"/>
    <w:rsid w:val="002E6CB5"/>
    <w:rsid w:val="002E718C"/>
    <w:rsid w:val="002E7391"/>
    <w:rsid w:val="002F1703"/>
    <w:rsid w:val="002F20D5"/>
    <w:rsid w:val="002F247F"/>
    <w:rsid w:val="002F252F"/>
    <w:rsid w:val="002F2CEA"/>
    <w:rsid w:val="002F3441"/>
    <w:rsid w:val="002F3725"/>
    <w:rsid w:val="002F3D6D"/>
    <w:rsid w:val="002F448F"/>
    <w:rsid w:val="002F63B1"/>
    <w:rsid w:val="00301958"/>
    <w:rsid w:val="0030217C"/>
    <w:rsid w:val="00302A36"/>
    <w:rsid w:val="00302A91"/>
    <w:rsid w:val="00303907"/>
    <w:rsid w:val="00303C48"/>
    <w:rsid w:val="00304648"/>
    <w:rsid w:val="00304E9F"/>
    <w:rsid w:val="00305098"/>
    <w:rsid w:val="0030584B"/>
    <w:rsid w:val="003063CA"/>
    <w:rsid w:val="00306735"/>
    <w:rsid w:val="003075A3"/>
    <w:rsid w:val="00310CDA"/>
    <w:rsid w:val="0031178D"/>
    <w:rsid w:val="003119B8"/>
    <w:rsid w:val="00311FA8"/>
    <w:rsid w:val="00314352"/>
    <w:rsid w:val="003170D8"/>
    <w:rsid w:val="003214DE"/>
    <w:rsid w:val="00321758"/>
    <w:rsid w:val="003217A8"/>
    <w:rsid w:val="003228A1"/>
    <w:rsid w:val="00322E1F"/>
    <w:rsid w:val="003230D1"/>
    <w:rsid w:val="003231A3"/>
    <w:rsid w:val="003232B1"/>
    <w:rsid w:val="003235B1"/>
    <w:rsid w:val="00324072"/>
    <w:rsid w:val="00325004"/>
    <w:rsid w:val="00325551"/>
    <w:rsid w:val="00325DCF"/>
    <w:rsid w:val="00326C6A"/>
    <w:rsid w:val="00326E32"/>
    <w:rsid w:val="003273BA"/>
    <w:rsid w:val="00330326"/>
    <w:rsid w:val="00330F87"/>
    <w:rsid w:val="00332590"/>
    <w:rsid w:val="00333764"/>
    <w:rsid w:val="00333797"/>
    <w:rsid w:val="003337BF"/>
    <w:rsid w:val="00333B5F"/>
    <w:rsid w:val="00334303"/>
    <w:rsid w:val="00336DFA"/>
    <w:rsid w:val="00336F2F"/>
    <w:rsid w:val="00337AC2"/>
    <w:rsid w:val="0034055C"/>
    <w:rsid w:val="00342AE4"/>
    <w:rsid w:val="00342BBB"/>
    <w:rsid w:val="00342C20"/>
    <w:rsid w:val="0034375B"/>
    <w:rsid w:val="00345106"/>
    <w:rsid w:val="0034528F"/>
    <w:rsid w:val="003461F2"/>
    <w:rsid w:val="00346402"/>
    <w:rsid w:val="00346746"/>
    <w:rsid w:val="00346EF1"/>
    <w:rsid w:val="00347E93"/>
    <w:rsid w:val="00350689"/>
    <w:rsid w:val="003506FB"/>
    <w:rsid w:val="00350F26"/>
    <w:rsid w:val="00351222"/>
    <w:rsid w:val="00351BAF"/>
    <w:rsid w:val="003548A1"/>
    <w:rsid w:val="003549D4"/>
    <w:rsid w:val="00354A7B"/>
    <w:rsid w:val="003557B3"/>
    <w:rsid w:val="003559E0"/>
    <w:rsid w:val="00355AF8"/>
    <w:rsid w:val="00356885"/>
    <w:rsid w:val="00357477"/>
    <w:rsid w:val="003574F7"/>
    <w:rsid w:val="00360048"/>
    <w:rsid w:val="00361F97"/>
    <w:rsid w:val="00362171"/>
    <w:rsid w:val="00362651"/>
    <w:rsid w:val="00362D13"/>
    <w:rsid w:val="003666E2"/>
    <w:rsid w:val="003667BE"/>
    <w:rsid w:val="00366965"/>
    <w:rsid w:val="00366FE7"/>
    <w:rsid w:val="00367024"/>
    <w:rsid w:val="00367711"/>
    <w:rsid w:val="00367C0B"/>
    <w:rsid w:val="0037030F"/>
    <w:rsid w:val="00370626"/>
    <w:rsid w:val="00371047"/>
    <w:rsid w:val="00371551"/>
    <w:rsid w:val="00371938"/>
    <w:rsid w:val="0037327C"/>
    <w:rsid w:val="003734FC"/>
    <w:rsid w:val="00375F73"/>
    <w:rsid w:val="0037706A"/>
    <w:rsid w:val="00380096"/>
    <w:rsid w:val="00380BCF"/>
    <w:rsid w:val="00380F72"/>
    <w:rsid w:val="00381BA5"/>
    <w:rsid w:val="00381BEA"/>
    <w:rsid w:val="003824F5"/>
    <w:rsid w:val="00382620"/>
    <w:rsid w:val="003832EB"/>
    <w:rsid w:val="003847B2"/>
    <w:rsid w:val="00384FD9"/>
    <w:rsid w:val="00386428"/>
    <w:rsid w:val="003877BE"/>
    <w:rsid w:val="00390634"/>
    <w:rsid w:val="0039241A"/>
    <w:rsid w:val="00392993"/>
    <w:rsid w:val="0039351B"/>
    <w:rsid w:val="00393731"/>
    <w:rsid w:val="00394321"/>
    <w:rsid w:val="00394A8A"/>
    <w:rsid w:val="00395571"/>
    <w:rsid w:val="003959D0"/>
    <w:rsid w:val="00396A63"/>
    <w:rsid w:val="003A02BA"/>
    <w:rsid w:val="003A10D1"/>
    <w:rsid w:val="003A2829"/>
    <w:rsid w:val="003A46D3"/>
    <w:rsid w:val="003A4B34"/>
    <w:rsid w:val="003A4CC7"/>
    <w:rsid w:val="003A53C8"/>
    <w:rsid w:val="003A5A9E"/>
    <w:rsid w:val="003A60E0"/>
    <w:rsid w:val="003A634F"/>
    <w:rsid w:val="003A6636"/>
    <w:rsid w:val="003A6853"/>
    <w:rsid w:val="003A6EC7"/>
    <w:rsid w:val="003B02C7"/>
    <w:rsid w:val="003B079C"/>
    <w:rsid w:val="003B12EB"/>
    <w:rsid w:val="003B20D3"/>
    <w:rsid w:val="003B2A5D"/>
    <w:rsid w:val="003B2BD2"/>
    <w:rsid w:val="003B2D24"/>
    <w:rsid w:val="003B391D"/>
    <w:rsid w:val="003B46C2"/>
    <w:rsid w:val="003B6460"/>
    <w:rsid w:val="003B6DA9"/>
    <w:rsid w:val="003B70B9"/>
    <w:rsid w:val="003C008E"/>
    <w:rsid w:val="003C142E"/>
    <w:rsid w:val="003C1C68"/>
    <w:rsid w:val="003C2BEE"/>
    <w:rsid w:val="003C41A6"/>
    <w:rsid w:val="003C44F4"/>
    <w:rsid w:val="003C6468"/>
    <w:rsid w:val="003C743F"/>
    <w:rsid w:val="003C7BF3"/>
    <w:rsid w:val="003D09DE"/>
    <w:rsid w:val="003D0ADE"/>
    <w:rsid w:val="003D195A"/>
    <w:rsid w:val="003D1F48"/>
    <w:rsid w:val="003D1F86"/>
    <w:rsid w:val="003D1FDA"/>
    <w:rsid w:val="003D2258"/>
    <w:rsid w:val="003D2B84"/>
    <w:rsid w:val="003D2DDB"/>
    <w:rsid w:val="003D3147"/>
    <w:rsid w:val="003D34AB"/>
    <w:rsid w:val="003D39C7"/>
    <w:rsid w:val="003D3A32"/>
    <w:rsid w:val="003D4509"/>
    <w:rsid w:val="003D47BD"/>
    <w:rsid w:val="003D4A2D"/>
    <w:rsid w:val="003D507F"/>
    <w:rsid w:val="003D5149"/>
    <w:rsid w:val="003D5229"/>
    <w:rsid w:val="003D6A2D"/>
    <w:rsid w:val="003E0103"/>
    <w:rsid w:val="003E1B21"/>
    <w:rsid w:val="003E288B"/>
    <w:rsid w:val="003E5084"/>
    <w:rsid w:val="003E5D5B"/>
    <w:rsid w:val="003E76F6"/>
    <w:rsid w:val="003E7D25"/>
    <w:rsid w:val="003E7DCA"/>
    <w:rsid w:val="003F038F"/>
    <w:rsid w:val="003F03D7"/>
    <w:rsid w:val="003F0529"/>
    <w:rsid w:val="003F0588"/>
    <w:rsid w:val="003F0649"/>
    <w:rsid w:val="003F0722"/>
    <w:rsid w:val="003F1123"/>
    <w:rsid w:val="003F3864"/>
    <w:rsid w:val="003F44AC"/>
    <w:rsid w:val="003F5C76"/>
    <w:rsid w:val="003F6666"/>
    <w:rsid w:val="003F740F"/>
    <w:rsid w:val="00400566"/>
    <w:rsid w:val="00400F77"/>
    <w:rsid w:val="00402195"/>
    <w:rsid w:val="00402197"/>
    <w:rsid w:val="00402A6E"/>
    <w:rsid w:val="00402CCA"/>
    <w:rsid w:val="004034DC"/>
    <w:rsid w:val="00403836"/>
    <w:rsid w:val="00403D07"/>
    <w:rsid w:val="004046FE"/>
    <w:rsid w:val="00405830"/>
    <w:rsid w:val="00405D6F"/>
    <w:rsid w:val="00405EA7"/>
    <w:rsid w:val="0040699F"/>
    <w:rsid w:val="00407512"/>
    <w:rsid w:val="004113AE"/>
    <w:rsid w:val="00411856"/>
    <w:rsid w:val="0041284B"/>
    <w:rsid w:val="00412F36"/>
    <w:rsid w:val="004134A9"/>
    <w:rsid w:val="00415855"/>
    <w:rsid w:val="00415B0A"/>
    <w:rsid w:val="00415CD6"/>
    <w:rsid w:val="00415DAA"/>
    <w:rsid w:val="004201D7"/>
    <w:rsid w:val="00420E3A"/>
    <w:rsid w:val="00422327"/>
    <w:rsid w:val="00422E72"/>
    <w:rsid w:val="00423443"/>
    <w:rsid w:val="00423598"/>
    <w:rsid w:val="00423F79"/>
    <w:rsid w:val="004243ED"/>
    <w:rsid w:val="0042494F"/>
    <w:rsid w:val="00425FBA"/>
    <w:rsid w:val="0042698C"/>
    <w:rsid w:val="00427002"/>
    <w:rsid w:val="00430128"/>
    <w:rsid w:val="00430490"/>
    <w:rsid w:val="00430EF5"/>
    <w:rsid w:val="00431C99"/>
    <w:rsid w:val="00432AB1"/>
    <w:rsid w:val="00432D7F"/>
    <w:rsid w:val="00433736"/>
    <w:rsid w:val="0043404C"/>
    <w:rsid w:val="004342C6"/>
    <w:rsid w:val="004348E7"/>
    <w:rsid w:val="00434DA2"/>
    <w:rsid w:val="00434FA9"/>
    <w:rsid w:val="00435AD6"/>
    <w:rsid w:val="004366F9"/>
    <w:rsid w:val="00440B85"/>
    <w:rsid w:val="00442EDD"/>
    <w:rsid w:val="0044481B"/>
    <w:rsid w:val="00446E02"/>
    <w:rsid w:val="004474C3"/>
    <w:rsid w:val="004502A3"/>
    <w:rsid w:val="004503BF"/>
    <w:rsid w:val="004508F9"/>
    <w:rsid w:val="00450DAB"/>
    <w:rsid w:val="00451627"/>
    <w:rsid w:val="00452BBE"/>
    <w:rsid w:val="004552D4"/>
    <w:rsid w:val="00455B77"/>
    <w:rsid w:val="00455BC8"/>
    <w:rsid w:val="004562D4"/>
    <w:rsid w:val="00457247"/>
    <w:rsid w:val="004575FE"/>
    <w:rsid w:val="00457666"/>
    <w:rsid w:val="00457F00"/>
    <w:rsid w:val="004602E1"/>
    <w:rsid w:val="00461803"/>
    <w:rsid w:val="0046281A"/>
    <w:rsid w:val="00462B03"/>
    <w:rsid w:val="00464942"/>
    <w:rsid w:val="00464DE4"/>
    <w:rsid w:val="00465042"/>
    <w:rsid w:val="00465459"/>
    <w:rsid w:val="00465F79"/>
    <w:rsid w:val="00466655"/>
    <w:rsid w:val="00467119"/>
    <w:rsid w:val="00470D0A"/>
    <w:rsid w:val="00471CC5"/>
    <w:rsid w:val="00471E2A"/>
    <w:rsid w:val="00473412"/>
    <w:rsid w:val="004749DB"/>
    <w:rsid w:val="00475408"/>
    <w:rsid w:val="00475981"/>
    <w:rsid w:val="00475A76"/>
    <w:rsid w:val="00475E48"/>
    <w:rsid w:val="00476566"/>
    <w:rsid w:val="004772F3"/>
    <w:rsid w:val="00477F9E"/>
    <w:rsid w:val="0048066D"/>
    <w:rsid w:val="00480BD5"/>
    <w:rsid w:val="00480EFB"/>
    <w:rsid w:val="00481CFE"/>
    <w:rsid w:val="00482756"/>
    <w:rsid w:val="00482E90"/>
    <w:rsid w:val="00482EAB"/>
    <w:rsid w:val="00484DCE"/>
    <w:rsid w:val="00485386"/>
    <w:rsid w:val="00485EA6"/>
    <w:rsid w:val="00486834"/>
    <w:rsid w:val="00486899"/>
    <w:rsid w:val="00487C27"/>
    <w:rsid w:val="00492039"/>
    <w:rsid w:val="00493131"/>
    <w:rsid w:val="00493881"/>
    <w:rsid w:val="00493ADC"/>
    <w:rsid w:val="00493D47"/>
    <w:rsid w:val="004944D3"/>
    <w:rsid w:val="00496015"/>
    <w:rsid w:val="004967FA"/>
    <w:rsid w:val="00496F18"/>
    <w:rsid w:val="0049710A"/>
    <w:rsid w:val="00497A5E"/>
    <w:rsid w:val="004A05E8"/>
    <w:rsid w:val="004A285D"/>
    <w:rsid w:val="004A3E2B"/>
    <w:rsid w:val="004A4035"/>
    <w:rsid w:val="004A572E"/>
    <w:rsid w:val="004A59F1"/>
    <w:rsid w:val="004A5D31"/>
    <w:rsid w:val="004A6B16"/>
    <w:rsid w:val="004A7DF4"/>
    <w:rsid w:val="004B001C"/>
    <w:rsid w:val="004B1F3E"/>
    <w:rsid w:val="004B2552"/>
    <w:rsid w:val="004B2D60"/>
    <w:rsid w:val="004B3DB6"/>
    <w:rsid w:val="004B483D"/>
    <w:rsid w:val="004B4C3C"/>
    <w:rsid w:val="004B4C6C"/>
    <w:rsid w:val="004B6209"/>
    <w:rsid w:val="004B6AFE"/>
    <w:rsid w:val="004B6F61"/>
    <w:rsid w:val="004B762C"/>
    <w:rsid w:val="004C06A1"/>
    <w:rsid w:val="004C0DDE"/>
    <w:rsid w:val="004C0EFA"/>
    <w:rsid w:val="004C1C42"/>
    <w:rsid w:val="004C1C6A"/>
    <w:rsid w:val="004C23C9"/>
    <w:rsid w:val="004C29B8"/>
    <w:rsid w:val="004C387C"/>
    <w:rsid w:val="004C52A6"/>
    <w:rsid w:val="004C5313"/>
    <w:rsid w:val="004C6CFD"/>
    <w:rsid w:val="004C7C26"/>
    <w:rsid w:val="004D0959"/>
    <w:rsid w:val="004D0C5F"/>
    <w:rsid w:val="004D1157"/>
    <w:rsid w:val="004D142E"/>
    <w:rsid w:val="004D23B7"/>
    <w:rsid w:val="004D5548"/>
    <w:rsid w:val="004E038C"/>
    <w:rsid w:val="004E0C76"/>
    <w:rsid w:val="004E0EAA"/>
    <w:rsid w:val="004E1791"/>
    <w:rsid w:val="004E1DF1"/>
    <w:rsid w:val="004E21B1"/>
    <w:rsid w:val="004E3E71"/>
    <w:rsid w:val="004E50A3"/>
    <w:rsid w:val="004E60D7"/>
    <w:rsid w:val="004E6D7C"/>
    <w:rsid w:val="004F0450"/>
    <w:rsid w:val="004F0C62"/>
    <w:rsid w:val="004F0EA9"/>
    <w:rsid w:val="004F17BA"/>
    <w:rsid w:val="004F1D13"/>
    <w:rsid w:val="004F27D1"/>
    <w:rsid w:val="004F411A"/>
    <w:rsid w:val="004F4E6F"/>
    <w:rsid w:val="004F6B9B"/>
    <w:rsid w:val="00500CE5"/>
    <w:rsid w:val="00501566"/>
    <w:rsid w:val="005016AC"/>
    <w:rsid w:val="0050273A"/>
    <w:rsid w:val="0050312B"/>
    <w:rsid w:val="00503728"/>
    <w:rsid w:val="00504531"/>
    <w:rsid w:val="0050455B"/>
    <w:rsid w:val="00504913"/>
    <w:rsid w:val="00505010"/>
    <w:rsid w:val="005053AE"/>
    <w:rsid w:val="005066BC"/>
    <w:rsid w:val="00506D36"/>
    <w:rsid w:val="00507EAF"/>
    <w:rsid w:val="005128D7"/>
    <w:rsid w:val="0051359D"/>
    <w:rsid w:val="0051365A"/>
    <w:rsid w:val="00514242"/>
    <w:rsid w:val="00515525"/>
    <w:rsid w:val="005158F7"/>
    <w:rsid w:val="00516E81"/>
    <w:rsid w:val="00517418"/>
    <w:rsid w:val="00521735"/>
    <w:rsid w:val="00523B4F"/>
    <w:rsid w:val="00525820"/>
    <w:rsid w:val="0052583B"/>
    <w:rsid w:val="005267E1"/>
    <w:rsid w:val="0053100E"/>
    <w:rsid w:val="00531642"/>
    <w:rsid w:val="00531921"/>
    <w:rsid w:val="00532A13"/>
    <w:rsid w:val="00532C5D"/>
    <w:rsid w:val="0053307A"/>
    <w:rsid w:val="00534496"/>
    <w:rsid w:val="00534ABD"/>
    <w:rsid w:val="00535F47"/>
    <w:rsid w:val="005365D7"/>
    <w:rsid w:val="005371DA"/>
    <w:rsid w:val="00537D10"/>
    <w:rsid w:val="00537F60"/>
    <w:rsid w:val="00540690"/>
    <w:rsid w:val="00540C05"/>
    <w:rsid w:val="00543CD6"/>
    <w:rsid w:val="00544667"/>
    <w:rsid w:val="0054496C"/>
    <w:rsid w:val="00545533"/>
    <w:rsid w:val="005456D7"/>
    <w:rsid w:val="005456F3"/>
    <w:rsid w:val="00545F50"/>
    <w:rsid w:val="0054606E"/>
    <w:rsid w:val="00546443"/>
    <w:rsid w:val="00546D8D"/>
    <w:rsid w:val="005470E9"/>
    <w:rsid w:val="005475DF"/>
    <w:rsid w:val="0055048A"/>
    <w:rsid w:val="0055083F"/>
    <w:rsid w:val="005512F7"/>
    <w:rsid w:val="00551431"/>
    <w:rsid w:val="005557A6"/>
    <w:rsid w:val="00556B1E"/>
    <w:rsid w:val="00557A75"/>
    <w:rsid w:val="00560254"/>
    <w:rsid w:val="005604A8"/>
    <w:rsid w:val="00560BBA"/>
    <w:rsid w:val="00561142"/>
    <w:rsid w:val="00562060"/>
    <w:rsid w:val="00562E58"/>
    <w:rsid w:val="0056416A"/>
    <w:rsid w:val="00564479"/>
    <w:rsid w:val="005645B1"/>
    <w:rsid w:val="005646E9"/>
    <w:rsid w:val="00564728"/>
    <w:rsid w:val="00565B54"/>
    <w:rsid w:val="0056606F"/>
    <w:rsid w:val="00570D00"/>
    <w:rsid w:val="00571161"/>
    <w:rsid w:val="0057140A"/>
    <w:rsid w:val="00571BE4"/>
    <w:rsid w:val="00572202"/>
    <w:rsid w:val="00572B7F"/>
    <w:rsid w:val="00573695"/>
    <w:rsid w:val="00573FF3"/>
    <w:rsid w:val="00574BA2"/>
    <w:rsid w:val="005759CD"/>
    <w:rsid w:val="00575CB7"/>
    <w:rsid w:val="005770AD"/>
    <w:rsid w:val="00577A03"/>
    <w:rsid w:val="00580D08"/>
    <w:rsid w:val="005811C9"/>
    <w:rsid w:val="0058146D"/>
    <w:rsid w:val="00581CE6"/>
    <w:rsid w:val="00581EB6"/>
    <w:rsid w:val="005823C0"/>
    <w:rsid w:val="0058248F"/>
    <w:rsid w:val="00582CC8"/>
    <w:rsid w:val="005837FA"/>
    <w:rsid w:val="00584C84"/>
    <w:rsid w:val="00584DD7"/>
    <w:rsid w:val="00586115"/>
    <w:rsid w:val="00590CAB"/>
    <w:rsid w:val="005913E2"/>
    <w:rsid w:val="005914C8"/>
    <w:rsid w:val="00591537"/>
    <w:rsid w:val="005940F5"/>
    <w:rsid w:val="005945A8"/>
    <w:rsid w:val="00594DA9"/>
    <w:rsid w:val="00594E17"/>
    <w:rsid w:val="00597AD6"/>
    <w:rsid w:val="005A0143"/>
    <w:rsid w:val="005A0AEF"/>
    <w:rsid w:val="005A0CE5"/>
    <w:rsid w:val="005A0ECE"/>
    <w:rsid w:val="005A113A"/>
    <w:rsid w:val="005A2125"/>
    <w:rsid w:val="005A39E3"/>
    <w:rsid w:val="005A46A1"/>
    <w:rsid w:val="005A4E03"/>
    <w:rsid w:val="005A6439"/>
    <w:rsid w:val="005B04AF"/>
    <w:rsid w:val="005B1093"/>
    <w:rsid w:val="005B139E"/>
    <w:rsid w:val="005B15B3"/>
    <w:rsid w:val="005B19C6"/>
    <w:rsid w:val="005B2520"/>
    <w:rsid w:val="005B367B"/>
    <w:rsid w:val="005B4324"/>
    <w:rsid w:val="005B49E1"/>
    <w:rsid w:val="005B59CA"/>
    <w:rsid w:val="005B5BC2"/>
    <w:rsid w:val="005B5F14"/>
    <w:rsid w:val="005B6C4A"/>
    <w:rsid w:val="005B70CE"/>
    <w:rsid w:val="005C0455"/>
    <w:rsid w:val="005C0954"/>
    <w:rsid w:val="005C1987"/>
    <w:rsid w:val="005C2AEB"/>
    <w:rsid w:val="005C2EFA"/>
    <w:rsid w:val="005C3798"/>
    <w:rsid w:val="005C538E"/>
    <w:rsid w:val="005C6CFC"/>
    <w:rsid w:val="005C6D92"/>
    <w:rsid w:val="005C6E3A"/>
    <w:rsid w:val="005C78A0"/>
    <w:rsid w:val="005D0789"/>
    <w:rsid w:val="005D0A53"/>
    <w:rsid w:val="005D0CFF"/>
    <w:rsid w:val="005D186D"/>
    <w:rsid w:val="005D1B0D"/>
    <w:rsid w:val="005D1C31"/>
    <w:rsid w:val="005D2CD3"/>
    <w:rsid w:val="005D2DB8"/>
    <w:rsid w:val="005D7DED"/>
    <w:rsid w:val="005D7E2A"/>
    <w:rsid w:val="005E02B1"/>
    <w:rsid w:val="005E05E2"/>
    <w:rsid w:val="005E123D"/>
    <w:rsid w:val="005E5E83"/>
    <w:rsid w:val="005E6F08"/>
    <w:rsid w:val="005F0F42"/>
    <w:rsid w:val="005F1006"/>
    <w:rsid w:val="005F1FF7"/>
    <w:rsid w:val="005F35AF"/>
    <w:rsid w:val="005F550E"/>
    <w:rsid w:val="005F5F20"/>
    <w:rsid w:val="005F60C7"/>
    <w:rsid w:val="005F6657"/>
    <w:rsid w:val="005F7136"/>
    <w:rsid w:val="005F78B9"/>
    <w:rsid w:val="005F7A8E"/>
    <w:rsid w:val="005F7E71"/>
    <w:rsid w:val="006015B3"/>
    <w:rsid w:val="00601A99"/>
    <w:rsid w:val="00601B7F"/>
    <w:rsid w:val="00601D8E"/>
    <w:rsid w:val="00603188"/>
    <w:rsid w:val="0060324E"/>
    <w:rsid w:val="00604660"/>
    <w:rsid w:val="00605660"/>
    <w:rsid w:val="00605E96"/>
    <w:rsid w:val="00605F36"/>
    <w:rsid w:val="00606002"/>
    <w:rsid w:val="00607073"/>
    <w:rsid w:val="0060728F"/>
    <w:rsid w:val="006077BA"/>
    <w:rsid w:val="006102D9"/>
    <w:rsid w:val="006111CE"/>
    <w:rsid w:val="0061196F"/>
    <w:rsid w:val="00611982"/>
    <w:rsid w:val="00611A12"/>
    <w:rsid w:val="00611F2C"/>
    <w:rsid w:val="00611FCD"/>
    <w:rsid w:val="006123A6"/>
    <w:rsid w:val="006135FC"/>
    <w:rsid w:val="0061374D"/>
    <w:rsid w:val="006145FE"/>
    <w:rsid w:val="00614E3C"/>
    <w:rsid w:val="00615C4E"/>
    <w:rsid w:val="00616727"/>
    <w:rsid w:val="006212BD"/>
    <w:rsid w:val="006212D7"/>
    <w:rsid w:val="00622A41"/>
    <w:rsid w:val="00623778"/>
    <w:rsid w:val="00623C91"/>
    <w:rsid w:val="0062430F"/>
    <w:rsid w:val="006249AB"/>
    <w:rsid w:val="00624D03"/>
    <w:rsid w:val="006251B0"/>
    <w:rsid w:val="00625807"/>
    <w:rsid w:val="006262A9"/>
    <w:rsid w:val="006269A8"/>
    <w:rsid w:val="00627C55"/>
    <w:rsid w:val="00631DA3"/>
    <w:rsid w:val="00633225"/>
    <w:rsid w:val="006337E8"/>
    <w:rsid w:val="006338E4"/>
    <w:rsid w:val="0063464D"/>
    <w:rsid w:val="00634BAB"/>
    <w:rsid w:val="00635EF2"/>
    <w:rsid w:val="0063667D"/>
    <w:rsid w:val="006372C7"/>
    <w:rsid w:val="00637968"/>
    <w:rsid w:val="00640A1F"/>
    <w:rsid w:val="0064129F"/>
    <w:rsid w:val="006427B7"/>
    <w:rsid w:val="006432A8"/>
    <w:rsid w:val="006437A2"/>
    <w:rsid w:val="00643D89"/>
    <w:rsid w:val="00643F4A"/>
    <w:rsid w:val="00644B34"/>
    <w:rsid w:val="00645BD3"/>
    <w:rsid w:val="00646F19"/>
    <w:rsid w:val="00650379"/>
    <w:rsid w:val="006507C0"/>
    <w:rsid w:val="00651707"/>
    <w:rsid w:val="006520DC"/>
    <w:rsid w:val="00654255"/>
    <w:rsid w:val="00656430"/>
    <w:rsid w:val="00656599"/>
    <w:rsid w:val="006568D0"/>
    <w:rsid w:val="006569E3"/>
    <w:rsid w:val="00657AD4"/>
    <w:rsid w:val="0066003A"/>
    <w:rsid w:val="0066047B"/>
    <w:rsid w:val="00662504"/>
    <w:rsid w:val="00663C99"/>
    <w:rsid w:val="0066505D"/>
    <w:rsid w:val="00670AEC"/>
    <w:rsid w:val="00672447"/>
    <w:rsid w:val="00672873"/>
    <w:rsid w:val="00674641"/>
    <w:rsid w:val="006749EC"/>
    <w:rsid w:val="006763A0"/>
    <w:rsid w:val="00677B0E"/>
    <w:rsid w:val="0068001D"/>
    <w:rsid w:val="0068006C"/>
    <w:rsid w:val="0068033F"/>
    <w:rsid w:val="006804DD"/>
    <w:rsid w:val="00681481"/>
    <w:rsid w:val="0068275C"/>
    <w:rsid w:val="00682AA7"/>
    <w:rsid w:val="00682D0F"/>
    <w:rsid w:val="0068418E"/>
    <w:rsid w:val="006844DF"/>
    <w:rsid w:val="0068487F"/>
    <w:rsid w:val="00684BB7"/>
    <w:rsid w:val="00690CEA"/>
    <w:rsid w:val="00691525"/>
    <w:rsid w:val="00692AF8"/>
    <w:rsid w:val="00692F40"/>
    <w:rsid w:val="00693D43"/>
    <w:rsid w:val="0069488C"/>
    <w:rsid w:val="00695EC3"/>
    <w:rsid w:val="00695F2B"/>
    <w:rsid w:val="00696C02"/>
    <w:rsid w:val="0069717D"/>
    <w:rsid w:val="00697EFB"/>
    <w:rsid w:val="00697F92"/>
    <w:rsid w:val="006A1739"/>
    <w:rsid w:val="006A2786"/>
    <w:rsid w:val="006A2E9D"/>
    <w:rsid w:val="006A4766"/>
    <w:rsid w:val="006A4CDC"/>
    <w:rsid w:val="006A52C8"/>
    <w:rsid w:val="006A5485"/>
    <w:rsid w:val="006A60C0"/>
    <w:rsid w:val="006A675E"/>
    <w:rsid w:val="006A7392"/>
    <w:rsid w:val="006B03C4"/>
    <w:rsid w:val="006B08E8"/>
    <w:rsid w:val="006B0B03"/>
    <w:rsid w:val="006B23E9"/>
    <w:rsid w:val="006B37D6"/>
    <w:rsid w:val="006B47A4"/>
    <w:rsid w:val="006B4F84"/>
    <w:rsid w:val="006B504B"/>
    <w:rsid w:val="006B55D3"/>
    <w:rsid w:val="006C02FC"/>
    <w:rsid w:val="006C03D6"/>
    <w:rsid w:val="006C09F3"/>
    <w:rsid w:val="006C2B35"/>
    <w:rsid w:val="006C2D47"/>
    <w:rsid w:val="006C3BC1"/>
    <w:rsid w:val="006C4718"/>
    <w:rsid w:val="006C4FC5"/>
    <w:rsid w:val="006C5989"/>
    <w:rsid w:val="006C5FEA"/>
    <w:rsid w:val="006C7318"/>
    <w:rsid w:val="006C7E38"/>
    <w:rsid w:val="006D0E57"/>
    <w:rsid w:val="006D14CD"/>
    <w:rsid w:val="006D1696"/>
    <w:rsid w:val="006D1740"/>
    <w:rsid w:val="006D27F2"/>
    <w:rsid w:val="006D36C4"/>
    <w:rsid w:val="006D3FE5"/>
    <w:rsid w:val="006D42C8"/>
    <w:rsid w:val="006D4D54"/>
    <w:rsid w:val="006D541F"/>
    <w:rsid w:val="006D5586"/>
    <w:rsid w:val="006D69C6"/>
    <w:rsid w:val="006D7287"/>
    <w:rsid w:val="006D7BFE"/>
    <w:rsid w:val="006E0D83"/>
    <w:rsid w:val="006E1073"/>
    <w:rsid w:val="006E1A04"/>
    <w:rsid w:val="006E2C9C"/>
    <w:rsid w:val="006E36FF"/>
    <w:rsid w:val="006E3808"/>
    <w:rsid w:val="006E51E5"/>
    <w:rsid w:val="006E56E1"/>
    <w:rsid w:val="006E58DB"/>
    <w:rsid w:val="006E5FD7"/>
    <w:rsid w:val="006F0FDC"/>
    <w:rsid w:val="006F1458"/>
    <w:rsid w:val="006F20BA"/>
    <w:rsid w:val="006F2A14"/>
    <w:rsid w:val="006F2BE9"/>
    <w:rsid w:val="006F3681"/>
    <w:rsid w:val="006F3706"/>
    <w:rsid w:val="006F4ACC"/>
    <w:rsid w:val="006F4B84"/>
    <w:rsid w:val="006F5517"/>
    <w:rsid w:val="006F553C"/>
    <w:rsid w:val="006F59FD"/>
    <w:rsid w:val="006F6D4A"/>
    <w:rsid w:val="006F710B"/>
    <w:rsid w:val="006F794C"/>
    <w:rsid w:val="006F7CCE"/>
    <w:rsid w:val="0070065C"/>
    <w:rsid w:val="00700A84"/>
    <w:rsid w:val="00700BBE"/>
    <w:rsid w:val="00700C6F"/>
    <w:rsid w:val="00702125"/>
    <w:rsid w:val="00702DFD"/>
    <w:rsid w:val="007032B3"/>
    <w:rsid w:val="00704D87"/>
    <w:rsid w:val="00704FA8"/>
    <w:rsid w:val="00704FCE"/>
    <w:rsid w:val="0071095B"/>
    <w:rsid w:val="00710D9D"/>
    <w:rsid w:val="007119E7"/>
    <w:rsid w:val="007123E7"/>
    <w:rsid w:val="0071480C"/>
    <w:rsid w:val="00714974"/>
    <w:rsid w:val="007149EB"/>
    <w:rsid w:val="007149F8"/>
    <w:rsid w:val="00714E54"/>
    <w:rsid w:val="00715A2D"/>
    <w:rsid w:val="00715C87"/>
    <w:rsid w:val="007161C8"/>
    <w:rsid w:val="0071644A"/>
    <w:rsid w:val="00716731"/>
    <w:rsid w:val="007172BB"/>
    <w:rsid w:val="00717B90"/>
    <w:rsid w:val="00717C7C"/>
    <w:rsid w:val="007204F1"/>
    <w:rsid w:val="0072091E"/>
    <w:rsid w:val="00720AB7"/>
    <w:rsid w:val="00721559"/>
    <w:rsid w:val="007217B9"/>
    <w:rsid w:val="0072181A"/>
    <w:rsid w:val="00723697"/>
    <w:rsid w:val="00724E76"/>
    <w:rsid w:val="007254F8"/>
    <w:rsid w:val="007266CA"/>
    <w:rsid w:val="00726984"/>
    <w:rsid w:val="007274B4"/>
    <w:rsid w:val="00727BAE"/>
    <w:rsid w:val="00727F4D"/>
    <w:rsid w:val="00730963"/>
    <w:rsid w:val="00730EC7"/>
    <w:rsid w:val="00731290"/>
    <w:rsid w:val="00731892"/>
    <w:rsid w:val="00731D23"/>
    <w:rsid w:val="0073242A"/>
    <w:rsid w:val="0073356C"/>
    <w:rsid w:val="007339EE"/>
    <w:rsid w:val="00733DD3"/>
    <w:rsid w:val="00735619"/>
    <w:rsid w:val="00735D0C"/>
    <w:rsid w:val="00735DC0"/>
    <w:rsid w:val="0073677B"/>
    <w:rsid w:val="00736C44"/>
    <w:rsid w:val="00737647"/>
    <w:rsid w:val="00737946"/>
    <w:rsid w:val="007403CF"/>
    <w:rsid w:val="00740644"/>
    <w:rsid w:val="00740863"/>
    <w:rsid w:val="00740E49"/>
    <w:rsid w:val="00740F46"/>
    <w:rsid w:val="00741EA3"/>
    <w:rsid w:val="00741FC4"/>
    <w:rsid w:val="007447CF"/>
    <w:rsid w:val="00744C5A"/>
    <w:rsid w:val="00744FD4"/>
    <w:rsid w:val="00745337"/>
    <w:rsid w:val="00745673"/>
    <w:rsid w:val="00746BC7"/>
    <w:rsid w:val="00747298"/>
    <w:rsid w:val="00751B19"/>
    <w:rsid w:val="00752613"/>
    <w:rsid w:val="007526F3"/>
    <w:rsid w:val="00752725"/>
    <w:rsid w:val="00752788"/>
    <w:rsid w:val="0075397F"/>
    <w:rsid w:val="00754A94"/>
    <w:rsid w:val="0075503E"/>
    <w:rsid w:val="0075593B"/>
    <w:rsid w:val="00755BC5"/>
    <w:rsid w:val="00755CEB"/>
    <w:rsid w:val="00755F68"/>
    <w:rsid w:val="00756452"/>
    <w:rsid w:val="007607F0"/>
    <w:rsid w:val="00760A44"/>
    <w:rsid w:val="0076270F"/>
    <w:rsid w:val="0076295A"/>
    <w:rsid w:val="00763CD2"/>
    <w:rsid w:val="007653E8"/>
    <w:rsid w:val="0076671C"/>
    <w:rsid w:val="00766751"/>
    <w:rsid w:val="00766BAA"/>
    <w:rsid w:val="0076740E"/>
    <w:rsid w:val="00767F10"/>
    <w:rsid w:val="00767FB6"/>
    <w:rsid w:val="007700A7"/>
    <w:rsid w:val="00770735"/>
    <w:rsid w:val="00770AF7"/>
    <w:rsid w:val="0077265C"/>
    <w:rsid w:val="00772894"/>
    <w:rsid w:val="00772A97"/>
    <w:rsid w:val="00772D4D"/>
    <w:rsid w:val="00772E49"/>
    <w:rsid w:val="007733D1"/>
    <w:rsid w:val="007735F5"/>
    <w:rsid w:val="0077387B"/>
    <w:rsid w:val="007742AB"/>
    <w:rsid w:val="00774574"/>
    <w:rsid w:val="00774CFB"/>
    <w:rsid w:val="007753E3"/>
    <w:rsid w:val="0077636C"/>
    <w:rsid w:val="007765DD"/>
    <w:rsid w:val="00776C48"/>
    <w:rsid w:val="007776E7"/>
    <w:rsid w:val="0077770D"/>
    <w:rsid w:val="00777884"/>
    <w:rsid w:val="00781CA5"/>
    <w:rsid w:val="00782D69"/>
    <w:rsid w:val="00783D10"/>
    <w:rsid w:val="00783E21"/>
    <w:rsid w:val="00785F42"/>
    <w:rsid w:val="00786327"/>
    <w:rsid w:val="0078645F"/>
    <w:rsid w:val="007867D7"/>
    <w:rsid w:val="00786C9E"/>
    <w:rsid w:val="00787701"/>
    <w:rsid w:val="00787C3C"/>
    <w:rsid w:val="007907E1"/>
    <w:rsid w:val="00791408"/>
    <w:rsid w:val="007914EB"/>
    <w:rsid w:val="0079201D"/>
    <w:rsid w:val="007945E7"/>
    <w:rsid w:val="0079519A"/>
    <w:rsid w:val="0079581F"/>
    <w:rsid w:val="00796249"/>
    <w:rsid w:val="007967CD"/>
    <w:rsid w:val="00797103"/>
    <w:rsid w:val="00797379"/>
    <w:rsid w:val="007A06D2"/>
    <w:rsid w:val="007A0849"/>
    <w:rsid w:val="007A0B1E"/>
    <w:rsid w:val="007A1041"/>
    <w:rsid w:val="007A147E"/>
    <w:rsid w:val="007A2806"/>
    <w:rsid w:val="007A307D"/>
    <w:rsid w:val="007A403F"/>
    <w:rsid w:val="007A4C4B"/>
    <w:rsid w:val="007A4F60"/>
    <w:rsid w:val="007A5300"/>
    <w:rsid w:val="007A5611"/>
    <w:rsid w:val="007A6C3A"/>
    <w:rsid w:val="007A71F1"/>
    <w:rsid w:val="007A7DA4"/>
    <w:rsid w:val="007A7E23"/>
    <w:rsid w:val="007B0ADB"/>
    <w:rsid w:val="007B0CE7"/>
    <w:rsid w:val="007B2820"/>
    <w:rsid w:val="007B2BF4"/>
    <w:rsid w:val="007B30E2"/>
    <w:rsid w:val="007B6756"/>
    <w:rsid w:val="007B67DA"/>
    <w:rsid w:val="007B7062"/>
    <w:rsid w:val="007C0229"/>
    <w:rsid w:val="007C0655"/>
    <w:rsid w:val="007C1B83"/>
    <w:rsid w:val="007C1DC6"/>
    <w:rsid w:val="007C2685"/>
    <w:rsid w:val="007C3621"/>
    <w:rsid w:val="007C3680"/>
    <w:rsid w:val="007C377B"/>
    <w:rsid w:val="007C3913"/>
    <w:rsid w:val="007C534A"/>
    <w:rsid w:val="007C7904"/>
    <w:rsid w:val="007C7F02"/>
    <w:rsid w:val="007D00E9"/>
    <w:rsid w:val="007D07C8"/>
    <w:rsid w:val="007D0CA0"/>
    <w:rsid w:val="007D17EF"/>
    <w:rsid w:val="007D26D9"/>
    <w:rsid w:val="007D3960"/>
    <w:rsid w:val="007D416E"/>
    <w:rsid w:val="007D4180"/>
    <w:rsid w:val="007D4455"/>
    <w:rsid w:val="007D465F"/>
    <w:rsid w:val="007D4AC1"/>
    <w:rsid w:val="007D5ABA"/>
    <w:rsid w:val="007D6233"/>
    <w:rsid w:val="007D644B"/>
    <w:rsid w:val="007D6CA1"/>
    <w:rsid w:val="007D6E85"/>
    <w:rsid w:val="007D750A"/>
    <w:rsid w:val="007D7F49"/>
    <w:rsid w:val="007D7F53"/>
    <w:rsid w:val="007E0851"/>
    <w:rsid w:val="007E1A85"/>
    <w:rsid w:val="007E1B6C"/>
    <w:rsid w:val="007E1EC9"/>
    <w:rsid w:val="007E20D5"/>
    <w:rsid w:val="007E20E3"/>
    <w:rsid w:val="007E35B3"/>
    <w:rsid w:val="007E4304"/>
    <w:rsid w:val="007E5D58"/>
    <w:rsid w:val="007E659D"/>
    <w:rsid w:val="007E666E"/>
    <w:rsid w:val="007F1413"/>
    <w:rsid w:val="007F1F72"/>
    <w:rsid w:val="007F2224"/>
    <w:rsid w:val="007F34D3"/>
    <w:rsid w:val="007F5FD1"/>
    <w:rsid w:val="007F636B"/>
    <w:rsid w:val="007F68BE"/>
    <w:rsid w:val="007F7F87"/>
    <w:rsid w:val="008010F9"/>
    <w:rsid w:val="00801215"/>
    <w:rsid w:val="00801E0F"/>
    <w:rsid w:val="00802217"/>
    <w:rsid w:val="00802729"/>
    <w:rsid w:val="00803681"/>
    <w:rsid w:val="0080388B"/>
    <w:rsid w:val="00804FDE"/>
    <w:rsid w:val="0080590C"/>
    <w:rsid w:val="00805BCB"/>
    <w:rsid w:val="00806983"/>
    <w:rsid w:val="008074D3"/>
    <w:rsid w:val="00810142"/>
    <w:rsid w:val="008108AC"/>
    <w:rsid w:val="00812A7D"/>
    <w:rsid w:val="00813200"/>
    <w:rsid w:val="00813C3A"/>
    <w:rsid w:val="008145FB"/>
    <w:rsid w:val="00814B48"/>
    <w:rsid w:val="00815B7D"/>
    <w:rsid w:val="008166A6"/>
    <w:rsid w:val="00816FE9"/>
    <w:rsid w:val="00817310"/>
    <w:rsid w:val="0081742F"/>
    <w:rsid w:val="0081745D"/>
    <w:rsid w:val="00817E8B"/>
    <w:rsid w:val="00820DC3"/>
    <w:rsid w:val="008218D4"/>
    <w:rsid w:val="00821C8C"/>
    <w:rsid w:val="008233F3"/>
    <w:rsid w:val="008239E5"/>
    <w:rsid w:val="00823B86"/>
    <w:rsid w:val="00823C5B"/>
    <w:rsid w:val="00824B7C"/>
    <w:rsid w:val="008260C2"/>
    <w:rsid w:val="008264DA"/>
    <w:rsid w:val="00826698"/>
    <w:rsid w:val="0082691F"/>
    <w:rsid w:val="008273FB"/>
    <w:rsid w:val="00827AE5"/>
    <w:rsid w:val="008303C4"/>
    <w:rsid w:val="008318C6"/>
    <w:rsid w:val="0083270C"/>
    <w:rsid w:val="00832BEF"/>
    <w:rsid w:val="00832EB9"/>
    <w:rsid w:val="00833042"/>
    <w:rsid w:val="00833F8D"/>
    <w:rsid w:val="00833FFB"/>
    <w:rsid w:val="00834E48"/>
    <w:rsid w:val="0083548C"/>
    <w:rsid w:val="00835654"/>
    <w:rsid w:val="00835A77"/>
    <w:rsid w:val="00835E87"/>
    <w:rsid w:val="00836FED"/>
    <w:rsid w:val="008377E6"/>
    <w:rsid w:val="00837BDA"/>
    <w:rsid w:val="008402B8"/>
    <w:rsid w:val="00840C07"/>
    <w:rsid w:val="00840E1D"/>
    <w:rsid w:val="00841C4C"/>
    <w:rsid w:val="00841C56"/>
    <w:rsid w:val="00841E2C"/>
    <w:rsid w:val="008420C1"/>
    <w:rsid w:val="00842C15"/>
    <w:rsid w:val="0084406D"/>
    <w:rsid w:val="0084410E"/>
    <w:rsid w:val="00844761"/>
    <w:rsid w:val="00844FDF"/>
    <w:rsid w:val="00845D42"/>
    <w:rsid w:val="00846236"/>
    <w:rsid w:val="00846E2D"/>
    <w:rsid w:val="00847642"/>
    <w:rsid w:val="00851AE9"/>
    <w:rsid w:val="00851BBE"/>
    <w:rsid w:val="0085241C"/>
    <w:rsid w:val="0085282D"/>
    <w:rsid w:val="0085400C"/>
    <w:rsid w:val="00856216"/>
    <w:rsid w:val="00857026"/>
    <w:rsid w:val="00857418"/>
    <w:rsid w:val="00857744"/>
    <w:rsid w:val="0086091D"/>
    <w:rsid w:val="00861237"/>
    <w:rsid w:val="008612F9"/>
    <w:rsid w:val="008618AA"/>
    <w:rsid w:val="00862E56"/>
    <w:rsid w:val="008630B6"/>
    <w:rsid w:val="00864338"/>
    <w:rsid w:val="008646AE"/>
    <w:rsid w:val="008663FC"/>
    <w:rsid w:val="00866686"/>
    <w:rsid w:val="00866792"/>
    <w:rsid w:val="008667DB"/>
    <w:rsid w:val="00867BAE"/>
    <w:rsid w:val="00871799"/>
    <w:rsid w:val="00872820"/>
    <w:rsid w:val="008733A1"/>
    <w:rsid w:val="00873698"/>
    <w:rsid w:val="00873F2D"/>
    <w:rsid w:val="00873F30"/>
    <w:rsid w:val="0087653F"/>
    <w:rsid w:val="00876DB9"/>
    <w:rsid w:val="00876E4D"/>
    <w:rsid w:val="00876EF3"/>
    <w:rsid w:val="0087730D"/>
    <w:rsid w:val="008774F3"/>
    <w:rsid w:val="008775AF"/>
    <w:rsid w:val="008779E2"/>
    <w:rsid w:val="00877B7D"/>
    <w:rsid w:val="00881F09"/>
    <w:rsid w:val="00883787"/>
    <w:rsid w:val="0088394B"/>
    <w:rsid w:val="008852D2"/>
    <w:rsid w:val="00886330"/>
    <w:rsid w:val="008869D4"/>
    <w:rsid w:val="00886C7A"/>
    <w:rsid w:val="00887815"/>
    <w:rsid w:val="0089030F"/>
    <w:rsid w:val="008908BB"/>
    <w:rsid w:val="008909B2"/>
    <w:rsid w:val="00892A6E"/>
    <w:rsid w:val="00892BC8"/>
    <w:rsid w:val="0089314C"/>
    <w:rsid w:val="00893CFF"/>
    <w:rsid w:val="00893D97"/>
    <w:rsid w:val="00894252"/>
    <w:rsid w:val="00894B79"/>
    <w:rsid w:val="00894ED2"/>
    <w:rsid w:val="0089506B"/>
    <w:rsid w:val="00896CEF"/>
    <w:rsid w:val="00896E39"/>
    <w:rsid w:val="008972EA"/>
    <w:rsid w:val="00897D2D"/>
    <w:rsid w:val="00897D38"/>
    <w:rsid w:val="008A0FB4"/>
    <w:rsid w:val="008A1972"/>
    <w:rsid w:val="008A1AEC"/>
    <w:rsid w:val="008A3BE6"/>
    <w:rsid w:val="008A4BFC"/>
    <w:rsid w:val="008A627E"/>
    <w:rsid w:val="008A65D0"/>
    <w:rsid w:val="008A6763"/>
    <w:rsid w:val="008A6B37"/>
    <w:rsid w:val="008B0213"/>
    <w:rsid w:val="008B05AA"/>
    <w:rsid w:val="008B0A87"/>
    <w:rsid w:val="008B19E1"/>
    <w:rsid w:val="008B1AB7"/>
    <w:rsid w:val="008B3B9E"/>
    <w:rsid w:val="008B49E2"/>
    <w:rsid w:val="008B5016"/>
    <w:rsid w:val="008B580D"/>
    <w:rsid w:val="008B5B00"/>
    <w:rsid w:val="008B6026"/>
    <w:rsid w:val="008B6692"/>
    <w:rsid w:val="008B7B3B"/>
    <w:rsid w:val="008C1023"/>
    <w:rsid w:val="008C1543"/>
    <w:rsid w:val="008C2162"/>
    <w:rsid w:val="008C395A"/>
    <w:rsid w:val="008C5001"/>
    <w:rsid w:val="008C5036"/>
    <w:rsid w:val="008C55C1"/>
    <w:rsid w:val="008C5A5C"/>
    <w:rsid w:val="008C66DF"/>
    <w:rsid w:val="008C72D3"/>
    <w:rsid w:val="008C74AD"/>
    <w:rsid w:val="008D03D1"/>
    <w:rsid w:val="008D0DF8"/>
    <w:rsid w:val="008D1265"/>
    <w:rsid w:val="008D21B0"/>
    <w:rsid w:val="008D2EFC"/>
    <w:rsid w:val="008D378E"/>
    <w:rsid w:val="008D3818"/>
    <w:rsid w:val="008D3CF9"/>
    <w:rsid w:val="008D4108"/>
    <w:rsid w:val="008D450E"/>
    <w:rsid w:val="008D45D9"/>
    <w:rsid w:val="008D460C"/>
    <w:rsid w:val="008D57CE"/>
    <w:rsid w:val="008D5969"/>
    <w:rsid w:val="008D6490"/>
    <w:rsid w:val="008D7341"/>
    <w:rsid w:val="008D74D4"/>
    <w:rsid w:val="008D7A9F"/>
    <w:rsid w:val="008E1070"/>
    <w:rsid w:val="008E1AA3"/>
    <w:rsid w:val="008E1DD5"/>
    <w:rsid w:val="008E26C9"/>
    <w:rsid w:val="008E272D"/>
    <w:rsid w:val="008E34ED"/>
    <w:rsid w:val="008E3C35"/>
    <w:rsid w:val="008E4101"/>
    <w:rsid w:val="008E4EA3"/>
    <w:rsid w:val="008E4EEA"/>
    <w:rsid w:val="008E51F8"/>
    <w:rsid w:val="008E5831"/>
    <w:rsid w:val="008E5DF4"/>
    <w:rsid w:val="008E6168"/>
    <w:rsid w:val="008E6BC9"/>
    <w:rsid w:val="008E6EA6"/>
    <w:rsid w:val="008E79F8"/>
    <w:rsid w:val="008E79F9"/>
    <w:rsid w:val="008F00EF"/>
    <w:rsid w:val="008F1A64"/>
    <w:rsid w:val="008F1F46"/>
    <w:rsid w:val="008F2DAD"/>
    <w:rsid w:val="008F317D"/>
    <w:rsid w:val="008F61C5"/>
    <w:rsid w:val="008F650B"/>
    <w:rsid w:val="008F6654"/>
    <w:rsid w:val="008F7275"/>
    <w:rsid w:val="008F767B"/>
    <w:rsid w:val="008F7701"/>
    <w:rsid w:val="008F781C"/>
    <w:rsid w:val="008F7F89"/>
    <w:rsid w:val="0090037F"/>
    <w:rsid w:val="009005FD"/>
    <w:rsid w:val="0090153D"/>
    <w:rsid w:val="00902402"/>
    <w:rsid w:val="0090413E"/>
    <w:rsid w:val="00904288"/>
    <w:rsid w:val="009046FB"/>
    <w:rsid w:val="00904C2E"/>
    <w:rsid w:val="009057E6"/>
    <w:rsid w:val="0090621B"/>
    <w:rsid w:val="0090770D"/>
    <w:rsid w:val="00907A7E"/>
    <w:rsid w:val="009112C1"/>
    <w:rsid w:val="00911D0A"/>
    <w:rsid w:val="00911DB8"/>
    <w:rsid w:val="00912110"/>
    <w:rsid w:val="009121CD"/>
    <w:rsid w:val="009123F7"/>
    <w:rsid w:val="009126C7"/>
    <w:rsid w:val="0091324B"/>
    <w:rsid w:val="0091403D"/>
    <w:rsid w:val="00915A3D"/>
    <w:rsid w:val="009161C0"/>
    <w:rsid w:val="00917CA3"/>
    <w:rsid w:val="00917F38"/>
    <w:rsid w:val="00922659"/>
    <w:rsid w:val="0092337A"/>
    <w:rsid w:val="00923AD0"/>
    <w:rsid w:val="00924580"/>
    <w:rsid w:val="00924752"/>
    <w:rsid w:val="00924CA1"/>
    <w:rsid w:val="00924F0E"/>
    <w:rsid w:val="00925205"/>
    <w:rsid w:val="00926498"/>
    <w:rsid w:val="009269B0"/>
    <w:rsid w:val="009279EA"/>
    <w:rsid w:val="00930151"/>
    <w:rsid w:val="00931270"/>
    <w:rsid w:val="0093206B"/>
    <w:rsid w:val="00932513"/>
    <w:rsid w:val="00932697"/>
    <w:rsid w:val="00933CA4"/>
    <w:rsid w:val="00933D1E"/>
    <w:rsid w:val="00933F44"/>
    <w:rsid w:val="009349D4"/>
    <w:rsid w:val="0093525A"/>
    <w:rsid w:val="00935747"/>
    <w:rsid w:val="009360AC"/>
    <w:rsid w:val="009370DF"/>
    <w:rsid w:val="00937453"/>
    <w:rsid w:val="009378B6"/>
    <w:rsid w:val="00937D7D"/>
    <w:rsid w:val="00940192"/>
    <w:rsid w:val="00940B85"/>
    <w:rsid w:val="00941F9E"/>
    <w:rsid w:val="009420F1"/>
    <w:rsid w:val="00943077"/>
    <w:rsid w:val="00943577"/>
    <w:rsid w:val="00944783"/>
    <w:rsid w:val="0094487D"/>
    <w:rsid w:val="0094520C"/>
    <w:rsid w:val="00945694"/>
    <w:rsid w:val="00945B4E"/>
    <w:rsid w:val="00945CA5"/>
    <w:rsid w:val="00945DFB"/>
    <w:rsid w:val="0094705C"/>
    <w:rsid w:val="009508F4"/>
    <w:rsid w:val="00950DA2"/>
    <w:rsid w:val="00951062"/>
    <w:rsid w:val="00951CFA"/>
    <w:rsid w:val="00952736"/>
    <w:rsid w:val="009527FF"/>
    <w:rsid w:val="00952D8A"/>
    <w:rsid w:val="00953174"/>
    <w:rsid w:val="00953830"/>
    <w:rsid w:val="0095433C"/>
    <w:rsid w:val="009550CD"/>
    <w:rsid w:val="009555B0"/>
    <w:rsid w:val="00956C90"/>
    <w:rsid w:val="00956FFA"/>
    <w:rsid w:val="00957468"/>
    <w:rsid w:val="00957483"/>
    <w:rsid w:val="0095782A"/>
    <w:rsid w:val="00962859"/>
    <w:rsid w:val="009628A7"/>
    <w:rsid w:val="00963262"/>
    <w:rsid w:val="00963B33"/>
    <w:rsid w:val="00966F0C"/>
    <w:rsid w:val="00967E9A"/>
    <w:rsid w:val="00970668"/>
    <w:rsid w:val="00970E27"/>
    <w:rsid w:val="009710EF"/>
    <w:rsid w:val="00971942"/>
    <w:rsid w:val="00971DAC"/>
    <w:rsid w:val="0097230F"/>
    <w:rsid w:val="0097267F"/>
    <w:rsid w:val="009735A4"/>
    <w:rsid w:val="0097387B"/>
    <w:rsid w:val="0097429F"/>
    <w:rsid w:val="009757AE"/>
    <w:rsid w:val="009759AE"/>
    <w:rsid w:val="00975BA7"/>
    <w:rsid w:val="00976510"/>
    <w:rsid w:val="00976C14"/>
    <w:rsid w:val="009802E0"/>
    <w:rsid w:val="009804EF"/>
    <w:rsid w:val="009830DE"/>
    <w:rsid w:val="0098331E"/>
    <w:rsid w:val="0098338F"/>
    <w:rsid w:val="00983650"/>
    <w:rsid w:val="009840FF"/>
    <w:rsid w:val="00984C9F"/>
    <w:rsid w:val="009866AC"/>
    <w:rsid w:val="00986A9B"/>
    <w:rsid w:val="009900DF"/>
    <w:rsid w:val="00990291"/>
    <w:rsid w:val="009904A7"/>
    <w:rsid w:val="0099131B"/>
    <w:rsid w:val="00992745"/>
    <w:rsid w:val="009927E1"/>
    <w:rsid w:val="00992E57"/>
    <w:rsid w:val="009935D3"/>
    <w:rsid w:val="00993938"/>
    <w:rsid w:val="009949C6"/>
    <w:rsid w:val="00995121"/>
    <w:rsid w:val="00996F3C"/>
    <w:rsid w:val="009979AE"/>
    <w:rsid w:val="009A1063"/>
    <w:rsid w:val="009A1312"/>
    <w:rsid w:val="009A1ADD"/>
    <w:rsid w:val="009A20BA"/>
    <w:rsid w:val="009A2CC4"/>
    <w:rsid w:val="009A4DA7"/>
    <w:rsid w:val="009A6903"/>
    <w:rsid w:val="009A69B9"/>
    <w:rsid w:val="009B0B43"/>
    <w:rsid w:val="009B0B8B"/>
    <w:rsid w:val="009B12F1"/>
    <w:rsid w:val="009B1BCE"/>
    <w:rsid w:val="009B1DC9"/>
    <w:rsid w:val="009B226A"/>
    <w:rsid w:val="009B2563"/>
    <w:rsid w:val="009B3880"/>
    <w:rsid w:val="009B3E7A"/>
    <w:rsid w:val="009B4002"/>
    <w:rsid w:val="009B4847"/>
    <w:rsid w:val="009B5526"/>
    <w:rsid w:val="009B6A74"/>
    <w:rsid w:val="009B6D4C"/>
    <w:rsid w:val="009B6D6D"/>
    <w:rsid w:val="009B703A"/>
    <w:rsid w:val="009B70B0"/>
    <w:rsid w:val="009B78D6"/>
    <w:rsid w:val="009B7B86"/>
    <w:rsid w:val="009B7D3D"/>
    <w:rsid w:val="009B7F48"/>
    <w:rsid w:val="009C32BD"/>
    <w:rsid w:val="009C4744"/>
    <w:rsid w:val="009C5621"/>
    <w:rsid w:val="009C60C6"/>
    <w:rsid w:val="009C6720"/>
    <w:rsid w:val="009C6B1A"/>
    <w:rsid w:val="009C6C02"/>
    <w:rsid w:val="009C7036"/>
    <w:rsid w:val="009C79D8"/>
    <w:rsid w:val="009D235D"/>
    <w:rsid w:val="009D25C5"/>
    <w:rsid w:val="009D3133"/>
    <w:rsid w:val="009D31AA"/>
    <w:rsid w:val="009D3543"/>
    <w:rsid w:val="009D53F6"/>
    <w:rsid w:val="009D7EDC"/>
    <w:rsid w:val="009E0495"/>
    <w:rsid w:val="009E0669"/>
    <w:rsid w:val="009E0CBB"/>
    <w:rsid w:val="009E0F46"/>
    <w:rsid w:val="009E0F6A"/>
    <w:rsid w:val="009E11C5"/>
    <w:rsid w:val="009E1F72"/>
    <w:rsid w:val="009E210A"/>
    <w:rsid w:val="009E223B"/>
    <w:rsid w:val="009E24FE"/>
    <w:rsid w:val="009E32B3"/>
    <w:rsid w:val="009E58AB"/>
    <w:rsid w:val="009E6C9B"/>
    <w:rsid w:val="009E7120"/>
    <w:rsid w:val="009E7C4C"/>
    <w:rsid w:val="009F11A5"/>
    <w:rsid w:val="009F288A"/>
    <w:rsid w:val="009F343A"/>
    <w:rsid w:val="009F4176"/>
    <w:rsid w:val="009F47A5"/>
    <w:rsid w:val="009F49DD"/>
    <w:rsid w:val="009F4E44"/>
    <w:rsid w:val="009F50B4"/>
    <w:rsid w:val="009F6DA3"/>
    <w:rsid w:val="009F6EF4"/>
    <w:rsid w:val="009F7195"/>
    <w:rsid w:val="00A000BF"/>
    <w:rsid w:val="00A005DA"/>
    <w:rsid w:val="00A00D63"/>
    <w:rsid w:val="00A037B8"/>
    <w:rsid w:val="00A04AEF"/>
    <w:rsid w:val="00A05E4D"/>
    <w:rsid w:val="00A060AF"/>
    <w:rsid w:val="00A07E93"/>
    <w:rsid w:val="00A11347"/>
    <w:rsid w:val="00A11B93"/>
    <w:rsid w:val="00A11EC3"/>
    <w:rsid w:val="00A123A0"/>
    <w:rsid w:val="00A12BF0"/>
    <w:rsid w:val="00A1321D"/>
    <w:rsid w:val="00A14568"/>
    <w:rsid w:val="00A14ACD"/>
    <w:rsid w:val="00A1532B"/>
    <w:rsid w:val="00A15C09"/>
    <w:rsid w:val="00A16049"/>
    <w:rsid w:val="00A2117B"/>
    <w:rsid w:val="00A21365"/>
    <w:rsid w:val="00A21A19"/>
    <w:rsid w:val="00A21A95"/>
    <w:rsid w:val="00A229AA"/>
    <w:rsid w:val="00A237EE"/>
    <w:rsid w:val="00A23CE3"/>
    <w:rsid w:val="00A244F7"/>
    <w:rsid w:val="00A24968"/>
    <w:rsid w:val="00A24FA0"/>
    <w:rsid w:val="00A25FFA"/>
    <w:rsid w:val="00A26A1B"/>
    <w:rsid w:val="00A26DEE"/>
    <w:rsid w:val="00A27CA1"/>
    <w:rsid w:val="00A30398"/>
    <w:rsid w:val="00A30B38"/>
    <w:rsid w:val="00A31B82"/>
    <w:rsid w:val="00A325A0"/>
    <w:rsid w:val="00A339D2"/>
    <w:rsid w:val="00A35BF8"/>
    <w:rsid w:val="00A35CAB"/>
    <w:rsid w:val="00A36510"/>
    <w:rsid w:val="00A3656C"/>
    <w:rsid w:val="00A41B50"/>
    <w:rsid w:val="00A427DF"/>
    <w:rsid w:val="00A42853"/>
    <w:rsid w:val="00A42879"/>
    <w:rsid w:val="00A43D58"/>
    <w:rsid w:val="00A43E64"/>
    <w:rsid w:val="00A44F1A"/>
    <w:rsid w:val="00A474EB"/>
    <w:rsid w:val="00A47878"/>
    <w:rsid w:val="00A50088"/>
    <w:rsid w:val="00A50225"/>
    <w:rsid w:val="00A50259"/>
    <w:rsid w:val="00A503A0"/>
    <w:rsid w:val="00A50442"/>
    <w:rsid w:val="00A51A17"/>
    <w:rsid w:val="00A51AB7"/>
    <w:rsid w:val="00A53612"/>
    <w:rsid w:val="00A537D3"/>
    <w:rsid w:val="00A53D97"/>
    <w:rsid w:val="00A54152"/>
    <w:rsid w:val="00A5450F"/>
    <w:rsid w:val="00A5516C"/>
    <w:rsid w:val="00A551A0"/>
    <w:rsid w:val="00A5534B"/>
    <w:rsid w:val="00A563EF"/>
    <w:rsid w:val="00A56C61"/>
    <w:rsid w:val="00A5792D"/>
    <w:rsid w:val="00A6113E"/>
    <w:rsid w:val="00A61C55"/>
    <w:rsid w:val="00A61CBD"/>
    <w:rsid w:val="00A62B7B"/>
    <w:rsid w:val="00A631CE"/>
    <w:rsid w:val="00A636D3"/>
    <w:rsid w:val="00A64B9B"/>
    <w:rsid w:val="00A64FAB"/>
    <w:rsid w:val="00A65C56"/>
    <w:rsid w:val="00A66B74"/>
    <w:rsid w:val="00A6717E"/>
    <w:rsid w:val="00A67180"/>
    <w:rsid w:val="00A6741F"/>
    <w:rsid w:val="00A67730"/>
    <w:rsid w:val="00A70769"/>
    <w:rsid w:val="00A708B4"/>
    <w:rsid w:val="00A71329"/>
    <w:rsid w:val="00A728A9"/>
    <w:rsid w:val="00A73733"/>
    <w:rsid w:val="00A7373F"/>
    <w:rsid w:val="00A73939"/>
    <w:rsid w:val="00A74B9E"/>
    <w:rsid w:val="00A74BF6"/>
    <w:rsid w:val="00A7515E"/>
    <w:rsid w:val="00A751B5"/>
    <w:rsid w:val="00A75D25"/>
    <w:rsid w:val="00A76765"/>
    <w:rsid w:val="00A774B1"/>
    <w:rsid w:val="00A77E20"/>
    <w:rsid w:val="00A80647"/>
    <w:rsid w:val="00A807DB"/>
    <w:rsid w:val="00A80C4E"/>
    <w:rsid w:val="00A80E2C"/>
    <w:rsid w:val="00A820AA"/>
    <w:rsid w:val="00A821C3"/>
    <w:rsid w:val="00A82515"/>
    <w:rsid w:val="00A83573"/>
    <w:rsid w:val="00A84CEF"/>
    <w:rsid w:val="00A86216"/>
    <w:rsid w:val="00A8668C"/>
    <w:rsid w:val="00A8707A"/>
    <w:rsid w:val="00A9141E"/>
    <w:rsid w:val="00A918D8"/>
    <w:rsid w:val="00A91DAD"/>
    <w:rsid w:val="00A92972"/>
    <w:rsid w:val="00A93276"/>
    <w:rsid w:val="00A9369D"/>
    <w:rsid w:val="00A9632C"/>
    <w:rsid w:val="00A963EC"/>
    <w:rsid w:val="00A971BB"/>
    <w:rsid w:val="00A97227"/>
    <w:rsid w:val="00AA085A"/>
    <w:rsid w:val="00AA09DE"/>
    <w:rsid w:val="00AA0B6C"/>
    <w:rsid w:val="00AA12F7"/>
    <w:rsid w:val="00AA34F2"/>
    <w:rsid w:val="00AA42EA"/>
    <w:rsid w:val="00AA4A88"/>
    <w:rsid w:val="00AA4E83"/>
    <w:rsid w:val="00AA5161"/>
    <w:rsid w:val="00AA51B3"/>
    <w:rsid w:val="00AA51FD"/>
    <w:rsid w:val="00AA5437"/>
    <w:rsid w:val="00AA68A3"/>
    <w:rsid w:val="00AA6ED6"/>
    <w:rsid w:val="00AA6F63"/>
    <w:rsid w:val="00AA7C84"/>
    <w:rsid w:val="00AB0118"/>
    <w:rsid w:val="00AB0470"/>
    <w:rsid w:val="00AB1121"/>
    <w:rsid w:val="00AB1153"/>
    <w:rsid w:val="00AB11B1"/>
    <w:rsid w:val="00AB13BC"/>
    <w:rsid w:val="00AB1804"/>
    <w:rsid w:val="00AB18C2"/>
    <w:rsid w:val="00AB29C7"/>
    <w:rsid w:val="00AB4035"/>
    <w:rsid w:val="00AB56AD"/>
    <w:rsid w:val="00AB5718"/>
    <w:rsid w:val="00AC08A6"/>
    <w:rsid w:val="00AC0AE4"/>
    <w:rsid w:val="00AC0C17"/>
    <w:rsid w:val="00AC1626"/>
    <w:rsid w:val="00AC167B"/>
    <w:rsid w:val="00AC1718"/>
    <w:rsid w:val="00AC1B35"/>
    <w:rsid w:val="00AC1FE6"/>
    <w:rsid w:val="00AC3B68"/>
    <w:rsid w:val="00AC537C"/>
    <w:rsid w:val="00AC5756"/>
    <w:rsid w:val="00AC5B1F"/>
    <w:rsid w:val="00AC5B64"/>
    <w:rsid w:val="00AC5D80"/>
    <w:rsid w:val="00AC7191"/>
    <w:rsid w:val="00AC7502"/>
    <w:rsid w:val="00AD0D8E"/>
    <w:rsid w:val="00AD1D0A"/>
    <w:rsid w:val="00AD3306"/>
    <w:rsid w:val="00AD45D2"/>
    <w:rsid w:val="00AD4D05"/>
    <w:rsid w:val="00AD4ED5"/>
    <w:rsid w:val="00AD5933"/>
    <w:rsid w:val="00AD5DDD"/>
    <w:rsid w:val="00AD5EDF"/>
    <w:rsid w:val="00AD6A3C"/>
    <w:rsid w:val="00AE0900"/>
    <w:rsid w:val="00AE1B20"/>
    <w:rsid w:val="00AE1E9C"/>
    <w:rsid w:val="00AE3947"/>
    <w:rsid w:val="00AE3BBC"/>
    <w:rsid w:val="00AE52A5"/>
    <w:rsid w:val="00AE56F0"/>
    <w:rsid w:val="00AE79C2"/>
    <w:rsid w:val="00AF11D2"/>
    <w:rsid w:val="00AF2809"/>
    <w:rsid w:val="00AF2C79"/>
    <w:rsid w:val="00AF330A"/>
    <w:rsid w:val="00AF3B96"/>
    <w:rsid w:val="00AF5243"/>
    <w:rsid w:val="00AF5DC1"/>
    <w:rsid w:val="00AF686C"/>
    <w:rsid w:val="00AF7324"/>
    <w:rsid w:val="00AF78E1"/>
    <w:rsid w:val="00AF7C84"/>
    <w:rsid w:val="00B006C3"/>
    <w:rsid w:val="00B0127E"/>
    <w:rsid w:val="00B0195F"/>
    <w:rsid w:val="00B02313"/>
    <w:rsid w:val="00B02B99"/>
    <w:rsid w:val="00B034FD"/>
    <w:rsid w:val="00B03BB0"/>
    <w:rsid w:val="00B0487A"/>
    <w:rsid w:val="00B04E7A"/>
    <w:rsid w:val="00B05EB1"/>
    <w:rsid w:val="00B05F2B"/>
    <w:rsid w:val="00B0645A"/>
    <w:rsid w:val="00B06809"/>
    <w:rsid w:val="00B06E27"/>
    <w:rsid w:val="00B0734A"/>
    <w:rsid w:val="00B07F0E"/>
    <w:rsid w:val="00B10CB7"/>
    <w:rsid w:val="00B125C2"/>
    <w:rsid w:val="00B12CC0"/>
    <w:rsid w:val="00B12DE5"/>
    <w:rsid w:val="00B13317"/>
    <w:rsid w:val="00B1358B"/>
    <w:rsid w:val="00B15B53"/>
    <w:rsid w:val="00B16990"/>
    <w:rsid w:val="00B17303"/>
    <w:rsid w:val="00B17628"/>
    <w:rsid w:val="00B179B5"/>
    <w:rsid w:val="00B20F31"/>
    <w:rsid w:val="00B21726"/>
    <w:rsid w:val="00B223EC"/>
    <w:rsid w:val="00B2288E"/>
    <w:rsid w:val="00B22C26"/>
    <w:rsid w:val="00B22FA4"/>
    <w:rsid w:val="00B23D94"/>
    <w:rsid w:val="00B245E9"/>
    <w:rsid w:val="00B250D2"/>
    <w:rsid w:val="00B305E3"/>
    <w:rsid w:val="00B317E5"/>
    <w:rsid w:val="00B31B64"/>
    <w:rsid w:val="00B32429"/>
    <w:rsid w:val="00B3243E"/>
    <w:rsid w:val="00B333AD"/>
    <w:rsid w:val="00B333F7"/>
    <w:rsid w:val="00B3466B"/>
    <w:rsid w:val="00B3516B"/>
    <w:rsid w:val="00B364CC"/>
    <w:rsid w:val="00B37453"/>
    <w:rsid w:val="00B376CD"/>
    <w:rsid w:val="00B377A0"/>
    <w:rsid w:val="00B408DB"/>
    <w:rsid w:val="00B41582"/>
    <w:rsid w:val="00B4281F"/>
    <w:rsid w:val="00B42E8C"/>
    <w:rsid w:val="00B44E4A"/>
    <w:rsid w:val="00B45AE7"/>
    <w:rsid w:val="00B46AB8"/>
    <w:rsid w:val="00B46BF6"/>
    <w:rsid w:val="00B470E4"/>
    <w:rsid w:val="00B501D3"/>
    <w:rsid w:val="00B51271"/>
    <w:rsid w:val="00B525F2"/>
    <w:rsid w:val="00B526AD"/>
    <w:rsid w:val="00B5504F"/>
    <w:rsid w:val="00B55078"/>
    <w:rsid w:val="00B55DC8"/>
    <w:rsid w:val="00B563F8"/>
    <w:rsid w:val="00B565B4"/>
    <w:rsid w:val="00B5770A"/>
    <w:rsid w:val="00B57CD7"/>
    <w:rsid w:val="00B57F5D"/>
    <w:rsid w:val="00B61ACE"/>
    <w:rsid w:val="00B627DD"/>
    <w:rsid w:val="00B6286B"/>
    <w:rsid w:val="00B638DF"/>
    <w:rsid w:val="00B640C1"/>
    <w:rsid w:val="00B658F5"/>
    <w:rsid w:val="00B6653B"/>
    <w:rsid w:val="00B669BA"/>
    <w:rsid w:val="00B66B50"/>
    <w:rsid w:val="00B66D4B"/>
    <w:rsid w:val="00B67F47"/>
    <w:rsid w:val="00B708C0"/>
    <w:rsid w:val="00B70F25"/>
    <w:rsid w:val="00B7189E"/>
    <w:rsid w:val="00B719E8"/>
    <w:rsid w:val="00B71A7B"/>
    <w:rsid w:val="00B73E5F"/>
    <w:rsid w:val="00B7576A"/>
    <w:rsid w:val="00B75D5D"/>
    <w:rsid w:val="00B77243"/>
    <w:rsid w:val="00B77DA8"/>
    <w:rsid w:val="00B8057B"/>
    <w:rsid w:val="00B80930"/>
    <w:rsid w:val="00B80EEE"/>
    <w:rsid w:val="00B827C4"/>
    <w:rsid w:val="00B82CA2"/>
    <w:rsid w:val="00B83FC5"/>
    <w:rsid w:val="00B86377"/>
    <w:rsid w:val="00B86FD4"/>
    <w:rsid w:val="00B87A0C"/>
    <w:rsid w:val="00B87CAA"/>
    <w:rsid w:val="00B87F19"/>
    <w:rsid w:val="00B90356"/>
    <w:rsid w:val="00B9062A"/>
    <w:rsid w:val="00B9121C"/>
    <w:rsid w:val="00B92A4C"/>
    <w:rsid w:val="00B9313E"/>
    <w:rsid w:val="00B947F5"/>
    <w:rsid w:val="00B953E1"/>
    <w:rsid w:val="00B954C3"/>
    <w:rsid w:val="00B96DDC"/>
    <w:rsid w:val="00B97EB0"/>
    <w:rsid w:val="00BA03F1"/>
    <w:rsid w:val="00BA073F"/>
    <w:rsid w:val="00BA0BBF"/>
    <w:rsid w:val="00BA1410"/>
    <w:rsid w:val="00BA44CA"/>
    <w:rsid w:val="00BA44EB"/>
    <w:rsid w:val="00BA4532"/>
    <w:rsid w:val="00BA4730"/>
    <w:rsid w:val="00BA4764"/>
    <w:rsid w:val="00BA4AFA"/>
    <w:rsid w:val="00BA5092"/>
    <w:rsid w:val="00BA59CF"/>
    <w:rsid w:val="00BA5BD9"/>
    <w:rsid w:val="00BA60CB"/>
    <w:rsid w:val="00BA6853"/>
    <w:rsid w:val="00BA6A0E"/>
    <w:rsid w:val="00BA6E1E"/>
    <w:rsid w:val="00BA79D8"/>
    <w:rsid w:val="00BB09BC"/>
    <w:rsid w:val="00BB0A8D"/>
    <w:rsid w:val="00BB31DB"/>
    <w:rsid w:val="00BB4467"/>
    <w:rsid w:val="00BB4C34"/>
    <w:rsid w:val="00BB6F3B"/>
    <w:rsid w:val="00BB7A6F"/>
    <w:rsid w:val="00BB7EC9"/>
    <w:rsid w:val="00BC0512"/>
    <w:rsid w:val="00BC2824"/>
    <w:rsid w:val="00BC2AAA"/>
    <w:rsid w:val="00BC3E3A"/>
    <w:rsid w:val="00BC480D"/>
    <w:rsid w:val="00BC5198"/>
    <w:rsid w:val="00BC56DD"/>
    <w:rsid w:val="00BC6810"/>
    <w:rsid w:val="00BC689E"/>
    <w:rsid w:val="00BC6FE7"/>
    <w:rsid w:val="00BC747F"/>
    <w:rsid w:val="00BD0867"/>
    <w:rsid w:val="00BD0E77"/>
    <w:rsid w:val="00BD2A1A"/>
    <w:rsid w:val="00BD2C49"/>
    <w:rsid w:val="00BD3AB1"/>
    <w:rsid w:val="00BD43E3"/>
    <w:rsid w:val="00BD45ED"/>
    <w:rsid w:val="00BD4CC9"/>
    <w:rsid w:val="00BE0C80"/>
    <w:rsid w:val="00BE114B"/>
    <w:rsid w:val="00BE204A"/>
    <w:rsid w:val="00BE27FF"/>
    <w:rsid w:val="00BE3796"/>
    <w:rsid w:val="00BE66DE"/>
    <w:rsid w:val="00BE6F85"/>
    <w:rsid w:val="00BE76CA"/>
    <w:rsid w:val="00BF1725"/>
    <w:rsid w:val="00BF1866"/>
    <w:rsid w:val="00BF1995"/>
    <w:rsid w:val="00BF3277"/>
    <w:rsid w:val="00BF3E7A"/>
    <w:rsid w:val="00BF4A90"/>
    <w:rsid w:val="00BF5A8A"/>
    <w:rsid w:val="00BF5AD6"/>
    <w:rsid w:val="00C0118B"/>
    <w:rsid w:val="00C01576"/>
    <w:rsid w:val="00C01692"/>
    <w:rsid w:val="00C037C7"/>
    <w:rsid w:val="00C03C78"/>
    <w:rsid w:val="00C04412"/>
    <w:rsid w:val="00C046BF"/>
    <w:rsid w:val="00C0477C"/>
    <w:rsid w:val="00C05074"/>
    <w:rsid w:val="00C0622A"/>
    <w:rsid w:val="00C0710D"/>
    <w:rsid w:val="00C105A2"/>
    <w:rsid w:val="00C10963"/>
    <w:rsid w:val="00C10F00"/>
    <w:rsid w:val="00C11561"/>
    <w:rsid w:val="00C116FC"/>
    <w:rsid w:val="00C11A56"/>
    <w:rsid w:val="00C11B29"/>
    <w:rsid w:val="00C11D0E"/>
    <w:rsid w:val="00C12151"/>
    <w:rsid w:val="00C1259F"/>
    <w:rsid w:val="00C12893"/>
    <w:rsid w:val="00C13B1D"/>
    <w:rsid w:val="00C13FA2"/>
    <w:rsid w:val="00C14E56"/>
    <w:rsid w:val="00C16955"/>
    <w:rsid w:val="00C17E17"/>
    <w:rsid w:val="00C20345"/>
    <w:rsid w:val="00C20B81"/>
    <w:rsid w:val="00C20DF6"/>
    <w:rsid w:val="00C218E6"/>
    <w:rsid w:val="00C22748"/>
    <w:rsid w:val="00C233DA"/>
    <w:rsid w:val="00C241B9"/>
    <w:rsid w:val="00C24F5F"/>
    <w:rsid w:val="00C252DB"/>
    <w:rsid w:val="00C25484"/>
    <w:rsid w:val="00C25A20"/>
    <w:rsid w:val="00C25D21"/>
    <w:rsid w:val="00C25D3E"/>
    <w:rsid w:val="00C2660F"/>
    <w:rsid w:val="00C266CA"/>
    <w:rsid w:val="00C26B3F"/>
    <w:rsid w:val="00C27170"/>
    <w:rsid w:val="00C27505"/>
    <w:rsid w:val="00C27F48"/>
    <w:rsid w:val="00C30425"/>
    <w:rsid w:val="00C321FF"/>
    <w:rsid w:val="00C32646"/>
    <w:rsid w:val="00C33BE2"/>
    <w:rsid w:val="00C3421F"/>
    <w:rsid w:val="00C34C9F"/>
    <w:rsid w:val="00C34F36"/>
    <w:rsid w:val="00C352DC"/>
    <w:rsid w:val="00C35659"/>
    <w:rsid w:val="00C36D8A"/>
    <w:rsid w:val="00C373AB"/>
    <w:rsid w:val="00C401BB"/>
    <w:rsid w:val="00C41CE6"/>
    <w:rsid w:val="00C41DFE"/>
    <w:rsid w:val="00C41E80"/>
    <w:rsid w:val="00C42C13"/>
    <w:rsid w:val="00C4381F"/>
    <w:rsid w:val="00C43BE6"/>
    <w:rsid w:val="00C446B7"/>
    <w:rsid w:val="00C464EE"/>
    <w:rsid w:val="00C46C95"/>
    <w:rsid w:val="00C47C82"/>
    <w:rsid w:val="00C50254"/>
    <w:rsid w:val="00C51053"/>
    <w:rsid w:val="00C529EA"/>
    <w:rsid w:val="00C52C8D"/>
    <w:rsid w:val="00C52D63"/>
    <w:rsid w:val="00C538A6"/>
    <w:rsid w:val="00C54484"/>
    <w:rsid w:val="00C5467F"/>
    <w:rsid w:val="00C5508D"/>
    <w:rsid w:val="00C56072"/>
    <w:rsid w:val="00C57018"/>
    <w:rsid w:val="00C57AB7"/>
    <w:rsid w:val="00C60838"/>
    <w:rsid w:val="00C6091E"/>
    <w:rsid w:val="00C623B7"/>
    <w:rsid w:val="00C62917"/>
    <w:rsid w:val="00C63AFD"/>
    <w:rsid w:val="00C64054"/>
    <w:rsid w:val="00C64190"/>
    <w:rsid w:val="00C64E47"/>
    <w:rsid w:val="00C722C2"/>
    <w:rsid w:val="00C72D39"/>
    <w:rsid w:val="00C72DE5"/>
    <w:rsid w:val="00C73D12"/>
    <w:rsid w:val="00C7559F"/>
    <w:rsid w:val="00C7644E"/>
    <w:rsid w:val="00C76751"/>
    <w:rsid w:val="00C775BE"/>
    <w:rsid w:val="00C77D75"/>
    <w:rsid w:val="00C77EEC"/>
    <w:rsid w:val="00C804F5"/>
    <w:rsid w:val="00C81AB3"/>
    <w:rsid w:val="00C81BCB"/>
    <w:rsid w:val="00C82576"/>
    <w:rsid w:val="00C82D7B"/>
    <w:rsid w:val="00C82E5B"/>
    <w:rsid w:val="00C83099"/>
    <w:rsid w:val="00C83697"/>
    <w:rsid w:val="00C8390A"/>
    <w:rsid w:val="00C8485B"/>
    <w:rsid w:val="00C84A78"/>
    <w:rsid w:val="00C84B56"/>
    <w:rsid w:val="00C84FC9"/>
    <w:rsid w:val="00C85503"/>
    <w:rsid w:val="00C85C8A"/>
    <w:rsid w:val="00C86A1A"/>
    <w:rsid w:val="00C87852"/>
    <w:rsid w:val="00C902AF"/>
    <w:rsid w:val="00C90675"/>
    <w:rsid w:val="00C910DE"/>
    <w:rsid w:val="00C92524"/>
    <w:rsid w:val="00C92C8E"/>
    <w:rsid w:val="00C939DD"/>
    <w:rsid w:val="00C94152"/>
    <w:rsid w:val="00C94DA8"/>
    <w:rsid w:val="00C95583"/>
    <w:rsid w:val="00C95B21"/>
    <w:rsid w:val="00C961B5"/>
    <w:rsid w:val="00C9621C"/>
    <w:rsid w:val="00C96F4A"/>
    <w:rsid w:val="00C97385"/>
    <w:rsid w:val="00CA02BA"/>
    <w:rsid w:val="00CA0CA8"/>
    <w:rsid w:val="00CA26D8"/>
    <w:rsid w:val="00CA350E"/>
    <w:rsid w:val="00CA3A70"/>
    <w:rsid w:val="00CA3E99"/>
    <w:rsid w:val="00CA424F"/>
    <w:rsid w:val="00CA43F9"/>
    <w:rsid w:val="00CA4427"/>
    <w:rsid w:val="00CA4B07"/>
    <w:rsid w:val="00CA57F3"/>
    <w:rsid w:val="00CA63C5"/>
    <w:rsid w:val="00CA7FF2"/>
    <w:rsid w:val="00CB02A3"/>
    <w:rsid w:val="00CB0B78"/>
    <w:rsid w:val="00CB109A"/>
    <w:rsid w:val="00CB2212"/>
    <w:rsid w:val="00CB2861"/>
    <w:rsid w:val="00CB29E6"/>
    <w:rsid w:val="00CB3286"/>
    <w:rsid w:val="00CB375F"/>
    <w:rsid w:val="00CB3D49"/>
    <w:rsid w:val="00CB3EC0"/>
    <w:rsid w:val="00CB4CD2"/>
    <w:rsid w:val="00CB5B69"/>
    <w:rsid w:val="00CB639C"/>
    <w:rsid w:val="00CB6A56"/>
    <w:rsid w:val="00CC03C7"/>
    <w:rsid w:val="00CC322F"/>
    <w:rsid w:val="00CC3915"/>
    <w:rsid w:val="00CC44CE"/>
    <w:rsid w:val="00CC544C"/>
    <w:rsid w:val="00CC5D87"/>
    <w:rsid w:val="00CC6DF2"/>
    <w:rsid w:val="00CC7CA6"/>
    <w:rsid w:val="00CD038C"/>
    <w:rsid w:val="00CD0A37"/>
    <w:rsid w:val="00CD1442"/>
    <w:rsid w:val="00CD2557"/>
    <w:rsid w:val="00CD2701"/>
    <w:rsid w:val="00CD3C84"/>
    <w:rsid w:val="00CD5761"/>
    <w:rsid w:val="00CD58BF"/>
    <w:rsid w:val="00CD60E0"/>
    <w:rsid w:val="00CD6242"/>
    <w:rsid w:val="00CD694D"/>
    <w:rsid w:val="00CD7463"/>
    <w:rsid w:val="00CD7FA5"/>
    <w:rsid w:val="00CE0D1E"/>
    <w:rsid w:val="00CE1018"/>
    <w:rsid w:val="00CE1800"/>
    <w:rsid w:val="00CE2ECD"/>
    <w:rsid w:val="00CE3553"/>
    <w:rsid w:val="00CE355C"/>
    <w:rsid w:val="00CE35FB"/>
    <w:rsid w:val="00CE3C60"/>
    <w:rsid w:val="00CE3EFC"/>
    <w:rsid w:val="00CE5BB9"/>
    <w:rsid w:val="00CE6053"/>
    <w:rsid w:val="00CE6DE7"/>
    <w:rsid w:val="00CE7294"/>
    <w:rsid w:val="00CE7E2D"/>
    <w:rsid w:val="00CF00A4"/>
    <w:rsid w:val="00CF12BE"/>
    <w:rsid w:val="00CF1842"/>
    <w:rsid w:val="00CF2AE8"/>
    <w:rsid w:val="00CF2DB2"/>
    <w:rsid w:val="00CF31CB"/>
    <w:rsid w:val="00CF458B"/>
    <w:rsid w:val="00CF4DF4"/>
    <w:rsid w:val="00CF5245"/>
    <w:rsid w:val="00CF5303"/>
    <w:rsid w:val="00CF5868"/>
    <w:rsid w:val="00CF5A22"/>
    <w:rsid w:val="00CF6775"/>
    <w:rsid w:val="00CF6A7C"/>
    <w:rsid w:val="00CF79A1"/>
    <w:rsid w:val="00D0024E"/>
    <w:rsid w:val="00D009AC"/>
    <w:rsid w:val="00D023A8"/>
    <w:rsid w:val="00D02549"/>
    <w:rsid w:val="00D02D03"/>
    <w:rsid w:val="00D030A0"/>
    <w:rsid w:val="00D0374A"/>
    <w:rsid w:val="00D03EA9"/>
    <w:rsid w:val="00D048A7"/>
    <w:rsid w:val="00D05200"/>
    <w:rsid w:val="00D06072"/>
    <w:rsid w:val="00D06F27"/>
    <w:rsid w:val="00D075F9"/>
    <w:rsid w:val="00D07C89"/>
    <w:rsid w:val="00D10967"/>
    <w:rsid w:val="00D11740"/>
    <w:rsid w:val="00D11A35"/>
    <w:rsid w:val="00D12272"/>
    <w:rsid w:val="00D13831"/>
    <w:rsid w:val="00D13A54"/>
    <w:rsid w:val="00D14F05"/>
    <w:rsid w:val="00D15372"/>
    <w:rsid w:val="00D158E6"/>
    <w:rsid w:val="00D15C58"/>
    <w:rsid w:val="00D173D5"/>
    <w:rsid w:val="00D222C4"/>
    <w:rsid w:val="00D225B6"/>
    <w:rsid w:val="00D22670"/>
    <w:rsid w:val="00D2287B"/>
    <w:rsid w:val="00D23A18"/>
    <w:rsid w:val="00D23E71"/>
    <w:rsid w:val="00D246FB"/>
    <w:rsid w:val="00D24AEE"/>
    <w:rsid w:val="00D255F1"/>
    <w:rsid w:val="00D26EE4"/>
    <w:rsid w:val="00D271DC"/>
    <w:rsid w:val="00D3082A"/>
    <w:rsid w:val="00D30C21"/>
    <w:rsid w:val="00D30F37"/>
    <w:rsid w:val="00D311CC"/>
    <w:rsid w:val="00D31901"/>
    <w:rsid w:val="00D31A15"/>
    <w:rsid w:val="00D3247E"/>
    <w:rsid w:val="00D33252"/>
    <w:rsid w:val="00D3355B"/>
    <w:rsid w:val="00D34157"/>
    <w:rsid w:val="00D3550C"/>
    <w:rsid w:val="00D35F91"/>
    <w:rsid w:val="00D3663A"/>
    <w:rsid w:val="00D36D5F"/>
    <w:rsid w:val="00D36EF6"/>
    <w:rsid w:val="00D37441"/>
    <w:rsid w:val="00D37B5D"/>
    <w:rsid w:val="00D4012D"/>
    <w:rsid w:val="00D401F2"/>
    <w:rsid w:val="00D40DAB"/>
    <w:rsid w:val="00D4112E"/>
    <w:rsid w:val="00D411B7"/>
    <w:rsid w:val="00D42751"/>
    <w:rsid w:val="00D42959"/>
    <w:rsid w:val="00D42FA1"/>
    <w:rsid w:val="00D43778"/>
    <w:rsid w:val="00D43AB2"/>
    <w:rsid w:val="00D440FF"/>
    <w:rsid w:val="00D45B5C"/>
    <w:rsid w:val="00D45FFB"/>
    <w:rsid w:val="00D46144"/>
    <w:rsid w:val="00D46938"/>
    <w:rsid w:val="00D47834"/>
    <w:rsid w:val="00D50584"/>
    <w:rsid w:val="00D50A40"/>
    <w:rsid w:val="00D50D92"/>
    <w:rsid w:val="00D510A2"/>
    <w:rsid w:val="00D53120"/>
    <w:rsid w:val="00D55BEC"/>
    <w:rsid w:val="00D55E4A"/>
    <w:rsid w:val="00D55E52"/>
    <w:rsid w:val="00D55F05"/>
    <w:rsid w:val="00D56928"/>
    <w:rsid w:val="00D56C04"/>
    <w:rsid w:val="00D56DD5"/>
    <w:rsid w:val="00D577B8"/>
    <w:rsid w:val="00D57C5A"/>
    <w:rsid w:val="00D60041"/>
    <w:rsid w:val="00D6216C"/>
    <w:rsid w:val="00D62F11"/>
    <w:rsid w:val="00D6352C"/>
    <w:rsid w:val="00D636AC"/>
    <w:rsid w:val="00D638D4"/>
    <w:rsid w:val="00D639E5"/>
    <w:rsid w:val="00D63DC8"/>
    <w:rsid w:val="00D6453C"/>
    <w:rsid w:val="00D64A2F"/>
    <w:rsid w:val="00D6545C"/>
    <w:rsid w:val="00D65AC2"/>
    <w:rsid w:val="00D67468"/>
    <w:rsid w:val="00D67471"/>
    <w:rsid w:val="00D67E66"/>
    <w:rsid w:val="00D70644"/>
    <w:rsid w:val="00D708DD"/>
    <w:rsid w:val="00D70EDA"/>
    <w:rsid w:val="00D7192F"/>
    <w:rsid w:val="00D719E7"/>
    <w:rsid w:val="00D71B44"/>
    <w:rsid w:val="00D724B4"/>
    <w:rsid w:val="00D734C2"/>
    <w:rsid w:val="00D735E0"/>
    <w:rsid w:val="00D7446B"/>
    <w:rsid w:val="00D75943"/>
    <w:rsid w:val="00D802B9"/>
    <w:rsid w:val="00D80B76"/>
    <w:rsid w:val="00D80BE4"/>
    <w:rsid w:val="00D80EFB"/>
    <w:rsid w:val="00D81EB0"/>
    <w:rsid w:val="00D82BA5"/>
    <w:rsid w:val="00D83620"/>
    <w:rsid w:val="00D844A7"/>
    <w:rsid w:val="00D8480C"/>
    <w:rsid w:val="00D8483F"/>
    <w:rsid w:val="00D855D8"/>
    <w:rsid w:val="00D859E5"/>
    <w:rsid w:val="00D85B7C"/>
    <w:rsid w:val="00D862F2"/>
    <w:rsid w:val="00D87C52"/>
    <w:rsid w:val="00D9050C"/>
    <w:rsid w:val="00D929E7"/>
    <w:rsid w:val="00D92A9E"/>
    <w:rsid w:val="00D92EE5"/>
    <w:rsid w:val="00D94943"/>
    <w:rsid w:val="00D9525A"/>
    <w:rsid w:val="00D9550C"/>
    <w:rsid w:val="00D95D62"/>
    <w:rsid w:val="00D960AC"/>
    <w:rsid w:val="00D9620A"/>
    <w:rsid w:val="00D9786C"/>
    <w:rsid w:val="00DA0BA5"/>
    <w:rsid w:val="00DA0BF0"/>
    <w:rsid w:val="00DA1195"/>
    <w:rsid w:val="00DA1685"/>
    <w:rsid w:val="00DA231A"/>
    <w:rsid w:val="00DA2733"/>
    <w:rsid w:val="00DA2AD5"/>
    <w:rsid w:val="00DA2F99"/>
    <w:rsid w:val="00DA365C"/>
    <w:rsid w:val="00DA4501"/>
    <w:rsid w:val="00DA4B99"/>
    <w:rsid w:val="00DA6715"/>
    <w:rsid w:val="00DA6BDE"/>
    <w:rsid w:val="00DA6EB5"/>
    <w:rsid w:val="00DA7058"/>
    <w:rsid w:val="00DB1420"/>
    <w:rsid w:val="00DB4DDD"/>
    <w:rsid w:val="00DB63B3"/>
    <w:rsid w:val="00DB6F11"/>
    <w:rsid w:val="00DB7243"/>
    <w:rsid w:val="00DB757A"/>
    <w:rsid w:val="00DC1807"/>
    <w:rsid w:val="00DC23E8"/>
    <w:rsid w:val="00DC3E57"/>
    <w:rsid w:val="00DC525E"/>
    <w:rsid w:val="00DC5651"/>
    <w:rsid w:val="00DC6AC8"/>
    <w:rsid w:val="00DC6ED3"/>
    <w:rsid w:val="00DC75B1"/>
    <w:rsid w:val="00DC780B"/>
    <w:rsid w:val="00DC7AF7"/>
    <w:rsid w:val="00DD0B75"/>
    <w:rsid w:val="00DD3EF3"/>
    <w:rsid w:val="00DD3FAB"/>
    <w:rsid w:val="00DD44AA"/>
    <w:rsid w:val="00DD4832"/>
    <w:rsid w:val="00DD48EB"/>
    <w:rsid w:val="00DD4AB0"/>
    <w:rsid w:val="00DD50ED"/>
    <w:rsid w:val="00DD5546"/>
    <w:rsid w:val="00DE0B6F"/>
    <w:rsid w:val="00DE1388"/>
    <w:rsid w:val="00DE146E"/>
    <w:rsid w:val="00DE15C6"/>
    <w:rsid w:val="00DE183E"/>
    <w:rsid w:val="00DE2333"/>
    <w:rsid w:val="00DE271E"/>
    <w:rsid w:val="00DE2915"/>
    <w:rsid w:val="00DE373D"/>
    <w:rsid w:val="00DE4315"/>
    <w:rsid w:val="00DE5DAC"/>
    <w:rsid w:val="00DE5E87"/>
    <w:rsid w:val="00DE6238"/>
    <w:rsid w:val="00DE6391"/>
    <w:rsid w:val="00DE6B9A"/>
    <w:rsid w:val="00DE7578"/>
    <w:rsid w:val="00DE7A6F"/>
    <w:rsid w:val="00DE7FC6"/>
    <w:rsid w:val="00DF01B6"/>
    <w:rsid w:val="00DF038E"/>
    <w:rsid w:val="00DF05EB"/>
    <w:rsid w:val="00DF40FC"/>
    <w:rsid w:val="00DF41F1"/>
    <w:rsid w:val="00DF4647"/>
    <w:rsid w:val="00DF4861"/>
    <w:rsid w:val="00DF4FDB"/>
    <w:rsid w:val="00DF66EC"/>
    <w:rsid w:val="00DF6930"/>
    <w:rsid w:val="00DF725E"/>
    <w:rsid w:val="00DF77B3"/>
    <w:rsid w:val="00E00221"/>
    <w:rsid w:val="00E00B9E"/>
    <w:rsid w:val="00E011F3"/>
    <w:rsid w:val="00E01406"/>
    <w:rsid w:val="00E0170C"/>
    <w:rsid w:val="00E029A4"/>
    <w:rsid w:val="00E02CB3"/>
    <w:rsid w:val="00E02F11"/>
    <w:rsid w:val="00E031BA"/>
    <w:rsid w:val="00E038F2"/>
    <w:rsid w:val="00E039E3"/>
    <w:rsid w:val="00E03E42"/>
    <w:rsid w:val="00E051A1"/>
    <w:rsid w:val="00E10AD3"/>
    <w:rsid w:val="00E10ECF"/>
    <w:rsid w:val="00E114DE"/>
    <w:rsid w:val="00E12915"/>
    <w:rsid w:val="00E12BDE"/>
    <w:rsid w:val="00E137C1"/>
    <w:rsid w:val="00E14083"/>
    <w:rsid w:val="00E1455F"/>
    <w:rsid w:val="00E14806"/>
    <w:rsid w:val="00E15330"/>
    <w:rsid w:val="00E15781"/>
    <w:rsid w:val="00E1594B"/>
    <w:rsid w:val="00E17AFB"/>
    <w:rsid w:val="00E2004C"/>
    <w:rsid w:val="00E20550"/>
    <w:rsid w:val="00E2064D"/>
    <w:rsid w:val="00E20ADA"/>
    <w:rsid w:val="00E21551"/>
    <w:rsid w:val="00E220C3"/>
    <w:rsid w:val="00E2217D"/>
    <w:rsid w:val="00E223F3"/>
    <w:rsid w:val="00E235B2"/>
    <w:rsid w:val="00E238FB"/>
    <w:rsid w:val="00E23F43"/>
    <w:rsid w:val="00E248BE"/>
    <w:rsid w:val="00E24D8C"/>
    <w:rsid w:val="00E25197"/>
    <w:rsid w:val="00E251A4"/>
    <w:rsid w:val="00E25D56"/>
    <w:rsid w:val="00E276F8"/>
    <w:rsid w:val="00E277E2"/>
    <w:rsid w:val="00E3016E"/>
    <w:rsid w:val="00E30235"/>
    <w:rsid w:val="00E30B31"/>
    <w:rsid w:val="00E31FB8"/>
    <w:rsid w:val="00E32BCA"/>
    <w:rsid w:val="00E32CC8"/>
    <w:rsid w:val="00E32D9A"/>
    <w:rsid w:val="00E33052"/>
    <w:rsid w:val="00E33117"/>
    <w:rsid w:val="00E339A7"/>
    <w:rsid w:val="00E356EB"/>
    <w:rsid w:val="00E36527"/>
    <w:rsid w:val="00E36563"/>
    <w:rsid w:val="00E36D94"/>
    <w:rsid w:val="00E37036"/>
    <w:rsid w:val="00E37CB4"/>
    <w:rsid w:val="00E37FB3"/>
    <w:rsid w:val="00E406FB"/>
    <w:rsid w:val="00E42FC7"/>
    <w:rsid w:val="00E43243"/>
    <w:rsid w:val="00E43876"/>
    <w:rsid w:val="00E45490"/>
    <w:rsid w:val="00E45B6D"/>
    <w:rsid w:val="00E45FF9"/>
    <w:rsid w:val="00E47144"/>
    <w:rsid w:val="00E47BB2"/>
    <w:rsid w:val="00E51C98"/>
    <w:rsid w:val="00E51E8A"/>
    <w:rsid w:val="00E528CC"/>
    <w:rsid w:val="00E53891"/>
    <w:rsid w:val="00E541FE"/>
    <w:rsid w:val="00E5551D"/>
    <w:rsid w:val="00E57747"/>
    <w:rsid w:val="00E57782"/>
    <w:rsid w:val="00E60A51"/>
    <w:rsid w:val="00E615D7"/>
    <w:rsid w:val="00E61BA0"/>
    <w:rsid w:val="00E61E4E"/>
    <w:rsid w:val="00E62BC0"/>
    <w:rsid w:val="00E63D14"/>
    <w:rsid w:val="00E64E76"/>
    <w:rsid w:val="00E65EF4"/>
    <w:rsid w:val="00E70424"/>
    <w:rsid w:val="00E70A5A"/>
    <w:rsid w:val="00E73BD5"/>
    <w:rsid w:val="00E741BD"/>
    <w:rsid w:val="00E748D2"/>
    <w:rsid w:val="00E74F69"/>
    <w:rsid w:val="00E75429"/>
    <w:rsid w:val="00E75691"/>
    <w:rsid w:val="00E75989"/>
    <w:rsid w:val="00E7705C"/>
    <w:rsid w:val="00E770E9"/>
    <w:rsid w:val="00E77C40"/>
    <w:rsid w:val="00E807A2"/>
    <w:rsid w:val="00E8179F"/>
    <w:rsid w:val="00E82054"/>
    <w:rsid w:val="00E83D9D"/>
    <w:rsid w:val="00E8443D"/>
    <w:rsid w:val="00E84456"/>
    <w:rsid w:val="00E845A2"/>
    <w:rsid w:val="00E848D8"/>
    <w:rsid w:val="00E84C03"/>
    <w:rsid w:val="00E86E7C"/>
    <w:rsid w:val="00E90A78"/>
    <w:rsid w:val="00E90FAC"/>
    <w:rsid w:val="00E91988"/>
    <w:rsid w:val="00E91CC1"/>
    <w:rsid w:val="00E92109"/>
    <w:rsid w:val="00E931E8"/>
    <w:rsid w:val="00E93761"/>
    <w:rsid w:val="00E9390C"/>
    <w:rsid w:val="00E957B5"/>
    <w:rsid w:val="00E973DF"/>
    <w:rsid w:val="00EA1139"/>
    <w:rsid w:val="00EA1675"/>
    <w:rsid w:val="00EA19B8"/>
    <w:rsid w:val="00EA1AE3"/>
    <w:rsid w:val="00EA1FBB"/>
    <w:rsid w:val="00EA4A7D"/>
    <w:rsid w:val="00EA63D0"/>
    <w:rsid w:val="00EA6A66"/>
    <w:rsid w:val="00EA6D9C"/>
    <w:rsid w:val="00EA7523"/>
    <w:rsid w:val="00EB0015"/>
    <w:rsid w:val="00EB0067"/>
    <w:rsid w:val="00EB08D1"/>
    <w:rsid w:val="00EB17CD"/>
    <w:rsid w:val="00EB213E"/>
    <w:rsid w:val="00EB22D8"/>
    <w:rsid w:val="00EB2749"/>
    <w:rsid w:val="00EB2939"/>
    <w:rsid w:val="00EB3475"/>
    <w:rsid w:val="00EB34DC"/>
    <w:rsid w:val="00EB3C48"/>
    <w:rsid w:val="00EB4274"/>
    <w:rsid w:val="00EB4B27"/>
    <w:rsid w:val="00EB4B2A"/>
    <w:rsid w:val="00EB5682"/>
    <w:rsid w:val="00EB624E"/>
    <w:rsid w:val="00EB68C0"/>
    <w:rsid w:val="00EB7DE9"/>
    <w:rsid w:val="00EC030C"/>
    <w:rsid w:val="00EC09CB"/>
    <w:rsid w:val="00EC0C9F"/>
    <w:rsid w:val="00EC1586"/>
    <w:rsid w:val="00EC19F0"/>
    <w:rsid w:val="00EC29E4"/>
    <w:rsid w:val="00EC3769"/>
    <w:rsid w:val="00EC4A13"/>
    <w:rsid w:val="00EC4FDC"/>
    <w:rsid w:val="00EC53BD"/>
    <w:rsid w:val="00EC77C6"/>
    <w:rsid w:val="00EC7975"/>
    <w:rsid w:val="00ED0907"/>
    <w:rsid w:val="00ED0F8A"/>
    <w:rsid w:val="00ED159A"/>
    <w:rsid w:val="00ED45DC"/>
    <w:rsid w:val="00ED5991"/>
    <w:rsid w:val="00ED601D"/>
    <w:rsid w:val="00ED6B2F"/>
    <w:rsid w:val="00ED6B4C"/>
    <w:rsid w:val="00ED7596"/>
    <w:rsid w:val="00ED7718"/>
    <w:rsid w:val="00ED7C85"/>
    <w:rsid w:val="00EE162E"/>
    <w:rsid w:val="00EE3727"/>
    <w:rsid w:val="00EE3A93"/>
    <w:rsid w:val="00EE3BC7"/>
    <w:rsid w:val="00EE485E"/>
    <w:rsid w:val="00EE4F8F"/>
    <w:rsid w:val="00EE50E2"/>
    <w:rsid w:val="00EE5469"/>
    <w:rsid w:val="00EE5F62"/>
    <w:rsid w:val="00EE74C6"/>
    <w:rsid w:val="00EF0A13"/>
    <w:rsid w:val="00EF0F93"/>
    <w:rsid w:val="00EF0FE0"/>
    <w:rsid w:val="00EF185A"/>
    <w:rsid w:val="00EF1D5C"/>
    <w:rsid w:val="00EF1E83"/>
    <w:rsid w:val="00EF21E4"/>
    <w:rsid w:val="00EF23A5"/>
    <w:rsid w:val="00EF389B"/>
    <w:rsid w:val="00EF3AB9"/>
    <w:rsid w:val="00EF53BA"/>
    <w:rsid w:val="00EF56EF"/>
    <w:rsid w:val="00EF6710"/>
    <w:rsid w:val="00EF75AD"/>
    <w:rsid w:val="00EF7C0D"/>
    <w:rsid w:val="00F009B4"/>
    <w:rsid w:val="00F01314"/>
    <w:rsid w:val="00F018CD"/>
    <w:rsid w:val="00F028BA"/>
    <w:rsid w:val="00F035AB"/>
    <w:rsid w:val="00F0362D"/>
    <w:rsid w:val="00F06626"/>
    <w:rsid w:val="00F07365"/>
    <w:rsid w:val="00F07552"/>
    <w:rsid w:val="00F07CC7"/>
    <w:rsid w:val="00F07FC9"/>
    <w:rsid w:val="00F1006E"/>
    <w:rsid w:val="00F10C1B"/>
    <w:rsid w:val="00F1135D"/>
    <w:rsid w:val="00F12790"/>
    <w:rsid w:val="00F12B36"/>
    <w:rsid w:val="00F12D30"/>
    <w:rsid w:val="00F12DE0"/>
    <w:rsid w:val="00F144C4"/>
    <w:rsid w:val="00F15DA7"/>
    <w:rsid w:val="00F16B78"/>
    <w:rsid w:val="00F16CF2"/>
    <w:rsid w:val="00F1708C"/>
    <w:rsid w:val="00F203D7"/>
    <w:rsid w:val="00F2122B"/>
    <w:rsid w:val="00F21B7A"/>
    <w:rsid w:val="00F227B2"/>
    <w:rsid w:val="00F229A3"/>
    <w:rsid w:val="00F22E42"/>
    <w:rsid w:val="00F236F4"/>
    <w:rsid w:val="00F2470A"/>
    <w:rsid w:val="00F24B67"/>
    <w:rsid w:val="00F25299"/>
    <w:rsid w:val="00F259EA"/>
    <w:rsid w:val="00F259F4"/>
    <w:rsid w:val="00F26A53"/>
    <w:rsid w:val="00F274E0"/>
    <w:rsid w:val="00F275BB"/>
    <w:rsid w:val="00F31A78"/>
    <w:rsid w:val="00F322D0"/>
    <w:rsid w:val="00F3466E"/>
    <w:rsid w:val="00F3505D"/>
    <w:rsid w:val="00F3594F"/>
    <w:rsid w:val="00F3693D"/>
    <w:rsid w:val="00F4265A"/>
    <w:rsid w:val="00F4268B"/>
    <w:rsid w:val="00F42923"/>
    <w:rsid w:val="00F42BFE"/>
    <w:rsid w:val="00F430EA"/>
    <w:rsid w:val="00F43DDC"/>
    <w:rsid w:val="00F442BD"/>
    <w:rsid w:val="00F4493B"/>
    <w:rsid w:val="00F454F0"/>
    <w:rsid w:val="00F45D08"/>
    <w:rsid w:val="00F4667C"/>
    <w:rsid w:val="00F46705"/>
    <w:rsid w:val="00F46B4C"/>
    <w:rsid w:val="00F46DD2"/>
    <w:rsid w:val="00F4775F"/>
    <w:rsid w:val="00F47C02"/>
    <w:rsid w:val="00F502E1"/>
    <w:rsid w:val="00F51105"/>
    <w:rsid w:val="00F511B2"/>
    <w:rsid w:val="00F52365"/>
    <w:rsid w:val="00F538CE"/>
    <w:rsid w:val="00F53BBA"/>
    <w:rsid w:val="00F53C82"/>
    <w:rsid w:val="00F54307"/>
    <w:rsid w:val="00F561F3"/>
    <w:rsid w:val="00F56984"/>
    <w:rsid w:val="00F57407"/>
    <w:rsid w:val="00F6063B"/>
    <w:rsid w:val="00F607DB"/>
    <w:rsid w:val="00F60913"/>
    <w:rsid w:val="00F60C3B"/>
    <w:rsid w:val="00F60E3B"/>
    <w:rsid w:val="00F60E66"/>
    <w:rsid w:val="00F61700"/>
    <w:rsid w:val="00F62022"/>
    <w:rsid w:val="00F622B2"/>
    <w:rsid w:val="00F62F0F"/>
    <w:rsid w:val="00F634BF"/>
    <w:rsid w:val="00F65197"/>
    <w:rsid w:val="00F6588E"/>
    <w:rsid w:val="00F65F2B"/>
    <w:rsid w:val="00F66123"/>
    <w:rsid w:val="00F7202C"/>
    <w:rsid w:val="00F7264C"/>
    <w:rsid w:val="00F72C77"/>
    <w:rsid w:val="00F72EC5"/>
    <w:rsid w:val="00F730CC"/>
    <w:rsid w:val="00F734BD"/>
    <w:rsid w:val="00F7550E"/>
    <w:rsid w:val="00F76036"/>
    <w:rsid w:val="00F7665E"/>
    <w:rsid w:val="00F76D74"/>
    <w:rsid w:val="00F77246"/>
    <w:rsid w:val="00F80D39"/>
    <w:rsid w:val="00F8135E"/>
    <w:rsid w:val="00F819E1"/>
    <w:rsid w:val="00F83E05"/>
    <w:rsid w:val="00F84A89"/>
    <w:rsid w:val="00F855AD"/>
    <w:rsid w:val="00F863E7"/>
    <w:rsid w:val="00F87224"/>
    <w:rsid w:val="00F87536"/>
    <w:rsid w:val="00F92710"/>
    <w:rsid w:val="00F93431"/>
    <w:rsid w:val="00F93CD4"/>
    <w:rsid w:val="00F93F2B"/>
    <w:rsid w:val="00F943BE"/>
    <w:rsid w:val="00F957BC"/>
    <w:rsid w:val="00F969F4"/>
    <w:rsid w:val="00F976D1"/>
    <w:rsid w:val="00F97927"/>
    <w:rsid w:val="00F9799F"/>
    <w:rsid w:val="00F97DA7"/>
    <w:rsid w:val="00F97F15"/>
    <w:rsid w:val="00FA1039"/>
    <w:rsid w:val="00FA124C"/>
    <w:rsid w:val="00FA4C47"/>
    <w:rsid w:val="00FA55B6"/>
    <w:rsid w:val="00FA5B6B"/>
    <w:rsid w:val="00FA66F2"/>
    <w:rsid w:val="00FA6DE4"/>
    <w:rsid w:val="00FB027D"/>
    <w:rsid w:val="00FB210F"/>
    <w:rsid w:val="00FB2CF6"/>
    <w:rsid w:val="00FB3E43"/>
    <w:rsid w:val="00FB41DD"/>
    <w:rsid w:val="00FC00CC"/>
    <w:rsid w:val="00FC01A4"/>
    <w:rsid w:val="00FC03DD"/>
    <w:rsid w:val="00FC0AE3"/>
    <w:rsid w:val="00FC17AA"/>
    <w:rsid w:val="00FC18F6"/>
    <w:rsid w:val="00FC23F1"/>
    <w:rsid w:val="00FC38E3"/>
    <w:rsid w:val="00FC417D"/>
    <w:rsid w:val="00FC61CD"/>
    <w:rsid w:val="00FC643F"/>
    <w:rsid w:val="00FC6713"/>
    <w:rsid w:val="00FC69D7"/>
    <w:rsid w:val="00FC77FA"/>
    <w:rsid w:val="00FD059C"/>
    <w:rsid w:val="00FD07DE"/>
    <w:rsid w:val="00FD0B14"/>
    <w:rsid w:val="00FD1488"/>
    <w:rsid w:val="00FD1908"/>
    <w:rsid w:val="00FD1F5D"/>
    <w:rsid w:val="00FD2503"/>
    <w:rsid w:val="00FD266E"/>
    <w:rsid w:val="00FD2992"/>
    <w:rsid w:val="00FD2D0F"/>
    <w:rsid w:val="00FD44B9"/>
    <w:rsid w:val="00FD521F"/>
    <w:rsid w:val="00FD5A65"/>
    <w:rsid w:val="00FD5AFC"/>
    <w:rsid w:val="00FD5C9C"/>
    <w:rsid w:val="00FD6672"/>
    <w:rsid w:val="00FD66F6"/>
    <w:rsid w:val="00FD6AF7"/>
    <w:rsid w:val="00FD6EFB"/>
    <w:rsid w:val="00FD70C1"/>
    <w:rsid w:val="00FE0A57"/>
    <w:rsid w:val="00FE1F91"/>
    <w:rsid w:val="00FE29F8"/>
    <w:rsid w:val="00FE4137"/>
    <w:rsid w:val="00FE7368"/>
    <w:rsid w:val="00FE773E"/>
    <w:rsid w:val="00FF07DE"/>
    <w:rsid w:val="00FF0AB9"/>
    <w:rsid w:val="00FF1714"/>
    <w:rsid w:val="00FF192D"/>
    <w:rsid w:val="00FF1F55"/>
    <w:rsid w:val="00FF288E"/>
    <w:rsid w:val="00FF2D8C"/>
    <w:rsid w:val="00FF3B04"/>
    <w:rsid w:val="00FF441A"/>
    <w:rsid w:val="00FF4BE7"/>
    <w:rsid w:val="00FF4F71"/>
    <w:rsid w:val="00FF5A5C"/>
    <w:rsid w:val="00FF5B4C"/>
    <w:rsid w:val="00FF728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1B9938D1"/>
  <w15:docId w15:val="{52B177FE-3C65-4E80-8F42-55CC8CDC7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243C4B"/>
    <w:pPr>
      <w:spacing w:after="120" w:line="480" w:lineRule="auto"/>
      <w:ind w:firstLine="357"/>
      <w:jc w:val="both"/>
    </w:pPr>
    <w:rPr>
      <w:sz w:val="24"/>
      <w:szCs w:val="24"/>
      <w:lang w:val="en-GB"/>
    </w:rPr>
  </w:style>
  <w:style w:type="paragraph" w:styleId="Titolo1">
    <w:name w:val="heading 1"/>
    <w:basedOn w:val="Normale"/>
    <w:next w:val="Normale"/>
    <w:link w:val="Titolo1Carattere"/>
    <w:qFormat/>
    <w:rsid w:val="00546443"/>
    <w:pPr>
      <w:keepNext/>
      <w:widowControl w:val="0"/>
      <w:numPr>
        <w:numId w:val="26"/>
      </w:numPr>
      <w:spacing w:before="240"/>
      <w:outlineLvl w:val="0"/>
    </w:pPr>
    <w:rPr>
      <w:b/>
      <w:smallCaps/>
      <w:sz w:val="26"/>
      <w:szCs w:val="28"/>
    </w:rPr>
  </w:style>
  <w:style w:type="paragraph" w:styleId="Titolo2">
    <w:name w:val="heading 2"/>
    <w:basedOn w:val="Normale"/>
    <w:next w:val="Normale"/>
    <w:link w:val="Titolo2Carattere"/>
    <w:qFormat/>
    <w:rsid w:val="0085241C"/>
    <w:pPr>
      <w:keepNext/>
      <w:numPr>
        <w:ilvl w:val="1"/>
        <w:numId w:val="26"/>
      </w:numPr>
      <w:spacing w:before="120"/>
      <w:outlineLvl w:val="1"/>
    </w:pPr>
    <w:rPr>
      <w:b/>
    </w:rPr>
  </w:style>
  <w:style w:type="paragraph" w:styleId="Titolo3">
    <w:name w:val="heading 3"/>
    <w:basedOn w:val="Normale"/>
    <w:next w:val="Normale"/>
    <w:qFormat/>
    <w:rsid w:val="007D07C8"/>
    <w:pPr>
      <w:keepNext/>
      <w:numPr>
        <w:ilvl w:val="2"/>
        <w:numId w:val="26"/>
      </w:numPr>
      <w:jc w:val="center"/>
      <w:outlineLvl w:val="2"/>
    </w:pPr>
    <w:rPr>
      <w:rFonts w:ascii="Arial" w:hAnsi="Arial"/>
      <w:sz w:val="28"/>
    </w:rPr>
  </w:style>
  <w:style w:type="paragraph" w:styleId="Titolo4">
    <w:name w:val="heading 4"/>
    <w:basedOn w:val="Normale"/>
    <w:next w:val="Normale"/>
    <w:qFormat/>
    <w:rsid w:val="007D07C8"/>
    <w:pPr>
      <w:keepNext/>
      <w:numPr>
        <w:ilvl w:val="3"/>
        <w:numId w:val="26"/>
      </w:numPr>
      <w:outlineLvl w:val="3"/>
    </w:pPr>
    <w:rPr>
      <w:rFonts w:ascii="Arial" w:hAnsi="Arial"/>
      <w:color w:val="000080"/>
      <w:sz w:val="28"/>
      <w:u w:val="single"/>
    </w:rPr>
  </w:style>
  <w:style w:type="paragraph" w:styleId="Titolo5">
    <w:name w:val="heading 5"/>
    <w:basedOn w:val="Normale"/>
    <w:next w:val="Normale"/>
    <w:qFormat/>
    <w:rsid w:val="007D07C8"/>
    <w:pPr>
      <w:keepNext/>
      <w:numPr>
        <w:ilvl w:val="4"/>
        <w:numId w:val="26"/>
      </w:numPr>
      <w:outlineLvl w:val="4"/>
    </w:pPr>
    <w:rPr>
      <w:rFonts w:ascii="Arial" w:hAnsi="Arial"/>
      <w:i/>
      <w:sz w:val="22"/>
    </w:rPr>
  </w:style>
  <w:style w:type="paragraph" w:styleId="Titolo6">
    <w:name w:val="heading 6"/>
    <w:basedOn w:val="Normale"/>
    <w:next w:val="Normale"/>
    <w:qFormat/>
    <w:rsid w:val="007D07C8"/>
    <w:pPr>
      <w:keepNext/>
      <w:numPr>
        <w:ilvl w:val="5"/>
        <w:numId w:val="26"/>
      </w:numPr>
      <w:outlineLvl w:val="5"/>
    </w:pPr>
    <w:rPr>
      <w:rFonts w:ascii="Arial" w:hAnsi="Arial"/>
      <w:i/>
      <w:sz w:val="22"/>
      <w:u w:val="single"/>
    </w:rPr>
  </w:style>
  <w:style w:type="paragraph" w:styleId="Titolo7">
    <w:name w:val="heading 7"/>
    <w:basedOn w:val="Normale"/>
    <w:next w:val="Normale"/>
    <w:qFormat/>
    <w:rsid w:val="007D07C8"/>
    <w:pPr>
      <w:keepNext/>
      <w:numPr>
        <w:ilvl w:val="6"/>
        <w:numId w:val="26"/>
      </w:numPr>
      <w:outlineLvl w:val="6"/>
    </w:pPr>
    <w:rPr>
      <w:rFonts w:ascii="Arial" w:hAnsi="Arial"/>
      <w:i/>
    </w:rPr>
  </w:style>
  <w:style w:type="paragraph" w:styleId="Titolo8">
    <w:name w:val="heading 8"/>
    <w:basedOn w:val="Normale"/>
    <w:next w:val="Normale"/>
    <w:link w:val="Titolo8Carattere"/>
    <w:semiHidden/>
    <w:unhideWhenUsed/>
    <w:qFormat/>
    <w:rsid w:val="0085241C"/>
    <w:pPr>
      <w:keepNext/>
      <w:keepLines/>
      <w:numPr>
        <w:ilvl w:val="7"/>
        <w:numId w:val="26"/>
      </w:numPr>
      <w:spacing w:before="40"/>
      <w:outlineLvl w:val="7"/>
    </w:pPr>
    <w:rPr>
      <w:rFonts w:ascii="Cambria" w:hAnsi="Cambria"/>
      <w:color w:val="272727"/>
      <w:sz w:val="21"/>
      <w:szCs w:val="21"/>
    </w:rPr>
  </w:style>
  <w:style w:type="paragraph" w:styleId="Titolo9">
    <w:name w:val="heading 9"/>
    <w:basedOn w:val="Normale"/>
    <w:next w:val="Normale"/>
    <w:link w:val="Titolo9Carattere"/>
    <w:semiHidden/>
    <w:unhideWhenUsed/>
    <w:qFormat/>
    <w:rsid w:val="0085241C"/>
    <w:pPr>
      <w:keepNext/>
      <w:keepLines/>
      <w:numPr>
        <w:ilvl w:val="8"/>
        <w:numId w:val="26"/>
      </w:numPr>
      <w:spacing w:before="40"/>
      <w:outlineLvl w:val="8"/>
    </w:pPr>
    <w:rPr>
      <w:rFonts w:ascii="Cambria" w:hAnsi="Cambria"/>
      <w:i/>
      <w:iCs/>
      <w:color w:val="272727"/>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qFormat/>
    <w:rsid w:val="007D07C8"/>
    <w:pPr>
      <w:jc w:val="center"/>
    </w:pPr>
    <w:rPr>
      <w:rFonts w:ascii="Arial" w:hAnsi="Arial"/>
      <w:b/>
      <w:sz w:val="28"/>
    </w:rPr>
  </w:style>
  <w:style w:type="paragraph" w:styleId="Corpotesto">
    <w:name w:val="Body Text"/>
    <w:basedOn w:val="Normale"/>
    <w:link w:val="CorpotestoCarattere"/>
    <w:rsid w:val="007D07C8"/>
    <w:rPr>
      <w:rFonts w:ascii="Arial" w:hAnsi="Arial"/>
      <w:sz w:val="22"/>
    </w:rPr>
  </w:style>
  <w:style w:type="paragraph" w:styleId="Mappadocumento">
    <w:name w:val="Document Map"/>
    <w:basedOn w:val="Normale"/>
    <w:semiHidden/>
    <w:rsid w:val="007D07C8"/>
    <w:pPr>
      <w:shd w:val="clear" w:color="auto" w:fill="000080"/>
    </w:pPr>
    <w:rPr>
      <w:rFonts w:ascii="Tahoma" w:hAnsi="Tahoma"/>
    </w:rPr>
  </w:style>
  <w:style w:type="paragraph" w:styleId="Testonormale">
    <w:name w:val="Plain Text"/>
    <w:basedOn w:val="Normale"/>
    <w:rsid w:val="007D07C8"/>
    <w:rPr>
      <w:rFonts w:ascii="Courier New" w:hAnsi="Courier New"/>
    </w:rPr>
  </w:style>
  <w:style w:type="paragraph" w:styleId="Corpodeltesto3">
    <w:name w:val="Body Text 3"/>
    <w:basedOn w:val="Normale"/>
    <w:rsid w:val="007D07C8"/>
  </w:style>
  <w:style w:type="paragraph" w:styleId="Pidipagina">
    <w:name w:val="footer"/>
    <w:basedOn w:val="Normale"/>
    <w:link w:val="PidipaginaCarattere"/>
    <w:uiPriority w:val="99"/>
    <w:rsid w:val="007E1EC9"/>
    <w:pPr>
      <w:tabs>
        <w:tab w:val="center" w:pos="4819"/>
        <w:tab w:val="right" w:pos="9638"/>
      </w:tabs>
    </w:pPr>
  </w:style>
  <w:style w:type="character" w:styleId="Numeropagina">
    <w:name w:val="page number"/>
    <w:basedOn w:val="Carpredefinitoparagrafo"/>
    <w:rsid w:val="007E1EC9"/>
  </w:style>
  <w:style w:type="paragraph" w:styleId="Intestazione">
    <w:name w:val="header"/>
    <w:basedOn w:val="Normale"/>
    <w:link w:val="IntestazioneCarattere"/>
    <w:rsid w:val="007E1EC9"/>
    <w:pPr>
      <w:tabs>
        <w:tab w:val="center" w:pos="4819"/>
        <w:tab w:val="right" w:pos="9638"/>
      </w:tabs>
    </w:pPr>
  </w:style>
  <w:style w:type="paragraph" w:customStyle="1" w:styleId="MFIPPaperTitle">
    <w:name w:val="MFIP Paper Title"/>
    <w:basedOn w:val="Titolo"/>
    <w:next w:val="MFIPAuthors"/>
    <w:rsid w:val="00255592"/>
    <w:pPr>
      <w:framePr w:w="7842" w:hSpace="181" w:wrap="around" w:vAnchor="text" w:hAnchor="text" w:x="421" w:y="182"/>
      <w:spacing w:after="360"/>
    </w:pPr>
    <w:rPr>
      <w:rFonts w:ascii="Times New Roman" w:hAnsi="Times New Roman"/>
      <w:smallCaps/>
      <w:sz w:val="36"/>
      <w:szCs w:val="28"/>
    </w:rPr>
  </w:style>
  <w:style w:type="paragraph" w:customStyle="1" w:styleId="MFIPAuthors">
    <w:name w:val="MFIP Authors"/>
    <w:basedOn w:val="Testonormale"/>
    <w:next w:val="MFIPAffiliations"/>
    <w:rsid w:val="00255592"/>
    <w:pPr>
      <w:framePr w:w="8340" w:h="1260" w:hRule="exact" w:hSpace="180" w:wrap="around" w:vAnchor="text" w:hAnchor="text" w:x="342" w:y="1374"/>
      <w:jc w:val="center"/>
    </w:pPr>
    <w:rPr>
      <w:rFonts w:ascii="Times New Roman" w:hAnsi="Times New Roman"/>
    </w:rPr>
  </w:style>
  <w:style w:type="paragraph" w:customStyle="1" w:styleId="MFIPAffiliations">
    <w:name w:val="MFIP Affiliations"/>
    <w:basedOn w:val="Normale"/>
    <w:rsid w:val="00255592"/>
    <w:pPr>
      <w:framePr w:w="8340" w:h="1260" w:hRule="exact" w:hSpace="180" w:wrap="around" w:vAnchor="text" w:hAnchor="text" w:x="342" w:y="1374"/>
      <w:spacing w:after="60"/>
      <w:ind w:left="567"/>
    </w:pPr>
    <w:rPr>
      <w:i/>
    </w:rPr>
  </w:style>
  <w:style w:type="paragraph" w:customStyle="1" w:styleId="MFIPAbstractTitle">
    <w:name w:val="MFIP Abstract Title"/>
    <w:basedOn w:val="Titolo1"/>
    <w:next w:val="MFIPAbstractBody"/>
    <w:link w:val="MFIPAbstractTitleCarattere"/>
    <w:rsid w:val="0075503E"/>
    <w:pPr>
      <w:numPr>
        <w:numId w:val="0"/>
      </w:numPr>
      <w:spacing w:after="240"/>
      <w:ind w:left="567"/>
    </w:pPr>
    <w:rPr>
      <w:smallCaps w:val="0"/>
    </w:rPr>
  </w:style>
  <w:style w:type="paragraph" w:customStyle="1" w:styleId="MFIPAbstractBody">
    <w:name w:val="MFIP Abstract Body"/>
    <w:basedOn w:val="Corpotesto"/>
    <w:link w:val="MFIPAbstractBodyCarattere"/>
    <w:rsid w:val="0075503E"/>
    <w:pPr>
      <w:spacing w:after="60"/>
      <w:ind w:left="567" w:right="567"/>
    </w:pPr>
    <w:rPr>
      <w:rFonts w:ascii="Times New Roman" w:hAnsi="Times New Roman"/>
    </w:rPr>
  </w:style>
  <w:style w:type="character" w:styleId="Numeroriga">
    <w:name w:val="line number"/>
    <w:basedOn w:val="Carpredefinitoparagrafo"/>
    <w:rsid w:val="001F7DFC"/>
  </w:style>
  <w:style w:type="paragraph" w:customStyle="1" w:styleId="MFIPParagraphTitle">
    <w:name w:val="MFIP Paragraph Title"/>
    <w:basedOn w:val="MFIPAbstractTitle"/>
    <w:next w:val="MFIPBodyofText"/>
    <w:link w:val="MFIPParagraphTitleCarattere"/>
    <w:rsid w:val="00631DA3"/>
    <w:pPr>
      <w:spacing w:before="360" w:after="180"/>
      <w:ind w:left="0"/>
    </w:pPr>
  </w:style>
  <w:style w:type="paragraph" w:customStyle="1" w:styleId="MFIPBodyofText">
    <w:name w:val="MFIP Body of Text"/>
    <w:basedOn w:val="MFIPAbstractBody"/>
    <w:link w:val="MFIPBodyofTextCarattere"/>
    <w:rsid w:val="0075503E"/>
    <w:pPr>
      <w:spacing w:after="180"/>
      <w:ind w:left="0" w:right="0"/>
    </w:pPr>
    <w:rPr>
      <w:sz w:val="24"/>
    </w:rPr>
  </w:style>
  <w:style w:type="paragraph" w:customStyle="1" w:styleId="MFIPEquationLine">
    <w:name w:val="MFIP Equation Line"/>
    <w:basedOn w:val="MFIPBodyofText"/>
    <w:next w:val="MFIPBodyofText"/>
    <w:rsid w:val="00897D2D"/>
    <w:pPr>
      <w:tabs>
        <w:tab w:val="center" w:pos="4536"/>
        <w:tab w:val="right" w:pos="9072"/>
      </w:tabs>
    </w:pPr>
  </w:style>
  <w:style w:type="character" w:styleId="Collegamentoipertestuale">
    <w:name w:val="Hyperlink"/>
    <w:rsid w:val="00E92109"/>
    <w:rPr>
      <w:color w:val="0000FF"/>
      <w:u w:val="single"/>
    </w:rPr>
  </w:style>
  <w:style w:type="character" w:customStyle="1" w:styleId="CorpotestoCarattere">
    <w:name w:val="Corpo testo Carattere"/>
    <w:link w:val="Corpotesto"/>
    <w:rsid w:val="00255592"/>
    <w:rPr>
      <w:rFonts w:ascii="Arial" w:hAnsi="Arial"/>
      <w:sz w:val="22"/>
      <w:lang w:val="it-IT" w:eastAsia="it-IT" w:bidi="ar-SA"/>
    </w:rPr>
  </w:style>
  <w:style w:type="character" w:customStyle="1" w:styleId="MFIPAbstractBodyCarattere">
    <w:name w:val="MFIP Abstract Body Carattere"/>
    <w:link w:val="MFIPAbstractBody"/>
    <w:rsid w:val="0075503E"/>
    <w:rPr>
      <w:rFonts w:ascii="Arial" w:hAnsi="Arial"/>
      <w:sz w:val="22"/>
      <w:szCs w:val="24"/>
      <w:lang w:val="en-GB" w:eastAsia="it-IT" w:bidi="ar-SA"/>
    </w:rPr>
  </w:style>
  <w:style w:type="character" w:customStyle="1" w:styleId="MFIPBodyofTextCarattere">
    <w:name w:val="MFIP Body of Text Carattere"/>
    <w:link w:val="MFIPBodyofText"/>
    <w:rsid w:val="0075503E"/>
    <w:rPr>
      <w:rFonts w:ascii="Arial" w:hAnsi="Arial"/>
      <w:sz w:val="24"/>
      <w:szCs w:val="24"/>
      <w:lang w:val="en-GB" w:eastAsia="it-IT" w:bidi="ar-SA"/>
    </w:rPr>
  </w:style>
  <w:style w:type="paragraph" w:styleId="Testonotaapidipagina">
    <w:name w:val="footnote text"/>
    <w:basedOn w:val="Normale"/>
    <w:link w:val="TestonotaapidipaginaCarattere"/>
    <w:uiPriority w:val="99"/>
    <w:rsid w:val="004503BF"/>
  </w:style>
  <w:style w:type="paragraph" w:customStyle="1" w:styleId="MFIPSubsectionTitle">
    <w:name w:val="MFIP Subsection Title"/>
    <w:basedOn w:val="Titolo2"/>
    <w:next w:val="MFIPBodyofText"/>
    <w:rsid w:val="00631DA3"/>
    <w:pPr>
      <w:numPr>
        <w:ilvl w:val="0"/>
        <w:numId w:val="0"/>
      </w:numPr>
      <w:spacing w:before="240" w:after="180"/>
    </w:pPr>
    <w:rPr>
      <w:b w:val="0"/>
      <w:i/>
      <w:sz w:val="28"/>
    </w:rPr>
  </w:style>
  <w:style w:type="paragraph" w:customStyle="1" w:styleId="MFIPCaption">
    <w:name w:val="MFIP Caption"/>
    <w:basedOn w:val="MFIPBodyofText"/>
    <w:rsid w:val="00432D7F"/>
    <w:pPr>
      <w:tabs>
        <w:tab w:val="left" w:pos="936"/>
      </w:tabs>
      <w:spacing w:after="0"/>
      <w:ind w:left="936" w:hanging="936"/>
    </w:pPr>
    <w:rPr>
      <w:sz w:val="22"/>
      <w:szCs w:val="22"/>
    </w:rPr>
  </w:style>
  <w:style w:type="paragraph" w:customStyle="1" w:styleId="MFIPSubsubsectionTitle">
    <w:name w:val="MFIP Subsubsection Title"/>
    <w:basedOn w:val="Titolo3"/>
    <w:next w:val="MFIPBodyofText"/>
    <w:rsid w:val="00A1532B"/>
    <w:pPr>
      <w:numPr>
        <w:ilvl w:val="0"/>
        <w:numId w:val="0"/>
      </w:numPr>
      <w:spacing w:before="240" w:after="180"/>
      <w:jc w:val="left"/>
    </w:pPr>
    <w:rPr>
      <w:rFonts w:ascii="Times New Roman" w:hAnsi="Times New Roman"/>
      <w:b/>
      <w:sz w:val="24"/>
    </w:rPr>
  </w:style>
  <w:style w:type="table" w:styleId="Grigliatabella">
    <w:name w:val="Table Grid"/>
    <w:basedOn w:val="Tabellanormale"/>
    <w:uiPriority w:val="39"/>
    <w:rsid w:val="00181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FIPTable">
    <w:name w:val="MFIP Table"/>
    <w:basedOn w:val="MFIPBodyofText"/>
    <w:rsid w:val="00181288"/>
    <w:pPr>
      <w:spacing w:after="0"/>
    </w:pPr>
    <w:rPr>
      <w:sz w:val="20"/>
    </w:rPr>
  </w:style>
  <w:style w:type="character" w:customStyle="1" w:styleId="TestonotaapidipaginaCarattere">
    <w:name w:val="Testo nota a piè di pagina Carattere"/>
    <w:basedOn w:val="Carpredefinitoparagrafo"/>
    <w:link w:val="Testonotaapidipagina"/>
    <w:uiPriority w:val="99"/>
    <w:rsid w:val="004503BF"/>
  </w:style>
  <w:style w:type="character" w:styleId="Rimandonotaapidipagina">
    <w:name w:val="footnote reference"/>
    <w:uiPriority w:val="99"/>
    <w:rsid w:val="004503BF"/>
    <w:rPr>
      <w:vertAlign w:val="superscript"/>
    </w:rPr>
  </w:style>
  <w:style w:type="paragraph" w:styleId="Testofumetto">
    <w:name w:val="Balloon Text"/>
    <w:basedOn w:val="Normale"/>
    <w:link w:val="TestofumettoCarattere"/>
    <w:rsid w:val="00351222"/>
    <w:rPr>
      <w:rFonts w:ascii="Tahoma" w:hAnsi="Tahoma" w:cs="Tahoma"/>
      <w:sz w:val="16"/>
      <w:szCs w:val="16"/>
    </w:rPr>
  </w:style>
  <w:style w:type="character" w:customStyle="1" w:styleId="TestofumettoCarattere">
    <w:name w:val="Testo fumetto Carattere"/>
    <w:link w:val="Testofumetto"/>
    <w:rsid w:val="00351222"/>
    <w:rPr>
      <w:rFonts w:ascii="Tahoma" w:hAnsi="Tahoma" w:cs="Tahoma"/>
      <w:sz w:val="16"/>
      <w:szCs w:val="16"/>
    </w:rPr>
  </w:style>
  <w:style w:type="character" w:styleId="Testosegnaposto">
    <w:name w:val="Placeholder Text"/>
    <w:uiPriority w:val="99"/>
    <w:semiHidden/>
    <w:rsid w:val="00351222"/>
    <w:rPr>
      <w:color w:val="808080"/>
    </w:rPr>
  </w:style>
  <w:style w:type="character" w:styleId="Rimandocommento">
    <w:name w:val="annotation reference"/>
    <w:uiPriority w:val="99"/>
    <w:rsid w:val="00A000BF"/>
    <w:rPr>
      <w:sz w:val="16"/>
      <w:szCs w:val="16"/>
    </w:rPr>
  </w:style>
  <w:style w:type="paragraph" w:styleId="Testocommento">
    <w:name w:val="annotation text"/>
    <w:basedOn w:val="Normale"/>
    <w:link w:val="TestocommentoCarattere"/>
    <w:uiPriority w:val="99"/>
    <w:rsid w:val="00A000BF"/>
  </w:style>
  <w:style w:type="character" w:customStyle="1" w:styleId="TestocommentoCarattere">
    <w:name w:val="Testo commento Carattere"/>
    <w:basedOn w:val="Carpredefinitoparagrafo"/>
    <w:link w:val="Testocommento"/>
    <w:uiPriority w:val="99"/>
    <w:rsid w:val="00A000BF"/>
  </w:style>
  <w:style w:type="paragraph" w:styleId="Soggettocommento">
    <w:name w:val="annotation subject"/>
    <w:basedOn w:val="Testocommento"/>
    <w:next w:val="Testocommento"/>
    <w:link w:val="SoggettocommentoCarattere"/>
    <w:rsid w:val="00A000BF"/>
    <w:rPr>
      <w:b/>
      <w:bCs/>
    </w:rPr>
  </w:style>
  <w:style w:type="character" w:customStyle="1" w:styleId="SoggettocommentoCarattere">
    <w:name w:val="Soggetto commento Carattere"/>
    <w:link w:val="Soggettocommento"/>
    <w:rsid w:val="00A000BF"/>
    <w:rPr>
      <w:b/>
      <w:bCs/>
    </w:rPr>
  </w:style>
  <w:style w:type="table" w:styleId="Elencotabella3">
    <w:name w:val="Table List 3"/>
    <w:basedOn w:val="Tabellanormale"/>
    <w:rsid w:val="003119B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acolonne2">
    <w:name w:val="Table Columns 2"/>
    <w:basedOn w:val="Tabellanormale"/>
    <w:rsid w:val="003119B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1">
    <w:name w:val="Table Classic 1"/>
    <w:basedOn w:val="Tabellanormale"/>
    <w:rsid w:val="003119B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PidipaginaCarattere">
    <w:name w:val="Piè di pagina Carattere"/>
    <w:basedOn w:val="Carpredefinitoparagrafo"/>
    <w:link w:val="Pidipagina"/>
    <w:uiPriority w:val="99"/>
    <w:rsid w:val="00C41CE6"/>
  </w:style>
  <w:style w:type="character" w:styleId="Enfasigrassetto">
    <w:name w:val="Strong"/>
    <w:uiPriority w:val="22"/>
    <w:qFormat/>
    <w:rsid w:val="00032B93"/>
    <w:rPr>
      <w:b/>
      <w:bCs/>
    </w:rPr>
  </w:style>
  <w:style w:type="character" w:customStyle="1" w:styleId="apple-converted-space">
    <w:name w:val="apple-converted-space"/>
    <w:basedOn w:val="Carpredefinitoparagrafo"/>
    <w:rsid w:val="00032B93"/>
  </w:style>
  <w:style w:type="character" w:customStyle="1" w:styleId="Menzionenonrisolta1">
    <w:name w:val="Menzione non risolta1"/>
    <w:uiPriority w:val="99"/>
    <w:semiHidden/>
    <w:unhideWhenUsed/>
    <w:rsid w:val="00990291"/>
    <w:rPr>
      <w:color w:val="605E5C"/>
      <w:shd w:val="clear" w:color="auto" w:fill="E1DFDD"/>
    </w:rPr>
  </w:style>
  <w:style w:type="paragraph" w:customStyle="1" w:styleId="Paragrafo">
    <w:name w:val="Paragrafo"/>
    <w:basedOn w:val="Primorientrocorpodeltesto"/>
    <w:next w:val="Rientrocorpodeltesto"/>
    <w:link w:val="ParagrafoCarattere"/>
    <w:rsid w:val="0073356C"/>
    <w:pPr>
      <w:jc w:val="both"/>
    </w:pPr>
    <w:rPr>
      <w:sz w:val="24"/>
    </w:rPr>
  </w:style>
  <w:style w:type="character" w:customStyle="1" w:styleId="ParagrafoCarattere">
    <w:name w:val="Paragrafo Carattere"/>
    <w:link w:val="Paragrafo"/>
    <w:rsid w:val="0073356C"/>
    <w:rPr>
      <w:rFonts w:ascii="Arial" w:hAnsi="Arial"/>
      <w:sz w:val="24"/>
      <w:szCs w:val="24"/>
      <w:lang w:val="en-GB" w:eastAsia="it-IT" w:bidi="ar-SA"/>
    </w:rPr>
  </w:style>
  <w:style w:type="paragraph" w:styleId="Primorientrocorpodeltesto">
    <w:name w:val="Body Text First Indent"/>
    <w:basedOn w:val="Corpotesto"/>
    <w:link w:val="PrimorientrocorpodeltestoCarattere"/>
    <w:rsid w:val="0073356C"/>
    <w:pPr>
      <w:jc w:val="left"/>
    </w:pPr>
    <w:rPr>
      <w:rFonts w:ascii="Times New Roman" w:hAnsi="Times New Roman"/>
      <w:sz w:val="20"/>
    </w:rPr>
  </w:style>
  <w:style w:type="character" w:customStyle="1" w:styleId="PrimorientrocorpodeltestoCarattere">
    <w:name w:val="Primo rientro corpo del testo Carattere"/>
    <w:link w:val="Primorientrocorpodeltesto"/>
    <w:rsid w:val="0073356C"/>
    <w:rPr>
      <w:rFonts w:ascii="Arial" w:hAnsi="Arial"/>
      <w:sz w:val="22"/>
      <w:lang w:val="it-IT" w:eastAsia="it-IT" w:bidi="ar-SA"/>
    </w:rPr>
  </w:style>
  <w:style w:type="paragraph" w:styleId="Rientrocorpodeltesto">
    <w:name w:val="Body Text Indent"/>
    <w:basedOn w:val="Normale"/>
    <w:link w:val="RientrocorpodeltestoCarattere"/>
    <w:unhideWhenUsed/>
    <w:rsid w:val="0073356C"/>
    <w:pPr>
      <w:ind w:left="283"/>
    </w:pPr>
  </w:style>
  <w:style w:type="character" w:customStyle="1" w:styleId="RientrocorpodeltestoCarattere">
    <w:name w:val="Rientro corpo del testo Carattere"/>
    <w:basedOn w:val="Carpredefinitoparagrafo"/>
    <w:link w:val="Rientrocorpodeltesto"/>
    <w:rsid w:val="0073356C"/>
  </w:style>
  <w:style w:type="paragraph" w:customStyle="1" w:styleId="Stile1">
    <w:name w:val="Stile1"/>
    <w:basedOn w:val="MFIPParagraphTitle"/>
    <w:link w:val="Stile1Carattere"/>
    <w:rsid w:val="00BD45ED"/>
    <w:pPr>
      <w:spacing w:before="240" w:after="120"/>
    </w:pPr>
  </w:style>
  <w:style w:type="paragraph" w:customStyle="1" w:styleId="Stile2">
    <w:name w:val="Stile2"/>
    <w:basedOn w:val="Titolo2"/>
    <w:link w:val="Stile2Carattere"/>
    <w:rsid w:val="00766BAA"/>
    <w:pPr>
      <w:numPr>
        <w:ilvl w:val="0"/>
        <w:numId w:val="0"/>
      </w:numPr>
    </w:pPr>
  </w:style>
  <w:style w:type="character" w:customStyle="1" w:styleId="Titolo1Carattere">
    <w:name w:val="Titolo 1 Carattere"/>
    <w:link w:val="Titolo1"/>
    <w:rsid w:val="00546443"/>
    <w:rPr>
      <w:b/>
      <w:smallCaps/>
      <w:sz w:val="26"/>
      <w:szCs w:val="28"/>
      <w:lang w:val="en-GB"/>
    </w:rPr>
  </w:style>
  <w:style w:type="character" w:customStyle="1" w:styleId="MFIPAbstractTitleCarattere">
    <w:name w:val="MFIP Abstract Title Carattere"/>
    <w:link w:val="MFIPAbstractTitle"/>
    <w:rsid w:val="00BD45ED"/>
    <w:rPr>
      <w:rFonts w:ascii="Arial" w:hAnsi="Arial"/>
      <w:b/>
      <w:smallCaps w:val="0"/>
      <w:sz w:val="26"/>
      <w:szCs w:val="28"/>
      <w:lang w:val="en-GB"/>
    </w:rPr>
  </w:style>
  <w:style w:type="character" w:customStyle="1" w:styleId="MFIPParagraphTitleCarattere">
    <w:name w:val="MFIP Paragraph Title Carattere"/>
    <w:link w:val="MFIPParagraphTitle"/>
    <w:rsid w:val="00BD45ED"/>
    <w:rPr>
      <w:rFonts w:ascii="Arial" w:hAnsi="Arial"/>
      <w:b/>
      <w:smallCaps w:val="0"/>
      <w:sz w:val="26"/>
      <w:szCs w:val="28"/>
      <w:lang w:val="en-GB"/>
    </w:rPr>
  </w:style>
  <w:style w:type="character" w:customStyle="1" w:styleId="Stile1Carattere">
    <w:name w:val="Stile1 Carattere"/>
    <w:link w:val="Stile1"/>
    <w:rsid w:val="00BD45ED"/>
    <w:rPr>
      <w:rFonts w:ascii="Arial" w:hAnsi="Arial"/>
      <w:b/>
      <w:smallCaps w:val="0"/>
      <w:sz w:val="26"/>
      <w:szCs w:val="28"/>
      <w:lang w:val="en-GB"/>
    </w:rPr>
  </w:style>
  <w:style w:type="character" w:customStyle="1" w:styleId="Titolo2Carattere">
    <w:name w:val="Titolo 2 Carattere"/>
    <w:link w:val="Titolo2"/>
    <w:rsid w:val="0085241C"/>
    <w:rPr>
      <w:b/>
      <w:sz w:val="24"/>
      <w:lang w:val="en-US"/>
    </w:rPr>
  </w:style>
  <w:style w:type="character" w:customStyle="1" w:styleId="Stile2Carattere">
    <w:name w:val="Stile2 Carattere"/>
    <w:link w:val="Stile2"/>
    <w:rsid w:val="00766BAA"/>
    <w:rPr>
      <w:b/>
      <w:sz w:val="24"/>
      <w:lang w:val="en-US"/>
    </w:rPr>
  </w:style>
  <w:style w:type="paragraph" w:styleId="NormaleWeb">
    <w:name w:val="Normal (Web)"/>
    <w:basedOn w:val="Normale"/>
    <w:uiPriority w:val="99"/>
    <w:unhideWhenUsed/>
    <w:rsid w:val="00724E76"/>
    <w:pPr>
      <w:spacing w:before="100" w:beforeAutospacing="1" w:after="100" w:afterAutospacing="1"/>
    </w:pPr>
  </w:style>
  <w:style w:type="character" w:customStyle="1" w:styleId="IntestazioneCarattere">
    <w:name w:val="Intestazione Carattere"/>
    <w:link w:val="Intestazione"/>
    <w:rsid w:val="00FF192D"/>
  </w:style>
  <w:style w:type="paragraph" w:styleId="Corpodeltesto2">
    <w:name w:val="Body Text 2"/>
    <w:basedOn w:val="Normale"/>
    <w:link w:val="Corpodeltesto2Carattere"/>
    <w:semiHidden/>
    <w:unhideWhenUsed/>
    <w:rsid w:val="00894252"/>
  </w:style>
  <w:style w:type="character" w:customStyle="1" w:styleId="Corpodeltesto2Carattere">
    <w:name w:val="Corpo del testo 2 Carattere"/>
    <w:basedOn w:val="Carpredefinitoparagrafo"/>
    <w:link w:val="Corpodeltesto2"/>
    <w:semiHidden/>
    <w:rsid w:val="00894252"/>
  </w:style>
  <w:style w:type="paragraph" w:styleId="Didascalia">
    <w:name w:val="caption"/>
    <w:basedOn w:val="Normale"/>
    <w:next w:val="Normale"/>
    <w:uiPriority w:val="99"/>
    <w:unhideWhenUsed/>
    <w:qFormat/>
    <w:rsid w:val="006A2786"/>
    <w:pPr>
      <w:autoSpaceDE w:val="0"/>
      <w:autoSpaceDN w:val="0"/>
      <w:spacing w:after="200" w:line="240" w:lineRule="auto"/>
    </w:pPr>
    <w:rPr>
      <w:bCs/>
      <w:i/>
      <w:iCs/>
      <w:sz w:val="22"/>
      <w:szCs w:val="18"/>
      <w:lang w:eastAsia="en-US"/>
    </w:rPr>
  </w:style>
  <w:style w:type="table" w:customStyle="1" w:styleId="PlainTable21">
    <w:name w:val="Plain Table 21"/>
    <w:basedOn w:val="Tabellanormale"/>
    <w:uiPriority w:val="42"/>
    <w:rsid w:val="001742A1"/>
    <w:rPr>
      <w:rFonts w:ascii="Calibri" w:eastAsia="Calibri" w:hAnsi="Calibri"/>
      <w:sz w:val="22"/>
      <w:szCs w:val="22"/>
      <w:lang w:val="en-GB" w:eastAsia="en-US"/>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Revisione">
    <w:name w:val="Revision"/>
    <w:hidden/>
    <w:uiPriority w:val="99"/>
    <w:semiHidden/>
    <w:rsid w:val="00431C99"/>
  </w:style>
  <w:style w:type="character" w:customStyle="1" w:styleId="Titolo8Carattere">
    <w:name w:val="Titolo 8 Carattere"/>
    <w:link w:val="Titolo8"/>
    <w:semiHidden/>
    <w:rsid w:val="0085241C"/>
    <w:rPr>
      <w:rFonts w:ascii="Cambria" w:eastAsia="Times New Roman" w:hAnsi="Cambria" w:cs="Times New Roman"/>
      <w:color w:val="272727"/>
      <w:sz w:val="21"/>
      <w:szCs w:val="21"/>
    </w:rPr>
  </w:style>
  <w:style w:type="character" w:customStyle="1" w:styleId="Titolo9Carattere">
    <w:name w:val="Titolo 9 Carattere"/>
    <w:link w:val="Titolo9"/>
    <w:semiHidden/>
    <w:rsid w:val="0085241C"/>
    <w:rPr>
      <w:rFonts w:ascii="Cambria" w:eastAsia="Times New Roman" w:hAnsi="Cambria" w:cs="Times New Roman"/>
      <w:i/>
      <w:iCs/>
      <w:color w:val="272727"/>
      <w:sz w:val="21"/>
      <w:szCs w:val="21"/>
    </w:rPr>
  </w:style>
  <w:style w:type="paragraph" w:styleId="Nessunaspaziatura">
    <w:name w:val="No Spacing"/>
    <w:uiPriority w:val="1"/>
    <w:qFormat/>
    <w:rsid w:val="000D5042"/>
    <w:pPr>
      <w:ind w:firstLine="360"/>
      <w:jc w:val="both"/>
    </w:pPr>
    <w:rPr>
      <w:sz w:val="24"/>
      <w:szCs w:val="24"/>
      <w:lang w:val="en-GB"/>
    </w:rPr>
  </w:style>
  <w:style w:type="character" w:customStyle="1" w:styleId="ph">
    <w:name w:val="ph"/>
    <w:basedOn w:val="Carpredefinitoparagrafo"/>
    <w:rsid w:val="00772A97"/>
  </w:style>
  <w:style w:type="paragraph" w:styleId="Paragrafoelenco">
    <w:name w:val="List Paragraph"/>
    <w:basedOn w:val="Normale"/>
    <w:uiPriority w:val="34"/>
    <w:qFormat/>
    <w:rsid w:val="0083548C"/>
    <w:pPr>
      <w:ind w:left="720"/>
      <w:contextualSpacing/>
    </w:pPr>
  </w:style>
  <w:style w:type="character" w:styleId="Enfasicorsivo">
    <w:name w:val="Emphasis"/>
    <w:qFormat/>
    <w:rsid w:val="005A4E03"/>
    <w:rPr>
      <w:i/>
      <w:iCs/>
    </w:rPr>
  </w:style>
  <w:style w:type="character" w:customStyle="1" w:styleId="UnresolvedMention1">
    <w:name w:val="Unresolved Mention1"/>
    <w:basedOn w:val="Carpredefinitoparagrafo"/>
    <w:uiPriority w:val="99"/>
    <w:semiHidden/>
    <w:unhideWhenUsed/>
    <w:rsid w:val="00F322D0"/>
    <w:rPr>
      <w:color w:val="605E5C"/>
      <w:shd w:val="clear" w:color="auto" w:fill="E1DFDD"/>
    </w:rPr>
  </w:style>
  <w:style w:type="character" w:styleId="Collegamentovisitato">
    <w:name w:val="FollowedHyperlink"/>
    <w:basedOn w:val="Carpredefinitoparagrafo"/>
    <w:semiHidden/>
    <w:unhideWhenUsed/>
    <w:rsid w:val="001A5622"/>
    <w:rPr>
      <w:color w:val="954F72" w:themeColor="followedHyperlink"/>
      <w:u w:val="single"/>
    </w:rPr>
  </w:style>
  <w:style w:type="character" w:customStyle="1" w:styleId="Menzionenonrisolta2">
    <w:name w:val="Menzione non risolta2"/>
    <w:basedOn w:val="Carpredefinitoparagrafo"/>
    <w:uiPriority w:val="99"/>
    <w:semiHidden/>
    <w:unhideWhenUsed/>
    <w:rsid w:val="00C973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7084">
      <w:bodyDiv w:val="1"/>
      <w:marLeft w:val="0"/>
      <w:marRight w:val="0"/>
      <w:marTop w:val="0"/>
      <w:marBottom w:val="0"/>
      <w:divBdr>
        <w:top w:val="none" w:sz="0" w:space="0" w:color="auto"/>
        <w:left w:val="none" w:sz="0" w:space="0" w:color="auto"/>
        <w:bottom w:val="none" w:sz="0" w:space="0" w:color="auto"/>
        <w:right w:val="none" w:sz="0" w:space="0" w:color="auto"/>
      </w:divBdr>
      <w:divsChild>
        <w:div w:id="228808033">
          <w:marLeft w:val="0"/>
          <w:marRight w:val="0"/>
          <w:marTop w:val="0"/>
          <w:marBottom w:val="0"/>
          <w:divBdr>
            <w:top w:val="none" w:sz="0" w:space="0" w:color="auto"/>
            <w:left w:val="none" w:sz="0" w:space="0" w:color="auto"/>
            <w:bottom w:val="none" w:sz="0" w:space="0" w:color="auto"/>
            <w:right w:val="none" w:sz="0" w:space="0" w:color="auto"/>
          </w:divBdr>
          <w:divsChild>
            <w:div w:id="1060908662">
              <w:marLeft w:val="0"/>
              <w:marRight w:val="0"/>
              <w:marTop w:val="0"/>
              <w:marBottom w:val="0"/>
              <w:divBdr>
                <w:top w:val="none" w:sz="0" w:space="0" w:color="auto"/>
                <w:left w:val="none" w:sz="0" w:space="0" w:color="auto"/>
                <w:bottom w:val="none" w:sz="0" w:space="0" w:color="auto"/>
                <w:right w:val="none" w:sz="0" w:space="0" w:color="auto"/>
              </w:divBdr>
              <w:divsChild>
                <w:div w:id="12014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4848">
      <w:bodyDiv w:val="1"/>
      <w:marLeft w:val="0"/>
      <w:marRight w:val="0"/>
      <w:marTop w:val="0"/>
      <w:marBottom w:val="0"/>
      <w:divBdr>
        <w:top w:val="none" w:sz="0" w:space="0" w:color="auto"/>
        <w:left w:val="none" w:sz="0" w:space="0" w:color="auto"/>
        <w:bottom w:val="none" w:sz="0" w:space="0" w:color="auto"/>
        <w:right w:val="none" w:sz="0" w:space="0" w:color="auto"/>
      </w:divBdr>
    </w:div>
    <w:div w:id="53548052">
      <w:bodyDiv w:val="1"/>
      <w:marLeft w:val="0"/>
      <w:marRight w:val="0"/>
      <w:marTop w:val="0"/>
      <w:marBottom w:val="0"/>
      <w:divBdr>
        <w:top w:val="none" w:sz="0" w:space="0" w:color="auto"/>
        <w:left w:val="none" w:sz="0" w:space="0" w:color="auto"/>
        <w:bottom w:val="none" w:sz="0" w:space="0" w:color="auto"/>
        <w:right w:val="none" w:sz="0" w:space="0" w:color="auto"/>
      </w:divBdr>
    </w:div>
    <w:div w:id="84110780">
      <w:bodyDiv w:val="1"/>
      <w:marLeft w:val="0"/>
      <w:marRight w:val="0"/>
      <w:marTop w:val="0"/>
      <w:marBottom w:val="0"/>
      <w:divBdr>
        <w:top w:val="none" w:sz="0" w:space="0" w:color="auto"/>
        <w:left w:val="none" w:sz="0" w:space="0" w:color="auto"/>
        <w:bottom w:val="none" w:sz="0" w:space="0" w:color="auto"/>
        <w:right w:val="none" w:sz="0" w:space="0" w:color="auto"/>
      </w:divBdr>
    </w:div>
    <w:div w:id="88812821">
      <w:bodyDiv w:val="1"/>
      <w:marLeft w:val="0"/>
      <w:marRight w:val="0"/>
      <w:marTop w:val="0"/>
      <w:marBottom w:val="0"/>
      <w:divBdr>
        <w:top w:val="none" w:sz="0" w:space="0" w:color="auto"/>
        <w:left w:val="none" w:sz="0" w:space="0" w:color="auto"/>
        <w:bottom w:val="none" w:sz="0" w:space="0" w:color="auto"/>
        <w:right w:val="none" w:sz="0" w:space="0" w:color="auto"/>
      </w:divBdr>
    </w:div>
    <w:div w:id="96871194">
      <w:bodyDiv w:val="1"/>
      <w:marLeft w:val="0"/>
      <w:marRight w:val="0"/>
      <w:marTop w:val="0"/>
      <w:marBottom w:val="0"/>
      <w:divBdr>
        <w:top w:val="none" w:sz="0" w:space="0" w:color="auto"/>
        <w:left w:val="none" w:sz="0" w:space="0" w:color="auto"/>
        <w:bottom w:val="none" w:sz="0" w:space="0" w:color="auto"/>
        <w:right w:val="none" w:sz="0" w:space="0" w:color="auto"/>
      </w:divBdr>
    </w:div>
    <w:div w:id="110519662">
      <w:bodyDiv w:val="1"/>
      <w:marLeft w:val="0"/>
      <w:marRight w:val="0"/>
      <w:marTop w:val="0"/>
      <w:marBottom w:val="0"/>
      <w:divBdr>
        <w:top w:val="none" w:sz="0" w:space="0" w:color="auto"/>
        <w:left w:val="none" w:sz="0" w:space="0" w:color="auto"/>
        <w:bottom w:val="none" w:sz="0" w:space="0" w:color="auto"/>
        <w:right w:val="none" w:sz="0" w:space="0" w:color="auto"/>
      </w:divBdr>
    </w:div>
    <w:div w:id="126439557">
      <w:bodyDiv w:val="1"/>
      <w:marLeft w:val="0"/>
      <w:marRight w:val="0"/>
      <w:marTop w:val="0"/>
      <w:marBottom w:val="0"/>
      <w:divBdr>
        <w:top w:val="none" w:sz="0" w:space="0" w:color="auto"/>
        <w:left w:val="none" w:sz="0" w:space="0" w:color="auto"/>
        <w:bottom w:val="none" w:sz="0" w:space="0" w:color="auto"/>
        <w:right w:val="none" w:sz="0" w:space="0" w:color="auto"/>
      </w:divBdr>
      <w:divsChild>
        <w:div w:id="489322618">
          <w:marLeft w:val="0"/>
          <w:marRight w:val="0"/>
          <w:marTop w:val="0"/>
          <w:marBottom w:val="0"/>
          <w:divBdr>
            <w:top w:val="none" w:sz="0" w:space="0" w:color="auto"/>
            <w:left w:val="none" w:sz="0" w:space="0" w:color="auto"/>
            <w:bottom w:val="none" w:sz="0" w:space="0" w:color="auto"/>
            <w:right w:val="none" w:sz="0" w:space="0" w:color="auto"/>
          </w:divBdr>
          <w:divsChild>
            <w:div w:id="110323731">
              <w:marLeft w:val="0"/>
              <w:marRight w:val="0"/>
              <w:marTop w:val="0"/>
              <w:marBottom w:val="0"/>
              <w:divBdr>
                <w:top w:val="none" w:sz="0" w:space="0" w:color="auto"/>
                <w:left w:val="none" w:sz="0" w:space="0" w:color="auto"/>
                <w:bottom w:val="none" w:sz="0" w:space="0" w:color="auto"/>
                <w:right w:val="none" w:sz="0" w:space="0" w:color="auto"/>
              </w:divBdr>
              <w:divsChild>
                <w:div w:id="973830079">
                  <w:marLeft w:val="0"/>
                  <w:marRight w:val="0"/>
                  <w:marTop w:val="0"/>
                  <w:marBottom w:val="0"/>
                  <w:divBdr>
                    <w:top w:val="none" w:sz="0" w:space="0" w:color="auto"/>
                    <w:left w:val="none" w:sz="0" w:space="0" w:color="auto"/>
                    <w:bottom w:val="none" w:sz="0" w:space="0" w:color="auto"/>
                    <w:right w:val="none" w:sz="0" w:space="0" w:color="auto"/>
                  </w:divBdr>
                </w:div>
              </w:divsChild>
            </w:div>
            <w:div w:id="143082578">
              <w:marLeft w:val="0"/>
              <w:marRight w:val="0"/>
              <w:marTop w:val="0"/>
              <w:marBottom w:val="0"/>
              <w:divBdr>
                <w:top w:val="none" w:sz="0" w:space="0" w:color="auto"/>
                <w:left w:val="none" w:sz="0" w:space="0" w:color="auto"/>
                <w:bottom w:val="none" w:sz="0" w:space="0" w:color="auto"/>
                <w:right w:val="none" w:sz="0" w:space="0" w:color="auto"/>
              </w:divBdr>
              <w:divsChild>
                <w:div w:id="1559051131">
                  <w:marLeft w:val="0"/>
                  <w:marRight w:val="0"/>
                  <w:marTop w:val="0"/>
                  <w:marBottom w:val="0"/>
                  <w:divBdr>
                    <w:top w:val="none" w:sz="0" w:space="0" w:color="auto"/>
                    <w:left w:val="none" w:sz="0" w:space="0" w:color="auto"/>
                    <w:bottom w:val="none" w:sz="0" w:space="0" w:color="auto"/>
                    <w:right w:val="none" w:sz="0" w:space="0" w:color="auto"/>
                  </w:divBdr>
                </w:div>
              </w:divsChild>
            </w:div>
            <w:div w:id="323747911">
              <w:marLeft w:val="0"/>
              <w:marRight w:val="0"/>
              <w:marTop w:val="0"/>
              <w:marBottom w:val="0"/>
              <w:divBdr>
                <w:top w:val="none" w:sz="0" w:space="0" w:color="auto"/>
                <w:left w:val="none" w:sz="0" w:space="0" w:color="auto"/>
                <w:bottom w:val="none" w:sz="0" w:space="0" w:color="auto"/>
                <w:right w:val="none" w:sz="0" w:space="0" w:color="auto"/>
              </w:divBdr>
              <w:divsChild>
                <w:div w:id="161286268">
                  <w:marLeft w:val="0"/>
                  <w:marRight w:val="0"/>
                  <w:marTop w:val="0"/>
                  <w:marBottom w:val="0"/>
                  <w:divBdr>
                    <w:top w:val="none" w:sz="0" w:space="0" w:color="auto"/>
                    <w:left w:val="none" w:sz="0" w:space="0" w:color="auto"/>
                    <w:bottom w:val="none" w:sz="0" w:space="0" w:color="auto"/>
                    <w:right w:val="none" w:sz="0" w:space="0" w:color="auto"/>
                  </w:divBdr>
                </w:div>
              </w:divsChild>
            </w:div>
            <w:div w:id="352344760">
              <w:marLeft w:val="0"/>
              <w:marRight w:val="0"/>
              <w:marTop w:val="0"/>
              <w:marBottom w:val="0"/>
              <w:divBdr>
                <w:top w:val="none" w:sz="0" w:space="0" w:color="auto"/>
                <w:left w:val="none" w:sz="0" w:space="0" w:color="auto"/>
                <w:bottom w:val="none" w:sz="0" w:space="0" w:color="auto"/>
                <w:right w:val="none" w:sz="0" w:space="0" w:color="auto"/>
              </w:divBdr>
              <w:divsChild>
                <w:div w:id="661469946">
                  <w:marLeft w:val="0"/>
                  <w:marRight w:val="0"/>
                  <w:marTop w:val="0"/>
                  <w:marBottom w:val="0"/>
                  <w:divBdr>
                    <w:top w:val="none" w:sz="0" w:space="0" w:color="auto"/>
                    <w:left w:val="none" w:sz="0" w:space="0" w:color="auto"/>
                    <w:bottom w:val="none" w:sz="0" w:space="0" w:color="auto"/>
                    <w:right w:val="none" w:sz="0" w:space="0" w:color="auto"/>
                  </w:divBdr>
                </w:div>
              </w:divsChild>
            </w:div>
            <w:div w:id="451021196">
              <w:marLeft w:val="0"/>
              <w:marRight w:val="0"/>
              <w:marTop w:val="0"/>
              <w:marBottom w:val="0"/>
              <w:divBdr>
                <w:top w:val="none" w:sz="0" w:space="0" w:color="auto"/>
                <w:left w:val="none" w:sz="0" w:space="0" w:color="auto"/>
                <w:bottom w:val="none" w:sz="0" w:space="0" w:color="auto"/>
                <w:right w:val="none" w:sz="0" w:space="0" w:color="auto"/>
              </w:divBdr>
              <w:divsChild>
                <w:div w:id="243876482">
                  <w:marLeft w:val="0"/>
                  <w:marRight w:val="0"/>
                  <w:marTop w:val="0"/>
                  <w:marBottom w:val="0"/>
                  <w:divBdr>
                    <w:top w:val="none" w:sz="0" w:space="0" w:color="auto"/>
                    <w:left w:val="none" w:sz="0" w:space="0" w:color="auto"/>
                    <w:bottom w:val="none" w:sz="0" w:space="0" w:color="auto"/>
                    <w:right w:val="none" w:sz="0" w:space="0" w:color="auto"/>
                  </w:divBdr>
                </w:div>
              </w:divsChild>
            </w:div>
            <w:div w:id="506334952">
              <w:marLeft w:val="0"/>
              <w:marRight w:val="0"/>
              <w:marTop w:val="0"/>
              <w:marBottom w:val="0"/>
              <w:divBdr>
                <w:top w:val="none" w:sz="0" w:space="0" w:color="auto"/>
                <w:left w:val="none" w:sz="0" w:space="0" w:color="auto"/>
                <w:bottom w:val="none" w:sz="0" w:space="0" w:color="auto"/>
                <w:right w:val="none" w:sz="0" w:space="0" w:color="auto"/>
              </w:divBdr>
              <w:divsChild>
                <w:div w:id="1150682100">
                  <w:marLeft w:val="0"/>
                  <w:marRight w:val="0"/>
                  <w:marTop w:val="0"/>
                  <w:marBottom w:val="0"/>
                  <w:divBdr>
                    <w:top w:val="none" w:sz="0" w:space="0" w:color="auto"/>
                    <w:left w:val="none" w:sz="0" w:space="0" w:color="auto"/>
                    <w:bottom w:val="none" w:sz="0" w:space="0" w:color="auto"/>
                    <w:right w:val="none" w:sz="0" w:space="0" w:color="auto"/>
                  </w:divBdr>
                </w:div>
              </w:divsChild>
            </w:div>
            <w:div w:id="588779620">
              <w:marLeft w:val="0"/>
              <w:marRight w:val="0"/>
              <w:marTop w:val="0"/>
              <w:marBottom w:val="0"/>
              <w:divBdr>
                <w:top w:val="none" w:sz="0" w:space="0" w:color="auto"/>
                <w:left w:val="none" w:sz="0" w:space="0" w:color="auto"/>
                <w:bottom w:val="none" w:sz="0" w:space="0" w:color="auto"/>
                <w:right w:val="none" w:sz="0" w:space="0" w:color="auto"/>
              </w:divBdr>
              <w:divsChild>
                <w:div w:id="350182060">
                  <w:marLeft w:val="0"/>
                  <w:marRight w:val="0"/>
                  <w:marTop w:val="0"/>
                  <w:marBottom w:val="0"/>
                  <w:divBdr>
                    <w:top w:val="none" w:sz="0" w:space="0" w:color="auto"/>
                    <w:left w:val="none" w:sz="0" w:space="0" w:color="auto"/>
                    <w:bottom w:val="none" w:sz="0" w:space="0" w:color="auto"/>
                    <w:right w:val="none" w:sz="0" w:space="0" w:color="auto"/>
                  </w:divBdr>
                </w:div>
              </w:divsChild>
            </w:div>
            <w:div w:id="635797193">
              <w:marLeft w:val="0"/>
              <w:marRight w:val="0"/>
              <w:marTop w:val="0"/>
              <w:marBottom w:val="0"/>
              <w:divBdr>
                <w:top w:val="none" w:sz="0" w:space="0" w:color="auto"/>
                <w:left w:val="none" w:sz="0" w:space="0" w:color="auto"/>
                <w:bottom w:val="none" w:sz="0" w:space="0" w:color="auto"/>
                <w:right w:val="none" w:sz="0" w:space="0" w:color="auto"/>
              </w:divBdr>
              <w:divsChild>
                <w:div w:id="1478302623">
                  <w:marLeft w:val="0"/>
                  <w:marRight w:val="0"/>
                  <w:marTop w:val="0"/>
                  <w:marBottom w:val="0"/>
                  <w:divBdr>
                    <w:top w:val="none" w:sz="0" w:space="0" w:color="auto"/>
                    <w:left w:val="none" w:sz="0" w:space="0" w:color="auto"/>
                    <w:bottom w:val="none" w:sz="0" w:space="0" w:color="auto"/>
                    <w:right w:val="none" w:sz="0" w:space="0" w:color="auto"/>
                  </w:divBdr>
                </w:div>
              </w:divsChild>
            </w:div>
            <w:div w:id="704914938">
              <w:marLeft w:val="0"/>
              <w:marRight w:val="0"/>
              <w:marTop w:val="0"/>
              <w:marBottom w:val="0"/>
              <w:divBdr>
                <w:top w:val="none" w:sz="0" w:space="0" w:color="auto"/>
                <w:left w:val="none" w:sz="0" w:space="0" w:color="auto"/>
                <w:bottom w:val="none" w:sz="0" w:space="0" w:color="auto"/>
                <w:right w:val="none" w:sz="0" w:space="0" w:color="auto"/>
              </w:divBdr>
              <w:divsChild>
                <w:div w:id="1543251952">
                  <w:marLeft w:val="0"/>
                  <w:marRight w:val="0"/>
                  <w:marTop w:val="0"/>
                  <w:marBottom w:val="0"/>
                  <w:divBdr>
                    <w:top w:val="none" w:sz="0" w:space="0" w:color="auto"/>
                    <w:left w:val="none" w:sz="0" w:space="0" w:color="auto"/>
                    <w:bottom w:val="none" w:sz="0" w:space="0" w:color="auto"/>
                    <w:right w:val="none" w:sz="0" w:space="0" w:color="auto"/>
                  </w:divBdr>
                </w:div>
              </w:divsChild>
            </w:div>
            <w:div w:id="818689383">
              <w:marLeft w:val="0"/>
              <w:marRight w:val="0"/>
              <w:marTop w:val="0"/>
              <w:marBottom w:val="0"/>
              <w:divBdr>
                <w:top w:val="none" w:sz="0" w:space="0" w:color="auto"/>
                <w:left w:val="none" w:sz="0" w:space="0" w:color="auto"/>
                <w:bottom w:val="none" w:sz="0" w:space="0" w:color="auto"/>
                <w:right w:val="none" w:sz="0" w:space="0" w:color="auto"/>
              </w:divBdr>
              <w:divsChild>
                <w:div w:id="998727715">
                  <w:marLeft w:val="0"/>
                  <w:marRight w:val="0"/>
                  <w:marTop w:val="0"/>
                  <w:marBottom w:val="0"/>
                  <w:divBdr>
                    <w:top w:val="none" w:sz="0" w:space="0" w:color="auto"/>
                    <w:left w:val="none" w:sz="0" w:space="0" w:color="auto"/>
                    <w:bottom w:val="none" w:sz="0" w:space="0" w:color="auto"/>
                    <w:right w:val="none" w:sz="0" w:space="0" w:color="auto"/>
                  </w:divBdr>
                </w:div>
              </w:divsChild>
            </w:div>
            <w:div w:id="1230463283">
              <w:marLeft w:val="0"/>
              <w:marRight w:val="0"/>
              <w:marTop w:val="0"/>
              <w:marBottom w:val="0"/>
              <w:divBdr>
                <w:top w:val="none" w:sz="0" w:space="0" w:color="auto"/>
                <w:left w:val="none" w:sz="0" w:space="0" w:color="auto"/>
                <w:bottom w:val="none" w:sz="0" w:space="0" w:color="auto"/>
                <w:right w:val="none" w:sz="0" w:space="0" w:color="auto"/>
              </w:divBdr>
              <w:divsChild>
                <w:div w:id="1798136591">
                  <w:marLeft w:val="0"/>
                  <w:marRight w:val="0"/>
                  <w:marTop w:val="0"/>
                  <w:marBottom w:val="0"/>
                  <w:divBdr>
                    <w:top w:val="none" w:sz="0" w:space="0" w:color="auto"/>
                    <w:left w:val="none" w:sz="0" w:space="0" w:color="auto"/>
                    <w:bottom w:val="none" w:sz="0" w:space="0" w:color="auto"/>
                    <w:right w:val="none" w:sz="0" w:space="0" w:color="auto"/>
                  </w:divBdr>
                </w:div>
              </w:divsChild>
            </w:div>
            <w:div w:id="1449860020">
              <w:marLeft w:val="0"/>
              <w:marRight w:val="0"/>
              <w:marTop w:val="0"/>
              <w:marBottom w:val="0"/>
              <w:divBdr>
                <w:top w:val="none" w:sz="0" w:space="0" w:color="auto"/>
                <w:left w:val="none" w:sz="0" w:space="0" w:color="auto"/>
                <w:bottom w:val="none" w:sz="0" w:space="0" w:color="auto"/>
                <w:right w:val="none" w:sz="0" w:space="0" w:color="auto"/>
              </w:divBdr>
              <w:divsChild>
                <w:div w:id="482548416">
                  <w:marLeft w:val="0"/>
                  <w:marRight w:val="0"/>
                  <w:marTop w:val="0"/>
                  <w:marBottom w:val="0"/>
                  <w:divBdr>
                    <w:top w:val="none" w:sz="0" w:space="0" w:color="auto"/>
                    <w:left w:val="none" w:sz="0" w:space="0" w:color="auto"/>
                    <w:bottom w:val="none" w:sz="0" w:space="0" w:color="auto"/>
                    <w:right w:val="none" w:sz="0" w:space="0" w:color="auto"/>
                  </w:divBdr>
                </w:div>
              </w:divsChild>
            </w:div>
            <w:div w:id="1503469522">
              <w:marLeft w:val="0"/>
              <w:marRight w:val="0"/>
              <w:marTop w:val="0"/>
              <w:marBottom w:val="0"/>
              <w:divBdr>
                <w:top w:val="none" w:sz="0" w:space="0" w:color="auto"/>
                <w:left w:val="none" w:sz="0" w:space="0" w:color="auto"/>
                <w:bottom w:val="none" w:sz="0" w:space="0" w:color="auto"/>
                <w:right w:val="none" w:sz="0" w:space="0" w:color="auto"/>
              </w:divBdr>
              <w:divsChild>
                <w:div w:id="192961011">
                  <w:marLeft w:val="0"/>
                  <w:marRight w:val="0"/>
                  <w:marTop w:val="0"/>
                  <w:marBottom w:val="0"/>
                  <w:divBdr>
                    <w:top w:val="none" w:sz="0" w:space="0" w:color="auto"/>
                    <w:left w:val="none" w:sz="0" w:space="0" w:color="auto"/>
                    <w:bottom w:val="none" w:sz="0" w:space="0" w:color="auto"/>
                    <w:right w:val="none" w:sz="0" w:space="0" w:color="auto"/>
                  </w:divBdr>
                </w:div>
              </w:divsChild>
            </w:div>
            <w:div w:id="1516924276">
              <w:marLeft w:val="0"/>
              <w:marRight w:val="0"/>
              <w:marTop w:val="0"/>
              <w:marBottom w:val="0"/>
              <w:divBdr>
                <w:top w:val="none" w:sz="0" w:space="0" w:color="auto"/>
                <w:left w:val="none" w:sz="0" w:space="0" w:color="auto"/>
                <w:bottom w:val="none" w:sz="0" w:space="0" w:color="auto"/>
                <w:right w:val="none" w:sz="0" w:space="0" w:color="auto"/>
              </w:divBdr>
              <w:divsChild>
                <w:div w:id="180969751">
                  <w:marLeft w:val="0"/>
                  <w:marRight w:val="0"/>
                  <w:marTop w:val="0"/>
                  <w:marBottom w:val="0"/>
                  <w:divBdr>
                    <w:top w:val="none" w:sz="0" w:space="0" w:color="auto"/>
                    <w:left w:val="none" w:sz="0" w:space="0" w:color="auto"/>
                    <w:bottom w:val="none" w:sz="0" w:space="0" w:color="auto"/>
                    <w:right w:val="none" w:sz="0" w:space="0" w:color="auto"/>
                  </w:divBdr>
                </w:div>
              </w:divsChild>
            </w:div>
            <w:div w:id="1560507586">
              <w:marLeft w:val="0"/>
              <w:marRight w:val="0"/>
              <w:marTop w:val="0"/>
              <w:marBottom w:val="0"/>
              <w:divBdr>
                <w:top w:val="none" w:sz="0" w:space="0" w:color="auto"/>
                <w:left w:val="none" w:sz="0" w:space="0" w:color="auto"/>
                <w:bottom w:val="none" w:sz="0" w:space="0" w:color="auto"/>
                <w:right w:val="none" w:sz="0" w:space="0" w:color="auto"/>
              </w:divBdr>
              <w:divsChild>
                <w:div w:id="2034458890">
                  <w:marLeft w:val="0"/>
                  <w:marRight w:val="0"/>
                  <w:marTop w:val="0"/>
                  <w:marBottom w:val="0"/>
                  <w:divBdr>
                    <w:top w:val="none" w:sz="0" w:space="0" w:color="auto"/>
                    <w:left w:val="none" w:sz="0" w:space="0" w:color="auto"/>
                    <w:bottom w:val="none" w:sz="0" w:space="0" w:color="auto"/>
                    <w:right w:val="none" w:sz="0" w:space="0" w:color="auto"/>
                  </w:divBdr>
                </w:div>
              </w:divsChild>
            </w:div>
            <w:div w:id="1868371012">
              <w:marLeft w:val="0"/>
              <w:marRight w:val="0"/>
              <w:marTop w:val="0"/>
              <w:marBottom w:val="0"/>
              <w:divBdr>
                <w:top w:val="none" w:sz="0" w:space="0" w:color="auto"/>
                <w:left w:val="none" w:sz="0" w:space="0" w:color="auto"/>
                <w:bottom w:val="none" w:sz="0" w:space="0" w:color="auto"/>
                <w:right w:val="none" w:sz="0" w:space="0" w:color="auto"/>
              </w:divBdr>
              <w:divsChild>
                <w:div w:id="261453568">
                  <w:marLeft w:val="0"/>
                  <w:marRight w:val="0"/>
                  <w:marTop w:val="0"/>
                  <w:marBottom w:val="0"/>
                  <w:divBdr>
                    <w:top w:val="none" w:sz="0" w:space="0" w:color="auto"/>
                    <w:left w:val="none" w:sz="0" w:space="0" w:color="auto"/>
                    <w:bottom w:val="none" w:sz="0" w:space="0" w:color="auto"/>
                    <w:right w:val="none" w:sz="0" w:space="0" w:color="auto"/>
                  </w:divBdr>
                </w:div>
              </w:divsChild>
            </w:div>
            <w:div w:id="1896774243">
              <w:marLeft w:val="0"/>
              <w:marRight w:val="0"/>
              <w:marTop w:val="0"/>
              <w:marBottom w:val="0"/>
              <w:divBdr>
                <w:top w:val="none" w:sz="0" w:space="0" w:color="auto"/>
                <w:left w:val="none" w:sz="0" w:space="0" w:color="auto"/>
                <w:bottom w:val="none" w:sz="0" w:space="0" w:color="auto"/>
                <w:right w:val="none" w:sz="0" w:space="0" w:color="auto"/>
              </w:divBdr>
              <w:divsChild>
                <w:div w:id="1260681714">
                  <w:marLeft w:val="0"/>
                  <w:marRight w:val="0"/>
                  <w:marTop w:val="0"/>
                  <w:marBottom w:val="0"/>
                  <w:divBdr>
                    <w:top w:val="none" w:sz="0" w:space="0" w:color="auto"/>
                    <w:left w:val="none" w:sz="0" w:space="0" w:color="auto"/>
                    <w:bottom w:val="none" w:sz="0" w:space="0" w:color="auto"/>
                    <w:right w:val="none" w:sz="0" w:space="0" w:color="auto"/>
                  </w:divBdr>
                </w:div>
              </w:divsChild>
            </w:div>
            <w:div w:id="1900895659">
              <w:marLeft w:val="0"/>
              <w:marRight w:val="0"/>
              <w:marTop w:val="0"/>
              <w:marBottom w:val="0"/>
              <w:divBdr>
                <w:top w:val="none" w:sz="0" w:space="0" w:color="auto"/>
                <w:left w:val="none" w:sz="0" w:space="0" w:color="auto"/>
                <w:bottom w:val="none" w:sz="0" w:space="0" w:color="auto"/>
                <w:right w:val="none" w:sz="0" w:space="0" w:color="auto"/>
              </w:divBdr>
              <w:divsChild>
                <w:div w:id="1430079643">
                  <w:marLeft w:val="0"/>
                  <w:marRight w:val="0"/>
                  <w:marTop w:val="0"/>
                  <w:marBottom w:val="0"/>
                  <w:divBdr>
                    <w:top w:val="none" w:sz="0" w:space="0" w:color="auto"/>
                    <w:left w:val="none" w:sz="0" w:space="0" w:color="auto"/>
                    <w:bottom w:val="none" w:sz="0" w:space="0" w:color="auto"/>
                    <w:right w:val="none" w:sz="0" w:space="0" w:color="auto"/>
                  </w:divBdr>
                </w:div>
              </w:divsChild>
            </w:div>
            <w:div w:id="2084449679">
              <w:marLeft w:val="0"/>
              <w:marRight w:val="0"/>
              <w:marTop w:val="0"/>
              <w:marBottom w:val="0"/>
              <w:divBdr>
                <w:top w:val="none" w:sz="0" w:space="0" w:color="auto"/>
                <w:left w:val="none" w:sz="0" w:space="0" w:color="auto"/>
                <w:bottom w:val="none" w:sz="0" w:space="0" w:color="auto"/>
                <w:right w:val="none" w:sz="0" w:space="0" w:color="auto"/>
              </w:divBdr>
              <w:divsChild>
                <w:div w:id="16738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38721">
      <w:bodyDiv w:val="1"/>
      <w:marLeft w:val="0"/>
      <w:marRight w:val="0"/>
      <w:marTop w:val="0"/>
      <w:marBottom w:val="0"/>
      <w:divBdr>
        <w:top w:val="none" w:sz="0" w:space="0" w:color="auto"/>
        <w:left w:val="none" w:sz="0" w:space="0" w:color="auto"/>
        <w:bottom w:val="none" w:sz="0" w:space="0" w:color="auto"/>
        <w:right w:val="none" w:sz="0" w:space="0" w:color="auto"/>
      </w:divBdr>
      <w:divsChild>
        <w:div w:id="334188400">
          <w:marLeft w:val="0"/>
          <w:marRight w:val="0"/>
          <w:marTop w:val="0"/>
          <w:marBottom w:val="0"/>
          <w:divBdr>
            <w:top w:val="none" w:sz="0" w:space="0" w:color="auto"/>
            <w:left w:val="none" w:sz="0" w:space="0" w:color="auto"/>
            <w:bottom w:val="none" w:sz="0" w:space="0" w:color="auto"/>
            <w:right w:val="none" w:sz="0" w:space="0" w:color="auto"/>
          </w:divBdr>
          <w:divsChild>
            <w:div w:id="2098553486">
              <w:marLeft w:val="0"/>
              <w:marRight w:val="0"/>
              <w:marTop w:val="0"/>
              <w:marBottom w:val="0"/>
              <w:divBdr>
                <w:top w:val="none" w:sz="0" w:space="0" w:color="auto"/>
                <w:left w:val="none" w:sz="0" w:space="0" w:color="auto"/>
                <w:bottom w:val="none" w:sz="0" w:space="0" w:color="auto"/>
                <w:right w:val="none" w:sz="0" w:space="0" w:color="auto"/>
              </w:divBdr>
              <w:divsChild>
                <w:div w:id="65125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69165">
      <w:bodyDiv w:val="1"/>
      <w:marLeft w:val="0"/>
      <w:marRight w:val="0"/>
      <w:marTop w:val="0"/>
      <w:marBottom w:val="0"/>
      <w:divBdr>
        <w:top w:val="none" w:sz="0" w:space="0" w:color="auto"/>
        <w:left w:val="none" w:sz="0" w:space="0" w:color="auto"/>
        <w:bottom w:val="none" w:sz="0" w:space="0" w:color="auto"/>
        <w:right w:val="none" w:sz="0" w:space="0" w:color="auto"/>
      </w:divBdr>
    </w:div>
    <w:div w:id="257493489">
      <w:bodyDiv w:val="1"/>
      <w:marLeft w:val="0"/>
      <w:marRight w:val="0"/>
      <w:marTop w:val="0"/>
      <w:marBottom w:val="0"/>
      <w:divBdr>
        <w:top w:val="none" w:sz="0" w:space="0" w:color="auto"/>
        <w:left w:val="none" w:sz="0" w:space="0" w:color="auto"/>
        <w:bottom w:val="none" w:sz="0" w:space="0" w:color="auto"/>
        <w:right w:val="none" w:sz="0" w:space="0" w:color="auto"/>
      </w:divBdr>
    </w:div>
    <w:div w:id="271982859">
      <w:bodyDiv w:val="1"/>
      <w:marLeft w:val="0"/>
      <w:marRight w:val="0"/>
      <w:marTop w:val="0"/>
      <w:marBottom w:val="0"/>
      <w:divBdr>
        <w:top w:val="none" w:sz="0" w:space="0" w:color="auto"/>
        <w:left w:val="none" w:sz="0" w:space="0" w:color="auto"/>
        <w:bottom w:val="none" w:sz="0" w:space="0" w:color="auto"/>
        <w:right w:val="none" w:sz="0" w:space="0" w:color="auto"/>
      </w:divBdr>
    </w:div>
    <w:div w:id="305933579">
      <w:bodyDiv w:val="1"/>
      <w:marLeft w:val="0"/>
      <w:marRight w:val="0"/>
      <w:marTop w:val="0"/>
      <w:marBottom w:val="0"/>
      <w:divBdr>
        <w:top w:val="none" w:sz="0" w:space="0" w:color="auto"/>
        <w:left w:val="none" w:sz="0" w:space="0" w:color="auto"/>
        <w:bottom w:val="none" w:sz="0" w:space="0" w:color="auto"/>
        <w:right w:val="none" w:sz="0" w:space="0" w:color="auto"/>
      </w:divBdr>
    </w:div>
    <w:div w:id="309481539">
      <w:bodyDiv w:val="1"/>
      <w:marLeft w:val="0"/>
      <w:marRight w:val="0"/>
      <w:marTop w:val="0"/>
      <w:marBottom w:val="0"/>
      <w:divBdr>
        <w:top w:val="none" w:sz="0" w:space="0" w:color="auto"/>
        <w:left w:val="none" w:sz="0" w:space="0" w:color="auto"/>
        <w:bottom w:val="none" w:sz="0" w:space="0" w:color="auto"/>
        <w:right w:val="none" w:sz="0" w:space="0" w:color="auto"/>
      </w:divBdr>
    </w:div>
    <w:div w:id="321469440">
      <w:bodyDiv w:val="1"/>
      <w:marLeft w:val="0"/>
      <w:marRight w:val="0"/>
      <w:marTop w:val="0"/>
      <w:marBottom w:val="0"/>
      <w:divBdr>
        <w:top w:val="none" w:sz="0" w:space="0" w:color="auto"/>
        <w:left w:val="none" w:sz="0" w:space="0" w:color="auto"/>
        <w:bottom w:val="none" w:sz="0" w:space="0" w:color="auto"/>
        <w:right w:val="none" w:sz="0" w:space="0" w:color="auto"/>
      </w:divBdr>
    </w:div>
    <w:div w:id="328555582">
      <w:bodyDiv w:val="1"/>
      <w:marLeft w:val="0"/>
      <w:marRight w:val="0"/>
      <w:marTop w:val="0"/>
      <w:marBottom w:val="0"/>
      <w:divBdr>
        <w:top w:val="none" w:sz="0" w:space="0" w:color="auto"/>
        <w:left w:val="none" w:sz="0" w:space="0" w:color="auto"/>
        <w:bottom w:val="none" w:sz="0" w:space="0" w:color="auto"/>
        <w:right w:val="none" w:sz="0" w:space="0" w:color="auto"/>
      </w:divBdr>
    </w:div>
    <w:div w:id="357321462">
      <w:bodyDiv w:val="1"/>
      <w:marLeft w:val="0"/>
      <w:marRight w:val="0"/>
      <w:marTop w:val="0"/>
      <w:marBottom w:val="0"/>
      <w:divBdr>
        <w:top w:val="none" w:sz="0" w:space="0" w:color="auto"/>
        <w:left w:val="none" w:sz="0" w:space="0" w:color="auto"/>
        <w:bottom w:val="none" w:sz="0" w:space="0" w:color="auto"/>
        <w:right w:val="none" w:sz="0" w:space="0" w:color="auto"/>
      </w:divBdr>
    </w:div>
    <w:div w:id="366880028">
      <w:bodyDiv w:val="1"/>
      <w:marLeft w:val="0"/>
      <w:marRight w:val="0"/>
      <w:marTop w:val="0"/>
      <w:marBottom w:val="0"/>
      <w:divBdr>
        <w:top w:val="none" w:sz="0" w:space="0" w:color="auto"/>
        <w:left w:val="none" w:sz="0" w:space="0" w:color="auto"/>
        <w:bottom w:val="none" w:sz="0" w:space="0" w:color="auto"/>
        <w:right w:val="none" w:sz="0" w:space="0" w:color="auto"/>
      </w:divBdr>
    </w:div>
    <w:div w:id="418258180">
      <w:bodyDiv w:val="1"/>
      <w:marLeft w:val="0"/>
      <w:marRight w:val="0"/>
      <w:marTop w:val="0"/>
      <w:marBottom w:val="0"/>
      <w:divBdr>
        <w:top w:val="none" w:sz="0" w:space="0" w:color="auto"/>
        <w:left w:val="none" w:sz="0" w:space="0" w:color="auto"/>
        <w:bottom w:val="none" w:sz="0" w:space="0" w:color="auto"/>
        <w:right w:val="none" w:sz="0" w:space="0" w:color="auto"/>
      </w:divBdr>
      <w:divsChild>
        <w:div w:id="189731485">
          <w:marLeft w:val="0"/>
          <w:marRight w:val="0"/>
          <w:marTop w:val="100"/>
          <w:marBottom w:val="100"/>
          <w:divBdr>
            <w:top w:val="none" w:sz="0" w:space="0" w:color="auto"/>
            <w:left w:val="none" w:sz="0" w:space="0" w:color="auto"/>
            <w:bottom w:val="none" w:sz="0" w:space="0" w:color="auto"/>
            <w:right w:val="none" w:sz="0" w:space="0" w:color="auto"/>
          </w:divBdr>
          <w:divsChild>
            <w:div w:id="98084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696943">
      <w:bodyDiv w:val="1"/>
      <w:marLeft w:val="0"/>
      <w:marRight w:val="0"/>
      <w:marTop w:val="0"/>
      <w:marBottom w:val="0"/>
      <w:divBdr>
        <w:top w:val="none" w:sz="0" w:space="0" w:color="auto"/>
        <w:left w:val="none" w:sz="0" w:space="0" w:color="auto"/>
        <w:bottom w:val="none" w:sz="0" w:space="0" w:color="auto"/>
        <w:right w:val="none" w:sz="0" w:space="0" w:color="auto"/>
      </w:divBdr>
      <w:divsChild>
        <w:div w:id="1709600579">
          <w:marLeft w:val="0"/>
          <w:marRight w:val="0"/>
          <w:marTop w:val="0"/>
          <w:marBottom w:val="0"/>
          <w:divBdr>
            <w:top w:val="none" w:sz="0" w:space="0" w:color="auto"/>
            <w:left w:val="none" w:sz="0" w:space="0" w:color="auto"/>
            <w:bottom w:val="none" w:sz="0" w:space="0" w:color="auto"/>
            <w:right w:val="none" w:sz="0" w:space="0" w:color="auto"/>
          </w:divBdr>
          <w:divsChild>
            <w:div w:id="826046318">
              <w:marLeft w:val="0"/>
              <w:marRight w:val="0"/>
              <w:marTop w:val="0"/>
              <w:marBottom w:val="0"/>
              <w:divBdr>
                <w:top w:val="none" w:sz="0" w:space="0" w:color="auto"/>
                <w:left w:val="none" w:sz="0" w:space="0" w:color="auto"/>
                <w:bottom w:val="none" w:sz="0" w:space="0" w:color="auto"/>
                <w:right w:val="none" w:sz="0" w:space="0" w:color="auto"/>
              </w:divBdr>
              <w:divsChild>
                <w:div w:id="186863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719311">
      <w:bodyDiv w:val="1"/>
      <w:marLeft w:val="0"/>
      <w:marRight w:val="0"/>
      <w:marTop w:val="0"/>
      <w:marBottom w:val="0"/>
      <w:divBdr>
        <w:top w:val="none" w:sz="0" w:space="0" w:color="auto"/>
        <w:left w:val="none" w:sz="0" w:space="0" w:color="auto"/>
        <w:bottom w:val="none" w:sz="0" w:space="0" w:color="auto"/>
        <w:right w:val="none" w:sz="0" w:space="0" w:color="auto"/>
      </w:divBdr>
      <w:divsChild>
        <w:div w:id="1673029653">
          <w:marLeft w:val="0"/>
          <w:marRight w:val="0"/>
          <w:marTop w:val="0"/>
          <w:marBottom w:val="0"/>
          <w:divBdr>
            <w:top w:val="none" w:sz="0" w:space="0" w:color="auto"/>
            <w:left w:val="none" w:sz="0" w:space="0" w:color="auto"/>
            <w:bottom w:val="none" w:sz="0" w:space="0" w:color="auto"/>
            <w:right w:val="none" w:sz="0" w:space="0" w:color="auto"/>
          </w:divBdr>
          <w:divsChild>
            <w:div w:id="791243542">
              <w:marLeft w:val="0"/>
              <w:marRight w:val="0"/>
              <w:marTop w:val="0"/>
              <w:marBottom w:val="0"/>
              <w:divBdr>
                <w:top w:val="none" w:sz="0" w:space="0" w:color="auto"/>
                <w:left w:val="none" w:sz="0" w:space="0" w:color="auto"/>
                <w:bottom w:val="none" w:sz="0" w:space="0" w:color="auto"/>
                <w:right w:val="none" w:sz="0" w:space="0" w:color="auto"/>
              </w:divBdr>
              <w:divsChild>
                <w:div w:id="112689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293446">
      <w:bodyDiv w:val="1"/>
      <w:marLeft w:val="0"/>
      <w:marRight w:val="0"/>
      <w:marTop w:val="0"/>
      <w:marBottom w:val="0"/>
      <w:divBdr>
        <w:top w:val="none" w:sz="0" w:space="0" w:color="auto"/>
        <w:left w:val="none" w:sz="0" w:space="0" w:color="auto"/>
        <w:bottom w:val="none" w:sz="0" w:space="0" w:color="auto"/>
        <w:right w:val="none" w:sz="0" w:space="0" w:color="auto"/>
      </w:divBdr>
      <w:divsChild>
        <w:div w:id="135151237">
          <w:marLeft w:val="0"/>
          <w:marRight w:val="0"/>
          <w:marTop w:val="0"/>
          <w:marBottom w:val="0"/>
          <w:divBdr>
            <w:top w:val="none" w:sz="0" w:space="0" w:color="auto"/>
            <w:left w:val="none" w:sz="0" w:space="0" w:color="auto"/>
            <w:bottom w:val="none" w:sz="0" w:space="0" w:color="auto"/>
            <w:right w:val="none" w:sz="0" w:space="0" w:color="auto"/>
          </w:divBdr>
          <w:divsChild>
            <w:div w:id="39020785">
              <w:marLeft w:val="0"/>
              <w:marRight w:val="0"/>
              <w:marTop w:val="0"/>
              <w:marBottom w:val="0"/>
              <w:divBdr>
                <w:top w:val="none" w:sz="0" w:space="0" w:color="auto"/>
                <w:left w:val="none" w:sz="0" w:space="0" w:color="auto"/>
                <w:bottom w:val="none" w:sz="0" w:space="0" w:color="auto"/>
                <w:right w:val="none" w:sz="0" w:space="0" w:color="auto"/>
              </w:divBdr>
              <w:divsChild>
                <w:div w:id="65930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650175">
      <w:bodyDiv w:val="1"/>
      <w:marLeft w:val="0"/>
      <w:marRight w:val="0"/>
      <w:marTop w:val="0"/>
      <w:marBottom w:val="0"/>
      <w:divBdr>
        <w:top w:val="none" w:sz="0" w:space="0" w:color="auto"/>
        <w:left w:val="none" w:sz="0" w:space="0" w:color="auto"/>
        <w:bottom w:val="none" w:sz="0" w:space="0" w:color="auto"/>
        <w:right w:val="none" w:sz="0" w:space="0" w:color="auto"/>
      </w:divBdr>
    </w:div>
    <w:div w:id="515775114">
      <w:bodyDiv w:val="1"/>
      <w:marLeft w:val="0"/>
      <w:marRight w:val="0"/>
      <w:marTop w:val="0"/>
      <w:marBottom w:val="0"/>
      <w:divBdr>
        <w:top w:val="none" w:sz="0" w:space="0" w:color="auto"/>
        <w:left w:val="none" w:sz="0" w:space="0" w:color="auto"/>
        <w:bottom w:val="none" w:sz="0" w:space="0" w:color="auto"/>
        <w:right w:val="none" w:sz="0" w:space="0" w:color="auto"/>
      </w:divBdr>
      <w:divsChild>
        <w:div w:id="1586960350">
          <w:marLeft w:val="0"/>
          <w:marRight w:val="0"/>
          <w:marTop w:val="0"/>
          <w:marBottom w:val="0"/>
          <w:divBdr>
            <w:top w:val="none" w:sz="0" w:space="0" w:color="auto"/>
            <w:left w:val="none" w:sz="0" w:space="0" w:color="auto"/>
            <w:bottom w:val="none" w:sz="0" w:space="0" w:color="auto"/>
            <w:right w:val="none" w:sz="0" w:space="0" w:color="auto"/>
          </w:divBdr>
          <w:divsChild>
            <w:div w:id="2138137716">
              <w:marLeft w:val="0"/>
              <w:marRight w:val="0"/>
              <w:marTop w:val="0"/>
              <w:marBottom w:val="0"/>
              <w:divBdr>
                <w:top w:val="none" w:sz="0" w:space="0" w:color="auto"/>
                <w:left w:val="none" w:sz="0" w:space="0" w:color="auto"/>
                <w:bottom w:val="none" w:sz="0" w:space="0" w:color="auto"/>
                <w:right w:val="none" w:sz="0" w:space="0" w:color="auto"/>
              </w:divBdr>
              <w:divsChild>
                <w:div w:id="8928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734257">
      <w:bodyDiv w:val="1"/>
      <w:marLeft w:val="0"/>
      <w:marRight w:val="0"/>
      <w:marTop w:val="0"/>
      <w:marBottom w:val="0"/>
      <w:divBdr>
        <w:top w:val="none" w:sz="0" w:space="0" w:color="auto"/>
        <w:left w:val="none" w:sz="0" w:space="0" w:color="auto"/>
        <w:bottom w:val="none" w:sz="0" w:space="0" w:color="auto"/>
        <w:right w:val="none" w:sz="0" w:space="0" w:color="auto"/>
      </w:divBdr>
      <w:divsChild>
        <w:div w:id="1256669199">
          <w:marLeft w:val="0"/>
          <w:marRight w:val="0"/>
          <w:marTop w:val="0"/>
          <w:marBottom w:val="0"/>
          <w:divBdr>
            <w:top w:val="none" w:sz="0" w:space="0" w:color="auto"/>
            <w:left w:val="none" w:sz="0" w:space="0" w:color="auto"/>
            <w:bottom w:val="none" w:sz="0" w:space="0" w:color="auto"/>
            <w:right w:val="none" w:sz="0" w:space="0" w:color="auto"/>
          </w:divBdr>
          <w:divsChild>
            <w:div w:id="1877738982">
              <w:marLeft w:val="0"/>
              <w:marRight w:val="0"/>
              <w:marTop w:val="0"/>
              <w:marBottom w:val="0"/>
              <w:divBdr>
                <w:top w:val="none" w:sz="0" w:space="0" w:color="auto"/>
                <w:left w:val="none" w:sz="0" w:space="0" w:color="auto"/>
                <w:bottom w:val="none" w:sz="0" w:space="0" w:color="auto"/>
                <w:right w:val="none" w:sz="0" w:space="0" w:color="auto"/>
              </w:divBdr>
              <w:divsChild>
                <w:div w:id="145925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474970">
      <w:bodyDiv w:val="1"/>
      <w:marLeft w:val="0"/>
      <w:marRight w:val="0"/>
      <w:marTop w:val="0"/>
      <w:marBottom w:val="0"/>
      <w:divBdr>
        <w:top w:val="none" w:sz="0" w:space="0" w:color="auto"/>
        <w:left w:val="none" w:sz="0" w:space="0" w:color="auto"/>
        <w:bottom w:val="none" w:sz="0" w:space="0" w:color="auto"/>
        <w:right w:val="none" w:sz="0" w:space="0" w:color="auto"/>
      </w:divBdr>
      <w:divsChild>
        <w:div w:id="2030450202">
          <w:marLeft w:val="0"/>
          <w:marRight w:val="0"/>
          <w:marTop w:val="0"/>
          <w:marBottom w:val="0"/>
          <w:divBdr>
            <w:top w:val="none" w:sz="0" w:space="0" w:color="auto"/>
            <w:left w:val="none" w:sz="0" w:space="0" w:color="auto"/>
            <w:bottom w:val="none" w:sz="0" w:space="0" w:color="auto"/>
            <w:right w:val="none" w:sz="0" w:space="0" w:color="auto"/>
          </w:divBdr>
          <w:divsChild>
            <w:div w:id="2140607272">
              <w:marLeft w:val="0"/>
              <w:marRight w:val="0"/>
              <w:marTop w:val="0"/>
              <w:marBottom w:val="0"/>
              <w:divBdr>
                <w:top w:val="none" w:sz="0" w:space="0" w:color="auto"/>
                <w:left w:val="none" w:sz="0" w:space="0" w:color="auto"/>
                <w:bottom w:val="none" w:sz="0" w:space="0" w:color="auto"/>
                <w:right w:val="none" w:sz="0" w:space="0" w:color="auto"/>
              </w:divBdr>
              <w:divsChild>
                <w:div w:id="199001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370252">
      <w:bodyDiv w:val="1"/>
      <w:marLeft w:val="0"/>
      <w:marRight w:val="0"/>
      <w:marTop w:val="0"/>
      <w:marBottom w:val="0"/>
      <w:divBdr>
        <w:top w:val="none" w:sz="0" w:space="0" w:color="auto"/>
        <w:left w:val="none" w:sz="0" w:space="0" w:color="auto"/>
        <w:bottom w:val="none" w:sz="0" w:space="0" w:color="auto"/>
        <w:right w:val="none" w:sz="0" w:space="0" w:color="auto"/>
      </w:divBdr>
    </w:div>
    <w:div w:id="547765925">
      <w:bodyDiv w:val="1"/>
      <w:marLeft w:val="0"/>
      <w:marRight w:val="0"/>
      <w:marTop w:val="0"/>
      <w:marBottom w:val="0"/>
      <w:divBdr>
        <w:top w:val="none" w:sz="0" w:space="0" w:color="auto"/>
        <w:left w:val="none" w:sz="0" w:space="0" w:color="auto"/>
        <w:bottom w:val="none" w:sz="0" w:space="0" w:color="auto"/>
        <w:right w:val="none" w:sz="0" w:space="0" w:color="auto"/>
      </w:divBdr>
      <w:divsChild>
        <w:div w:id="1633364756">
          <w:marLeft w:val="0"/>
          <w:marRight w:val="0"/>
          <w:marTop w:val="0"/>
          <w:marBottom w:val="120"/>
          <w:divBdr>
            <w:top w:val="none" w:sz="0" w:space="0" w:color="auto"/>
            <w:left w:val="none" w:sz="0" w:space="0" w:color="auto"/>
            <w:bottom w:val="none" w:sz="0" w:space="0" w:color="auto"/>
            <w:right w:val="none" w:sz="0" w:space="0" w:color="auto"/>
          </w:divBdr>
          <w:divsChild>
            <w:div w:id="348258486">
              <w:marLeft w:val="0"/>
              <w:marRight w:val="0"/>
              <w:marTop w:val="0"/>
              <w:marBottom w:val="0"/>
              <w:divBdr>
                <w:top w:val="none" w:sz="0" w:space="0" w:color="auto"/>
                <w:left w:val="none" w:sz="0" w:space="0" w:color="auto"/>
                <w:bottom w:val="none" w:sz="0" w:space="0" w:color="auto"/>
                <w:right w:val="none" w:sz="0" w:space="0" w:color="auto"/>
              </w:divBdr>
              <w:divsChild>
                <w:div w:id="664011460">
                  <w:marLeft w:val="0"/>
                  <w:marRight w:val="0"/>
                  <w:marTop w:val="0"/>
                  <w:marBottom w:val="0"/>
                  <w:divBdr>
                    <w:top w:val="none" w:sz="0" w:space="0" w:color="auto"/>
                    <w:left w:val="none" w:sz="0" w:space="0" w:color="auto"/>
                    <w:bottom w:val="none" w:sz="0" w:space="0" w:color="auto"/>
                    <w:right w:val="none" w:sz="0" w:space="0" w:color="auto"/>
                  </w:divBdr>
                  <w:divsChild>
                    <w:div w:id="86192736">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 w:id="548491457">
      <w:bodyDiv w:val="1"/>
      <w:marLeft w:val="0"/>
      <w:marRight w:val="0"/>
      <w:marTop w:val="0"/>
      <w:marBottom w:val="0"/>
      <w:divBdr>
        <w:top w:val="none" w:sz="0" w:space="0" w:color="auto"/>
        <w:left w:val="none" w:sz="0" w:space="0" w:color="auto"/>
        <w:bottom w:val="none" w:sz="0" w:space="0" w:color="auto"/>
        <w:right w:val="none" w:sz="0" w:space="0" w:color="auto"/>
      </w:divBdr>
      <w:divsChild>
        <w:div w:id="2124301217">
          <w:marLeft w:val="0"/>
          <w:marRight w:val="0"/>
          <w:marTop w:val="0"/>
          <w:marBottom w:val="0"/>
          <w:divBdr>
            <w:top w:val="none" w:sz="0" w:space="0" w:color="auto"/>
            <w:left w:val="none" w:sz="0" w:space="0" w:color="auto"/>
            <w:bottom w:val="none" w:sz="0" w:space="0" w:color="auto"/>
            <w:right w:val="none" w:sz="0" w:space="0" w:color="auto"/>
          </w:divBdr>
          <w:divsChild>
            <w:div w:id="1016346734">
              <w:marLeft w:val="0"/>
              <w:marRight w:val="0"/>
              <w:marTop w:val="0"/>
              <w:marBottom w:val="0"/>
              <w:divBdr>
                <w:top w:val="none" w:sz="0" w:space="0" w:color="auto"/>
                <w:left w:val="none" w:sz="0" w:space="0" w:color="auto"/>
                <w:bottom w:val="none" w:sz="0" w:space="0" w:color="auto"/>
                <w:right w:val="none" w:sz="0" w:space="0" w:color="auto"/>
              </w:divBdr>
              <w:divsChild>
                <w:div w:id="1778402300">
                  <w:marLeft w:val="0"/>
                  <w:marRight w:val="0"/>
                  <w:marTop w:val="0"/>
                  <w:marBottom w:val="0"/>
                  <w:divBdr>
                    <w:top w:val="none" w:sz="0" w:space="0" w:color="auto"/>
                    <w:left w:val="none" w:sz="0" w:space="0" w:color="auto"/>
                    <w:bottom w:val="none" w:sz="0" w:space="0" w:color="auto"/>
                    <w:right w:val="none" w:sz="0" w:space="0" w:color="auto"/>
                  </w:divBdr>
                  <w:divsChild>
                    <w:div w:id="192337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527051">
      <w:bodyDiv w:val="1"/>
      <w:marLeft w:val="0"/>
      <w:marRight w:val="0"/>
      <w:marTop w:val="0"/>
      <w:marBottom w:val="0"/>
      <w:divBdr>
        <w:top w:val="none" w:sz="0" w:space="0" w:color="auto"/>
        <w:left w:val="none" w:sz="0" w:space="0" w:color="auto"/>
        <w:bottom w:val="none" w:sz="0" w:space="0" w:color="auto"/>
        <w:right w:val="none" w:sz="0" w:space="0" w:color="auto"/>
      </w:divBdr>
      <w:divsChild>
        <w:div w:id="1097213962">
          <w:marLeft w:val="0"/>
          <w:marRight w:val="0"/>
          <w:marTop w:val="0"/>
          <w:marBottom w:val="0"/>
          <w:divBdr>
            <w:top w:val="none" w:sz="0" w:space="0" w:color="auto"/>
            <w:left w:val="none" w:sz="0" w:space="0" w:color="auto"/>
            <w:bottom w:val="none" w:sz="0" w:space="0" w:color="auto"/>
            <w:right w:val="none" w:sz="0" w:space="0" w:color="auto"/>
          </w:divBdr>
          <w:divsChild>
            <w:div w:id="427313642">
              <w:marLeft w:val="0"/>
              <w:marRight w:val="0"/>
              <w:marTop w:val="0"/>
              <w:marBottom w:val="0"/>
              <w:divBdr>
                <w:top w:val="none" w:sz="0" w:space="0" w:color="auto"/>
                <w:left w:val="none" w:sz="0" w:space="0" w:color="auto"/>
                <w:bottom w:val="none" w:sz="0" w:space="0" w:color="auto"/>
                <w:right w:val="none" w:sz="0" w:space="0" w:color="auto"/>
              </w:divBdr>
              <w:divsChild>
                <w:div w:id="137561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12023">
      <w:bodyDiv w:val="1"/>
      <w:marLeft w:val="0"/>
      <w:marRight w:val="0"/>
      <w:marTop w:val="0"/>
      <w:marBottom w:val="0"/>
      <w:divBdr>
        <w:top w:val="none" w:sz="0" w:space="0" w:color="auto"/>
        <w:left w:val="none" w:sz="0" w:space="0" w:color="auto"/>
        <w:bottom w:val="none" w:sz="0" w:space="0" w:color="auto"/>
        <w:right w:val="none" w:sz="0" w:space="0" w:color="auto"/>
      </w:divBdr>
    </w:div>
    <w:div w:id="666325749">
      <w:bodyDiv w:val="1"/>
      <w:marLeft w:val="0"/>
      <w:marRight w:val="0"/>
      <w:marTop w:val="0"/>
      <w:marBottom w:val="0"/>
      <w:divBdr>
        <w:top w:val="none" w:sz="0" w:space="0" w:color="auto"/>
        <w:left w:val="none" w:sz="0" w:space="0" w:color="auto"/>
        <w:bottom w:val="none" w:sz="0" w:space="0" w:color="auto"/>
        <w:right w:val="none" w:sz="0" w:space="0" w:color="auto"/>
      </w:divBdr>
    </w:div>
    <w:div w:id="675886364">
      <w:bodyDiv w:val="1"/>
      <w:marLeft w:val="0"/>
      <w:marRight w:val="0"/>
      <w:marTop w:val="0"/>
      <w:marBottom w:val="0"/>
      <w:divBdr>
        <w:top w:val="none" w:sz="0" w:space="0" w:color="auto"/>
        <w:left w:val="none" w:sz="0" w:space="0" w:color="auto"/>
        <w:bottom w:val="none" w:sz="0" w:space="0" w:color="auto"/>
        <w:right w:val="none" w:sz="0" w:space="0" w:color="auto"/>
      </w:divBdr>
    </w:div>
    <w:div w:id="675887842">
      <w:bodyDiv w:val="1"/>
      <w:marLeft w:val="0"/>
      <w:marRight w:val="0"/>
      <w:marTop w:val="0"/>
      <w:marBottom w:val="0"/>
      <w:divBdr>
        <w:top w:val="none" w:sz="0" w:space="0" w:color="auto"/>
        <w:left w:val="none" w:sz="0" w:space="0" w:color="auto"/>
        <w:bottom w:val="none" w:sz="0" w:space="0" w:color="auto"/>
        <w:right w:val="none" w:sz="0" w:space="0" w:color="auto"/>
      </w:divBdr>
      <w:divsChild>
        <w:div w:id="374546819">
          <w:marLeft w:val="0"/>
          <w:marRight w:val="0"/>
          <w:marTop w:val="0"/>
          <w:marBottom w:val="0"/>
          <w:divBdr>
            <w:top w:val="none" w:sz="0" w:space="0" w:color="auto"/>
            <w:left w:val="none" w:sz="0" w:space="0" w:color="auto"/>
            <w:bottom w:val="none" w:sz="0" w:space="0" w:color="auto"/>
            <w:right w:val="none" w:sz="0" w:space="0" w:color="auto"/>
          </w:divBdr>
          <w:divsChild>
            <w:div w:id="76024012">
              <w:marLeft w:val="0"/>
              <w:marRight w:val="0"/>
              <w:marTop w:val="0"/>
              <w:marBottom w:val="0"/>
              <w:divBdr>
                <w:top w:val="none" w:sz="0" w:space="0" w:color="auto"/>
                <w:left w:val="none" w:sz="0" w:space="0" w:color="auto"/>
                <w:bottom w:val="none" w:sz="0" w:space="0" w:color="auto"/>
                <w:right w:val="none" w:sz="0" w:space="0" w:color="auto"/>
              </w:divBdr>
              <w:divsChild>
                <w:div w:id="235286711">
                  <w:marLeft w:val="0"/>
                  <w:marRight w:val="0"/>
                  <w:marTop w:val="0"/>
                  <w:marBottom w:val="0"/>
                  <w:divBdr>
                    <w:top w:val="none" w:sz="0" w:space="0" w:color="auto"/>
                    <w:left w:val="none" w:sz="0" w:space="0" w:color="auto"/>
                    <w:bottom w:val="none" w:sz="0" w:space="0" w:color="auto"/>
                    <w:right w:val="none" w:sz="0" w:space="0" w:color="auto"/>
                  </w:divBdr>
                  <w:divsChild>
                    <w:div w:id="145505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616477">
      <w:bodyDiv w:val="1"/>
      <w:marLeft w:val="0"/>
      <w:marRight w:val="0"/>
      <w:marTop w:val="0"/>
      <w:marBottom w:val="0"/>
      <w:divBdr>
        <w:top w:val="none" w:sz="0" w:space="0" w:color="auto"/>
        <w:left w:val="none" w:sz="0" w:space="0" w:color="auto"/>
        <w:bottom w:val="none" w:sz="0" w:space="0" w:color="auto"/>
        <w:right w:val="none" w:sz="0" w:space="0" w:color="auto"/>
      </w:divBdr>
      <w:divsChild>
        <w:div w:id="1187982624">
          <w:marLeft w:val="0"/>
          <w:marRight w:val="0"/>
          <w:marTop w:val="0"/>
          <w:marBottom w:val="0"/>
          <w:divBdr>
            <w:top w:val="none" w:sz="0" w:space="0" w:color="auto"/>
            <w:left w:val="none" w:sz="0" w:space="0" w:color="auto"/>
            <w:bottom w:val="none" w:sz="0" w:space="0" w:color="auto"/>
            <w:right w:val="none" w:sz="0" w:space="0" w:color="auto"/>
          </w:divBdr>
          <w:divsChild>
            <w:div w:id="2002344274">
              <w:marLeft w:val="0"/>
              <w:marRight w:val="0"/>
              <w:marTop w:val="0"/>
              <w:marBottom w:val="0"/>
              <w:divBdr>
                <w:top w:val="none" w:sz="0" w:space="0" w:color="auto"/>
                <w:left w:val="none" w:sz="0" w:space="0" w:color="auto"/>
                <w:bottom w:val="none" w:sz="0" w:space="0" w:color="auto"/>
                <w:right w:val="none" w:sz="0" w:space="0" w:color="auto"/>
              </w:divBdr>
              <w:divsChild>
                <w:div w:id="88476552">
                  <w:marLeft w:val="0"/>
                  <w:marRight w:val="0"/>
                  <w:marTop w:val="0"/>
                  <w:marBottom w:val="0"/>
                  <w:divBdr>
                    <w:top w:val="none" w:sz="0" w:space="0" w:color="auto"/>
                    <w:left w:val="none" w:sz="0" w:space="0" w:color="auto"/>
                    <w:bottom w:val="none" w:sz="0" w:space="0" w:color="auto"/>
                    <w:right w:val="none" w:sz="0" w:space="0" w:color="auto"/>
                  </w:divBdr>
                  <w:divsChild>
                    <w:div w:id="860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7124036">
      <w:bodyDiv w:val="1"/>
      <w:marLeft w:val="0"/>
      <w:marRight w:val="0"/>
      <w:marTop w:val="0"/>
      <w:marBottom w:val="0"/>
      <w:divBdr>
        <w:top w:val="none" w:sz="0" w:space="0" w:color="auto"/>
        <w:left w:val="none" w:sz="0" w:space="0" w:color="auto"/>
        <w:bottom w:val="none" w:sz="0" w:space="0" w:color="auto"/>
        <w:right w:val="none" w:sz="0" w:space="0" w:color="auto"/>
      </w:divBdr>
    </w:div>
    <w:div w:id="698160978">
      <w:bodyDiv w:val="1"/>
      <w:marLeft w:val="0"/>
      <w:marRight w:val="0"/>
      <w:marTop w:val="0"/>
      <w:marBottom w:val="0"/>
      <w:divBdr>
        <w:top w:val="none" w:sz="0" w:space="0" w:color="auto"/>
        <w:left w:val="none" w:sz="0" w:space="0" w:color="auto"/>
        <w:bottom w:val="none" w:sz="0" w:space="0" w:color="auto"/>
        <w:right w:val="none" w:sz="0" w:space="0" w:color="auto"/>
      </w:divBdr>
    </w:div>
    <w:div w:id="706292515">
      <w:bodyDiv w:val="1"/>
      <w:marLeft w:val="0"/>
      <w:marRight w:val="0"/>
      <w:marTop w:val="0"/>
      <w:marBottom w:val="0"/>
      <w:divBdr>
        <w:top w:val="none" w:sz="0" w:space="0" w:color="auto"/>
        <w:left w:val="none" w:sz="0" w:space="0" w:color="auto"/>
        <w:bottom w:val="none" w:sz="0" w:space="0" w:color="auto"/>
        <w:right w:val="none" w:sz="0" w:space="0" w:color="auto"/>
      </w:divBdr>
      <w:divsChild>
        <w:div w:id="355467285">
          <w:marLeft w:val="0"/>
          <w:marRight w:val="0"/>
          <w:marTop w:val="0"/>
          <w:marBottom w:val="0"/>
          <w:divBdr>
            <w:top w:val="none" w:sz="0" w:space="0" w:color="auto"/>
            <w:left w:val="none" w:sz="0" w:space="0" w:color="auto"/>
            <w:bottom w:val="none" w:sz="0" w:space="0" w:color="auto"/>
            <w:right w:val="none" w:sz="0" w:space="0" w:color="auto"/>
          </w:divBdr>
        </w:div>
        <w:div w:id="1835102416">
          <w:marLeft w:val="0"/>
          <w:marRight w:val="0"/>
          <w:marTop w:val="0"/>
          <w:marBottom w:val="0"/>
          <w:divBdr>
            <w:top w:val="none" w:sz="0" w:space="0" w:color="auto"/>
            <w:left w:val="none" w:sz="0" w:space="0" w:color="auto"/>
            <w:bottom w:val="none" w:sz="0" w:space="0" w:color="auto"/>
            <w:right w:val="none" w:sz="0" w:space="0" w:color="auto"/>
          </w:divBdr>
        </w:div>
        <w:div w:id="2063484356">
          <w:marLeft w:val="0"/>
          <w:marRight w:val="0"/>
          <w:marTop w:val="0"/>
          <w:marBottom w:val="0"/>
          <w:divBdr>
            <w:top w:val="none" w:sz="0" w:space="0" w:color="auto"/>
            <w:left w:val="none" w:sz="0" w:space="0" w:color="auto"/>
            <w:bottom w:val="none" w:sz="0" w:space="0" w:color="auto"/>
            <w:right w:val="none" w:sz="0" w:space="0" w:color="auto"/>
          </w:divBdr>
        </w:div>
        <w:div w:id="2122994033">
          <w:marLeft w:val="0"/>
          <w:marRight w:val="0"/>
          <w:marTop w:val="0"/>
          <w:marBottom w:val="0"/>
          <w:divBdr>
            <w:top w:val="none" w:sz="0" w:space="0" w:color="auto"/>
            <w:left w:val="none" w:sz="0" w:space="0" w:color="auto"/>
            <w:bottom w:val="none" w:sz="0" w:space="0" w:color="auto"/>
            <w:right w:val="none" w:sz="0" w:space="0" w:color="auto"/>
          </w:divBdr>
        </w:div>
      </w:divsChild>
    </w:div>
    <w:div w:id="707028213">
      <w:bodyDiv w:val="1"/>
      <w:marLeft w:val="0"/>
      <w:marRight w:val="0"/>
      <w:marTop w:val="0"/>
      <w:marBottom w:val="0"/>
      <w:divBdr>
        <w:top w:val="none" w:sz="0" w:space="0" w:color="auto"/>
        <w:left w:val="none" w:sz="0" w:space="0" w:color="auto"/>
        <w:bottom w:val="none" w:sz="0" w:space="0" w:color="auto"/>
        <w:right w:val="none" w:sz="0" w:space="0" w:color="auto"/>
      </w:divBdr>
    </w:div>
    <w:div w:id="784154580">
      <w:bodyDiv w:val="1"/>
      <w:marLeft w:val="0"/>
      <w:marRight w:val="0"/>
      <w:marTop w:val="0"/>
      <w:marBottom w:val="0"/>
      <w:divBdr>
        <w:top w:val="none" w:sz="0" w:space="0" w:color="auto"/>
        <w:left w:val="none" w:sz="0" w:space="0" w:color="auto"/>
        <w:bottom w:val="none" w:sz="0" w:space="0" w:color="auto"/>
        <w:right w:val="none" w:sz="0" w:space="0" w:color="auto"/>
      </w:divBdr>
    </w:div>
    <w:div w:id="811094535">
      <w:bodyDiv w:val="1"/>
      <w:marLeft w:val="0"/>
      <w:marRight w:val="0"/>
      <w:marTop w:val="0"/>
      <w:marBottom w:val="0"/>
      <w:divBdr>
        <w:top w:val="none" w:sz="0" w:space="0" w:color="auto"/>
        <w:left w:val="none" w:sz="0" w:space="0" w:color="auto"/>
        <w:bottom w:val="none" w:sz="0" w:space="0" w:color="auto"/>
        <w:right w:val="none" w:sz="0" w:space="0" w:color="auto"/>
      </w:divBdr>
    </w:div>
    <w:div w:id="831331387">
      <w:bodyDiv w:val="1"/>
      <w:marLeft w:val="0"/>
      <w:marRight w:val="0"/>
      <w:marTop w:val="0"/>
      <w:marBottom w:val="0"/>
      <w:divBdr>
        <w:top w:val="none" w:sz="0" w:space="0" w:color="auto"/>
        <w:left w:val="none" w:sz="0" w:space="0" w:color="auto"/>
        <w:bottom w:val="none" w:sz="0" w:space="0" w:color="auto"/>
        <w:right w:val="none" w:sz="0" w:space="0" w:color="auto"/>
      </w:divBdr>
    </w:div>
    <w:div w:id="856769419">
      <w:bodyDiv w:val="1"/>
      <w:marLeft w:val="0"/>
      <w:marRight w:val="0"/>
      <w:marTop w:val="0"/>
      <w:marBottom w:val="0"/>
      <w:divBdr>
        <w:top w:val="none" w:sz="0" w:space="0" w:color="auto"/>
        <w:left w:val="none" w:sz="0" w:space="0" w:color="auto"/>
        <w:bottom w:val="none" w:sz="0" w:space="0" w:color="auto"/>
        <w:right w:val="none" w:sz="0" w:space="0" w:color="auto"/>
      </w:divBdr>
      <w:divsChild>
        <w:div w:id="550773503">
          <w:marLeft w:val="0"/>
          <w:marRight w:val="0"/>
          <w:marTop w:val="0"/>
          <w:marBottom w:val="0"/>
          <w:divBdr>
            <w:top w:val="none" w:sz="0" w:space="0" w:color="auto"/>
            <w:left w:val="none" w:sz="0" w:space="0" w:color="auto"/>
            <w:bottom w:val="none" w:sz="0" w:space="0" w:color="auto"/>
            <w:right w:val="none" w:sz="0" w:space="0" w:color="auto"/>
          </w:divBdr>
          <w:divsChild>
            <w:div w:id="529026768">
              <w:marLeft w:val="0"/>
              <w:marRight w:val="0"/>
              <w:marTop w:val="0"/>
              <w:marBottom w:val="0"/>
              <w:divBdr>
                <w:top w:val="none" w:sz="0" w:space="0" w:color="auto"/>
                <w:left w:val="none" w:sz="0" w:space="0" w:color="auto"/>
                <w:bottom w:val="none" w:sz="0" w:space="0" w:color="auto"/>
                <w:right w:val="none" w:sz="0" w:space="0" w:color="auto"/>
              </w:divBdr>
              <w:divsChild>
                <w:div w:id="118601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471722">
      <w:bodyDiv w:val="1"/>
      <w:marLeft w:val="0"/>
      <w:marRight w:val="0"/>
      <w:marTop w:val="0"/>
      <w:marBottom w:val="0"/>
      <w:divBdr>
        <w:top w:val="none" w:sz="0" w:space="0" w:color="auto"/>
        <w:left w:val="none" w:sz="0" w:space="0" w:color="auto"/>
        <w:bottom w:val="none" w:sz="0" w:space="0" w:color="auto"/>
        <w:right w:val="none" w:sz="0" w:space="0" w:color="auto"/>
      </w:divBdr>
    </w:div>
    <w:div w:id="863716077">
      <w:bodyDiv w:val="1"/>
      <w:marLeft w:val="0"/>
      <w:marRight w:val="0"/>
      <w:marTop w:val="0"/>
      <w:marBottom w:val="0"/>
      <w:divBdr>
        <w:top w:val="none" w:sz="0" w:space="0" w:color="auto"/>
        <w:left w:val="none" w:sz="0" w:space="0" w:color="auto"/>
        <w:bottom w:val="none" w:sz="0" w:space="0" w:color="auto"/>
        <w:right w:val="none" w:sz="0" w:space="0" w:color="auto"/>
      </w:divBdr>
    </w:div>
    <w:div w:id="892933012">
      <w:bodyDiv w:val="1"/>
      <w:marLeft w:val="0"/>
      <w:marRight w:val="0"/>
      <w:marTop w:val="0"/>
      <w:marBottom w:val="0"/>
      <w:divBdr>
        <w:top w:val="none" w:sz="0" w:space="0" w:color="auto"/>
        <w:left w:val="none" w:sz="0" w:space="0" w:color="auto"/>
        <w:bottom w:val="none" w:sz="0" w:space="0" w:color="auto"/>
        <w:right w:val="none" w:sz="0" w:space="0" w:color="auto"/>
      </w:divBdr>
    </w:div>
    <w:div w:id="898250240">
      <w:bodyDiv w:val="1"/>
      <w:marLeft w:val="0"/>
      <w:marRight w:val="0"/>
      <w:marTop w:val="0"/>
      <w:marBottom w:val="0"/>
      <w:divBdr>
        <w:top w:val="none" w:sz="0" w:space="0" w:color="auto"/>
        <w:left w:val="none" w:sz="0" w:space="0" w:color="auto"/>
        <w:bottom w:val="none" w:sz="0" w:space="0" w:color="auto"/>
        <w:right w:val="none" w:sz="0" w:space="0" w:color="auto"/>
      </w:divBdr>
      <w:divsChild>
        <w:div w:id="1120105221">
          <w:marLeft w:val="0"/>
          <w:marRight w:val="0"/>
          <w:marTop w:val="0"/>
          <w:marBottom w:val="0"/>
          <w:divBdr>
            <w:top w:val="none" w:sz="0" w:space="0" w:color="auto"/>
            <w:left w:val="none" w:sz="0" w:space="0" w:color="auto"/>
            <w:bottom w:val="none" w:sz="0" w:space="0" w:color="auto"/>
            <w:right w:val="none" w:sz="0" w:space="0" w:color="auto"/>
          </w:divBdr>
          <w:divsChild>
            <w:div w:id="917132669">
              <w:marLeft w:val="0"/>
              <w:marRight w:val="0"/>
              <w:marTop w:val="0"/>
              <w:marBottom w:val="0"/>
              <w:divBdr>
                <w:top w:val="none" w:sz="0" w:space="0" w:color="auto"/>
                <w:left w:val="none" w:sz="0" w:space="0" w:color="auto"/>
                <w:bottom w:val="none" w:sz="0" w:space="0" w:color="auto"/>
                <w:right w:val="none" w:sz="0" w:space="0" w:color="auto"/>
              </w:divBdr>
              <w:divsChild>
                <w:div w:id="108568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432150">
      <w:bodyDiv w:val="1"/>
      <w:marLeft w:val="0"/>
      <w:marRight w:val="0"/>
      <w:marTop w:val="0"/>
      <w:marBottom w:val="0"/>
      <w:divBdr>
        <w:top w:val="none" w:sz="0" w:space="0" w:color="auto"/>
        <w:left w:val="none" w:sz="0" w:space="0" w:color="auto"/>
        <w:bottom w:val="none" w:sz="0" w:space="0" w:color="auto"/>
        <w:right w:val="none" w:sz="0" w:space="0" w:color="auto"/>
      </w:divBdr>
    </w:div>
    <w:div w:id="921640958">
      <w:bodyDiv w:val="1"/>
      <w:marLeft w:val="0"/>
      <w:marRight w:val="0"/>
      <w:marTop w:val="0"/>
      <w:marBottom w:val="0"/>
      <w:divBdr>
        <w:top w:val="none" w:sz="0" w:space="0" w:color="auto"/>
        <w:left w:val="none" w:sz="0" w:space="0" w:color="auto"/>
        <w:bottom w:val="none" w:sz="0" w:space="0" w:color="auto"/>
        <w:right w:val="none" w:sz="0" w:space="0" w:color="auto"/>
      </w:divBdr>
      <w:divsChild>
        <w:div w:id="2066026372">
          <w:marLeft w:val="0"/>
          <w:marRight w:val="0"/>
          <w:marTop w:val="0"/>
          <w:marBottom w:val="0"/>
          <w:divBdr>
            <w:top w:val="none" w:sz="0" w:space="0" w:color="auto"/>
            <w:left w:val="none" w:sz="0" w:space="0" w:color="auto"/>
            <w:bottom w:val="none" w:sz="0" w:space="0" w:color="auto"/>
            <w:right w:val="none" w:sz="0" w:space="0" w:color="auto"/>
          </w:divBdr>
          <w:divsChild>
            <w:div w:id="1034620535">
              <w:marLeft w:val="0"/>
              <w:marRight w:val="0"/>
              <w:marTop w:val="0"/>
              <w:marBottom w:val="0"/>
              <w:divBdr>
                <w:top w:val="none" w:sz="0" w:space="0" w:color="auto"/>
                <w:left w:val="none" w:sz="0" w:space="0" w:color="auto"/>
                <w:bottom w:val="none" w:sz="0" w:space="0" w:color="auto"/>
                <w:right w:val="none" w:sz="0" w:space="0" w:color="auto"/>
              </w:divBdr>
              <w:divsChild>
                <w:div w:id="1596672057">
                  <w:marLeft w:val="0"/>
                  <w:marRight w:val="0"/>
                  <w:marTop w:val="0"/>
                  <w:marBottom w:val="0"/>
                  <w:divBdr>
                    <w:top w:val="none" w:sz="0" w:space="0" w:color="auto"/>
                    <w:left w:val="none" w:sz="0" w:space="0" w:color="auto"/>
                    <w:bottom w:val="none" w:sz="0" w:space="0" w:color="auto"/>
                    <w:right w:val="none" w:sz="0" w:space="0" w:color="auto"/>
                  </w:divBdr>
                  <w:divsChild>
                    <w:div w:id="164399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872587">
      <w:bodyDiv w:val="1"/>
      <w:marLeft w:val="0"/>
      <w:marRight w:val="0"/>
      <w:marTop w:val="0"/>
      <w:marBottom w:val="0"/>
      <w:divBdr>
        <w:top w:val="none" w:sz="0" w:space="0" w:color="auto"/>
        <w:left w:val="none" w:sz="0" w:space="0" w:color="auto"/>
        <w:bottom w:val="none" w:sz="0" w:space="0" w:color="auto"/>
        <w:right w:val="none" w:sz="0" w:space="0" w:color="auto"/>
      </w:divBdr>
    </w:div>
    <w:div w:id="968123461">
      <w:bodyDiv w:val="1"/>
      <w:marLeft w:val="0"/>
      <w:marRight w:val="0"/>
      <w:marTop w:val="0"/>
      <w:marBottom w:val="0"/>
      <w:divBdr>
        <w:top w:val="none" w:sz="0" w:space="0" w:color="auto"/>
        <w:left w:val="none" w:sz="0" w:space="0" w:color="auto"/>
        <w:bottom w:val="none" w:sz="0" w:space="0" w:color="auto"/>
        <w:right w:val="none" w:sz="0" w:space="0" w:color="auto"/>
      </w:divBdr>
      <w:divsChild>
        <w:div w:id="1683505278">
          <w:marLeft w:val="0"/>
          <w:marRight w:val="0"/>
          <w:marTop w:val="0"/>
          <w:marBottom w:val="0"/>
          <w:divBdr>
            <w:top w:val="none" w:sz="0" w:space="0" w:color="auto"/>
            <w:left w:val="none" w:sz="0" w:space="0" w:color="auto"/>
            <w:bottom w:val="none" w:sz="0" w:space="0" w:color="auto"/>
            <w:right w:val="none" w:sz="0" w:space="0" w:color="auto"/>
          </w:divBdr>
          <w:divsChild>
            <w:div w:id="1859351509">
              <w:marLeft w:val="0"/>
              <w:marRight w:val="0"/>
              <w:marTop w:val="0"/>
              <w:marBottom w:val="0"/>
              <w:divBdr>
                <w:top w:val="none" w:sz="0" w:space="0" w:color="auto"/>
                <w:left w:val="none" w:sz="0" w:space="0" w:color="auto"/>
                <w:bottom w:val="none" w:sz="0" w:space="0" w:color="auto"/>
                <w:right w:val="none" w:sz="0" w:space="0" w:color="auto"/>
              </w:divBdr>
              <w:divsChild>
                <w:div w:id="100336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25560">
          <w:marLeft w:val="0"/>
          <w:marRight w:val="0"/>
          <w:marTop w:val="0"/>
          <w:marBottom w:val="0"/>
          <w:divBdr>
            <w:top w:val="none" w:sz="0" w:space="0" w:color="auto"/>
            <w:left w:val="none" w:sz="0" w:space="0" w:color="auto"/>
            <w:bottom w:val="none" w:sz="0" w:space="0" w:color="auto"/>
            <w:right w:val="none" w:sz="0" w:space="0" w:color="auto"/>
          </w:divBdr>
          <w:divsChild>
            <w:div w:id="151726225">
              <w:marLeft w:val="0"/>
              <w:marRight w:val="0"/>
              <w:marTop w:val="0"/>
              <w:marBottom w:val="0"/>
              <w:divBdr>
                <w:top w:val="none" w:sz="0" w:space="0" w:color="auto"/>
                <w:left w:val="none" w:sz="0" w:space="0" w:color="auto"/>
                <w:bottom w:val="none" w:sz="0" w:space="0" w:color="auto"/>
                <w:right w:val="none" w:sz="0" w:space="0" w:color="auto"/>
              </w:divBdr>
              <w:divsChild>
                <w:div w:id="735590721">
                  <w:marLeft w:val="0"/>
                  <w:marRight w:val="0"/>
                  <w:marTop w:val="0"/>
                  <w:marBottom w:val="0"/>
                  <w:divBdr>
                    <w:top w:val="none" w:sz="0" w:space="0" w:color="auto"/>
                    <w:left w:val="none" w:sz="0" w:space="0" w:color="auto"/>
                    <w:bottom w:val="none" w:sz="0" w:space="0" w:color="auto"/>
                    <w:right w:val="none" w:sz="0" w:space="0" w:color="auto"/>
                  </w:divBdr>
                </w:div>
              </w:divsChild>
            </w:div>
            <w:div w:id="2142306502">
              <w:marLeft w:val="0"/>
              <w:marRight w:val="0"/>
              <w:marTop w:val="0"/>
              <w:marBottom w:val="0"/>
              <w:divBdr>
                <w:top w:val="none" w:sz="0" w:space="0" w:color="auto"/>
                <w:left w:val="none" w:sz="0" w:space="0" w:color="auto"/>
                <w:bottom w:val="none" w:sz="0" w:space="0" w:color="auto"/>
                <w:right w:val="none" w:sz="0" w:space="0" w:color="auto"/>
              </w:divBdr>
              <w:divsChild>
                <w:div w:id="20132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741545">
      <w:bodyDiv w:val="1"/>
      <w:marLeft w:val="0"/>
      <w:marRight w:val="0"/>
      <w:marTop w:val="0"/>
      <w:marBottom w:val="0"/>
      <w:divBdr>
        <w:top w:val="none" w:sz="0" w:space="0" w:color="auto"/>
        <w:left w:val="none" w:sz="0" w:space="0" w:color="auto"/>
        <w:bottom w:val="none" w:sz="0" w:space="0" w:color="auto"/>
        <w:right w:val="none" w:sz="0" w:space="0" w:color="auto"/>
      </w:divBdr>
      <w:divsChild>
        <w:div w:id="1230263897">
          <w:marLeft w:val="0"/>
          <w:marRight w:val="0"/>
          <w:marTop w:val="0"/>
          <w:marBottom w:val="0"/>
          <w:divBdr>
            <w:top w:val="none" w:sz="0" w:space="0" w:color="auto"/>
            <w:left w:val="none" w:sz="0" w:space="0" w:color="auto"/>
            <w:bottom w:val="none" w:sz="0" w:space="0" w:color="auto"/>
            <w:right w:val="none" w:sz="0" w:space="0" w:color="auto"/>
          </w:divBdr>
          <w:divsChild>
            <w:div w:id="636187778">
              <w:marLeft w:val="0"/>
              <w:marRight w:val="0"/>
              <w:marTop w:val="0"/>
              <w:marBottom w:val="0"/>
              <w:divBdr>
                <w:top w:val="none" w:sz="0" w:space="0" w:color="auto"/>
                <w:left w:val="none" w:sz="0" w:space="0" w:color="auto"/>
                <w:bottom w:val="none" w:sz="0" w:space="0" w:color="auto"/>
                <w:right w:val="none" w:sz="0" w:space="0" w:color="auto"/>
              </w:divBdr>
              <w:divsChild>
                <w:div w:id="144677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642674">
      <w:bodyDiv w:val="1"/>
      <w:marLeft w:val="0"/>
      <w:marRight w:val="0"/>
      <w:marTop w:val="0"/>
      <w:marBottom w:val="0"/>
      <w:divBdr>
        <w:top w:val="none" w:sz="0" w:space="0" w:color="auto"/>
        <w:left w:val="none" w:sz="0" w:space="0" w:color="auto"/>
        <w:bottom w:val="none" w:sz="0" w:space="0" w:color="auto"/>
        <w:right w:val="none" w:sz="0" w:space="0" w:color="auto"/>
      </w:divBdr>
    </w:div>
    <w:div w:id="996033379">
      <w:bodyDiv w:val="1"/>
      <w:marLeft w:val="0"/>
      <w:marRight w:val="0"/>
      <w:marTop w:val="0"/>
      <w:marBottom w:val="0"/>
      <w:divBdr>
        <w:top w:val="none" w:sz="0" w:space="0" w:color="auto"/>
        <w:left w:val="none" w:sz="0" w:space="0" w:color="auto"/>
        <w:bottom w:val="none" w:sz="0" w:space="0" w:color="auto"/>
        <w:right w:val="none" w:sz="0" w:space="0" w:color="auto"/>
      </w:divBdr>
    </w:div>
    <w:div w:id="1006831097">
      <w:bodyDiv w:val="1"/>
      <w:marLeft w:val="0"/>
      <w:marRight w:val="0"/>
      <w:marTop w:val="0"/>
      <w:marBottom w:val="0"/>
      <w:divBdr>
        <w:top w:val="none" w:sz="0" w:space="0" w:color="auto"/>
        <w:left w:val="none" w:sz="0" w:space="0" w:color="auto"/>
        <w:bottom w:val="none" w:sz="0" w:space="0" w:color="auto"/>
        <w:right w:val="none" w:sz="0" w:space="0" w:color="auto"/>
      </w:divBdr>
    </w:div>
    <w:div w:id="1043552319">
      <w:bodyDiv w:val="1"/>
      <w:marLeft w:val="0"/>
      <w:marRight w:val="0"/>
      <w:marTop w:val="0"/>
      <w:marBottom w:val="0"/>
      <w:divBdr>
        <w:top w:val="none" w:sz="0" w:space="0" w:color="auto"/>
        <w:left w:val="none" w:sz="0" w:space="0" w:color="auto"/>
        <w:bottom w:val="none" w:sz="0" w:space="0" w:color="auto"/>
        <w:right w:val="none" w:sz="0" w:space="0" w:color="auto"/>
      </w:divBdr>
    </w:div>
    <w:div w:id="1046758883">
      <w:bodyDiv w:val="1"/>
      <w:marLeft w:val="0"/>
      <w:marRight w:val="0"/>
      <w:marTop w:val="0"/>
      <w:marBottom w:val="0"/>
      <w:divBdr>
        <w:top w:val="none" w:sz="0" w:space="0" w:color="auto"/>
        <w:left w:val="none" w:sz="0" w:space="0" w:color="auto"/>
        <w:bottom w:val="none" w:sz="0" w:space="0" w:color="auto"/>
        <w:right w:val="none" w:sz="0" w:space="0" w:color="auto"/>
      </w:divBdr>
      <w:divsChild>
        <w:div w:id="1856504914">
          <w:marLeft w:val="0"/>
          <w:marRight w:val="0"/>
          <w:marTop w:val="0"/>
          <w:marBottom w:val="0"/>
          <w:divBdr>
            <w:top w:val="none" w:sz="0" w:space="0" w:color="auto"/>
            <w:left w:val="none" w:sz="0" w:space="0" w:color="auto"/>
            <w:bottom w:val="none" w:sz="0" w:space="0" w:color="auto"/>
            <w:right w:val="none" w:sz="0" w:space="0" w:color="auto"/>
          </w:divBdr>
          <w:divsChild>
            <w:div w:id="781345842">
              <w:marLeft w:val="0"/>
              <w:marRight w:val="0"/>
              <w:marTop w:val="0"/>
              <w:marBottom w:val="0"/>
              <w:divBdr>
                <w:top w:val="none" w:sz="0" w:space="0" w:color="auto"/>
                <w:left w:val="none" w:sz="0" w:space="0" w:color="auto"/>
                <w:bottom w:val="none" w:sz="0" w:space="0" w:color="auto"/>
                <w:right w:val="none" w:sz="0" w:space="0" w:color="auto"/>
              </w:divBdr>
              <w:divsChild>
                <w:div w:id="202266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660144">
      <w:bodyDiv w:val="1"/>
      <w:marLeft w:val="0"/>
      <w:marRight w:val="0"/>
      <w:marTop w:val="0"/>
      <w:marBottom w:val="0"/>
      <w:divBdr>
        <w:top w:val="none" w:sz="0" w:space="0" w:color="auto"/>
        <w:left w:val="none" w:sz="0" w:space="0" w:color="auto"/>
        <w:bottom w:val="none" w:sz="0" w:space="0" w:color="auto"/>
        <w:right w:val="none" w:sz="0" w:space="0" w:color="auto"/>
      </w:divBdr>
    </w:div>
    <w:div w:id="1057626948">
      <w:bodyDiv w:val="1"/>
      <w:marLeft w:val="0"/>
      <w:marRight w:val="0"/>
      <w:marTop w:val="0"/>
      <w:marBottom w:val="0"/>
      <w:divBdr>
        <w:top w:val="none" w:sz="0" w:space="0" w:color="auto"/>
        <w:left w:val="none" w:sz="0" w:space="0" w:color="auto"/>
        <w:bottom w:val="none" w:sz="0" w:space="0" w:color="auto"/>
        <w:right w:val="none" w:sz="0" w:space="0" w:color="auto"/>
      </w:divBdr>
      <w:divsChild>
        <w:div w:id="1715960472">
          <w:marLeft w:val="0"/>
          <w:marRight w:val="0"/>
          <w:marTop w:val="0"/>
          <w:marBottom w:val="0"/>
          <w:divBdr>
            <w:top w:val="none" w:sz="0" w:space="0" w:color="auto"/>
            <w:left w:val="none" w:sz="0" w:space="0" w:color="auto"/>
            <w:bottom w:val="none" w:sz="0" w:space="0" w:color="auto"/>
            <w:right w:val="none" w:sz="0" w:space="0" w:color="auto"/>
          </w:divBdr>
          <w:divsChild>
            <w:div w:id="130444692">
              <w:marLeft w:val="0"/>
              <w:marRight w:val="0"/>
              <w:marTop w:val="0"/>
              <w:marBottom w:val="0"/>
              <w:divBdr>
                <w:top w:val="none" w:sz="0" w:space="0" w:color="auto"/>
                <w:left w:val="none" w:sz="0" w:space="0" w:color="auto"/>
                <w:bottom w:val="none" w:sz="0" w:space="0" w:color="auto"/>
                <w:right w:val="none" w:sz="0" w:space="0" w:color="auto"/>
              </w:divBdr>
              <w:divsChild>
                <w:div w:id="2032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964598">
      <w:bodyDiv w:val="1"/>
      <w:marLeft w:val="0"/>
      <w:marRight w:val="0"/>
      <w:marTop w:val="0"/>
      <w:marBottom w:val="0"/>
      <w:divBdr>
        <w:top w:val="none" w:sz="0" w:space="0" w:color="auto"/>
        <w:left w:val="none" w:sz="0" w:space="0" w:color="auto"/>
        <w:bottom w:val="none" w:sz="0" w:space="0" w:color="auto"/>
        <w:right w:val="none" w:sz="0" w:space="0" w:color="auto"/>
      </w:divBdr>
    </w:div>
    <w:div w:id="1087656252">
      <w:bodyDiv w:val="1"/>
      <w:marLeft w:val="0"/>
      <w:marRight w:val="0"/>
      <w:marTop w:val="0"/>
      <w:marBottom w:val="0"/>
      <w:divBdr>
        <w:top w:val="none" w:sz="0" w:space="0" w:color="auto"/>
        <w:left w:val="none" w:sz="0" w:space="0" w:color="auto"/>
        <w:bottom w:val="none" w:sz="0" w:space="0" w:color="auto"/>
        <w:right w:val="none" w:sz="0" w:space="0" w:color="auto"/>
      </w:divBdr>
    </w:div>
    <w:div w:id="1118842331">
      <w:bodyDiv w:val="1"/>
      <w:marLeft w:val="0"/>
      <w:marRight w:val="0"/>
      <w:marTop w:val="0"/>
      <w:marBottom w:val="0"/>
      <w:divBdr>
        <w:top w:val="none" w:sz="0" w:space="0" w:color="auto"/>
        <w:left w:val="none" w:sz="0" w:space="0" w:color="auto"/>
        <w:bottom w:val="none" w:sz="0" w:space="0" w:color="auto"/>
        <w:right w:val="none" w:sz="0" w:space="0" w:color="auto"/>
      </w:divBdr>
    </w:div>
    <w:div w:id="1131557815">
      <w:bodyDiv w:val="1"/>
      <w:marLeft w:val="0"/>
      <w:marRight w:val="0"/>
      <w:marTop w:val="0"/>
      <w:marBottom w:val="0"/>
      <w:divBdr>
        <w:top w:val="none" w:sz="0" w:space="0" w:color="auto"/>
        <w:left w:val="none" w:sz="0" w:space="0" w:color="auto"/>
        <w:bottom w:val="none" w:sz="0" w:space="0" w:color="auto"/>
        <w:right w:val="none" w:sz="0" w:space="0" w:color="auto"/>
      </w:divBdr>
      <w:divsChild>
        <w:div w:id="250047390">
          <w:marLeft w:val="0"/>
          <w:marRight w:val="0"/>
          <w:marTop w:val="0"/>
          <w:marBottom w:val="0"/>
          <w:divBdr>
            <w:top w:val="none" w:sz="0" w:space="0" w:color="auto"/>
            <w:left w:val="none" w:sz="0" w:space="0" w:color="auto"/>
            <w:bottom w:val="none" w:sz="0" w:space="0" w:color="auto"/>
            <w:right w:val="none" w:sz="0" w:space="0" w:color="auto"/>
          </w:divBdr>
          <w:divsChild>
            <w:div w:id="441000192">
              <w:marLeft w:val="0"/>
              <w:marRight w:val="0"/>
              <w:marTop w:val="0"/>
              <w:marBottom w:val="0"/>
              <w:divBdr>
                <w:top w:val="none" w:sz="0" w:space="0" w:color="auto"/>
                <w:left w:val="none" w:sz="0" w:space="0" w:color="auto"/>
                <w:bottom w:val="none" w:sz="0" w:space="0" w:color="auto"/>
                <w:right w:val="none" w:sz="0" w:space="0" w:color="auto"/>
              </w:divBdr>
              <w:divsChild>
                <w:div w:id="82485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602017">
      <w:bodyDiv w:val="1"/>
      <w:marLeft w:val="0"/>
      <w:marRight w:val="0"/>
      <w:marTop w:val="0"/>
      <w:marBottom w:val="0"/>
      <w:divBdr>
        <w:top w:val="none" w:sz="0" w:space="0" w:color="auto"/>
        <w:left w:val="none" w:sz="0" w:space="0" w:color="auto"/>
        <w:bottom w:val="none" w:sz="0" w:space="0" w:color="auto"/>
        <w:right w:val="none" w:sz="0" w:space="0" w:color="auto"/>
      </w:divBdr>
      <w:divsChild>
        <w:div w:id="430782029">
          <w:marLeft w:val="0"/>
          <w:marRight w:val="0"/>
          <w:marTop w:val="0"/>
          <w:marBottom w:val="0"/>
          <w:divBdr>
            <w:top w:val="none" w:sz="0" w:space="0" w:color="auto"/>
            <w:left w:val="none" w:sz="0" w:space="0" w:color="auto"/>
            <w:bottom w:val="none" w:sz="0" w:space="0" w:color="auto"/>
            <w:right w:val="none" w:sz="0" w:space="0" w:color="auto"/>
          </w:divBdr>
          <w:divsChild>
            <w:div w:id="1725368278">
              <w:marLeft w:val="0"/>
              <w:marRight w:val="0"/>
              <w:marTop w:val="0"/>
              <w:marBottom w:val="0"/>
              <w:divBdr>
                <w:top w:val="none" w:sz="0" w:space="0" w:color="auto"/>
                <w:left w:val="none" w:sz="0" w:space="0" w:color="auto"/>
                <w:bottom w:val="none" w:sz="0" w:space="0" w:color="auto"/>
                <w:right w:val="none" w:sz="0" w:space="0" w:color="auto"/>
              </w:divBdr>
              <w:divsChild>
                <w:div w:id="1159271194">
                  <w:marLeft w:val="0"/>
                  <w:marRight w:val="0"/>
                  <w:marTop w:val="0"/>
                  <w:marBottom w:val="0"/>
                  <w:divBdr>
                    <w:top w:val="none" w:sz="0" w:space="0" w:color="auto"/>
                    <w:left w:val="none" w:sz="0" w:space="0" w:color="auto"/>
                    <w:bottom w:val="none" w:sz="0" w:space="0" w:color="auto"/>
                    <w:right w:val="none" w:sz="0" w:space="0" w:color="auto"/>
                  </w:divBdr>
                  <w:divsChild>
                    <w:div w:id="135734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722512">
      <w:bodyDiv w:val="1"/>
      <w:marLeft w:val="0"/>
      <w:marRight w:val="0"/>
      <w:marTop w:val="0"/>
      <w:marBottom w:val="0"/>
      <w:divBdr>
        <w:top w:val="none" w:sz="0" w:space="0" w:color="auto"/>
        <w:left w:val="none" w:sz="0" w:space="0" w:color="auto"/>
        <w:bottom w:val="none" w:sz="0" w:space="0" w:color="auto"/>
        <w:right w:val="none" w:sz="0" w:space="0" w:color="auto"/>
      </w:divBdr>
    </w:div>
    <w:div w:id="1154643746">
      <w:bodyDiv w:val="1"/>
      <w:marLeft w:val="0"/>
      <w:marRight w:val="0"/>
      <w:marTop w:val="0"/>
      <w:marBottom w:val="0"/>
      <w:divBdr>
        <w:top w:val="none" w:sz="0" w:space="0" w:color="auto"/>
        <w:left w:val="none" w:sz="0" w:space="0" w:color="auto"/>
        <w:bottom w:val="none" w:sz="0" w:space="0" w:color="auto"/>
        <w:right w:val="none" w:sz="0" w:space="0" w:color="auto"/>
      </w:divBdr>
      <w:divsChild>
        <w:div w:id="2006126812">
          <w:marLeft w:val="0"/>
          <w:marRight w:val="0"/>
          <w:marTop w:val="0"/>
          <w:marBottom w:val="0"/>
          <w:divBdr>
            <w:top w:val="none" w:sz="0" w:space="0" w:color="auto"/>
            <w:left w:val="none" w:sz="0" w:space="0" w:color="auto"/>
            <w:bottom w:val="none" w:sz="0" w:space="0" w:color="auto"/>
            <w:right w:val="none" w:sz="0" w:space="0" w:color="auto"/>
          </w:divBdr>
          <w:divsChild>
            <w:div w:id="340814021">
              <w:marLeft w:val="0"/>
              <w:marRight w:val="0"/>
              <w:marTop w:val="0"/>
              <w:marBottom w:val="0"/>
              <w:divBdr>
                <w:top w:val="none" w:sz="0" w:space="0" w:color="auto"/>
                <w:left w:val="none" w:sz="0" w:space="0" w:color="auto"/>
                <w:bottom w:val="none" w:sz="0" w:space="0" w:color="auto"/>
                <w:right w:val="none" w:sz="0" w:space="0" w:color="auto"/>
              </w:divBdr>
              <w:divsChild>
                <w:div w:id="1299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937120">
      <w:bodyDiv w:val="1"/>
      <w:marLeft w:val="0"/>
      <w:marRight w:val="0"/>
      <w:marTop w:val="0"/>
      <w:marBottom w:val="0"/>
      <w:divBdr>
        <w:top w:val="none" w:sz="0" w:space="0" w:color="auto"/>
        <w:left w:val="none" w:sz="0" w:space="0" w:color="auto"/>
        <w:bottom w:val="none" w:sz="0" w:space="0" w:color="auto"/>
        <w:right w:val="none" w:sz="0" w:space="0" w:color="auto"/>
      </w:divBdr>
    </w:div>
    <w:div w:id="1184594532">
      <w:bodyDiv w:val="1"/>
      <w:marLeft w:val="0"/>
      <w:marRight w:val="0"/>
      <w:marTop w:val="0"/>
      <w:marBottom w:val="0"/>
      <w:divBdr>
        <w:top w:val="none" w:sz="0" w:space="0" w:color="auto"/>
        <w:left w:val="none" w:sz="0" w:space="0" w:color="auto"/>
        <w:bottom w:val="none" w:sz="0" w:space="0" w:color="auto"/>
        <w:right w:val="none" w:sz="0" w:space="0" w:color="auto"/>
      </w:divBdr>
      <w:divsChild>
        <w:div w:id="1793086011">
          <w:marLeft w:val="0"/>
          <w:marRight w:val="0"/>
          <w:marTop w:val="0"/>
          <w:marBottom w:val="0"/>
          <w:divBdr>
            <w:top w:val="none" w:sz="0" w:space="0" w:color="auto"/>
            <w:left w:val="none" w:sz="0" w:space="0" w:color="auto"/>
            <w:bottom w:val="none" w:sz="0" w:space="0" w:color="auto"/>
            <w:right w:val="none" w:sz="0" w:space="0" w:color="auto"/>
          </w:divBdr>
          <w:divsChild>
            <w:div w:id="625232250">
              <w:marLeft w:val="0"/>
              <w:marRight w:val="0"/>
              <w:marTop w:val="0"/>
              <w:marBottom w:val="0"/>
              <w:divBdr>
                <w:top w:val="none" w:sz="0" w:space="0" w:color="auto"/>
                <w:left w:val="none" w:sz="0" w:space="0" w:color="auto"/>
                <w:bottom w:val="none" w:sz="0" w:space="0" w:color="auto"/>
                <w:right w:val="none" w:sz="0" w:space="0" w:color="auto"/>
              </w:divBdr>
              <w:divsChild>
                <w:div w:id="1260024864">
                  <w:marLeft w:val="0"/>
                  <w:marRight w:val="0"/>
                  <w:marTop w:val="0"/>
                  <w:marBottom w:val="0"/>
                  <w:divBdr>
                    <w:top w:val="none" w:sz="0" w:space="0" w:color="auto"/>
                    <w:left w:val="none" w:sz="0" w:space="0" w:color="auto"/>
                    <w:bottom w:val="none" w:sz="0" w:space="0" w:color="auto"/>
                    <w:right w:val="none" w:sz="0" w:space="0" w:color="auto"/>
                  </w:divBdr>
                  <w:divsChild>
                    <w:div w:id="107258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840285">
      <w:bodyDiv w:val="1"/>
      <w:marLeft w:val="0"/>
      <w:marRight w:val="0"/>
      <w:marTop w:val="0"/>
      <w:marBottom w:val="0"/>
      <w:divBdr>
        <w:top w:val="none" w:sz="0" w:space="0" w:color="auto"/>
        <w:left w:val="none" w:sz="0" w:space="0" w:color="auto"/>
        <w:bottom w:val="none" w:sz="0" w:space="0" w:color="auto"/>
        <w:right w:val="none" w:sz="0" w:space="0" w:color="auto"/>
      </w:divBdr>
    </w:div>
    <w:div w:id="1243683295">
      <w:bodyDiv w:val="1"/>
      <w:marLeft w:val="0"/>
      <w:marRight w:val="0"/>
      <w:marTop w:val="0"/>
      <w:marBottom w:val="0"/>
      <w:divBdr>
        <w:top w:val="none" w:sz="0" w:space="0" w:color="auto"/>
        <w:left w:val="none" w:sz="0" w:space="0" w:color="auto"/>
        <w:bottom w:val="none" w:sz="0" w:space="0" w:color="auto"/>
        <w:right w:val="none" w:sz="0" w:space="0" w:color="auto"/>
      </w:divBdr>
    </w:div>
    <w:div w:id="1255624006">
      <w:bodyDiv w:val="1"/>
      <w:marLeft w:val="0"/>
      <w:marRight w:val="0"/>
      <w:marTop w:val="0"/>
      <w:marBottom w:val="0"/>
      <w:divBdr>
        <w:top w:val="none" w:sz="0" w:space="0" w:color="auto"/>
        <w:left w:val="none" w:sz="0" w:space="0" w:color="auto"/>
        <w:bottom w:val="none" w:sz="0" w:space="0" w:color="auto"/>
        <w:right w:val="none" w:sz="0" w:space="0" w:color="auto"/>
      </w:divBdr>
      <w:divsChild>
        <w:div w:id="665863632">
          <w:marLeft w:val="0"/>
          <w:marRight w:val="0"/>
          <w:marTop w:val="0"/>
          <w:marBottom w:val="0"/>
          <w:divBdr>
            <w:top w:val="none" w:sz="0" w:space="0" w:color="auto"/>
            <w:left w:val="none" w:sz="0" w:space="0" w:color="auto"/>
            <w:bottom w:val="none" w:sz="0" w:space="0" w:color="auto"/>
            <w:right w:val="none" w:sz="0" w:space="0" w:color="auto"/>
          </w:divBdr>
          <w:divsChild>
            <w:div w:id="673801127">
              <w:marLeft w:val="0"/>
              <w:marRight w:val="0"/>
              <w:marTop w:val="0"/>
              <w:marBottom w:val="0"/>
              <w:divBdr>
                <w:top w:val="none" w:sz="0" w:space="0" w:color="auto"/>
                <w:left w:val="none" w:sz="0" w:space="0" w:color="auto"/>
                <w:bottom w:val="none" w:sz="0" w:space="0" w:color="auto"/>
                <w:right w:val="none" w:sz="0" w:space="0" w:color="auto"/>
              </w:divBdr>
              <w:divsChild>
                <w:div w:id="30435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101411">
          <w:marLeft w:val="0"/>
          <w:marRight w:val="0"/>
          <w:marTop w:val="0"/>
          <w:marBottom w:val="0"/>
          <w:divBdr>
            <w:top w:val="none" w:sz="0" w:space="0" w:color="auto"/>
            <w:left w:val="none" w:sz="0" w:space="0" w:color="auto"/>
            <w:bottom w:val="none" w:sz="0" w:space="0" w:color="auto"/>
            <w:right w:val="none" w:sz="0" w:space="0" w:color="auto"/>
          </w:divBdr>
          <w:divsChild>
            <w:div w:id="281351622">
              <w:marLeft w:val="0"/>
              <w:marRight w:val="0"/>
              <w:marTop w:val="0"/>
              <w:marBottom w:val="0"/>
              <w:divBdr>
                <w:top w:val="none" w:sz="0" w:space="0" w:color="auto"/>
                <w:left w:val="none" w:sz="0" w:space="0" w:color="auto"/>
                <w:bottom w:val="none" w:sz="0" w:space="0" w:color="auto"/>
                <w:right w:val="none" w:sz="0" w:space="0" w:color="auto"/>
              </w:divBdr>
              <w:divsChild>
                <w:div w:id="298731479">
                  <w:marLeft w:val="0"/>
                  <w:marRight w:val="0"/>
                  <w:marTop w:val="0"/>
                  <w:marBottom w:val="0"/>
                  <w:divBdr>
                    <w:top w:val="none" w:sz="0" w:space="0" w:color="auto"/>
                    <w:left w:val="none" w:sz="0" w:space="0" w:color="auto"/>
                    <w:bottom w:val="none" w:sz="0" w:space="0" w:color="auto"/>
                    <w:right w:val="none" w:sz="0" w:space="0" w:color="auto"/>
                  </w:divBdr>
                </w:div>
              </w:divsChild>
            </w:div>
            <w:div w:id="865797207">
              <w:marLeft w:val="0"/>
              <w:marRight w:val="0"/>
              <w:marTop w:val="0"/>
              <w:marBottom w:val="0"/>
              <w:divBdr>
                <w:top w:val="none" w:sz="0" w:space="0" w:color="auto"/>
                <w:left w:val="none" w:sz="0" w:space="0" w:color="auto"/>
                <w:bottom w:val="none" w:sz="0" w:space="0" w:color="auto"/>
                <w:right w:val="none" w:sz="0" w:space="0" w:color="auto"/>
              </w:divBdr>
              <w:divsChild>
                <w:div w:id="92769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179363">
      <w:bodyDiv w:val="1"/>
      <w:marLeft w:val="0"/>
      <w:marRight w:val="0"/>
      <w:marTop w:val="0"/>
      <w:marBottom w:val="0"/>
      <w:divBdr>
        <w:top w:val="none" w:sz="0" w:space="0" w:color="auto"/>
        <w:left w:val="none" w:sz="0" w:space="0" w:color="auto"/>
        <w:bottom w:val="none" w:sz="0" w:space="0" w:color="auto"/>
        <w:right w:val="none" w:sz="0" w:space="0" w:color="auto"/>
      </w:divBdr>
      <w:divsChild>
        <w:div w:id="1781101638">
          <w:marLeft w:val="0"/>
          <w:marRight w:val="0"/>
          <w:marTop w:val="0"/>
          <w:marBottom w:val="0"/>
          <w:divBdr>
            <w:top w:val="none" w:sz="0" w:space="0" w:color="auto"/>
            <w:left w:val="none" w:sz="0" w:space="0" w:color="auto"/>
            <w:bottom w:val="none" w:sz="0" w:space="0" w:color="auto"/>
            <w:right w:val="none" w:sz="0" w:space="0" w:color="auto"/>
          </w:divBdr>
          <w:divsChild>
            <w:div w:id="2094233754">
              <w:marLeft w:val="0"/>
              <w:marRight w:val="0"/>
              <w:marTop w:val="0"/>
              <w:marBottom w:val="0"/>
              <w:divBdr>
                <w:top w:val="none" w:sz="0" w:space="0" w:color="auto"/>
                <w:left w:val="none" w:sz="0" w:space="0" w:color="auto"/>
                <w:bottom w:val="none" w:sz="0" w:space="0" w:color="auto"/>
                <w:right w:val="none" w:sz="0" w:space="0" w:color="auto"/>
              </w:divBdr>
              <w:divsChild>
                <w:div w:id="98488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224771">
      <w:bodyDiv w:val="1"/>
      <w:marLeft w:val="0"/>
      <w:marRight w:val="0"/>
      <w:marTop w:val="0"/>
      <w:marBottom w:val="0"/>
      <w:divBdr>
        <w:top w:val="none" w:sz="0" w:space="0" w:color="auto"/>
        <w:left w:val="none" w:sz="0" w:space="0" w:color="auto"/>
        <w:bottom w:val="none" w:sz="0" w:space="0" w:color="auto"/>
        <w:right w:val="none" w:sz="0" w:space="0" w:color="auto"/>
      </w:divBdr>
    </w:div>
    <w:div w:id="1347169763">
      <w:bodyDiv w:val="1"/>
      <w:marLeft w:val="0"/>
      <w:marRight w:val="0"/>
      <w:marTop w:val="0"/>
      <w:marBottom w:val="0"/>
      <w:divBdr>
        <w:top w:val="none" w:sz="0" w:space="0" w:color="auto"/>
        <w:left w:val="none" w:sz="0" w:space="0" w:color="auto"/>
        <w:bottom w:val="none" w:sz="0" w:space="0" w:color="auto"/>
        <w:right w:val="none" w:sz="0" w:space="0" w:color="auto"/>
      </w:divBdr>
    </w:div>
    <w:div w:id="1359114384">
      <w:bodyDiv w:val="1"/>
      <w:marLeft w:val="0"/>
      <w:marRight w:val="0"/>
      <w:marTop w:val="0"/>
      <w:marBottom w:val="0"/>
      <w:divBdr>
        <w:top w:val="none" w:sz="0" w:space="0" w:color="auto"/>
        <w:left w:val="none" w:sz="0" w:space="0" w:color="auto"/>
        <w:bottom w:val="none" w:sz="0" w:space="0" w:color="auto"/>
        <w:right w:val="none" w:sz="0" w:space="0" w:color="auto"/>
      </w:divBdr>
      <w:divsChild>
        <w:div w:id="1408456128">
          <w:marLeft w:val="0"/>
          <w:marRight w:val="0"/>
          <w:marTop w:val="0"/>
          <w:marBottom w:val="0"/>
          <w:divBdr>
            <w:top w:val="none" w:sz="0" w:space="0" w:color="auto"/>
            <w:left w:val="none" w:sz="0" w:space="0" w:color="auto"/>
            <w:bottom w:val="none" w:sz="0" w:space="0" w:color="auto"/>
            <w:right w:val="none" w:sz="0" w:space="0" w:color="auto"/>
          </w:divBdr>
          <w:divsChild>
            <w:div w:id="421535511">
              <w:marLeft w:val="0"/>
              <w:marRight w:val="0"/>
              <w:marTop w:val="0"/>
              <w:marBottom w:val="0"/>
              <w:divBdr>
                <w:top w:val="none" w:sz="0" w:space="0" w:color="auto"/>
                <w:left w:val="none" w:sz="0" w:space="0" w:color="auto"/>
                <w:bottom w:val="none" w:sz="0" w:space="0" w:color="auto"/>
                <w:right w:val="none" w:sz="0" w:space="0" w:color="auto"/>
              </w:divBdr>
              <w:divsChild>
                <w:div w:id="23188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472958">
      <w:bodyDiv w:val="1"/>
      <w:marLeft w:val="0"/>
      <w:marRight w:val="0"/>
      <w:marTop w:val="0"/>
      <w:marBottom w:val="0"/>
      <w:divBdr>
        <w:top w:val="none" w:sz="0" w:space="0" w:color="auto"/>
        <w:left w:val="none" w:sz="0" w:space="0" w:color="auto"/>
        <w:bottom w:val="none" w:sz="0" w:space="0" w:color="auto"/>
        <w:right w:val="none" w:sz="0" w:space="0" w:color="auto"/>
      </w:divBdr>
    </w:div>
    <w:div w:id="1382316737">
      <w:bodyDiv w:val="1"/>
      <w:marLeft w:val="0"/>
      <w:marRight w:val="0"/>
      <w:marTop w:val="0"/>
      <w:marBottom w:val="0"/>
      <w:divBdr>
        <w:top w:val="none" w:sz="0" w:space="0" w:color="auto"/>
        <w:left w:val="none" w:sz="0" w:space="0" w:color="auto"/>
        <w:bottom w:val="none" w:sz="0" w:space="0" w:color="auto"/>
        <w:right w:val="none" w:sz="0" w:space="0" w:color="auto"/>
      </w:divBdr>
    </w:div>
    <w:div w:id="1385519105">
      <w:bodyDiv w:val="1"/>
      <w:marLeft w:val="0"/>
      <w:marRight w:val="0"/>
      <w:marTop w:val="0"/>
      <w:marBottom w:val="0"/>
      <w:divBdr>
        <w:top w:val="none" w:sz="0" w:space="0" w:color="auto"/>
        <w:left w:val="none" w:sz="0" w:space="0" w:color="auto"/>
        <w:bottom w:val="none" w:sz="0" w:space="0" w:color="auto"/>
        <w:right w:val="none" w:sz="0" w:space="0" w:color="auto"/>
      </w:divBdr>
      <w:divsChild>
        <w:div w:id="586112332">
          <w:marLeft w:val="0"/>
          <w:marRight w:val="0"/>
          <w:marTop w:val="0"/>
          <w:marBottom w:val="0"/>
          <w:divBdr>
            <w:top w:val="none" w:sz="0" w:space="0" w:color="auto"/>
            <w:left w:val="none" w:sz="0" w:space="0" w:color="auto"/>
            <w:bottom w:val="none" w:sz="0" w:space="0" w:color="auto"/>
            <w:right w:val="none" w:sz="0" w:space="0" w:color="auto"/>
          </w:divBdr>
          <w:divsChild>
            <w:div w:id="212737357">
              <w:marLeft w:val="0"/>
              <w:marRight w:val="0"/>
              <w:marTop w:val="0"/>
              <w:marBottom w:val="0"/>
              <w:divBdr>
                <w:top w:val="none" w:sz="0" w:space="0" w:color="auto"/>
                <w:left w:val="none" w:sz="0" w:space="0" w:color="auto"/>
                <w:bottom w:val="none" w:sz="0" w:space="0" w:color="auto"/>
                <w:right w:val="none" w:sz="0" w:space="0" w:color="auto"/>
              </w:divBdr>
              <w:divsChild>
                <w:div w:id="151260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567770">
      <w:bodyDiv w:val="1"/>
      <w:marLeft w:val="0"/>
      <w:marRight w:val="0"/>
      <w:marTop w:val="0"/>
      <w:marBottom w:val="0"/>
      <w:divBdr>
        <w:top w:val="none" w:sz="0" w:space="0" w:color="auto"/>
        <w:left w:val="none" w:sz="0" w:space="0" w:color="auto"/>
        <w:bottom w:val="none" w:sz="0" w:space="0" w:color="auto"/>
        <w:right w:val="none" w:sz="0" w:space="0" w:color="auto"/>
      </w:divBdr>
      <w:divsChild>
        <w:div w:id="2040812092">
          <w:marLeft w:val="0"/>
          <w:marRight w:val="0"/>
          <w:marTop w:val="0"/>
          <w:marBottom w:val="0"/>
          <w:divBdr>
            <w:top w:val="none" w:sz="0" w:space="0" w:color="auto"/>
            <w:left w:val="none" w:sz="0" w:space="0" w:color="auto"/>
            <w:bottom w:val="none" w:sz="0" w:space="0" w:color="auto"/>
            <w:right w:val="none" w:sz="0" w:space="0" w:color="auto"/>
          </w:divBdr>
          <w:divsChild>
            <w:div w:id="330721704">
              <w:marLeft w:val="0"/>
              <w:marRight w:val="0"/>
              <w:marTop w:val="0"/>
              <w:marBottom w:val="0"/>
              <w:divBdr>
                <w:top w:val="none" w:sz="0" w:space="0" w:color="auto"/>
                <w:left w:val="none" w:sz="0" w:space="0" w:color="auto"/>
                <w:bottom w:val="none" w:sz="0" w:space="0" w:color="auto"/>
                <w:right w:val="none" w:sz="0" w:space="0" w:color="auto"/>
              </w:divBdr>
              <w:divsChild>
                <w:div w:id="203240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755284">
      <w:bodyDiv w:val="1"/>
      <w:marLeft w:val="0"/>
      <w:marRight w:val="0"/>
      <w:marTop w:val="0"/>
      <w:marBottom w:val="0"/>
      <w:divBdr>
        <w:top w:val="none" w:sz="0" w:space="0" w:color="auto"/>
        <w:left w:val="none" w:sz="0" w:space="0" w:color="auto"/>
        <w:bottom w:val="none" w:sz="0" w:space="0" w:color="auto"/>
        <w:right w:val="none" w:sz="0" w:space="0" w:color="auto"/>
      </w:divBdr>
    </w:div>
    <w:div w:id="1603996522">
      <w:bodyDiv w:val="1"/>
      <w:marLeft w:val="0"/>
      <w:marRight w:val="0"/>
      <w:marTop w:val="0"/>
      <w:marBottom w:val="0"/>
      <w:divBdr>
        <w:top w:val="none" w:sz="0" w:space="0" w:color="auto"/>
        <w:left w:val="none" w:sz="0" w:space="0" w:color="auto"/>
        <w:bottom w:val="none" w:sz="0" w:space="0" w:color="auto"/>
        <w:right w:val="none" w:sz="0" w:space="0" w:color="auto"/>
      </w:divBdr>
    </w:div>
    <w:div w:id="1605574002">
      <w:bodyDiv w:val="1"/>
      <w:marLeft w:val="0"/>
      <w:marRight w:val="0"/>
      <w:marTop w:val="0"/>
      <w:marBottom w:val="0"/>
      <w:divBdr>
        <w:top w:val="none" w:sz="0" w:space="0" w:color="auto"/>
        <w:left w:val="none" w:sz="0" w:space="0" w:color="auto"/>
        <w:bottom w:val="none" w:sz="0" w:space="0" w:color="auto"/>
        <w:right w:val="none" w:sz="0" w:space="0" w:color="auto"/>
      </w:divBdr>
    </w:div>
    <w:div w:id="1616789820">
      <w:bodyDiv w:val="1"/>
      <w:marLeft w:val="0"/>
      <w:marRight w:val="0"/>
      <w:marTop w:val="0"/>
      <w:marBottom w:val="0"/>
      <w:divBdr>
        <w:top w:val="none" w:sz="0" w:space="0" w:color="auto"/>
        <w:left w:val="none" w:sz="0" w:space="0" w:color="auto"/>
        <w:bottom w:val="none" w:sz="0" w:space="0" w:color="auto"/>
        <w:right w:val="none" w:sz="0" w:space="0" w:color="auto"/>
      </w:divBdr>
      <w:divsChild>
        <w:div w:id="683895548">
          <w:marLeft w:val="0"/>
          <w:marRight w:val="0"/>
          <w:marTop w:val="0"/>
          <w:marBottom w:val="0"/>
          <w:divBdr>
            <w:top w:val="none" w:sz="0" w:space="0" w:color="auto"/>
            <w:left w:val="none" w:sz="0" w:space="0" w:color="auto"/>
            <w:bottom w:val="none" w:sz="0" w:space="0" w:color="auto"/>
            <w:right w:val="none" w:sz="0" w:space="0" w:color="auto"/>
          </w:divBdr>
          <w:divsChild>
            <w:div w:id="317195102">
              <w:marLeft w:val="0"/>
              <w:marRight w:val="0"/>
              <w:marTop w:val="0"/>
              <w:marBottom w:val="0"/>
              <w:divBdr>
                <w:top w:val="none" w:sz="0" w:space="0" w:color="auto"/>
                <w:left w:val="none" w:sz="0" w:space="0" w:color="auto"/>
                <w:bottom w:val="none" w:sz="0" w:space="0" w:color="auto"/>
                <w:right w:val="none" w:sz="0" w:space="0" w:color="auto"/>
              </w:divBdr>
              <w:divsChild>
                <w:div w:id="204879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86650">
      <w:bodyDiv w:val="1"/>
      <w:marLeft w:val="0"/>
      <w:marRight w:val="0"/>
      <w:marTop w:val="0"/>
      <w:marBottom w:val="0"/>
      <w:divBdr>
        <w:top w:val="none" w:sz="0" w:space="0" w:color="auto"/>
        <w:left w:val="none" w:sz="0" w:space="0" w:color="auto"/>
        <w:bottom w:val="none" w:sz="0" w:space="0" w:color="auto"/>
        <w:right w:val="none" w:sz="0" w:space="0" w:color="auto"/>
      </w:divBdr>
    </w:div>
    <w:div w:id="1642079810">
      <w:bodyDiv w:val="1"/>
      <w:marLeft w:val="0"/>
      <w:marRight w:val="0"/>
      <w:marTop w:val="0"/>
      <w:marBottom w:val="0"/>
      <w:divBdr>
        <w:top w:val="none" w:sz="0" w:space="0" w:color="auto"/>
        <w:left w:val="none" w:sz="0" w:space="0" w:color="auto"/>
        <w:bottom w:val="none" w:sz="0" w:space="0" w:color="auto"/>
        <w:right w:val="none" w:sz="0" w:space="0" w:color="auto"/>
      </w:divBdr>
    </w:div>
    <w:div w:id="1671712693">
      <w:bodyDiv w:val="1"/>
      <w:marLeft w:val="0"/>
      <w:marRight w:val="0"/>
      <w:marTop w:val="0"/>
      <w:marBottom w:val="0"/>
      <w:divBdr>
        <w:top w:val="none" w:sz="0" w:space="0" w:color="auto"/>
        <w:left w:val="none" w:sz="0" w:space="0" w:color="auto"/>
        <w:bottom w:val="none" w:sz="0" w:space="0" w:color="auto"/>
        <w:right w:val="none" w:sz="0" w:space="0" w:color="auto"/>
      </w:divBdr>
    </w:div>
    <w:div w:id="1672216745">
      <w:bodyDiv w:val="1"/>
      <w:marLeft w:val="0"/>
      <w:marRight w:val="0"/>
      <w:marTop w:val="0"/>
      <w:marBottom w:val="0"/>
      <w:divBdr>
        <w:top w:val="none" w:sz="0" w:space="0" w:color="auto"/>
        <w:left w:val="none" w:sz="0" w:space="0" w:color="auto"/>
        <w:bottom w:val="none" w:sz="0" w:space="0" w:color="auto"/>
        <w:right w:val="none" w:sz="0" w:space="0" w:color="auto"/>
      </w:divBdr>
      <w:divsChild>
        <w:div w:id="1839923536">
          <w:marLeft w:val="0"/>
          <w:marRight w:val="0"/>
          <w:marTop w:val="0"/>
          <w:marBottom w:val="0"/>
          <w:divBdr>
            <w:top w:val="none" w:sz="0" w:space="0" w:color="auto"/>
            <w:left w:val="none" w:sz="0" w:space="0" w:color="auto"/>
            <w:bottom w:val="none" w:sz="0" w:space="0" w:color="auto"/>
            <w:right w:val="none" w:sz="0" w:space="0" w:color="auto"/>
          </w:divBdr>
          <w:divsChild>
            <w:div w:id="1443768919">
              <w:marLeft w:val="0"/>
              <w:marRight w:val="0"/>
              <w:marTop w:val="0"/>
              <w:marBottom w:val="0"/>
              <w:divBdr>
                <w:top w:val="none" w:sz="0" w:space="0" w:color="auto"/>
                <w:left w:val="none" w:sz="0" w:space="0" w:color="auto"/>
                <w:bottom w:val="none" w:sz="0" w:space="0" w:color="auto"/>
                <w:right w:val="none" w:sz="0" w:space="0" w:color="auto"/>
              </w:divBdr>
              <w:divsChild>
                <w:div w:id="159956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681006">
      <w:bodyDiv w:val="1"/>
      <w:marLeft w:val="0"/>
      <w:marRight w:val="0"/>
      <w:marTop w:val="0"/>
      <w:marBottom w:val="0"/>
      <w:divBdr>
        <w:top w:val="none" w:sz="0" w:space="0" w:color="auto"/>
        <w:left w:val="none" w:sz="0" w:space="0" w:color="auto"/>
        <w:bottom w:val="none" w:sz="0" w:space="0" w:color="auto"/>
        <w:right w:val="none" w:sz="0" w:space="0" w:color="auto"/>
      </w:divBdr>
    </w:div>
    <w:div w:id="1676960895">
      <w:bodyDiv w:val="1"/>
      <w:marLeft w:val="0"/>
      <w:marRight w:val="0"/>
      <w:marTop w:val="0"/>
      <w:marBottom w:val="0"/>
      <w:divBdr>
        <w:top w:val="none" w:sz="0" w:space="0" w:color="auto"/>
        <w:left w:val="none" w:sz="0" w:space="0" w:color="auto"/>
        <w:bottom w:val="none" w:sz="0" w:space="0" w:color="auto"/>
        <w:right w:val="none" w:sz="0" w:space="0" w:color="auto"/>
      </w:divBdr>
    </w:div>
    <w:div w:id="1706514796">
      <w:bodyDiv w:val="1"/>
      <w:marLeft w:val="0"/>
      <w:marRight w:val="0"/>
      <w:marTop w:val="0"/>
      <w:marBottom w:val="0"/>
      <w:divBdr>
        <w:top w:val="none" w:sz="0" w:space="0" w:color="auto"/>
        <w:left w:val="none" w:sz="0" w:space="0" w:color="auto"/>
        <w:bottom w:val="none" w:sz="0" w:space="0" w:color="auto"/>
        <w:right w:val="none" w:sz="0" w:space="0" w:color="auto"/>
      </w:divBdr>
      <w:divsChild>
        <w:div w:id="1506479861">
          <w:marLeft w:val="0"/>
          <w:marRight w:val="0"/>
          <w:marTop w:val="0"/>
          <w:marBottom w:val="0"/>
          <w:divBdr>
            <w:top w:val="none" w:sz="0" w:space="0" w:color="auto"/>
            <w:left w:val="none" w:sz="0" w:space="0" w:color="auto"/>
            <w:bottom w:val="none" w:sz="0" w:space="0" w:color="auto"/>
            <w:right w:val="none" w:sz="0" w:space="0" w:color="auto"/>
          </w:divBdr>
          <w:divsChild>
            <w:div w:id="995913651">
              <w:marLeft w:val="0"/>
              <w:marRight w:val="0"/>
              <w:marTop w:val="0"/>
              <w:marBottom w:val="0"/>
              <w:divBdr>
                <w:top w:val="none" w:sz="0" w:space="0" w:color="auto"/>
                <w:left w:val="none" w:sz="0" w:space="0" w:color="auto"/>
                <w:bottom w:val="none" w:sz="0" w:space="0" w:color="auto"/>
                <w:right w:val="none" w:sz="0" w:space="0" w:color="auto"/>
              </w:divBdr>
              <w:divsChild>
                <w:div w:id="18521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8395">
      <w:bodyDiv w:val="1"/>
      <w:marLeft w:val="0"/>
      <w:marRight w:val="0"/>
      <w:marTop w:val="0"/>
      <w:marBottom w:val="0"/>
      <w:divBdr>
        <w:top w:val="none" w:sz="0" w:space="0" w:color="auto"/>
        <w:left w:val="none" w:sz="0" w:space="0" w:color="auto"/>
        <w:bottom w:val="none" w:sz="0" w:space="0" w:color="auto"/>
        <w:right w:val="none" w:sz="0" w:space="0" w:color="auto"/>
      </w:divBdr>
    </w:div>
    <w:div w:id="1731805248">
      <w:bodyDiv w:val="1"/>
      <w:marLeft w:val="0"/>
      <w:marRight w:val="0"/>
      <w:marTop w:val="0"/>
      <w:marBottom w:val="0"/>
      <w:divBdr>
        <w:top w:val="none" w:sz="0" w:space="0" w:color="auto"/>
        <w:left w:val="none" w:sz="0" w:space="0" w:color="auto"/>
        <w:bottom w:val="none" w:sz="0" w:space="0" w:color="auto"/>
        <w:right w:val="none" w:sz="0" w:space="0" w:color="auto"/>
      </w:divBdr>
      <w:divsChild>
        <w:div w:id="1191140131">
          <w:marLeft w:val="0"/>
          <w:marRight w:val="0"/>
          <w:marTop w:val="0"/>
          <w:marBottom w:val="0"/>
          <w:divBdr>
            <w:top w:val="none" w:sz="0" w:space="0" w:color="auto"/>
            <w:left w:val="none" w:sz="0" w:space="0" w:color="auto"/>
            <w:bottom w:val="none" w:sz="0" w:space="0" w:color="auto"/>
            <w:right w:val="none" w:sz="0" w:space="0" w:color="auto"/>
          </w:divBdr>
          <w:divsChild>
            <w:div w:id="2085953680">
              <w:marLeft w:val="0"/>
              <w:marRight w:val="0"/>
              <w:marTop w:val="0"/>
              <w:marBottom w:val="0"/>
              <w:divBdr>
                <w:top w:val="none" w:sz="0" w:space="0" w:color="auto"/>
                <w:left w:val="none" w:sz="0" w:space="0" w:color="auto"/>
                <w:bottom w:val="none" w:sz="0" w:space="0" w:color="auto"/>
                <w:right w:val="none" w:sz="0" w:space="0" w:color="auto"/>
              </w:divBdr>
              <w:divsChild>
                <w:div w:id="83919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338551">
      <w:bodyDiv w:val="1"/>
      <w:marLeft w:val="0"/>
      <w:marRight w:val="0"/>
      <w:marTop w:val="0"/>
      <w:marBottom w:val="0"/>
      <w:divBdr>
        <w:top w:val="none" w:sz="0" w:space="0" w:color="auto"/>
        <w:left w:val="none" w:sz="0" w:space="0" w:color="auto"/>
        <w:bottom w:val="none" w:sz="0" w:space="0" w:color="auto"/>
        <w:right w:val="none" w:sz="0" w:space="0" w:color="auto"/>
      </w:divBdr>
    </w:div>
    <w:div w:id="1783762540">
      <w:bodyDiv w:val="1"/>
      <w:marLeft w:val="0"/>
      <w:marRight w:val="0"/>
      <w:marTop w:val="0"/>
      <w:marBottom w:val="0"/>
      <w:divBdr>
        <w:top w:val="none" w:sz="0" w:space="0" w:color="auto"/>
        <w:left w:val="none" w:sz="0" w:space="0" w:color="auto"/>
        <w:bottom w:val="none" w:sz="0" w:space="0" w:color="auto"/>
        <w:right w:val="none" w:sz="0" w:space="0" w:color="auto"/>
      </w:divBdr>
      <w:divsChild>
        <w:div w:id="1844855408">
          <w:marLeft w:val="0"/>
          <w:marRight w:val="0"/>
          <w:marTop w:val="0"/>
          <w:marBottom w:val="0"/>
          <w:divBdr>
            <w:top w:val="none" w:sz="0" w:space="0" w:color="auto"/>
            <w:left w:val="none" w:sz="0" w:space="0" w:color="auto"/>
            <w:bottom w:val="none" w:sz="0" w:space="0" w:color="auto"/>
            <w:right w:val="none" w:sz="0" w:space="0" w:color="auto"/>
          </w:divBdr>
          <w:divsChild>
            <w:div w:id="86997185">
              <w:marLeft w:val="0"/>
              <w:marRight w:val="0"/>
              <w:marTop w:val="0"/>
              <w:marBottom w:val="150"/>
              <w:divBdr>
                <w:top w:val="none" w:sz="0" w:space="0" w:color="auto"/>
                <w:left w:val="none" w:sz="0" w:space="0" w:color="auto"/>
                <w:bottom w:val="none" w:sz="0" w:space="0" w:color="auto"/>
                <w:right w:val="none" w:sz="0" w:space="0" w:color="auto"/>
              </w:divBdr>
            </w:div>
            <w:div w:id="489709579">
              <w:marLeft w:val="0"/>
              <w:marRight w:val="0"/>
              <w:marTop w:val="150"/>
              <w:marBottom w:val="150"/>
              <w:divBdr>
                <w:top w:val="none" w:sz="0" w:space="0" w:color="auto"/>
                <w:left w:val="none" w:sz="0" w:space="0" w:color="auto"/>
                <w:bottom w:val="none" w:sz="0" w:space="0" w:color="auto"/>
                <w:right w:val="none" w:sz="0" w:space="0" w:color="auto"/>
              </w:divBdr>
            </w:div>
            <w:div w:id="656226678">
              <w:marLeft w:val="0"/>
              <w:marRight w:val="0"/>
              <w:marTop w:val="0"/>
              <w:marBottom w:val="0"/>
              <w:divBdr>
                <w:top w:val="none" w:sz="0" w:space="0" w:color="auto"/>
                <w:left w:val="none" w:sz="0" w:space="0" w:color="auto"/>
                <w:bottom w:val="none" w:sz="0" w:space="0" w:color="auto"/>
                <w:right w:val="none" w:sz="0" w:space="0" w:color="auto"/>
              </w:divBdr>
            </w:div>
            <w:div w:id="1388452713">
              <w:marLeft w:val="0"/>
              <w:marRight w:val="0"/>
              <w:marTop w:val="0"/>
              <w:marBottom w:val="0"/>
              <w:divBdr>
                <w:top w:val="none" w:sz="0" w:space="0" w:color="auto"/>
                <w:left w:val="none" w:sz="0" w:space="0" w:color="auto"/>
                <w:bottom w:val="none" w:sz="0" w:space="0" w:color="auto"/>
                <w:right w:val="none" w:sz="0" w:space="0" w:color="auto"/>
              </w:divBdr>
              <w:divsChild>
                <w:div w:id="75833308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792088114">
      <w:bodyDiv w:val="1"/>
      <w:marLeft w:val="0"/>
      <w:marRight w:val="0"/>
      <w:marTop w:val="0"/>
      <w:marBottom w:val="0"/>
      <w:divBdr>
        <w:top w:val="none" w:sz="0" w:space="0" w:color="auto"/>
        <w:left w:val="none" w:sz="0" w:space="0" w:color="auto"/>
        <w:bottom w:val="none" w:sz="0" w:space="0" w:color="auto"/>
        <w:right w:val="none" w:sz="0" w:space="0" w:color="auto"/>
      </w:divBdr>
      <w:divsChild>
        <w:div w:id="2365124">
          <w:marLeft w:val="0"/>
          <w:marRight w:val="0"/>
          <w:marTop w:val="0"/>
          <w:marBottom w:val="0"/>
          <w:divBdr>
            <w:top w:val="none" w:sz="0" w:space="0" w:color="auto"/>
            <w:left w:val="none" w:sz="0" w:space="0" w:color="auto"/>
            <w:bottom w:val="none" w:sz="0" w:space="0" w:color="auto"/>
            <w:right w:val="none" w:sz="0" w:space="0" w:color="auto"/>
          </w:divBdr>
          <w:divsChild>
            <w:div w:id="181818050">
              <w:marLeft w:val="0"/>
              <w:marRight w:val="0"/>
              <w:marTop w:val="0"/>
              <w:marBottom w:val="0"/>
              <w:divBdr>
                <w:top w:val="none" w:sz="0" w:space="0" w:color="auto"/>
                <w:left w:val="none" w:sz="0" w:space="0" w:color="auto"/>
                <w:bottom w:val="none" w:sz="0" w:space="0" w:color="auto"/>
                <w:right w:val="none" w:sz="0" w:space="0" w:color="auto"/>
              </w:divBdr>
              <w:divsChild>
                <w:div w:id="29603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358487">
          <w:marLeft w:val="0"/>
          <w:marRight w:val="0"/>
          <w:marTop w:val="0"/>
          <w:marBottom w:val="0"/>
          <w:divBdr>
            <w:top w:val="none" w:sz="0" w:space="0" w:color="auto"/>
            <w:left w:val="none" w:sz="0" w:space="0" w:color="auto"/>
            <w:bottom w:val="none" w:sz="0" w:space="0" w:color="auto"/>
            <w:right w:val="none" w:sz="0" w:space="0" w:color="auto"/>
          </w:divBdr>
          <w:divsChild>
            <w:div w:id="177356361">
              <w:marLeft w:val="0"/>
              <w:marRight w:val="0"/>
              <w:marTop w:val="0"/>
              <w:marBottom w:val="0"/>
              <w:divBdr>
                <w:top w:val="none" w:sz="0" w:space="0" w:color="auto"/>
                <w:left w:val="none" w:sz="0" w:space="0" w:color="auto"/>
                <w:bottom w:val="none" w:sz="0" w:space="0" w:color="auto"/>
                <w:right w:val="none" w:sz="0" w:space="0" w:color="auto"/>
              </w:divBdr>
              <w:divsChild>
                <w:div w:id="177815720">
                  <w:marLeft w:val="0"/>
                  <w:marRight w:val="0"/>
                  <w:marTop w:val="0"/>
                  <w:marBottom w:val="0"/>
                  <w:divBdr>
                    <w:top w:val="none" w:sz="0" w:space="0" w:color="auto"/>
                    <w:left w:val="none" w:sz="0" w:space="0" w:color="auto"/>
                    <w:bottom w:val="none" w:sz="0" w:space="0" w:color="auto"/>
                    <w:right w:val="none" w:sz="0" w:space="0" w:color="auto"/>
                  </w:divBdr>
                </w:div>
              </w:divsChild>
            </w:div>
            <w:div w:id="192155969">
              <w:marLeft w:val="0"/>
              <w:marRight w:val="0"/>
              <w:marTop w:val="0"/>
              <w:marBottom w:val="0"/>
              <w:divBdr>
                <w:top w:val="none" w:sz="0" w:space="0" w:color="auto"/>
                <w:left w:val="none" w:sz="0" w:space="0" w:color="auto"/>
                <w:bottom w:val="none" w:sz="0" w:space="0" w:color="auto"/>
                <w:right w:val="none" w:sz="0" w:space="0" w:color="auto"/>
              </w:divBdr>
              <w:divsChild>
                <w:div w:id="1714844086">
                  <w:marLeft w:val="0"/>
                  <w:marRight w:val="0"/>
                  <w:marTop w:val="0"/>
                  <w:marBottom w:val="0"/>
                  <w:divBdr>
                    <w:top w:val="none" w:sz="0" w:space="0" w:color="auto"/>
                    <w:left w:val="none" w:sz="0" w:space="0" w:color="auto"/>
                    <w:bottom w:val="none" w:sz="0" w:space="0" w:color="auto"/>
                    <w:right w:val="none" w:sz="0" w:space="0" w:color="auto"/>
                  </w:divBdr>
                </w:div>
              </w:divsChild>
            </w:div>
            <w:div w:id="470487976">
              <w:marLeft w:val="0"/>
              <w:marRight w:val="0"/>
              <w:marTop w:val="0"/>
              <w:marBottom w:val="0"/>
              <w:divBdr>
                <w:top w:val="none" w:sz="0" w:space="0" w:color="auto"/>
                <w:left w:val="none" w:sz="0" w:space="0" w:color="auto"/>
                <w:bottom w:val="none" w:sz="0" w:space="0" w:color="auto"/>
                <w:right w:val="none" w:sz="0" w:space="0" w:color="auto"/>
              </w:divBdr>
              <w:divsChild>
                <w:div w:id="769424844">
                  <w:marLeft w:val="0"/>
                  <w:marRight w:val="0"/>
                  <w:marTop w:val="0"/>
                  <w:marBottom w:val="0"/>
                  <w:divBdr>
                    <w:top w:val="none" w:sz="0" w:space="0" w:color="auto"/>
                    <w:left w:val="none" w:sz="0" w:space="0" w:color="auto"/>
                    <w:bottom w:val="none" w:sz="0" w:space="0" w:color="auto"/>
                    <w:right w:val="none" w:sz="0" w:space="0" w:color="auto"/>
                  </w:divBdr>
                </w:div>
              </w:divsChild>
            </w:div>
            <w:div w:id="731654630">
              <w:marLeft w:val="0"/>
              <w:marRight w:val="0"/>
              <w:marTop w:val="0"/>
              <w:marBottom w:val="0"/>
              <w:divBdr>
                <w:top w:val="none" w:sz="0" w:space="0" w:color="auto"/>
                <w:left w:val="none" w:sz="0" w:space="0" w:color="auto"/>
                <w:bottom w:val="none" w:sz="0" w:space="0" w:color="auto"/>
                <w:right w:val="none" w:sz="0" w:space="0" w:color="auto"/>
              </w:divBdr>
              <w:divsChild>
                <w:div w:id="1114596957">
                  <w:marLeft w:val="0"/>
                  <w:marRight w:val="0"/>
                  <w:marTop w:val="0"/>
                  <w:marBottom w:val="0"/>
                  <w:divBdr>
                    <w:top w:val="none" w:sz="0" w:space="0" w:color="auto"/>
                    <w:left w:val="none" w:sz="0" w:space="0" w:color="auto"/>
                    <w:bottom w:val="none" w:sz="0" w:space="0" w:color="auto"/>
                    <w:right w:val="none" w:sz="0" w:space="0" w:color="auto"/>
                  </w:divBdr>
                </w:div>
              </w:divsChild>
            </w:div>
            <w:div w:id="1160121400">
              <w:marLeft w:val="0"/>
              <w:marRight w:val="0"/>
              <w:marTop w:val="0"/>
              <w:marBottom w:val="0"/>
              <w:divBdr>
                <w:top w:val="none" w:sz="0" w:space="0" w:color="auto"/>
                <w:left w:val="none" w:sz="0" w:space="0" w:color="auto"/>
                <w:bottom w:val="none" w:sz="0" w:space="0" w:color="auto"/>
                <w:right w:val="none" w:sz="0" w:space="0" w:color="auto"/>
              </w:divBdr>
              <w:divsChild>
                <w:div w:id="1354308008">
                  <w:marLeft w:val="0"/>
                  <w:marRight w:val="0"/>
                  <w:marTop w:val="0"/>
                  <w:marBottom w:val="0"/>
                  <w:divBdr>
                    <w:top w:val="none" w:sz="0" w:space="0" w:color="auto"/>
                    <w:left w:val="none" w:sz="0" w:space="0" w:color="auto"/>
                    <w:bottom w:val="none" w:sz="0" w:space="0" w:color="auto"/>
                    <w:right w:val="none" w:sz="0" w:space="0" w:color="auto"/>
                  </w:divBdr>
                </w:div>
              </w:divsChild>
            </w:div>
            <w:div w:id="1234196504">
              <w:marLeft w:val="0"/>
              <w:marRight w:val="0"/>
              <w:marTop w:val="0"/>
              <w:marBottom w:val="0"/>
              <w:divBdr>
                <w:top w:val="none" w:sz="0" w:space="0" w:color="auto"/>
                <w:left w:val="none" w:sz="0" w:space="0" w:color="auto"/>
                <w:bottom w:val="none" w:sz="0" w:space="0" w:color="auto"/>
                <w:right w:val="none" w:sz="0" w:space="0" w:color="auto"/>
              </w:divBdr>
              <w:divsChild>
                <w:div w:id="202136170">
                  <w:marLeft w:val="0"/>
                  <w:marRight w:val="0"/>
                  <w:marTop w:val="0"/>
                  <w:marBottom w:val="0"/>
                  <w:divBdr>
                    <w:top w:val="none" w:sz="0" w:space="0" w:color="auto"/>
                    <w:left w:val="none" w:sz="0" w:space="0" w:color="auto"/>
                    <w:bottom w:val="none" w:sz="0" w:space="0" w:color="auto"/>
                    <w:right w:val="none" w:sz="0" w:space="0" w:color="auto"/>
                  </w:divBdr>
                </w:div>
              </w:divsChild>
            </w:div>
            <w:div w:id="1433479888">
              <w:marLeft w:val="0"/>
              <w:marRight w:val="0"/>
              <w:marTop w:val="0"/>
              <w:marBottom w:val="0"/>
              <w:divBdr>
                <w:top w:val="none" w:sz="0" w:space="0" w:color="auto"/>
                <w:left w:val="none" w:sz="0" w:space="0" w:color="auto"/>
                <w:bottom w:val="none" w:sz="0" w:space="0" w:color="auto"/>
                <w:right w:val="none" w:sz="0" w:space="0" w:color="auto"/>
              </w:divBdr>
              <w:divsChild>
                <w:div w:id="1340424809">
                  <w:marLeft w:val="0"/>
                  <w:marRight w:val="0"/>
                  <w:marTop w:val="0"/>
                  <w:marBottom w:val="0"/>
                  <w:divBdr>
                    <w:top w:val="none" w:sz="0" w:space="0" w:color="auto"/>
                    <w:left w:val="none" w:sz="0" w:space="0" w:color="auto"/>
                    <w:bottom w:val="none" w:sz="0" w:space="0" w:color="auto"/>
                    <w:right w:val="none" w:sz="0" w:space="0" w:color="auto"/>
                  </w:divBdr>
                </w:div>
              </w:divsChild>
            </w:div>
            <w:div w:id="2029914021">
              <w:marLeft w:val="0"/>
              <w:marRight w:val="0"/>
              <w:marTop w:val="0"/>
              <w:marBottom w:val="0"/>
              <w:divBdr>
                <w:top w:val="none" w:sz="0" w:space="0" w:color="auto"/>
                <w:left w:val="none" w:sz="0" w:space="0" w:color="auto"/>
                <w:bottom w:val="none" w:sz="0" w:space="0" w:color="auto"/>
                <w:right w:val="none" w:sz="0" w:space="0" w:color="auto"/>
              </w:divBdr>
              <w:divsChild>
                <w:div w:id="1856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880742">
      <w:bodyDiv w:val="1"/>
      <w:marLeft w:val="0"/>
      <w:marRight w:val="0"/>
      <w:marTop w:val="0"/>
      <w:marBottom w:val="0"/>
      <w:divBdr>
        <w:top w:val="none" w:sz="0" w:space="0" w:color="auto"/>
        <w:left w:val="none" w:sz="0" w:space="0" w:color="auto"/>
        <w:bottom w:val="none" w:sz="0" w:space="0" w:color="auto"/>
        <w:right w:val="none" w:sz="0" w:space="0" w:color="auto"/>
      </w:divBdr>
      <w:divsChild>
        <w:div w:id="1856533465">
          <w:marLeft w:val="0"/>
          <w:marRight w:val="0"/>
          <w:marTop w:val="0"/>
          <w:marBottom w:val="0"/>
          <w:divBdr>
            <w:top w:val="none" w:sz="0" w:space="0" w:color="auto"/>
            <w:left w:val="none" w:sz="0" w:space="0" w:color="auto"/>
            <w:bottom w:val="none" w:sz="0" w:space="0" w:color="auto"/>
            <w:right w:val="none" w:sz="0" w:space="0" w:color="auto"/>
          </w:divBdr>
          <w:divsChild>
            <w:div w:id="2121098400">
              <w:marLeft w:val="0"/>
              <w:marRight w:val="0"/>
              <w:marTop w:val="0"/>
              <w:marBottom w:val="0"/>
              <w:divBdr>
                <w:top w:val="none" w:sz="0" w:space="0" w:color="auto"/>
                <w:left w:val="none" w:sz="0" w:space="0" w:color="auto"/>
                <w:bottom w:val="none" w:sz="0" w:space="0" w:color="auto"/>
                <w:right w:val="none" w:sz="0" w:space="0" w:color="auto"/>
              </w:divBdr>
              <w:divsChild>
                <w:div w:id="1279214870">
                  <w:marLeft w:val="0"/>
                  <w:marRight w:val="0"/>
                  <w:marTop w:val="0"/>
                  <w:marBottom w:val="0"/>
                  <w:divBdr>
                    <w:top w:val="none" w:sz="0" w:space="0" w:color="auto"/>
                    <w:left w:val="none" w:sz="0" w:space="0" w:color="auto"/>
                    <w:bottom w:val="none" w:sz="0" w:space="0" w:color="auto"/>
                    <w:right w:val="none" w:sz="0" w:space="0" w:color="auto"/>
                  </w:divBdr>
                  <w:divsChild>
                    <w:div w:id="157786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175492">
      <w:bodyDiv w:val="1"/>
      <w:marLeft w:val="0"/>
      <w:marRight w:val="0"/>
      <w:marTop w:val="0"/>
      <w:marBottom w:val="0"/>
      <w:divBdr>
        <w:top w:val="none" w:sz="0" w:space="0" w:color="auto"/>
        <w:left w:val="none" w:sz="0" w:space="0" w:color="auto"/>
        <w:bottom w:val="none" w:sz="0" w:space="0" w:color="auto"/>
        <w:right w:val="none" w:sz="0" w:space="0" w:color="auto"/>
      </w:divBdr>
      <w:divsChild>
        <w:div w:id="458962237">
          <w:marLeft w:val="0"/>
          <w:marRight w:val="0"/>
          <w:marTop w:val="0"/>
          <w:marBottom w:val="0"/>
          <w:divBdr>
            <w:top w:val="none" w:sz="0" w:space="0" w:color="auto"/>
            <w:left w:val="none" w:sz="0" w:space="0" w:color="auto"/>
            <w:bottom w:val="none" w:sz="0" w:space="0" w:color="auto"/>
            <w:right w:val="none" w:sz="0" w:space="0" w:color="auto"/>
          </w:divBdr>
          <w:divsChild>
            <w:div w:id="403529315">
              <w:marLeft w:val="0"/>
              <w:marRight w:val="0"/>
              <w:marTop w:val="0"/>
              <w:marBottom w:val="0"/>
              <w:divBdr>
                <w:top w:val="none" w:sz="0" w:space="0" w:color="auto"/>
                <w:left w:val="none" w:sz="0" w:space="0" w:color="auto"/>
                <w:bottom w:val="none" w:sz="0" w:space="0" w:color="auto"/>
                <w:right w:val="none" w:sz="0" w:space="0" w:color="auto"/>
              </w:divBdr>
              <w:divsChild>
                <w:div w:id="1936788455">
                  <w:marLeft w:val="0"/>
                  <w:marRight w:val="0"/>
                  <w:marTop w:val="0"/>
                  <w:marBottom w:val="0"/>
                  <w:divBdr>
                    <w:top w:val="none" w:sz="0" w:space="0" w:color="auto"/>
                    <w:left w:val="none" w:sz="0" w:space="0" w:color="auto"/>
                    <w:bottom w:val="none" w:sz="0" w:space="0" w:color="auto"/>
                    <w:right w:val="none" w:sz="0" w:space="0" w:color="auto"/>
                  </w:divBdr>
                  <w:divsChild>
                    <w:div w:id="26785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806073">
      <w:bodyDiv w:val="1"/>
      <w:marLeft w:val="0"/>
      <w:marRight w:val="0"/>
      <w:marTop w:val="0"/>
      <w:marBottom w:val="0"/>
      <w:divBdr>
        <w:top w:val="none" w:sz="0" w:space="0" w:color="auto"/>
        <w:left w:val="none" w:sz="0" w:space="0" w:color="auto"/>
        <w:bottom w:val="none" w:sz="0" w:space="0" w:color="auto"/>
        <w:right w:val="none" w:sz="0" w:space="0" w:color="auto"/>
      </w:divBdr>
      <w:divsChild>
        <w:div w:id="1272668146">
          <w:marLeft w:val="0"/>
          <w:marRight w:val="0"/>
          <w:marTop w:val="0"/>
          <w:marBottom w:val="0"/>
          <w:divBdr>
            <w:top w:val="none" w:sz="0" w:space="0" w:color="auto"/>
            <w:left w:val="none" w:sz="0" w:space="0" w:color="auto"/>
            <w:bottom w:val="none" w:sz="0" w:space="0" w:color="auto"/>
            <w:right w:val="none" w:sz="0" w:space="0" w:color="auto"/>
          </w:divBdr>
          <w:divsChild>
            <w:div w:id="1549609825">
              <w:marLeft w:val="0"/>
              <w:marRight w:val="0"/>
              <w:marTop w:val="0"/>
              <w:marBottom w:val="0"/>
              <w:divBdr>
                <w:top w:val="none" w:sz="0" w:space="0" w:color="auto"/>
                <w:left w:val="none" w:sz="0" w:space="0" w:color="auto"/>
                <w:bottom w:val="none" w:sz="0" w:space="0" w:color="auto"/>
                <w:right w:val="none" w:sz="0" w:space="0" w:color="auto"/>
              </w:divBdr>
              <w:divsChild>
                <w:div w:id="1585260913">
                  <w:marLeft w:val="0"/>
                  <w:marRight w:val="0"/>
                  <w:marTop w:val="0"/>
                  <w:marBottom w:val="0"/>
                  <w:divBdr>
                    <w:top w:val="none" w:sz="0" w:space="0" w:color="auto"/>
                    <w:left w:val="none" w:sz="0" w:space="0" w:color="auto"/>
                    <w:bottom w:val="none" w:sz="0" w:space="0" w:color="auto"/>
                    <w:right w:val="none" w:sz="0" w:space="0" w:color="auto"/>
                  </w:divBdr>
                  <w:divsChild>
                    <w:div w:id="178299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323430">
      <w:bodyDiv w:val="1"/>
      <w:marLeft w:val="0"/>
      <w:marRight w:val="0"/>
      <w:marTop w:val="0"/>
      <w:marBottom w:val="0"/>
      <w:divBdr>
        <w:top w:val="none" w:sz="0" w:space="0" w:color="auto"/>
        <w:left w:val="none" w:sz="0" w:space="0" w:color="auto"/>
        <w:bottom w:val="none" w:sz="0" w:space="0" w:color="auto"/>
        <w:right w:val="none" w:sz="0" w:space="0" w:color="auto"/>
      </w:divBdr>
    </w:div>
    <w:div w:id="1861358901">
      <w:bodyDiv w:val="1"/>
      <w:marLeft w:val="0"/>
      <w:marRight w:val="0"/>
      <w:marTop w:val="0"/>
      <w:marBottom w:val="0"/>
      <w:divBdr>
        <w:top w:val="none" w:sz="0" w:space="0" w:color="auto"/>
        <w:left w:val="none" w:sz="0" w:space="0" w:color="auto"/>
        <w:bottom w:val="none" w:sz="0" w:space="0" w:color="auto"/>
        <w:right w:val="none" w:sz="0" w:space="0" w:color="auto"/>
      </w:divBdr>
      <w:divsChild>
        <w:div w:id="1889995569">
          <w:marLeft w:val="0"/>
          <w:marRight w:val="0"/>
          <w:marTop w:val="0"/>
          <w:marBottom w:val="0"/>
          <w:divBdr>
            <w:top w:val="none" w:sz="0" w:space="0" w:color="auto"/>
            <w:left w:val="none" w:sz="0" w:space="0" w:color="auto"/>
            <w:bottom w:val="none" w:sz="0" w:space="0" w:color="auto"/>
            <w:right w:val="none" w:sz="0" w:space="0" w:color="auto"/>
          </w:divBdr>
          <w:divsChild>
            <w:div w:id="632097806">
              <w:marLeft w:val="0"/>
              <w:marRight w:val="0"/>
              <w:marTop w:val="0"/>
              <w:marBottom w:val="0"/>
              <w:divBdr>
                <w:top w:val="none" w:sz="0" w:space="0" w:color="auto"/>
                <w:left w:val="none" w:sz="0" w:space="0" w:color="auto"/>
                <w:bottom w:val="none" w:sz="0" w:space="0" w:color="auto"/>
                <w:right w:val="none" w:sz="0" w:space="0" w:color="auto"/>
              </w:divBdr>
              <w:divsChild>
                <w:div w:id="440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8025">
      <w:bodyDiv w:val="1"/>
      <w:marLeft w:val="0"/>
      <w:marRight w:val="0"/>
      <w:marTop w:val="0"/>
      <w:marBottom w:val="0"/>
      <w:divBdr>
        <w:top w:val="none" w:sz="0" w:space="0" w:color="auto"/>
        <w:left w:val="none" w:sz="0" w:space="0" w:color="auto"/>
        <w:bottom w:val="none" w:sz="0" w:space="0" w:color="auto"/>
        <w:right w:val="none" w:sz="0" w:space="0" w:color="auto"/>
      </w:divBdr>
    </w:div>
    <w:div w:id="1874073443">
      <w:bodyDiv w:val="1"/>
      <w:marLeft w:val="0"/>
      <w:marRight w:val="0"/>
      <w:marTop w:val="0"/>
      <w:marBottom w:val="0"/>
      <w:divBdr>
        <w:top w:val="none" w:sz="0" w:space="0" w:color="auto"/>
        <w:left w:val="none" w:sz="0" w:space="0" w:color="auto"/>
        <w:bottom w:val="none" w:sz="0" w:space="0" w:color="auto"/>
        <w:right w:val="none" w:sz="0" w:space="0" w:color="auto"/>
      </w:divBdr>
    </w:div>
    <w:div w:id="1895851017">
      <w:bodyDiv w:val="1"/>
      <w:marLeft w:val="0"/>
      <w:marRight w:val="0"/>
      <w:marTop w:val="0"/>
      <w:marBottom w:val="0"/>
      <w:divBdr>
        <w:top w:val="none" w:sz="0" w:space="0" w:color="auto"/>
        <w:left w:val="none" w:sz="0" w:space="0" w:color="auto"/>
        <w:bottom w:val="none" w:sz="0" w:space="0" w:color="auto"/>
        <w:right w:val="none" w:sz="0" w:space="0" w:color="auto"/>
      </w:divBdr>
      <w:divsChild>
        <w:div w:id="336546127">
          <w:marLeft w:val="0"/>
          <w:marRight w:val="0"/>
          <w:marTop w:val="0"/>
          <w:marBottom w:val="0"/>
          <w:divBdr>
            <w:top w:val="none" w:sz="0" w:space="0" w:color="auto"/>
            <w:left w:val="none" w:sz="0" w:space="0" w:color="auto"/>
            <w:bottom w:val="none" w:sz="0" w:space="0" w:color="auto"/>
            <w:right w:val="none" w:sz="0" w:space="0" w:color="auto"/>
          </w:divBdr>
          <w:divsChild>
            <w:div w:id="2014725272">
              <w:marLeft w:val="0"/>
              <w:marRight w:val="0"/>
              <w:marTop w:val="0"/>
              <w:marBottom w:val="0"/>
              <w:divBdr>
                <w:top w:val="none" w:sz="0" w:space="0" w:color="auto"/>
                <w:left w:val="none" w:sz="0" w:space="0" w:color="auto"/>
                <w:bottom w:val="none" w:sz="0" w:space="0" w:color="auto"/>
                <w:right w:val="none" w:sz="0" w:space="0" w:color="auto"/>
              </w:divBdr>
              <w:divsChild>
                <w:div w:id="152136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935492">
      <w:bodyDiv w:val="1"/>
      <w:marLeft w:val="0"/>
      <w:marRight w:val="0"/>
      <w:marTop w:val="0"/>
      <w:marBottom w:val="0"/>
      <w:divBdr>
        <w:top w:val="none" w:sz="0" w:space="0" w:color="auto"/>
        <w:left w:val="none" w:sz="0" w:space="0" w:color="auto"/>
        <w:bottom w:val="none" w:sz="0" w:space="0" w:color="auto"/>
        <w:right w:val="none" w:sz="0" w:space="0" w:color="auto"/>
      </w:divBdr>
    </w:div>
    <w:div w:id="1905020805">
      <w:bodyDiv w:val="1"/>
      <w:marLeft w:val="0"/>
      <w:marRight w:val="0"/>
      <w:marTop w:val="0"/>
      <w:marBottom w:val="0"/>
      <w:divBdr>
        <w:top w:val="none" w:sz="0" w:space="0" w:color="auto"/>
        <w:left w:val="none" w:sz="0" w:space="0" w:color="auto"/>
        <w:bottom w:val="none" w:sz="0" w:space="0" w:color="auto"/>
        <w:right w:val="none" w:sz="0" w:space="0" w:color="auto"/>
      </w:divBdr>
      <w:divsChild>
        <w:div w:id="205416919">
          <w:marLeft w:val="0"/>
          <w:marRight w:val="0"/>
          <w:marTop w:val="0"/>
          <w:marBottom w:val="0"/>
          <w:divBdr>
            <w:top w:val="none" w:sz="0" w:space="0" w:color="auto"/>
            <w:left w:val="none" w:sz="0" w:space="0" w:color="auto"/>
            <w:bottom w:val="none" w:sz="0" w:space="0" w:color="auto"/>
            <w:right w:val="none" w:sz="0" w:space="0" w:color="auto"/>
          </w:divBdr>
          <w:divsChild>
            <w:div w:id="472063979">
              <w:marLeft w:val="0"/>
              <w:marRight w:val="0"/>
              <w:marTop w:val="0"/>
              <w:marBottom w:val="0"/>
              <w:divBdr>
                <w:top w:val="none" w:sz="0" w:space="0" w:color="auto"/>
                <w:left w:val="none" w:sz="0" w:space="0" w:color="auto"/>
                <w:bottom w:val="none" w:sz="0" w:space="0" w:color="auto"/>
                <w:right w:val="none" w:sz="0" w:space="0" w:color="auto"/>
              </w:divBdr>
              <w:divsChild>
                <w:div w:id="957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489045">
      <w:bodyDiv w:val="1"/>
      <w:marLeft w:val="0"/>
      <w:marRight w:val="0"/>
      <w:marTop w:val="0"/>
      <w:marBottom w:val="0"/>
      <w:divBdr>
        <w:top w:val="none" w:sz="0" w:space="0" w:color="auto"/>
        <w:left w:val="none" w:sz="0" w:space="0" w:color="auto"/>
        <w:bottom w:val="none" w:sz="0" w:space="0" w:color="auto"/>
        <w:right w:val="none" w:sz="0" w:space="0" w:color="auto"/>
      </w:divBdr>
    </w:div>
    <w:div w:id="1937982391">
      <w:bodyDiv w:val="1"/>
      <w:marLeft w:val="0"/>
      <w:marRight w:val="0"/>
      <w:marTop w:val="0"/>
      <w:marBottom w:val="0"/>
      <w:divBdr>
        <w:top w:val="none" w:sz="0" w:space="0" w:color="auto"/>
        <w:left w:val="none" w:sz="0" w:space="0" w:color="auto"/>
        <w:bottom w:val="none" w:sz="0" w:space="0" w:color="auto"/>
        <w:right w:val="none" w:sz="0" w:space="0" w:color="auto"/>
      </w:divBdr>
    </w:div>
    <w:div w:id="1968773337">
      <w:bodyDiv w:val="1"/>
      <w:marLeft w:val="0"/>
      <w:marRight w:val="0"/>
      <w:marTop w:val="0"/>
      <w:marBottom w:val="0"/>
      <w:divBdr>
        <w:top w:val="none" w:sz="0" w:space="0" w:color="auto"/>
        <w:left w:val="none" w:sz="0" w:space="0" w:color="auto"/>
        <w:bottom w:val="none" w:sz="0" w:space="0" w:color="auto"/>
        <w:right w:val="none" w:sz="0" w:space="0" w:color="auto"/>
      </w:divBdr>
      <w:divsChild>
        <w:div w:id="636378595">
          <w:marLeft w:val="0"/>
          <w:marRight w:val="0"/>
          <w:marTop w:val="0"/>
          <w:marBottom w:val="0"/>
          <w:divBdr>
            <w:top w:val="none" w:sz="0" w:space="0" w:color="auto"/>
            <w:left w:val="none" w:sz="0" w:space="0" w:color="auto"/>
            <w:bottom w:val="none" w:sz="0" w:space="0" w:color="auto"/>
            <w:right w:val="none" w:sz="0" w:space="0" w:color="auto"/>
          </w:divBdr>
          <w:divsChild>
            <w:div w:id="1941141049">
              <w:marLeft w:val="0"/>
              <w:marRight w:val="0"/>
              <w:marTop w:val="0"/>
              <w:marBottom w:val="0"/>
              <w:divBdr>
                <w:top w:val="none" w:sz="0" w:space="0" w:color="auto"/>
                <w:left w:val="none" w:sz="0" w:space="0" w:color="auto"/>
                <w:bottom w:val="none" w:sz="0" w:space="0" w:color="auto"/>
                <w:right w:val="none" w:sz="0" w:space="0" w:color="auto"/>
              </w:divBdr>
              <w:divsChild>
                <w:div w:id="174406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246163">
      <w:bodyDiv w:val="1"/>
      <w:marLeft w:val="0"/>
      <w:marRight w:val="0"/>
      <w:marTop w:val="0"/>
      <w:marBottom w:val="0"/>
      <w:divBdr>
        <w:top w:val="none" w:sz="0" w:space="0" w:color="auto"/>
        <w:left w:val="none" w:sz="0" w:space="0" w:color="auto"/>
        <w:bottom w:val="none" w:sz="0" w:space="0" w:color="auto"/>
        <w:right w:val="none" w:sz="0" w:space="0" w:color="auto"/>
      </w:divBdr>
      <w:divsChild>
        <w:div w:id="497117578">
          <w:marLeft w:val="0"/>
          <w:marRight w:val="0"/>
          <w:marTop w:val="0"/>
          <w:marBottom w:val="0"/>
          <w:divBdr>
            <w:top w:val="none" w:sz="0" w:space="0" w:color="auto"/>
            <w:left w:val="none" w:sz="0" w:space="0" w:color="auto"/>
            <w:bottom w:val="none" w:sz="0" w:space="0" w:color="auto"/>
            <w:right w:val="none" w:sz="0" w:space="0" w:color="auto"/>
          </w:divBdr>
          <w:divsChild>
            <w:div w:id="345329043">
              <w:marLeft w:val="0"/>
              <w:marRight w:val="0"/>
              <w:marTop w:val="0"/>
              <w:marBottom w:val="0"/>
              <w:divBdr>
                <w:top w:val="none" w:sz="0" w:space="0" w:color="auto"/>
                <w:left w:val="none" w:sz="0" w:space="0" w:color="auto"/>
                <w:bottom w:val="none" w:sz="0" w:space="0" w:color="auto"/>
                <w:right w:val="none" w:sz="0" w:space="0" w:color="auto"/>
              </w:divBdr>
              <w:divsChild>
                <w:div w:id="11237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25729">
      <w:bodyDiv w:val="1"/>
      <w:marLeft w:val="0"/>
      <w:marRight w:val="0"/>
      <w:marTop w:val="0"/>
      <w:marBottom w:val="0"/>
      <w:divBdr>
        <w:top w:val="none" w:sz="0" w:space="0" w:color="auto"/>
        <w:left w:val="none" w:sz="0" w:space="0" w:color="auto"/>
        <w:bottom w:val="none" w:sz="0" w:space="0" w:color="auto"/>
        <w:right w:val="none" w:sz="0" w:space="0" w:color="auto"/>
      </w:divBdr>
    </w:div>
    <w:div w:id="1979871242">
      <w:bodyDiv w:val="1"/>
      <w:marLeft w:val="0"/>
      <w:marRight w:val="0"/>
      <w:marTop w:val="0"/>
      <w:marBottom w:val="0"/>
      <w:divBdr>
        <w:top w:val="none" w:sz="0" w:space="0" w:color="auto"/>
        <w:left w:val="none" w:sz="0" w:space="0" w:color="auto"/>
        <w:bottom w:val="none" w:sz="0" w:space="0" w:color="auto"/>
        <w:right w:val="none" w:sz="0" w:space="0" w:color="auto"/>
      </w:divBdr>
    </w:div>
    <w:div w:id="2008824366">
      <w:bodyDiv w:val="1"/>
      <w:marLeft w:val="0"/>
      <w:marRight w:val="0"/>
      <w:marTop w:val="0"/>
      <w:marBottom w:val="0"/>
      <w:divBdr>
        <w:top w:val="none" w:sz="0" w:space="0" w:color="auto"/>
        <w:left w:val="none" w:sz="0" w:space="0" w:color="auto"/>
        <w:bottom w:val="none" w:sz="0" w:space="0" w:color="auto"/>
        <w:right w:val="none" w:sz="0" w:space="0" w:color="auto"/>
      </w:divBdr>
    </w:div>
    <w:div w:id="2037654170">
      <w:bodyDiv w:val="1"/>
      <w:marLeft w:val="0"/>
      <w:marRight w:val="0"/>
      <w:marTop w:val="0"/>
      <w:marBottom w:val="0"/>
      <w:divBdr>
        <w:top w:val="none" w:sz="0" w:space="0" w:color="auto"/>
        <w:left w:val="none" w:sz="0" w:space="0" w:color="auto"/>
        <w:bottom w:val="none" w:sz="0" w:space="0" w:color="auto"/>
        <w:right w:val="none" w:sz="0" w:space="0" w:color="auto"/>
      </w:divBdr>
    </w:div>
    <w:div w:id="2058697538">
      <w:bodyDiv w:val="1"/>
      <w:marLeft w:val="0"/>
      <w:marRight w:val="0"/>
      <w:marTop w:val="0"/>
      <w:marBottom w:val="0"/>
      <w:divBdr>
        <w:top w:val="none" w:sz="0" w:space="0" w:color="auto"/>
        <w:left w:val="none" w:sz="0" w:space="0" w:color="auto"/>
        <w:bottom w:val="none" w:sz="0" w:space="0" w:color="auto"/>
        <w:right w:val="none" w:sz="0" w:space="0" w:color="auto"/>
      </w:divBdr>
    </w:div>
    <w:div w:id="2065719024">
      <w:bodyDiv w:val="1"/>
      <w:marLeft w:val="0"/>
      <w:marRight w:val="0"/>
      <w:marTop w:val="0"/>
      <w:marBottom w:val="0"/>
      <w:divBdr>
        <w:top w:val="none" w:sz="0" w:space="0" w:color="auto"/>
        <w:left w:val="none" w:sz="0" w:space="0" w:color="auto"/>
        <w:bottom w:val="none" w:sz="0" w:space="0" w:color="auto"/>
        <w:right w:val="none" w:sz="0" w:space="0" w:color="auto"/>
      </w:divBdr>
      <w:divsChild>
        <w:div w:id="1079794060">
          <w:marLeft w:val="0"/>
          <w:marRight w:val="0"/>
          <w:marTop w:val="0"/>
          <w:marBottom w:val="0"/>
          <w:divBdr>
            <w:top w:val="none" w:sz="0" w:space="0" w:color="auto"/>
            <w:left w:val="none" w:sz="0" w:space="0" w:color="auto"/>
            <w:bottom w:val="none" w:sz="0" w:space="0" w:color="auto"/>
            <w:right w:val="none" w:sz="0" w:space="0" w:color="auto"/>
          </w:divBdr>
          <w:divsChild>
            <w:div w:id="2057199150">
              <w:marLeft w:val="0"/>
              <w:marRight w:val="0"/>
              <w:marTop w:val="0"/>
              <w:marBottom w:val="0"/>
              <w:divBdr>
                <w:top w:val="none" w:sz="0" w:space="0" w:color="auto"/>
                <w:left w:val="none" w:sz="0" w:space="0" w:color="auto"/>
                <w:bottom w:val="none" w:sz="0" w:space="0" w:color="auto"/>
                <w:right w:val="none" w:sz="0" w:space="0" w:color="auto"/>
              </w:divBdr>
              <w:divsChild>
                <w:div w:id="424420301">
                  <w:marLeft w:val="0"/>
                  <w:marRight w:val="0"/>
                  <w:marTop w:val="0"/>
                  <w:marBottom w:val="0"/>
                  <w:divBdr>
                    <w:top w:val="none" w:sz="0" w:space="0" w:color="auto"/>
                    <w:left w:val="none" w:sz="0" w:space="0" w:color="auto"/>
                    <w:bottom w:val="none" w:sz="0" w:space="0" w:color="auto"/>
                    <w:right w:val="none" w:sz="0" w:space="0" w:color="auto"/>
                  </w:divBdr>
                  <w:divsChild>
                    <w:div w:id="33365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244094">
      <w:bodyDiv w:val="1"/>
      <w:marLeft w:val="0"/>
      <w:marRight w:val="0"/>
      <w:marTop w:val="0"/>
      <w:marBottom w:val="0"/>
      <w:divBdr>
        <w:top w:val="none" w:sz="0" w:space="0" w:color="auto"/>
        <w:left w:val="none" w:sz="0" w:space="0" w:color="auto"/>
        <w:bottom w:val="none" w:sz="0" w:space="0" w:color="auto"/>
        <w:right w:val="none" w:sz="0" w:space="0" w:color="auto"/>
      </w:divBdr>
      <w:divsChild>
        <w:div w:id="1190952502">
          <w:marLeft w:val="0"/>
          <w:marRight w:val="0"/>
          <w:marTop w:val="0"/>
          <w:marBottom w:val="0"/>
          <w:divBdr>
            <w:top w:val="none" w:sz="0" w:space="0" w:color="auto"/>
            <w:left w:val="none" w:sz="0" w:space="0" w:color="auto"/>
            <w:bottom w:val="none" w:sz="0" w:space="0" w:color="auto"/>
            <w:right w:val="none" w:sz="0" w:space="0" w:color="auto"/>
          </w:divBdr>
          <w:divsChild>
            <w:div w:id="627123728">
              <w:marLeft w:val="0"/>
              <w:marRight w:val="0"/>
              <w:marTop w:val="0"/>
              <w:marBottom w:val="0"/>
              <w:divBdr>
                <w:top w:val="none" w:sz="0" w:space="0" w:color="auto"/>
                <w:left w:val="none" w:sz="0" w:space="0" w:color="auto"/>
                <w:bottom w:val="none" w:sz="0" w:space="0" w:color="auto"/>
                <w:right w:val="none" w:sz="0" w:space="0" w:color="auto"/>
              </w:divBdr>
              <w:divsChild>
                <w:div w:id="589892790">
                  <w:marLeft w:val="0"/>
                  <w:marRight w:val="0"/>
                  <w:marTop w:val="0"/>
                  <w:marBottom w:val="0"/>
                  <w:divBdr>
                    <w:top w:val="none" w:sz="0" w:space="0" w:color="auto"/>
                    <w:left w:val="none" w:sz="0" w:space="0" w:color="auto"/>
                    <w:bottom w:val="none" w:sz="0" w:space="0" w:color="auto"/>
                    <w:right w:val="none" w:sz="0" w:space="0" w:color="auto"/>
                  </w:divBdr>
                  <w:divsChild>
                    <w:div w:id="7930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411834">
      <w:bodyDiv w:val="1"/>
      <w:marLeft w:val="0"/>
      <w:marRight w:val="0"/>
      <w:marTop w:val="0"/>
      <w:marBottom w:val="0"/>
      <w:divBdr>
        <w:top w:val="none" w:sz="0" w:space="0" w:color="auto"/>
        <w:left w:val="none" w:sz="0" w:space="0" w:color="auto"/>
        <w:bottom w:val="none" w:sz="0" w:space="0" w:color="auto"/>
        <w:right w:val="none" w:sz="0" w:space="0" w:color="auto"/>
      </w:divBdr>
    </w:div>
    <w:div w:id="2121728119">
      <w:bodyDiv w:val="1"/>
      <w:marLeft w:val="0"/>
      <w:marRight w:val="0"/>
      <w:marTop w:val="0"/>
      <w:marBottom w:val="0"/>
      <w:divBdr>
        <w:top w:val="none" w:sz="0" w:space="0" w:color="auto"/>
        <w:left w:val="none" w:sz="0" w:space="0" w:color="auto"/>
        <w:bottom w:val="none" w:sz="0" w:space="0" w:color="auto"/>
        <w:right w:val="none" w:sz="0" w:space="0" w:color="auto"/>
      </w:divBdr>
      <w:divsChild>
        <w:div w:id="1631479225">
          <w:marLeft w:val="0"/>
          <w:marRight w:val="0"/>
          <w:marTop w:val="0"/>
          <w:marBottom w:val="0"/>
          <w:divBdr>
            <w:top w:val="none" w:sz="0" w:space="0" w:color="auto"/>
            <w:left w:val="none" w:sz="0" w:space="0" w:color="auto"/>
            <w:bottom w:val="none" w:sz="0" w:space="0" w:color="auto"/>
            <w:right w:val="none" w:sz="0" w:space="0" w:color="auto"/>
          </w:divBdr>
          <w:divsChild>
            <w:div w:id="1601723374">
              <w:marLeft w:val="0"/>
              <w:marRight w:val="0"/>
              <w:marTop w:val="0"/>
              <w:marBottom w:val="0"/>
              <w:divBdr>
                <w:top w:val="none" w:sz="0" w:space="0" w:color="auto"/>
                <w:left w:val="none" w:sz="0" w:space="0" w:color="auto"/>
                <w:bottom w:val="none" w:sz="0" w:space="0" w:color="auto"/>
                <w:right w:val="none" w:sz="0" w:space="0" w:color="auto"/>
              </w:divBdr>
              <w:divsChild>
                <w:div w:id="20125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66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tif"/><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s>
</file>

<file path=word/_rels/footnotes.xml.rels><?xml version="1.0" encoding="UTF-8" standalone="yes"?>
<Relationships xmlns="http://schemas.openxmlformats.org/package/2006/relationships"><Relationship Id="rId2" Type="http://schemas.openxmlformats.org/officeDocument/2006/relationships/hyperlink" Target="https://www.anasb.it/statistiche/" TargetMode="External"/><Relationship Id="rId1" Type="http://schemas.openxmlformats.org/officeDocument/2006/relationships/hyperlink" Target="http://www.anasb.it/statistiche/"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29768C24E267947877852B2D2B76A27" ma:contentTypeVersion="13" ma:contentTypeDescription="Create a new document." ma:contentTypeScope="" ma:versionID="c3529b4bae63a6535b57ce6b91216f53">
  <xsd:schema xmlns:xsd="http://www.w3.org/2001/XMLSchema" xmlns:xs="http://www.w3.org/2001/XMLSchema" xmlns:p="http://schemas.microsoft.com/office/2006/metadata/properties" xmlns:ns3="323b9390-e8d1-4aab-8d30-10a60869b6a0" xmlns:ns4="97d177fc-f69a-4a76-8a05-c457926880b0" targetNamespace="http://schemas.microsoft.com/office/2006/metadata/properties" ma:root="true" ma:fieldsID="977f4b7be6a2e564f90a3c8700a8d8a4" ns3:_="" ns4:_="">
    <xsd:import namespace="323b9390-e8d1-4aab-8d30-10a60869b6a0"/>
    <xsd:import namespace="97d177fc-f69a-4a76-8a05-c457926880b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3b9390-e8d1-4aab-8d30-10a60869b6a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7d177fc-f69a-4a76-8a05-c457926880b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9137E-FFB7-4B9F-89F0-A2F760DC09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3b9390-e8d1-4aab-8d30-10a60869b6a0"/>
    <ds:schemaRef ds:uri="97d177fc-f69a-4a76-8a05-c457926880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D9D6CF-E790-49B5-BC4A-E964900EECDB}">
  <ds:schemaRefs>
    <ds:schemaRef ds:uri="http://schemas.microsoft.com/sharepoint/v3/contenttype/forms"/>
  </ds:schemaRefs>
</ds:datastoreItem>
</file>

<file path=customXml/itemProps3.xml><?xml version="1.0" encoding="utf-8"?>
<ds:datastoreItem xmlns:ds="http://schemas.openxmlformats.org/officeDocument/2006/customXml" ds:itemID="{B85725C8-1CB6-45CB-A01D-05A7D5E3022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E3D5C43-FED6-4172-A19D-0A081BD0C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28</Pages>
  <Words>27618</Words>
  <Characters>157424</Characters>
  <Application>Microsoft Office Word</Application>
  <DocSecurity>0</DocSecurity>
  <Lines>1311</Lines>
  <Paragraphs>369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biogas_puri</vt:lpstr>
      <vt:lpstr>biogas_puri</vt:lpstr>
    </vt:vector>
  </TitlesOfParts>
  <Company>Hewlett-Packard</Company>
  <LinksUpToDate>false</LinksUpToDate>
  <CharactersWithSpaces>184673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biogas_puri</dc:title>
  <dc:subject/>
  <dc:creator>Utente</dc:creator>
  <cp:keywords/>
  <dc:description/>
  <cp:lastModifiedBy>Angela Salzano</cp:lastModifiedBy>
  <cp:revision>3</cp:revision>
  <cp:lastPrinted>2022-05-03T10:26:00Z</cp:lastPrinted>
  <dcterms:created xsi:type="dcterms:W3CDTF">2022-06-01T08:03:00Z</dcterms:created>
  <dcterms:modified xsi:type="dcterms:W3CDTF">2022-06-03T11:24:00Z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http://www.zotero.org/styles/biomass-conversion-and-biorefinery</vt:lpwstr>
  </property>
  <property fmtid="{D5CDD505-2E9C-101B-9397-08002B2CF9AE}" pid="8" name="Mendeley Recent Style Name 2_1">
    <vt:lpwstr>Biomass Conversion and Biorefinery</vt:lpwstr>
  </property>
  <property fmtid="{D5CDD505-2E9C-101B-9397-08002B2CF9AE}" pid="9" name="Mendeley Recent Style Id 3_1">
    <vt:lpwstr>http://www.zotero.org/styles/chemical-engineering-journal</vt:lpwstr>
  </property>
  <property fmtid="{D5CDD505-2E9C-101B-9397-08002B2CF9AE}" pid="10" name="Mendeley Recent Style Name 3_1">
    <vt:lpwstr>Chemical Engineering Journal</vt:lpwstr>
  </property>
  <property fmtid="{D5CDD505-2E9C-101B-9397-08002B2CF9AE}" pid="11" name="Mendeley Recent Style Id 4_1">
    <vt:lpwstr>http://www.zotero.org/styles/chemical-engineering-science</vt:lpwstr>
  </property>
  <property fmtid="{D5CDD505-2E9C-101B-9397-08002B2CF9AE}" pid="12" name="Mendeley Recent Style Name 4_1">
    <vt:lpwstr>Chemical Engineering Science</vt:lpwstr>
  </property>
  <property fmtid="{D5CDD505-2E9C-101B-9397-08002B2CF9AE}" pid="13" name="Mendeley Recent Style Id 5_1">
    <vt:lpwstr>http://www.zotero.org/styles/international-journal-of-sediment-research</vt:lpwstr>
  </property>
  <property fmtid="{D5CDD505-2E9C-101B-9397-08002B2CF9AE}" pid="14" name="Mendeley Recent Style Name 5_1">
    <vt:lpwstr>International Journal of Sediment Research</vt:lpwstr>
  </property>
  <property fmtid="{D5CDD505-2E9C-101B-9397-08002B2CF9AE}" pid="15" name="Mendeley Recent Style Id 6_1">
    <vt:lpwstr>http://www.zotero.org/styles/journal-of-cleaner-production</vt:lpwstr>
  </property>
  <property fmtid="{D5CDD505-2E9C-101B-9397-08002B2CF9AE}" pid="16" name="Mendeley Recent Style Name 6_1">
    <vt:lpwstr>Journal of Cleaner Production</vt:lpwstr>
  </property>
  <property fmtid="{D5CDD505-2E9C-101B-9397-08002B2CF9AE}" pid="17" name="Mendeley Recent Style Id 7_1">
    <vt:lpwstr>http://www.zotero.org/styles/nature</vt:lpwstr>
  </property>
  <property fmtid="{D5CDD505-2E9C-101B-9397-08002B2CF9AE}" pid="18" name="Mendeley Recent Style Name 7_1">
    <vt:lpwstr>Nature</vt:lpwstr>
  </property>
  <property fmtid="{D5CDD505-2E9C-101B-9397-08002B2CF9AE}" pid="19" name="Mendeley Recent Style Id 8_1">
    <vt:lpwstr>http://www.zotero.org/styles/renewable-and-sustainable-energy-reviews</vt:lpwstr>
  </property>
  <property fmtid="{D5CDD505-2E9C-101B-9397-08002B2CF9AE}" pid="20" name="Mendeley Recent Style Name 8_1">
    <vt:lpwstr>Renewable and Sustainable Energy Reviews</vt:lpwstr>
  </property>
  <property fmtid="{D5CDD505-2E9C-101B-9397-08002B2CF9AE}" pid="21" name="Mendeley Recent Style Id 9_1">
    <vt:lpwstr>https://csl.mendeley.com/styles/473673931/the-canadian-journal-of-chemical-engineering</vt:lpwstr>
  </property>
  <property fmtid="{D5CDD505-2E9C-101B-9397-08002B2CF9AE}" pid="22" name="Mendeley Recent Style Name 9_1">
    <vt:lpwstr>The Canadian Journal of Chemical Engineering - roberto chirone</vt:lpwstr>
  </property>
  <property fmtid="{D5CDD505-2E9C-101B-9397-08002B2CF9AE}" pid="23" name="Mendeley Citation Style_1">
    <vt:lpwstr>http://www.zotero.org/styles/journal-of-cleaner-production</vt:lpwstr>
  </property>
  <property fmtid="{D5CDD505-2E9C-101B-9397-08002B2CF9AE}" pid="24" name="Mendeley Unique User Id_1">
    <vt:lpwstr>97132f05-3510-3bdc-b981-fc8794bb3919</vt:lpwstr>
  </property>
  <property fmtid="{D5CDD505-2E9C-101B-9397-08002B2CF9AE}" pid="25" name="ContentTypeId">
    <vt:lpwstr>0x010100329768C24E267947877852B2D2B76A27</vt:lpwstr>
  </property>
</Properties>
</file>