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D1BC3" w14:textId="6A9BFF4C" w:rsidR="007C412D" w:rsidRPr="002E17E3" w:rsidRDefault="007C412D" w:rsidP="007C412D">
      <w:pPr>
        <w:spacing w:after="0" w:line="240" w:lineRule="auto"/>
        <w:rPr>
          <w:rFonts w:ascii="Times New Roman" w:eastAsia="Times New Roman" w:hAnsi="Times New Roman" w:cs="Times New Roman"/>
          <w:b/>
          <w:sz w:val="24"/>
          <w:szCs w:val="24"/>
          <w:lang w:eastAsia="ja-JP"/>
        </w:rPr>
      </w:pPr>
      <w:r w:rsidRPr="007C412D">
        <w:rPr>
          <w:rFonts w:ascii="Times New Roman" w:eastAsia="Times New Roman" w:hAnsi="Times New Roman" w:cs="Times New Roman"/>
          <w:b/>
          <w:sz w:val="24"/>
          <w:szCs w:val="24"/>
          <w:lang w:eastAsia="ja-JP"/>
        </w:rPr>
        <w:t xml:space="preserve">Table </w:t>
      </w:r>
      <w:r w:rsidR="00D8024C">
        <w:rPr>
          <w:rFonts w:ascii="Times New Roman" w:eastAsia="Times New Roman" w:hAnsi="Times New Roman" w:cs="Times New Roman"/>
          <w:b/>
          <w:sz w:val="24"/>
          <w:szCs w:val="24"/>
          <w:lang w:eastAsia="ja-JP"/>
        </w:rPr>
        <w:t>4</w:t>
      </w:r>
      <w:r w:rsidRPr="007C412D">
        <w:rPr>
          <w:rFonts w:ascii="Times New Roman" w:eastAsia="Times New Roman" w:hAnsi="Times New Roman" w:cs="Times New Roman"/>
          <w:b/>
          <w:sz w:val="24"/>
          <w:szCs w:val="24"/>
          <w:lang w:eastAsia="ja-JP"/>
        </w:rPr>
        <w:t xml:space="preserve"> – Study quality assessment based on the </w:t>
      </w:r>
      <w:proofErr w:type="spellStart"/>
      <w:r w:rsidRPr="007C412D">
        <w:rPr>
          <w:rFonts w:ascii="Times New Roman" w:eastAsia="Times New Roman" w:hAnsi="Times New Roman" w:cs="Times New Roman"/>
          <w:b/>
          <w:sz w:val="24"/>
          <w:szCs w:val="24"/>
          <w:lang w:eastAsia="ja-JP"/>
        </w:rPr>
        <w:t>PEDro</w:t>
      </w:r>
      <w:proofErr w:type="spellEnd"/>
      <w:r w:rsidRPr="007C412D">
        <w:rPr>
          <w:rFonts w:ascii="Times New Roman" w:eastAsia="Times New Roman" w:hAnsi="Times New Roman" w:cs="Times New Roman"/>
          <w:b/>
          <w:sz w:val="24"/>
          <w:szCs w:val="24"/>
          <w:lang w:eastAsia="ja-JP"/>
        </w:rPr>
        <w:t xml:space="preserve"> scale for RCTs</w:t>
      </w:r>
    </w:p>
    <w:p w14:paraId="31BEB64C" w14:textId="77777777" w:rsidR="007C412D" w:rsidRPr="002E17E3" w:rsidRDefault="007C412D" w:rsidP="007C412D">
      <w:pPr>
        <w:spacing w:after="0" w:line="240" w:lineRule="auto"/>
        <w:rPr>
          <w:rFonts w:ascii="Times New Roman" w:eastAsia="Times New Roman" w:hAnsi="Times New Roman" w:cs="Times New Roman"/>
          <w:sz w:val="24"/>
          <w:szCs w:val="24"/>
          <w:lang w:eastAsia="ja-JP"/>
        </w:rPr>
      </w:pPr>
    </w:p>
    <w:tbl>
      <w:tblPr>
        <w:tblStyle w:val="PlainTable51"/>
        <w:tblpPr w:leftFromText="180" w:rightFromText="180" w:vertAnchor="text" w:tblpY="1"/>
        <w:tblOverlap w:val="never"/>
        <w:tblW w:w="13958" w:type="dxa"/>
        <w:tblLook w:val="04A0" w:firstRow="1" w:lastRow="0" w:firstColumn="1" w:lastColumn="0" w:noHBand="0" w:noVBand="1"/>
      </w:tblPr>
      <w:tblGrid>
        <w:gridCol w:w="1938"/>
        <w:gridCol w:w="2042"/>
        <w:gridCol w:w="2066"/>
        <w:gridCol w:w="1999"/>
        <w:gridCol w:w="1999"/>
        <w:gridCol w:w="2031"/>
        <w:gridCol w:w="1883"/>
      </w:tblGrid>
      <w:tr w:rsidR="00563880" w:rsidRPr="002E17E3" w14:paraId="5C25A87C" w14:textId="248E1D3E" w:rsidTr="00563880">
        <w:trPr>
          <w:cnfStyle w:val="100000000000" w:firstRow="1" w:lastRow="0" w:firstColumn="0" w:lastColumn="0" w:oddVBand="0" w:evenVBand="0" w:oddHBand="0" w:evenHBand="0" w:firstRowFirstColumn="0" w:firstRowLastColumn="0" w:lastRowFirstColumn="0" w:lastRowLastColumn="0"/>
          <w:trHeight w:val="690"/>
        </w:trPr>
        <w:tc>
          <w:tcPr>
            <w:cnfStyle w:val="001000000100" w:firstRow="0" w:lastRow="0" w:firstColumn="1" w:lastColumn="0" w:oddVBand="0" w:evenVBand="0" w:oddHBand="0" w:evenHBand="0" w:firstRowFirstColumn="1" w:firstRowLastColumn="0" w:lastRowFirstColumn="0" w:lastRowLastColumn="0"/>
            <w:tcW w:w="1938" w:type="dxa"/>
          </w:tcPr>
          <w:p w14:paraId="7672DF8C" w14:textId="77777777" w:rsidR="00563880" w:rsidRPr="002E17E3" w:rsidRDefault="00563880" w:rsidP="007C5AB3">
            <w:pPr>
              <w:rPr>
                <w:rFonts w:ascii="Times New Roman" w:eastAsia="Times New Roman" w:hAnsi="Times New Roman"/>
                <w:sz w:val="24"/>
              </w:rPr>
            </w:pPr>
          </w:p>
        </w:tc>
        <w:tc>
          <w:tcPr>
            <w:tcW w:w="2042" w:type="dxa"/>
          </w:tcPr>
          <w:p w14:paraId="2FF6E6AF" w14:textId="5E25F3CE" w:rsidR="00563880" w:rsidRPr="00850FBB" w:rsidRDefault="00563880" w:rsidP="007C5AB3">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i w:val="0"/>
                <w:sz w:val="21"/>
              </w:rPr>
            </w:pPr>
            <w:proofErr w:type="spellStart"/>
            <w:r w:rsidRPr="00850FBB">
              <w:rPr>
                <w:rFonts w:ascii="Times New Roman" w:eastAsia="Times New Roman" w:hAnsi="Times New Roman"/>
                <w:b/>
                <w:i w:val="0"/>
                <w:sz w:val="21"/>
              </w:rPr>
              <w:t>Braam</w:t>
            </w:r>
            <w:proofErr w:type="spellEnd"/>
            <w:r w:rsidRPr="00850FBB">
              <w:rPr>
                <w:rFonts w:ascii="Times New Roman" w:eastAsia="Times New Roman" w:hAnsi="Times New Roman"/>
                <w:b/>
                <w:i w:val="0"/>
                <w:sz w:val="21"/>
              </w:rPr>
              <w:t xml:space="preserve"> et al.,</w:t>
            </w:r>
            <w:r w:rsidR="001A3D5E" w:rsidRPr="00850FBB">
              <w:rPr>
                <w:rFonts w:ascii="Times New Roman" w:hAnsi="Times New Roman"/>
                <w:i w:val="0"/>
                <w:color w:val="000000"/>
                <w:sz w:val="18"/>
                <w:szCs w:val="20"/>
                <w:vertAlign w:val="superscript"/>
              </w:rPr>
              <w:fldChar w:fldCharType="begin" w:fldLock="1"/>
            </w:r>
            <w:r w:rsidR="001A3D5E" w:rsidRPr="00850FBB">
              <w:rPr>
                <w:rFonts w:ascii="Times New Roman" w:hAnsi="Times New Roman"/>
                <w:i w:val="0"/>
                <w:color w:val="000000"/>
                <w:sz w:val="18"/>
                <w:szCs w:val="20"/>
                <w:vertAlign w:val="superscript"/>
              </w:rPr>
              <w:instrText>ADDIN CSL_CITATION {"citationItems":[{"id":"ITEM-1","itemData":{"DOI":"10.1186/s12885-018-5181-0","ISSN":"14712407","PMID":"30587148","abstract":"Background: Physical fitness and psychosocial function is often reduced in children during or shortly after cancer treatment. This study evaluates the effect of a combined physical exercise and psychosocial intervention on cardiorespiratory fitness, muscle strength, body composition, psychosocial function and health-related quality of life (HrQoL). In addition, intervention mediators, applicability and adherence were examined. Methods: This multicenter randomized controlled trial included 68 children with cancer [mean age 13.2 (SD: 3.1) years; 54% male] during treatment or within 12-months post-treatment. The 12-week intervention consisted of 24 individual physical exercise sessions supervised by a physiotherapist, and 6 psychosocial training sessions for children and 2 for parents. Physical fitness and psychosocial function were assessed at baseline, directly post-intervention and at 12 months' post-baseline. Generalized estimating equations were used to simultaneously assess intervention effects at short and long-term. Additionally, we evaluated within-group differences over time. Potential physical and psychosocial mediators in the intervention effect on HrQoL were examined using the product-of-coefficient test. Applicability and adherence were assessed by trainer-report. Results: This study was able to compare 26 children who received the study intervention, with 33 children who received usual care. No significant differences in the effects of the intervention were found on physical fitness and psychosocial function at short-term. At 12-months follow-up, significantly larger improvements in lower body muscle strength (β = 56.5 Newton; 95% CI: 8.5; 104.5) were found in the intervention group when compared to the control group. Within-group changes showed significant improvements over time in HrQoL and bone density in both groups. Intervention effects on HrQoL were not significantly mediated by physical fitness and psychological function. Intervention applicability was satisfactory with an average session attendance of 67% and 22% dropout (mainly due to disease recurrence). Conclusions: This 12-week physical exercise and psychosocial training intervention for children with cancer was applicable and showed satisfactory adherence. We found no significant between-group differences in effect, except for a significant improvement in lower body muscle strength at long-term in the intervention group compared to the control group. Yet, both the intervention a…","author":[{"dropping-particle":"","family":"Braam","given":"Katja I.","non-dropping-particle":"","parse-names":false,"suffix":""},{"dropping-particle":"","family":"Dijk-Lokkart","given":"Elisabeth M.","non-dropping-particle":"Van","parse-names":false,"suffix":""},{"dropping-particle":"","family":"Kaspers","given":"Gertjan J.L.","non-dropping-particle":"","parse-names":false,"suffix":""},{"dropping-particle":"","family":"Takken","given":"Tim","non-dropping-particle":"","parse-names":false,"suffix":""},{"dropping-particle":"","family":"Huisman","given":"Jaap","non-dropping-particle":"","parse-names":false,"suffix":""},{"dropping-particle":"","family":"Buffart","given":"Laurien M.","non-dropping-particle":"","parse-names":false,"suffix":""},{"dropping-particle":"","family":"Bierings","given":"Marc B.","non-dropping-particle":"","parse-names":false,"suffix":""},{"dropping-particle":"","family":"Merks","given":"Johannes H.M.","non-dropping-particle":"","parse-names":false,"suffix":""},{"dropping-particle":"","family":"Heuvel-Eibrink","given":"Marry M.","non-dropping-particle":"Van Den","parse-names":false,"suffix":""},{"dropping-particle":"","family":"Veening","given":"Margreet A.","non-dropping-particle":"","parse-names":false,"suffix":""},{"dropping-particle":"","family":"Dulmen-Den Broeder","given":"Eline","non-dropping-particle":"Van","parse-names":false,"suffix":""}],"container-title":"BMC Cancer","id":"ITEM-1","issue":"1","issued":{"date-parts":[["2018","12","27"]]},"publisher":"BioMed Central Ltd.","title":"Effects of a combined physical and psychosocial training for children with cancer: A randomized controlled trial","type":"article-journal","volume":"18"},"uris":["http://www.mendeley.com/documents/?uuid=0e23f2c8-c4fe-37c4-bd84-9e73dd0f82ff"]}],"mendeley":{"formattedCitation":"(31)","manualFormatting":"(31","plainTextFormattedCitation":"(31)","previouslyFormattedCitation":"(31)"},"properties":{"noteIndex":0},"schema":"https://github.com/citation-style-language/schema/raw/master/csl-citation.json"}</w:instrText>
            </w:r>
            <w:r w:rsidR="001A3D5E" w:rsidRPr="00850FBB">
              <w:rPr>
                <w:rFonts w:ascii="Times New Roman" w:hAnsi="Times New Roman"/>
                <w:i w:val="0"/>
                <w:color w:val="000000"/>
                <w:sz w:val="18"/>
                <w:szCs w:val="20"/>
                <w:vertAlign w:val="superscript"/>
              </w:rPr>
              <w:fldChar w:fldCharType="separate"/>
            </w:r>
            <w:r w:rsidR="001A3D5E" w:rsidRPr="00850FBB">
              <w:rPr>
                <w:rFonts w:ascii="Times New Roman" w:hAnsi="Times New Roman"/>
                <w:b/>
                <w:i w:val="0"/>
                <w:noProof/>
                <w:color w:val="000000"/>
                <w:sz w:val="18"/>
                <w:szCs w:val="20"/>
                <w:vertAlign w:val="superscript"/>
              </w:rPr>
              <w:t>31</w:t>
            </w:r>
            <w:r w:rsidR="001A3D5E" w:rsidRPr="00850FBB">
              <w:rPr>
                <w:rFonts w:ascii="Times New Roman" w:hAnsi="Times New Roman"/>
                <w:i w:val="0"/>
                <w:color w:val="000000"/>
                <w:sz w:val="18"/>
                <w:szCs w:val="20"/>
                <w:vertAlign w:val="superscript"/>
              </w:rPr>
              <w:fldChar w:fldCharType="end"/>
            </w:r>
            <w:r w:rsidRPr="00850FBB">
              <w:rPr>
                <w:rFonts w:ascii="Times New Roman" w:eastAsia="Times New Roman" w:hAnsi="Times New Roman"/>
                <w:i w:val="0"/>
                <w:sz w:val="21"/>
              </w:rPr>
              <w:t xml:space="preserve"> </w:t>
            </w:r>
          </w:p>
          <w:p w14:paraId="2DFCA5E9" w14:textId="77777777" w:rsidR="00563880" w:rsidRPr="00850FBB" w:rsidRDefault="00563880" w:rsidP="007C5AB3">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b/>
                <w:i w:val="0"/>
                <w:sz w:val="21"/>
              </w:rPr>
            </w:pPr>
            <w:r w:rsidRPr="00850FBB">
              <w:rPr>
                <w:rFonts w:ascii="Times New Roman" w:eastAsia="Times New Roman" w:hAnsi="Times New Roman"/>
                <w:b/>
                <w:i w:val="0"/>
                <w:sz w:val="21"/>
              </w:rPr>
              <w:t>2018</w:t>
            </w:r>
          </w:p>
        </w:tc>
        <w:tc>
          <w:tcPr>
            <w:tcW w:w="2066" w:type="dxa"/>
          </w:tcPr>
          <w:p w14:paraId="5075A96B" w14:textId="134694A1" w:rsidR="00563880" w:rsidRPr="00850FBB" w:rsidRDefault="00563880" w:rsidP="007C5AB3">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i w:val="0"/>
                <w:sz w:val="21"/>
                <w:vertAlign w:val="superscript"/>
              </w:rPr>
            </w:pPr>
            <w:proofErr w:type="spellStart"/>
            <w:r w:rsidRPr="00850FBB">
              <w:rPr>
                <w:rFonts w:ascii="Times New Roman" w:eastAsia="Times New Roman" w:hAnsi="Times New Roman"/>
                <w:b/>
                <w:i w:val="0"/>
                <w:sz w:val="21"/>
              </w:rPr>
              <w:t>Hamari</w:t>
            </w:r>
            <w:proofErr w:type="spellEnd"/>
            <w:r w:rsidRPr="00850FBB">
              <w:rPr>
                <w:rFonts w:ascii="Times New Roman" w:eastAsia="Times New Roman" w:hAnsi="Times New Roman"/>
                <w:b/>
                <w:i w:val="0"/>
                <w:sz w:val="21"/>
              </w:rPr>
              <w:t xml:space="preserve"> et al.</w:t>
            </w:r>
            <w:r w:rsidRPr="00850FBB">
              <w:rPr>
                <w:rFonts w:ascii="Times New Roman" w:hAnsi="Times New Roman"/>
                <w:b/>
                <w:i w:val="0"/>
                <w:sz w:val="21"/>
              </w:rPr>
              <w:t>,</w:t>
            </w:r>
            <w:r w:rsidR="001A3D5E" w:rsidRPr="00850FBB">
              <w:rPr>
                <w:rFonts w:ascii="Times New Roman" w:hAnsi="Times New Roman"/>
                <w:i w:val="0"/>
                <w:color w:val="000000"/>
                <w:sz w:val="18"/>
                <w:szCs w:val="18"/>
                <w:vertAlign w:val="superscript"/>
              </w:rPr>
              <w:fldChar w:fldCharType="begin" w:fldLock="1"/>
            </w:r>
            <w:r w:rsidR="001A3D5E" w:rsidRPr="00850FBB">
              <w:rPr>
                <w:rFonts w:ascii="Times New Roman" w:hAnsi="Times New Roman"/>
                <w:i w:val="0"/>
                <w:color w:val="000000"/>
                <w:sz w:val="18"/>
                <w:szCs w:val="18"/>
                <w:vertAlign w:val="superscript"/>
              </w:rPr>
              <w:instrText>ADDIN CSL_CITATION {"citationItems":[{"id":"ITEM-1","itemData":{"DOI":"10.1186/s13104-019-4821-z","ISSN":"17560500","abstract":"Objective: To evaluate the effect of active video games in promoting physical activity and motor performance, and reducing fatigue in children with cancer. A randomized controlled trial was conducted. The intervention included playing Nintendo Wii™Fit (Nintendo Co., Ltd., Kyoto, Japan) for 30 min/day for 8 weeks. Physical activity was estimated with accelerometers, physical activity diaries and questionnaires. Movement-ABC2 and PedsQL™ were used to examine motor performance and fatigue. Intervention experiences and fidelity were examined with an interview. Results: Participants (n = 36 children with cancer, 3-16 years-old) were randomly assigned to the intervention and control groups. The median [min-max] accelerometer counts/h (500 [131-1130] vs 385 [116-1012], p = 0.63) and physical activity min/day (34 [0-150] vs 23 [0-260], p = 0.95) did not differ between the groups. Change between the pre-test and post-test regarding motor performance and fatigue was similar in both groups (motor performance p = 0.77; fatigue p = 1.00). Participants experienced playing active video games meaningful, but the intervention was not followed completely as instructed. Overall, the physical activity levels were low and one fourth of the children had or were at risk of having movement difficulties.","author":[{"dropping-particle":"","family":"Hamari","given":"Lotta","non-dropping-particle":"","parse-names":false,"suffix":""},{"dropping-particle":"","family":"Järvelä","given":"Liisa S.","non-dropping-particle":"","parse-names":false,"suffix":""},{"dropping-particle":"","family":"Lähteenmäki","given":"Païvi M.","non-dropping-particle":"","parse-names":false,"suffix":""},{"dropping-particle":"","family":"Arola","given":"Mikko","non-dropping-particle":"","parse-names":false,"suffix":""},{"dropping-particle":"","family":"Axelin","given":"Anna","non-dropping-particle":"","parse-names":false,"suffix":""},{"dropping-particle":"","family":"Vahlberg","given":"Tero","non-dropping-particle":"","parse-names":false,"suffix":""},{"dropping-particle":"","family":"Salanterä","given":"Sanna","non-dropping-particle":"","parse-names":false,"suffix":""}],"container-title":"BMC Research Notes","id":"ITEM-1","issue":"1","issued":{"date-parts":[["2019","11","29"]]},"publisher":"BioMed Central Ltd.","title":"The effect of an active video game intervention on physical activity, motor performance, and fatigue in children with cancer: A randomized controlled trial","type":"article-journal","volume":"12"},"uris":["http://www.mendeley.com/documents/?uuid=22918ce9-41f2-36ff-aff6-022dbf9b0017"]}],"mendeley":{"formattedCitation":"(32)","manualFormatting":"32","plainTextFormattedCitation":"(32)","previouslyFormattedCitation":"(32)"},"properties":{"noteIndex":0},"schema":"https://github.com/citation-style-language/schema/raw/master/csl-citation.json"}</w:instrText>
            </w:r>
            <w:r w:rsidR="001A3D5E" w:rsidRPr="00850FBB">
              <w:rPr>
                <w:rFonts w:ascii="Times New Roman" w:hAnsi="Times New Roman"/>
                <w:i w:val="0"/>
                <w:color w:val="000000"/>
                <w:sz w:val="18"/>
                <w:szCs w:val="18"/>
                <w:vertAlign w:val="superscript"/>
              </w:rPr>
              <w:fldChar w:fldCharType="separate"/>
            </w:r>
            <w:r w:rsidR="001A3D5E" w:rsidRPr="00850FBB">
              <w:rPr>
                <w:rFonts w:ascii="Times New Roman" w:hAnsi="Times New Roman"/>
                <w:b/>
                <w:i w:val="0"/>
                <w:noProof/>
                <w:color w:val="000000"/>
                <w:sz w:val="18"/>
                <w:szCs w:val="18"/>
                <w:vertAlign w:val="superscript"/>
              </w:rPr>
              <w:t>32</w:t>
            </w:r>
            <w:r w:rsidR="001A3D5E" w:rsidRPr="00850FBB">
              <w:rPr>
                <w:rFonts w:ascii="Times New Roman" w:hAnsi="Times New Roman"/>
                <w:i w:val="0"/>
                <w:color w:val="000000"/>
                <w:sz w:val="18"/>
                <w:szCs w:val="18"/>
                <w:vertAlign w:val="superscript"/>
              </w:rPr>
              <w:fldChar w:fldCharType="end"/>
            </w:r>
            <w:r w:rsidRPr="00850FBB">
              <w:rPr>
                <w:rFonts w:ascii="Times New Roman" w:eastAsia="Times New Roman" w:hAnsi="Times New Roman"/>
                <w:i w:val="0"/>
                <w:sz w:val="21"/>
                <w:vertAlign w:val="superscript"/>
              </w:rPr>
              <w:t xml:space="preserve"> </w:t>
            </w:r>
          </w:p>
          <w:p w14:paraId="4CF15C8A" w14:textId="77777777" w:rsidR="00563880" w:rsidRPr="00850FBB" w:rsidRDefault="00563880" w:rsidP="007C5AB3">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b/>
                <w:i w:val="0"/>
                <w:sz w:val="21"/>
              </w:rPr>
            </w:pPr>
            <w:r w:rsidRPr="00850FBB">
              <w:rPr>
                <w:rFonts w:ascii="Times New Roman" w:eastAsia="Times New Roman" w:hAnsi="Times New Roman"/>
                <w:b/>
                <w:i w:val="0"/>
                <w:sz w:val="21"/>
              </w:rPr>
              <w:t>2019</w:t>
            </w:r>
          </w:p>
        </w:tc>
        <w:tc>
          <w:tcPr>
            <w:tcW w:w="1999" w:type="dxa"/>
          </w:tcPr>
          <w:p w14:paraId="1439F7AC" w14:textId="226D31E0" w:rsidR="00690B65" w:rsidRPr="00850FBB" w:rsidRDefault="00563880" w:rsidP="007C5AB3">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i w:val="0"/>
                <w:iCs w:val="0"/>
                <w:sz w:val="21"/>
                <w:vertAlign w:val="superscript"/>
              </w:rPr>
            </w:pPr>
            <w:r w:rsidRPr="00850FBB">
              <w:rPr>
                <w:rFonts w:ascii="Times New Roman" w:eastAsia="Times New Roman" w:hAnsi="Times New Roman"/>
                <w:b/>
                <w:i w:val="0"/>
                <w:sz w:val="21"/>
              </w:rPr>
              <w:t>Li et al.,</w:t>
            </w:r>
            <w:r w:rsidR="001A3D5E" w:rsidRPr="00850FBB">
              <w:rPr>
                <w:rFonts w:ascii="Times New Roman" w:hAnsi="Times New Roman"/>
                <w:i w:val="0"/>
                <w:color w:val="000000"/>
                <w:sz w:val="19"/>
                <w:szCs w:val="19"/>
                <w:vertAlign w:val="superscript"/>
              </w:rPr>
              <w:fldChar w:fldCharType="begin" w:fldLock="1"/>
            </w:r>
            <w:r w:rsidR="001A3D5E" w:rsidRPr="00850FBB">
              <w:rPr>
                <w:rFonts w:ascii="Times New Roman" w:hAnsi="Times New Roman"/>
                <w:i w:val="0"/>
                <w:color w:val="000000"/>
                <w:sz w:val="19"/>
                <w:szCs w:val="19"/>
                <w:vertAlign w:val="superscript"/>
              </w:rPr>
              <w:instrText>ADDIN CSL_CITATION {"citationItems":[{"id":"ITEM-1","itemData":{"DOI":"10.1016/j.ijnurstu.2018.04.007","ISSN":"00207489","abstract":"Background: Cancer-related fatigue is one of the most distressing symptoms reported by childhood cancer survivors. Despite the body of evidence that regular physical activity helps alleviate cancer-related fatigue, insufficient participation in physical activity is frequently observed among childhood cancer survivors. Objectives: This study examined the effectiveness of an adventure-based training programme in promoting physical activity, reducing fatigue, and enhancing self-efficacy and quality of life among Hong Kong Chinese childhood cancer survivors. Design: A prospective randomised controlled trial. Settings: A paediatric oncology outpatient clinic, a non-governmental organisation, and a non-profit voluntary organisation. Participants: Hong Kong Chinese childhood cancer survivors aged 9–16 years who reported symptoms of fatigue and had not engaged in regular physical exercise in the past 6 months. Methods: The experimental group underwent a 4-day adventure-based training programme. The control group received a placebo intervention. The primary outcome was fatigue at 12 months. Secondary outcomes were physical activity levels, self-efficacy and quality of life at 12 months. Data collection was conducted at baseline, and 6 and 12 months after the intervention began. We performed intention-to-treat analyses. Results: From 6 January, 2014 to 8 June, 2015, we randomly assigned 222 eligible childhood cancer survivors to either an experimental (n = 117) or a control group (n = 105). The experimental group showed statistically significantly lower levels of cancer-related fatigue (P &lt; 0.001), higher levels of self-efficacy (P &lt; 0.001) and physical activity (P &lt; 0.001), and better quality of life (P &lt; 0.01) than the control group at 12 months. Conclusions: This study provides evidence that adventure-based training is effective in promoting physical activity, reducing cancer-related fatigue, and enhancing self-efficacy and quality of life among Hong Kong Chinese childhood cancer survivors. These results may help inform parents and healthcare professionals that regular physical activity is crucial for the physical and psychological wellbeing and quality of life of childhood cancer survivors.","author":[{"dropping-particle":"","family":"Li","given":"William H.C.","non-dropping-particle":"","parse-names":false,"suffix":""},{"dropping-particle":"","family":"Ho","given":"K. Y.","non-dropping-particle":"","parse-names":false,"suffix":""},{"dropping-particle":"","family":"Lam","given":"K. K.W.","non-dropping-particle":"","parse-names":false,"suffix":""},{"dropping-particle":"","family":"Lam","given":"H. S.","non-dropping-particle":"","parse-names":false,"suffix":""},{"dropping-particle":"","family":"Chui","given":"S. Y.","non-dropping-particle":"","parse-names":false,"suffix":""},{"dropping-particle":"","family":"Chan","given":"Godfrey C.F.","non-dropping-particle":"","parse-names":false,"suffix":""},{"dropping-particle":"","family":"Cheung","given":"A. T.","non-dropping-particle":"","parse-names":false,"suffix":""},{"dropping-particle":"","family":"Ho","given":"L. L.K.","non-dropping-particle":"","parse-names":false,"suffix":""},{"dropping-particle":"","family":"Chung","given":"O. K.","non-dropping-particle":"","parse-names":false,"suffix":""}],"container-title":"International Journal of Nursing Studies","id":"ITEM-1","issued":{"date-parts":[["2018","7","1"]]},"page":"65-74","publisher":"Elsevier Ltd","title":"Adventure-based training to promote physical activity and reduce fatigue among childhood cancer survivors: A randomized controlled trial","type":"article-journal","volume":"83"},"uris":["http://www.mendeley.com/documents/?uuid=add5ad46-95b9-396d-9565-50d4fa9e55d2"]}],"mendeley":{"formattedCitation":"(33)","plainTextFormattedCitation":"(33)","previouslyFormattedCitation":"(33)"},"properties":{"noteIndex":0},"schema":"https://github.com/citation-style-language/schema/raw/master/csl-citation.json"}</w:instrText>
            </w:r>
            <w:r w:rsidR="001A3D5E" w:rsidRPr="00850FBB">
              <w:rPr>
                <w:rFonts w:ascii="Times New Roman" w:hAnsi="Times New Roman"/>
                <w:i w:val="0"/>
                <w:color w:val="000000"/>
                <w:sz w:val="19"/>
                <w:szCs w:val="19"/>
                <w:vertAlign w:val="superscript"/>
              </w:rPr>
              <w:fldChar w:fldCharType="separate"/>
            </w:r>
            <w:r w:rsidR="001A3D5E" w:rsidRPr="00850FBB">
              <w:rPr>
                <w:rFonts w:ascii="Times New Roman" w:hAnsi="Times New Roman"/>
                <w:b/>
                <w:i w:val="0"/>
                <w:noProof/>
                <w:color w:val="000000"/>
                <w:sz w:val="19"/>
                <w:szCs w:val="19"/>
                <w:vertAlign w:val="superscript"/>
              </w:rPr>
              <w:t>33</w:t>
            </w:r>
            <w:r w:rsidR="001A3D5E" w:rsidRPr="00850FBB">
              <w:rPr>
                <w:rFonts w:ascii="Times New Roman" w:hAnsi="Times New Roman"/>
                <w:i w:val="0"/>
                <w:color w:val="000000"/>
                <w:sz w:val="19"/>
                <w:szCs w:val="19"/>
                <w:vertAlign w:val="superscript"/>
              </w:rPr>
              <w:fldChar w:fldCharType="end"/>
            </w:r>
          </w:p>
          <w:p w14:paraId="30783661" w14:textId="3F00B4E6" w:rsidR="00563880" w:rsidRPr="00850FBB" w:rsidRDefault="00563880" w:rsidP="0028207E">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b/>
                <w:i w:val="0"/>
                <w:sz w:val="21"/>
                <w:vertAlign w:val="superscript"/>
              </w:rPr>
            </w:pPr>
            <w:r w:rsidRPr="00850FBB">
              <w:rPr>
                <w:rFonts w:ascii="Times New Roman" w:eastAsia="Times New Roman" w:hAnsi="Times New Roman"/>
                <w:b/>
                <w:i w:val="0"/>
                <w:sz w:val="21"/>
                <w:vertAlign w:val="superscript"/>
              </w:rPr>
              <w:t xml:space="preserve"> </w:t>
            </w:r>
            <w:r w:rsidRPr="00850FBB">
              <w:rPr>
                <w:rFonts w:ascii="Times New Roman" w:eastAsia="Times New Roman" w:hAnsi="Times New Roman"/>
                <w:b/>
                <w:i w:val="0"/>
                <w:sz w:val="21"/>
              </w:rPr>
              <w:t>2018</w:t>
            </w:r>
          </w:p>
        </w:tc>
        <w:tc>
          <w:tcPr>
            <w:tcW w:w="1999" w:type="dxa"/>
          </w:tcPr>
          <w:p w14:paraId="0ECAEA87" w14:textId="7C99C9E9" w:rsidR="00563880" w:rsidRPr="00850FBB" w:rsidRDefault="00563880" w:rsidP="007C5AB3">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i w:val="0"/>
                <w:sz w:val="21"/>
              </w:rPr>
            </w:pPr>
            <w:r w:rsidRPr="00850FBB">
              <w:rPr>
                <w:rFonts w:ascii="Times New Roman" w:eastAsia="Times New Roman" w:hAnsi="Times New Roman"/>
                <w:b/>
                <w:i w:val="0"/>
                <w:sz w:val="21"/>
              </w:rPr>
              <w:t>Lam et al.,</w:t>
            </w:r>
            <w:r w:rsidR="001A3D5E" w:rsidRPr="00850FBB">
              <w:rPr>
                <w:rFonts w:ascii="Times New Roman" w:hAnsi="Times New Roman"/>
                <w:i w:val="0"/>
                <w:color w:val="000000"/>
                <w:sz w:val="18"/>
                <w:szCs w:val="19"/>
                <w:vertAlign w:val="superscript"/>
              </w:rPr>
              <w:fldChar w:fldCharType="begin" w:fldLock="1"/>
            </w:r>
            <w:r w:rsidR="001A3D5E" w:rsidRPr="00850FBB">
              <w:rPr>
                <w:rFonts w:ascii="Times New Roman" w:hAnsi="Times New Roman"/>
                <w:i w:val="0"/>
                <w:color w:val="000000"/>
                <w:sz w:val="18"/>
                <w:szCs w:val="19"/>
                <w:vertAlign w:val="superscript"/>
              </w:rPr>
              <w:instrText>ADDIN CSL_CITATION {"citationItems":[{"id":"ITEM-1","itemData":{"DOI":"10.1016/j.pec.2018.07.008","ISSN":"18735134","abstract":"Objective: This study examined the effectiveness of an integrated programme in promoting physical activity, reducing fatigue, enhancing physical activity self-efficacy, muscle strength and quality of life among Chinese children with cancer. Methods: A randomised controlled trial was conducted in a Hong Kong public hospital. Seventy eligible children were randomly assigned to an experimental group (n = 37) or a control group (n = 33). The experimental group received an integrated programme with 28 home visits from coaches over a 6-month period. The control group received a placebo intervention. The primary outcome was fatigue at 9 months (3 months after intervention completion). Secondary outcomes were physical activity levels, physical activity self-efficacy, muscle strength and quality of life at 9 months, assessed at baseline, and 6 and 9 months after starting the intervention. Results: The experimental group reported significantly lower levels of cancer-related fatigue, higher levels of physical activity and physical activity self-efficacy, greater right- and left-hand grip strength and better quality of life than the control group at 9 months. Conclusion: The programme is effective and feasible to implement among children with cancer and offers an alternative means of ameliorating the healthcare burden. Practice implications: Healthcare professionals should build multidisciplinary partnerships to sustain such programmes.","author":[{"dropping-particle":"","family":"Lam","given":"Katherine K.W.","non-dropping-particle":"","parse-names":false,"suffix":""},{"dropping-particle":"","family":"Li","given":"William H.C.","non-dropping-particle":"","parse-names":false,"suffix":""},{"dropping-particle":"","family":"Chung","given":"O. K.","non-dropping-particle":"","parse-names":false,"suffix":""},{"dropping-particle":"","family":"Ho","given":"K. Y.","non-dropping-particle":"","parse-names":false,"suffix":""},{"dropping-particle":"","family":"Chiu","given":"S. Y.","non-dropping-particle":"","parse-names":false,"suffix":""},{"dropping-particle":"","family":"Lam","given":"H. S.","non-dropping-particle":"","parse-names":false,"suffix":""},{"dropping-particle":"","family":"Chan","given":"Godfrey C.F.","non-dropping-particle":"","parse-names":false,"suffix":""}],"container-title":"Patient Education and Counseling","id":"ITEM-1","issue":"11","issued":{"date-parts":[["2018","11","1"]]},"page":"1947-1956","publisher":"Elsevier Ireland Ltd","title":"An integrated experiential training programme with coaching to promote physical activity, and reduce fatigue among children with cancer: A randomised controlled trial","type":"article-journal","volume":"101"},"uris":["http://www.mendeley.com/documents/?uuid=b1718b79-1fee-3987-8060-bcbcda57266d"]}],"mendeley":{"formattedCitation":"(38)","manualFormatting":"(38","plainTextFormattedCitation":"(38)","previouslyFormattedCitation":"(38)"},"properties":{"noteIndex":0},"schema":"https://github.com/citation-style-language/schema/raw/master/csl-citation.json"}</w:instrText>
            </w:r>
            <w:r w:rsidR="001A3D5E" w:rsidRPr="00850FBB">
              <w:rPr>
                <w:rFonts w:ascii="Times New Roman" w:hAnsi="Times New Roman"/>
                <w:i w:val="0"/>
                <w:color w:val="000000"/>
                <w:sz w:val="18"/>
                <w:szCs w:val="19"/>
                <w:vertAlign w:val="superscript"/>
              </w:rPr>
              <w:fldChar w:fldCharType="separate"/>
            </w:r>
            <w:r w:rsidR="001A3D5E" w:rsidRPr="00850FBB">
              <w:rPr>
                <w:rFonts w:ascii="Times New Roman" w:hAnsi="Times New Roman"/>
                <w:b/>
                <w:i w:val="0"/>
                <w:noProof/>
                <w:color w:val="000000"/>
                <w:sz w:val="18"/>
                <w:szCs w:val="19"/>
                <w:vertAlign w:val="superscript"/>
              </w:rPr>
              <w:t>38</w:t>
            </w:r>
            <w:r w:rsidR="001A3D5E" w:rsidRPr="00850FBB">
              <w:rPr>
                <w:rFonts w:ascii="Times New Roman" w:hAnsi="Times New Roman"/>
                <w:i w:val="0"/>
                <w:color w:val="000000"/>
                <w:sz w:val="18"/>
                <w:szCs w:val="19"/>
                <w:vertAlign w:val="superscript"/>
              </w:rPr>
              <w:fldChar w:fldCharType="end"/>
            </w:r>
            <w:r w:rsidRPr="00850FBB">
              <w:rPr>
                <w:rFonts w:ascii="Times New Roman" w:hAnsi="Times New Roman"/>
                <w:i w:val="0"/>
                <w:sz w:val="21"/>
                <w:vertAlign w:val="superscript"/>
              </w:rPr>
              <w:fldChar w:fldCharType="begin" w:fldLock="1"/>
            </w:r>
            <w:r w:rsidRPr="00850FBB">
              <w:rPr>
                <w:rFonts w:ascii="Times New Roman" w:hAnsi="Times New Roman"/>
                <w:i w:val="0"/>
                <w:sz w:val="21"/>
                <w:vertAlign w:val="superscript"/>
              </w:rPr>
              <w:instrText>ADDIN CSL_CITATION {"citationItems":[{"id":"ITEM-1","itemData":{"DOI":"10.1016/j.pec.2018.07.008","ISSN":"18735134","abstract":"Objective: This study examined the effectiveness of an integrated programme in promoting physical activity, reducing fatigue, enhancing physical activity self-efficacy, muscle strength and quality of life among Chinese children with cancer. Methods: A randomised controlled trial was conducted in a Hong Kong public hospital. Seventy eligible children were randomly assigned to an experimental group (n = 37) or a control group (n = 33). The experimental group received an integrated programme with 28 home visits from coaches over a 6-month period. The control group received a placebo intervention. The primary outcome was fatigue at 9 months (3 months after intervention completion). Secondary outcomes were physical activity levels, physical activity self-efficacy, muscle strength and quality of life at 9 months, assessed at baseline, and 6 and 9 months after starting the intervention. Results: The experimental group reported significantly lower levels of cancer-related fatigue, higher levels of physical activity and physical activity self-efficacy, greater right- and left-hand grip strength and better quality of life than the control group at 9 months. Conclusion: The programme is effective and feasible to implement among children with cancer and offers an alternative means of ameliorating the healthcare burden. Practice implications: Healthcare professionals should build multidisciplinary partnerships to sustain such programmes.","author":[{"dropping-particle":"","family":"Lam","given":"Katherine K.W.","non-dropping-particle":"","parse-names":false,"suffix":""},{"dropping-particle":"","family":"Li","given":"William H.C.","non-dropping-particle":"","parse-names":false,"suffix":""},{"dropping-particle":"","family":"Chung","given":"O. K.","non-dropping-particle":"","parse-names":false,"suffix":""},{"dropping-particle":"","family":"Ho","given":"K. Y.","non-dropping-particle":"","parse-names":false,"suffix":""},{"dropping-particle":"","family":"Chiu","given":"S. Y.","non-dropping-particle":"","parse-names":false,"suffix":""},{"dropping-particle":"","family":"Lam","given":"H. S.","non-dropping-particle":"","parse-names":false,"suffix":""},{"dropping-particle":"","family":"Chan","given":"Godfrey C.F.","non-dropping-particle":"","parse-names":false,"suffix":""}],"container-title":"Patient Education and Counseling","id":"ITEM-1","issue":"11","issued":{"date-parts":[["2018","11","1"]]},"page":"1947-1956","publisher":"Elsevier Ireland Ltd","title":"An integrated experiential training programme with coaching to promote physical activity, and reduce fatigue among children with cancer: A randomised controlled trial","type":"article-journal","volume":"101"},"uris":["http://www.mendeley.com/documents/?uuid=b1718b79-1fee-3987-8060-bcbcda57266d"]}],"mendeley":{"formattedCitation":"(34)","manualFormatting":"34","plainTextFormattedCitation":"(34)"},"properties":{"noteIndex":0},"schema":"https://github.com/citation-style-language/schema/raw/master/csl-citation.json"}</w:instrText>
            </w:r>
            <w:r w:rsidRPr="00850FBB">
              <w:rPr>
                <w:rFonts w:ascii="Times New Roman" w:hAnsi="Times New Roman"/>
                <w:i w:val="0"/>
                <w:sz w:val="21"/>
                <w:vertAlign w:val="superscript"/>
              </w:rPr>
              <w:fldChar w:fldCharType="end"/>
            </w:r>
            <w:r w:rsidRPr="00850FBB">
              <w:rPr>
                <w:rFonts w:ascii="Times New Roman" w:eastAsia="Times New Roman" w:hAnsi="Times New Roman"/>
                <w:i w:val="0"/>
                <w:sz w:val="21"/>
              </w:rPr>
              <w:t xml:space="preserve"> </w:t>
            </w:r>
          </w:p>
          <w:p w14:paraId="1993F4DE" w14:textId="77777777" w:rsidR="00563880" w:rsidRPr="00850FBB" w:rsidRDefault="00563880" w:rsidP="007C5AB3">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b/>
                <w:i w:val="0"/>
                <w:sz w:val="21"/>
              </w:rPr>
            </w:pPr>
            <w:r w:rsidRPr="00850FBB">
              <w:rPr>
                <w:rFonts w:ascii="Times New Roman" w:eastAsia="Times New Roman" w:hAnsi="Times New Roman"/>
                <w:b/>
                <w:i w:val="0"/>
                <w:sz w:val="21"/>
              </w:rPr>
              <w:t>2018</w:t>
            </w:r>
          </w:p>
        </w:tc>
        <w:tc>
          <w:tcPr>
            <w:tcW w:w="2031" w:type="dxa"/>
          </w:tcPr>
          <w:p w14:paraId="12986CD1" w14:textId="66B51C17" w:rsidR="00563880" w:rsidRPr="00850FBB" w:rsidRDefault="00563880" w:rsidP="00E54A29">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Cs/>
                <w:i w:val="0"/>
                <w:color w:val="000000" w:themeColor="text1"/>
                <w:sz w:val="21"/>
                <w:szCs w:val="20"/>
              </w:rPr>
            </w:pPr>
            <w:r w:rsidRPr="00850FBB">
              <w:rPr>
                <w:rFonts w:ascii="Times New Roman" w:hAnsi="Times New Roman"/>
                <w:b/>
                <w:i w:val="0"/>
                <w:color w:val="000000" w:themeColor="text1"/>
                <w:sz w:val="21"/>
                <w:szCs w:val="20"/>
              </w:rPr>
              <w:t>Stossel et al.</w:t>
            </w:r>
            <w:r w:rsidR="001A3D5E" w:rsidRPr="00850FBB">
              <w:rPr>
                <w:rFonts w:ascii="Times New Roman" w:hAnsi="Times New Roman"/>
                <w:b/>
                <w:i w:val="0"/>
                <w:color w:val="000000" w:themeColor="text1"/>
                <w:sz w:val="21"/>
                <w:szCs w:val="20"/>
              </w:rPr>
              <w:t>,</w:t>
            </w:r>
            <w:r w:rsidR="001A3D5E" w:rsidRPr="00850FBB">
              <w:rPr>
                <w:rFonts w:ascii="Times New Roman" w:hAnsi="Times New Roman"/>
                <w:i w:val="0"/>
                <w:color w:val="000000" w:themeColor="text1"/>
                <w:sz w:val="18"/>
                <w:szCs w:val="20"/>
                <w:vertAlign w:val="superscript"/>
              </w:rPr>
              <w:fldChar w:fldCharType="begin" w:fldLock="1"/>
            </w:r>
            <w:r w:rsidR="001A3D5E" w:rsidRPr="00850FBB">
              <w:rPr>
                <w:rFonts w:ascii="Times New Roman" w:hAnsi="Times New Roman"/>
                <w:i w:val="0"/>
                <w:color w:val="000000" w:themeColor="text1"/>
                <w:sz w:val="18"/>
                <w:szCs w:val="20"/>
                <w:vertAlign w:val="superscript"/>
              </w:rPr>
              <w:instrText>ADDIN CSL_CITATION {"citationItems":[{"id":"ITEM-1","itemData":{"DOI":"10.3389/fped.2020.00243","ISSN":"22962360","abstract":"Objective: In cancer patients, the impairment in muscle function is a frequently observed phenomenon. However, comprehensive evaluation of the effect of exercise training on muscle function in childhood cancer patients (CCPs) is sparse and therefore investigated in the MUCKI trial. Study Design: In the randomized controlled MUCKI trial, CCPs during intensive cancer treatment and aged 4–18 years were recruited. Eligible patients were enrolled soon after diagnosis as long as they were physically and mentally able to participate in exercise testing and training. Patients of the exercise group (n = 16) participated in average 2.7 ± 1.2 times per week in a combined resistance and endurance training with moderate exercise intensity, for a time period of 8.0 ± 2.1 weeks, while patients of the control group (n = 17) received usual care. Leg strength was evaluated as the primary endpoint. Secondary endpoints were 6-min walk performance, arm strength, body composition, fatigue, and health-related quality of life. Results: Comparisons of pre- and post-intervention results were evaluated by baseline and stratification criteria adjusted analysis and showed positive effects for the exercise group regarding leg strength [F(1, 20) = 5.733; p = 0.027*; (Formula presented.) = 0.223], walking performance [F(1, 25) = 4.270; p = 0.049*; (Formula presented.) = 0.146], fatigue [F(1, 13) = 8.353; p = 0.013*; (Formula presented.) = 0.391], self-esteem [F(1, 6) = 6.823; p = 0.040*; (Formula presented.) = 0.532], and self-reported strength and endurance capacity [F(1, 6) = 6.273; p = 0.046*; (Formula presented.) = 0.511]. No significant differences were found for the other parameters. Conclusion: Within one of the first randomized controlled trials, the present study provides evidence for a positive effect of combined training in CCPs during intensive cancer treatment. Further research is needed to confirm these results and to evaluate their clinical impact. Clinical Trial Registration Number: NCT02612025.","author":[{"dropping-particle":"","family":"Stössel","given":"Sandra","non-dropping-particle":"","parse-names":false,"suffix":""},{"dropping-particle":"","family":"Neu","given":"Marie A.","non-dropping-particle":"","parse-names":false,"suffix":""},{"dropping-particle":"","family":"Wingerter","given":"Arthur","non-dropping-particle":"","parse-names":false,"suffix":""},{"dropping-particle":"","family":"Bloch","given":"Wilhelm","non-dropping-particle":"","parse-names":false,"suffix":""},{"dropping-particle":"","family":"Zimmer","given":"Philipp","non-dropping-particle":"","parse-names":false,"suffix":""},{"dropping-particle":"","family":"Paret","given":"Claudia","non-dropping-particle":"","parse-names":false,"suffix":""},{"dropping-particle":"El","family":"Malki","given":"Khalifa","non-dropping-particle":"","parse-names":false,"suffix":""},{"dropping-particle":"","family":"Baumann","given":"Freerk T.","non-dropping-particle":"","parse-names":false,"suffix":""},{"dropping-particle":"","family":"Russo","given":"Alexandra","non-dropping-particle":"","parse-names":false,"suffix":""},{"dropping-particle":"","family":"Henninger","given":"Nicole","non-dropping-particle":"","parse-names":false,"suffix":""},{"dropping-particle":"","family":"Lehmann","given":"Nadine","non-dropping-particle":"","parse-names":false,"suffix":""},{"dropping-particle":"","family":"Otto","given":"Henrike","non-dropping-particle":"","parse-names":false,"suffix":""},{"dropping-particle":"","family":"Faber","given":"Jörg","non-dropping-particle":"","parse-names":false,"suffix":""}],"container-title":"Frontiers in Pediatrics","id":"ITEM-1","issued":{"date-parts":[["2020","6","5"]]},"page":"243","publisher":"Frontiers Media S.A.","title":"Benefits of Exercise Training for Children and Adolescents Undergoing Cancer Treatment: Results From the Randomized Controlled MUCKI Trial","type":"article-journal","volume":"8"},"uris":["http://www.mendeley.com/documents/?uuid=5d153b3d-9c64-383c-b135-ec11c9670dc3"]}],"mendeley":{"formattedCitation":"(40)","manualFormatting":"(40","plainTextFormattedCitation":"(40)","previouslyFormattedCitation":"(40)"},"properties":{"noteIndex":0},"schema":"https://github.com/citation-style-language/schema/raw/master/csl-citation.json"}</w:instrText>
            </w:r>
            <w:r w:rsidR="001A3D5E" w:rsidRPr="00850FBB">
              <w:rPr>
                <w:rFonts w:ascii="Times New Roman" w:hAnsi="Times New Roman"/>
                <w:i w:val="0"/>
                <w:color w:val="000000" w:themeColor="text1"/>
                <w:sz w:val="18"/>
                <w:szCs w:val="20"/>
                <w:vertAlign w:val="superscript"/>
              </w:rPr>
              <w:fldChar w:fldCharType="separate"/>
            </w:r>
            <w:r w:rsidR="001A3D5E" w:rsidRPr="00850FBB">
              <w:rPr>
                <w:rFonts w:ascii="Times New Roman" w:hAnsi="Times New Roman"/>
                <w:b/>
                <w:i w:val="0"/>
                <w:noProof/>
                <w:color w:val="000000" w:themeColor="text1"/>
                <w:sz w:val="18"/>
                <w:szCs w:val="20"/>
                <w:vertAlign w:val="superscript"/>
              </w:rPr>
              <w:t>40</w:t>
            </w:r>
            <w:r w:rsidR="001A3D5E" w:rsidRPr="00850FBB">
              <w:rPr>
                <w:rFonts w:ascii="Times New Roman" w:hAnsi="Times New Roman"/>
                <w:i w:val="0"/>
                <w:color w:val="000000" w:themeColor="text1"/>
                <w:sz w:val="18"/>
                <w:szCs w:val="20"/>
                <w:vertAlign w:val="superscript"/>
              </w:rPr>
              <w:fldChar w:fldCharType="end"/>
            </w:r>
          </w:p>
          <w:p w14:paraId="66A0FB1C" w14:textId="7C93588D" w:rsidR="00563880" w:rsidRPr="00850FBB" w:rsidRDefault="00563880" w:rsidP="00E54A29">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b/>
                <w:i w:val="0"/>
                <w:sz w:val="21"/>
              </w:rPr>
            </w:pPr>
            <w:r w:rsidRPr="00850FBB">
              <w:rPr>
                <w:rFonts w:ascii="Times New Roman" w:hAnsi="Times New Roman"/>
                <w:b/>
                <w:i w:val="0"/>
                <w:color w:val="000000" w:themeColor="text1"/>
                <w:sz w:val="21"/>
                <w:szCs w:val="20"/>
              </w:rPr>
              <w:t>2020</w:t>
            </w:r>
          </w:p>
        </w:tc>
        <w:tc>
          <w:tcPr>
            <w:tcW w:w="1883" w:type="dxa"/>
          </w:tcPr>
          <w:p w14:paraId="7B0488DE" w14:textId="008CD3CB" w:rsidR="00563880" w:rsidRPr="00850FBB" w:rsidRDefault="00563880" w:rsidP="00E54A29">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i w:val="0"/>
                <w:color w:val="000000" w:themeColor="text1"/>
                <w:sz w:val="21"/>
                <w:szCs w:val="20"/>
              </w:rPr>
            </w:pPr>
            <w:r w:rsidRPr="00850FBB">
              <w:rPr>
                <w:rFonts w:ascii="Times New Roman" w:hAnsi="Times New Roman"/>
                <w:b/>
                <w:i w:val="0"/>
                <w:color w:val="000000" w:themeColor="text1"/>
                <w:sz w:val="21"/>
                <w:szCs w:val="20"/>
              </w:rPr>
              <w:t>Atkinson et al.,</w:t>
            </w:r>
            <w:r w:rsidR="001A3D5E" w:rsidRPr="00850FBB">
              <w:rPr>
                <w:rFonts w:ascii="Times New Roman" w:hAnsi="Times New Roman"/>
                <w:i w:val="0"/>
                <w:color w:val="000000" w:themeColor="text1"/>
                <w:sz w:val="18"/>
                <w:szCs w:val="20"/>
                <w:vertAlign w:val="superscript"/>
              </w:rPr>
              <w:fldChar w:fldCharType="begin" w:fldLock="1"/>
            </w:r>
            <w:r w:rsidR="001A3D5E" w:rsidRPr="00850FBB">
              <w:rPr>
                <w:rFonts w:ascii="Times New Roman" w:hAnsi="Times New Roman"/>
                <w:i w:val="0"/>
                <w:color w:val="000000" w:themeColor="text1"/>
                <w:sz w:val="18"/>
                <w:szCs w:val="20"/>
                <w:vertAlign w:val="superscript"/>
              </w:rPr>
              <w:instrText>ADDIN CSL_CITATION {"citationItems":[{"id":"ITEM-1","itemData":{"DOI":"10.1002/pbc.28751","ISSN":"1545-5009","abstract":"Background: Cancer treatments are frequently associated with impaired physical fitness, quality of life (QOL), and fatigue, often persisting into survivorship. Studies in older adults with cancer have demonstrated benefits from exercise; however, this has not been rigorously investigated in adolescents and young adults (AYA). The aim of this study was to determine whether a structured 10-week exercise intervention was associated with improved cardiorespiratory fitness (VO2peak), fatigue, and QOL in AYA who have recently completed cancer treatment. Method: Forty-three AYA (median age 21 ± 6 years) were randomly assigned to an exercise group (n = 22) or a control group (n = 21). The exercise group received a structured 10-week exercise program comprising progressive aerobic and resistance exercise; the control arm received routine care. VO2peak was measured at baseline, 10 weeks, and six months. Fatigue and QOL were assessed by the FACIT fatigue scale and the PEDS QL, respectively. Results: Mean VO2peak at baseline was 26.5 ± 7.2 mL.kg−1.min−1, which is substantially lower than population norms. The exercise group demonstrated significant improvement in VO2peak at 10 weeks compared with controls (33.8 ± 8.1 vs 29.6 ± 7.6 mL.kg−1.min−1, P = 0.0002), but by six months, the difference was no longer significant (32.9 ± 7.0 vs 30.9 ± 11.0 mL.kg−1.min−1, P = 0.21). There were no significant differences in fatigue or total QOL scores between groups. Conclusion: Cancer treatment is associated with reduced VO2peak in AYA. Improvement in VO2peak was accelerated by a 10-week exercise program; however, no significant benefit was observed in QOL or fatigue. The plateau in VO2peak at six months suggests that a maintenance exercise program may be beneficial.","author":[{"dropping-particle":"","family":"Atkinson","given":"Morgan","non-dropping-particle":"","parse-names":false,"suffix":""},{"dropping-particle":"","family":"Murnane","given":"Andrew","non-dropping-particle":"","parse-names":false,"suffix":""},{"dropping-particle":"","family":"Goddard","given":"Thomas","non-dropping-particle":"","parse-names":false,"suffix":""},{"dropping-particle":"","family":"Pendergrast","given":"Cathy","non-dropping-particle":"","parse-names":false,"suffix":""},{"dropping-particle":"","family":"Rogers","given":"Paul","non-dropping-particle":"","parse-names":false,"suffix":""},{"dropping-particle":"","family":"Manudhane","given":"Rebecca","non-dropping-particle":"","parse-names":false,"suffix":""},{"dropping-particle":"","family":"Osborn","given":"Michael","non-dropping-particle":"","parse-names":false,"suffix":""}],"container-title":"Pediatric Blood &amp; Cancer","id":"ITEM-1","issued":{"date-parts":[["2020","10","16"]]},"publisher":"John Wiley and Sons Inc","title":"A randomized controlled trial of a structured exercise intervention after the completion of acute cancer treatment in adolescents and young adults","type":"article-journal"},"uris":["http://www.mendeley.com/documents/?uuid=ddd814d5-6edb-33e8-8da1-422c1e244557"]}],"mendeley":{"formattedCitation":"(36)","manualFormatting":"36","plainTextFormattedCitation":"(36)","previouslyFormattedCitation":"(36)"},"properties":{"noteIndex":0},"schema":"https://github.com/citation-style-language/schema/raw/master/csl-citation.json"}</w:instrText>
            </w:r>
            <w:r w:rsidR="001A3D5E" w:rsidRPr="00850FBB">
              <w:rPr>
                <w:rFonts w:ascii="Times New Roman" w:hAnsi="Times New Roman"/>
                <w:i w:val="0"/>
                <w:color w:val="000000" w:themeColor="text1"/>
                <w:sz w:val="18"/>
                <w:szCs w:val="20"/>
                <w:vertAlign w:val="superscript"/>
              </w:rPr>
              <w:fldChar w:fldCharType="separate"/>
            </w:r>
            <w:r w:rsidR="001A3D5E" w:rsidRPr="00850FBB">
              <w:rPr>
                <w:rFonts w:ascii="Times New Roman" w:hAnsi="Times New Roman"/>
                <w:b/>
                <w:i w:val="0"/>
                <w:noProof/>
                <w:color w:val="000000" w:themeColor="text1"/>
                <w:sz w:val="18"/>
                <w:szCs w:val="20"/>
                <w:vertAlign w:val="superscript"/>
              </w:rPr>
              <w:t>36</w:t>
            </w:r>
            <w:r w:rsidR="001A3D5E" w:rsidRPr="00850FBB">
              <w:rPr>
                <w:rFonts w:ascii="Times New Roman" w:hAnsi="Times New Roman"/>
                <w:i w:val="0"/>
                <w:color w:val="000000" w:themeColor="text1"/>
                <w:sz w:val="18"/>
                <w:szCs w:val="20"/>
                <w:vertAlign w:val="superscript"/>
              </w:rPr>
              <w:fldChar w:fldCharType="end"/>
            </w:r>
            <w:r w:rsidRPr="00850FBB">
              <w:rPr>
                <w:rFonts w:ascii="Times New Roman" w:hAnsi="Times New Roman"/>
                <w:i w:val="0"/>
                <w:color w:val="000000" w:themeColor="text1"/>
                <w:sz w:val="21"/>
                <w:szCs w:val="20"/>
              </w:rPr>
              <w:t xml:space="preserve"> </w:t>
            </w:r>
            <w:r w:rsidRPr="00850FBB">
              <w:rPr>
                <w:rFonts w:ascii="Times New Roman" w:hAnsi="Times New Roman"/>
                <w:b/>
                <w:i w:val="0"/>
                <w:color w:val="000000" w:themeColor="text1"/>
                <w:sz w:val="21"/>
                <w:szCs w:val="20"/>
              </w:rPr>
              <w:t>2020</w:t>
            </w:r>
          </w:p>
        </w:tc>
      </w:tr>
      <w:tr w:rsidR="00563880" w:rsidRPr="007C412D" w14:paraId="154E5059" w14:textId="7803B970" w:rsidTr="00563880">
        <w:trPr>
          <w:cnfStyle w:val="000000100000" w:firstRow="0" w:lastRow="0" w:firstColumn="0" w:lastColumn="0" w:oddVBand="0" w:evenVBand="0" w:oddHBand="1" w:evenHBand="0" w:firstRowFirstColumn="0" w:firstRowLastColumn="0" w:lastRowFirstColumn="0" w:lastRowLastColumn="0"/>
          <w:trHeight w:hRule="exact" w:val="591"/>
        </w:trPr>
        <w:tc>
          <w:tcPr>
            <w:cnfStyle w:val="001000000000" w:firstRow="0" w:lastRow="0" w:firstColumn="1" w:lastColumn="0" w:oddVBand="0" w:evenVBand="0" w:oddHBand="0" w:evenHBand="0" w:firstRowFirstColumn="0" w:firstRowLastColumn="0" w:lastRowFirstColumn="0" w:lastRowLastColumn="0"/>
            <w:tcW w:w="1938" w:type="dxa"/>
          </w:tcPr>
          <w:p w14:paraId="2BBD93F6" w14:textId="77777777" w:rsidR="00563880" w:rsidRPr="00850FBB" w:rsidRDefault="00563880" w:rsidP="007C5AB3">
            <w:pPr>
              <w:rPr>
                <w:rFonts w:ascii="Times New Roman" w:eastAsia="Times New Roman" w:hAnsi="Times New Roman"/>
                <w:sz w:val="22"/>
              </w:rPr>
            </w:pPr>
            <w:r w:rsidRPr="00850FBB">
              <w:rPr>
                <w:rFonts w:ascii="Times New Roman" w:eastAsia="Times New Roman" w:hAnsi="Times New Roman"/>
                <w:sz w:val="22"/>
              </w:rPr>
              <w:t>Eligibility Criteria</w:t>
            </w:r>
          </w:p>
          <w:p w14:paraId="22E201F6" w14:textId="77777777" w:rsidR="00563880" w:rsidRPr="00850FBB" w:rsidRDefault="00563880" w:rsidP="007C5AB3">
            <w:pPr>
              <w:rPr>
                <w:rFonts w:ascii="Times New Roman" w:eastAsia="Times New Roman" w:hAnsi="Times New Roman"/>
                <w:sz w:val="22"/>
              </w:rPr>
            </w:pPr>
            <w:r w:rsidRPr="00850FBB">
              <w:rPr>
                <w:rFonts w:ascii="Times New Roman" w:eastAsia="Times New Roman" w:hAnsi="Times New Roman"/>
                <w:sz w:val="22"/>
              </w:rPr>
              <w:t xml:space="preserve"> </w:t>
            </w:r>
          </w:p>
        </w:tc>
        <w:tc>
          <w:tcPr>
            <w:tcW w:w="2042" w:type="dxa"/>
          </w:tcPr>
          <w:p w14:paraId="5371F9AE" w14:textId="77777777" w:rsidR="00563880" w:rsidRPr="007C412D" w:rsidRDefault="00563880" w:rsidP="007C5AB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7C412D">
              <w:rPr>
                <w:rFonts w:ascii="Times New Roman" w:eastAsia="Times New Roman" w:hAnsi="Times New Roman" w:cs="Times New Roman"/>
              </w:rPr>
              <w:t>Y</w:t>
            </w:r>
          </w:p>
        </w:tc>
        <w:tc>
          <w:tcPr>
            <w:tcW w:w="2066" w:type="dxa"/>
          </w:tcPr>
          <w:p w14:paraId="568474B5" w14:textId="77777777" w:rsidR="00563880" w:rsidRPr="007C412D" w:rsidRDefault="00563880" w:rsidP="007C5AB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7C412D">
              <w:rPr>
                <w:rFonts w:ascii="Times New Roman" w:eastAsia="Times New Roman" w:hAnsi="Times New Roman" w:cs="Times New Roman"/>
              </w:rPr>
              <w:t>Y</w:t>
            </w:r>
          </w:p>
        </w:tc>
        <w:tc>
          <w:tcPr>
            <w:tcW w:w="1999" w:type="dxa"/>
          </w:tcPr>
          <w:p w14:paraId="327E1E32" w14:textId="77777777" w:rsidR="00563880" w:rsidRPr="007C412D" w:rsidRDefault="00563880" w:rsidP="007C5AB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7C412D">
              <w:rPr>
                <w:rFonts w:ascii="Times New Roman" w:eastAsia="Times New Roman" w:hAnsi="Times New Roman" w:cs="Times New Roman"/>
              </w:rPr>
              <w:t>Y</w:t>
            </w:r>
          </w:p>
        </w:tc>
        <w:tc>
          <w:tcPr>
            <w:tcW w:w="1999" w:type="dxa"/>
          </w:tcPr>
          <w:p w14:paraId="2B5920DC" w14:textId="77777777" w:rsidR="00563880" w:rsidRPr="007C412D" w:rsidRDefault="00563880" w:rsidP="007C5AB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7C412D">
              <w:rPr>
                <w:rFonts w:ascii="Times New Roman" w:eastAsia="Times New Roman" w:hAnsi="Times New Roman" w:cs="Times New Roman"/>
              </w:rPr>
              <w:t>Y</w:t>
            </w:r>
          </w:p>
        </w:tc>
        <w:tc>
          <w:tcPr>
            <w:tcW w:w="2031" w:type="dxa"/>
          </w:tcPr>
          <w:p w14:paraId="2F695DD6" w14:textId="1B9D37C8" w:rsidR="00563880" w:rsidRPr="007C412D" w:rsidRDefault="00563880" w:rsidP="007C5AB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Y</w:t>
            </w:r>
          </w:p>
        </w:tc>
        <w:tc>
          <w:tcPr>
            <w:tcW w:w="1883" w:type="dxa"/>
          </w:tcPr>
          <w:p w14:paraId="41EDE337" w14:textId="29BE01D9" w:rsidR="00563880" w:rsidRDefault="00563880" w:rsidP="007C5AB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Y</w:t>
            </w:r>
          </w:p>
        </w:tc>
      </w:tr>
      <w:tr w:rsidR="00563880" w:rsidRPr="007C412D" w14:paraId="2C4F22F0" w14:textId="5E32939D" w:rsidTr="00563880">
        <w:trPr>
          <w:trHeight w:hRule="exact" w:val="591"/>
        </w:trPr>
        <w:tc>
          <w:tcPr>
            <w:cnfStyle w:val="001000000000" w:firstRow="0" w:lastRow="0" w:firstColumn="1" w:lastColumn="0" w:oddVBand="0" w:evenVBand="0" w:oddHBand="0" w:evenHBand="0" w:firstRowFirstColumn="0" w:firstRowLastColumn="0" w:lastRowFirstColumn="0" w:lastRowLastColumn="0"/>
            <w:tcW w:w="1938" w:type="dxa"/>
          </w:tcPr>
          <w:p w14:paraId="786D1130" w14:textId="77777777" w:rsidR="00563880" w:rsidRPr="00850FBB" w:rsidRDefault="00563880" w:rsidP="007C5AB3">
            <w:pPr>
              <w:rPr>
                <w:rFonts w:ascii="Times New Roman" w:eastAsia="Times New Roman" w:hAnsi="Times New Roman"/>
                <w:sz w:val="22"/>
              </w:rPr>
            </w:pPr>
            <w:r w:rsidRPr="00850FBB">
              <w:rPr>
                <w:rFonts w:ascii="Times New Roman" w:eastAsia="Times New Roman" w:hAnsi="Times New Roman"/>
                <w:sz w:val="22"/>
              </w:rPr>
              <w:t>Randomised Allocation</w:t>
            </w:r>
          </w:p>
          <w:p w14:paraId="0B395ABF" w14:textId="77777777" w:rsidR="00563880" w:rsidRPr="00850FBB" w:rsidRDefault="00563880" w:rsidP="007C5AB3">
            <w:pPr>
              <w:rPr>
                <w:rFonts w:ascii="Times New Roman" w:eastAsia="Times New Roman" w:hAnsi="Times New Roman"/>
                <w:sz w:val="22"/>
              </w:rPr>
            </w:pPr>
          </w:p>
        </w:tc>
        <w:tc>
          <w:tcPr>
            <w:tcW w:w="2042" w:type="dxa"/>
          </w:tcPr>
          <w:p w14:paraId="325B120D" w14:textId="77777777" w:rsidR="00563880" w:rsidRPr="007C412D" w:rsidRDefault="00563880" w:rsidP="007C5AB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7C412D">
              <w:rPr>
                <w:rFonts w:ascii="Times New Roman" w:eastAsia="Times New Roman" w:hAnsi="Times New Roman" w:cs="Times New Roman"/>
              </w:rPr>
              <w:t>Y</w:t>
            </w:r>
          </w:p>
        </w:tc>
        <w:tc>
          <w:tcPr>
            <w:tcW w:w="2066" w:type="dxa"/>
          </w:tcPr>
          <w:p w14:paraId="6AD04D31" w14:textId="77777777" w:rsidR="00563880" w:rsidRPr="007C412D" w:rsidRDefault="00563880" w:rsidP="007C5AB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7C412D">
              <w:rPr>
                <w:rFonts w:ascii="Times New Roman" w:eastAsia="Times New Roman" w:hAnsi="Times New Roman" w:cs="Times New Roman"/>
              </w:rPr>
              <w:t>Y</w:t>
            </w:r>
          </w:p>
        </w:tc>
        <w:tc>
          <w:tcPr>
            <w:tcW w:w="1999" w:type="dxa"/>
          </w:tcPr>
          <w:p w14:paraId="542E5426" w14:textId="77777777" w:rsidR="00563880" w:rsidRPr="007C412D" w:rsidRDefault="00563880" w:rsidP="007C5AB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7C412D">
              <w:rPr>
                <w:rFonts w:ascii="Times New Roman" w:eastAsia="Times New Roman" w:hAnsi="Times New Roman" w:cs="Times New Roman"/>
              </w:rPr>
              <w:t>Y</w:t>
            </w:r>
          </w:p>
        </w:tc>
        <w:tc>
          <w:tcPr>
            <w:tcW w:w="1999" w:type="dxa"/>
          </w:tcPr>
          <w:p w14:paraId="105F1FAE" w14:textId="77777777" w:rsidR="00563880" w:rsidRPr="007C412D" w:rsidRDefault="00563880" w:rsidP="007C5AB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7C412D">
              <w:rPr>
                <w:rFonts w:ascii="Times New Roman" w:eastAsia="Times New Roman" w:hAnsi="Times New Roman" w:cs="Times New Roman"/>
              </w:rPr>
              <w:t>Y</w:t>
            </w:r>
          </w:p>
        </w:tc>
        <w:tc>
          <w:tcPr>
            <w:tcW w:w="2031" w:type="dxa"/>
          </w:tcPr>
          <w:p w14:paraId="07165F37" w14:textId="7971AFBF" w:rsidR="00563880" w:rsidRPr="007C412D" w:rsidRDefault="00563880" w:rsidP="007C5AB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Y</w:t>
            </w:r>
          </w:p>
        </w:tc>
        <w:tc>
          <w:tcPr>
            <w:tcW w:w="1883" w:type="dxa"/>
          </w:tcPr>
          <w:p w14:paraId="5555D7AF" w14:textId="7959A411" w:rsidR="00563880" w:rsidRDefault="00563880" w:rsidP="007C5AB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Y</w:t>
            </w:r>
          </w:p>
        </w:tc>
      </w:tr>
      <w:tr w:rsidR="00563880" w:rsidRPr="007C412D" w14:paraId="454D9AAB" w14:textId="594032C2" w:rsidTr="00563880">
        <w:trPr>
          <w:cnfStyle w:val="000000100000" w:firstRow="0" w:lastRow="0" w:firstColumn="0" w:lastColumn="0" w:oddVBand="0" w:evenVBand="0" w:oddHBand="1" w:evenHBand="0" w:firstRowFirstColumn="0" w:firstRowLastColumn="0" w:lastRowFirstColumn="0" w:lastRowLastColumn="0"/>
          <w:trHeight w:hRule="exact" w:val="591"/>
        </w:trPr>
        <w:tc>
          <w:tcPr>
            <w:cnfStyle w:val="001000000000" w:firstRow="0" w:lastRow="0" w:firstColumn="1" w:lastColumn="0" w:oddVBand="0" w:evenVBand="0" w:oddHBand="0" w:evenHBand="0" w:firstRowFirstColumn="0" w:firstRowLastColumn="0" w:lastRowFirstColumn="0" w:lastRowLastColumn="0"/>
            <w:tcW w:w="1938" w:type="dxa"/>
          </w:tcPr>
          <w:p w14:paraId="72FC2B06" w14:textId="77777777" w:rsidR="00563880" w:rsidRPr="00850FBB" w:rsidRDefault="00563880" w:rsidP="007C5AB3">
            <w:pPr>
              <w:rPr>
                <w:rFonts w:ascii="Times New Roman" w:eastAsia="Times New Roman" w:hAnsi="Times New Roman"/>
                <w:sz w:val="22"/>
              </w:rPr>
            </w:pPr>
            <w:r w:rsidRPr="00850FBB">
              <w:rPr>
                <w:rFonts w:ascii="Times New Roman" w:eastAsia="Times New Roman" w:hAnsi="Times New Roman"/>
                <w:sz w:val="22"/>
              </w:rPr>
              <w:t>Concealed Allocation</w:t>
            </w:r>
          </w:p>
          <w:p w14:paraId="4F0B7D37" w14:textId="77777777" w:rsidR="00563880" w:rsidRPr="00850FBB" w:rsidRDefault="00563880" w:rsidP="007C5AB3">
            <w:pPr>
              <w:rPr>
                <w:rFonts w:ascii="Times New Roman" w:eastAsia="Times New Roman" w:hAnsi="Times New Roman"/>
                <w:sz w:val="22"/>
              </w:rPr>
            </w:pPr>
          </w:p>
        </w:tc>
        <w:tc>
          <w:tcPr>
            <w:tcW w:w="2042" w:type="dxa"/>
          </w:tcPr>
          <w:p w14:paraId="06CF8086" w14:textId="77777777" w:rsidR="00563880" w:rsidRPr="007C412D" w:rsidRDefault="00563880" w:rsidP="007C5AB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7C412D">
              <w:rPr>
                <w:rFonts w:ascii="Times New Roman" w:eastAsia="Times New Roman" w:hAnsi="Times New Roman" w:cs="Times New Roman"/>
              </w:rPr>
              <w:t>N</w:t>
            </w:r>
            <w:bookmarkStart w:id="0" w:name="_GoBack"/>
            <w:bookmarkEnd w:id="0"/>
          </w:p>
        </w:tc>
        <w:tc>
          <w:tcPr>
            <w:tcW w:w="2066" w:type="dxa"/>
          </w:tcPr>
          <w:p w14:paraId="61824A7A" w14:textId="77777777" w:rsidR="00563880" w:rsidRPr="007C412D" w:rsidRDefault="00563880" w:rsidP="007C5AB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7C412D">
              <w:rPr>
                <w:rFonts w:ascii="Times New Roman" w:eastAsia="Times New Roman" w:hAnsi="Times New Roman" w:cs="Times New Roman"/>
              </w:rPr>
              <w:t>N</w:t>
            </w:r>
          </w:p>
        </w:tc>
        <w:tc>
          <w:tcPr>
            <w:tcW w:w="1999" w:type="dxa"/>
          </w:tcPr>
          <w:p w14:paraId="5E701431" w14:textId="77777777" w:rsidR="00563880" w:rsidRPr="007C412D" w:rsidRDefault="00563880" w:rsidP="007C5AB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7C412D">
              <w:rPr>
                <w:rFonts w:ascii="Times New Roman" w:eastAsia="Times New Roman" w:hAnsi="Times New Roman" w:cs="Times New Roman"/>
              </w:rPr>
              <w:t>Y</w:t>
            </w:r>
          </w:p>
        </w:tc>
        <w:tc>
          <w:tcPr>
            <w:tcW w:w="1999" w:type="dxa"/>
          </w:tcPr>
          <w:p w14:paraId="0CC38EE5" w14:textId="77777777" w:rsidR="00563880" w:rsidRPr="007C412D" w:rsidRDefault="00563880" w:rsidP="007C5AB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7C412D">
              <w:rPr>
                <w:rFonts w:ascii="Times New Roman" w:eastAsia="Times New Roman" w:hAnsi="Times New Roman" w:cs="Times New Roman"/>
              </w:rPr>
              <w:t>Y</w:t>
            </w:r>
          </w:p>
        </w:tc>
        <w:tc>
          <w:tcPr>
            <w:tcW w:w="2031" w:type="dxa"/>
          </w:tcPr>
          <w:p w14:paraId="053EA6A4" w14:textId="19702627" w:rsidR="00563880" w:rsidRPr="007C412D" w:rsidRDefault="00563880" w:rsidP="007C5AB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N</w:t>
            </w:r>
          </w:p>
        </w:tc>
        <w:tc>
          <w:tcPr>
            <w:tcW w:w="1883" w:type="dxa"/>
          </w:tcPr>
          <w:p w14:paraId="0EE822AF" w14:textId="10F90FD0" w:rsidR="00563880" w:rsidRDefault="00563880" w:rsidP="007C5AB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Y</w:t>
            </w:r>
          </w:p>
        </w:tc>
      </w:tr>
      <w:tr w:rsidR="00563880" w:rsidRPr="007C412D" w14:paraId="3488A26F" w14:textId="7A873DC1" w:rsidTr="00563880">
        <w:trPr>
          <w:trHeight w:hRule="exact" w:val="591"/>
        </w:trPr>
        <w:tc>
          <w:tcPr>
            <w:cnfStyle w:val="001000000000" w:firstRow="0" w:lastRow="0" w:firstColumn="1" w:lastColumn="0" w:oddVBand="0" w:evenVBand="0" w:oddHBand="0" w:evenHBand="0" w:firstRowFirstColumn="0" w:firstRowLastColumn="0" w:lastRowFirstColumn="0" w:lastRowLastColumn="0"/>
            <w:tcW w:w="1938" w:type="dxa"/>
          </w:tcPr>
          <w:p w14:paraId="4D3363CB" w14:textId="77777777" w:rsidR="00563880" w:rsidRPr="00850FBB" w:rsidRDefault="00563880" w:rsidP="007C5AB3">
            <w:pPr>
              <w:rPr>
                <w:rFonts w:ascii="Times New Roman" w:eastAsia="Times New Roman" w:hAnsi="Times New Roman"/>
                <w:sz w:val="22"/>
              </w:rPr>
            </w:pPr>
            <w:r w:rsidRPr="00850FBB">
              <w:rPr>
                <w:rFonts w:ascii="Times New Roman" w:eastAsia="Times New Roman" w:hAnsi="Times New Roman"/>
                <w:sz w:val="22"/>
              </w:rPr>
              <w:t>Comparable at baseline</w:t>
            </w:r>
          </w:p>
          <w:p w14:paraId="47883C23" w14:textId="77777777" w:rsidR="00563880" w:rsidRPr="00850FBB" w:rsidRDefault="00563880" w:rsidP="007C5AB3">
            <w:pPr>
              <w:rPr>
                <w:rFonts w:ascii="Times New Roman" w:eastAsia="Times New Roman" w:hAnsi="Times New Roman"/>
                <w:sz w:val="22"/>
              </w:rPr>
            </w:pPr>
          </w:p>
        </w:tc>
        <w:tc>
          <w:tcPr>
            <w:tcW w:w="2042" w:type="dxa"/>
          </w:tcPr>
          <w:p w14:paraId="5077D8F0" w14:textId="77777777" w:rsidR="00563880" w:rsidRPr="007C412D" w:rsidRDefault="00563880" w:rsidP="007C5AB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7C412D">
              <w:rPr>
                <w:rFonts w:ascii="Times New Roman" w:eastAsia="Times New Roman" w:hAnsi="Times New Roman" w:cs="Times New Roman"/>
              </w:rPr>
              <w:t>Y</w:t>
            </w:r>
          </w:p>
        </w:tc>
        <w:tc>
          <w:tcPr>
            <w:tcW w:w="2066" w:type="dxa"/>
          </w:tcPr>
          <w:p w14:paraId="20CA614E" w14:textId="77777777" w:rsidR="00563880" w:rsidRPr="007C412D" w:rsidRDefault="00563880" w:rsidP="007C5AB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7C412D">
              <w:rPr>
                <w:rFonts w:ascii="Times New Roman" w:eastAsia="Times New Roman" w:hAnsi="Times New Roman" w:cs="Times New Roman"/>
              </w:rPr>
              <w:t>Y</w:t>
            </w:r>
          </w:p>
        </w:tc>
        <w:tc>
          <w:tcPr>
            <w:tcW w:w="1999" w:type="dxa"/>
          </w:tcPr>
          <w:p w14:paraId="0F03B951" w14:textId="77777777" w:rsidR="00563880" w:rsidRPr="007C412D" w:rsidRDefault="00563880" w:rsidP="007C5AB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7C412D">
              <w:rPr>
                <w:rFonts w:ascii="Times New Roman" w:eastAsia="Times New Roman" w:hAnsi="Times New Roman" w:cs="Times New Roman"/>
              </w:rPr>
              <w:t>Y</w:t>
            </w:r>
          </w:p>
        </w:tc>
        <w:tc>
          <w:tcPr>
            <w:tcW w:w="1999" w:type="dxa"/>
          </w:tcPr>
          <w:p w14:paraId="1CE912F2" w14:textId="77777777" w:rsidR="00563880" w:rsidRPr="007C412D" w:rsidRDefault="00563880" w:rsidP="007C5AB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7C412D">
              <w:rPr>
                <w:rFonts w:ascii="Times New Roman" w:eastAsia="Times New Roman" w:hAnsi="Times New Roman" w:cs="Times New Roman"/>
              </w:rPr>
              <w:t>Y</w:t>
            </w:r>
          </w:p>
        </w:tc>
        <w:tc>
          <w:tcPr>
            <w:tcW w:w="2031" w:type="dxa"/>
          </w:tcPr>
          <w:p w14:paraId="3B65FD29" w14:textId="7E747211" w:rsidR="00563880" w:rsidRPr="007C412D" w:rsidRDefault="00563880" w:rsidP="007C5AB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Y</w:t>
            </w:r>
          </w:p>
        </w:tc>
        <w:tc>
          <w:tcPr>
            <w:tcW w:w="1883" w:type="dxa"/>
          </w:tcPr>
          <w:p w14:paraId="31591F6F" w14:textId="61C39AC9" w:rsidR="00563880" w:rsidRDefault="00563880" w:rsidP="007C5AB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Y</w:t>
            </w:r>
          </w:p>
        </w:tc>
      </w:tr>
      <w:tr w:rsidR="00563880" w:rsidRPr="007C412D" w14:paraId="5A53386F" w14:textId="4317A4CA" w:rsidTr="00563880">
        <w:trPr>
          <w:cnfStyle w:val="000000100000" w:firstRow="0" w:lastRow="0" w:firstColumn="0" w:lastColumn="0" w:oddVBand="0" w:evenVBand="0" w:oddHBand="1" w:evenHBand="0" w:firstRowFirstColumn="0" w:firstRowLastColumn="0" w:lastRowFirstColumn="0" w:lastRowLastColumn="0"/>
          <w:trHeight w:hRule="exact" w:val="591"/>
        </w:trPr>
        <w:tc>
          <w:tcPr>
            <w:cnfStyle w:val="001000000000" w:firstRow="0" w:lastRow="0" w:firstColumn="1" w:lastColumn="0" w:oddVBand="0" w:evenVBand="0" w:oddHBand="0" w:evenHBand="0" w:firstRowFirstColumn="0" w:firstRowLastColumn="0" w:lastRowFirstColumn="0" w:lastRowLastColumn="0"/>
            <w:tcW w:w="1938" w:type="dxa"/>
          </w:tcPr>
          <w:p w14:paraId="78CC51F7" w14:textId="77777777" w:rsidR="00563880" w:rsidRPr="00850FBB" w:rsidRDefault="00563880" w:rsidP="007C5AB3">
            <w:pPr>
              <w:rPr>
                <w:rFonts w:ascii="Times New Roman" w:eastAsia="Times New Roman" w:hAnsi="Times New Roman"/>
                <w:sz w:val="22"/>
              </w:rPr>
            </w:pPr>
            <w:r w:rsidRPr="00850FBB">
              <w:rPr>
                <w:rFonts w:ascii="Times New Roman" w:eastAsia="Times New Roman" w:hAnsi="Times New Roman"/>
                <w:sz w:val="22"/>
              </w:rPr>
              <w:t>Blinded subjects</w:t>
            </w:r>
          </w:p>
          <w:p w14:paraId="5171622C" w14:textId="77777777" w:rsidR="00563880" w:rsidRPr="00850FBB" w:rsidRDefault="00563880" w:rsidP="007C5AB3">
            <w:pPr>
              <w:rPr>
                <w:rFonts w:ascii="Times New Roman" w:eastAsia="Times New Roman" w:hAnsi="Times New Roman"/>
                <w:sz w:val="22"/>
              </w:rPr>
            </w:pPr>
          </w:p>
        </w:tc>
        <w:tc>
          <w:tcPr>
            <w:tcW w:w="2042" w:type="dxa"/>
          </w:tcPr>
          <w:p w14:paraId="05D00C21" w14:textId="77777777" w:rsidR="00563880" w:rsidRPr="007C412D" w:rsidRDefault="00563880" w:rsidP="007C5AB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7C412D">
              <w:rPr>
                <w:rFonts w:ascii="Times New Roman" w:eastAsia="Times New Roman" w:hAnsi="Times New Roman" w:cs="Times New Roman"/>
              </w:rPr>
              <w:t>N</w:t>
            </w:r>
          </w:p>
        </w:tc>
        <w:tc>
          <w:tcPr>
            <w:tcW w:w="2066" w:type="dxa"/>
          </w:tcPr>
          <w:p w14:paraId="196DEECF" w14:textId="77777777" w:rsidR="00563880" w:rsidRPr="007C412D" w:rsidRDefault="00563880" w:rsidP="007C5AB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7C412D">
              <w:rPr>
                <w:rFonts w:ascii="Times New Roman" w:eastAsia="Times New Roman" w:hAnsi="Times New Roman" w:cs="Times New Roman"/>
              </w:rPr>
              <w:t>N</w:t>
            </w:r>
          </w:p>
        </w:tc>
        <w:tc>
          <w:tcPr>
            <w:tcW w:w="1999" w:type="dxa"/>
          </w:tcPr>
          <w:p w14:paraId="296F441B" w14:textId="77777777" w:rsidR="00563880" w:rsidRPr="007C412D" w:rsidRDefault="00563880" w:rsidP="007C5AB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7C412D">
              <w:rPr>
                <w:rFonts w:ascii="Times New Roman" w:eastAsia="Times New Roman" w:hAnsi="Times New Roman" w:cs="Times New Roman"/>
              </w:rPr>
              <w:t>Y</w:t>
            </w:r>
          </w:p>
        </w:tc>
        <w:tc>
          <w:tcPr>
            <w:tcW w:w="1999" w:type="dxa"/>
          </w:tcPr>
          <w:p w14:paraId="2C948F89" w14:textId="77777777" w:rsidR="00563880" w:rsidRPr="007C412D" w:rsidRDefault="00563880" w:rsidP="007C5AB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7C412D">
              <w:rPr>
                <w:rFonts w:ascii="Times New Roman" w:eastAsia="Times New Roman" w:hAnsi="Times New Roman" w:cs="Times New Roman"/>
              </w:rPr>
              <w:t>N</w:t>
            </w:r>
          </w:p>
        </w:tc>
        <w:tc>
          <w:tcPr>
            <w:tcW w:w="2031" w:type="dxa"/>
          </w:tcPr>
          <w:p w14:paraId="75CDBB63" w14:textId="5448F674" w:rsidR="00563880" w:rsidRPr="007C412D" w:rsidRDefault="00563880" w:rsidP="007C5AB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N</w:t>
            </w:r>
          </w:p>
        </w:tc>
        <w:tc>
          <w:tcPr>
            <w:tcW w:w="1883" w:type="dxa"/>
          </w:tcPr>
          <w:p w14:paraId="7D19AD73" w14:textId="3DE05257" w:rsidR="00563880" w:rsidRDefault="00563880" w:rsidP="007C5AB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N</w:t>
            </w:r>
          </w:p>
        </w:tc>
      </w:tr>
      <w:tr w:rsidR="00563880" w:rsidRPr="007C412D" w14:paraId="04DC4732" w14:textId="5D200D56" w:rsidTr="00563880">
        <w:trPr>
          <w:trHeight w:hRule="exact" w:val="591"/>
        </w:trPr>
        <w:tc>
          <w:tcPr>
            <w:cnfStyle w:val="001000000000" w:firstRow="0" w:lastRow="0" w:firstColumn="1" w:lastColumn="0" w:oddVBand="0" w:evenVBand="0" w:oddHBand="0" w:evenHBand="0" w:firstRowFirstColumn="0" w:firstRowLastColumn="0" w:lastRowFirstColumn="0" w:lastRowLastColumn="0"/>
            <w:tcW w:w="1938" w:type="dxa"/>
          </w:tcPr>
          <w:p w14:paraId="45A8E6F8" w14:textId="77777777" w:rsidR="00563880" w:rsidRPr="00850FBB" w:rsidRDefault="00563880" w:rsidP="007C5AB3">
            <w:pPr>
              <w:rPr>
                <w:rFonts w:ascii="Times New Roman" w:eastAsia="Times New Roman" w:hAnsi="Times New Roman"/>
                <w:sz w:val="22"/>
              </w:rPr>
            </w:pPr>
            <w:r w:rsidRPr="00850FBB">
              <w:rPr>
                <w:rFonts w:ascii="Times New Roman" w:eastAsia="Times New Roman" w:hAnsi="Times New Roman"/>
                <w:sz w:val="22"/>
              </w:rPr>
              <w:t>Blinded therapists</w:t>
            </w:r>
          </w:p>
          <w:p w14:paraId="7BB1A077" w14:textId="77777777" w:rsidR="00563880" w:rsidRPr="00850FBB" w:rsidRDefault="00563880" w:rsidP="007C5AB3">
            <w:pPr>
              <w:rPr>
                <w:rFonts w:ascii="Times New Roman" w:eastAsia="Times New Roman" w:hAnsi="Times New Roman"/>
                <w:sz w:val="22"/>
              </w:rPr>
            </w:pPr>
          </w:p>
        </w:tc>
        <w:tc>
          <w:tcPr>
            <w:tcW w:w="2042" w:type="dxa"/>
          </w:tcPr>
          <w:p w14:paraId="6865F668" w14:textId="77777777" w:rsidR="00563880" w:rsidRPr="007C412D" w:rsidRDefault="00563880" w:rsidP="007C5AB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7C412D">
              <w:rPr>
                <w:rFonts w:ascii="Times New Roman" w:eastAsia="Times New Roman" w:hAnsi="Times New Roman" w:cs="Times New Roman"/>
              </w:rPr>
              <w:t>N</w:t>
            </w:r>
          </w:p>
        </w:tc>
        <w:tc>
          <w:tcPr>
            <w:tcW w:w="2066" w:type="dxa"/>
          </w:tcPr>
          <w:p w14:paraId="2AAAD351" w14:textId="77777777" w:rsidR="00563880" w:rsidRPr="007C412D" w:rsidRDefault="00563880" w:rsidP="007C5AB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7C412D">
              <w:rPr>
                <w:rFonts w:ascii="Times New Roman" w:eastAsia="Times New Roman" w:hAnsi="Times New Roman" w:cs="Times New Roman"/>
              </w:rPr>
              <w:t>N</w:t>
            </w:r>
          </w:p>
        </w:tc>
        <w:tc>
          <w:tcPr>
            <w:tcW w:w="1999" w:type="dxa"/>
          </w:tcPr>
          <w:p w14:paraId="7679949A" w14:textId="77777777" w:rsidR="00563880" w:rsidRPr="007C412D" w:rsidRDefault="00563880" w:rsidP="007C5AB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7C412D">
              <w:rPr>
                <w:rFonts w:ascii="Times New Roman" w:eastAsia="Times New Roman" w:hAnsi="Times New Roman" w:cs="Times New Roman"/>
              </w:rPr>
              <w:t>N</w:t>
            </w:r>
          </w:p>
        </w:tc>
        <w:tc>
          <w:tcPr>
            <w:tcW w:w="1999" w:type="dxa"/>
          </w:tcPr>
          <w:p w14:paraId="3146D168" w14:textId="77777777" w:rsidR="00563880" w:rsidRPr="007C412D" w:rsidRDefault="00563880" w:rsidP="007C5AB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7C412D">
              <w:rPr>
                <w:rFonts w:ascii="Times New Roman" w:eastAsia="Times New Roman" w:hAnsi="Times New Roman" w:cs="Times New Roman"/>
              </w:rPr>
              <w:t>N</w:t>
            </w:r>
          </w:p>
        </w:tc>
        <w:tc>
          <w:tcPr>
            <w:tcW w:w="2031" w:type="dxa"/>
          </w:tcPr>
          <w:p w14:paraId="7ADE87B6" w14:textId="0E2398C9" w:rsidR="00563880" w:rsidRPr="007C412D" w:rsidRDefault="00563880" w:rsidP="007C5AB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N</w:t>
            </w:r>
          </w:p>
        </w:tc>
        <w:tc>
          <w:tcPr>
            <w:tcW w:w="1883" w:type="dxa"/>
          </w:tcPr>
          <w:p w14:paraId="31AC801F" w14:textId="2816004A" w:rsidR="00563880" w:rsidRDefault="00563880" w:rsidP="007C5AB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N</w:t>
            </w:r>
          </w:p>
        </w:tc>
      </w:tr>
      <w:tr w:rsidR="00563880" w:rsidRPr="007C412D" w14:paraId="2B95A771" w14:textId="41BC03F9" w:rsidTr="00563880">
        <w:trPr>
          <w:cnfStyle w:val="000000100000" w:firstRow="0" w:lastRow="0" w:firstColumn="0" w:lastColumn="0" w:oddVBand="0" w:evenVBand="0" w:oddHBand="1" w:evenHBand="0" w:firstRowFirstColumn="0" w:firstRowLastColumn="0" w:lastRowFirstColumn="0" w:lastRowLastColumn="0"/>
          <w:trHeight w:hRule="exact" w:val="591"/>
        </w:trPr>
        <w:tc>
          <w:tcPr>
            <w:cnfStyle w:val="001000000000" w:firstRow="0" w:lastRow="0" w:firstColumn="1" w:lastColumn="0" w:oddVBand="0" w:evenVBand="0" w:oddHBand="0" w:evenHBand="0" w:firstRowFirstColumn="0" w:firstRowLastColumn="0" w:lastRowFirstColumn="0" w:lastRowLastColumn="0"/>
            <w:tcW w:w="1938" w:type="dxa"/>
          </w:tcPr>
          <w:p w14:paraId="11A3F66D" w14:textId="77777777" w:rsidR="00563880" w:rsidRPr="00850FBB" w:rsidRDefault="00563880" w:rsidP="007C5AB3">
            <w:pPr>
              <w:rPr>
                <w:rFonts w:ascii="Times New Roman" w:eastAsia="Times New Roman" w:hAnsi="Times New Roman"/>
                <w:sz w:val="22"/>
              </w:rPr>
            </w:pPr>
            <w:r w:rsidRPr="00850FBB">
              <w:rPr>
                <w:rFonts w:ascii="Times New Roman" w:eastAsia="Times New Roman" w:hAnsi="Times New Roman"/>
                <w:sz w:val="22"/>
              </w:rPr>
              <w:t>Blinded assessors</w:t>
            </w:r>
          </w:p>
          <w:p w14:paraId="5A315BFC" w14:textId="77777777" w:rsidR="00563880" w:rsidRPr="00850FBB" w:rsidRDefault="00563880" w:rsidP="007C5AB3">
            <w:pPr>
              <w:rPr>
                <w:rFonts w:ascii="Times New Roman" w:eastAsia="Times New Roman" w:hAnsi="Times New Roman"/>
                <w:sz w:val="22"/>
              </w:rPr>
            </w:pPr>
          </w:p>
        </w:tc>
        <w:tc>
          <w:tcPr>
            <w:tcW w:w="2042" w:type="dxa"/>
          </w:tcPr>
          <w:p w14:paraId="32A2A8B7" w14:textId="77777777" w:rsidR="00563880" w:rsidRPr="007C412D" w:rsidRDefault="00563880" w:rsidP="007C5AB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7C412D">
              <w:rPr>
                <w:rFonts w:ascii="Times New Roman" w:eastAsia="Times New Roman" w:hAnsi="Times New Roman" w:cs="Times New Roman"/>
              </w:rPr>
              <w:t>Y</w:t>
            </w:r>
          </w:p>
        </w:tc>
        <w:tc>
          <w:tcPr>
            <w:tcW w:w="2066" w:type="dxa"/>
          </w:tcPr>
          <w:p w14:paraId="252F49FA" w14:textId="77777777" w:rsidR="00563880" w:rsidRPr="007C412D" w:rsidRDefault="00563880" w:rsidP="007C5AB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7C412D">
              <w:rPr>
                <w:rFonts w:ascii="Times New Roman" w:eastAsia="Times New Roman" w:hAnsi="Times New Roman" w:cs="Times New Roman"/>
              </w:rPr>
              <w:t>N</w:t>
            </w:r>
          </w:p>
        </w:tc>
        <w:tc>
          <w:tcPr>
            <w:tcW w:w="1999" w:type="dxa"/>
          </w:tcPr>
          <w:p w14:paraId="2235B8F7" w14:textId="77777777" w:rsidR="00563880" w:rsidRPr="007C412D" w:rsidRDefault="00563880" w:rsidP="007C5AB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7C412D">
              <w:rPr>
                <w:rFonts w:ascii="Times New Roman" w:eastAsia="Times New Roman" w:hAnsi="Times New Roman" w:cs="Times New Roman"/>
              </w:rPr>
              <w:t>N</w:t>
            </w:r>
          </w:p>
        </w:tc>
        <w:tc>
          <w:tcPr>
            <w:tcW w:w="1999" w:type="dxa"/>
          </w:tcPr>
          <w:p w14:paraId="0205979A" w14:textId="77777777" w:rsidR="00563880" w:rsidRPr="007C412D" w:rsidRDefault="00563880" w:rsidP="007C5AB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7C412D">
              <w:rPr>
                <w:rFonts w:ascii="Times New Roman" w:eastAsia="Times New Roman" w:hAnsi="Times New Roman" w:cs="Times New Roman"/>
              </w:rPr>
              <w:t>Y</w:t>
            </w:r>
          </w:p>
        </w:tc>
        <w:tc>
          <w:tcPr>
            <w:tcW w:w="2031" w:type="dxa"/>
          </w:tcPr>
          <w:p w14:paraId="6AD2B2F4" w14:textId="06A905EE" w:rsidR="00563880" w:rsidRPr="007C412D" w:rsidRDefault="00563880" w:rsidP="007C5AB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N</w:t>
            </w:r>
          </w:p>
        </w:tc>
        <w:tc>
          <w:tcPr>
            <w:tcW w:w="1883" w:type="dxa"/>
          </w:tcPr>
          <w:p w14:paraId="64F131B6" w14:textId="7EF826E5" w:rsidR="00563880" w:rsidRDefault="00563880" w:rsidP="007C5AB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Y</w:t>
            </w:r>
          </w:p>
        </w:tc>
      </w:tr>
      <w:tr w:rsidR="00563880" w:rsidRPr="007C412D" w14:paraId="14125265" w14:textId="140CED2F" w:rsidTr="00563880">
        <w:trPr>
          <w:trHeight w:hRule="exact" w:val="591"/>
        </w:trPr>
        <w:tc>
          <w:tcPr>
            <w:cnfStyle w:val="001000000000" w:firstRow="0" w:lastRow="0" w:firstColumn="1" w:lastColumn="0" w:oddVBand="0" w:evenVBand="0" w:oddHBand="0" w:evenHBand="0" w:firstRowFirstColumn="0" w:firstRowLastColumn="0" w:lastRowFirstColumn="0" w:lastRowLastColumn="0"/>
            <w:tcW w:w="1938" w:type="dxa"/>
          </w:tcPr>
          <w:p w14:paraId="2745723F" w14:textId="77777777" w:rsidR="00563880" w:rsidRPr="00850FBB" w:rsidRDefault="00563880" w:rsidP="007C5AB3">
            <w:pPr>
              <w:rPr>
                <w:rFonts w:ascii="Times New Roman" w:eastAsia="Times New Roman" w:hAnsi="Times New Roman"/>
                <w:sz w:val="22"/>
              </w:rPr>
            </w:pPr>
            <w:r w:rsidRPr="00850FBB">
              <w:rPr>
                <w:rFonts w:ascii="Times New Roman" w:eastAsia="Times New Roman" w:hAnsi="Times New Roman"/>
                <w:sz w:val="22"/>
              </w:rPr>
              <w:t>Adequate follow-up</w:t>
            </w:r>
          </w:p>
          <w:p w14:paraId="2E3C9D59" w14:textId="77777777" w:rsidR="00563880" w:rsidRPr="00850FBB" w:rsidRDefault="00563880" w:rsidP="007C5AB3">
            <w:pPr>
              <w:rPr>
                <w:rFonts w:ascii="Times New Roman" w:eastAsia="Times New Roman" w:hAnsi="Times New Roman"/>
                <w:sz w:val="22"/>
              </w:rPr>
            </w:pPr>
          </w:p>
        </w:tc>
        <w:tc>
          <w:tcPr>
            <w:tcW w:w="2042" w:type="dxa"/>
          </w:tcPr>
          <w:p w14:paraId="666D3D97" w14:textId="77777777" w:rsidR="00563880" w:rsidRPr="007C412D" w:rsidRDefault="00563880" w:rsidP="007C5AB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7C412D">
              <w:rPr>
                <w:rFonts w:ascii="Times New Roman" w:eastAsia="Times New Roman" w:hAnsi="Times New Roman" w:cs="Times New Roman"/>
              </w:rPr>
              <w:t>Y</w:t>
            </w:r>
          </w:p>
        </w:tc>
        <w:tc>
          <w:tcPr>
            <w:tcW w:w="2066" w:type="dxa"/>
          </w:tcPr>
          <w:p w14:paraId="07E0B708" w14:textId="77777777" w:rsidR="00563880" w:rsidRPr="007C412D" w:rsidRDefault="00563880" w:rsidP="007C5AB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7C412D">
              <w:rPr>
                <w:rFonts w:ascii="Times New Roman" w:eastAsia="Times New Roman" w:hAnsi="Times New Roman" w:cs="Times New Roman"/>
              </w:rPr>
              <w:t>Y</w:t>
            </w:r>
          </w:p>
        </w:tc>
        <w:tc>
          <w:tcPr>
            <w:tcW w:w="1999" w:type="dxa"/>
          </w:tcPr>
          <w:p w14:paraId="52DA53F8" w14:textId="77777777" w:rsidR="00563880" w:rsidRPr="007C412D" w:rsidRDefault="00563880" w:rsidP="007C5AB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7C412D">
              <w:rPr>
                <w:rFonts w:ascii="Times New Roman" w:eastAsia="Times New Roman" w:hAnsi="Times New Roman" w:cs="Times New Roman"/>
              </w:rPr>
              <w:t>Y</w:t>
            </w:r>
          </w:p>
        </w:tc>
        <w:tc>
          <w:tcPr>
            <w:tcW w:w="1999" w:type="dxa"/>
          </w:tcPr>
          <w:p w14:paraId="1CD4356D" w14:textId="77777777" w:rsidR="00563880" w:rsidRPr="007C412D" w:rsidRDefault="00563880" w:rsidP="007C5AB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7C412D">
              <w:rPr>
                <w:rFonts w:ascii="Times New Roman" w:eastAsia="Times New Roman" w:hAnsi="Times New Roman" w:cs="Times New Roman"/>
              </w:rPr>
              <w:t>Y</w:t>
            </w:r>
          </w:p>
        </w:tc>
        <w:tc>
          <w:tcPr>
            <w:tcW w:w="2031" w:type="dxa"/>
          </w:tcPr>
          <w:p w14:paraId="0EF989BD" w14:textId="1D5523B3" w:rsidR="00563880" w:rsidRPr="007C412D" w:rsidRDefault="00563880" w:rsidP="007C5AB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Y</w:t>
            </w:r>
          </w:p>
        </w:tc>
        <w:tc>
          <w:tcPr>
            <w:tcW w:w="1883" w:type="dxa"/>
          </w:tcPr>
          <w:p w14:paraId="4EF3E44A" w14:textId="6F15E69B" w:rsidR="00563880" w:rsidRDefault="00563880" w:rsidP="007C5AB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Y</w:t>
            </w:r>
          </w:p>
        </w:tc>
      </w:tr>
      <w:tr w:rsidR="00563880" w:rsidRPr="007C412D" w14:paraId="4498186E" w14:textId="7D89B7E8" w:rsidTr="00563880">
        <w:trPr>
          <w:cnfStyle w:val="000000100000" w:firstRow="0" w:lastRow="0" w:firstColumn="0" w:lastColumn="0" w:oddVBand="0" w:evenVBand="0" w:oddHBand="1" w:evenHBand="0" w:firstRowFirstColumn="0" w:firstRowLastColumn="0" w:lastRowFirstColumn="0" w:lastRowLastColumn="0"/>
          <w:trHeight w:hRule="exact" w:val="591"/>
        </w:trPr>
        <w:tc>
          <w:tcPr>
            <w:cnfStyle w:val="001000000000" w:firstRow="0" w:lastRow="0" w:firstColumn="1" w:lastColumn="0" w:oddVBand="0" w:evenVBand="0" w:oddHBand="0" w:evenHBand="0" w:firstRowFirstColumn="0" w:firstRowLastColumn="0" w:lastRowFirstColumn="0" w:lastRowLastColumn="0"/>
            <w:tcW w:w="1938" w:type="dxa"/>
          </w:tcPr>
          <w:p w14:paraId="1DEF9E39" w14:textId="77777777" w:rsidR="00563880" w:rsidRPr="00850FBB" w:rsidRDefault="00563880" w:rsidP="007C5AB3">
            <w:pPr>
              <w:rPr>
                <w:rFonts w:ascii="Times New Roman" w:eastAsia="Times New Roman" w:hAnsi="Times New Roman"/>
                <w:sz w:val="22"/>
              </w:rPr>
            </w:pPr>
            <w:r w:rsidRPr="00850FBB">
              <w:rPr>
                <w:rFonts w:ascii="Times New Roman" w:eastAsia="Times New Roman" w:hAnsi="Times New Roman"/>
                <w:sz w:val="22"/>
              </w:rPr>
              <w:t>Intention-to-treat-analysis</w:t>
            </w:r>
          </w:p>
          <w:p w14:paraId="0C95A6A9" w14:textId="77777777" w:rsidR="00563880" w:rsidRPr="00850FBB" w:rsidRDefault="00563880" w:rsidP="007C5AB3">
            <w:pPr>
              <w:rPr>
                <w:rFonts w:ascii="Times New Roman" w:eastAsia="Times New Roman" w:hAnsi="Times New Roman"/>
                <w:sz w:val="22"/>
              </w:rPr>
            </w:pPr>
          </w:p>
        </w:tc>
        <w:tc>
          <w:tcPr>
            <w:tcW w:w="2042" w:type="dxa"/>
          </w:tcPr>
          <w:p w14:paraId="64274C7A" w14:textId="77777777" w:rsidR="00563880" w:rsidRPr="007C412D" w:rsidRDefault="00563880" w:rsidP="007C5AB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7C412D">
              <w:rPr>
                <w:rFonts w:ascii="Times New Roman" w:eastAsia="Times New Roman" w:hAnsi="Times New Roman" w:cs="Times New Roman"/>
              </w:rPr>
              <w:t>N</w:t>
            </w:r>
          </w:p>
        </w:tc>
        <w:tc>
          <w:tcPr>
            <w:tcW w:w="2066" w:type="dxa"/>
          </w:tcPr>
          <w:p w14:paraId="52ADCF2B" w14:textId="77777777" w:rsidR="00563880" w:rsidRPr="007C412D" w:rsidRDefault="00563880" w:rsidP="007C5AB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7C412D">
              <w:rPr>
                <w:rFonts w:ascii="Times New Roman" w:eastAsia="Times New Roman" w:hAnsi="Times New Roman" w:cs="Times New Roman"/>
              </w:rPr>
              <w:t>N</w:t>
            </w:r>
          </w:p>
        </w:tc>
        <w:tc>
          <w:tcPr>
            <w:tcW w:w="1999" w:type="dxa"/>
          </w:tcPr>
          <w:p w14:paraId="70F17F35" w14:textId="77777777" w:rsidR="00563880" w:rsidRPr="007C412D" w:rsidRDefault="00563880" w:rsidP="007C5AB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7C412D">
              <w:rPr>
                <w:rFonts w:ascii="Times New Roman" w:eastAsia="Times New Roman" w:hAnsi="Times New Roman" w:cs="Times New Roman"/>
              </w:rPr>
              <w:t>Y</w:t>
            </w:r>
          </w:p>
        </w:tc>
        <w:tc>
          <w:tcPr>
            <w:tcW w:w="1999" w:type="dxa"/>
          </w:tcPr>
          <w:p w14:paraId="7BAA053E" w14:textId="77777777" w:rsidR="00563880" w:rsidRPr="007C412D" w:rsidRDefault="00563880" w:rsidP="007C5AB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7C412D">
              <w:rPr>
                <w:rFonts w:ascii="Times New Roman" w:eastAsia="Times New Roman" w:hAnsi="Times New Roman" w:cs="Times New Roman"/>
              </w:rPr>
              <w:t>Y</w:t>
            </w:r>
          </w:p>
        </w:tc>
        <w:tc>
          <w:tcPr>
            <w:tcW w:w="2031" w:type="dxa"/>
          </w:tcPr>
          <w:p w14:paraId="439867C2" w14:textId="66475242" w:rsidR="00563880" w:rsidRPr="007C412D" w:rsidRDefault="00563880" w:rsidP="007C5AB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Y</w:t>
            </w:r>
          </w:p>
        </w:tc>
        <w:tc>
          <w:tcPr>
            <w:tcW w:w="1883" w:type="dxa"/>
          </w:tcPr>
          <w:p w14:paraId="276134FF" w14:textId="3D90B42F" w:rsidR="00563880" w:rsidRDefault="00563880" w:rsidP="007C5AB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N</w:t>
            </w:r>
          </w:p>
        </w:tc>
      </w:tr>
      <w:tr w:rsidR="00563880" w:rsidRPr="007C412D" w14:paraId="265EC113" w14:textId="573ADBE6" w:rsidTr="00563880">
        <w:trPr>
          <w:trHeight w:hRule="exact" w:val="591"/>
        </w:trPr>
        <w:tc>
          <w:tcPr>
            <w:cnfStyle w:val="001000000000" w:firstRow="0" w:lastRow="0" w:firstColumn="1" w:lastColumn="0" w:oddVBand="0" w:evenVBand="0" w:oddHBand="0" w:evenHBand="0" w:firstRowFirstColumn="0" w:firstRowLastColumn="0" w:lastRowFirstColumn="0" w:lastRowLastColumn="0"/>
            <w:tcW w:w="1938" w:type="dxa"/>
          </w:tcPr>
          <w:p w14:paraId="19EE0603" w14:textId="77777777" w:rsidR="00563880" w:rsidRPr="00850FBB" w:rsidRDefault="00563880" w:rsidP="007C5AB3">
            <w:pPr>
              <w:rPr>
                <w:rFonts w:ascii="Times New Roman" w:eastAsia="Times New Roman" w:hAnsi="Times New Roman"/>
                <w:sz w:val="22"/>
              </w:rPr>
            </w:pPr>
            <w:r w:rsidRPr="00850FBB">
              <w:rPr>
                <w:rFonts w:ascii="Times New Roman" w:eastAsia="Times New Roman" w:hAnsi="Times New Roman"/>
                <w:sz w:val="22"/>
              </w:rPr>
              <w:t>Between-group comparisons</w:t>
            </w:r>
          </w:p>
          <w:p w14:paraId="5B695098" w14:textId="77777777" w:rsidR="00563880" w:rsidRPr="00850FBB" w:rsidRDefault="00563880" w:rsidP="007C5AB3">
            <w:pPr>
              <w:rPr>
                <w:rFonts w:ascii="Times New Roman" w:eastAsia="Times New Roman" w:hAnsi="Times New Roman"/>
                <w:sz w:val="22"/>
              </w:rPr>
            </w:pPr>
          </w:p>
        </w:tc>
        <w:tc>
          <w:tcPr>
            <w:tcW w:w="2042" w:type="dxa"/>
          </w:tcPr>
          <w:p w14:paraId="7245B733" w14:textId="77777777" w:rsidR="00563880" w:rsidRPr="007C412D" w:rsidRDefault="00563880" w:rsidP="007C5AB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7C412D">
              <w:rPr>
                <w:rFonts w:ascii="Times New Roman" w:eastAsia="Times New Roman" w:hAnsi="Times New Roman" w:cs="Times New Roman"/>
              </w:rPr>
              <w:t>Y</w:t>
            </w:r>
          </w:p>
        </w:tc>
        <w:tc>
          <w:tcPr>
            <w:tcW w:w="2066" w:type="dxa"/>
          </w:tcPr>
          <w:p w14:paraId="77921383" w14:textId="77777777" w:rsidR="00563880" w:rsidRPr="007C412D" w:rsidRDefault="00563880" w:rsidP="007C5AB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7C412D">
              <w:rPr>
                <w:rFonts w:ascii="Times New Roman" w:eastAsia="Times New Roman" w:hAnsi="Times New Roman" w:cs="Times New Roman"/>
              </w:rPr>
              <w:t>Y</w:t>
            </w:r>
          </w:p>
        </w:tc>
        <w:tc>
          <w:tcPr>
            <w:tcW w:w="1999" w:type="dxa"/>
          </w:tcPr>
          <w:p w14:paraId="3A038FB0" w14:textId="77777777" w:rsidR="00563880" w:rsidRPr="007C412D" w:rsidRDefault="00563880" w:rsidP="007C5AB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7C412D">
              <w:rPr>
                <w:rFonts w:ascii="Times New Roman" w:eastAsia="Times New Roman" w:hAnsi="Times New Roman" w:cs="Times New Roman"/>
              </w:rPr>
              <w:t>Y</w:t>
            </w:r>
          </w:p>
        </w:tc>
        <w:tc>
          <w:tcPr>
            <w:tcW w:w="1999" w:type="dxa"/>
          </w:tcPr>
          <w:p w14:paraId="35AC1999" w14:textId="77777777" w:rsidR="00563880" w:rsidRPr="007C412D" w:rsidRDefault="00563880" w:rsidP="007C5AB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7C412D">
              <w:rPr>
                <w:rFonts w:ascii="Times New Roman" w:eastAsia="Times New Roman" w:hAnsi="Times New Roman" w:cs="Times New Roman"/>
              </w:rPr>
              <w:t>Y</w:t>
            </w:r>
          </w:p>
        </w:tc>
        <w:tc>
          <w:tcPr>
            <w:tcW w:w="2031" w:type="dxa"/>
          </w:tcPr>
          <w:p w14:paraId="200D0740" w14:textId="592B8BB6" w:rsidR="00563880" w:rsidRPr="007C412D" w:rsidRDefault="00563880" w:rsidP="007C5AB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Y</w:t>
            </w:r>
          </w:p>
        </w:tc>
        <w:tc>
          <w:tcPr>
            <w:tcW w:w="1883" w:type="dxa"/>
          </w:tcPr>
          <w:p w14:paraId="0812E86A" w14:textId="7CEB0BB5" w:rsidR="00563880" w:rsidRDefault="00563880" w:rsidP="007C5AB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Y</w:t>
            </w:r>
          </w:p>
        </w:tc>
      </w:tr>
      <w:tr w:rsidR="00563880" w:rsidRPr="007C412D" w14:paraId="42640955" w14:textId="586AE686" w:rsidTr="00563880">
        <w:trPr>
          <w:cnfStyle w:val="000000100000" w:firstRow="0" w:lastRow="0" w:firstColumn="0" w:lastColumn="0" w:oddVBand="0" w:evenVBand="0" w:oddHBand="1" w:evenHBand="0" w:firstRowFirstColumn="0" w:firstRowLastColumn="0" w:lastRowFirstColumn="0" w:lastRowLastColumn="0"/>
          <w:trHeight w:hRule="exact" w:val="591"/>
        </w:trPr>
        <w:tc>
          <w:tcPr>
            <w:cnfStyle w:val="001000000000" w:firstRow="0" w:lastRow="0" w:firstColumn="1" w:lastColumn="0" w:oddVBand="0" w:evenVBand="0" w:oddHBand="0" w:evenHBand="0" w:firstRowFirstColumn="0" w:firstRowLastColumn="0" w:lastRowFirstColumn="0" w:lastRowLastColumn="0"/>
            <w:tcW w:w="1938" w:type="dxa"/>
          </w:tcPr>
          <w:p w14:paraId="1C21BC1D" w14:textId="77777777" w:rsidR="00563880" w:rsidRPr="00850FBB" w:rsidRDefault="00563880" w:rsidP="007C5AB3">
            <w:pPr>
              <w:rPr>
                <w:rFonts w:ascii="Times New Roman" w:eastAsia="Times New Roman" w:hAnsi="Times New Roman"/>
                <w:sz w:val="22"/>
              </w:rPr>
            </w:pPr>
            <w:r w:rsidRPr="00850FBB">
              <w:rPr>
                <w:rFonts w:ascii="Times New Roman" w:eastAsia="Times New Roman" w:hAnsi="Times New Roman"/>
                <w:sz w:val="22"/>
              </w:rPr>
              <w:t>Point estimates and variability</w:t>
            </w:r>
          </w:p>
          <w:p w14:paraId="553A5F94" w14:textId="77777777" w:rsidR="00563880" w:rsidRPr="00850FBB" w:rsidRDefault="00563880" w:rsidP="007C5AB3">
            <w:pPr>
              <w:rPr>
                <w:rFonts w:ascii="Times New Roman" w:eastAsia="Times New Roman" w:hAnsi="Times New Roman"/>
                <w:sz w:val="22"/>
              </w:rPr>
            </w:pPr>
            <w:r w:rsidRPr="00850FBB">
              <w:rPr>
                <w:rFonts w:ascii="Times New Roman" w:eastAsia="Times New Roman" w:hAnsi="Times New Roman"/>
                <w:sz w:val="22"/>
              </w:rPr>
              <w:t xml:space="preserve"> </w:t>
            </w:r>
          </w:p>
        </w:tc>
        <w:tc>
          <w:tcPr>
            <w:tcW w:w="2042" w:type="dxa"/>
          </w:tcPr>
          <w:p w14:paraId="3B718FB3" w14:textId="77777777" w:rsidR="00563880" w:rsidRPr="007C412D" w:rsidRDefault="00563880" w:rsidP="007C5AB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7C412D">
              <w:rPr>
                <w:rFonts w:ascii="Times New Roman" w:eastAsia="Times New Roman" w:hAnsi="Times New Roman" w:cs="Times New Roman"/>
              </w:rPr>
              <w:t>Y</w:t>
            </w:r>
          </w:p>
        </w:tc>
        <w:tc>
          <w:tcPr>
            <w:tcW w:w="2066" w:type="dxa"/>
          </w:tcPr>
          <w:p w14:paraId="0EA2A531" w14:textId="77777777" w:rsidR="00563880" w:rsidRPr="007C412D" w:rsidRDefault="00563880" w:rsidP="007C5AB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7C412D">
              <w:rPr>
                <w:rFonts w:ascii="Times New Roman" w:eastAsia="Times New Roman" w:hAnsi="Times New Roman" w:cs="Times New Roman"/>
              </w:rPr>
              <w:t>Y</w:t>
            </w:r>
          </w:p>
        </w:tc>
        <w:tc>
          <w:tcPr>
            <w:tcW w:w="1999" w:type="dxa"/>
          </w:tcPr>
          <w:p w14:paraId="10A7F024" w14:textId="77777777" w:rsidR="00563880" w:rsidRPr="007C412D" w:rsidRDefault="00563880" w:rsidP="007C5AB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7C412D">
              <w:rPr>
                <w:rFonts w:ascii="Times New Roman" w:eastAsia="Times New Roman" w:hAnsi="Times New Roman" w:cs="Times New Roman"/>
              </w:rPr>
              <w:t>Y</w:t>
            </w:r>
          </w:p>
        </w:tc>
        <w:tc>
          <w:tcPr>
            <w:tcW w:w="1999" w:type="dxa"/>
          </w:tcPr>
          <w:p w14:paraId="15B4566B" w14:textId="77777777" w:rsidR="00563880" w:rsidRPr="007C412D" w:rsidRDefault="00563880" w:rsidP="007C5AB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7C412D">
              <w:rPr>
                <w:rFonts w:ascii="Times New Roman" w:eastAsia="Times New Roman" w:hAnsi="Times New Roman" w:cs="Times New Roman"/>
              </w:rPr>
              <w:t>Y</w:t>
            </w:r>
          </w:p>
        </w:tc>
        <w:tc>
          <w:tcPr>
            <w:tcW w:w="2031" w:type="dxa"/>
          </w:tcPr>
          <w:p w14:paraId="43E223E3" w14:textId="769BA7DF" w:rsidR="00563880" w:rsidRPr="007C412D" w:rsidRDefault="00563880" w:rsidP="007C5AB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Y</w:t>
            </w:r>
          </w:p>
        </w:tc>
        <w:tc>
          <w:tcPr>
            <w:tcW w:w="1883" w:type="dxa"/>
          </w:tcPr>
          <w:p w14:paraId="181A8F7A" w14:textId="602D1BCF" w:rsidR="00563880" w:rsidRDefault="00563880" w:rsidP="007C5AB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Y</w:t>
            </w:r>
          </w:p>
        </w:tc>
      </w:tr>
      <w:tr w:rsidR="00563880" w:rsidRPr="007C412D" w14:paraId="0771E9D5" w14:textId="4DFF0B45" w:rsidTr="00563880">
        <w:trPr>
          <w:trHeight w:hRule="exact" w:val="591"/>
        </w:trPr>
        <w:tc>
          <w:tcPr>
            <w:cnfStyle w:val="001000000000" w:firstRow="0" w:lastRow="0" w:firstColumn="1" w:lastColumn="0" w:oddVBand="0" w:evenVBand="0" w:oddHBand="0" w:evenHBand="0" w:firstRowFirstColumn="0" w:firstRowLastColumn="0" w:lastRowFirstColumn="0" w:lastRowLastColumn="0"/>
            <w:tcW w:w="1938" w:type="dxa"/>
          </w:tcPr>
          <w:p w14:paraId="12C6E024" w14:textId="77777777" w:rsidR="00563880" w:rsidRPr="007C412D" w:rsidRDefault="00563880" w:rsidP="007C5AB3">
            <w:pPr>
              <w:rPr>
                <w:rFonts w:ascii="Times New Roman" w:eastAsia="Times New Roman" w:hAnsi="Times New Roman"/>
                <w:b/>
                <w:sz w:val="24"/>
              </w:rPr>
            </w:pPr>
            <w:r w:rsidRPr="007C412D">
              <w:rPr>
                <w:rFonts w:ascii="Times New Roman" w:eastAsia="Times New Roman" w:hAnsi="Times New Roman"/>
                <w:b/>
                <w:sz w:val="24"/>
              </w:rPr>
              <w:t xml:space="preserve">Total score </w:t>
            </w:r>
          </w:p>
        </w:tc>
        <w:tc>
          <w:tcPr>
            <w:tcW w:w="2042" w:type="dxa"/>
          </w:tcPr>
          <w:p w14:paraId="72918BE2" w14:textId="4CC36516" w:rsidR="00563880" w:rsidRPr="007C412D" w:rsidRDefault="00690B65" w:rsidP="007C5AB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7</w:t>
            </w:r>
          </w:p>
        </w:tc>
        <w:tc>
          <w:tcPr>
            <w:tcW w:w="2066" w:type="dxa"/>
          </w:tcPr>
          <w:p w14:paraId="54B04FE4" w14:textId="398603E7" w:rsidR="00563880" w:rsidRPr="007C412D" w:rsidRDefault="00690B65" w:rsidP="007C5AB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6</w:t>
            </w:r>
          </w:p>
        </w:tc>
        <w:tc>
          <w:tcPr>
            <w:tcW w:w="1999" w:type="dxa"/>
          </w:tcPr>
          <w:p w14:paraId="0AF5C229" w14:textId="5D22C9ED" w:rsidR="00563880" w:rsidRPr="007C412D" w:rsidRDefault="00690B65" w:rsidP="007C5AB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9</w:t>
            </w:r>
          </w:p>
        </w:tc>
        <w:tc>
          <w:tcPr>
            <w:tcW w:w="1999" w:type="dxa"/>
          </w:tcPr>
          <w:p w14:paraId="11265AB1" w14:textId="6FCF5CA6" w:rsidR="00563880" w:rsidRPr="007C412D" w:rsidRDefault="00690B65" w:rsidP="007C5AB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9</w:t>
            </w:r>
          </w:p>
        </w:tc>
        <w:tc>
          <w:tcPr>
            <w:tcW w:w="2031" w:type="dxa"/>
          </w:tcPr>
          <w:p w14:paraId="4DD67EBD" w14:textId="4C83FF49" w:rsidR="00563880" w:rsidRPr="007C412D" w:rsidRDefault="00563880" w:rsidP="007C5AB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7</w:t>
            </w:r>
          </w:p>
        </w:tc>
        <w:tc>
          <w:tcPr>
            <w:tcW w:w="1883" w:type="dxa"/>
          </w:tcPr>
          <w:p w14:paraId="4C6028A3" w14:textId="0AA82280" w:rsidR="00563880" w:rsidRDefault="00563880" w:rsidP="007C5AB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8</w:t>
            </w:r>
          </w:p>
        </w:tc>
      </w:tr>
    </w:tbl>
    <w:p w14:paraId="64376C4F" w14:textId="4FE4E7CB" w:rsidR="007C412D" w:rsidRPr="007C412D" w:rsidRDefault="007C412D" w:rsidP="00732087">
      <w:pPr>
        <w:spacing w:after="0" w:line="240" w:lineRule="auto"/>
        <w:rPr>
          <w:rFonts w:ascii="Times New Roman" w:eastAsia="Times New Roman" w:hAnsi="Times New Roman" w:cs="Times New Roman"/>
          <w:b/>
          <w:sz w:val="24"/>
          <w:szCs w:val="24"/>
          <w:lang w:eastAsia="ja-JP"/>
        </w:rPr>
      </w:pPr>
    </w:p>
    <w:p w14:paraId="1091D420" w14:textId="50A6602F" w:rsidR="00EE14D3" w:rsidRDefault="007C412D" w:rsidP="007C412D">
      <w:r w:rsidRPr="007C412D">
        <w:rPr>
          <w:rFonts w:ascii="Times New Roman" w:eastAsia="Times New Roman" w:hAnsi="Times New Roman" w:cs="Times New Roman"/>
          <w:b/>
          <w:szCs w:val="24"/>
          <w:lang w:eastAsia="ja-JP"/>
        </w:rPr>
        <w:t>N = No, Y= Yes</w:t>
      </w:r>
    </w:p>
    <w:sectPr w:rsidR="00EE14D3" w:rsidSect="007C412D">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12D"/>
    <w:rsid w:val="00163FF2"/>
    <w:rsid w:val="001A3D5E"/>
    <w:rsid w:val="0028207E"/>
    <w:rsid w:val="002E17E3"/>
    <w:rsid w:val="00324096"/>
    <w:rsid w:val="00563880"/>
    <w:rsid w:val="00622531"/>
    <w:rsid w:val="00690B65"/>
    <w:rsid w:val="00697C74"/>
    <w:rsid w:val="00732087"/>
    <w:rsid w:val="007C412D"/>
    <w:rsid w:val="00850FBB"/>
    <w:rsid w:val="0087379A"/>
    <w:rsid w:val="00D8024C"/>
    <w:rsid w:val="00E54A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1B7D1"/>
  <w15:chartTrackingRefBased/>
  <w15:docId w15:val="{A254F271-ADC6-4BA2-B6AB-D849BA8EA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PlainTable51">
    <w:name w:val="Plain Table 51"/>
    <w:basedOn w:val="TableNormal"/>
    <w:next w:val="PlainTable5"/>
    <w:uiPriority w:val="45"/>
    <w:rsid w:val="007C412D"/>
    <w:pPr>
      <w:spacing w:after="0" w:line="240" w:lineRule="auto"/>
    </w:pPr>
    <w:rPr>
      <w:rFonts w:eastAsia="Yu Mincho"/>
      <w:sz w:val="24"/>
      <w:szCs w:val="24"/>
      <w:lang w:eastAsia="ja-JP"/>
    </w:rPr>
    <w:tblPr>
      <w:tblStyleRowBandSize w:val="1"/>
      <w:tblStyleColBandSize w:val="1"/>
    </w:tblPr>
    <w:tblStylePr w:type="firstRow">
      <w:rPr>
        <w:rFonts w:ascii="Calibri Light" w:eastAsia="Yu Gothic Light" w:hAnsi="Calibri Light" w:cs="Times New Roman"/>
        <w:i/>
        <w:iCs/>
        <w:sz w:val="26"/>
      </w:rPr>
      <w:tblPr/>
      <w:tcPr>
        <w:tcBorders>
          <w:bottom w:val="single" w:sz="4" w:space="0" w:color="7F7F7F"/>
        </w:tcBorders>
        <w:shd w:val="clear" w:color="auto" w:fill="FFFFFF"/>
      </w:tcPr>
    </w:tblStylePr>
    <w:tblStylePr w:type="lastRow">
      <w:rPr>
        <w:rFonts w:ascii="Calibri Light" w:eastAsia="Yu Gothic Light"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Times New Roman"/>
        <w:i/>
        <w:iCs/>
        <w:sz w:val="26"/>
      </w:rPr>
      <w:tblPr/>
      <w:tcPr>
        <w:tcBorders>
          <w:right w:val="single" w:sz="4" w:space="0" w:color="7F7F7F"/>
        </w:tcBorders>
        <w:shd w:val="clear" w:color="auto" w:fill="FFFFFF"/>
      </w:tcPr>
    </w:tblStylePr>
    <w:tblStylePr w:type="lastCol">
      <w:rPr>
        <w:rFonts w:ascii="Calibri Light" w:eastAsia="Yu Gothic Light"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5">
    <w:name w:val="Plain Table 5"/>
    <w:basedOn w:val="TableNormal"/>
    <w:uiPriority w:val="45"/>
    <w:rsid w:val="007C412D"/>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3958</Words>
  <Characters>22565</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Gem Pugh</dc:creator>
  <cp:keywords/>
  <dc:description/>
  <cp:lastModifiedBy>Nonoka Ito</cp:lastModifiedBy>
  <cp:revision>12</cp:revision>
  <dcterms:created xsi:type="dcterms:W3CDTF">2020-10-22T15:18:00Z</dcterms:created>
  <dcterms:modified xsi:type="dcterms:W3CDTF">2020-11-06T21:11:00Z</dcterms:modified>
</cp:coreProperties>
</file>