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3BF3" w:rsidRPr="00AA6175" w:rsidRDefault="004B3BF3" w:rsidP="00AA6175">
      <w:pPr>
        <w:pStyle w:val="Titre1"/>
      </w:pPr>
      <w:r w:rsidRPr="00AA6175">
        <w:t>Complex movement disorder in a patient with heteroz</w:t>
      </w:r>
      <w:r w:rsidR="009704AA">
        <w:t xml:space="preserve">ygous YY1 mutation (Gabriele-de </w:t>
      </w:r>
      <w:r w:rsidRPr="00AA6175">
        <w:t>Vries syndrome)</w:t>
      </w:r>
    </w:p>
    <w:p w:rsidR="004B3BF3" w:rsidRPr="00507909" w:rsidRDefault="004B3BF3" w:rsidP="004B3BF3">
      <w:pPr>
        <w:spacing w:after="0" w:line="360" w:lineRule="auto"/>
        <w:jc w:val="both"/>
        <w:rPr>
          <w:b/>
          <w:bCs/>
          <w:iCs/>
          <w:lang w:val="en-US"/>
        </w:rPr>
      </w:pPr>
    </w:p>
    <w:p w:rsidR="004B3BF3" w:rsidRPr="00041558" w:rsidRDefault="004B3BF3" w:rsidP="004B3BF3">
      <w:pPr>
        <w:spacing w:after="0" w:line="360" w:lineRule="auto"/>
        <w:jc w:val="both"/>
        <w:rPr>
          <w:bCs/>
          <w:iCs/>
          <w:vertAlign w:val="superscript"/>
          <w:lang w:val="en-US"/>
        </w:rPr>
      </w:pPr>
      <w:r>
        <w:rPr>
          <w:lang w:val="en-US"/>
        </w:rPr>
        <w:t>Maria Carminho</w:t>
      </w:r>
      <w:r w:rsidRPr="00041558">
        <w:rPr>
          <w:lang w:val="en-US"/>
        </w:rPr>
        <w:t xml:space="preserve"> MD</w:t>
      </w:r>
      <w:r w:rsidRPr="00041558">
        <w:rPr>
          <w:vertAlign w:val="superscript"/>
          <w:lang w:val="en-US"/>
        </w:rPr>
        <w:t>1</w:t>
      </w:r>
      <w:r w:rsidRPr="00041558">
        <w:rPr>
          <w:lang w:val="en-US"/>
        </w:rPr>
        <w:t xml:space="preserve">, </w:t>
      </w:r>
      <w:r>
        <w:rPr>
          <w:lang w:val="en-US"/>
        </w:rPr>
        <w:t>Dora Steel BMBCh</w:t>
      </w:r>
      <w:r>
        <w:rPr>
          <w:vertAlign w:val="superscript"/>
          <w:lang w:val="en-US"/>
        </w:rPr>
        <w:t>2</w:t>
      </w:r>
      <w:r>
        <w:rPr>
          <w:lang w:val="en-US"/>
        </w:rPr>
        <w:t>, Sergio B. Sousa MD</w:t>
      </w:r>
      <w:r>
        <w:rPr>
          <w:vertAlign w:val="superscript"/>
          <w:lang w:val="en-US"/>
        </w:rPr>
        <w:t>3</w:t>
      </w:r>
      <w:r w:rsidRPr="00041558">
        <w:rPr>
          <w:lang w:val="en-US"/>
        </w:rPr>
        <w:t xml:space="preserve">, </w:t>
      </w:r>
      <w:r>
        <w:rPr>
          <w:lang w:val="en-US"/>
        </w:rPr>
        <w:t>Gregor Brandt MD</w:t>
      </w:r>
      <w:r>
        <w:rPr>
          <w:vertAlign w:val="superscript"/>
          <w:lang w:val="en-US"/>
        </w:rPr>
        <w:t>4</w:t>
      </w:r>
      <w:r>
        <w:rPr>
          <w:lang w:val="en-US"/>
        </w:rPr>
        <w:t>, Michel Guipponi</w:t>
      </w:r>
      <w:r w:rsidRPr="00874AAC">
        <w:rPr>
          <w:lang w:val="en-US"/>
        </w:rPr>
        <w:t xml:space="preserve"> </w:t>
      </w:r>
      <w:r>
        <w:rPr>
          <w:lang w:val="en-US"/>
        </w:rPr>
        <w:t>Ph</w:t>
      </w:r>
      <w:r w:rsidRPr="00041558">
        <w:rPr>
          <w:lang w:val="en-US"/>
        </w:rPr>
        <w:t>D</w:t>
      </w:r>
      <w:r>
        <w:rPr>
          <w:vertAlign w:val="superscript"/>
          <w:lang w:val="en-US"/>
        </w:rPr>
        <w:t>1</w:t>
      </w:r>
      <w:r w:rsidRPr="00041558">
        <w:rPr>
          <w:lang w:val="en-US"/>
        </w:rPr>
        <w:t>,</w:t>
      </w:r>
      <w:r>
        <w:rPr>
          <w:lang w:val="en-US"/>
        </w:rPr>
        <w:t xml:space="preserve"> Sacha Laurent</w:t>
      </w:r>
      <w:r w:rsidRPr="00874AAC">
        <w:rPr>
          <w:lang w:val="en-US"/>
        </w:rPr>
        <w:t xml:space="preserve"> </w:t>
      </w:r>
      <w:r>
        <w:rPr>
          <w:lang w:val="en-US"/>
        </w:rPr>
        <w:t>Ph</w:t>
      </w:r>
      <w:r w:rsidRPr="00041558">
        <w:rPr>
          <w:lang w:val="en-US"/>
        </w:rPr>
        <w:t>D</w:t>
      </w:r>
      <w:r>
        <w:rPr>
          <w:vertAlign w:val="superscript"/>
          <w:lang w:val="en-US"/>
        </w:rPr>
        <w:t>1</w:t>
      </w:r>
      <w:r w:rsidRPr="00041558">
        <w:rPr>
          <w:lang w:val="en-US"/>
        </w:rPr>
        <w:t>,</w:t>
      </w:r>
      <w:r>
        <w:rPr>
          <w:lang w:val="en-US"/>
        </w:rPr>
        <w:t xml:space="preserve"> Siv Fokstuen </w:t>
      </w:r>
      <w:r w:rsidRPr="00041558">
        <w:rPr>
          <w:lang w:val="en-US"/>
        </w:rPr>
        <w:t>MD</w:t>
      </w:r>
      <w:r>
        <w:rPr>
          <w:vertAlign w:val="superscript"/>
          <w:lang w:val="en-US"/>
        </w:rPr>
        <w:t>1</w:t>
      </w:r>
      <w:r>
        <w:rPr>
          <w:lang w:val="en-US"/>
        </w:rPr>
        <w:t xml:space="preserve">, Aurea Moren </w:t>
      </w:r>
      <w:r w:rsidRPr="00041558">
        <w:rPr>
          <w:lang w:val="en-US"/>
        </w:rPr>
        <w:t>MD</w:t>
      </w:r>
      <w:r>
        <w:rPr>
          <w:vertAlign w:val="superscript"/>
          <w:lang w:val="en-US"/>
        </w:rPr>
        <w:t>5</w:t>
      </w:r>
      <w:r w:rsidRPr="00041558">
        <w:rPr>
          <w:lang w:val="en-US"/>
        </w:rPr>
        <w:t>,</w:t>
      </w:r>
      <w:r w:rsidRPr="00874AAC">
        <w:rPr>
          <w:lang w:val="en-US"/>
        </w:rPr>
        <w:t xml:space="preserve"> </w:t>
      </w:r>
      <w:r>
        <w:rPr>
          <w:lang w:val="en-US"/>
        </w:rPr>
        <w:t xml:space="preserve">André Zacharia </w:t>
      </w:r>
      <w:r w:rsidRPr="00041558">
        <w:rPr>
          <w:lang w:val="en-US"/>
        </w:rPr>
        <w:t>MD</w:t>
      </w:r>
      <w:r>
        <w:rPr>
          <w:vertAlign w:val="superscript"/>
          <w:lang w:val="en-US"/>
        </w:rPr>
        <w:t>5</w:t>
      </w:r>
      <w:r w:rsidRPr="00041558">
        <w:rPr>
          <w:lang w:val="en-US"/>
        </w:rPr>
        <w:t>,</w:t>
      </w:r>
      <w:r>
        <w:rPr>
          <w:lang w:val="en-US"/>
        </w:rPr>
        <w:t xml:space="preserve"> Elisabeth Dirren </w:t>
      </w:r>
      <w:r w:rsidRPr="00041558">
        <w:rPr>
          <w:lang w:val="en-US"/>
        </w:rPr>
        <w:t>MD</w:t>
      </w:r>
      <w:r>
        <w:rPr>
          <w:vertAlign w:val="superscript"/>
          <w:lang w:val="en-US"/>
        </w:rPr>
        <w:t>5</w:t>
      </w:r>
      <w:r w:rsidRPr="00041558">
        <w:rPr>
          <w:lang w:val="en-US"/>
        </w:rPr>
        <w:t>,</w:t>
      </w:r>
      <w:r w:rsidRPr="00874AAC">
        <w:rPr>
          <w:lang w:val="en-US"/>
        </w:rPr>
        <w:t xml:space="preserve"> </w:t>
      </w:r>
      <w:r w:rsidRPr="004A0751">
        <w:rPr>
          <w:lang w:val="en-US"/>
        </w:rPr>
        <w:t>Renata Oliveira,</w:t>
      </w:r>
      <w:r w:rsidRPr="00874AAC">
        <w:rPr>
          <w:lang w:val="en-US"/>
        </w:rPr>
        <w:t xml:space="preserve"> </w:t>
      </w:r>
      <w:r>
        <w:rPr>
          <w:lang w:val="en-US"/>
        </w:rPr>
        <w:t>MD</w:t>
      </w:r>
      <w:r w:rsidRPr="00AF7C11">
        <w:rPr>
          <w:vertAlign w:val="superscript"/>
          <w:lang w:val="en-US"/>
        </w:rPr>
        <w:t>6</w:t>
      </w:r>
      <w:r>
        <w:rPr>
          <w:lang w:val="en-US"/>
        </w:rPr>
        <w:t>, Manju A. Kurian PhD</w:t>
      </w:r>
      <w:r>
        <w:rPr>
          <w:vertAlign w:val="superscript"/>
          <w:lang w:val="en-US"/>
        </w:rPr>
        <w:t>2</w:t>
      </w:r>
      <w:r w:rsidRPr="00041558">
        <w:rPr>
          <w:lang w:val="en-US"/>
        </w:rPr>
        <w:t xml:space="preserve">, </w:t>
      </w:r>
      <w:r>
        <w:rPr>
          <w:lang w:val="en-US"/>
        </w:rPr>
        <w:t>Pierre R. Burkhard</w:t>
      </w:r>
      <w:r w:rsidRPr="00041558">
        <w:rPr>
          <w:lang w:val="en-US"/>
        </w:rPr>
        <w:t xml:space="preserve"> MD</w:t>
      </w:r>
      <w:r>
        <w:rPr>
          <w:vertAlign w:val="superscript"/>
          <w:lang w:val="en-US"/>
        </w:rPr>
        <w:t>5</w:t>
      </w:r>
      <w:r w:rsidRPr="00041558">
        <w:rPr>
          <w:lang w:val="en-US"/>
        </w:rPr>
        <w:t xml:space="preserve">, </w:t>
      </w:r>
      <w:r>
        <w:rPr>
          <w:bCs/>
          <w:iCs/>
          <w:lang w:val="en-US"/>
        </w:rPr>
        <w:t>Julien F.</w:t>
      </w:r>
      <w:r w:rsidRPr="00041558">
        <w:rPr>
          <w:b/>
          <w:bCs/>
          <w:iCs/>
          <w:lang w:val="en-US"/>
        </w:rPr>
        <w:t xml:space="preserve"> </w:t>
      </w:r>
      <w:r w:rsidRPr="00041558">
        <w:rPr>
          <w:lang w:val="en-US"/>
        </w:rPr>
        <w:t>Bally MD</w:t>
      </w:r>
    </w:p>
    <w:p w:rsidR="004B3BF3" w:rsidRPr="00507909" w:rsidRDefault="004B3BF3" w:rsidP="004B3BF3">
      <w:pPr>
        <w:spacing w:after="0" w:line="360" w:lineRule="auto"/>
        <w:jc w:val="both"/>
        <w:rPr>
          <w:lang w:val="en-US"/>
        </w:rPr>
      </w:pPr>
      <w:r w:rsidRPr="00507909">
        <w:rPr>
          <w:bCs/>
          <w:iCs/>
          <w:vertAlign w:val="superscript"/>
          <w:lang w:val="en-US"/>
        </w:rPr>
        <w:t>1</w:t>
      </w:r>
      <w:r w:rsidRPr="00507909">
        <w:rPr>
          <w:lang w:val="en-US"/>
        </w:rPr>
        <w:t xml:space="preserve">Department of </w:t>
      </w:r>
      <w:r>
        <w:rPr>
          <w:lang w:val="en-US"/>
        </w:rPr>
        <w:t>Genetics</w:t>
      </w:r>
      <w:r w:rsidRPr="00507909">
        <w:rPr>
          <w:lang w:val="en-US"/>
        </w:rPr>
        <w:t>, University of Geneva &amp; University Hospitals of Geneva, Geneva, Switzerland</w:t>
      </w:r>
    </w:p>
    <w:p w:rsidR="004B3BF3" w:rsidRPr="00C30BC5" w:rsidRDefault="004B3BF3" w:rsidP="004B3BF3">
      <w:pPr>
        <w:spacing w:after="0" w:line="360" w:lineRule="auto"/>
        <w:jc w:val="both"/>
        <w:rPr>
          <w:lang w:val="en-US"/>
        </w:rPr>
      </w:pPr>
      <w:r w:rsidRPr="00C30BC5">
        <w:rPr>
          <w:vertAlign w:val="superscript"/>
          <w:lang w:val="en-US"/>
        </w:rPr>
        <w:t>2</w:t>
      </w:r>
      <w:r w:rsidRPr="00C30BC5">
        <w:rPr>
          <w:lang w:val="en-US"/>
        </w:rPr>
        <w:t>UCL Great Ormond Street Institute of Child Health, London, UK</w:t>
      </w:r>
    </w:p>
    <w:p w:rsidR="004B3BF3" w:rsidRPr="008E64BE" w:rsidRDefault="004B3BF3" w:rsidP="004B3BF3">
      <w:pPr>
        <w:spacing w:after="0" w:line="360" w:lineRule="auto"/>
        <w:jc w:val="both"/>
        <w:rPr>
          <w:lang w:val="pt-PT"/>
        </w:rPr>
      </w:pPr>
      <w:r w:rsidRPr="001620AE">
        <w:rPr>
          <w:vertAlign w:val="superscript"/>
          <w:lang w:val="pt-PT"/>
        </w:rPr>
        <w:t>3</w:t>
      </w:r>
      <w:r w:rsidRPr="008E64BE">
        <w:rPr>
          <w:lang w:val="pt-PT"/>
        </w:rPr>
        <w:t xml:space="preserve"> Medical Genetics Unit, Hospital Pediátrico, Centro Hospitalar e Universitário de Coimbra (CHUC), Portugal</w:t>
      </w:r>
    </w:p>
    <w:p w:rsidR="004B3BF3" w:rsidRPr="008E64BE" w:rsidRDefault="004B3BF3" w:rsidP="004B3BF3">
      <w:pPr>
        <w:spacing w:after="0" w:line="360" w:lineRule="auto"/>
        <w:jc w:val="both"/>
        <w:rPr>
          <w:lang w:val="de-DE"/>
        </w:rPr>
      </w:pPr>
      <w:r w:rsidRPr="001620AE">
        <w:rPr>
          <w:lang w:val="pt-PT"/>
        </w:rPr>
        <w:t xml:space="preserve"> </w:t>
      </w:r>
      <w:r w:rsidRPr="008E64BE">
        <w:rPr>
          <w:vertAlign w:val="superscript"/>
          <w:lang w:val="de-DE"/>
        </w:rPr>
        <w:t>4</w:t>
      </w:r>
      <w:r w:rsidRPr="008E64BE">
        <w:rPr>
          <w:lang w:val="de-DE"/>
        </w:rPr>
        <w:t> Klinik und Poliklinik des Universitätsklinikums Würzburg, Würzburg, Deutschland</w:t>
      </w:r>
    </w:p>
    <w:p w:rsidR="004B3BF3" w:rsidRPr="008E64BE" w:rsidRDefault="004B3BF3" w:rsidP="004B3BF3">
      <w:pPr>
        <w:spacing w:after="0" w:line="360" w:lineRule="auto"/>
        <w:jc w:val="both"/>
        <w:rPr>
          <w:lang w:val="en-US"/>
        </w:rPr>
      </w:pPr>
      <w:r w:rsidRPr="008E64BE">
        <w:rPr>
          <w:vertAlign w:val="superscript"/>
          <w:lang w:val="en-US"/>
        </w:rPr>
        <w:t>5</w:t>
      </w:r>
      <w:r w:rsidRPr="008E64BE">
        <w:rPr>
          <w:lang w:val="en-US"/>
        </w:rPr>
        <w:t>Department of Neurology, University of Geneva &amp; University Hospitals of Geneva, Geneva, Switzerland</w:t>
      </w:r>
    </w:p>
    <w:p w:rsidR="004B3BF3" w:rsidRPr="008E64BE" w:rsidRDefault="004B3BF3" w:rsidP="004B3BF3">
      <w:pPr>
        <w:spacing w:after="0" w:line="360" w:lineRule="auto"/>
        <w:jc w:val="both"/>
        <w:rPr>
          <w:lang w:val="pt-PT"/>
        </w:rPr>
      </w:pPr>
      <w:r w:rsidRPr="001620AE">
        <w:rPr>
          <w:lang w:val="pt-PT"/>
        </w:rPr>
        <w:t xml:space="preserve">6 </w:t>
      </w:r>
      <w:r w:rsidRPr="008E64BE">
        <w:rPr>
          <w:lang w:val="pt-PT"/>
        </w:rPr>
        <w:t>Medical Genetics Unit, Centro Hospitalar e Universitário de São João, Porto,  Portugal, former worker at Medical Genetics Unit, Hospital Pediátrico, Centro Hospitalar e Universitário de Coimbra (CHUC), Portugal</w:t>
      </w:r>
    </w:p>
    <w:p w:rsidR="004B3BF3" w:rsidRDefault="004B3BF3" w:rsidP="00102999">
      <w:pPr>
        <w:autoSpaceDE w:val="0"/>
        <w:autoSpaceDN w:val="0"/>
        <w:adjustRightInd w:val="0"/>
        <w:spacing w:after="0" w:line="360" w:lineRule="auto"/>
        <w:jc w:val="both"/>
        <w:rPr>
          <w:rFonts w:ascii="Calibri" w:hAnsi="Calibri"/>
          <w:lang w:val="pt-PT"/>
        </w:rPr>
      </w:pPr>
    </w:p>
    <w:p w:rsidR="00510BA8" w:rsidRPr="001620AE" w:rsidRDefault="00510BA8" w:rsidP="00102999">
      <w:pPr>
        <w:autoSpaceDE w:val="0"/>
        <w:autoSpaceDN w:val="0"/>
        <w:adjustRightInd w:val="0"/>
        <w:spacing w:after="0" w:line="360" w:lineRule="auto"/>
        <w:jc w:val="both"/>
        <w:rPr>
          <w:rFonts w:ascii="Arial" w:hAnsi="Arial" w:cs="Arial"/>
          <w:sz w:val="20"/>
          <w:szCs w:val="20"/>
          <w:lang w:val="pt-PT"/>
        </w:rPr>
      </w:pPr>
    </w:p>
    <w:tbl>
      <w:tblPr>
        <w:tblW w:w="5000" w:type="pct"/>
        <w:tblLook w:val="0600" w:firstRow="0" w:lastRow="0" w:firstColumn="0" w:lastColumn="0" w:noHBand="1" w:noVBand="1"/>
      </w:tblPr>
      <w:tblGrid>
        <w:gridCol w:w="9070"/>
      </w:tblGrid>
      <w:tr w:rsidR="00D75D34" w:rsidRPr="00E3537B" w:rsidTr="00FD35FE">
        <w:trPr>
          <w:trHeight w:val="252"/>
        </w:trPr>
        <w:tc>
          <w:tcPr>
            <w:tcW w:w="5000" w:type="pct"/>
            <w:shd w:val="clear" w:color="auto" w:fill="auto"/>
          </w:tcPr>
          <w:p w:rsidR="00D75D34" w:rsidRPr="00564123" w:rsidRDefault="00D75D34" w:rsidP="005501C0">
            <w:pPr>
              <w:spacing w:after="0" w:line="360" w:lineRule="auto"/>
              <w:jc w:val="both"/>
              <w:rPr>
                <w:b/>
                <w:bCs/>
                <w:iCs/>
                <w:lang w:val="en-US"/>
              </w:rPr>
            </w:pPr>
            <w:r w:rsidRPr="00564123">
              <w:rPr>
                <w:b/>
                <w:bCs/>
                <w:iCs/>
                <w:lang w:val="en-US"/>
              </w:rPr>
              <w:t xml:space="preserve">Key words: </w:t>
            </w:r>
            <w:r w:rsidR="005501C0" w:rsidRPr="005501C0">
              <w:rPr>
                <w:bCs/>
                <w:iCs/>
                <w:lang w:val="en-US"/>
              </w:rPr>
              <w:t xml:space="preserve">action-tremor, ataxia, </w:t>
            </w:r>
            <w:r w:rsidRPr="005501C0">
              <w:rPr>
                <w:bCs/>
                <w:iCs/>
                <w:lang w:val="en-US"/>
              </w:rPr>
              <w:t>dystonia</w:t>
            </w:r>
            <w:r w:rsidRPr="00564123">
              <w:rPr>
                <w:bCs/>
                <w:iCs/>
                <w:lang w:val="en-US"/>
              </w:rPr>
              <w:t xml:space="preserve">, </w:t>
            </w:r>
            <w:r w:rsidR="005501C0">
              <w:rPr>
                <w:bCs/>
                <w:iCs/>
                <w:lang w:val="en-US"/>
              </w:rPr>
              <w:t xml:space="preserve">YY1 gene, </w:t>
            </w:r>
            <w:r w:rsidR="00D26884">
              <w:rPr>
                <w:bCs/>
                <w:iCs/>
                <w:lang w:val="en-US"/>
              </w:rPr>
              <w:t xml:space="preserve">autosomal </w:t>
            </w:r>
            <w:r w:rsidR="005501C0">
              <w:rPr>
                <w:bCs/>
                <w:iCs/>
                <w:lang w:val="en-US"/>
              </w:rPr>
              <w:t>dominant</w:t>
            </w:r>
          </w:p>
        </w:tc>
      </w:tr>
      <w:tr w:rsidR="00D75D34" w:rsidRPr="00E3537B" w:rsidTr="00FD35FE">
        <w:trPr>
          <w:trHeight w:val="151"/>
        </w:trPr>
        <w:tc>
          <w:tcPr>
            <w:tcW w:w="5000" w:type="pct"/>
            <w:shd w:val="clear" w:color="auto" w:fill="auto"/>
          </w:tcPr>
          <w:p w:rsidR="00D75D34" w:rsidRPr="00564123" w:rsidRDefault="00D75D34" w:rsidP="00884C09">
            <w:pPr>
              <w:spacing w:after="0" w:line="360" w:lineRule="auto"/>
              <w:jc w:val="both"/>
              <w:rPr>
                <w:b/>
                <w:bCs/>
                <w:iCs/>
                <w:lang w:val="en-US"/>
              </w:rPr>
            </w:pPr>
            <w:r w:rsidRPr="00564123">
              <w:rPr>
                <w:b/>
                <w:bCs/>
                <w:iCs/>
                <w:lang w:val="en-US"/>
              </w:rPr>
              <w:t xml:space="preserve">Running Title: </w:t>
            </w:r>
            <w:r w:rsidR="00884C09" w:rsidRPr="00884C09">
              <w:rPr>
                <w:bCs/>
                <w:iCs/>
                <w:lang w:val="en-US"/>
              </w:rPr>
              <w:t>tremor-</w:t>
            </w:r>
            <w:r w:rsidR="00001F8D" w:rsidRPr="00884C09">
              <w:rPr>
                <w:bCs/>
                <w:iCs/>
                <w:lang w:val="en-US"/>
              </w:rPr>
              <w:t>ataxia</w:t>
            </w:r>
            <w:r w:rsidR="00001F8D">
              <w:rPr>
                <w:bCs/>
                <w:iCs/>
                <w:lang w:val="en-US"/>
              </w:rPr>
              <w:t>-</w:t>
            </w:r>
            <w:r w:rsidR="005501C0">
              <w:rPr>
                <w:bCs/>
                <w:iCs/>
                <w:lang w:val="en-US"/>
              </w:rPr>
              <w:t>dystonia in YY1 mutation</w:t>
            </w:r>
          </w:p>
        </w:tc>
      </w:tr>
      <w:tr w:rsidR="00D75D34" w:rsidRPr="00564123" w:rsidTr="00FD35FE">
        <w:tc>
          <w:tcPr>
            <w:tcW w:w="5000" w:type="pct"/>
            <w:shd w:val="clear" w:color="auto" w:fill="auto"/>
          </w:tcPr>
          <w:p w:rsidR="00D75D34" w:rsidRPr="00564123" w:rsidRDefault="00D75D34">
            <w:pPr>
              <w:spacing w:after="0" w:line="360" w:lineRule="auto"/>
              <w:jc w:val="both"/>
              <w:rPr>
                <w:bCs/>
                <w:iCs/>
                <w:lang w:val="en-US"/>
              </w:rPr>
            </w:pPr>
            <w:r w:rsidRPr="00564123">
              <w:rPr>
                <w:b/>
                <w:bCs/>
                <w:iCs/>
                <w:lang w:val="en-US"/>
              </w:rPr>
              <w:t>Title characters count:</w:t>
            </w:r>
            <w:r w:rsidR="00884C09">
              <w:rPr>
                <w:b/>
                <w:bCs/>
                <w:iCs/>
                <w:lang w:val="en-US"/>
              </w:rPr>
              <w:t xml:space="preserve"> </w:t>
            </w:r>
            <w:r w:rsidR="004B3BF3" w:rsidRPr="001620AE">
              <w:rPr>
                <w:bCs/>
                <w:iCs/>
                <w:lang w:val="en-US"/>
              </w:rPr>
              <w:t>98</w:t>
            </w:r>
            <w:r w:rsidR="004B3BF3">
              <w:rPr>
                <w:b/>
                <w:bCs/>
                <w:iCs/>
                <w:lang w:val="en-US"/>
              </w:rPr>
              <w:t xml:space="preserve"> </w:t>
            </w:r>
          </w:p>
        </w:tc>
      </w:tr>
      <w:tr w:rsidR="00001F8D" w:rsidRPr="00564123" w:rsidTr="00FD35FE">
        <w:tc>
          <w:tcPr>
            <w:tcW w:w="5000" w:type="pct"/>
            <w:shd w:val="clear" w:color="auto" w:fill="auto"/>
          </w:tcPr>
          <w:p w:rsidR="00001F8D" w:rsidRPr="00564123" w:rsidRDefault="00001F8D" w:rsidP="00001F8D">
            <w:pPr>
              <w:spacing w:after="0" w:line="360" w:lineRule="auto"/>
              <w:jc w:val="both"/>
              <w:rPr>
                <w:b/>
                <w:bCs/>
                <w:iCs/>
                <w:lang w:val="en-US"/>
              </w:rPr>
            </w:pPr>
            <w:r w:rsidRPr="00564123">
              <w:rPr>
                <w:b/>
                <w:bCs/>
                <w:iCs/>
                <w:lang w:val="en-US"/>
              </w:rPr>
              <w:t>Running Title</w:t>
            </w:r>
            <w:r>
              <w:rPr>
                <w:b/>
                <w:bCs/>
                <w:iCs/>
                <w:lang w:val="en-US"/>
              </w:rPr>
              <w:t xml:space="preserve"> </w:t>
            </w:r>
            <w:r w:rsidRPr="00564123">
              <w:rPr>
                <w:b/>
                <w:bCs/>
                <w:iCs/>
                <w:lang w:val="en-US"/>
              </w:rPr>
              <w:t>characters count:</w:t>
            </w:r>
            <w:r w:rsidRPr="001620AE">
              <w:rPr>
                <w:bCs/>
                <w:iCs/>
                <w:lang w:val="en-US"/>
              </w:rPr>
              <w:t xml:space="preserve"> </w:t>
            </w:r>
            <w:r w:rsidR="00884C09" w:rsidRPr="001620AE">
              <w:rPr>
                <w:bCs/>
                <w:iCs/>
                <w:lang w:val="en-US"/>
              </w:rPr>
              <w:t>38</w:t>
            </w:r>
            <w:r>
              <w:rPr>
                <w:b/>
                <w:bCs/>
                <w:iCs/>
                <w:lang w:val="en-US"/>
              </w:rPr>
              <w:t xml:space="preserve">  </w:t>
            </w:r>
          </w:p>
        </w:tc>
      </w:tr>
      <w:tr w:rsidR="00D75D34" w:rsidRPr="005501C0" w:rsidTr="00FD35FE">
        <w:tc>
          <w:tcPr>
            <w:tcW w:w="5000" w:type="pct"/>
            <w:shd w:val="clear" w:color="auto" w:fill="auto"/>
          </w:tcPr>
          <w:p w:rsidR="00D75D34" w:rsidRPr="005501C0" w:rsidRDefault="00DB07AA" w:rsidP="00102999">
            <w:pPr>
              <w:spacing w:after="0" w:line="360" w:lineRule="auto"/>
              <w:jc w:val="both"/>
              <w:rPr>
                <w:b/>
                <w:bCs/>
                <w:iCs/>
                <w:lang w:val="en-US"/>
              </w:rPr>
            </w:pPr>
            <w:r>
              <w:rPr>
                <w:b/>
                <w:bCs/>
                <w:iCs/>
                <w:lang w:val="en-US"/>
              </w:rPr>
              <w:t>Manuscript</w:t>
            </w:r>
            <w:r w:rsidRPr="005501C0">
              <w:rPr>
                <w:b/>
                <w:bCs/>
                <w:iCs/>
                <w:lang w:val="en-US"/>
              </w:rPr>
              <w:t xml:space="preserve"> </w:t>
            </w:r>
            <w:r w:rsidR="00D75D34" w:rsidRPr="005501C0">
              <w:rPr>
                <w:b/>
                <w:bCs/>
                <w:iCs/>
                <w:lang w:val="en-US"/>
              </w:rPr>
              <w:t>Word count:</w:t>
            </w:r>
            <w:r w:rsidR="00D75D34" w:rsidRPr="005501C0">
              <w:rPr>
                <w:bCs/>
                <w:iCs/>
                <w:lang w:val="en-US"/>
              </w:rPr>
              <w:t xml:space="preserve"> </w:t>
            </w:r>
            <w:r w:rsidR="000E3F7A" w:rsidRPr="005501C0">
              <w:rPr>
                <w:bCs/>
                <w:iCs/>
                <w:lang w:val="en-US"/>
              </w:rPr>
              <w:t xml:space="preserve"> </w:t>
            </w:r>
            <w:r w:rsidR="003C3EAE">
              <w:rPr>
                <w:bCs/>
                <w:iCs/>
                <w:lang w:val="en-US"/>
              </w:rPr>
              <w:t xml:space="preserve">1871 </w:t>
            </w:r>
            <w:r w:rsidR="0071173F">
              <w:rPr>
                <w:bCs/>
                <w:iCs/>
                <w:lang w:val="en-US"/>
              </w:rPr>
              <w:t xml:space="preserve"> </w:t>
            </w:r>
            <w:r w:rsidR="00D75D34" w:rsidRPr="005501C0">
              <w:rPr>
                <w:bCs/>
                <w:iCs/>
                <w:lang w:val="en-US"/>
              </w:rPr>
              <w:t>(</w:t>
            </w:r>
            <w:r w:rsidR="009019A6">
              <w:rPr>
                <w:bCs/>
                <w:iCs/>
                <w:lang w:val="en-US"/>
              </w:rPr>
              <w:t>max 2’000</w:t>
            </w:r>
            <w:r w:rsidR="00D75D34" w:rsidRPr="005501C0">
              <w:rPr>
                <w:bCs/>
                <w:iCs/>
                <w:lang w:val="en-US"/>
              </w:rPr>
              <w:t>)</w:t>
            </w:r>
            <w:r>
              <w:rPr>
                <w:bCs/>
                <w:iCs/>
                <w:lang w:val="en-US"/>
              </w:rPr>
              <w:t xml:space="preserve"> </w:t>
            </w:r>
          </w:p>
          <w:p w:rsidR="00D75D34" w:rsidRPr="00564123" w:rsidRDefault="00CB0207">
            <w:pPr>
              <w:spacing w:after="0" w:line="360" w:lineRule="auto"/>
              <w:jc w:val="both"/>
              <w:rPr>
                <w:b/>
                <w:bCs/>
                <w:iCs/>
                <w:lang w:val="en-US"/>
              </w:rPr>
            </w:pPr>
            <w:r>
              <w:rPr>
                <w:rStyle w:val="lev"/>
                <w:rFonts w:ascii="Helvetica" w:hAnsi="Helvetica" w:cs="Helvetica"/>
                <w:color w:val="000000"/>
                <w:sz w:val="20"/>
                <w:bdr w:val="none" w:sz="0" w:space="0" w:color="auto" w:frame="1"/>
              </w:rPr>
              <w:t>Abstract</w:t>
            </w:r>
            <w:r w:rsidR="00386375" w:rsidRPr="001620AE">
              <w:rPr>
                <w:rStyle w:val="lev"/>
                <w:rFonts w:ascii="Helvetica" w:hAnsi="Helvetica" w:cs="Helvetica"/>
                <w:color w:val="000000"/>
                <w:sz w:val="20"/>
                <w:bdr w:val="none" w:sz="0" w:space="0" w:color="auto" w:frame="1"/>
              </w:rPr>
              <w:t>:</w:t>
            </w:r>
            <w:r w:rsidR="00386375" w:rsidRPr="001620AE">
              <w:rPr>
                <w:rFonts w:ascii="Helvetica" w:hAnsi="Helvetica" w:cs="Helvetica"/>
                <w:color w:val="000000"/>
                <w:sz w:val="20"/>
              </w:rPr>
              <w:t> </w:t>
            </w:r>
            <w:r w:rsidR="00C45E49">
              <w:rPr>
                <w:rFonts w:ascii="Helvetica" w:hAnsi="Helvetica" w:cs="Helvetica"/>
                <w:color w:val="000000"/>
                <w:sz w:val="20"/>
              </w:rPr>
              <w:t>95</w:t>
            </w:r>
            <w:r w:rsidR="009019A6">
              <w:rPr>
                <w:rFonts w:ascii="Helvetica" w:hAnsi="Helvetica" w:cs="Helvetica"/>
                <w:color w:val="000000"/>
                <w:sz w:val="20"/>
              </w:rPr>
              <w:t xml:space="preserve"> </w:t>
            </w:r>
            <w:r w:rsidR="001620AE">
              <w:rPr>
                <w:rFonts w:ascii="Helvetica" w:hAnsi="Helvetica" w:cs="Helvetica"/>
                <w:color w:val="000000"/>
                <w:sz w:val="20"/>
              </w:rPr>
              <w:t xml:space="preserve">words </w:t>
            </w:r>
            <w:r w:rsidR="00386375">
              <w:rPr>
                <w:rFonts w:ascii="Helvetica" w:hAnsi="Helvetica" w:cs="Helvetica"/>
                <w:color w:val="000000"/>
                <w:sz w:val="20"/>
              </w:rPr>
              <w:t>(</w:t>
            </w:r>
            <w:r w:rsidR="001620AE">
              <w:rPr>
                <w:rFonts w:ascii="Helvetica" w:hAnsi="Helvetica" w:cs="Helvetica"/>
                <w:color w:val="000000"/>
                <w:sz w:val="20"/>
              </w:rPr>
              <w:t xml:space="preserve">max </w:t>
            </w:r>
            <w:r w:rsidR="00386375" w:rsidRPr="001620AE">
              <w:rPr>
                <w:rFonts w:ascii="Helvetica" w:hAnsi="Helvetica" w:cs="Helvetica"/>
                <w:color w:val="000000"/>
                <w:sz w:val="20"/>
              </w:rPr>
              <w:t>200</w:t>
            </w:r>
            <w:r w:rsidR="00386375">
              <w:rPr>
                <w:rFonts w:ascii="Helvetica" w:hAnsi="Helvetica" w:cs="Helvetica"/>
                <w:color w:val="000000"/>
                <w:sz w:val="20"/>
              </w:rPr>
              <w:t>)</w:t>
            </w:r>
          </w:p>
        </w:tc>
      </w:tr>
      <w:tr w:rsidR="00D75D34" w:rsidRPr="00564123" w:rsidTr="00FD35FE">
        <w:tc>
          <w:tcPr>
            <w:tcW w:w="5000" w:type="pct"/>
            <w:shd w:val="clear" w:color="auto" w:fill="auto"/>
          </w:tcPr>
          <w:p w:rsidR="00D75D34" w:rsidRPr="00564123" w:rsidRDefault="00D75D34">
            <w:pPr>
              <w:spacing w:after="0" w:line="360" w:lineRule="auto"/>
              <w:jc w:val="both"/>
              <w:rPr>
                <w:b/>
                <w:bCs/>
                <w:iCs/>
                <w:lang w:val="en-US"/>
              </w:rPr>
            </w:pPr>
            <w:r w:rsidRPr="00564123">
              <w:rPr>
                <w:b/>
                <w:bCs/>
                <w:iCs/>
                <w:lang w:val="en-US"/>
              </w:rPr>
              <w:t>References:</w:t>
            </w:r>
            <w:r w:rsidR="005501C0">
              <w:rPr>
                <w:b/>
                <w:bCs/>
                <w:iCs/>
                <w:lang w:val="en-US"/>
              </w:rPr>
              <w:t xml:space="preserve"> </w:t>
            </w:r>
            <w:r w:rsidR="00C45E49">
              <w:rPr>
                <w:bCs/>
                <w:iCs/>
                <w:lang w:val="en-US"/>
              </w:rPr>
              <w:t>10</w:t>
            </w:r>
            <w:r w:rsidRPr="00564123">
              <w:rPr>
                <w:b/>
                <w:bCs/>
                <w:iCs/>
                <w:lang w:val="en-US"/>
              </w:rPr>
              <w:t xml:space="preserve"> </w:t>
            </w:r>
            <w:r w:rsidRPr="00564123">
              <w:rPr>
                <w:bCs/>
                <w:iCs/>
                <w:lang w:val="en-US"/>
              </w:rPr>
              <w:t xml:space="preserve">(max </w:t>
            </w:r>
            <w:r w:rsidR="009019A6">
              <w:rPr>
                <w:bCs/>
                <w:iCs/>
                <w:lang w:val="en-US"/>
              </w:rPr>
              <w:t>20)</w:t>
            </w:r>
          </w:p>
        </w:tc>
      </w:tr>
      <w:tr w:rsidR="00D75D34" w:rsidRPr="00E3537B" w:rsidTr="00FD35FE">
        <w:tc>
          <w:tcPr>
            <w:tcW w:w="5000" w:type="pct"/>
            <w:shd w:val="clear" w:color="auto" w:fill="auto"/>
          </w:tcPr>
          <w:p w:rsidR="00D75D34" w:rsidRPr="00564123" w:rsidRDefault="00D75D34" w:rsidP="00CA2028">
            <w:pPr>
              <w:spacing w:after="0" w:line="360" w:lineRule="auto"/>
              <w:jc w:val="both"/>
              <w:rPr>
                <w:b/>
                <w:bCs/>
                <w:iCs/>
                <w:lang w:val="en-US"/>
              </w:rPr>
            </w:pPr>
            <w:r w:rsidRPr="00564123">
              <w:rPr>
                <w:b/>
                <w:bCs/>
                <w:iCs/>
                <w:lang w:val="en-US"/>
              </w:rPr>
              <w:t xml:space="preserve">Table(s)/Figure(s): </w:t>
            </w:r>
            <w:r w:rsidR="001620AE">
              <w:rPr>
                <w:bCs/>
                <w:iCs/>
                <w:lang w:val="en-US"/>
              </w:rPr>
              <w:t>none</w:t>
            </w:r>
            <w:r w:rsidRPr="00564123">
              <w:rPr>
                <w:bCs/>
                <w:iCs/>
                <w:lang w:val="en-US"/>
              </w:rPr>
              <w:t xml:space="preserve"> (</w:t>
            </w:r>
            <w:r w:rsidR="00001F8D" w:rsidRPr="005501C0">
              <w:rPr>
                <w:bCs/>
                <w:iCs/>
                <w:lang w:val="en-US"/>
              </w:rPr>
              <w:t xml:space="preserve">max </w:t>
            </w:r>
            <w:r w:rsidR="00001F8D">
              <w:rPr>
                <w:bCs/>
                <w:iCs/>
                <w:lang w:val="en-US"/>
              </w:rPr>
              <w:t>2</w:t>
            </w:r>
            <w:r w:rsidRPr="00564123">
              <w:rPr>
                <w:bCs/>
                <w:iCs/>
                <w:lang w:val="en-US"/>
              </w:rPr>
              <w:t>)</w:t>
            </w:r>
          </w:p>
        </w:tc>
      </w:tr>
      <w:tr w:rsidR="00D75D34" w:rsidRPr="007E0E38" w:rsidTr="00FD35FE">
        <w:tc>
          <w:tcPr>
            <w:tcW w:w="5000" w:type="pct"/>
            <w:shd w:val="clear" w:color="auto" w:fill="auto"/>
          </w:tcPr>
          <w:p w:rsidR="00D75D34" w:rsidRPr="00564123" w:rsidRDefault="00D75D34" w:rsidP="005501C0">
            <w:pPr>
              <w:spacing w:after="0" w:line="360" w:lineRule="auto"/>
              <w:jc w:val="both"/>
              <w:rPr>
                <w:b/>
                <w:bCs/>
                <w:iCs/>
                <w:lang w:val="en-US"/>
              </w:rPr>
            </w:pPr>
            <w:r w:rsidRPr="00564123">
              <w:rPr>
                <w:b/>
                <w:bCs/>
                <w:iCs/>
                <w:lang w:val="en-US"/>
              </w:rPr>
              <w:t xml:space="preserve">Supplemental material online: </w:t>
            </w:r>
            <w:r w:rsidR="00325E44">
              <w:rPr>
                <w:bCs/>
                <w:iCs/>
                <w:lang w:val="en-US"/>
              </w:rPr>
              <w:t xml:space="preserve"> </w:t>
            </w:r>
            <w:r w:rsidR="00C545F3">
              <w:rPr>
                <w:bCs/>
                <w:iCs/>
                <w:lang w:val="en-US"/>
              </w:rPr>
              <w:t xml:space="preserve">1 </w:t>
            </w:r>
            <w:r w:rsidR="00FB2F8F">
              <w:rPr>
                <w:bCs/>
                <w:iCs/>
                <w:lang w:val="en-US"/>
              </w:rPr>
              <w:t>S</w:t>
            </w:r>
            <w:r w:rsidR="00C545F3">
              <w:rPr>
                <w:bCs/>
                <w:iCs/>
                <w:lang w:val="en-US"/>
              </w:rPr>
              <w:t xml:space="preserve">upplemental </w:t>
            </w:r>
            <w:r w:rsidR="005501C0">
              <w:rPr>
                <w:bCs/>
                <w:iCs/>
                <w:lang w:val="en-US"/>
              </w:rPr>
              <w:t>Video, 1 Video Legend</w:t>
            </w:r>
            <w:r w:rsidR="000017DA">
              <w:rPr>
                <w:bCs/>
                <w:iCs/>
                <w:lang w:val="en-US"/>
              </w:rPr>
              <w:t>, 1 picture</w:t>
            </w:r>
          </w:p>
        </w:tc>
      </w:tr>
    </w:tbl>
    <w:p w:rsidR="00D75D34" w:rsidRPr="00507909" w:rsidRDefault="00D75D34" w:rsidP="00102999">
      <w:pPr>
        <w:spacing w:after="0" w:line="360" w:lineRule="auto"/>
        <w:jc w:val="both"/>
        <w:rPr>
          <w:bCs/>
          <w:iCs/>
          <w:lang w:val="en-US"/>
        </w:rPr>
      </w:pPr>
    </w:p>
    <w:p w:rsidR="00D75D34" w:rsidRDefault="00D75D34" w:rsidP="00102999">
      <w:pPr>
        <w:spacing w:after="0" w:line="360" w:lineRule="auto"/>
        <w:jc w:val="both"/>
        <w:rPr>
          <w:lang w:val="en-US"/>
        </w:rPr>
      </w:pPr>
      <w:r w:rsidRPr="00C31883">
        <w:rPr>
          <w:u w:val="single"/>
          <w:lang w:val="en-US"/>
        </w:rPr>
        <w:t>Correspondence</w:t>
      </w:r>
      <w:r w:rsidRPr="00507909">
        <w:rPr>
          <w:lang w:val="en-US"/>
        </w:rPr>
        <w:t>:</w:t>
      </w:r>
      <w:r>
        <w:rPr>
          <w:lang w:val="en-US"/>
        </w:rPr>
        <w:t xml:space="preserve"> </w:t>
      </w:r>
    </w:p>
    <w:p w:rsidR="00D75D34" w:rsidRDefault="00F3572E" w:rsidP="00102999">
      <w:pPr>
        <w:spacing w:after="0" w:line="360" w:lineRule="auto"/>
        <w:jc w:val="both"/>
        <w:rPr>
          <w:lang w:val="en-US"/>
        </w:rPr>
      </w:pPr>
      <w:r>
        <w:rPr>
          <w:lang w:val="en-US"/>
        </w:rPr>
        <w:t xml:space="preserve">Dr </w:t>
      </w:r>
      <w:r w:rsidR="005501C0">
        <w:rPr>
          <w:lang w:val="en-US"/>
        </w:rPr>
        <w:t>Julien F. Bally</w:t>
      </w:r>
    </w:p>
    <w:p w:rsidR="005501C0" w:rsidRDefault="00F3572E" w:rsidP="00102999">
      <w:pPr>
        <w:spacing w:after="0" w:line="360" w:lineRule="auto"/>
        <w:jc w:val="both"/>
        <w:rPr>
          <w:rFonts w:ascii="Calibri" w:hAnsi="Calibri"/>
          <w:lang w:val="en-US"/>
        </w:rPr>
      </w:pPr>
      <w:r w:rsidRPr="00C11905">
        <w:rPr>
          <w:rFonts w:ascii="Calibri" w:hAnsi="Calibri"/>
          <w:lang w:val="en-US"/>
        </w:rPr>
        <w:t xml:space="preserve">Movement Disorders </w:t>
      </w:r>
      <w:r w:rsidR="005501C0">
        <w:rPr>
          <w:rFonts w:ascii="Calibri" w:hAnsi="Calibri"/>
          <w:lang w:val="en-US"/>
        </w:rPr>
        <w:t>Unit</w:t>
      </w:r>
      <w:r w:rsidR="00001F8D">
        <w:rPr>
          <w:rFonts w:ascii="Calibri" w:hAnsi="Calibri"/>
          <w:lang w:val="en-US"/>
        </w:rPr>
        <w:t xml:space="preserve">, </w:t>
      </w:r>
      <w:r w:rsidR="005501C0">
        <w:rPr>
          <w:rFonts w:ascii="Calibri" w:hAnsi="Calibri"/>
          <w:lang w:val="en-US"/>
        </w:rPr>
        <w:t>Neurology Department</w:t>
      </w:r>
    </w:p>
    <w:p w:rsidR="005501C0" w:rsidRPr="00102999" w:rsidRDefault="005501C0" w:rsidP="00102999">
      <w:pPr>
        <w:spacing w:after="0" w:line="360" w:lineRule="auto"/>
        <w:jc w:val="both"/>
        <w:rPr>
          <w:lang w:val="en-US"/>
        </w:rPr>
      </w:pPr>
      <w:r>
        <w:rPr>
          <w:rFonts w:ascii="Calibri" w:hAnsi="Calibri"/>
          <w:lang w:val="en-US"/>
        </w:rPr>
        <w:t>University Hospitals of Geneva</w:t>
      </w:r>
    </w:p>
    <w:p w:rsidR="00C11905" w:rsidRPr="001474CE" w:rsidRDefault="005501C0" w:rsidP="00102999">
      <w:pPr>
        <w:spacing w:after="0" w:line="360" w:lineRule="auto"/>
        <w:jc w:val="both"/>
        <w:rPr>
          <w:rFonts w:ascii="Calibri" w:hAnsi="Calibri"/>
          <w:lang w:val="en-US"/>
        </w:rPr>
      </w:pPr>
      <w:r w:rsidRPr="001474CE">
        <w:rPr>
          <w:rFonts w:ascii="Calibri" w:hAnsi="Calibri"/>
          <w:lang w:val="en-US"/>
        </w:rPr>
        <w:t>Rue Gabrielle-Perret-Gentil 4</w:t>
      </w:r>
    </w:p>
    <w:p w:rsidR="00C11905" w:rsidRPr="00195328" w:rsidRDefault="005501C0" w:rsidP="00102999">
      <w:pPr>
        <w:spacing w:after="0" w:line="360" w:lineRule="auto"/>
        <w:jc w:val="both"/>
        <w:rPr>
          <w:rFonts w:ascii="Calibri" w:hAnsi="Calibri"/>
          <w:lang w:val="de-DE"/>
        </w:rPr>
      </w:pPr>
      <w:r w:rsidRPr="00195328">
        <w:rPr>
          <w:rFonts w:ascii="Calibri" w:hAnsi="Calibri"/>
          <w:lang w:val="de-DE"/>
        </w:rPr>
        <w:lastRenderedPageBreak/>
        <w:t>1211 Genève 14</w:t>
      </w:r>
      <w:r w:rsidR="00001F8D" w:rsidRPr="00195328">
        <w:rPr>
          <w:rFonts w:ascii="Calibri" w:hAnsi="Calibri"/>
          <w:lang w:val="de-DE"/>
        </w:rPr>
        <w:t xml:space="preserve">, </w:t>
      </w:r>
      <w:r w:rsidRPr="00195328">
        <w:rPr>
          <w:rFonts w:ascii="Calibri" w:hAnsi="Calibri"/>
          <w:lang w:val="de-DE"/>
        </w:rPr>
        <w:t>Switzerland</w:t>
      </w:r>
    </w:p>
    <w:p w:rsidR="005501C0" w:rsidRPr="00195328" w:rsidRDefault="005501C0" w:rsidP="00102999">
      <w:pPr>
        <w:spacing w:after="0" w:line="360" w:lineRule="auto"/>
        <w:jc w:val="both"/>
        <w:rPr>
          <w:rFonts w:ascii="Calibri" w:hAnsi="Calibri"/>
          <w:lang w:val="de-DE"/>
        </w:rPr>
      </w:pPr>
      <w:r w:rsidRPr="00195328">
        <w:rPr>
          <w:rFonts w:ascii="Calibri" w:hAnsi="Calibri"/>
          <w:lang w:val="de-DE"/>
        </w:rPr>
        <w:t>Fax: +41-22-372-83-32</w:t>
      </w:r>
    </w:p>
    <w:p w:rsidR="005501C0" w:rsidRPr="00FC4A55" w:rsidRDefault="00831A3C" w:rsidP="00102999">
      <w:pPr>
        <w:spacing w:after="0" w:line="360" w:lineRule="auto"/>
        <w:jc w:val="both"/>
        <w:rPr>
          <w:rFonts w:ascii="Calibri" w:hAnsi="Calibri"/>
          <w:lang w:val="de-CH"/>
        </w:rPr>
      </w:pPr>
      <w:r w:rsidRPr="00FC4A55">
        <w:rPr>
          <w:rFonts w:ascii="Calibri" w:hAnsi="Calibri"/>
          <w:lang w:val="de-CH"/>
        </w:rPr>
        <w:t>email</w:t>
      </w:r>
      <w:r w:rsidR="00257F7E" w:rsidRPr="00FC4A55">
        <w:rPr>
          <w:rFonts w:ascii="Calibri" w:hAnsi="Calibri"/>
          <w:lang w:val="de-CH"/>
        </w:rPr>
        <w:t>: julien.bally@hcuge.ch</w:t>
      </w:r>
    </w:p>
    <w:p w:rsidR="0017225D" w:rsidRPr="00FC4A55" w:rsidRDefault="0017225D" w:rsidP="00102999">
      <w:pPr>
        <w:pStyle w:val="Titre1"/>
        <w:spacing w:before="0" w:line="360" w:lineRule="auto"/>
        <w:jc w:val="both"/>
        <w:rPr>
          <w:lang w:val="de-CH"/>
        </w:rPr>
      </w:pPr>
    </w:p>
    <w:p w:rsidR="00DB07AA" w:rsidRPr="00FC4A55" w:rsidRDefault="00DB07AA" w:rsidP="00102999">
      <w:pPr>
        <w:pStyle w:val="Titre1"/>
        <w:spacing w:before="0" w:line="360" w:lineRule="auto"/>
        <w:jc w:val="both"/>
        <w:rPr>
          <w:lang w:val="de-CH"/>
        </w:rPr>
      </w:pPr>
    </w:p>
    <w:p w:rsidR="005501C0" w:rsidRPr="00D75C5C" w:rsidRDefault="00AA6175" w:rsidP="00102999">
      <w:pPr>
        <w:pStyle w:val="Titre1"/>
        <w:spacing w:before="0" w:line="360" w:lineRule="auto"/>
        <w:jc w:val="both"/>
        <w:rPr>
          <w:lang w:val="en-US"/>
        </w:rPr>
      </w:pPr>
      <w:r w:rsidRPr="00D75C5C">
        <w:rPr>
          <w:lang w:val="en-US"/>
        </w:rPr>
        <w:t>Abstract</w:t>
      </w:r>
    </w:p>
    <w:p w:rsidR="001A57A1" w:rsidRPr="00D75C5C" w:rsidRDefault="001A57A1" w:rsidP="001A57A1">
      <w:pPr>
        <w:autoSpaceDE w:val="0"/>
        <w:autoSpaceDN w:val="0"/>
        <w:adjustRightInd w:val="0"/>
        <w:spacing w:after="0" w:line="360" w:lineRule="auto"/>
        <w:jc w:val="both"/>
        <w:rPr>
          <w:lang w:val="en-US"/>
        </w:rPr>
      </w:pPr>
      <w:r w:rsidRPr="00D75C5C">
        <w:rPr>
          <w:i/>
          <w:lang w:val="en-US"/>
        </w:rPr>
        <w:t>YY1</w:t>
      </w:r>
      <w:r w:rsidRPr="00D75C5C">
        <w:rPr>
          <w:lang w:val="en-US"/>
        </w:rPr>
        <w:t xml:space="preserve"> mutations cause Gabriele-de</w:t>
      </w:r>
      <w:r w:rsidR="00EC1DB8" w:rsidRPr="00D75C5C">
        <w:rPr>
          <w:lang w:val="en-US"/>
        </w:rPr>
        <w:t xml:space="preserve"> </w:t>
      </w:r>
      <w:r w:rsidRPr="00D75C5C">
        <w:rPr>
          <w:lang w:val="en-US"/>
        </w:rPr>
        <w:t>Vries syndrome, a recently described condition involving cognitive impairment, facial dysmorphism and intrauterine growth restriction. Movement disorders were reported in 5/10 cases of the original series, but no detailed description was provided.</w:t>
      </w:r>
    </w:p>
    <w:p w:rsidR="001A57A1" w:rsidRPr="00D75C5C" w:rsidRDefault="001A57A1" w:rsidP="001A57A1">
      <w:pPr>
        <w:autoSpaceDE w:val="0"/>
        <w:autoSpaceDN w:val="0"/>
        <w:adjustRightInd w:val="0"/>
        <w:spacing w:after="0" w:line="360" w:lineRule="auto"/>
        <w:jc w:val="both"/>
        <w:rPr>
          <w:lang w:val="en-US"/>
        </w:rPr>
      </w:pPr>
      <w:r w:rsidRPr="00D75C5C">
        <w:rPr>
          <w:lang w:val="en-US"/>
        </w:rPr>
        <w:t xml:space="preserve">Here we present a 21-year-old woman with a mild intellectual deficit, facial dysmorphism and a complex movement disorder including an action tremor, cerebellar ataxia, dystonia, and partial ocular apraxia as the presenting and most striking feature. Whole-exome sequencing revealed a novel heterozygous </w:t>
      </w:r>
      <w:r w:rsidRPr="00D75C5C">
        <w:rPr>
          <w:i/>
          <w:lang w:val="en-US"/>
        </w:rPr>
        <w:t>de novo</w:t>
      </w:r>
      <w:r w:rsidRPr="00D75C5C">
        <w:rPr>
          <w:lang w:val="en-US"/>
        </w:rPr>
        <w:t xml:space="preserve"> mutation in </w:t>
      </w:r>
      <w:r w:rsidRPr="00D75C5C">
        <w:rPr>
          <w:i/>
          <w:lang w:val="en-US"/>
        </w:rPr>
        <w:t xml:space="preserve">YY1 </w:t>
      </w:r>
      <w:r w:rsidRPr="00D75C5C">
        <w:rPr>
          <w:lang w:val="en-US"/>
        </w:rPr>
        <w:t>[NM:</w:t>
      </w:r>
      <w:r w:rsidR="00E90B10" w:rsidRPr="00D75C5C">
        <w:rPr>
          <w:lang w:val="en-US"/>
        </w:rPr>
        <w:t xml:space="preserve"> </w:t>
      </w:r>
      <w:r w:rsidRPr="00D75C5C">
        <w:rPr>
          <w:lang w:val="en-US"/>
        </w:rPr>
        <w:t>003403.4</w:t>
      </w:r>
      <w:r w:rsidR="00E90B10" w:rsidRPr="00D75C5C">
        <w:rPr>
          <w:lang w:val="en-US"/>
        </w:rPr>
        <w:t xml:space="preserve"> </w:t>
      </w:r>
      <w:r w:rsidRPr="00D75C5C">
        <w:rPr>
          <w:lang w:val="en-US"/>
        </w:rPr>
        <w:t>(YY1):</w:t>
      </w:r>
      <w:r w:rsidR="00E90B10" w:rsidRPr="00D75C5C">
        <w:rPr>
          <w:lang w:val="en-US"/>
        </w:rPr>
        <w:t xml:space="preserve"> </w:t>
      </w:r>
      <w:r w:rsidR="00383753" w:rsidRPr="00D75C5C">
        <w:rPr>
          <w:lang w:val="en-US"/>
        </w:rPr>
        <w:t>c.907</w:t>
      </w:r>
      <w:r w:rsidRPr="00D75C5C">
        <w:rPr>
          <w:lang w:val="en-US"/>
        </w:rPr>
        <w:t xml:space="preserve">T&gt;C; p.(Cys303Arg)], classified as pathogenic according to the ACMG guidelines. </w:t>
      </w:r>
    </w:p>
    <w:p w:rsidR="001A57A1" w:rsidRPr="00D75C5C" w:rsidRDefault="001A57A1" w:rsidP="00AA6175">
      <w:pPr>
        <w:autoSpaceDE w:val="0"/>
        <w:autoSpaceDN w:val="0"/>
        <w:adjustRightInd w:val="0"/>
        <w:spacing w:after="0" w:line="360" w:lineRule="auto"/>
        <w:jc w:val="both"/>
        <w:rPr>
          <w:lang w:val="en-US"/>
        </w:rPr>
      </w:pPr>
    </w:p>
    <w:p w:rsidR="000017DA" w:rsidRPr="00D75C5C" w:rsidRDefault="000017DA">
      <w:pPr>
        <w:rPr>
          <w:lang w:val="en-US"/>
        </w:rPr>
      </w:pPr>
      <w:r w:rsidRPr="00D75C5C">
        <w:rPr>
          <w:lang w:val="en-US"/>
        </w:rPr>
        <w:br w:type="page"/>
      </w:r>
    </w:p>
    <w:p w:rsidR="000017DA" w:rsidRPr="00D75C5C" w:rsidRDefault="000017DA" w:rsidP="00102999">
      <w:pPr>
        <w:pStyle w:val="Titre1"/>
        <w:spacing w:before="0" w:line="360" w:lineRule="auto"/>
        <w:jc w:val="both"/>
        <w:rPr>
          <w:lang w:val="en-US"/>
        </w:rPr>
        <w:sectPr w:rsidR="000017DA" w:rsidRPr="00D75C5C" w:rsidSect="00D75C5C">
          <w:pgSz w:w="11906" w:h="16838"/>
          <w:pgMar w:top="1418" w:right="1418" w:bottom="1418" w:left="1418" w:header="709" w:footer="709" w:gutter="0"/>
          <w:cols w:space="708"/>
          <w:titlePg/>
          <w:docGrid w:linePitch="360"/>
        </w:sectPr>
      </w:pPr>
    </w:p>
    <w:p w:rsidR="00E425E4" w:rsidRPr="00D75C5C" w:rsidRDefault="00DF7038" w:rsidP="00102999">
      <w:pPr>
        <w:pStyle w:val="Titre1"/>
        <w:spacing w:before="0" w:line="360" w:lineRule="auto"/>
        <w:jc w:val="both"/>
        <w:rPr>
          <w:lang w:val="en-US"/>
        </w:rPr>
      </w:pPr>
      <w:r w:rsidRPr="00D75C5C">
        <w:rPr>
          <w:lang w:val="en-US"/>
        </w:rPr>
        <w:lastRenderedPageBreak/>
        <w:t>Manuscript</w:t>
      </w:r>
    </w:p>
    <w:p w:rsidR="00E425E4" w:rsidRPr="00D75C5C" w:rsidRDefault="00050344" w:rsidP="00E93F4F">
      <w:pPr>
        <w:pStyle w:val="Titre2"/>
        <w:rPr>
          <w:lang w:val="en-US"/>
        </w:rPr>
      </w:pPr>
      <w:r w:rsidRPr="00D75C5C">
        <w:rPr>
          <w:lang w:val="en-US"/>
        </w:rPr>
        <w:t>Introduction</w:t>
      </w:r>
    </w:p>
    <w:p w:rsidR="001A57A1" w:rsidRPr="00D75C5C" w:rsidRDefault="009704AA" w:rsidP="001A57A1">
      <w:pPr>
        <w:autoSpaceDE w:val="0"/>
        <w:autoSpaceDN w:val="0"/>
        <w:adjustRightInd w:val="0"/>
        <w:spacing w:after="0" w:line="360" w:lineRule="auto"/>
        <w:jc w:val="both"/>
        <w:rPr>
          <w:lang w:val="en-US"/>
        </w:rPr>
      </w:pPr>
      <w:r w:rsidRPr="00D75C5C">
        <w:rPr>
          <w:lang w:val="en-US"/>
        </w:rPr>
        <w:t>A mutation</w:t>
      </w:r>
      <w:r w:rsidR="001A57A1" w:rsidRPr="00D75C5C">
        <w:rPr>
          <w:lang w:val="en-US"/>
        </w:rPr>
        <w:t xml:space="preserve"> leading to haploinsufficiency of the </w:t>
      </w:r>
      <w:r w:rsidR="001A57A1" w:rsidRPr="00D75C5C">
        <w:rPr>
          <w:i/>
          <w:lang w:val="en-US"/>
        </w:rPr>
        <w:t>YY1</w:t>
      </w:r>
      <w:r w:rsidR="001A57A1" w:rsidRPr="00D75C5C">
        <w:rPr>
          <w:lang w:val="en-US"/>
        </w:rPr>
        <w:t xml:space="preserve"> gene </w:t>
      </w:r>
      <w:r w:rsidR="000017DA" w:rsidRPr="00D75C5C">
        <w:rPr>
          <w:lang w:val="en-US"/>
        </w:rPr>
        <w:t xml:space="preserve">has </w:t>
      </w:r>
      <w:r w:rsidR="001A57A1" w:rsidRPr="00D75C5C">
        <w:rPr>
          <w:lang w:val="en-US"/>
        </w:rPr>
        <w:t xml:space="preserve">been identified in </w:t>
      </w:r>
      <w:r w:rsidRPr="00D75C5C">
        <w:rPr>
          <w:lang w:val="en-US"/>
        </w:rPr>
        <w:t>an individual</w:t>
      </w:r>
      <w:r w:rsidR="001A57A1" w:rsidRPr="00D75C5C">
        <w:rPr>
          <w:lang w:val="en-US"/>
        </w:rPr>
        <w:t xml:space="preserve"> with unexplained syndromic intellectual disability</w:t>
      </w:r>
      <w:r w:rsidR="00810CBB" w:rsidRPr="00D75C5C">
        <w:rPr>
          <w:rStyle w:val="Appelnotedebasdep"/>
          <w:lang w:val="en-US"/>
        </w:rPr>
        <w:fldChar w:fldCharType="begin" w:fldLock="1"/>
      </w:r>
      <w:r w:rsidR="00D60FC9" w:rsidRPr="00D75C5C">
        <w:rPr>
          <w:lang w:val="en-US"/>
        </w:rPr>
        <w:instrText>ADDIN CSL_CITATION {"citationItems":[{"id":"ITEM-1","itemData":{"DOI":"10.1038/ng.712","ISSN":"1546-1718","PMID":"21076407","abstract":"The per-generation mutation rate in humans is high. De novo mutations may compensate for allele loss due to severely reduced fecundity in common neurodevelopmental and psychiatric diseases, explaining a major paradox in evolutionary genetic theory. Here we used a family based exome sequencing approach to test this de novo mutation hypothesis in ten individuals with unexplained mental retardation. We identified and validated unique non-synonymous de novo mutations in nine genes. Six of these, identified in six different individuals, are likely to be pathogenic based on gene function, evolutionary conservation and mutation impact. Our findings provide strong experimental support for a de novo paradigm for mental retardation. Together with de novo copy number variation, de novo point mutations of large effect could explain the majority of all mental retardation cases in the population.","author":[{"dropping-particle":"","family":"Vissers","given":"Lisenka E L M","non-dropping-particle":"","parse-names":false,"suffix":""},{"dropping-particle":"","family":"Ligt","given":"Joep","non-dropping-particle":"de","parse-names":false,"suffix":""},{"dropping-particle":"","family":"Gilissen","given":"Christian","non-dropping-particle":"","parse-names":false,"suffix":""},{"dropping-particle":"","family":"Janssen","given":"Irene","non-dropping-particle":"","parse-names":false,"suffix":""},{"dropping-particle":"","family":"Steehouwer","given":"Marloes","non-dropping-particle":"","parse-names":false,"suffix":""},{"dropping-particle":"","family":"Vries","given":"Petra","non-dropping-particle":"de","parse-names":false,"suffix":""},{"dropping-particle":"","family":"Lier","given":"Bart","non-dropping-particle":"van","parse-names":false,"suffix":""},{"dropping-particle":"","family":"Arts","given":"Peer","non-dropping-particle":"","parse-names":false,"suffix":""},{"dropping-particle":"","family":"Wieskamp","given":"Nienke","non-dropping-particle":"","parse-names":false,"suffix":""},{"dropping-particle":"","family":"Rosario","given":"Marisol","non-dropping-particle":"del","parse-names":false,"suffix":""},{"dropping-particle":"","family":"Bon","given":"Bregje W M","non-dropping-particle":"van","parse-names":false,"suffix":""},{"dropping-particle":"","family":"Hoischen","given":"Alexander","non-dropping-particle":"","parse-names":false,"suffix":""},{"dropping-particle":"","family":"Vries","given":"Bert B A","non-dropping-particle":"de","parse-names":false,"suffix":""},{"dropping-particle":"","family":"Brunner","given":"Han G","non-dropping-particle":"","parse-names":false,"suffix":""},{"dropping-particle":"","family":"Veltman","given":"Joris A","non-dropping-particle":"","parse-names":false,"suffix":""}],"container-title":"Nature genetics","id":"ITEM-1","issue":"12","issued":{"date-parts":[["2010","12"]]},"page":"1109-12","title":"A de novo paradigm for mental retardation.","type":"article-journal","volume":"42"},"uris":["http://www.mendeley.com/documents/?uuid=75d0af30-e60a-4578-b70e-7e4b6f7766aa"]}],"mendeley":{"formattedCitation":"[Vissers et al., 2010]","plainTextFormattedCitation":"[Vissers et al., 2010]","previouslyFormattedCitation":"[1]"},"properties":{"noteIndex":0},"schema":"https://github.com/citation-style-language/schema/raw/master/csl-citation.json"}</w:instrText>
      </w:r>
      <w:r w:rsidR="00810CBB" w:rsidRPr="00D75C5C">
        <w:rPr>
          <w:rStyle w:val="Appelnotedebasdep"/>
          <w:lang w:val="en-US"/>
        </w:rPr>
        <w:fldChar w:fldCharType="separate"/>
      </w:r>
      <w:r w:rsidR="00D60FC9" w:rsidRPr="00D75C5C">
        <w:rPr>
          <w:noProof/>
          <w:lang w:val="en-US"/>
        </w:rPr>
        <w:t>[Vissers et al., 2010]</w:t>
      </w:r>
      <w:r w:rsidR="00810CBB" w:rsidRPr="00D75C5C">
        <w:rPr>
          <w:rStyle w:val="Appelnotedebasdep"/>
          <w:lang w:val="en-US"/>
        </w:rPr>
        <w:fldChar w:fldCharType="end"/>
      </w:r>
      <w:r w:rsidR="00AA6175" w:rsidRPr="00D75C5C">
        <w:rPr>
          <w:lang w:val="en-US"/>
        </w:rPr>
        <w:t xml:space="preserve">. </w:t>
      </w:r>
      <w:r w:rsidR="001A57A1" w:rsidRPr="00D75C5C">
        <w:rPr>
          <w:i/>
          <w:lang w:val="en-US"/>
        </w:rPr>
        <w:t>De novo</w:t>
      </w:r>
      <w:r w:rsidR="001A57A1" w:rsidRPr="00D75C5C">
        <w:rPr>
          <w:lang w:val="en-US"/>
        </w:rPr>
        <w:t xml:space="preserve"> mutations of </w:t>
      </w:r>
      <w:r w:rsidR="001A57A1" w:rsidRPr="00D75C5C">
        <w:rPr>
          <w:i/>
          <w:lang w:val="en-US"/>
        </w:rPr>
        <w:t>YY1</w:t>
      </w:r>
      <w:r w:rsidR="001A57A1" w:rsidRPr="00D75C5C">
        <w:rPr>
          <w:lang w:val="en-US"/>
        </w:rPr>
        <w:t xml:space="preserve"> (n=10) or small deletions encompassing </w:t>
      </w:r>
      <w:r w:rsidR="001A57A1" w:rsidRPr="00D75C5C">
        <w:rPr>
          <w:i/>
          <w:lang w:val="en-US"/>
        </w:rPr>
        <w:t>YY1</w:t>
      </w:r>
      <w:r w:rsidR="001A57A1" w:rsidRPr="00D75C5C">
        <w:rPr>
          <w:lang w:val="en-US"/>
        </w:rPr>
        <w:t xml:space="preserve"> (n=13) were reported in 23 individuals with a phenotype encompassing cognitive impairment, behavioral alterations, intrauterine growth restriction, feeding problems, and in some cases various congenital malformations</w:t>
      </w:r>
      <w:r w:rsidR="00810CBB" w:rsidRPr="00D75C5C">
        <w:rPr>
          <w:rStyle w:val="Appelnotedebasdep"/>
          <w:lang w:val="en-US"/>
        </w:rPr>
        <w:fldChar w:fldCharType="begin" w:fldLock="1"/>
      </w:r>
      <w:r w:rsidR="00D60FC9" w:rsidRPr="00D75C5C">
        <w:rPr>
          <w:lang w:val="en-US"/>
        </w:rPr>
        <w:instrText>ADDIN CSL_CITATION {"citationItems":[{"id":"ITEM-1","itemData":{"DOI":"10.1016/j.ajhg.2017.05.006","ISSN":"1537-6605","PMID":"28575647","abstract":"Yin and yang 1 (YY1) is a well-known zinc-finger transcription factor with crucial roles in normal development and malignancy. YY1 acts both as a repressor and as an activator of gene expression. We have identified 23 individuals with de novo mutations or deletions of YY1 and phenotypic features that define a syndrome of cognitive impairment, behavioral alterations, intrauterine growth restriction, feeding problems, and various congenital malformations. Our combined clinical and molecular data define \"YY1 syndrome\" as a haploinsufficiency syndrome. Through immunoprecipitation of YY1-bound chromatin from affected individuals' cells with antibodies recognizing both ends of the protein, we show that YY1 deletions and missense mutations lead to a global loss of YY1 binding with a preferential retention at high-occupancy sites. Finally, we uncover a widespread loss of H3K27 acetylation in particular on the YY1-bound enhancers, underscoring a crucial role for YY1 in enhancer regulation. Collectively, these results define a clinical syndrome caused by haploinsufficiency of YY1 through dysregulation of key transcriptional regulators.","author":[{"dropping-particle":"","family":"Gabriele","given":"Michele","non-dropping-particle":"","parse-names":false,"suffix":""},{"dropping-particle":"","family":"Vulto-van Silfhout","given":"Anneke T","non-dropping-particle":"","parse-names":false,"suffix":""},{"dropping-particle":"","family":"Germain","given":"Pierre-Luc","non-dropping-particle":"","parse-names":false,"suffix":""},{"dropping-particle":"","family":"Vitriolo","given":"Alessandro","non-dropping-particle":"","parse-names":false,"suffix":""},{"dropping-particle":"","family":"Kumar","given":"Raman","non-dropping-particle":"","parse-names":false,"suffix":""},{"dropping-particle":"","family":"Douglas","given":"Evelyn","non-dropping-particle":"","parse-names":false,"suffix":""},{"dropping-particle":"","family":"Haan","given":"Eric","non-dropping-particle":"","parse-names":false,"suffix":""},{"dropping-particle":"","family":"Kosaki","given":"Kenjiro","non-dropping-particle":"","parse-names":false,"suffix":""},{"dropping-particle":"","family":"Takenouchi","given":"Toshiki","non-dropping-particle":"","parse-names":false,"suffix":""},{"dropping-particle":"","family":"Rauch","given":"Anita","non-dropping-particle":"","parse-names":false,"suffix":""},{"dropping-particle":"","family":"Steindl","given":"Katharina","non-dropping-particle":"","parse-names":false,"suffix":""},{"dropping-particle":"","family":"Frengen","given":"Eirik","non-dropping-particle":"","parse-names":false,"suffix":""},{"dropping-particle":"","family":"Misceo","given":"Doriana","non-dropping-particle":"","parse-names":false,"suffix":""},{"dropping-particle":"","family":"Pedurupillay","given":"Christeen Ramane J","non-dropping-particle":"","parse-names":false,"suffix":""},{"dropping-particle":"","family":"Stromme","given":"Petter","non-dropping-particle":"","parse-names":false,"suffix":""},{"dropping-particle":"","family":"Rosenfeld","given":"Jill A","non-dropping-particle":"","parse-names":false,"suffix":""},{"dropping-particle":"","family":"Shao","given":"Yunru","non-dropping-particle":"","parse-names":false,"suffix":""},{"dropping-particle":"","family":"Craigen","given":"William J","non-dropping-particle":"","parse-names":false,"suffix":""},{"dropping-particle":"","family":"Schaaf","given":"Christian P","non-dropping-particle":"","parse-names":false,"suffix":""},{"dropping-particle":"","family":"Rodriguez-Buritica","given":"David","non-dropping-particle":"","parse-names":false,"suffix":""},{"dropping-particle":"","family":"Farach","given":"Laura","non-dropping-particle":"","parse-names":false,"suffix":""},{"dropping-particle":"","family":"Friedman","given":"Jennifer","non-dropping-particle":"","parse-names":false,"suffix":""},{"dropping-particle":"","family":"Thulin","given":"Perla","non-dropping-particle":"","parse-names":false,"suffix":""},{"dropping-particle":"","family":"McLean","given":"Scott D","non-dropping-particle":"","parse-names":false,"suffix":""},{"dropping-particle":"","family":"Nugent","given":"Kimberly M","non-dropping-particle":"","parse-names":false,"suffix":""},{"dropping-particle":"","family":"Morton","given":"Jenny","non-dropping-particle":"","parse-names":false,"suffix":""},{"dropping-particle":"","family":"Nicholl","given":"Jillian","non-dropping-particle":"","parse-names":false,"suffix":""},{"dropping-particle":"","family":"Andrieux","given":"Joris","non-dropping-particle":"","parse-names":false,"suffix":""},{"dropping-particle":"","family":"Stray-Pedersen","given":"Asbjørg","non-dropping-particle":"","parse-names":false,"suffix":""},{"dropping-particle":"","family":"Chambon","given":"Pascal","non-dropping-particle":"","parse-names":false,"suffix":""},{"dropping-particle":"","family":"Patrier","given":"Sophie","non-dropping-particle":"","parse-names":false,"suffix":""},{"dropping-particle":"","family":"Lynch","given":"Sally A","non-dropping-particle":"","parse-names":false,"suffix":""},{"dropping-particle":"","family":"Kjaergaard","given":"Susanne","non-dropping-particle":"","parse-names":false,"suffix":""},{"dropping-particle":"","family":"Tørring","given":"Pernille M","non-dropping-particle":"","parse-names":false,"suffix":""},{"dropping-particle":"","family":"Brasch-Andersen","given":"Charlotte","non-dropping-particle":"","parse-names":false,"suffix":""},{"dropping-particle":"","family":"Ronan","given":"Anne","non-dropping-particle":"","parse-names":false,"suffix":""},{"dropping-particle":"","family":"Haeringen","given":"Arie","non-dropping-particle":"van","parse-names":false,"suffix":""},{"dropping-particle":"","family":"Anderson","given":"Peter J","non-dropping-particle":"","parse-names":false,"suffix":""},{"dropping-particle":"","family":"Powis","given":"Zöe","non-dropping-particle":"","parse-names":false,"suffix":""},{"dropping-particle":"","family":"Brunner","given":"Han G","non-dropping-particle":"","parse-names":false,"suffix":""},{"dropping-particle":"","family":"Pfundt","given":"Rolph","non-dropping-particle":"","parse-names":false,"suffix":""},{"dropping-particle":"","family":"Schuurs-Hoeijmakers","given":"Janneke H M","non-dropping-particle":"","parse-names":false,"suffix":""},{"dropping-particle":"","family":"Bon","given":"Bregje W M","non-dropping-particle":"van","parse-names":false,"suffix":""},{"dropping-particle":"","family":"Lelieveld","given":"Stefan","non-dropping-particle":"","parse-names":false,"suffix":""},{"dropping-particle":"","family":"Gilissen","given":"Christian","non-dropping-particle":"","parse-names":false,"suffix":""},{"dropping-particle":"","family":"Nillesen","given":"Willy M","non-dropping-particle":"","parse-names":false,"suffix":""},{"dropping-particle":"","family":"Vissers","given":"Lisenka E L M","non-dropping-particle":"","parse-names":false,"suffix":""},{"dropping-particle":"","family":"Gecz","given":"Jozef","non-dropping-particle":"","parse-names":false,"suffix":""},{"dropping-particle":"","family":"Koolen","given":"David A","non-dropping-particle":"","parse-names":false,"suffix":""},{"dropping-particle":"","family":"Testa","given":"Giuseppe","non-dropping-particle":"","parse-names":false,"suffix":""},{"dropping-particle":"","family":"Vries","given":"Bert B A","non-dropping-particle":"de","parse-names":false,"suffix":""}],"container-title":"American journal of human genetics","id":"ITEM-1","issue":"6","issued":{"date-parts":[["2017","6","1"]]},"page":"907-925","title":"YY1 Haploinsufficiency Causes an Intellectual Disability Syndrome Featuring Transcriptional and Chromatin Dysfunction.","type":"article-journal","volume":"100"},"uris":["http://www.mendeley.com/documents/?uuid=31af457b-5681-4feb-990b-1232e48d13cf"]}],"mendeley":{"formattedCitation":"[Gabriele et al., 2017]","plainTextFormattedCitation":"[Gabriele et al., 2017]","previouslyFormattedCitation":"[2]"},"properties":{"noteIndex":0},"schema":"https://github.com/citation-style-language/schema/raw/master/csl-citation.json"}</w:instrText>
      </w:r>
      <w:r w:rsidR="00810CBB" w:rsidRPr="00D75C5C">
        <w:rPr>
          <w:rStyle w:val="Appelnotedebasdep"/>
          <w:lang w:val="en-US"/>
        </w:rPr>
        <w:fldChar w:fldCharType="separate"/>
      </w:r>
      <w:r w:rsidR="00D60FC9" w:rsidRPr="00D75C5C">
        <w:rPr>
          <w:noProof/>
          <w:lang w:val="en-US"/>
        </w:rPr>
        <w:t>[Gabriele et al., 2017]</w:t>
      </w:r>
      <w:r w:rsidR="00810CBB" w:rsidRPr="00D75C5C">
        <w:rPr>
          <w:rStyle w:val="Appelnotedebasdep"/>
          <w:lang w:val="en-US"/>
        </w:rPr>
        <w:fldChar w:fldCharType="end"/>
      </w:r>
      <w:r w:rsidR="00AA6175" w:rsidRPr="00D75C5C">
        <w:rPr>
          <w:lang w:val="en-US"/>
        </w:rPr>
        <w:t xml:space="preserve">. </w:t>
      </w:r>
      <w:r w:rsidR="001A57A1" w:rsidRPr="00D75C5C">
        <w:rPr>
          <w:lang w:val="en-US"/>
        </w:rPr>
        <w:t>This condition, initially labeled as “YY1 syndrome”, was su</w:t>
      </w:r>
      <w:r w:rsidRPr="00D75C5C">
        <w:rPr>
          <w:lang w:val="en-US"/>
        </w:rPr>
        <w:t xml:space="preserve">bsequently renamed “Gabriele-de </w:t>
      </w:r>
      <w:r w:rsidR="001A57A1" w:rsidRPr="00D75C5C">
        <w:rPr>
          <w:lang w:val="en-US"/>
        </w:rPr>
        <w:t>Vries s</w:t>
      </w:r>
      <w:r w:rsidR="00AA6175" w:rsidRPr="00D75C5C">
        <w:rPr>
          <w:lang w:val="en-US"/>
        </w:rPr>
        <w:t xml:space="preserve">yndrome” in the OMIM database. </w:t>
      </w:r>
      <w:r w:rsidR="001A57A1" w:rsidRPr="00D75C5C">
        <w:rPr>
          <w:lang w:val="en-US"/>
        </w:rPr>
        <w:t>One further case has been publ</w:t>
      </w:r>
      <w:r w:rsidR="00AA6175" w:rsidRPr="00D75C5C">
        <w:rPr>
          <w:lang w:val="en-US"/>
        </w:rPr>
        <w:t>ished since the original report</w:t>
      </w:r>
      <w:r w:rsidR="00810CBB" w:rsidRPr="00D75C5C">
        <w:rPr>
          <w:rStyle w:val="Appelnotedebasdep"/>
          <w:lang w:val="en-US"/>
        </w:rPr>
        <w:fldChar w:fldCharType="begin" w:fldLock="1"/>
      </w:r>
      <w:r w:rsidR="00D60FC9" w:rsidRPr="00D75C5C">
        <w:rPr>
          <w:lang w:val="en-US"/>
        </w:rPr>
        <w:instrText>ADDIN CSL_CITATION {"citationItems":[{"id":"ITEM-1","itemData":{"DOI":"10.1002/ajmg.a.40626","ISSN":"1552-4833","PMID":"30549423","abstract":"Exome sequencing is being used increasingly to evaluate patients with intellectual disability. YY1 is a ubiquitously distributed transcription factor belonging to the GLIKruppel class of zinc finger proteins recently recognized as the causative gene in 23 patients for the Gabriele-de Vries syndrome. We report a new case with similar features and a novel variant in YY1, in a region of the gene, which has not previously been reported. A 25 year old female was referred to clinical genetics with a diagnosis of autoimmune myasthenia gravis, facial dysmorphism and learning disability. Chromosomal microarray and gene panel test for congenital myasthenic syndrome was negative. Whole exome sequencing (WES) revealed a presumed pathogenic de novo novel, heterozygous, truncating variant in the YY1 gene, c.860_864delTTAAAA, p.Ile287Argfs*3. The Ile287 residue is conserved across species and is situated in the transcription repressor domain of the protein. This variant is novel and lies in a domain of the protein where no previously reported variants occur. The phenotypic features of our case closely match those of the reported patients. Autoimmune myasthenia gravis has not been reported in these patients and may constitute an expansion of this phenotypic spectrum or perhaps more likely a second unrelated diagnosis.","author":[{"dropping-particle":"","family":"Morales-Rosado","given":"Joel A","non-dropping-particle":"","parse-names":false,"suffix":""},{"dropping-particle":"","family":"Kaiwar","given":"Charu","non-dropping-particle":"","parse-names":false,"suffix":""},{"dropping-particle":"","family":"Smith","given":"Benn E","non-dropping-particle":"","parse-names":false,"suffix":""},{"dropping-particle":"","family":"Klee","given":"Eric W","non-dropping-particle":"","parse-names":false,"suffix":""},{"dropping-particle":"","family":"Dhamija","given":"Radhika","non-dropping-particle":"","parse-names":false,"suffix":""}],"container-title":"American journal of medical genetics. Part A","id":"ITEM-1","issue":"12","issued":{"date-parts":[["2018"]]},"page":"2846-2849","title":"A case of YY1-associated syndromic learning disability or Gabriele-de Vries syndrome with myasthenia gravis.","type":"article-journal","volume":"176"},"uris":["http://www.mendeley.com/documents/?uuid=9b4eb392-d765-4da9-9391-864eab180547"]}],"mendeley":{"formattedCitation":"[Morales-Rosado et al., 2018]","plainTextFormattedCitation":"[Morales-Rosado et al., 2018]","previouslyFormattedCitation":"[3]"},"properties":{"noteIndex":0},"schema":"https://github.com/citation-style-language/schema/raw/master/csl-citation.json"}</w:instrText>
      </w:r>
      <w:r w:rsidR="00810CBB" w:rsidRPr="00D75C5C">
        <w:rPr>
          <w:rStyle w:val="Appelnotedebasdep"/>
          <w:lang w:val="en-US"/>
        </w:rPr>
        <w:fldChar w:fldCharType="separate"/>
      </w:r>
      <w:r w:rsidR="00D60FC9" w:rsidRPr="00D75C5C">
        <w:rPr>
          <w:noProof/>
          <w:lang w:val="en-US"/>
        </w:rPr>
        <w:t>[Morales-Rosado et al., 2018]</w:t>
      </w:r>
      <w:r w:rsidR="00810CBB" w:rsidRPr="00D75C5C">
        <w:rPr>
          <w:rStyle w:val="Appelnotedebasdep"/>
          <w:lang w:val="en-US"/>
        </w:rPr>
        <w:fldChar w:fldCharType="end"/>
      </w:r>
      <w:r w:rsidR="000017DA" w:rsidRPr="00D75C5C">
        <w:rPr>
          <w:lang w:val="en-US"/>
        </w:rPr>
        <w:t xml:space="preserve">, </w:t>
      </w:r>
      <w:r w:rsidR="00810CBB" w:rsidRPr="00D75C5C">
        <w:rPr>
          <w:lang w:val="en-US"/>
        </w:rPr>
        <w:t>leading to a total of 14 patients in the Human Disease Genes websites series [</w:t>
      </w:r>
      <w:hyperlink r:id="rId8" w:history="1">
        <w:r w:rsidR="00810CBB" w:rsidRPr="00D75C5C">
          <w:rPr>
            <w:rStyle w:val="Lienhypertexte"/>
            <w:lang w:val="en-US"/>
          </w:rPr>
          <w:t>https://humandiseasegenes.nl/yy1/</w:t>
        </w:r>
      </w:hyperlink>
      <w:r w:rsidR="000017DA" w:rsidRPr="00D75C5C">
        <w:rPr>
          <w:lang w:val="en-US"/>
        </w:rPr>
        <w:t>]</w:t>
      </w:r>
      <w:r w:rsidR="00AA6175" w:rsidRPr="00D75C5C">
        <w:rPr>
          <w:lang w:val="en-US"/>
        </w:rPr>
        <w:t>.</w:t>
      </w:r>
    </w:p>
    <w:p w:rsidR="001A57A1" w:rsidRPr="00D75C5C" w:rsidRDefault="001A57A1" w:rsidP="001A57A1">
      <w:pPr>
        <w:autoSpaceDE w:val="0"/>
        <w:autoSpaceDN w:val="0"/>
        <w:adjustRightInd w:val="0"/>
        <w:spacing w:after="0" w:line="360" w:lineRule="auto"/>
        <w:jc w:val="both"/>
        <w:rPr>
          <w:lang w:val="en-US"/>
        </w:rPr>
      </w:pPr>
      <w:r w:rsidRPr="00D75C5C">
        <w:rPr>
          <w:i/>
          <w:lang w:val="en-US"/>
        </w:rPr>
        <w:t>YY1</w:t>
      </w:r>
      <w:r w:rsidRPr="00D75C5C">
        <w:rPr>
          <w:lang w:val="en-US"/>
        </w:rPr>
        <w:t xml:space="preserve"> encodes a 414-amino acid zinc-finger transcription factor with known roles in both direct repression and activation of gene expression, cofactor recruitment to transcriptional regions, and possibly aiding chromatin remodeling</w:t>
      </w:r>
      <w:r w:rsidR="00810CBB" w:rsidRPr="00D75C5C">
        <w:rPr>
          <w:rStyle w:val="Appelnotedebasdep"/>
          <w:lang w:val="en-US"/>
        </w:rPr>
        <w:fldChar w:fldCharType="begin" w:fldLock="1"/>
      </w:r>
      <w:r w:rsidR="00D60FC9" w:rsidRPr="00D75C5C">
        <w:rPr>
          <w:lang w:val="en-US"/>
        </w:rPr>
        <w:instrText>ADDIN CSL_CITATION {"citationItems":[{"id":"ITEM-1","itemData":{"DOI":"10.1073/pnas.1503696112","ISSN":"1091-6490","PMID":"25787250","abstract":"Insulinomas are pancreatic islet tumors that inappropriately secrete insulin, producing hypoglycemia. Exome and targeted sequencing revealed that 14 of 43 insulinomas harbored the identical somatic mutation in the DNA-binding zinc finger of the transcription factor Yin Yang 1 (YY1). Chromatin immunoprecipitation sequencing (ChIP-Seq) showed that this T372R substitution changes the DNA motif bound by YY1. Global analysis of gene expression demonstrated distinct clustering of tumors with and without YY1(T372R) mutations. Genes showing large increases in expression in YY1(T372R) tumors included ADCY1 (an adenylyl cyclase) and CACNA2D2 (a Ca(2+) channel); both are expressed at very low levels in normal β-cells and show mutation-specific YY1 binding sites. Both gene products are involved in key pathways regulating insulin secretion. Expression of these genes in rat INS-1 cells demonstrated markedly increased insulin secretion. These findings indicate that YY1(T372R) mutations are neomorphic, resulting in constitutive activation of cAMP and Ca(2+) signaling pathways involved in insulin secretion.","author":[{"dropping-particle":"","family":"Cromer","given":"M Kyle","non-dropping-particle":"","parse-names":false,"suffix":""},{"dropping-particle":"","family":"Choi","given":"Murim","non-dropping-particle":"","parse-names":false,"suffix":""},{"dropping-particle":"","family":"Nelson-Williams","given":"Carol","non-dropping-particle":"","parse-names":false,"suffix":""},{"dropping-particle":"","family":"Fonseca","given":"Annabelle L","non-dropping-particle":"","parse-names":false,"suffix":""},{"dropping-particle":"","family":"Kunstman","given":"John W","non-dropping-particle":"","parse-names":false,"suffix":""},{"dropping-particle":"","family":"Korah","given":"Reju M","non-dropping-particle":"","parse-names":false,"suffix":""},{"dropping-particle":"","family":"Overton","given":"John D","non-dropping-particle":"","parse-names":false,"suffix":""},{"dropping-particle":"","family":"Mane","given":"Shrikant","non-dropping-particle":"","parse-names":false,"suffix":""},{"dropping-particle":"","family":"Kenney","given":"Barton","non-dropping-particle":"","parse-names":false,"suffix":""},{"dropping-particle":"","family":"Malchoff","given":"Carl D","non-dropping-particle":"","parse-names":false,"suffix":""},{"dropping-particle":"","family":"Stalberg","given":"Peter","non-dropping-particle":"","parse-names":false,"suffix":""},{"dropping-particle":"","family":"Akerström","given":"Göran","non-dropping-particle":"","parse-names":false,"suffix":""},{"dropping-particle":"","family":"Westin","given":"Gunnar","non-dropping-particle":"","parse-names":false,"suffix":""},{"dropping-particle":"","family":"Hellman","given":"Per","non-dropping-particle":"","parse-names":false,"suffix":""},{"dropping-particle":"","family":"Carling","given":"Tobias","non-dropping-particle":"","parse-names":false,"suffix":""},{"dropping-particle":"","family":"Björklund","given":"Peyman","non-dropping-particle":"","parse-names":false,"suffix":""},{"dropping-particle":"","family":"Lifton","given":"Richard P","non-dropping-particle":"","parse-names":false,"suffix":""}],"container-title":"Proceedings of the National Academy of Sciences of the United States of America","id":"ITEM-1","issue":"13","issued":{"date-parts":[["2015","3","31"]]},"page":"4062-7","title":"Neomorphic effects of recurrent somatic mutations in Yin Yang 1 in insulin-producing adenomas.","type":"article-journal","volume":"112"},"uris":["http://www.mendeley.com/documents/?uuid=c93f628c-43b2-4b68-a492-99aab8d7c065"]},{"id":"ITEM-2","itemData":{"DOI":"10.1242/dev.01344","ISSN":"0950-1991","PMID":"15329343","abstract":"Prior work has indicated that BMP signals act in concert with FGF8, WNT11 and WNT antagonists to induce the formation of cardiac tissue in the vertebrate embryo. In an effort to understand how these signaling pathways control the expression of key cardiac regulators, we have characterized the cis-regulatory elements of the chick tinman homolog chick Nkx2.5. We find that at least three distinct cardiac activating regions (CARs) of chick Nkx2.5 cooperate to regulate early expression in the cardiac crescent and later segmental expression in the developing heart. In this report, we focus our attention on a 3' BMP-responsive enhancer, termed CAR3, which directs robust cardiac transgene expression. By systematic mutagenesis and gel shift analysis of this enhancer, we demonstrate that GATA4/5/6, YY1 and SMAD1/4 are all necessary for BMP-mediated induction and heart-specific expression of CAR3. Adjacent YY1 and SMAD-binding sites within CAR3 constitute a minimal BMP response element, and interaction of SMAD1/4 with the N terminus of YY1 is required for BMP-mediated induction of CAR3. Our data suggest that BMP-mediated activation of this regulatory region reflects both the induction of GATA genes by BMP signals, as well as modulation of the transcriptional activity of YY1 by direct interaction of this transcription factor with BMP-activated SMADs.","author":[{"dropping-particle":"","family":"Lee","given":"Kyu-Ho","non-dropping-particle":"","parse-names":false,"suffix":""},{"dropping-particle":"","family":"Evans","given":"Samuel","non-dropping-particle":"","parse-names":false,"suffix":""},{"dropping-particle":"","family":"Ruan","given":"Todd Y","non-dropping-particle":"","parse-names":false,"suffix":""},{"dropping-particle":"","family":"Lassar","given":"Andrew B","non-dropping-particle":"","parse-names":false,"suffix":""}],"container-title":"Development (Cambridge, England)","id":"ITEM-2","issue":"19","issued":{"date-parts":[["2004","10"]]},"page":"4709-23","title":"SMAD-mediated modulation of YY1 activity regulates the BMP response and cardiac-specific expression of a GATA4/5/6-dependent chick Nkx2.5 enhancer.","type":"article-journal","volume":"131"},"uris":["http://www.mendeley.com/documents/?uuid=f02fe9db-31a2-4c6d-9320-a3f2843f0ee0"]}],"mendeley":{"formattedCitation":"[Cromer et al., 2015; Lee et al., 2004]","plainTextFormattedCitation":"[Cromer et al., 2015; Lee et al., 2004]","previouslyFormattedCitation":"[4,5]"},"properties":{"noteIndex":0},"schema":"https://github.com/citation-style-language/schema/raw/master/csl-citation.json"}</w:instrText>
      </w:r>
      <w:r w:rsidR="00810CBB" w:rsidRPr="00D75C5C">
        <w:rPr>
          <w:rStyle w:val="Appelnotedebasdep"/>
          <w:lang w:val="en-US"/>
        </w:rPr>
        <w:fldChar w:fldCharType="separate"/>
      </w:r>
      <w:r w:rsidR="00D60FC9" w:rsidRPr="00D75C5C">
        <w:rPr>
          <w:noProof/>
          <w:lang w:val="en-US"/>
        </w:rPr>
        <w:t>[Cromer et al., 2015; Lee et al., 2004]</w:t>
      </w:r>
      <w:r w:rsidR="00810CBB" w:rsidRPr="00D75C5C">
        <w:rPr>
          <w:rStyle w:val="Appelnotedebasdep"/>
          <w:lang w:val="en-US"/>
        </w:rPr>
        <w:fldChar w:fldCharType="end"/>
      </w:r>
      <w:r w:rsidR="00AA6175" w:rsidRPr="00D75C5C">
        <w:rPr>
          <w:lang w:val="en-US"/>
        </w:rPr>
        <w:t xml:space="preserve">. </w:t>
      </w:r>
      <w:r w:rsidRPr="00D75C5C">
        <w:rPr>
          <w:lang w:val="en-US"/>
        </w:rPr>
        <w:t>Other reported functions include activation of peripheral myelination</w:t>
      </w:r>
      <w:r w:rsidR="00810CBB" w:rsidRPr="00D75C5C">
        <w:rPr>
          <w:rStyle w:val="Appelnotedebasdep"/>
          <w:lang w:val="en-US"/>
        </w:rPr>
        <w:fldChar w:fldCharType="begin" w:fldLock="1"/>
      </w:r>
      <w:r w:rsidR="00D60FC9" w:rsidRPr="00D75C5C">
        <w:rPr>
          <w:lang w:val="en-US"/>
        </w:rPr>
        <w:instrText>ADDIN CSL_CITATION {"citationItems":[{"id":"ITEM-1","itemData":{"DOI":"10.1038/nn.2686","ISSN":"1546-1726","PMID":"21057508","abstract":"Fast axonal conduction depends on myelin, which is formed by Schwann cells in the PNS. We found that the transcription factor Yin Yang 1 (YY1) is crucial for peripheral myelination. Conditional ablation of Yy1 in the Schwann cell lineage resulted in severe hypomyelination, which occurred independently of altered Schwann cell proliferation or apoptosis. In Yy1 mutant mice, Schwann cells established a 1:1 relationship with axons but were unable to myelinate them. The Schwann cells expressed low levels of myelin proteins and of Egr2 (also called Krox20), which is an important regulator of peripheral myelination. In vitro, Schwann cells that lacked Yy1 did not upregulate Egr2 in response to neuregulin1 and did not express myelin protein zero. This phenotype was rescued by overexpression of Egr2. In addition, neuregulin-induced phosphorylation of YY1 was required for transcriptional activation of Egr2. Thus, YY1 emerges as an important activator of peripheral myelination that links neuregulin signaling with Egr2 expression.","author":[{"dropping-particle":"","family":"He","given":"Ye","non-dropping-particle":"","parse-names":false,"suffix":""},{"dropping-particle":"","family":"Kim","given":"Jin Young","non-dropping-particle":"","parse-names":false,"suffix":""},{"dropping-particle":"","family":"Dupree","given":"Jeffrey","non-dropping-particle":"","parse-names":false,"suffix":""},{"dropping-particle":"","family":"Tewari","given":"Ambika","non-dropping-particle":"","parse-names":false,"suffix":""},{"dropping-particle":"","family":"Melendez-Vasquez","given":"Carmen","non-dropping-particle":"","parse-names":false,"suffix":""},{"dropping-particle":"","family":"Svaren","given":"John","non-dropping-particle":"","parse-names":false,"suffix":""},{"dropping-particle":"","family":"Casaccia","given":"Patrizia","non-dropping-particle":"","parse-names":false,"suffix":""}],"container-title":"Nature neuroscience","id":"ITEM-1","issue":"12","issued":{"date-parts":[["2010","12"]]},"page":"1472-80","title":"Yy1 as a molecular link between neuregulin and transcriptional modulation of peripheral myelination.","type":"article-journal","volume":"13"},"uris":["http://www.mendeley.com/documents/?uuid=33a24048-e573-4efb-9dbd-40c3f209e2ae"]}],"mendeley":{"formattedCitation":"[He et al., 2010]","plainTextFormattedCitation":"[He et al., 2010]","previouslyFormattedCitation":"[6]"},"properties":{"noteIndex":0},"schema":"https://github.com/citation-style-language/schema/raw/master/csl-citation.json"}</w:instrText>
      </w:r>
      <w:r w:rsidR="00810CBB" w:rsidRPr="00D75C5C">
        <w:rPr>
          <w:rStyle w:val="Appelnotedebasdep"/>
          <w:lang w:val="en-US"/>
        </w:rPr>
        <w:fldChar w:fldCharType="separate"/>
      </w:r>
      <w:r w:rsidR="00D60FC9" w:rsidRPr="00D75C5C">
        <w:rPr>
          <w:noProof/>
          <w:lang w:val="en-US"/>
        </w:rPr>
        <w:t>[He et al., 2010]</w:t>
      </w:r>
      <w:r w:rsidR="00810CBB" w:rsidRPr="00D75C5C">
        <w:rPr>
          <w:rStyle w:val="Appelnotedebasdep"/>
          <w:lang w:val="en-US"/>
        </w:rPr>
        <w:fldChar w:fldCharType="end"/>
      </w:r>
      <w:r w:rsidRPr="00D75C5C">
        <w:rPr>
          <w:vertAlign w:val="superscript"/>
          <w:lang w:val="en-US"/>
        </w:rPr>
        <w:t xml:space="preserve"> </w:t>
      </w:r>
      <w:r w:rsidRPr="00D75C5C">
        <w:rPr>
          <w:lang w:val="en-US"/>
        </w:rPr>
        <w:t>and regulation of T-cell cytokine gene expressive a</w:t>
      </w:r>
      <w:r w:rsidR="00AA6175" w:rsidRPr="00D75C5C">
        <w:rPr>
          <w:lang w:val="en-US"/>
        </w:rPr>
        <w:t>nd the allergic immune response</w:t>
      </w:r>
      <w:r w:rsidR="00810CBB" w:rsidRPr="00D75C5C">
        <w:rPr>
          <w:rStyle w:val="Appelnotedebasdep"/>
          <w:lang w:val="en-US"/>
        </w:rPr>
        <w:fldChar w:fldCharType="begin" w:fldLock="1"/>
      </w:r>
      <w:r w:rsidR="00D60FC9" w:rsidRPr="00D75C5C">
        <w:rPr>
          <w:lang w:val="en-US"/>
        </w:rPr>
        <w:instrText>ADDIN CSL_CITATION {"citationItems":[{"id":"ITEM-1","itemData":{"DOI":"10.1016/j.jaci.2008.03.012","ISSN":"1097-6825","PMID":"18423564","abstract":"BACKGROUND The transcription factor Yin-Yang 1 (YY-1) binds to the promoter regions of several T-cell cytokine genes, but the expression and contribution of this factor to cytokine gene expression and T-cell activation in vivo is not clear. OBJECTIVE We sought to better define the role of YY-1 in T-cell gene regulation and allergic immune responses. METHODS We studied cytokine gene expression in T lymphocytes isolated from wild-type mice and heterozygous littermates bearing 1 targeted yy-1 allele (yy-1(+/-) mice). T cells were stimulated with anti-T-cell receptor (anti-TCR) plus CD28 antibodies or with peptide antigen plus antigen-presenting cells by using newly generated yy-1(+/-) TCR transgenic mice. We also studied ovalbumin-driven allergic immune responses in a mouse model of asthma and YY-1 expression in lung tissue from human asthmatic subjects. RESULTS CD4(+) T cells from yy-1(+/-) mice secreted significantly less IL-4 and IFN-gamma compared with wild-type littermates after TCR-dependent activation, whereas IL-2 production was not significantly affected. Both airway inflammation and recall splenocyte IL-4 production were inhibited in yy-1(+/-) mice, as was antigen-driven T-cell proliferation. YY-1 expression was higher in airway biopsy specimens from asthmatic compared with control subjects. CONCLUSION These data indicate that YY-1 regulates T-cell cytokine gene expression and allergic immune responses in a gene dose-dependent manner.","author":[{"dropping-particle":"","family":"Guo","given":"Jia","non-dropping-particle":"","parse-names":false,"suffix":""},{"dropping-particle":"","family":"Lin","given":"Xin","non-dropping-particle":"","parse-names":false,"suffix":""},{"dropping-particle":"","family":"Williams","given":"Marc A","non-dropping-particle":"","parse-names":false,"suffix":""},{"dropping-particle":"","family":"Hamid","given":"Qutayba","non-dropping-particle":"","parse-names":false,"suffix":""},{"dropping-particle":"","family":"Georas","given":"Steve N","non-dropping-particle":"","parse-names":false,"suffix":""}],"container-title":"The Journal of allergy and clinical immunology","id":"ITEM-1","issue":"1","issued":{"date-parts":[["2008","7"]]},"page":"195-201, 201.e1-5","title":"Yin-Yang 1 regulates effector cytokine gene expression and T(H)2 immune responses.","type":"article-journal","volume":"122"},"uris":["http://www.mendeley.com/documents/?uuid=3e8e561a-444b-4b3b-a8b3-6521219cd17f"]}],"mendeley":{"formattedCitation":"[Guo et al., 2008]","plainTextFormattedCitation":"[Guo et al., 2008]","previouslyFormattedCitation":"[7]"},"properties":{"noteIndex":0},"schema":"https://github.com/citation-style-language/schema/raw/master/csl-citation.json"}</w:instrText>
      </w:r>
      <w:r w:rsidR="00810CBB" w:rsidRPr="00D75C5C">
        <w:rPr>
          <w:rStyle w:val="Appelnotedebasdep"/>
          <w:lang w:val="en-US"/>
        </w:rPr>
        <w:fldChar w:fldCharType="separate"/>
      </w:r>
      <w:r w:rsidR="00D60FC9" w:rsidRPr="00D75C5C">
        <w:rPr>
          <w:noProof/>
          <w:lang w:val="en-US"/>
        </w:rPr>
        <w:t>[Guo et al., 2008]</w:t>
      </w:r>
      <w:r w:rsidR="00810CBB" w:rsidRPr="00D75C5C">
        <w:rPr>
          <w:rStyle w:val="Appelnotedebasdep"/>
          <w:lang w:val="en-US"/>
        </w:rPr>
        <w:fldChar w:fldCharType="end"/>
      </w:r>
      <w:r w:rsidR="00AA6175" w:rsidRPr="00D75C5C">
        <w:rPr>
          <w:lang w:val="en-US"/>
        </w:rPr>
        <w:t xml:space="preserve">. </w:t>
      </w:r>
      <w:r w:rsidRPr="00D75C5C">
        <w:rPr>
          <w:lang w:val="en-US"/>
        </w:rPr>
        <w:t xml:space="preserve">It is expressed in a variety of tissues and is well conserved across species. Complete loss of </w:t>
      </w:r>
      <w:r w:rsidRPr="00D75C5C">
        <w:rPr>
          <w:i/>
          <w:lang w:val="en-US"/>
        </w:rPr>
        <w:t>YY1</w:t>
      </w:r>
      <w:r w:rsidRPr="00D75C5C">
        <w:rPr>
          <w:lang w:val="en-US"/>
        </w:rPr>
        <w:t xml:space="preserve"> in mice results in early embryonic demise, whereas heterozygous mice display growth retardation, neurulation defects and brain abnormalities, supporting a haploinsufficiency-driven model of disease</w:t>
      </w:r>
      <w:r w:rsidR="00810CBB" w:rsidRPr="00D75C5C">
        <w:rPr>
          <w:rStyle w:val="Appelnotedebasdep"/>
          <w:lang w:val="en-US"/>
        </w:rPr>
        <w:fldChar w:fldCharType="begin" w:fldLock="1"/>
      </w:r>
      <w:r w:rsidR="00D60FC9" w:rsidRPr="00D75C5C">
        <w:rPr>
          <w:lang w:val="en-US"/>
        </w:rPr>
        <w:instrText>ADDIN CSL_CITATION {"citationItems":[{"id":"ITEM-1","itemData":{"DOI":"10.1111/j.1471-4159.2008.05486.x","ISSN":"1471-4159","PMID":"18485096","abstract":"The transcription factor Yin Yang 1 (YY1) is a multifunctional protein that can activate or repress gene expression depending on the cellular context. YY1 is ubiquitously expressed and highly conserved between species. However, its role varies in diverse cell types and includes proliferation, differentiation, and apoptosis. This review will focus on the function of YY1 in the nervous system including its role in neural development, neuronal function, developmental myelination, and neurological disease. The multiple functions of YY1 in distinct cell types are reviewed and the possible mechanisms underlying the cell specificity for these functions are discussed.","author":[{"dropping-particle":"","family":"He","given":"Ye","non-dropping-particle":"","parse-names":false,"suffix":""},{"dropping-particle":"","family":"Casaccia-Bonnefil","given":"Patrizia","non-dropping-particle":"","parse-names":false,"suffix":""}],"container-title":"Journal of neurochemistry","id":"ITEM-1","issue":"4","issued":{"date-parts":[["2008","8"]]},"page":"1493-502","title":"The Yin and Yang of YY1 in the nervous system.","type":"article-journal","volume":"106"},"uris":["http://www.mendeley.com/documents/?uuid=03632fbe-ebcb-4b27-a415-bc6d553ad1dc"]}],"mendeley":{"formattedCitation":"[He and Casaccia-Bonnefil, 2008]","plainTextFormattedCitation":"[He and Casaccia-Bonnefil, 2008]","previouslyFormattedCitation":"[8]"},"properties":{"noteIndex":0},"schema":"https://github.com/citation-style-language/schema/raw/master/csl-citation.json"}</w:instrText>
      </w:r>
      <w:r w:rsidR="00810CBB" w:rsidRPr="00D75C5C">
        <w:rPr>
          <w:rStyle w:val="Appelnotedebasdep"/>
          <w:lang w:val="en-US"/>
        </w:rPr>
        <w:fldChar w:fldCharType="separate"/>
      </w:r>
      <w:r w:rsidR="00D60FC9" w:rsidRPr="00D75C5C">
        <w:rPr>
          <w:noProof/>
          <w:lang w:val="en-US"/>
        </w:rPr>
        <w:t>[He and Casaccia-Bonnefil, 2008]</w:t>
      </w:r>
      <w:r w:rsidR="00810CBB" w:rsidRPr="00D75C5C">
        <w:rPr>
          <w:rStyle w:val="Appelnotedebasdep"/>
          <w:lang w:val="en-US"/>
        </w:rPr>
        <w:fldChar w:fldCharType="end"/>
      </w:r>
      <w:r w:rsidR="00AA6175" w:rsidRPr="00D75C5C">
        <w:rPr>
          <w:lang w:val="en-US"/>
        </w:rPr>
        <w:t>.</w:t>
      </w:r>
    </w:p>
    <w:p w:rsidR="001A57A1" w:rsidRPr="00D75C5C" w:rsidRDefault="001A57A1" w:rsidP="001A57A1">
      <w:pPr>
        <w:autoSpaceDE w:val="0"/>
        <w:autoSpaceDN w:val="0"/>
        <w:adjustRightInd w:val="0"/>
        <w:spacing w:after="0" w:line="360" w:lineRule="auto"/>
        <w:jc w:val="both"/>
        <w:rPr>
          <w:lang w:val="en-US"/>
        </w:rPr>
      </w:pPr>
      <w:r w:rsidRPr="00D75C5C">
        <w:rPr>
          <w:lang w:val="en-US"/>
        </w:rPr>
        <w:t xml:space="preserve">In the original series of 10 cases with </w:t>
      </w:r>
      <w:r w:rsidRPr="00D75C5C">
        <w:rPr>
          <w:i/>
          <w:lang w:val="en-US"/>
        </w:rPr>
        <w:t>de novo</w:t>
      </w:r>
      <w:r w:rsidRPr="00D75C5C">
        <w:rPr>
          <w:lang w:val="en-US"/>
        </w:rPr>
        <w:t xml:space="preserve"> mutations, five patients presented with a movement disorder: three had dystonia, one tremor, and one a waddling gait. However, the clinical description of the movement disorder phenotype in this syndrome remains very sparse, the emphasis of previous descriptions having been on developmental problems and dysmorphism. Here we report a 21-year-old woman with </w:t>
      </w:r>
      <w:r w:rsidR="00C45E49" w:rsidRPr="00D75C5C">
        <w:rPr>
          <w:lang w:val="en-US"/>
        </w:rPr>
        <w:t>a</w:t>
      </w:r>
      <w:r w:rsidRPr="00D75C5C">
        <w:rPr>
          <w:lang w:val="en-US"/>
        </w:rPr>
        <w:t xml:space="preserve"> </w:t>
      </w:r>
      <w:r w:rsidRPr="00D75C5C">
        <w:rPr>
          <w:i/>
          <w:lang w:val="en-US"/>
        </w:rPr>
        <w:t xml:space="preserve">YY1 </w:t>
      </w:r>
      <w:r w:rsidRPr="00D75C5C">
        <w:rPr>
          <w:lang w:val="en-US"/>
        </w:rPr>
        <w:t>missense variant in whom a severe, complex movement disorder was the most striking feature.</w:t>
      </w:r>
    </w:p>
    <w:p w:rsidR="001A57A1" w:rsidRPr="00D75C5C" w:rsidRDefault="001A57A1" w:rsidP="00B46620">
      <w:pPr>
        <w:autoSpaceDE w:val="0"/>
        <w:autoSpaceDN w:val="0"/>
        <w:adjustRightInd w:val="0"/>
        <w:spacing w:after="0" w:line="360" w:lineRule="auto"/>
        <w:jc w:val="both"/>
        <w:rPr>
          <w:lang w:val="en-US"/>
        </w:rPr>
      </w:pPr>
    </w:p>
    <w:p w:rsidR="00050344" w:rsidRPr="00D75C5C" w:rsidRDefault="00050344" w:rsidP="00E93F4F">
      <w:pPr>
        <w:pStyle w:val="Titre2"/>
        <w:rPr>
          <w:lang w:val="en-US"/>
        </w:rPr>
      </w:pPr>
      <w:r w:rsidRPr="00D75C5C">
        <w:rPr>
          <w:lang w:val="en-US"/>
        </w:rPr>
        <w:t>Case report</w:t>
      </w:r>
    </w:p>
    <w:p w:rsidR="001A57A1" w:rsidRPr="00D75C5C" w:rsidRDefault="001A57A1" w:rsidP="001A57A1">
      <w:pPr>
        <w:autoSpaceDE w:val="0"/>
        <w:autoSpaceDN w:val="0"/>
        <w:adjustRightInd w:val="0"/>
        <w:spacing w:after="0" w:line="360" w:lineRule="auto"/>
        <w:jc w:val="both"/>
        <w:rPr>
          <w:lang w:val="en-US"/>
        </w:rPr>
      </w:pPr>
      <w:r w:rsidRPr="00D75C5C">
        <w:rPr>
          <w:lang w:val="en-US"/>
        </w:rPr>
        <w:t>Our proband is the second child of a healthy non-consanguineous Portuguese couple.  Family history is unremarkable, including one healthy older brother. Following a normal pregnancy, she was born at 39 weeks’ gestation by vaginal delivery with a birth weight of 2580g (3</w:t>
      </w:r>
      <w:r w:rsidRPr="00D75C5C">
        <w:rPr>
          <w:vertAlign w:val="superscript"/>
          <w:lang w:val="en-US"/>
        </w:rPr>
        <w:t>rd</w:t>
      </w:r>
      <w:r w:rsidRPr="00D75C5C">
        <w:rPr>
          <w:lang w:val="en-US"/>
        </w:rPr>
        <w:t xml:space="preserve"> centile), length of 47cm (10</w:t>
      </w:r>
      <w:r w:rsidRPr="00D75C5C">
        <w:rPr>
          <w:vertAlign w:val="superscript"/>
          <w:lang w:val="en-US"/>
        </w:rPr>
        <w:t>th</w:t>
      </w:r>
      <w:r w:rsidRPr="00D75C5C">
        <w:rPr>
          <w:lang w:val="en-US"/>
        </w:rPr>
        <w:t xml:space="preserve"> centile) </w:t>
      </w:r>
      <w:r w:rsidR="009704AA" w:rsidRPr="00D75C5C">
        <w:rPr>
          <w:lang w:val="en-US"/>
        </w:rPr>
        <w:t xml:space="preserve">and head circumference </w:t>
      </w:r>
      <w:r w:rsidRPr="00D75C5C">
        <w:rPr>
          <w:lang w:val="en-US"/>
        </w:rPr>
        <w:t>of 33.5cm (10</w:t>
      </w:r>
      <w:r w:rsidRPr="00D75C5C">
        <w:rPr>
          <w:vertAlign w:val="superscript"/>
          <w:lang w:val="en-US"/>
        </w:rPr>
        <w:t>th</w:t>
      </w:r>
      <w:r w:rsidRPr="00D75C5C">
        <w:rPr>
          <w:lang w:val="en-US"/>
        </w:rPr>
        <w:t>-50</w:t>
      </w:r>
      <w:r w:rsidRPr="00D75C5C">
        <w:rPr>
          <w:vertAlign w:val="superscript"/>
          <w:lang w:val="en-US"/>
        </w:rPr>
        <w:t>th</w:t>
      </w:r>
      <w:r w:rsidRPr="00D75C5C">
        <w:rPr>
          <w:lang w:val="en-US"/>
        </w:rPr>
        <w:t xml:space="preserve"> centile). She was mildly hypotonic and experienced some feeding difficulties in the first year of life as well as repeated pulmonary infections. Early developmental milestones were described as normal with walking at the age of 11 months, first words at 12 months and sphincter control at three years, but a possible psychomotor delay was noted at age 30 months by her daycare educators. She had left divergent strabismus that was surgically corrected at age four. Attention deficit hyperactivity disorder was diagnosed and she was temporarily medicated with risperidone and methylphenidate.</w:t>
      </w:r>
    </w:p>
    <w:p w:rsidR="001A57A1" w:rsidRPr="00D75C5C" w:rsidRDefault="001A57A1" w:rsidP="001A57A1">
      <w:pPr>
        <w:autoSpaceDE w:val="0"/>
        <w:autoSpaceDN w:val="0"/>
        <w:adjustRightInd w:val="0"/>
        <w:spacing w:after="0" w:line="360" w:lineRule="auto"/>
        <w:jc w:val="both"/>
        <w:rPr>
          <w:lang w:val="en-US"/>
        </w:rPr>
      </w:pPr>
      <w:r w:rsidRPr="00D75C5C">
        <w:rPr>
          <w:lang w:val="en-US"/>
        </w:rPr>
        <w:t>She started elementary school aged seven: psychometric evaluation at that age revealed a delay of approximately tw</w:t>
      </w:r>
      <w:r w:rsidR="007536B9" w:rsidRPr="00D75C5C">
        <w:rPr>
          <w:lang w:val="en-US"/>
        </w:rPr>
        <w:t xml:space="preserve">o years in cognitive abilities. </w:t>
      </w:r>
      <w:r w:rsidRPr="00D75C5C">
        <w:rPr>
          <w:lang w:val="en-US"/>
        </w:rPr>
        <w:t xml:space="preserve">She received special educational support and successfully learned to read and write.  </w:t>
      </w:r>
    </w:p>
    <w:p w:rsidR="001A57A1" w:rsidRPr="00D75C5C" w:rsidRDefault="001A57A1" w:rsidP="001A57A1">
      <w:pPr>
        <w:autoSpaceDE w:val="0"/>
        <w:autoSpaceDN w:val="0"/>
        <w:adjustRightInd w:val="0"/>
        <w:spacing w:after="0" w:line="360" w:lineRule="auto"/>
        <w:jc w:val="both"/>
        <w:rPr>
          <w:lang w:val="en-US"/>
        </w:rPr>
      </w:pPr>
      <w:r w:rsidRPr="00D75C5C">
        <w:rPr>
          <w:lang w:val="en-US"/>
        </w:rPr>
        <w:t xml:space="preserve">An action tremor first developed at five years of age, initially in the upper extremities, left more than right, before becoming generalized. It became gradually more severe and is now the patient’s major cause of disability.  </w:t>
      </w:r>
    </w:p>
    <w:p w:rsidR="001A57A1" w:rsidRPr="00D75C5C" w:rsidRDefault="001A57A1" w:rsidP="001A57A1">
      <w:pPr>
        <w:autoSpaceDE w:val="0"/>
        <w:autoSpaceDN w:val="0"/>
        <w:adjustRightInd w:val="0"/>
        <w:spacing w:after="0" w:line="360" w:lineRule="auto"/>
        <w:jc w:val="both"/>
        <w:rPr>
          <w:lang w:val="en-US"/>
        </w:rPr>
      </w:pPr>
      <w:r w:rsidRPr="00D75C5C">
        <w:rPr>
          <w:lang w:val="en-US"/>
        </w:rPr>
        <w:t xml:space="preserve">By the age of 10 years, the patient had lost her ability to write legibly and to complete activities of daily living such as feeding herself.  Speech and gait problems also occurred, but there was no cognitive regression.  At the age of 10, neurological examination showed resting, postural and </w:t>
      </w:r>
      <w:r w:rsidR="007536B9" w:rsidRPr="00D75C5C">
        <w:rPr>
          <w:lang w:val="en-US"/>
        </w:rPr>
        <w:t>kinetic</w:t>
      </w:r>
      <w:r w:rsidRPr="00D75C5C">
        <w:rPr>
          <w:lang w:val="en-US"/>
        </w:rPr>
        <w:t xml:space="preserve"> tremor, myoclonic jerks involving the left arm, and </w:t>
      </w:r>
      <w:r w:rsidR="007536B9" w:rsidRPr="00D75C5C">
        <w:rPr>
          <w:lang w:val="en-US"/>
        </w:rPr>
        <w:t>static</w:t>
      </w:r>
      <w:r w:rsidRPr="00D75C5C">
        <w:rPr>
          <w:lang w:val="en-US"/>
        </w:rPr>
        <w:t xml:space="preserve"> ataxia with normal muscular tone.</w:t>
      </w:r>
    </w:p>
    <w:p w:rsidR="001A57A1" w:rsidRPr="00D75C5C" w:rsidRDefault="001A57A1" w:rsidP="001A57A1">
      <w:pPr>
        <w:autoSpaceDE w:val="0"/>
        <w:autoSpaceDN w:val="0"/>
        <w:adjustRightInd w:val="0"/>
        <w:spacing w:after="0" w:line="360" w:lineRule="auto"/>
        <w:jc w:val="both"/>
        <w:rPr>
          <w:lang w:val="en-US"/>
        </w:rPr>
      </w:pPr>
      <w:r w:rsidRPr="00D75C5C">
        <w:rPr>
          <w:lang w:val="en-US"/>
        </w:rPr>
        <w:t xml:space="preserve">After completing compulsory schooling, she lived at home without further education or employment. Now aged 21 years, she remains dependent for activities such as feeding and fastening clothing.  She cannot write and her speech is unclear but she is able to use a keyboard.  She can still walk unassisted.  </w:t>
      </w:r>
    </w:p>
    <w:p w:rsidR="001A57A1" w:rsidRPr="00D75C5C" w:rsidRDefault="001A57A1" w:rsidP="001A57A1">
      <w:pPr>
        <w:autoSpaceDE w:val="0"/>
        <w:autoSpaceDN w:val="0"/>
        <w:adjustRightInd w:val="0"/>
        <w:spacing w:after="0" w:line="360" w:lineRule="auto"/>
        <w:jc w:val="both"/>
        <w:rPr>
          <w:lang w:val="en-US"/>
        </w:rPr>
      </w:pPr>
      <w:r w:rsidRPr="00D75C5C">
        <w:rPr>
          <w:lang w:val="en-US"/>
        </w:rPr>
        <w:t>Recent physical examination identified the following findings (See Supplemental Video 1). She was ex</w:t>
      </w:r>
      <w:r w:rsidR="007536B9" w:rsidRPr="00D75C5C">
        <w:rPr>
          <w:lang w:val="en-US"/>
        </w:rPr>
        <w:t xml:space="preserve">tremely slim, almost cachectic: </w:t>
      </w:r>
      <w:r w:rsidRPr="00D75C5C">
        <w:rPr>
          <w:lang w:val="en-US"/>
        </w:rPr>
        <w:t>weight 47kg (10</w:t>
      </w:r>
      <w:r w:rsidRPr="00D75C5C">
        <w:rPr>
          <w:vertAlign w:val="superscript"/>
          <w:lang w:val="en-US"/>
        </w:rPr>
        <w:t>th</w:t>
      </w:r>
      <w:r w:rsidRPr="00D75C5C">
        <w:rPr>
          <w:lang w:val="en-US"/>
        </w:rPr>
        <w:t xml:space="preserve"> centile), height 167cm (75</w:t>
      </w:r>
      <w:r w:rsidRPr="00D75C5C">
        <w:rPr>
          <w:vertAlign w:val="superscript"/>
          <w:lang w:val="en-US"/>
        </w:rPr>
        <w:t>th</w:t>
      </w:r>
      <w:r w:rsidRPr="00D75C5C">
        <w:rPr>
          <w:lang w:val="en-US"/>
        </w:rPr>
        <w:t xml:space="preserve"> centile), head circumference 56cm (75</w:t>
      </w:r>
      <w:r w:rsidRPr="00D75C5C">
        <w:rPr>
          <w:vertAlign w:val="superscript"/>
          <w:lang w:val="en-US"/>
        </w:rPr>
        <w:t>th</w:t>
      </w:r>
      <w:r w:rsidR="007536B9" w:rsidRPr="00D75C5C">
        <w:rPr>
          <w:lang w:val="en-US"/>
        </w:rPr>
        <w:t xml:space="preserve"> centile), body mass index 16.8.</w:t>
      </w:r>
      <w:r w:rsidRPr="00D75C5C">
        <w:rPr>
          <w:lang w:val="en-US"/>
        </w:rPr>
        <w:t xml:space="preserve"> There was facial dysmorphism with a long asymmetric face, broad high forehead, mandibular prognathism and malar flattening with a short philtrum.  Ears were small, nose long with a full nasal tip, palate high arched, upper lip indented </w:t>
      </w:r>
      <w:r w:rsidR="00974B80" w:rsidRPr="00D75C5C">
        <w:rPr>
          <w:lang w:val="en-US"/>
        </w:rPr>
        <w:t xml:space="preserve">shaped like a Gingko leaf </w:t>
      </w:r>
      <w:r w:rsidRPr="00D75C5C">
        <w:rPr>
          <w:lang w:val="en-US"/>
        </w:rPr>
        <w:t>and</w:t>
      </w:r>
      <w:r w:rsidR="00974B80" w:rsidRPr="00D75C5C">
        <w:rPr>
          <w:lang w:val="en-US"/>
        </w:rPr>
        <w:t xml:space="preserve"> thick lower lip</w:t>
      </w:r>
      <w:r w:rsidR="00FC4A55">
        <w:rPr>
          <w:lang w:val="en-US"/>
        </w:rPr>
        <w:t xml:space="preserve"> (Picture 1</w:t>
      </w:r>
      <w:bookmarkStart w:id="0" w:name="_GoBack"/>
      <w:bookmarkEnd w:id="0"/>
      <w:r w:rsidR="00FC4A55">
        <w:rPr>
          <w:lang w:val="en-US"/>
        </w:rPr>
        <w:t>)</w:t>
      </w:r>
      <w:r w:rsidRPr="00D75C5C">
        <w:rPr>
          <w:lang w:val="en-US"/>
        </w:rPr>
        <w:t xml:space="preserve">.  Hands and feet showed no unusual features.   </w:t>
      </w:r>
    </w:p>
    <w:p w:rsidR="001A57A1" w:rsidRPr="00D75C5C" w:rsidRDefault="001A57A1" w:rsidP="001A57A1">
      <w:pPr>
        <w:autoSpaceDE w:val="0"/>
        <w:autoSpaceDN w:val="0"/>
        <w:adjustRightInd w:val="0"/>
        <w:spacing w:after="0" w:line="360" w:lineRule="auto"/>
        <w:jc w:val="both"/>
        <w:rPr>
          <w:lang w:val="en-US"/>
        </w:rPr>
      </w:pPr>
      <w:r w:rsidRPr="00D75C5C">
        <w:rPr>
          <w:lang w:val="en-US"/>
        </w:rPr>
        <w:t>She was alert, cooperated well, and was able to follow instructions given in Portuguese.  There was no aphasia but marked adductor-type laryngeal dystonia, making her speech difficult to understand.</w:t>
      </w:r>
    </w:p>
    <w:p w:rsidR="001A57A1" w:rsidRPr="00D75C5C" w:rsidRDefault="001A57A1" w:rsidP="001A57A1">
      <w:pPr>
        <w:autoSpaceDE w:val="0"/>
        <w:autoSpaceDN w:val="0"/>
        <w:adjustRightInd w:val="0"/>
        <w:spacing w:after="0" w:line="360" w:lineRule="auto"/>
        <w:jc w:val="both"/>
        <w:rPr>
          <w:lang w:val="en-US"/>
        </w:rPr>
      </w:pPr>
      <w:r w:rsidRPr="00D75C5C">
        <w:rPr>
          <w:lang w:val="en-US"/>
        </w:rPr>
        <w:t>Examination of ocular motility was hampered by her postural head tremor, but showed unsteady fixation and lack of smooth pursuit, especially towards the left, because o</w:t>
      </w:r>
      <w:r w:rsidR="007536B9" w:rsidRPr="00D75C5C">
        <w:rPr>
          <w:lang w:val="en-US"/>
        </w:rPr>
        <w:t>f numerous saccadic intrusions.</w:t>
      </w:r>
      <w:r w:rsidRPr="00D75C5C">
        <w:rPr>
          <w:lang w:val="en-US"/>
        </w:rPr>
        <w:t xml:space="preserve"> Reflex saccades were hypometric (gain 0.88, normal range 0.94-0.98) with prolonged initiation time (236ms, normal range 156-207ms) but their velocity was normal, and neither head-thrusts nor blinks preceding saccades were present.  Optokinetic nystagmus was present horizontally but somewhat weaker towards the left and absent vertically.  We noted frequent anticipatory saccades and saccadic intrusions (both square-wave jerks and saccadic oscillations), visible both at rest and when reaching the landing point.  </w:t>
      </w:r>
    </w:p>
    <w:p w:rsidR="001A57A1" w:rsidRPr="00D75C5C" w:rsidRDefault="001A57A1" w:rsidP="001A57A1">
      <w:pPr>
        <w:spacing w:after="0" w:line="360" w:lineRule="auto"/>
        <w:jc w:val="both"/>
        <w:rPr>
          <w:lang w:val="en-US"/>
        </w:rPr>
      </w:pPr>
      <w:r w:rsidRPr="00D75C5C">
        <w:rPr>
          <w:lang w:val="en-US"/>
        </w:rPr>
        <w:t>Strength was full throughout the body, deep tendon reflexes were normal and symmetrical, and sensory examination, including vibration and position sense, was unremarkable. Muscular tone</w:t>
      </w:r>
      <w:r w:rsidR="00C45E49" w:rsidRPr="00D75C5C">
        <w:rPr>
          <w:lang w:val="en-US"/>
        </w:rPr>
        <w:t xml:space="preserve"> was reduced in all four limbs.</w:t>
      </w:r>
      <w:r w:rsidRPr="00D75C5C">
        <w:rPr>
          <w:lang w:val="en-US"/>
        </w:rPr>
        <w:t xml:space="preserve"> A marked </w:t>
      </w:r>
      <w:r w:rsidR="00E90B10" w:rsidRPr="00D75C5C">
        <w:rPr>
          <w:lang w:val="en-US"/>
        </w:rPr>
        <w:t xml:space="preserve">action </w:t>
      </w:r>
      <w:r w:rsidRPr="00D75C5C">
        <w:rPr>
          <w:lang w:val="en-US"/>
        </w:rPr>
        <w:t xml:space="preserve">tremor, both postural and kinetic with an intentional component, was present throughout the body, especially in the left arm.  Generalized dystonia was apparent, especially affecting the neck and left hand, associated with a kyphotic posture and valgus knees.  Cerebellar features were present including gait and stance ataxia.  </w:t>
      </w:r>
    </w:p>
    <w:p w:rsidR="001A57A1" w:rsidRPr="00D75C5C" w:rsidRDefault="001A57A1" w:rsidP="001A57A1">
      <w:pPr>
        <w:spacing w:after="0" w:line="360" w:lineRule="auto"/>
        <w:jc w:val="both"/>
        <w:rPr>
          <w:rFonts w:cs="Calibri"/>
          <w:lang w:val="en-US"/>
        </w:rPr>
      </w:pPr>
      <w:r w:rsidRPr="00D75C5C">
        <w:rPr>
          <w:rFonts w:cs="Calibri"/>
          <w:lang w:val="en-US"/>
        </w:rPr>
        <w:t xml:space="preserve">There was no dysphagia on formal assessment of swallowing, but sticky foods tended to remain glued to the palate. Neuropsychological assessment confirmed normal object recognition and understanding of language, but memory and executive function were hard to assess, due to the difficulties with speech and writing.  </w:t>
      </w:r>
    </w:p>
    <w:p w:rsidR="001A57A1" w:rsidRPr="00D75C5C" w:rsidRDefault="001A57A1" w:rsidP="001A57A1">
      <w:pPr>
        <w:autoSpaceDE w:val="0"/>
        <w:autoSpaceDN w:val="0"/>
        <w:adjustRightInd w:val="0"/>
        <w:spacing w:after="0" w:line="360" w:lineRule="auto"/>
        <w:jc w:val="both"/>
        <w:rPr>
          <w:lang w:val="en-US"/>
        </w:rPr>
      </w:pPr>
      <w:r w:rsidRPr="00D75C5C">
        <w:rPr>
          <w:lang w:val="en-US"/>
        </w:rPr>
        <w:t xml:space="preserve">Extensive clinical investigations were non-diagnostic, including karyotype, CGH (comparative genomic hybridization) array, testing of the </w:t>
      </w:r>
      <w:r w:rsidRPr="00D75C5C">
        <w:rPr>
          <w:i/>
          <w:lang w:val="en-US"/>
        </w:rPr>
        <w:t>FMR</w:t>
      </w:r>
      <w:r w:rsidR="009704AA" w:rsidRPr="00D75C5C">
        <w:rPr>
          <w:i/>
          <w:lang w:val="en-US"/>
        </w:rPr>
        <w:t>1</w:t>
      </w:r>
      <w:r w:rsidRPr="00D75C5C">
        <w:rPr>
          <w:i/>
          <w:lang w:val="en-US"/>
        </w:rPr>
        <w:t>, SLC2A1</w:t>
      </w:r>
      <w:r w:rsidRPr="00D75C5C">
        <w:rPr>
          <w:lang w:val="en-US"/>
        </w:rPr>
        <w:t xml:space="preserve">, and </w:t>
      </w:r>
      <w:r w:rsidRPr="00D75C5C">
        <w:rPr>
          <w:i/>
          <w:lang w:val="en-US"/>
        </w:rPr>
        <w:t>POLG1/2</w:t>
      </w:r>
      <w:r w:rsidRPr="00D75C5C">
        <w:rPr>
          <w:lang w:val="en-US"/>
        </w:rPr>
        <w:t xml:space="preserve"> genes, mitochondrial DNA sequencing, muscle biopsy and extensive neurometabolic testing including thyroid hormones, acanthocytes, ceruloplasmin, alpha-fetoprotein</w:t>
      </w:r>
      <w:r w:rsidR="00E90B10" w:rsidRPr="00D75C5C">
        <w:rPr>
          <w:lang w:val="en-US"/>
        </w:rPr>
        <w:t xml:space="preserve">, vitamin assays (B1, 2, </w:t>
      </w:r>
      <w:r w:rsidRPr="00D75C5C">
        <w:rPr>
          <w:lang w:val="en-US"/>
        </w:rPr>
        <w:t xml:space="preserve">3, 6, 7, 9, 12, D, E) and liver and renal function.  Video EEG at age 12 and nerve conduction studies were normal.  Ophthalmological assessment ruled out telangiectasia and retinal abnormalities.  MRI brain scan at eight years old was within normal limits: repeat scan at 20 years noted a slightly small cerebellum, but no definite atrophy.  </w:t>
      </w:r>
    </w:p>
    <w:p w:rsidR="001A57A1" w:rsidRPr="00D75C5C" w:rsidRDefault="001A57A1" w:rsidP="001A57A1">
      <w:pPr>
        <w:autoSpaceDE w:val="0"/>
        <w:autoSpaceDN w:val="0"/>
        <w:adjustRightInd w:val="0"/>
        <w:spacing w:after="0" w:line="360" w:lineRule="auto"/>
        <w:jc w:val="both"/>
        <w:rPr>
          <w:lang w:val="en-US"/>
        </w:rPr>
      </w:pPr>
      <w:r w:rsidRPr="00D75C5C">
        <w:rPr>
          <w:lang w:val="en-US"/>
        </w:rPr>
        <w:t>Several pharmacological treatments were tried without benefit, including phenazepam, clonazepam, topiramate, lamotrigine and levodopa. An alcohol challenge did not ameliorate the symptoms. The anticholinergic biperiden gave mild but consistent improvement at a very low dose of 1mg/day but led to blurred vision and headaches at 8mg/day. Blurred vision resolved at 4mg/day but headaches persisted, so the drug was eventually tapered off.</w:t>
      </w:r>
    </w:p>
    <w:p w:rsidR="001A57A1" w:rsidRPr="00D75C5C" w:rsidRDefault="001A57A1" w:rsidP="00F17E84">
      <w:pPr>
        <w:autoSpaceDE w:val="0"/>
        <w:autoSpaceDN w:val="0"/>
        <w:adjustRightInd w:val="0"/>
        <w:spacing w:after="0" w:line="360" w:lineRule="auto"/>
        <w:jc w:val="both"/>
        <w:rPr>
          <w:lang w:val="en-US"/>
        </w:rPr>
      </w:pPr>
    </w:p>
    <w:p w:rsidR="001A57A1" w:rsidRPr="00D75C5C" w:rsidRDefault="001A57A1" w:rsidP="00F17E84">
      <w:pPr>
        <w:autoSpaceDE w:val="0"/>
        <w:autoSpaceDN w:val="0"/>
        <w:adjustRightInd w:val="0"/>
        <w:spacing w:after="0" w:line="360" w:lineRule="auto"/>
        <w:jc w:val="both"/>
        <w:rPr>
          <w:lang w:val="en-US"/>
        </w:rPr>
      </w:pPr>
    </w:p>
    <w:p w:rsidR="00D706B2" w:rsidRPr="00D75C5C" w:rsidRDefault="00D706B2" w:rsidP="00001F8D">
      <w:pPr>
        <w:autoSpaceDE w:val="0"/>
        <w:autoSpaceDN w:val="0"/>
        <w:adjustRightInd w:val="0"/>
        <w:spacing w:after="0" w:line="360" w:lineRule="auto"/>
        <w:jc w:val="both"/>
        <w:rPr>
          <w:lang w:val="en-US"/>
        </w:rPr>
      </w:pPr>
    </w:p>
    <w:p w:rsidR="00E93F4F" w:rsidRPr="00D75C5C" w:rsidRDefault="00E93F4F" w:rsidP="00E93F4F">
      <w:pPr>
        <w:pStyle w:val="Titre2"/>
        <w:rPr>
          <w:lang w:val="en-US"/>
        </w:rPr>
      </w:pPr>
      <w:r w:rsidRPr="00D75C5C">
        <w:rPr>
          <w:lang w:val="en-US"/>
        </w:rPr>
        <w:t>Methods</w:t>
      </w:r>
    </w:p>
    <w:p w:rsidR="00E90B10" w:rsidRPr="00D75C5C" w:rsidRDefault="00E90B10" w:rsidP="00E90B10">
      <w:pPr>
        <w:autoSpaceDE w:val="0"/>
        <w:autoSpaceDN w:val="0"/>
        <w:adjustRightInd w:val="0"/>
        <w:spacing w:after="0" w:line="360" w:lineRule="auto"/>
        <w:jc w:val="both"/>
        <w:rPr>
          <w:lang w:val="en-US"/>
        </w:rPr>
      </w:pPr>
      <w:r w:rsidRPr="00D75C5C">
        <w:rPr>
          <w:lang w:val="en-US"/>
        </w:rPr>
        <w:t>Informed consent for genetic testing and for publication, including video with recognizable face, was obtained from the patient and her parents.</w:t>
      </w:r>
    </w:p>
    <w:p w:rsidR="00E93F4F" w:rsidRPr="00D75C5C" w:rsidRDefault="00782401" w:rsidP="00E93F4F">
      <w:pPr>
        <w:pStyle w:val="Titre3"/>
        <w:rPr>
          <w:lang w:val="en-US"/>
        </w:rPr>
      </w:pPr>
      <w:r w:rsidRPr="00D75C5C">
        <w:rPr>
          <w:lang w:val="en-US"/>
        </w:rPr>
        <w:t>W</w:t>
      </w:r>
      <w:r w:rsidR="00E93F4F" w:rsidRPr="00D75C5C">
        <w:rPr>
          <w:lang w:val="en-US"/>
        </w:rPr>
        <w:t>hole exome sequencing</w:t>
      </w:r>
      <w:r w:rsidRPr="00D75C5C">
        <w:rPr>
          <w:lang w:val="en-US"/>
        </w:rPr>
        <w:t xml:space="preserve"> with subsequent targeted bioinformatics analysis</w:t>
      </w:r>
    </w:p>
    <w:p w:rsidR="00E90B10" w:rsidRPr="00D75C5C" w:rsidRDefault="00E90B10" w:rsidP="00E90B10">
      <w:pPr>
        <w:autoSpaceDE w:val="0"/>
        <w:autoSpaceDN w:val="0"/>
        <w:adjustRightInd w:val="0"/>
        <w:spacing w:after="0" w:line="360" w:lineRule="auto"/>
        <w:jc w:val="both"/>
        <w:rPr>
          <w:color w:val="000000" w:themeColor="text1"/>
          <w:shd w:val="clear" w:color="auto" w:fill="FFFFFF"/>
          <w:lang w:val="en-US"/>
        </w:rPr>
      </w:pPr>
      <w:r w:rsidRPr="00D75C5C">
        <w:rPr>
          <w:lang w:val="en-US"/>
        </w:rPr>
        <w:t xml:space="preserve">The patient’s exome was captured using the Agilent SureSelect QXT Human All Exon V7 kit and sequenced on a NextSeq500 instrument (Illumina). Read mapping and variant calling were performed using BWA 0.7.13, Picard 2.2.1, GATK HaplotypeCaller 3.7 and annotated with ANNOVAR 2017-07-17 and UCSC RefSeq (refGene) downloaded on 2018-08-10. The variants were searched in various databases including dbSNP151, gnomAD 2.1, ClinVar 2018 and HGMD 2016. Pathogenicity prediction scores were obtained for missense variants using SIFT, PolyPhen, MutationTaster and CADD. Splicing effect alterations were assessed using dbscSNV. </w:t>
      </w:r>
      <w:r w:rsidRPr="00D75C5C">
        <w:rPr>
          <w:color w:val="000000" w:themeColor="text1"/>
          <w:shd w:val="clear" w:color="auto" w:fill="FFFFFF"/>
          <w:lang w:val="en-US"/>
        </w:rPr>
        <w:t>We analyzed a total of 1868 genes involved in developmental delays, dystonia, hereditary ataxia and cerebellar anomalies. Genetic workup was carried out independently in two different laboratories (London and Geneva).</w:t>
      </w:r>
    </w:p>
    <w:p w:rsidR="00E90B10" w:rsidRPr="00D75C5C" w:rsidRDefault="00E90B10" w:rsidP="00E93F4F">
      <w:pPr>
        <w:autoSpaceDE w:val="0"/>
        <w:autoSpaceDN w:val="0"/>
        <w:adjustRightInd w:val="0"/>
        <w:spacing w:after="0" w:line="360" w:lineRule="auto"/>
        <w:jc w:val="both"/>
        <w:rPr>
          <w:lang w:val="en-US"/>
        </w:rPr>
      </w:pPr>
    </w:p>
    <w:p w:rsidR="00E93F4F" w:rsidRPr="00D75C5C" w:rsidRDefault="00E93F4F" w:rsidP="00E93F4F">
      <w:pPr>
        <w:pStyle w:val="Titre2"/>
        <w:rPr>
          <w:lang w:val="en-US"/>
        </w:rPr>
      </w:pPr>
      <w:r w:rsidRPr="00D75C5C">
        <w:rPr>
          <w:lang w:val="en-US"/>
        </w:rPr>
        <w:t>Results</w:t>
      </w:r>
    </w:p>
    <w:p w:rsidR="00C47EFD" w:rsidRPr="00D75C5C" w:rsidRDefault="00C47EFD" w:rsidP="00C47EFD">
      <w:pPr>
        <w:pStyle w:val="Titre3"/>
        <w:rPr>
          <w:lang w:val="en-US"/>
        </w:rPr>
      </w:pPr>
      <w:r w:rsidRPr="00D75C5C">
        <w:rPr>
          <w:lang w:val="en-US"/>
        </w:rPr>
        <w:t>Genetics</w:t>
      </w:r>
    </w:p>
    <w:p w:rsidR="00E90B10" w:rsidRPr="00D75C5C" w:rsidRDefault="00E90B10" w:rsidP="00E90B10">
      <w:pPr>
        <w:autoSpaceDE w:val="0"/>
        <w:autoSpaceDN w:val="0"/>
        <w:adjustRightInd w:val="0"/>
        <w:spacing w:after="0" w:line="360" w:lineRule="auto"/>
        <w:jc w:val="both"/>
        <w:rPr>
          <w:lang w:val="en-US"/>
        </w:rPr>
      </w:pPr>
      <w:r w:rsidRPr="00D75C5C">
        <w:rPr>
          <w:lang w:val="en-US"/>
        </w:rPr>
        <w:t xml:space="preserve">Our patient was found to carry a novel missense variant in the </w:t>
      </w:r>
      <w:r w:rsidRPr="00D75C5C">
        <w:rPr>
          <w:i/>
          <w:lang w:val="en-US"/>
        </w:rPr>
        <w:t>YY1</w:t>
      </w:r>
      <w:r w:rsidRPr="00D75C5C">
        <w:rPr>
          <w:lang w:val="en-US"/>
        </w:rPr>
        <w:t xml:space="preserve"> gene (NM_003403.4): c.907T&gt;C, p.(Cys303Arg) in exon 4. Segregation analysis showed that this variant occurred </w:t>
      </w:r>
      <w:r w:rsidRPr="00D75C5C">
        <w:rPr>
          <w:i/>
          <w:lang w:val="en-US"/>
        </w:rPr>
        <w:t>de novo</w:t>
      </w:r>
      <w:r w:rsidRPr="00D75C5C">
        <w:rPr>
          <w:lang w:val="en-US"/>
        </w:rPr>
        <w:t xml:space="preserve"> in our patient. It is absent from the gnomAD database and also from ClinVar, LOVD and HGMD. The amino acid change was predicted as pathogenic by all algorithms used. The variant is located in the distal part of the gene where most of the pathogenic variants have been described</w:t>
      </w:r>
      <w:r w:rsidR="00810CBB" w:rsidRPr="00D75C5C">
        <w:rPr>
          <w:rStyle w:val="Appelnotedebasdep"/>
          <w:lang w:val="en-US"/>
        </w:rPr>
        <w:fldChar w:fldCharType="begin" w:fldLock="1"/>
      </w:r>
      <w:r w:rsidR="00D60FC9" w:rsidRPr="00D75C5C">
        <w:rPr>
          <w:lang w:val="en-US"/>
        </w:rPr>
        <w:instrText>ADDIN CSL_CITATION {"citationItems":[{"id":"ITEM-1","itemData":{"DOI":"10.1016/j.ajhg.2017.05.006","ISSN":"1537-6605","PMID":"28575647","abstract":"Yin and yang 1 (YY1) is a well-known zinc-finger transcription factor with crucial roles in normal development and malignancy. YY1 acts both as a repressor and as an activator of gene expression. We have identified 23 individuals with de novo mutations or deletions of YY1 and phenotypic features that define a syndrome of cognitive impairment, behavioral alterations, intrauterine growth restriction, feeding problems, and various congenital malformations. Our combined clinical and molecular data define \"YY1 syndrome\" as a haploinsufficiency syndrome. Through immunoprecipitation of YY1-bound chromatin from affected individuals' cells with antibodies recognizing both ends of the protein, we show that YY1 deletions and missense mutations lead to a global loss of YY1 binding with a preferential retention at high-occupancy sites. Finally, we uncover a widespread loss of H3K27 acetylation in particular on the YY1-bound enhancers, underscoring a crucial role for YY1 in enhancer regulation. Collectively, these results define a clinical syndrome caused by haploinsufficiency of YY1 through dysregulation of key transcriptional regulators.","author":[{"dropping-particle":"","family":"Gabriele","given":"Michele","non-dropping-particle":"","parse-names":false,"suffix":""},{"dropping-particle":"","family":"Vulto-van Silfhout","given":"Anneke T","non-dropping-particle":"","parse-names":false,"suffix":""},{"dropping-particle":"","family":"Germain","given":"Pierre-Luc","non-dropping-particle":"","parse-names":false,"suffix":""},{"dropping-particle":"","family":"Vitriolo","given":"Alessandro","non-dropping-particle":"","parse-names":false,"suffix":""},{"dropping-particle":"","family":"Kumar","given":"Raman","non-dropping-particle":"","parse-names":false,"suffix":""},{"dropping-particle":"","family":"Douglas","given":"Evelyn","non-dropping-particle":"","parse-names":false,"suffix":""},{"dropping-particle":"","family":"Haan","given":"Eric","non-dropping-particle":"","parse-names":false,"suffix":""},{"dropping-particle":"","family":"Kosaki","given":"Kenjiro","non-dropping-particle":"","parse-names":false,"suffix":""},{"dropping-particle":"","family":"Takenouchi","given":"Toshiki","non-dropping-particle":"","parse-names":false,"suffix":""},{"dropping-particle":"","family":"Rauch","given":"Anita","non-dropping-particle":"","parse-names":false,"suffix":""},{"dropping-particle":"","family":"Steindl","given":"Katharina","non-dropping-particle":"","parse-names":false,"suffix":""},{"dropping-particle":"","family":"Frengen","given":"Eirik","non-dropping-particle":"","parse-names":false,"suffix":""},{"dropping-particle":"","family":"Misceo","given":"Doriana","non-dropping-particle":"","parse-names":false,"suffix":""},{"dropping-particle":"","family":"Pedurupillay","given":"Christeen Ramane J","non-dropping-particle":"","parse-names":false,"suffix":""},{"dropping-particle":"","family":"Stromme","given":"Petter","non-dropping-particle":"","parse-names":false,"suffix":""},{"dropping-particle":"","family":"Rosenfeld","given":"Jill A","non-dropping-particle":"","parse-names":false,"suffix":""},{"dropping-particle":"","family":"Shao","given":"Yunru","non-dropping-particle":"","parse-names":false,"suffix":""},{"dropping-particle":"","family":"Craigen","given":"William J","non-dropping-particle":"","parse-names":false,"suffix":""},{"dropping-particle":"","family":"Schaaf","given":"Christian P","non-dropping-particle":"","parse-names":false,"suffix":""},{"dropping-particle":"","family":"Rodriguez-Buritica","given":"David","non-dropping-particle":"","parse-names":false,"suffix":""},{"dropping-particle":"","family":"Farach","given":"Laura","non-dropping-particle":"","parse-names":false,"suffix":""},{"dropping-particle":"","family":"Friedman","given":"Jennifer","non-dropping-particle":"","parse-names":false,"suffix":""},{"dropping-particle":"","family":"Thulin","given":"Perla","non-dropping-particle":"","parse-names":false,"suffix":""},{"dropping-particle":"","family":"McLean","given":"Scott D","non-dropping-particle":"","parse-names":false,"suffix":""},{"dropping-particle":"","family":"Nugent","given":"Kimberly M","non-dropping-particle":"","parse-names":false,"suffix":""},{"dropping-particle":"","family":"Morton","given":"Jenny","non-dropping-particle":"","parse-names":false,"suffix":""},{"dropping-particle":"","family":"Nicholl","given":"Jillian","non-dropping-particle":"","parse-names":false,"suffix":""},{"dropping-particle":"","family":"Andrieux","given":"Joris","non-dropping-particle":"","parse-names":false,"suffix":""},{"dropping-particle":"","family":"Stray-Pedersen","given":"Asbjørg","non-dropping-particle":"","parse-names":false,"suffix":""},{"dropping-particle":"","family":"Chambon","given":"Pascal","non-dropping-particle":"","parse-names":false,"suffix":""},{"dropping-particle":"","family":"Patrier","given":"Sophie","non-dropping-particle":"","parse-names":false,"suffix":""},{"dropping-particle":"","family":"Lynch","given":"Sally A","non-dropping-particle":"","parse-names":false,"suffix":""},{"dropping-particle":"","family":"Kjaergaard","given":"Susanne","non-dropping-particle":"","parse-names":false,"suffix":""},{"dropping-particle":"","family":"Tørring","given":"Pernille M","non-dropping-particle":"","parse-names":false,"suffix":""},{"dropping-particle":"","family":"Brasch-Andersen","given":"Charlotte","non-dropping-particle":"","parse-names":false,"suffix":""},{"dropping-particle":"","family":"Ronan","given":"Anne","non-dropping-particle":"","parse-names":false,"suffix":""},{"dropping-particle":"","family":"Haeringen","given":"Arie","non-dropping-particle":"van","parse-names":false,"suffix":""},{"dropping-particle":"","family":"Anderson","given":"Peter J","non-dropping-particle":"","parse-names":false,"suffix":""},{"dropping-particle":"","family":"Powis","given":"Zöe","non-dropping-particle":"","parse-names":false,"suffix":""},{"dropping-particle":"","family":"Brunner","given":"Han G","non-dropping-particle":"","parse-names":false,"suffix":""},{"dropping-particle":"","family":"Pfundt","given":"Rolph","non-dropping-particle":"","parse-names":false,"suffix":""},{"dropping-particle":"","family":"Schuurs-Hoeijmakers","given":"Janneke H M","non-dropping-particle":"","parse-names":false,"suffix":""},{"dropping-particle":"","family":"Bon","given":"Bregje W M","non-dropping-particle":"van","parse-names":false,"suffix":""},{"dropping-particle":"","family":"Lelieveld","given":"Stefan","non-dropping-particle":"","parse-names":false,"suffix":""},{"dropping-particle":"","family":"Gilissen","given":"Christian","non-dropping-particle":"","parse-names":false,"suffix":""},{"dropping-particle":"","family":"Nillesen","given":"Willy M","non-dropping-particle":"","parse-names":false,"suffix":""},{"dropping-particle":"","family":"Vissers","given":"Lisenka E L M","non-dropping-particle":"","parse-names":false,"suffix":""},{"dropping-particle":"","family":"Gecz","given":"Jozef","non-dropping-particle":"","parse-names":false,"suffix":""},{"dropping-particle":"","family":"Koolen","given":"David A","non-dropping-particle":"","parse-names":false,"suffix":""},{"dropping-particle":"","family":"Testa","given":"Giuseppe","non-dropping-particle":"","parse-names":false,"suffix":""},{"dropping-particle":"","family":"Vries","given":"Bert B A","non-dropping-particle":"de","parse-names":false,"suffix":""}],"container-title":"American journal of human genetics","id":"ITEM-1","issue":"6","issued":{"date-parts":[["2017","6","1"]]},"page":"907-925","title":"YY1 Haploinsufficiency Causes an Intellectual Disability Syndrome Featuring Transcriptional and Chromatin Dysfunction.","type":"article-journal","volume":"100"},"uris":["http://www.mendeley.com/documents/?uuid=31af457b-5681-4feb-990b-1232e48d13cf"]}],"mendeley":{"formattedCitation":"[Gabriele et al., 2017]","plainTextFormattedCitation":"[Gabriele et al., 2017]","previouslyFormattedCitation":"[2]"},"properties":{"noteIndex":0},"schema":"https://github.com/citation-style-language/schema/raw/master/csl-citation.json"}</w:instrText>
      </w:r>
      <w:r w:rsidR="00810CBB" w:rsidRPr="00D75C5C">
        <w:rPr>
          <w:rStyle w:val="Appelnotedebasdep"/>
          <w:lang w:val="en-US"/>
        </w:rPr>
        <w:fldChar w:fldCharType="separate"/>
      </w:r>
      <w:r w:rsidR="00D60FC9" w:rsidRPr="00D75C5C">
        <w:rPr>
          <w:noProof/>
          <w:lang w:val="en-US"/>
        </w:rPr>
        <w:t>[Gabriele et al., 2017]</w:t>
      </w:r>
      <w:r w:rsidR="00810CBB" w:rsidRPr="00D75C5C">
        <w:rPr>
          <w:rStyle w:val="Appelnotedebasdep"/>
          <w:lang w:val="en-US"/>
        </w:rPr>
        <w:fldChar w:fldCharType="end"/>
      </w:r>
      <w:r w:rsidRPr="00D75C5C">
        <w:rPr>
          <w:lang w:val="en-US"/>
        </w:rPr>
        <w:t>, in a zinc-finger domain. According to the ACMG guidelines</w:t>
      </w:r>
      <w:r w:rsidR="00810CBB" w:rsidRPr="00D75C5C">
        <w:rPr>
          <w:rStyle w:val="Appelnotedebasdep"/>
          <w:lang w:val="en-US"/>
        </w:rPr>
        <w:fldChar w:fldCharType="begin" w:fldLock="1"/>
      </w:r>
      <w:r w:rsidR="00D60FC9" w:rsidRPr="00D75C5C">
        <w:rPr>
          <w:lang w:val="en-US"/>
        </w:rPr>
        <w:instrText>ADDIN CSL_CITATION {"citationItems":[{"id":"ITEM-1","itemData":{"DOI":"10.1038/gim.2015.30","ISSN":"1530-0366","PMID":"25741868","abstract":"The American College of Medical Genetics and Genomics (ACMG) previously developed guidance for the interpretation of sequence variants.(1) In the past decade, sequencing technology has evolved rapidly with the advent of high-throughput next-generation sequencing. By adopting and leveraging next-generation sequencing, clinical laboratories are now performing an ever-increasing catalogue of genetic testing spanning genotyping, single genes, gene panels, exomes, genomes, transcriptomes, and epigenetic assays for genetic disorders. By virtue of increased complexity, this shift in genetic testing has been accompanied by new challenges in sequence interpretation. In this context the ACMG convened a workgroup in 2013 comprising representatives from the ACMG, the Association for Molecular Pathology (AMP), and the College of American Pathologists to revisit and revise the standards and guidelines for the interpretation of sequence variants. The group consisted of clinical laboratory directors and clinicians. This report represents expert opinion of the workgroup with input from ACMG, AMP, and College of American Pathologists stakeholders. These recommendations primarily apply to the breadth of genetic tests used in clinical laboratories, including genotyping, single genes, panels, exomes, and genomes. This report recommends the use of specific standard terminology-\"pathogenic,\" \"likely pathogenic,\" \"uncertain significance,\" \"likely benign,\" and \"benign\"-to describe variants identified in genes that cause Mendelian disorders. Moreover, this recommendation describes a process for classifying variants into these five categories based on criteria using typical types of variant evidence (e.g., population data, computational data, functional data, segregation data). Because of the increased complexity of analysis and interpretation of clinical genetic testing described in this report, the ACMG strongly recommends that clinical molecular genetic testing should be performed in a Clinical Laboratory Improvement Amendments-approved laboratory, with results interpreted by a board-certified clinical molecular geneticist or molecular genetic pathologist or the equivalent.","author":[{"dropping-particle":"","family":"Richards","given":"Sue","non-dropping-particle":"","parse-names":false,"suffix":""},{"dropping-particle":"","family":"Aziz","given":"Nazneen","non-dropping-particle":"","parse-names":false,"suffix":""},{"dropping-particle":"","family":"Bale","given":"Sherri","non-dropping-particle":"","parse-names":false,"suffix":""},{"dropping-particle":"","family":"Bick","given":"David","non-dropping-particle":"","parse-names":false,"suffix":""},{"dropping-particle":"","family":"Das","given":"Soma","non-dropping-particle":"","parse-names":false,"suffix":""},{"dropping-particle":"","family":"Gastier-Foster","given":"Julie","non-dropping-particle":"","parse-names":false,"suffix":""},{"dropping-particle":"","family":"Grody","given":"Wayne W","non-dropping-particle":"","parse-names":false,"suffix":""},{"dropping-particle":"","family":"Hegde","given":"Madhuri","non-dropping-particle":"","parse-names":false,"suffix":""},{"dropping-particle":"","family":"Lyon","given":"Elaine","non-dropping-particle":"","parse-names":false,"suffix":""},{"dropping-particle":"","family":"Spector","given":"Elaine","non-dropping-particle":"","parse-names":false,"suffix":""},{"dropping-particle":"","family":"Voelkerding","given":"Karl","non-dropping-particle":"","parse-names":false,"suffix":""},{"dropping-particle":"","family":"Rehm","given":"Heidi L","non-dropping-particle":"","parse-names":false,"suffix":""},{"dropping-particle":"","family":"ACMG Laboratory Quality Assurance Committee","given":"","non-dropping-particle":"","parse-names":false,"suffix":""}],"container-title":"Genetics in medicine : official journal of the American College of Medical Genetics","id":"ITEM-1","issue":"5","issued":{"date-parts":[["2015","5"]]},"page":"405-24","title":"Standards and guidelines for the interpretation of sequence variants: a joint consensus recommendation of the American College of Medical Genetics and Genomics and the Association for Molecular Pathology.","type":"article-journal","volume":"17"},"uris":["http://www.mendeley.com/documents/?uuid=311e47ea-e69b-463d-8547-4298ad7940f2"]}],"mendeley":{"formattedCitation":"[Richards et al., 2015]","plainTextFormattedCitation":"[Richards et al., 2015]","previouslyFormattedCitation":"[9]"},"properties":{"noteIndex":0},"schema":"https://github.com/citation-style-language/schema/raw/master/csl-citation.json"}</w:instrText>
      </w:r>
      <w:r w:rsidR="00810CBB" w:rsidRPr="00D75C5C">
        <w:rPr>
          <w:rStyle w:val="Appelnotedebasdep"/>
          <w:lang w:val="en-US"/>
        </w:rPr>
        <w:fldChar w:fldCharType="separate"/>
      </w:r>
      <w:r w:rsidR="00D60FC9" w:rsidRPr="00D75C5C">
        <w:rPr>
          <w:noProof/>
          <w:lang w:val="en-US"/>
        </w:rPr>
        <w:t>[Richards et al., 2015]</w:t>
      </w:r>
      <w:r w:rsidR="00810CBB" w:rsidRPr="00D75C5C">
        <w:rPr>
          <w:rStyle w:val="Appelnotedebasdep"/>
          <w:lang w:val="en-US"/>
        </w:rPr>
        <w:fldChar w:fldCharType="end"/>
      </w:r>
      <w:r w:rsidRPr="00D75C5C">
        <w:rPr>
          <w:lang w:val="en-US"/>
        </w:rPr>
        <w:t>, we classified the p.(Cys303Arg) variant as pathogenic. Both laboratories discovered and confirmed the same mutation in the present patient.</w:t>
      </w:r>
    </w:p>
    <w:p w:rsidR="00C47EFD" w:rsidRPr="00D75C5C" w:rsidRDefault="00C47EFD" w:rsidP="00001F8D">
      <w:pPr>
        <w:autoSpaceDE w:val="0"/>
        <w:autoSpaceDN w:val="0"/>
        <w:adjustRightInd w:val="0"/>
        <w:spacing w:after="0" w:line="360" w:lineRule="auto"/>
        <w:jc w:val="both"/>
        <w:rPr>
          <w:lang w:val="en-US"/>
        </w:rPr>
      </w:pPr>
    </w:p>
    <w:p w:rsidR="006402D4" w:rsidRPr="00D75C5C" w:rsidRDefault="00050344" w:rsidP="00E93F4F">
      <w:pPr>
        <w:pStyle w:val="Titre2"/>
        <w:rPr>
          <w:lang w:val="en-US"/>
        </w:rPr>
      </w:pPr>
      <w:r w:rsidRPr="00D75C5C">
        <w:rPr>
          <w:lang w:val="en-US"/>
        </w:rPr>
        <w:t>Discussion</w:t>
      </w:r>
    </w:p>
    <w:p w:rsidR="00383753" w:rsidRPr="00D75C5C" w:rsidRDefault="00383753" w:rsidP="00383753">
      <w:pPr>
        <w:autoSpaceDE w:val="0"/>
        <w:autoSpaceDN w:val="0"/>
        <w:adjustRightInd w:val="0"/>
        <w:spacing w:after="0" w:line="360" w:lineRule="auto"/>
        <w:jc w:val="both"/>
        <w:rPr>
          <w:lang w:val="en-US"/>
        </w:rPr>
      </w:pPr>
      <w:r w:rsidRPr="00D75C5C">
        <w:rPr>
          <w:lang w:val="en-US"/>
        </w:rPr>
        <w:t xml:space="preserve">Gabriele et al. have reported 10 individuals with </w:t>
      </w:r>
      <w:r w:rsidRPr="00D75C5C">
        <w:rPr>
          <w:i/>
          <w:lang w:val="en-US"/>
        </w:rPr>
        <w:t>de novo</w:t>
      </w:r>
      <w:r w:rsidRPr="00D75C5C">
        <w:rPr>
          <w:lang w:val="en-US"/>
        </w:rPr>
        <w:t xml:space="preserve"> mutations in the </w:t>
      </w:r>
      <w:r w:rsidRPr="00D75C5C">
        <w:rPr>
          <w:i/>
          <w:lang w:val="en-US"/>
        </w:rPr>
        <w:t>YY1</w:t>
      </w:r>
      <w:r w:rsidRPr="00D75C5C">
        <w:rPr>
          <w:lang w:val="en-US"/>
        </w:rPr>
        <w:t xml:space="preserve"> gene</w:t>
      </w:r>
      <w:r w:rsidR="00810CBB" w:rsidRPr="00D75C5C">
        <w:rPr>
          <w:rStyle w:val="Appelnotedebasdep"/>
          <w:lang w:val="en-US"/>
        </w:rPr>
        <w:fldChar w:fldCharType="begin" w:fldLock="1"/>
      </w:r>
      <w:r w:rsidR="00D60FC9" w:rsidRPr="00D75C5C">
        <w:rPr>
          <w:lang w:val="en-US"/>
        </w:rPr>
        <w:instrText>ADDIN CSL_CITATION {"citationItems":[{"id":"ITEM-1","itemData":{"DOI":"10.1016/j.ajhg.2017.05.006","ISSN":"1537-6605","PMID":"28575647","abstract":"Yin and yang 1 (YY1) is a well-known zinc-finger transcription factor with crucial roles in normal development and malignancy. YY1 acts both as a repressor and as an activator of gene expression. We have identified 23 individuals with de novo mutations or deletions of YY1 and phenotypic features that define a syndrome of cognitive impairment, behavioral alterations, intrauterine growth restriction, feeding problems, and various congenital malformations. Our combined clinical and molecular data define \"YY1 syndrome\" as a haploinsufficiency syndrome. Through immunoprecipitation of YY1-bound chromatin from affected individuals' cells with antibodies recognizing both ends of the protein, we show that YY1 deletions and missense mutations lead to a global loss of YY1 binding with a preferential retention at high-occupancy sites. Finally, we uncover a widespread loss of H3K27 acetylation in particular on the YY1-bound enhancers, underscoring a crucial role for YY1 in enhancer regulation. Collectively, these results define a clinical syndrome caused by haploinsufficiency of YY1 through dysregulation of key transcriptional regulators.","author":[{"dropping-particle":"","family":"Gabriele","given":"Michele","non-dropping-particle":"","parse-names":false,"suffix":""},{"dropping-particle":"","family":"Vulto-van Silfhout","given":"Anneke T","non-dropping-particle":"","parse-names":false,"suffix":""},{"dropping-particle":"","family":"Germain","given":"Pierre-Luc","non-dropping-particle":"","parse-names":false,"suffix":""},{"dropping-particle":"","family":"Vitriolo","given":"Alessandro","non-dropping-particle":"","parse-names":false,"suffix":""},{"dropping-particle":"","family":"Kumar","given":"Raman","non-dropping-particle":"","parse-names":false,"suffix":""},{"dropping-particle":"","family":"Douglas","given":"Evelyn","non-dropping-particle":"","parse-names":false,"suffix":""},{"dropping-particle":"","family":"Haan","given":"Eric","non-dropping-particle":"","parse-names":false,"suffix":""},{"dropping-particle":"","family":"Kosaki","given":"Kenjiro","non-dropping-particle":"","parse-names":false,"suffix":""},{"dropping-particle":"","family":"Takenouchi","given":"Toshiki","non-dropping-particle":"","parse-names":false,"suffix":""},{"dropping-particle":"","family":"Rauch","given":"Anita","non-dropping-particle":"","parse-names":false,"suffix":""},{"dropping-particle":"","family":"Steindl","given":"Katharina","non-dropping-particle":"","parse-names":false,"suffix":""},{"dropping-particle":"","family":"Frengen","given":"Eirik","non-dropping-particle":"","parse-names":false,"suffix":""},{"dropping-particle":"","family":"Misceo","given":"Doriana","non-dropping-particle":"","parse-names":false,"suffix":""},{"dropping-particle":"","family":"Pedurupillay","given":"Christeen Ramane J","non-dropping-particle":"","parse-names":false,"suffix":""},{"dropping-particle":"","family":"Stromme","given":"Petter","non-dropping-particle":"","parse-names":false,"suffix":""},{"dropping-particle":"","family":"Rosenfeld","given":"Jill A","non-dropping-particle":"","parse-names":false,"suffix":""},{"dropping-particle":"","family":"Shao","given":"Yunru","non-dropping-particle":"","parse-names":false,"suffix":""},{"dropping-particle":"","family":"Craigen","given":"William J","non-dropping-particle":"","parse-names":false,"suffix":""},{"dropping-particle":"","family":"Schaaf","given":"Christian P","non-dropping-particle":"","parse-names":false,"suffix":""},{"dropping-particle":"","family":"Rodriguez-Buritica","given":"David","non-dropping-particle":"","parse-names":false,"suffix":""},{"dropping-particle":"","family":"Farach","given":"Laura","non-dropping-particle":"","parse-names":false,"suffix":""},{"dropping-particle":"","family":"Friedman","given":"Jennifer","non-dropping-particle":"","parse-names":false,"suffix":""},{"dropping-particle":"","family":"Thulin","given":"Perla","non-dropping-particle":"","parse-names":false,"suffix":""},{"dropping-particle":"","family":"McLean","given":"Scott D","non-dropping-particle":"","parse-names":false,"suffix":""},{"dropping-particle":"","family":"Nugent","given":"Kimberly M","non-dropping-particle":"","parse-names":false,"suffix":""},{"dropping-particle":"","family":"Morton","given":"Jenny","non-dropping-particle":"","parse-names":false,"suffix":""},{"dropping-particle":"","family":"Nicholl","given":"Jillian","non-dropping-particle":"","parse-names":false,"suffix":""},{"dropping-particle":"","family":"Andrieux","given":"Joris","non-dropping-particle":"","parse-names":false,"suffix":""},{"dropping-particle":"","family":"Stray-Pedersen","given":"Asbjørg","non-dropping-particle":"","parse-names":false,"suffix":""},{"dropping-particle":"","family":"Chambon","given":"Pascal","non-dropping-particle":"","parse-names":false,"suffix":""},{"dropping-particle":"","family":"Patrier","given":"Sophie","non-dropping-particle":"","parse-names":false,"suffix":""},{"dropping-particle":"","family":"Lynch","given":"Sally A","non-dropping-particle":"","parse-names":false,"suffix":""},{"dropping-particle":"","family":"Kjaergaard","given":"Susanne","non-dropping-particle":"","parse-names":false,"suffix":""},{"dropping-particle":"","family":"Tørring","given":"Pernille M","non-dropping-particle":"","parse-names":false,"suffix":""},{"dropping-particle":"","family":"Brasch-Andersen","given":"Charlotte","non-dropping-particle":"","parse-names":false,"suffix":""},{"dropping-particle":"","family":"Ronan","given":"Anne","non-dropping-particle":"","parse-names":false,"suffix":""},{"dropping-particle":"","family":"Haeringen","given":"Arie","non-dropping-particle":"van","parse-names":false,"suffix":""},{"dropping-particle":"","family":"Anderson","given":"Peter J","non-dropping-particle":"","parse-names":false,"suffix":""},{"dropping-particle":"","family":"Powis","given":"Zöe","non-dropping-particle":"","parse-names":false,"suffix":""},{"dropping-particle":"","family":"Brunner","given":"Han G","non-dropping-particle":"","parse-names":false,"suffix":""},{"dropping-particle":"","family":"Pfundt","given":"Rolph","non-dropping-particle":"","parse-names":false,"suffix":""},{"dropping-particle":"","family":"Schuurs-Hoeijmakers","given":"Janneke H M","non-dropping-particle":"","parse-names":false,"suffix":""},{"dropping-particle":"","family":"Bon","given":"Bregje W M","non-dropping-particle":"van","parse-names":false,"suffix":""},{"dropping-particle":"","family":"Lelieveld","given":"Stefan","non-dropping-particle":"","parse-names":false,"suffix":""},{"dropping-particle":"","family":"Gilissen","given":"Christian","non-dropping-particle":"","parse-names":false,"suffix":""},{"dropping-particle":"","family":"Nillesen","given":"Willy M","non-dropping-particle":"","parse-names":false,"suffix":""},{"dropping-particle":"","family":"Vissers","given":"Lisenka E L M","non-dropping-particle":"","parse-names":false,"suffix":""},{"dropping-particle":"","family":"Gecz","given":"Jozef","non-dropping-particle":"","parse-names":false,"suffix":""},{"dropping-particle":"","family":"Koolen","given":"David A","non-dropping-particle":"","parse-names":false,"suffix":""},{"dropping-particle":"","family":"Testa","given":"Giuseppe","non-dropping-particle":"","parse-names":false,"suffix":""},{"dropping-particle":"","family":"Vries","given":"Bert B A","non-dropping-particle":"de","parse-names":false,"suffix":""}],"container-title":"American journal of human genetics","id":"ITEM-1","issue":"6","issued":{"date-parts":[["2017","6","1"]]},"page":"907-925","title":"YY1 Haploinsufficiency Causes an Intellectual Disability Syndrome Featuring Transcriptional and Chromatin Dysfunction.","type":"article-journal","volume":"100"},"uris":["http://www.mendeley.com/documents/?uuid=31af457b-5681-4feb-990b-1232e48d13cf"]}],"mendeley":{"formattedCitation":"[Gabriele et al., 2017]","plainTextFormattedCitation":"[Gabriele et al., 2017]","previouslyFormattedCitation":"[2]"},"properties":{"noteIndex":0},"schema":"https://github.com/citation-style-language/schema/raw/master/csl-citation.json"}</w:instrText>
      </w:r>
      <w:r w:rsidR="00810CBB" w:rsidRPr="00D75C5C">
        <w:rPr>
          <w:rStyle w:val="Appelnotedebasdep"/>
          <w:lang w:val="en-US"/>
        </w:rPr>
        <w:fldChar w:fldCharType="separate"/>
      </w:r>
      <w:r w:rsidR="00D60FC9" w:rsidRPr="00D75C5C">
        <w:rPr>
          <w:noProof/>
          <w:lang w:val="en-US"/>
        </w:rPr>
        <w:t>[Gabriele et al., 2017]</w:t>
      </w:r>
      <w:r w:rsidR="00810CBB" w:rsidRPr="00D75C5C">
        <w:rPr>
          <w:rStyle w:val="Appelnotedebasdep"/>
          <w:lang w:val="en-US"/>
        </w:rPr>
        <w:fldChar w:fldCharType="end"/>
      </w:r>
      <w:r w:rsidRPr="00D75C5C">
        <w:rPr>
          <w:lang w:val="en-US"/>
        </w:rPr>
        <w:t>. Four out of the 10 individuals carry truncating variants (stop or frameshift mutations) but the 6 other mutations are missense changes located in the various zinc-</w:t>
      </w:r>
      <w:r w:rsidR="009704AA" w:rsidRPr="00D75C5C">
        <w:rPr>
          <w:lang w:val="en-US"/>
        </w:rPr>
        <w:t xml:space="preserve">finger domains of the protein. </w:t>
      </w:r>
      <w:r w:rsidRPr="00D75C5C">
        <w:rPr>
          <w:lang w:val="en-US"/>
        </w:rPr>
        <w:t>T</w:t>
      </w:r>
      <w:r w:rsidRPr="00D75C5C">
        <w:t>he 13 cases reported with deletions are less informative, as large dele</w:t>
      </w:r>
      <w:r w:rsidR="009704AA" w:rsidRPr="00D75C5C">
        <w:t>tions may encompass other genes</w:t>
      </w:r>
      <w:r w:rsidRPr="00D75C5C">
        <w:t>.</w:t>
      </w:r>
      <w:r w:rsidRPr="00D75C5C">
        <w:rPr>
          <w:lang w:val="en-US"/>
        </w:rPr>
        <w:t xml:space="preserve"> More recently, Morales-Rosado et al. also reported a female patient with a </w:t>
      </w:r>
      <w:r w:rsidRPr="00D75C5C">
        <w:rPr>
          <w:i/>
          <w:lang w:val="en-US"/>
        </w:rPr>
        <w:t>de novo</w:t>
      </w:r>
      <w:r w:rsidRPr="00D75C5C">
        <w:rPr>
          <w:lang w:val="en-US"/>
        </w:rPr>
        <w:t xml:space="preserve"> truncating mutation</w:t>
      </w:r>
      <w:r w:rsidR="00810CBB" w:rsidRPr="00D75C5C">
        <w:rPr>
          <w:rStyle w:val="Appelnotedebasdep"/>
          <w:lang w:val="en-US"/>
        </w:rPr>
        <w:fldChar w:fldCharType="begin" w:fldLock="1"/>
      </w:r>
      <w:r w:rsidR="00D60FC9" w:rsidRPr="00D75C5C">
        <w:rPr>
          <w:lang w:val="en-US"/>
        </w:rPr>
        <w:instrText>ADDIN CSL_CITATION {"citationItems":[{"id":"ITEM-1","itemData":{"DOI":"10.1002/ajmg.a.40626","ISSN":"1552-4833","PMID":"30549423","abstract":"Exome sequencing is being used increasingly to evaluate patients with intellectual disability. YY1 is a ubiquitously distributed transcription factor belonging to the GLIKruppel class of zinc finger proteins recently recognized as the causative gene in 23 patients for the Gabriele-de Vries syndrome. We report a new case with similar features and a novel variant in YY1, in a region of the gene, which has not previously been reported. A 25 year old female was referred to clinical genetics with a diagnosis of autoimmune myasthenia gravis, facial dysmorphism and learning disability. Chromosomal microarray and gene panel test for congenital myasthenic syndrome was negative. Whole exome sequencing (WES) revealed a presumed pathogenic de novo novel, heterozygous, truncating variant in the YY1 gene, c.860_864delTTAAAA, p.Ile287Argfs*3. The Ile287 residue is conserved across species and is situated in the transcription repressor domain of the protein. This variant is novel and lies in a domain of the protein where no previously reported variants occur. The phenotypic features of our case closely match those of the reported patients. Autoimmune myasthenia gravis has not been reported in these patients and may constitute an expansion of this phenotypic spectrum or perhaps more likely a second unrelated diagnosis.","author":[{"dropping-particle":"","family":"Morales-Rosado","given":"Joel A","non-dropping-particle":"","parse-names":false,"suffix":""},{"dropping-particle":"","family":"Kaiwar","given":"Charu","non-dropping-particle":"","parse-names":false,"suffix":""},{"dropping-particle":"","family":"Smith","given":"Benn E","non-dropping-particle":"","parse-names":false,"suffix":""},{"dropping-particle":"","family":"Klee","given":"Eric W","non-dropping-particle":"","parse-names":false,"suffix":""},{"dropping-particle":"","family":"Dhamija","given":"Radhika","non-dropping-particle":"","parse-names":false,"suffix":""}],"container-title":"American journal of medical genetics. Part A","id":"ITEM-1","issue":"12","issued":{"date-parts":[["2018"]]},"page":"2846-2849","title":"A case of YY1-associated syndromic learning disability or Gabriele-de Vries syndrome with myasthenia gravis.","type":"article-journal","volume":"176"},"uris":["http://www.mendeley.com/documents/?uuid=9b4eb392-d765-4da9-9391-864eab180547"]}],"mendeley":{"formattedCitation":"[Morales-Rosado et al., 2018]","plainTextFormattedCitation":"[Morales-Rosado et al., 2018]","previouslyFormattedCitation":"[3]"},"properties":{"noteIndex":0},"schema":"https://github.com/citation-style-language/schema/raw/master/csl-citation.json"}</w:instrText>
      </w:r>
      <w:r w:rsidR="00810CBB" w:rsidRPr="00D75C5C">
        <w:rPr>
          <w:rStyle w:val="Appelnotedebasdep"/>
          <w:lang w:val="en-US"/>
        </w:rPr>
        <w:fldChar w:fldCharType="separate"/>
      </w:r>
      <w:r w:rsidR="00D60FC9" w:rsidRPr="00D75C5C">
        <w:rPr>
          <w:noProof/>
          <w:lang w:val="en-US"/>
        </w:rPr>
        <w:t>[Morales-Rosado et al., 2018]</w:t>
      </w:r>
      <w:r w:rsidR="00810CBB" w:rsidRPr="00D75C5C">
        <w:rPr>
          <w:rStyle w:val="Appelnotedebasdep"/>
          <w:lang w:val="en-US"/>
        </w:rPr>
        <w:fldChar w:fldCharType="end"/>
      </w:r>
      <w:r w:rsidRPr="00D75C5C">
        <w:rPr>
          <w:lang w:val="en-US"/>
        </w:rPr>
        <w:t xml:space="preserve">. We have identified a novel </w:t>
      </w:r>
      <w:r w:rsidRPr="00D75C5C">
        <w:rPr>
          <w:i/>
          <w:lang w:val="en-US"/>
        </w:rPr>
        <w:t>de novo</w:t>
      </w:r>
      <w:r w:rsidRPr="00D75C5C">
        <w:rPr>
          <w:lang w:val="en-US"/>
        </w:rPr>
        <w:t xml:space="preserve"> missense variant, c.907T&gt;C, p.(Cys303Arg), in the </w:t>
      </w:r>
      <w:r w:rsidRPr="00D75C5C">
        <w:rPr>
          <w:i/>
          <w:lang w:val="en-US"/>
        </w:rPr>
        <w:t>YY1</w:t>
      </w:r>
      <w:r w:rsidRPr="00D75C5C">
        <w:rPr>
          <w:lang w:val="en-US"/>
        </w:rPr>
        <w:t xml:space="preserve"> gene, which is also located in a zinc-finger domain. </w:t>
      </w:r>
    </w:p>
    <w:p w:rsidR="00383753" w:rsidRPr="00D75C5C" w:rsidRDefault="00383753" w:rsidP="00383753">
      <w:pPr>
        <w:autoSpaceDE w:val="0"/>
        <w:autoSpaceDN w:val="0"/>
        <w:adjustRightInd w:val="0"/>
        <w:spacing w:after="0" w:line="360" w:lineRule="auto"/>
        <w:jc w:val="both"/>
        <w:rPr>
          <w:lang w:val="en-US"/>
        </w:rPr>
      </w:pPr>
      <w:r w:rsidRPr="00D75C5C">
        <w:rPr>
          <w:lang w:val="en-US"/>
        </w:rPr>
        <w:t>The original description of the “</w:t>
      </w:r>
      <w:r w:rsidR="009704AA" w:rsidRPr="00D75C5C">
        <w:rPr>
          <w:lang w:val="en-US"/>
        </w:rPr>
        <w:t xml:space="preserve">Gabriele-de </w:t>
      </w:r>
      <w:r w:rsidRPr="00D75C5C">
        <w:rPr>
          <w:lang w:val="en-US"/>
        </w:rPr>
        <w:t>Vries syndrome” fits our patient well: she has all the key features of facial dysmorphism, mild intellectual disability and infant feeding difficulties. The most striking feature in our proband, however, is her severe progressive movement disorder, which combines dystonic and cerebellar features and complex oculomotor disturbances.  Five of the original 10 reported patients had movement disorders and interestingly four of these were older than 10 years, while all the five patients in whom no movement disorder was found were less than 10 years old.  This suggests that the lifetime incidence of movement disorder could be high, as the younger members of the original cohort might not yet have had time to manifest it.</w:t>
      </w:r>
    </w:p>
    <w:p w:rsidR="00383753" w:rsidRPr="00D75C5C" w:rsidRDefault="00383753" w:rsidP="00383753">
      <w:pPr>
        <w:autoSpaceDE w:val="0"/>
        <w:autoSpaceDN w:val="0"/>
        <w:adjustRightInd w:val="0"/>
        <w:spacing w:after="0" w:line="360" w:lineRule="auto"/>
        <w:jc w:val="both"/>
        <w:rPr>
          <w:lang w:val="en-US"/>
        </w:rPr>
      </w:pPr>
      <w:r w:rsidRPr="00D75C5C">
        <w:rPr>
          <w:lang w:val="en-US"/>
        </w:rPr>
        <w:t>Hypotonia, likely representing a cerebellar problem, was mentioned in 3 out of 10 cases, pointing to cerebellar dysfunction as a prominent feature of the movement disorder</w:t>
      </w:r>
      <w:r w:rsidR="009704AA" w:rsidRPr="00D75C5C">
        <w:rPr>
          <w:lang w:val="en-US"/>
        </w:rPr>
        <w:t xml:space="preserve">s phenotype seen in Gabriele-de </w:t>
      </w:r>
      <w:r w:rsidRPr="00D75C5C">
        <w:rPr>
          <w:lang w:val="en-US"/>
        </w:rPr>
        <w:t xml:space="preserve">Vries syndrome. Action tremor, both postural and kinetic with an intentional component, was the most striking and debilitating feature in our proband; it was mentioned only once in their 10 cases (the individual aged 39 years) but its nature was not specified. Oculomotor apraxia has not previously been reported in Gabriele-de Vries syndrome. Questionable atrophy of the cerebellum may reflect the cerebellar syndrome seen in our patient. </w:t>
      </w:r>
    </w:p>
    <w:p w:rsidR="00383753" w:rsidRPr="00D75C5C" w:rsidRDefault="00383753" w:rsidP="00383753">
      <w:pPr>
        <w:autoSpaceDE w:val="0"/>
        <w:autoSpaceDN w:val="0"/>
        <w:adjustRightInd w:val="0"/>
        <w:spacing w:after="0" w:line="360" w:lineRule="auto"/>
        <w:jc w:val="both"/>
        <w:rPr>
          <w:lang w:val="en-US"/>
        </w:rPr>
      </w:pPr>
      <w:r w:rsidRPr="00D75C5C">
        <w:rPr>
          <w:lang w:val="en-US"/>
        </w:rPr>
        <w:t xml:space="preserve">Interestingly, a recent paper reports that </w:t>
      </w:r>
      <w:r w:rsidRPr="00D75C5C">
        <w:rPr>
          <w:i/>
          <w:lang w:val="en-US"/>
        </w:rPr>
        <w:t>THAP1</w:t>
      </w:r>
      <w:r w:rsidRPr="00D75C5C">
        <w:rPr>
          <w:lang w:val="en-US"/>
        </w:rPr>
        <w:t xml:space="preserve"> mutations (resulting in DYT-THAP1, previously known as DYT6</w:t>
      </w:r>
      <w:r w:rsidR="009704AA" w:rsidRPr="00D75C5C">
        <w:rPr>
          <w:lang w:val="en-US"/>
        </w:rPr>
        <w:t xml:space="preserve">, a primary dystonia </w:t>
      </w:r>
      <w:r w:rsidR="00866CCC" w:rsidRPr="00D75C5C">
        <w:rPr>
          <w:lang w:val="en-US"/>
        </w:rPr>
        <w:t xml:space="preserve">with typical onset in adolescents or young adults, </w:t>
      </w:r>
      <w:r w:rsidR="009704AA" w:rsidRPr="00D75C5C">
        <w:rPr>
          <w:lang w:val="en-US"/>
        </w:rPr>
        <w:t xml:space="preserve">characterized by </w:t>
      </w:r>
      <w:r w:rsidR="00866CCC" w:rsidRPr="00D75C5C">
        <w:rPr>
          <w:lang w:val="en-US"/>
        </w:rPr>
        <w:t>segmental</w:t>
      </w:r>
      <w:r w:rsidR="009704AA" w:rsidRPr="00D75C5C">
        <w:rPr>
          <w:lang w:val="en-US"/>
        </w:rPr>
        <w:t>, predominantly cranio-cervical dystonia with dysarthria</w:t>
      </w:r>
      <w:r w:rsidR="00866CCC" w:rsidRPr="00D75C5C">
        <w:rPr>
          <w:lang w:val="en-US"/>
        </w:rPr>
        <w:t>, dysphonia</w:t>
      </w:r>
      <w:r w:rsidR="009704AA" w:rsidRPr="00D75C5C">
        <w:rPr>
          <w:lang w:val="en-US"/>
        </w:rPr>
        <w:t xml:space="preserve"> and dysphagia, or </w:t>
      </w:r>
      <w:r w:rsidR="00866CCC" w:rsidRPr="00D75C5C">
        <w:rPr>
          <w:lang w:val="en-US"/>
        </w:rPr>
        <w:t xml:space="preserve">predominantly upper </w:t>
      </w:r>
      <w:r w:rsidR="009704AA" w:rsidRPr="00D75C5C">
        <w:rPr>
          <w:lang w:val="en-US"/>
        </w:rPr>
        <w:t>limb dystonia</w:t>
      </w:r>
      <w:r w:rsidRPr="00D75C5C">
        <w:rPr>
          <w:lang w:val="en-US"/>
        </w:rPr>
        <w:t xml:space="preserve">) reduce the DNA occupancy of </w:t>
      </w:r>
      <w:r w:rsidRPr="00D75C5C">
        <w:rPr>
          <w:i/>
          <w:lang w:val="en-US"/>
        </w:rPr>
        <w:t>YY1</w:t>
      </w:r>
      <w:r w:rsidR="00810CBB" w:rsidRPr="00D75C5C">
        <w:rPr>
          <w:rStyle w:val="Appelnotedebasdep"/>
          <w:i/>
          <w:lang w:val="en-US"/>
        </w:rPr>
        <w:fldChar w:fldCharType="begin" w:fldLock="1"/>
      </w:r>
      <w:r w:rsidR="00D60FC9" w:rsidRPr="00D75C5C">
        <w:rPr>
          <w:lang w:val="en-US"/>
        </w:rPr>
        <w:instrText>ADDIN CSL_CITATION {"citationItems":[{"id":"ITEM-1","itemData":{"DOI":"10.1016/j.devcel.2017.06.009","ISSN":"1878-1551","PMID":"28697333","abstract":"The childhood-onset motor disorder DYT6 dystonia is caused by loss-of-function mutations in the transcription factor THAP1, but the neurodevelopmental processes in which THAP1 participates are unknown. We find that THAP1 is essential for the timing of myelination initiation during CNS maturation. Conditional deletion of THAP1 in the CNS retards maturation of the oligodendrocyte (OL) lineage, delaying myelination and causing persistent motor deficits. The CNS myelination defect results from a cell-autonomous requirement for THAP1 in the OL lineage and is recapitulated in developmental assays performed on OL progenitor cells purified from Thap1 null mice. Loss of THAP1 function disrupts a core set of OL maturation genes and reduces the DNA occupancy of YY1, a transcription factor required for OL maturation. These studies establish a role for THAP1 transcriptional regulation at the inception of myelination and implicate abnormal timing of myelination in the pathogenesis of childhood-onset dystonia.","author":[{"dropping-particle":"","family":"Yellajoshyula","given":"Dhananjay","non-dropping-particle":"","parse-names":false,"suffix":""},{"dropping-particle":"","family":"Liang","given":"Chun-Chi","non-dropping-particle":"","parse-names":false,"suffix":""},{"dropping-particle":"","family":"Pappas","given":"Samuel S","non-dropping-particle":"","parse-names":false,"suffix":""},{"dropping-particle":"","family":"Penati","given":"Silvia","non-dropping-particle":"","parse-names":false,"suffix":""},{"dropping-particle":"","family":"Yang","given":"Angela","non-dropping-particle":"","parse-names":false,"suffix":""},{"dropping-particle":"","family":"Mecano","given":"Rodan","non-dropping-particle":"","parse-names":false,"suffix":""},{"dropping-particle":"","family":"Kumaran","given":"Ravindran","non-dropping-particle":"","parse-names":false,"suffix":""},{"dropping-particle":"","family":"Jou","given":"Stephanie","non-dropping-particle":"","parse-names":false,"suffix":""},{"dropping-particle":"","family":"Cookson","given":"Mark R","non-dropping-particle":"","parse-names":false,"suffix":""},{"dropping-particle":"","family":"Dauer","given":"William T","non-dropping-particle":"","parse-names":false,"suffix":""}],"container-title":"Developmental cell","id":"ITEM-1","issue":"1","issued":{"date-parts":[["2017"]]},"page":"52-67.e4","title":"The DYT6 Dystonia Protein THAP1 Regulates Myelination within the Oligodendrocyte Lineage.","type":"article-journal","volume":"42"},"uris":["http://www.mendeley.com/documents/?uuid=90eb0409-5d4f-438e-98be-37d9df13d57a"]}],"mendeley":{"formattedCitation":"[Yellajoshyula et al., 2017]","plainTextFormattedCitation":"[Yellajoshyula et al., 2017]","previouslyFormattedCitation":"[10]"},"properties":{"noteIndex":0},"schema":"https://github.com/citation-style-language/schema/raw/master/csl-citation.json"}</w:instrText>
      </w:r>
      <w:r w:rsidR="00810CBB" w:rsidRPr="00D75C5C">
        <w:rPr>
          <w:rStyle w:val="Appelnotedebasdep"/>
          <w:i/>
          <w:lang w:val="en-US"/>
        </w:rPr>
        <w:fldChar w:fldCharType="separate"/>
      </w:r>
      <w:r w:rsidR="00D60FC9" w:rsidRPr="00D75C5C">
        <w:rPr>
          <w:noProof/>
          <w:lang w:val="en-US"/>
        </w:rPr>
        <w:t>[Yellajoshyula et al., 2017]</w:t>
      </w:r>
      <w:r w:rsidR="00810CBB" w:rsidRPr="00D75C5C">
        <w:rPr>
          <w:rStyle w:val="Appelnotedebasdep"/>
          <w:i/>
          <w:lang w:val="en-US"/>
        </w:rPr>
        <w:fldChar w:fldCharType="end"/>
      </w:r>
      <w:r w:rsidRPr="00D75C5C">
        <w:rPr>
          <w:lang w:val="en-US"/>
        </w:rPr>
        <w:t xml:space="preserve">. It was suggested that </w:t>
      </w:r>
      <w:r w:rsidRPr="00D75C5C">
        <w:rPr>
          <w:i/>
          <w:lang w:val="en-US"/>
        </w:rPr>
        <w:t>THAP1</w:t>
      </w:r>
      <w:r w:rsidRPr="00D75C5C">
        <w:rPr>
          <w:lang w:val="en-US"/>
        </w:rPr>
        <w:t xml:space="preserve"> loss affects </w:t>
      </w:r>
      <w:r w:rsidRPr="00D75C5C">
        <w:rPr>
          <w:i/>
          <w:lang w:val="en-US"/>
        </w:rPr>
        <w:t>YY1</w:t>
      </w:r>
      <w:r w:rsidRPr="00D75C5C">
        <w:rPr>
          <w:lang w:val="en-US"/>
        </w:rPr>
        <w:t xml:space="preserve">-related genes through occupancy at shared loci, not by altering the expression of </w:t>
      </w:r>
      <w:r w:rsidRPr="00D75C5C">
        <w:rPr>
          <w:i/>
          <w:lang w:val="en-US"/>
        </w:rPr>
        <w:t>YY1</w:t>
      </w:r>
      <w:r w:rsidRPr="00D75C5C">
        <w:rPr>
          <w:lang w:val="en-US"/>
        </w:rPr>
        <w:t xml:space="preserve">. It is tempting to hypothesize that </w:t>
      </w:r>
      <w:r w:rsidRPr="00D75C5C">
        <w:rPr>
          <w:i/>
          <w:lang w:val="en-US"/>
        </w:rPr>
        <w:t>YY1</w:t>
      </w:r>
      <w:r w:rsidRPr="00D75C5C">
        <w:rPr>
          <w:lang w:val="en-US"/>
        </w:rPr>
        <w:t xml:space="preserve"> mutations also have a negative effect on the transcription of </w:t>
      </w:r>
      <w:r w:rsidRPr="00D75C5C">
        <w:rPr>
          <w:i/>
          <w:lang w:val="en-US"/>
        </w:rPr>
        <w:t>THAP1</w:t>
      </w:r>
      <w:r w:rsidRPr="00D75C5C">
        <w:rPr>
          <w:lang w:val="en-US"/>
        </w:rPr>
        <w:t xml:space="preserve">, which could possibly explain the dystonia found both in our patient and in the older patients reported in the original series.    </w:t>
      </w:r>
    </w:p>
    <w:p w:rsidR="00383753" w:rsidRPr="00D75C5C" w:rsidRDefault="00383753" w:rsidP="00383753">
      <w:pPr>
        <w:autoSpaceDE w:val="0"/>
        <w:autoSpaceDN w:val="0"/>
        <w:adjustRightInd w:val="0"/>
        <w:spacing w:after="0" w:line="360" w:lineRule="auto"/>
        <w:jc w:val="both"/>
        <w:rPr>
          <w:lang w:val="en-US"/>
        </w:rPr>
      </w:pPr>
    </w:p>
    <w:p w:rsidR="005E3BEE" w:rsidRPr="00D75C5C" w:rsidRDefault="00235193" w:rsidP="00235193">
      <w:pPr>
        <w:pStyle w:val="Titre2"/>
        <w:rPr>
          <w:lang w:val="en-US"/>
        </w:rPr>
      </w:pPr>
      <w:r w:rsidRPr="00D75C5C">
        <w:rPr>
          <w:lang w:val="en-US"/>
        </w:rPr>
        <w:t>Conclusion</w:t>
      </w:r>
    </w:p>
    <w:p w:rsidR="00383753" w:rsidRPr="00D75C5C" w:rsidRDefault="00383753" w:rsidP="00383753">
      <w:pPr>
        <w:autoSpaceDE w:val="0"/>
        <w:autoSpaceDN w:val="0"/>
        <w:adjustRightInd w:val="0"/>
        <w:spacing w:after="0" w:line="360" w:lineRule="auto"/>
        <w:jc w:val="both"/>
        <w:rPr>
          <w:lang w:val="en-US"/>
        </w:rPr>
      </w:pPr>
      <w:r w:rsidRPr="00D75C5C">
        <w:rPr>
          <w:lang w:val="en-US"/>
        </w:rPr>
        <w:t xml:space="preserve">Movement disorders </w:t>
      </w:r>
      <w:r w:rsidR="00C45E49" w:rsidRPr="00D75C5C">
        <w:rPr>
          <w:lang w:val="en-US"/>
        </w:rPr>
        <w:t xml:space="preserve">including action tremor, ataxia, </w:t>
      </w:r>
      <w:r w:rsidRPr="00D75C5C">
        <w:rPr>
          <w:lang w:val="en-US"/>
        </w:rPr>
        <w:t xml:space="preserve">dystonia </w:t>
      </w:r>
      <w:r w:rsidR="00C45E49" w:rsidRPr="00D75C5C">
        <w:rPr>
          <w:lang w:val="en-US"/>
        </w:rPr>
        <w:t xml:space="preserve">and ocular apraxia </w:t>
      </w:r>
      <w:r w:rsidRPr="00D75C5C">
        <w:rPr>
          <w:lang w:val="en-US"/>
        </w:rPr>
        <w:t xml:space="preserve">can be a major feature of disease related to </w:t>
      </w:r>
      <w:r w:rsidRPr="00D75C5C">
        <w:rPr>
          <w:i/>
          <w:lang w:val="en-US"/>
        </w:rPr>
        <w:t>YY1</w:t>
      </w:r>
      <w:r w:rsidRPr="00D75C5C">
        <w:rPr>
          <w:lang w:val="en-US"/>
        </w:rPr>
        <w:t xml:space="preserve"> mutations. When faced with complex movement disorders in an individual with suggestive facial dysmorphism and mild to moderate intellectual disability, </w:t>
      </w:r>
      <w:r w:rsidRPr="00D75C5C">
        <w:rPr>
          <w:i/>
          <w:lang w:val="en-US"/>
        </w:rPr>
        <w:t>YY1</w:t>
      </w:r>
      <w:r w:rsidRPr="00D75C5C">
        <w:rPr>
          <w:lang w:val="en-US"/>
        </w:rPr>
        <w:t xml:space="preserve"> mutations need to be considered. In young children, however, the movement disorder may yet appear.  </w:t>
      </w:r>
    </w:p>
    <w:p w:rsidR="00C45E49" w:rsidRPr="00D75C5C" w:rsidRDefault="00C45E49" w:rsidP="00383753">
      <w:pPr>
        <w:autoSpaceDE w:val="0"/>
        <w:autoSpaceDN w:val="0"/>
        <w:adjustRightInd w:val="0"/>
        <w:spacing w:after="0" w:line="360" w:lineRule="auto"/>
        <w:jc w:val="both"/>
        <w:rPr>
          <w:lang w:val="en-US"/>
        </w:rPr>
      </w:pPr>
    </w:p>
    <w:p w:rsidR="00AA6175" w:rsidRPr="00D75C5C" w:rsidRDefault="00AA6175" w:rsidP="00AA6175">
      <w:pPr>
        <w:pStyle w:val="Titre1"/>
        <w:rPr>
          <w:lang w:val="en-US"/>
        </w:rPr>
      </w:pPr>
      <w:r w:rsidRPr="00D75C5C">
        <w:rPr>
          <w:lang w:val="en-US"/>
        </w:rPr>
        <w:t>Video legend</w:t>
      </w:r>
    </w:p>
    <w:p w:rsidR="00AA6175" w:rsidRDefault="00AA6175" w:rsidP="00AA6175">
      <w:pPr>
        <w:spacing w:after="0" w:line="360" w:lineRule="auto"/>
        <w:jc w:val="both"/>
        <w:rPr>
          <w:rFonts w:cs="Calibri"/>
          <w:lang w:val="en-US"/>
        </w:rPr>
      </w:pPr>
      <w:r w:rsidRPr="00D75C5C">
        <w:rPr>
          <w:rFonts w:cs="Calibri"/>
          <w:lang w:val="en-US"/>
        </w:rPr>
        <w:t>First segment shows the patient in her teenage hood.  Her severe action tremor makes self-feeding almost impossible.  Second segment shows the patient aged 21 years. Laryngeal dystonia is evident on speech.  At rest, generalized irregular tremor is seen. Dystonic posturing of the fingers is observed on arm extension. Tremor is exacerbated on reaching but there is no true past-pointing. Severe action tremor prevents writing.  On walking, dystonic posture and gait ataxia are seen.</w:t>
      </w:r>
      <w:r w:rsidRPr="00D75C5C" w:rsidDel="00CE700D">
        <w:rPr>
          <w:rFonts w:cs="Calibri"/>
          <w:lang w:val="en-US"/>
        </w:rPr>
        <w:t xml:space="preserve"> </w:t>
      </w:r>
    </w:p>
    <w:p w:rsidR="00831A3C" w:rsidRDefault="00831A3C" w:rsidP="00AA6175">
      <w:pPr>
        <w:spacing w:after="0" w:line="360" w:lineRule="auto"/>
        <w:jc w:val="both"/>
        <w:rPr>
          <w:rFonts w:cs="Calibri"/>
          <w:lang w:val="en-US"/>
        </w:rPr>
      </w:pPr>
    </w:p>
    <w:p w:rsidR="00831A3C" w:rsidRDefault="00831A3C" w:rsidP="00831A3C">
      <w:pPr>
        <w:pStyle w:val="Titre1"/>
        <w:rPr>
          <w:lang w:val="en-US"/>
        </w:rPr>
      </w:pPr>
      <w:r w:rsidRPr="00831A3C">
        <w:rPr>
          <w:lang w:val="en-US"/>
        </w:rPr>
        <w:t>Picture 1</w:t>
      </w:r>
    </w:p>
    <w:p w:rsidR="00831A3C" w:rsidRPr="00831A3C" w:rsidRDefault="00831A3C" w:rsidP="00831A3C">
      <w:pPr>
        <w:rPr>
          <w:lang w:val="en-US"/>
        </w:rPr>
      </w:pPr>
      <w:r w:rsidRPr="008A014B">
        <w:rPr>
          <w:lang w:val="en-US"/>
        </w:rPr>
        <w:t xml:space="preserve">Picture of the patient at the age of </w:t>
      </w:r>
      <w:r>
        <w:rPr>
          <w:lang w:val="en-US"/>
        </w:rPr>
        <w:t>21 years-old.</w:t>
      </w:r>
    </w:p>
    <w:p w:rsidR="00383753" w:rsidRPr="00D75C5C" w:rsidRDefault="00383753" w:rsidP="00102999">
      <w:pPr>
        <w:autoSpaceDE w:val="0"/>
        <w:autoSpaceDN w:val="0"/>
        <w:adjustRightInd w:val="0"/>
        <w:spacing w:after="0" w:line="360" w:lineRule="auto"/>
        <w:jc w:val="both"/>
        <w:rPr>
          <w:lang w:val="en-US"/>
        </w:rPr>
      </w:pPr>
    </w:p>
    <w:p w:rsidR="00E93F4F" w:rsidRPr="00D75C5C" w:rsidRDefault="00E93F4F" w:rsidP="00102999">
      <w:pPr>
        <w:autoSpaceDE w:val="0"/>
        <w:autoSpaceDN w:val="0"/>
        <w:adjustRightInd w:val="0"/>
        <w:spacing w:after="0" w:line="360" w:lineRule="auto"/>
        <w:jc w:val="both"/>
        <w:rPr>
          <w:lang w:val="en-US"/>
        </w:rPr>
      </w:pPr>
    </w:p>
    <w:p w:rsidR="00001F8D" w:rsidRPr="00D75C5C" w:rsidRDefault="00DF7038" w:rsidP="00001F8D">
      <w:pPr>
        <w:pStyle w:val="Titre1"/>
        <w:spacing w:before="0" w:line="360" w:lineRule="auto"/>
        <w:jc w:val="both"/>
        <w:rPr>
          <w:lang w:val="en-US"/>
        </w:rPr>
      </w:pPr>
      <w:r w:rsidRPr="00D75C5C">
        <w:rPr>
          <w:lang w:val="en-US"/>
        </w:rPr>
        <w:t xml:space="preserve">Acknowledgments </w:t>
      </w:r>
    </w:p>
    <w:p w:rsidR="00005340" w:rsidRPr="00D75C5C" w:rsidRDefault="00005340" w:rsidP="00005340">
      <w:pPr>
        <w:autoSpaceDE w:val="0"/>
        <w:autoSpaceDN w:val="0"/>
        <w:adjustRightInd w:val="0"/>
        <w:spacing w:after="0" w:line="360" w:lineRule="auto"/>
        <w:jc w:val="both"/>
        <w:rPr>
          <w:lang w:val="en-US"/>
        </w:rPr>
      </w:pPr>
      <w:r w:rsidRPr="00D75C5C">
        <w:rPr>
          <w:lang w:val="en-US"/>
        </w:rPr>
        <w:t xml:space="preserve">We are grateful to the patient and her family who went through a </w:t>
      </w:r>
      <w:r w:rsidR="0078641A" w:rsidRPr="00D75C5C">
        <w:rPr>
          <w:lang w:val="en-US"/>
        </w:rPr>
        <w:t xml:space="preserve">long </w:t>
      </w:r>
      <w:r w:rsidRPr="00D75C5C">
        <w:rPr>
          <w:lang w:val="en-US"/>
        </w:rPr>
        <w:t>medical odyssey</w:t>
      </w:r>
      <w:r w:rsidR="0078641A" w:rsidRPr="00D75C5C">
        <w:rPr>
          <w:lang w:val="en-US"/>
        </w:rPr>
        <w:t>, being assessed in three tertiary centers in three different countries,</w:t>
      </w:r>
      <w:r w:rsidRPr="00D75C5C">
        <w:rPr>
          <w:lang w:val="en-US"/>
        </w:rPr>
        <w:t xml:space="preserve"> to reach final diagnosis.</w:t>
      </w:r>
    </w:p>
    <w:p w:rsidR="00005340" w:rsidRPr="00D75C5C" w:rsidRDefault="00005340" w:rsidP="00005340">
      <w:pPr>
        <w:autoSpaceDE w:val="0"/>
        <w:autoSpaceDN w:val="0"/>
        <w:adjustRightInd w:val="0"/>
        <w:spacing w:after="0" w:line="360" w:lineRule="auto"/>
        <w:jc w:val="both"/>
        <w:rPr>
          <w:lang w:val="en-US"/>
        </w:rPr>
      </w:pPr>
    </w:p>
    <w:p w:rsidR="0027268A" w:rsidRPr="00D75C5C" w:rsidRDefault="0027268A" w:rsidP="0027268A">
      <w:pPr>
        <w:pStyle w:val="Titre1"/>
        <w:spacing w:before="0" w:line="360" w:lineRule="auto"/>
        <w:jc w:val="both"/>
        <w:rPr>
          <w:lang w:val="en-US"/>
        </w:rPr>
      </w:pPr>
      <w:r w:rsidRPr="00D75C5C">
        <w:rPr>
          <w:lang w:val="en-US"/>
        </w:rPr>
        <w:t>Authors' Roles</w:t>
      </w:r>
    </w:p>
    <w:p w:rsidR="0027268A" w:rsidRPr="00D75C5C" w:rsidRDefault="0027268A" w:rsidP="0027268A">
      <w:pPr>
        <w:spacing w:after="0" w:line="360" w:lineRule="auto"/>
        <w:jc w:val="both"/>
        <w:rPr>
          <w:rFonts w:cs="Calibri"/>
          <w:lang w:val="en-US"/>
        </w:rPr>
      </w:pPr>
      <w:r w:rsidRPr="00D75C5C">
        <w:rPr>
          <w:rFonts w:cs="Calibri"/>
          <w:lang w:val="en-US"/>
        </w:rPr>
        <w:t>1) Research project: A. Conception, B. Organization, C. Execution.</w:t>
      </w:r>
    </w:p>
    <w:p w:rsidR="0027268A" w:rsidRPr="00D75C5C" w:rsidRDefault="0027268A" w:rsidP="0027268A">
      <w:pPr>
        <w:spacing w:after="0" w:line="360" w:lineRule="auto"/>
        <w:jc w:val="both"/>
        <w:rPr>
          <w:rFonts w:cs="Calibri"/>
          <w:lang w:val="en-US"/>
        </w:rPr>
      </w:pPr>
      <w:r w:rsidRPr="00D75C5C">
        <w:rPr>
          <w:rFonts w:cs="Calibri"/>
          <w:lang w:val="en-US"/>
        </w:rPr>
        <w:t>2) Statistical Analysis: not applicable.</w:t>
      </w:r>
    </w:p>
    <w:p w:rsidR="0027268A" w:rsidRPr="00D75C5C" w:rsidRDefault="0027268A" w:rsidP="0027268A">
      <w:pPr>
        <w:spacing w:after="0" w:line="360" w:lineRule="auto"/>
        <w:jc w:val="both"/>
        <w:rPr>
          <w:rFonts w:cs="Calibri"/>
          <w:lang w:val="en-US"/>
        </w:rPr>
      </w:pPr>
      <w:r w:rsidRPr="00D75C5C">
        <w:rPr>
          <w:rFonts w:cs="Calibri"/>
          <w:lang w:val="en-US"/>
        </w:rPr>
        <w:t>3) Manuscript: A. Writing of the first draft, B. Review and Critique.</w:t>
      </w:r>
    </w:p>
    <w:p w:rsidR="0027268A" w:rsidRPr="00D75C5C" w:rsidRDefault="0027268A" w:rsidP="0027268A">
      <w:pPr>
        <w:spacing w:after="0" w:line="360" w:lineRule="auto"/>
        <w:jc w:val="both"/>
        <w:rPr>
          <w:rFonts w:cs="Calibri"/>
          <w:lang w:val="en-US"/>
        </w:rPr>
      </w:pPr>
      <w:r w:rsidRPr="00D75C5C">
        <w:rPr>
          <w:rFonts w:cs="Calibri"/>
          <w:lang w:val="en-US"/>
        </w:rPr>
        <w:t>MC: 1A, 1B, 1C, 3A</w:t>
      </w:r>
    </w:p>
    <w:p w:rsidR="0027268A" w:rsidRPr="00D75C5C" w:rsidRDefault="0027268A" w:rsidP="0027268A">
      <w:pPr>
        <w:spacing w:after="0" w:line="360" w:lineRule="auto"/>
        <w:jc w:val="both"/>
        <w:rPr>
          <w:rFonts w:cs="Calibri"/>
          <w:lang w:val="en-US"/>
        </w:rPr>
      </w:pPr>
      <w:r w:rsidRPr="00D75C5C">
        <w:rPr>
          <w:rFonts w:cs="Calibri"/>
          <w:lang w:val="en-US"/>
        </w:rPr>
        <w:t>DS: 1A, 1B, 1C, 3B</w:t>
      </w:r>
    </w:p>
    <w:p w:rsidR="0027268A" w:rsidRPr="00D75C5C" w:rsidRDefault="0027268A" w:rsidP="0027268A">
      <w:pPr>
        <w:spacing w:after="0" w:line="360" w:lineRule="auto"/>
        <w:jc w:val="both"/>
        <w:rPr>
          <w:rFonts w:cs="Calibri"/>
          <w:lang w:val="en-US"/>
        </w:rPr>
      </w:pPr>
      <w:r w:rsidRPr="00D75C5C">
        <w:rPr>
          <w:rFonts w:cs="Calibri"/>
          <w:lang w:val="en-US"/>
        </w:rPr>
        <w:t>SS: 1A, 1B, 1C, 3B</w:t>
      </w:r>
    </w:p>
    <w:p w:rsidR="0027268A" w:rsidRPr="00D75C5C" w:rsidRDefault="0027268A" w:rsidP="0027268A">
      <w:pPr>
        <w:spacing w:after="0" w:line="360" w:lineRule="auto"/>
        <w:jc w:val="both"/>
        <w:rPr>
          <w:rFonts w:cs="Calibri"/>
          <w:lang w:val="en-US"/>
        </w:rPr>
      </w:pPr>
      <w:r w:rsidRPr="00D75C5C">
        <w:rPr>
          <w:rFonts w:cs="Calibri"/>
          <w:lang w:val="en-US"/>
        </w:rPr>
        <w:t>GB: 1C, 3B</w:t>
      </w:r>
    </w:p>
    <w:p w:rsidR="0027268A" w:rsidRPr="00D75C5C" w:rsidRDefault="0027268A" w:rsidP="0027268A">
      <w:pPr>
        <w:spacing w:after="0" w:line="360" w:lineRule="auto"/>
        <w:jc w:val="both"/>
        <w:rPr>
          <w:rFonts w:cs="Calibri"/>
          <w:lang w:val="en-US"/>
        </w:rPr>
      </w:pPr>
      <w:r w:rsidRPr="00D75C5C">
        <w:rPr>
          <w:rFonts w:cs="Calibri"/>
          <w:lang w:val="en-US"/>
        </w:rPr>
        <w:t>MG: 1A, 1B, 1C, 3A</w:t>
      </w:r>
    </w:p>
    <w:p w:rsidR="0027268A" w:rsidRPr="00D75C5C" w:rsidRDefault="0027268A" w:rsidP="0027268A">
      <w:pPr>
        <w:spacing w:after="0" w:line="360" w:lineRule="auto"/>
        <w:jc w:val="both"/>
        <w:rPr>
          <w:rFonts w:cs="Calibri"/>
          <w:lang w:val="en-US"/>
        </w:rPr>
      </w:pPr>
      <w:r w:rsidRPr="00D75C5C">
        <w:rPr>
          <w:rFonts w:cs="Calibri"/>
          <w:lang w:val="en-US"/>
        </w:rPr>
        <w:t>SL: 1C, 3A</w:t>
      </w:r>
    </w:p>
    <w:p w:rsidR="0027268A" w:rsidRPr="00D75C5C" w:rsidRDefault="0027268A" w:rsidP="0027268A">
      <w:pPr>
        <w:spacing w:after="0" w:line="360" w:lineRule="auto"/>
        <w:jc w:val="both"/>
        <w:rPr>
          <w:rFonts w:cs="Calibri"/>
          <w:lang w:val="en-US"/>
        </w:rPr>
      </w:pPr>
      <w:r w:rsidRPr="00D75C5C">
        <w:rPr>
          <w:rFonts w:cs="Calibri"/>
          <w:lang w:val="en-US"/>
        </w:rPr>
        <w:t>SF: 1B, 3B</w:t>
      </w:r>
    </w:p>
    <w:p w:rsidR="0027268A" w:rsidRPr="00D75C5C" w:rsidRDefault="0027268A" w:rsidP="0027268A">
      <w:pPr>
        <w:spacing w:after="0" w:line="360" w:lineRule="auto"/>
        <w:jc w:val="both"/>
        <w:rPr>
          <w:rFonts w:cs="Calibri"/>
          <w:lang w:val="en-US"/>
        </w:rPr>
      </w:pPr>
      <w:r w:rsidRPr="00D75C5C">
        <w:rPr>
          <w:rFonts w:cs="Calibri"/>
          <w:lang w:val="en-US"/>
        </w:rPr>
        <w:t>AM: 1B, 1C, 3B</w:t>
      </w:r>
    </w:p>
    <w:p w:rsidR="0027268A" w:rsidRPr="00D75C5C" w:rsidRDefault="0027268A" w:rsidP="0027268A">
      <w:pPr>
        <w:spacing w:after="0" w:line="360" w:lineRule="auto"/>
        <w:jc w:val="both"/>
        <w:rPr>
          <w:rFonts w:cs="Calibri"/>
          <w:lang w:val="pt-PT"/>
        </w:rPr>
      </w:pPr>
      <w:r w:rsidRPr="00D75C5C">
        <w:rPr>
          <w:rFonts w:cs="Calibri"/>
          <w:lang w:val="pt-PT"/>
        </w:rPr>
        <w:t>AZ: 1C, 3A</w:t>
      </w:r>
    </w:p>
    <w:p w:rsidR="0027268A" w:rsidRPr="00D75C5C" w:rsidRDefault="0027268A" w:rsidP="0027268A">
      <w:pPr>
        <w:spacing w:after="0" w:line="360" w:lineRule="auto"/>
        <w:jc w:val="both"/>
        <w:rPr>
          <w:rFonts w:cs="Calibri"/>
          <w:lang w:val="pt-PT"/>
        </w:rPr>
      </w:pPr>
      <w:r w:rsidRPr="00D75C5C">
        <w:rPr>
          <w:rFonts w:cs="Calibri"/>
          <w:lang w:val="pt-PT"/>
        </w:rPr>
        <w:t>ED: 1C, 3B</w:t>
      </w:r>
    </w:p>
    <w:p w:rsidR="0027268A" w:rsidRPr="00D75C5C" w:rsidRDefault="0027268A" w:rsidP="0027268A">
      <w:pPr>
        <w:spacing w:after="0" w:line="360" w:lineRule="auto"/>
        <w:jc w:val="both"/>
        <w:rPr>
          <w:rFonts w:cs="Calibri"/>
          <w:lang w:val="pt-PT"/>
        </w:rPr>
      </w:pPr>
      <w:r w:rsidRPr="00D75C5C">
        <w:rPr>
          <w:rFonts w:cs="Calibri"/>
          <w:lang w:val="pt-PT"/>
        </w:rPr>
        <w:t>RO: 1A, 1B, 1C, 3B</w:t>
      </w:r>
    </w:p>
    <w:p w:rsidR="0027268A" w:rsidRPr="00D75C5C" w:rsidRDefault="0027268A" w:rsidP="0027268A">
      <w:pPr>
        <w:spacing w:after="0" w:line="360" w:lineRule="auto"/>
        <w:jc w:val="both"/>
        <w:rPr>
          <w:rFonts w:cs="Calibri"/>
          <w:lang w:val="en-US"/>
        </w:rPr>
      </w:pPr>
      <w:r w:rsidRPr="00D75C5C">
        <w:rPr>
          <w:rFonts w:cs="Calibri"/>
          <w:lang w:val="en-US"/>
        </w:rPr>
        <w:t>MK: 1A, 1B, 1C, 3B</w:t>
      </w:r>
    </w:p>
    <w:p w:rsidR="0027268A" w:rsidRPr="00D75C5C" w:rsidRDefault="0027268A" w:rsidP="0027268A">
      <w:pPr>
        <w:spacing w:after="0" w:line="360" w:lineRule="auto"/>
        <w:jc w:val="both"/>
        <w:rPr>
          <w:rFonts w:cs="Calibri"/>
          <w:lang w:val="en-US"/>
        </w:rPr>
      </w:pPr>
      <w:r w:rsidRPr="00D75C5C">
        <w:rPr>
          <w:rFonts w:cs="Calibri"/>
          <w:lang w:val="en-US"/>
        </w:rPr>
        <w:t>PB: 1A, 1B, 1C, 3B</w:t>
      </w:r>
    </w:p>
    <w:p w:rsidR="0027268A" w:rsidRPr="00D75C5C" w:rsidRDefault="0027268A" w:rsidP="0027268A">
      <w:pPr>
        <w:spacing w:after="0" w:line="360" w:lineRule="auto"/>
        <w:jc w:val="both"/>
        <w:rPr>
          <w:rFonts w:cs="Calibri"/>
          <w:lang w:val="en-US"/>
        </w:rPr>
      </w:pPr>
      <w:r w:rsidRPr="00D75C5C">
        <w:rPr>
          <w:rFonts w:cs="Calibri"/>
          <w:lang w:val="en-US"/>
        </w:rPr>
        <w:t>JFB: 1A, 1B, 1C, 3A</w:t>
      </w:r>
      <w:r w:rsidR="00C45E49" w:rsidRPr="00D75C5C">
        <w:rPr>
          <w:rFonts w:cs="Calibri"/>
          <w:lang w:val="en-US"/>
        </w:rPr>
        <w:t>, 3B</w:t>
      </w:r>
    </w:p>
    <w:p w:rsidR="0027268A" w:rsidRPr="00D75C5C" w:rsidRDefault="0027268A" w:rsidP="0027268A">
      <w:pPr>
        <w:pStyle w:val="Titre1"/>
        <w:spacing w:line="360" w:lineRule="auto"/>
        <w:jc w:val="both"/>
        <w:rPr>
          <w:lang w:val="en-US"/>
        </w:rPr>
      </w:pPr>
      <w:r w:rsidRPr="00D75C5C">
        <w:rPr>
          <w:lang w:val="en-US"/>
        </w:rPr>
        <w:t>Conflict of interest</w:t>
      </w:r>
    </w:p>
    <w:p w:rsidR="0027268A" w:rsidRPr="00D75C5C" w:rsidRDefault="0027268A" w:rsidP="0027268A">
      <w:pPr>
        <w:spacing w:line="360" w:lineRule="auto"/>
        <w:jc w:val="both"/>
        <w:rPr>
          <w:lang w:val="en-US"/>
        </w:rPr>
      </w:pPr>
      <w:r w:rsidRPr="00D75C5C">
        <w:rPr>
          <w:lang w:val="en-US"/>
        </w:rPr>
        <w:t xml:space="preserve">The manuscript has not been previously published and is not under review at any other journal. No other related work is under submission elsewhere. All authors of the paper have participated to the study, revised the manuscript and approved the final version of the manuscript. There is no ghost writer. There is no financial or any other type of conflict of interest related to the manuscript. </w:t>
      </w:r>
    </w:p>
    <w:p w:rsidR="0027268A" w:rsidRPr="00D75C5C" w:rsidRDefault="0027268A" w:rsidP="0027268A">
      <w:pPr>
        <w:spacing w:line="360" w:lineRule="auto"/>
        <w:jc w:val="both"/>
        <w:rPr>
          <w:lang w:val="en-US"/>
        </w:rPr>
      </w:pPr>
    </w:p>
    <w:p w:rsidR="0027268A" w:rsidRPr="00D75C5C" w:rsidRDefault="0027268A" w:rsidP="0027268A">
      <w:pPr>
        <w:pStyle w:val="Titre1"/>
        <w:spacing w:before="0" w:line="360" w:lineRule="auto"/>
        <w:jc w:val="both"/>
        <w:rPr>
          <w:lang w:val="en-US"/>
        </w:rPr>
      </w:pPr>
      <w:r w:rsidRPr="00D75C5C">
        <w:rPr>
          <w:lang w:val="en-US"/>
        </w:rPr>
        <w:t>Full Financial Disclosures of all Authors for the Past Year</w:t>
      </w:r>
    </w:p>
    <w:p w:rsidR="0027268A" w:rsidRPr="00D75C5C" w:rsidRDefault="0027268A" w:rsidP="0027268A">
      <w:pPr>
        <w:spacing w:after="0" w:line="360" w:lineRule="auto"/>
        <w:jc w:val="both"/>
        <w:rPr>
          <w:rFonts w:cs="Calibri"/>
          <w:lang w:val="en-US"/>
        </w:rPr>
      </w:pPr>
      <w:r w:rsidRPr="00D75C5C">
        <w:rPr>
          <w:rFonts w:cs="Calibri"/>
          <w:lang w:val="en-US"/>
        </w:rPr>
        <w:t>MC: None</w:t>
      </w:r>
    </w:p>
    <w:p w:rsidR="0027268A" w:rsidRPr="00D75C5C" w:rsidRDefault="0027268A" w:rsidP="0027268A">
      <w:pPr>
        <w:spacing w:after="0" w:line="360" w:lineRule="auto"/>
        <w:jc w:val="both"/>
        <w:rPr>
          <w:rFonts w:cs="Calibri"/>
          <w:lang w:val="en-US"/>
        </w:rPr>
      </w:pPr>
      <w:r w:rsidRPr="00D75C5C">
        <w:rPr>
          <w:rFonts w:cs="Calibri"/>
          <w:lang w:val="en-US"/>
        </w:rPr>
        <w:t>DS: Salary is paid from a grant from the National Institute for Health Research.  Payments also received from the British Medical Association.</w:t>
      </w:r>
    </w:p>
    <w:p w:rsidR="0027268A" w:rsidRPr="00D75C5C" w:rsidRDefault="0027268A" w:rsidP="0027268A">
      <w:pPr>
        <w:spacing w:after="0" w:line="360" w:lineRule="auto"/>
        <w:jc w:val="both"/>
        <w:rPr>
          <w:rFonts w:cs="Calibri"/>
          <w:lang w:val="en-US"/>
        </w:rPr>
      </w:pPr>
      <w:r w:rsidRPr="00D75C5C">
        <w:rPr>
          <w:rFonts w:cs="Calibri"/>
          <w:lang w:val="en-US"/>
        </w:rPr>
        <w:t>SS: None</w:t>
      </w:r>
    </w:p>
    <w:p w:rsidR="0027268A" w:rsidRPr="00D75C5C" w:rsidRDefault="0027268A" w:rsidP="0027268A">
      <w:pPr>
        <w:spacing w:after="0" w:line="360" w:lineRule="auto"/>
        <w:jc w:val="both"/>
        <w:rPr>
          <w:rFonts w:cs="Calibri"/>
          <w:lang w:val="en-US"/>
        </w:rPr>
      </w:pPr>
      <w:r w:rsidRPr="00D75C5C">
        <w:rPr>
          <w:rFonts w:cs="Calibri"/>
          <w:lang w:val="en-US"/>
        </w:rPr>
        <w:t>GB: None</w:t>
      </w:r>
    </w:p>
    <w:p w:rsidR="0027268A" w:rsidRPr="00D75C5C" w:rsidRDefault="0027268A" w:rsidP="0027268A">
      <w:pPr>
        <w:spacing w:after="0" w:line="360" w:lineRule="auto"/>
        <w:jc w:val="both"/>
        <w:rPr>
          <w:rFonts w:cs="Calibri"/>
          <w:lang w:val="en-US"/>
        </w:rPr>
      </w:pPr>
      <w:r w:rsidRPr="00D75C5C">
        <w:rPr>
          <w:rFonts w:cs="Calibri"/>
          <w:lang w:val="en-US"/>
        </w:rPr>
        <w:t>MG: None</w:t>
      </w:r>
    </w:p>
    <w:p w:rsidR="0027268A" w:rsidRPr="00D75C5C" w:rsidRDefault="0027268A" w:rsidP="0027268A">
      <w:pPr>
        <w:spacing w:after="0" w:line="360" w:lineRule="auto"/>
        <w:jc w:val="both"/>
        <w:rPr>
          <w:rFonts w:cs="Calibri"/>
          <w:lang w:val="en-US"/>
        </w:rPr>
      </w:pPr>
      <w:r w:rsidRPr="00D75C5C">
        <w:rPr>
          <w:rFonts w:cs="Calibri"/>
          <w:lang w:val="en-US"/>
        </w:rPr>
        <w:t>SL: None</w:t>
      </w:r>
    </w:p>
    <w:p w:rsidR="0027268A" w:rsidRPr="00D75C5C" w:rsidRDefault="0027268A" w:rsidP="0027268A">
      <w:pPr>
        <w:spacing w:after="0" w:line="360" w:lineRule="auto"/>
        <w:jc w:val="both"/>
        <w:rPr>
          <w:rFonts w:cs="Calibri"/>
          <w:lang w:val="en-US"/>
        </w:rPr>
      </w:pPr>
      <w:r w:rsidRPr="00D75C5C">
        <w:rPr>
          <w:rFonts w:cs="Calibri"/>
          <w:lang w:val="en-US"/>
        </w:rPr>
        <w:t>SF: None</w:t>
      </w:r>
    </w:p>
    <w:p w:rsidR="0027268A" w:rsidRPr="00D75C5C" w:rsidRDefault="0027268A" w:rsidP="0027268A">
      <w:pPr>
        <w:spacing w:after="0" w:line="360" w:lineRule="auto"/>
        <w:jc w:val="both"/>
        <w:rPr>
          <w:rFonts w:cs="Calibri"/>
          <w:lang w:val="en-US"/>
        </w:rPr>
      </w:pPr>
      <w:r w:rsidRPr="00D75C5C">
        <w:rPr>
          <w:rFonts w:cs="Calibri"/>
          <w:lang w:val="en-US"/>
        </w:rPr>
        <w:t>AM: None</w:t>
      </w:r>
    </w:p>
    <w:p w:rsidR="0027268A" w:rsidRPr="00D75C5C" w:rsidRDefault="0027268A" w:rsidP="0027268A">
      <w:pPr>
        <w:spacing w:after="0" w:line="360" w:lineRule="auto"/>
        <w:jc w:val="both"/>
        <w:rPr>
          <w:rFonts w:cs="Calibri"/>
          <w:lang w:val="en-US"/>
        </w:rPr>
      </w:pPr>
      <w:r w:rsidRPr="00D75C5C">
        <w:rPr>
          <w:rFonts w:cs="Calibri"/>
          <w:lang w:val="en-US"/>
        </w:rPr>
        <w:t>AZ: supported by the Baasch Medicus Foundation</w:t>
      </w:r>
    </w:p>
    <w:p w:rsidR="0027268A" w:rsidRPr="00D75C5C" w:rsidRDefault="0027268A" w:rsidP="0027268A">
      <w:pPr>
        <w:spacing w:after="0" w:line="360" w:lineRule="auto"/>
        <w:jc w:val="both"/>
        <w:rPr>
          <w:rFonts w:cs="Calibri"/>
          <w:lang w:val="en-US"/>
        </w:rPr>
      </w:pPr>
      <w:r w:rsidRPr="00D75C5C">
        <w:rPr>
          <w:rFonts w:cs="Calibri"/>
          <w:lang w:val="en-US"/>
        </w:rPr>
        <w:t>ED: None</w:t>
      </w:r>
    </w:p>
    <w:p w:rsidR="0027268A" w:rsidRPr="00D75C5C" w:rsidRDefault="0027268A" w:rsidP="0027268A">
      <w:pPr>
        <w:spacing w:after="0" w:line="360" w:lineRule="auto"/>
        <w:jc w:val="both"/>
        <w:rPr>
          <w:rFonts w:cs="Calibri"/>
          <w:lang w:val="en-US"/>
        </w:rPr>
      </w:pPr>
      <w:r w:rsidRPr="00D75C5C">
        <w:rPr>
          <w:rFonts w:cs="Calibri"/>
          <w:lang w:val="en-US"/>
        </w:rPr>
        <w:t>RO: None</w:t>
      </w:r>
    </w:p>
    <w:p w:rsidR="0027268A" w:rsidRPr="00D75C5C" w:rsidRDefault="0027268A" w:rsidP="0027268A">
      <w:pPr>
        <w:spacing w:after="0" w:line="360" w:lineRule="auto"/>
        <w:jc w:val="both"/>
        <w:rPr>
          <w:rFonts w:cs="Calibri"/>
          <w:lang w:val="en-US"/>
        </w:rPr>
      </w:pPr>
      <w:r w:rsidRPr="00D75C5C">
        <w:rPr>
          <w:rFonts w:cs="Calibri"/>
          <w:lang w:val="en-US"/>
        </w:rPr>
        <w:t>MAK: Salary is paid from a grant from the National Institute for Health Research.  The research group also receives funding from the Sir Jules Thorne Trust, Rosetrees Trust and Great Ormond street Hospital Children’s Charity.</w:t>
      </w:r>
    </w:p>
    <w:p w:rsidR="0027268A" w:rsidRPr="00D75C5C" w:rsidRDefault="0027268A" w:rsidP="0027268A">
      <w:pPr>
        <w:spacing w:after="0" w:line="360" w:lineRule="auto"/>
        <w:jc w:val="both"/>
        <w:rPr>
          <w:rFonts w:cs="Calibri"/>
          <w:lang w:val="en-US"/>
        </w:rPr>
      </w:pPr>
      <w:r w:rsidRPr="00D75C5C">
        <w:rPr>
          <w:rFonts w:cs="Calibri"/>
          <w:lang w:val="en-US"/>
        </w:rPr>
        <w:t>PRB: None</w:t>
      </w:r>
    </w:p>
    <w:p w:rsidR="0027268A" w:rsidRPr="00D75C5C" w:rsidRDefault="0027268A" w:rsidP="0027268A">
      <w:pPr>
        <w:spacing w:after="0" w:line="360" w:lineRule="auto"/>
        <w:jc w:val="both"/>
        <w:rPr>
          <w:rFonts w:cs="Calibri"/>
          <w:lang w:val="en-US"/>
        </w:rPr>
      </w:pPr>
      <w:r w:rsidRPr="00D75C5C">
        <w:rPr>
          <w:rFonts w:cs="Calibri"/>
          <w:lang w:val="en-US"/>
        </w:rPr>
        <w:t xml:space="preserve">JFB: 2019 JNLF congress fee paid by Abbvie and partial PRD congress fee paid by Zambon. </w:t>
      </w:r>
    </w:p>
    <w:p w:rsidR="0027268A" w:rsidRPr="00D75C5C" w:rsidRDefault="0027268A" w:rsidP="0027268A">
      <w:pPr>
        <w:pStyle w:val="Titre1"/>
        <w:rPr>
          <w:lang w:val="en-US"/>
        </w:rPr>
      </w:pPr>
      <w:r w:rsidRPr="00D75C5C">
        <w:rPr>
          <w:lang w:val="en-US"/>
        </w:rPr>
        <w:t>References</w:t>
      </w:r>
    </w:p>
    <w:p w:rsidR="00D60FC9" w:rsidRPr="00D75C5C" w:rsidRDefault="00810CBB" w:rsidP="00D60FC9">
      <w:pPr>
        <w:widowControl w:val="0"/>
        <w:autoSpaceDE w:val="0"/>
        <w:autoSpaceDN w:val="0"/>
        <w:adjustRightInd w:val="0"/>
        <w:spacing w:line="240" w:lineRule="auto"/>
        <w:ind w:left="480" w:hanging="480"/>
        <w:rPr>
          <w:rFonts w:ascii="Calibri" w:hAnsi="Calibri" w:cs="Calibri"/>
          <w:noProof/>
          <w:szCs w:val="24"/>
        </w:rPr>
      </w:pPr>
      <w:r w:rsidRPr="00D75C5C">
        <w:rPr>
          <w:lang w:val="en-US"/>
        </w:rPr>
        <w:fldChar w:fldCharType="begin" w:fldLock="1"/>
      </w:r>
      <w:r w:rsidR="00005340" w:rsidRPr="00D75C5C">
        <w:rPr>
          <w:lang w:val="en-US"/>
        </w:rPr>
        <w:instrText xml:space="preserve">ADDIN Mendeley Bibliography CSL_BIBLIOGRAPHY </w:instrText>
      </w:r>
      <w:r w:rsidRPr="00D75C5C">
        <w:rPr>
          <w:lang w:val="en-US"/>
        </w:rPr>
        <w:fldChar w:fldCharType="separate"/>
      </w:r>
      <w:r w:rsidR="00D60FC9" w:rsidRPr="00D75C5C">
        <w:rPr>
          <w:rFonts w:ascii="Calibri" w:hAnsi="Calibri" w:cs="Calibri"/>
          <w:noProof/>
          <w:szCs w:val="24"/>
        </w:rPr>
        <w:t>Cromer MK, Choi M, Nelson-Williams C, Fonseca AL, Kunstman JW, Korah RM, Overton JD, Mane S, Kenney B, Malchoff CD, Stalberg P, Akerström G, Westin G, Hellman P, Carling T, Björklund P, Lifton RP. 2015. Neomorphic effects of recurrent somatic mutations in Yin Yang 1 in insulin-producing adenomas. Proceedings of the National Academy of Sciences of the United States of America 112: 4062–7.</w:t>
      </w:r>
    </w:p>
    <w:p w:rsidR="00D60FC9" w:rsidRPr="00D75C5C" w:rsidRDefault="00D60FC9" w:rsidP="00D60FC9">
      <w:pPr>
        <w:widowControl w:val="0"/>
        <w:autoSpaceDE w:val="0"/>
        <w:autoSpaceDN w:val="0"/>
        <w:adjustRightInd w:val="0"/>
        <w:spacing w:line="240" w:lineRule="auto"/>
        <w:ind w:left="480" w:hanging="480"/>
        <w:rPr>
          <w:rFonts w:ascii="Calibri" w:hAnsi="Calibri" w:cs="Calibri"/>
          <w:noProof/>
          <w:szCs w:val="24"/>
        </w:rPr>
      </w:pPr>
      <w:r w:rsidRPr="00D75C5C">
        <w:rPr>
          <w:rFonts w:ascii="Calibri" w:hAnsi="Calibri" w:cs="Calibri"/>
          <w:noProof/>
          <w:szCs w:val="24"/>
        </w:rPr>
        <w:t>Gabriele M, Vulto-van Silfhout AT, Germain P-L, Vitriolo A, Kumar R, Douglas E, Haan E, Kosaki K, Takenouchi T, Rauch A, Steindl K, Frengen E, Misceo D, Pedurupillay CRJ, Stromme P, Rosenfeld JA, Shao Y, Craigen WJ, Schaaf CP, Rodriguez-Buritica D, Farach L, Friedman J, Thulin P, McLean SD, Nugent KM, Morton J, Nicholl J, Andrieux J, Stray-Pedersen A, Chambon P, Patrier S, Lynch SA, Kjaergaard S, Tørring PM, Brasch-Andersen C, Ronan A, van Haeringen A, Anderson PJ, Powis Z, Brunner HG, Pfundt R, Schuurs-Hoeijmakers JHM, van Bon BWM, Lelieveld S, Gilissen C, Nillesen WM, Vissers LELM, Gecz J, Koolen DA, Testa G, de Vries BBA. 2017. YY1 Haploinsufficiency Causes an Intellectual Disability Syndrome Featuring Transcriptional and Chromatin Dysfunction. American journal of human genetics 100: 907–925.</w:t>
      </w:r>
    </w:p>
    <w:p w:rsidR="00D60FC9" w:rsidRPr="00D75C5C" w:rsidRDefault="00D60FC9" w:rsidP="00D60FC9">
      <w:pPr>
        <w:widowControl w:val="0"/>
        <w:autoSpaceDE w:val="0"/>
        <w:autoSpaceDN w:val="0"/>
        <w:adjustRightInd w:val="0"/>
        <w:spacing w:line="240" w:lineRule="auto"/>
        <w:ind w:left="480" w:hanging="480"/>
        <w:rPr>
          <w:rFonts w:ascii="Calibri" w:hAnsi="Calibri" w:cs="Calibri"/>
          <w:noProof/>
          <w:szCs w:val="24"/>
        </w:rPr>
      </w:pPr>
      <w:r w:rsidRPr="00D75C5C">
        <w:rPr>
          <w:rFonts w:ascii="Calibri" w:hAnsi="Calibri" w:cs="Calibri"/>
          <w:noProof/>
          <w:szCs w:val="24"/>
        </w:rPr>
        <w:t>Guo J, Lin X, Williams MA, Hamid Q, Georas SN. 2008. Yin-Yang 1 regulates effector cytokine gene expression and T(H)2 immune responses. The Journal of allergy and clinical immunology 122: 195–201, 201.e1–5.</w:t>
      </w:r>
    </w:p>
    <w:p w:rsidR="00D60FC9" w:rsidRPr="00D75C5C" w:rsidRDefault="00D60FC9" w:rsidP="00D60FC9">
      <w:pPr>
        <w:widowControl w:val="0"/>
        <w:autoSpaceDE w:val="0"/>
        <w:autoSpaceDN w:val="0"/>
        <w:adjustRightInd w:val="0"/>
        <w:spacing w:line="240" w:lineRule="auto"/>
        <w:ind w:left="480" w:hanging="480"/>
        <w:rPr>
          <w:rFonts w:ascii="Calibri" w:hAnsi="Calibri" w:cs="Calibri"/>
          <w:noProof/>
          <w:szCs w:val="24"/>
        </w:rPr>
      </w:pPr>
      <w:r w:rsidRPr="00D75C5C">
        <w:rPr>
          <w:rFonts w:ascii="Calibri" w:hAnsi="Calibri" w:cs="Calibri"/>
          <w:noProof/>
          <w:szCs w:val="24"/>
        </w:rPr>
        <w:t>He Y, Casaccia-Bonnefil P. 2008. The Yin and Yang of YY1 in the nervous system. Journal of neurochemistry 106: 1493–502.</w:t>
      </w:r>
    </w:p>
    <w:p w:rsidR="00D60FC9" w:rsidRPr="00D75C5C" w:rsidRDefault="00D60FC9" w:rsidP="00D60FC9">
      <w:pPr>
        <w:widowControl w:val="0"/>
        <w:autoSpaceDE w:val="0"/>
        <w:autoSpaceDN w:val="0"/>
        <w:adjustRightInd w:val="0"/>
        <w:spacing w:line="240" w:lineRule="auto"/>
        <w:ind w:left="480" w:hanging="480"/>
        <w:rPr>
          <w:rFonts w:ascii="Calibri" w:hAnsi="Calibri" w:cs="Calibri"/>
          <w:noProof/>
          <w:szCs w:val="24"/>
        </w:rPr>
      </w:pPr>
      <w:r w:rsidRPr="00D75C5C">
        <w:rPr>
          <w:rFonts w:ascii="Calibri" w:hAnsi="Calibri" w:cs="Calibri"/>
          <w:noProof/>
          <w:szCs w:val="24"/>
        </w:rPr>
        <w:t>He Y, Kim JY, Dupree J, Tewari A, Melendez-Vasquez C, Svaren J, Casaccia P. 2010. Yy1 as a molecular link between neuregulin and transcriptional modulation of peripheral myelination. Nature neuroscience 13: 1472–80.</w:t>
      </w:r>
    </w:p>
    <w:p w:rsidR="00D60FC9" w:rsidRPr="00D75C5C" w:rsidRDefault="00D60FC9" w:rsidP="00D60FC9">
      <w:pPr>
        <w:widowControl w:val="0"/>
        <w:autoSpaceDE w:val="0"/>
        <w:autoSpaceDN w:val="0"/>
        <w:adjustRightInd w:val="0"/>
        <w:spacing w:line="240" w:lineRule="auto"/>
        <w:ind w:left="480" w:hanging="480"/>
        <w:rPr>
          <w:rFonts w:ascii="Calibri" w:hAnsi="Calibri" w:cs="Calibri"/>
          <w:noProof/>
          <w:szCs w:val="24"/>
        </w:rPr>
      </w:pPr>
      <w:r w:rsidRPr="00D75C5C">
        <w:rPr>
          <w:rFonts w:ascii="Calibri" w:hAnsi="Calibri" w:cs="Calibri"/>
          <w:noProof/>
          <w:szCs w:val="24"/>
        </w:rPr>
        <w:t>Lee K-H, Evans S, Ruan TY, Lassar AB. 2004. SMAD-mediated modulation of YY1 activity regulates the BMP response and cardiac-specific expression of a GATA4/5/6-dependent chick Nkx2.5 enhancer. Development (Cambridge, England) 131: 4709–23.</w:t>
      </w:r>
    </w:p>
    <w:p w:rsidR="00D60FC9" w:rsidRPr="00D75C5C" w:rsidRDefault="00D60FC9" w:rsidP="00D60FC9">
      <w:pPr>
        <w:widowControl w:val="0"/>
        <w:autoSpaceDE w:val="0"/>
        <w:autoSpaceDN w:val="0"/>
        <w:adjustRightInd w:val="0"/>
        <w:spacing w:line="240" w:lineRule="auto"/>
        <w:ind w:left="480" w:hanging="480"/>
        <w:rPr>
          <w:rFonts w:ascii="Calibri" w:hAnsi="Calibri" w:cs="Calibri"/>
          <w:noProof/>
          <w:szCs w:val="24"/>
        </w:rPr>
      </w:pPr>
      <w:r w:rsidRPr="00D75C5C">
        <w:rPr>
          <w:rFonts w:ascii="Calibri" w:hAnsi="Calibri" w:cs="Calibri"/>
          <w:noProof/>
          <w:szCs w:val="24"/>
        </w:rPr>
        <w:t>Morales-Rosado JA, Kaiwar C, Smith BE, Klee EW, Dhamija R. 2018. A case of YY1-associated syndromic learning disability or Gabriele-de Vries syndrome with myasthenia gravis. American journal of medical genetics. Part A 176: 2846–2849.</w:t>
      </w:r>
    </w:p>
    <w:p w:rsidR="00D60FC9" w:rsidRPr="00D75C5C" w:rsidRDefault="00D60FC9" w:rsidP="00D60FC9">
      <w:pPr>
        <w:widowControl w:val="0"/>
        <w:autoSpaceDE w:val="0"/>
        <w:autoSpaceDN w:val="0"/>
        <w:adjustRightInd w:val="0"/>
        <w:spacing w:line="240" w:lineRule="auto"/>
        <w:ind w:left="480" w:hanging="480"/>
        <w:rPr>
          <w:rFonts w:ascii="Calibri" w:hAnsi="Calibri" w:cs="Calibri"/>
          <w:noProof/>
          <w:szCs w:val="24"/>
        </w:rPr>
      </w:pPr>
      <w:r w:rsidRPr="00D75C5C">
        <w:rPr>
          <w:rFonts w:ascii="Calibri" w:hAnsi="Calibri" w:cs="Calibri"/>
          <w:noProof/>
          <w:szCs w:val="24"/>
        </w:rPr>
        <w:t>Richards S, Aziz N, Bale S, Bick D, Das S, Gastier-Foster J, Grody WW, Hegde M, Lyon E, Spector E, Voelkerding K, Rehm HL, ACMG Laboratory Quality Assurance Committee. 2015. Standards and guidelines for the interpretation of sequence variants: a joint consensus recommendation of the American College of Medical Genetics and Genomics and the Association for Molecular Pathology. Genetics in medicine : official journal of the American College of Medical Genetics 17: 405–24.</w:t>
      </w:r>
    </w:p>
    <w:p w:rsidR="00D60FC9" w:rsidRPr="00D75C5C" w:rsidRDefault="00D60FC9" w:rsidP="00D60FC9">
      <w:pPr>
        <w:widowControl w:val="0"/>
        <w:autoSpaceDE w:val="0"/>
        <w:autoSpaceDN w:val="0"/>
        <w:adjustRightInd w:val="0"/>
        <w:spacing w:line="240" w:lineRule="auto"/>
        <w:ind w:left="480" w:hanging="480"/>
        <w:rPr>
          <w:rFonts w:ascii="Calibri" w:hAnsi="Calibri" w:cs="Calibri"/>
          <w:noProof/>
          <w:szCs w:val="24"/>
        </w:rPr>
      </w:pPr>
      <w:r w:rsidRPr="00D75C5C">
        <w:rPr>
          <w:rFonts w:ascii="Calibri" w:hAnsi="Calibri" w:cs="Calibri"/>
          <w:noProof/>
          <w:szCs w:val="24"/>
        </w:rPr>
        <w:t>Vissers LELM, de Ligt J, Gilissen C, Janssen I, Steehouwer M, de Vries P, van Lier B, Arts P, Wieskamp N, del Rosario M, van Bon BWM, Hoischen A, de Vries BBA, Brunner HG, Veltman JA. 2010. A de novo paradigm for mental retardation. Nature genetics 42: 1109–12.</w:t>
      </w:r>
    </w:p>
    <w:p w:rsidR="00D60FC9" w:rsidRPr="00D75C5C" w:rsidRDefault="00D60FC9" w:rsidP="00D60FC9">
      <w:pPr>
        <w:widowControl w:val="0"/>
        <w:autoSpaceDE w:val="0"/>
        <w:autoSpaceDN w:val="0"/>
        <w:adjustRightInd w:val="0"/>
        <w:spacing w:line="240" w:lineRule="auto"/>
        <w:ind w:left="480" w:hanging="480"/>
        <w:rPr>
          <w:rFonts w:ascii="Calibri" w:hAnsi="Calibri" w:cs="Calibri"/>
          <w:noProof/>
        </w:rPr>
      </w:pPr>
      <w:r w:rsidRPr="00D75C5C">
        <w:rPr>
          <w:rFonts w:ascii="Calibri" w:hAnsi="Calibri" w:cs="Calibri"/>
          <w:noProof/>
          <w:szCs w:val="24"/>
        </w:rPr>
        <w:t>Yellajoshyula D, Liang C-C, Pappas SS, Penati S, Yang A, Mecano R, Kumaran R, Jou S, Cookson MR, Dauer WT. 2017. The DYT6 Dystonia Protein THAP1 Regulates Myelination within the Oligodendrocyte Lineage. Developmental cell 42: 52-67.e4.</w:t>
      </w:r>
    </w:p>
    <w:p w:rsidR="0027268A" w:rsidRPr="00EA1C2A" w:rsidRDefault="00810CBB" w:rsidP="001620AE">
      <w:pPr>
        <w:pStyle w:val="Paragraphedeliste"/>
        <w:rPr>
          <w:lang w:val="en-US"/>
        </w:rPr>
      </w:pPr>
      <w:r w:rsidRPr="00D75C5C">
        <w:rPr>
          <w:lang w:val="en-US"/>
        </w:rPr>
        <w:fldChar w:fldCharType="end"/>
      </w:r>
    </w:p>
    <w:p w:rsidR="00E93F4F" w:rsidRDefault="00E93F4F" w:rsidP="00661F4A">
      <w:pPr>
        <w:spacing w:after="0" w:line="360" w:lineRule="auto"/>
        <w:jc w:val="both"/>
        <w:rPr>
          <w:rFonts w:cs="Calibri"/>
          <w:lang w:val="en-US"/>
        </w:rPr>
      </w:pPr>
    </w:p>
    <w:p w:rsidR="0027268A" w:rsidRPr="001620AE" w:rsidRDefault="0027268A" w:rsidP="00102999">
      <w:pPr>
        <w:spacing w:after="0" w:line="360" w:lineRule="auto"/>
        <w:jc w:val="both"/>
        <w:rPr>
          <w:rFonts w:cs="Calibri"/>
        </w:rPr>
      </w:pPr>
    </w:p>
    <w:sectPr w:rsidR="0027268A" w:rsidRPr="001620AE" w:rsidSect="00D75C5C">
      <w:pgSz w:w="11906" w:h="16838"/>
      <w:pgMar w:top="1418" w:right="1418" w:bottom="1418" w:left="1418" w:header="709" w:footer="70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DEE1A5B" w16cid:durableId="20DCC28E"/>
  <w16cid:commentId w16cid:paraId="7A38D503" w16cid:durableId="20DD7C5C"/>
  <w16cid:commentId w16cid:paraId="6C1E846C" w16cid:durableId="20DCCF9E"/>
  <w16cid:commentId w16cid:paraId="75FB2743" w16cid:durableId="20DD4F79"/>
  <w16cid:commentId w16cid:paraId="5E362E34" w16cid:durableId="20DCBFF5"/>
  <w16cid:commentId w16cid:paraId="5F977C4C" w16cid:durableId="20DCBFF6"/>
  <w16cid:commentId w16cid:paraId="44B17418" w16cid:durableId="20DCBFF7"/>
  <w16cid:commentId w16cid:paraId="66BF83AC" w16cid:durableId="20DCBFF8"/>
  <w16cid:commentId w16cid:paraId="06CA19B5" w16cid:durableId="20DCBFF9"/>
  <w16cid:commentId w16cid:paraId="1248F14D" w16cid:durableId="20DCBFF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0AA4" w:rsidRDefault="00450AA4" w:rsidP="0066298F">
      <w:pPr>
        <w:spacing w:after="0" w:line="240" w:lineRule="auto"/>
      </w:pPr>
      <w:r>
        <w:separator/>
      </w:r>
    </w:p>
  </w:endnote>
  <w:endnote w:type="continuationSeparator" w:id="0">
    <w:p w:rsidR="00450AA4" w:rsidRDefault="00450AA4" w:rsidP="006629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0AA4" w:rsidRDefault="00450AA4" w:rsidP="0066298F">
      <w:pPr>
        <w:spacing w:after="0" w:line="240" w:lineRule="auto"/>
      </w:pPr>
      <w:r>
        <w:separator/>
      </w:r>
    </w:p>
  </w:footnote>
  <w:footnote w:type="continuationSeparator" w:id="0">
    <w:p w:rsidR="00450AA4" w:rsidRDefault="00450AA4" w:rsidP="0066298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A54A3E"/>
    <w:multiLevelType w:val="hybridMultilevel"/>
    <w:tmpl w:val="63C011F8"/>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15:restartNumberingAfterBreak="0">
    <w:nsid w:val="21E918D4"/>
    <w:multiLevelType w:val="multilevel"/>
    <w:tmpl w:val="78885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3D7918"/>
    <w:multiLevelType w:val="hybridMultilevel"/>
    <w:tmpl w:val="8822EB80"/>
    <w:lvl w:ilvl="0" w:tplc="100C0011">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 w15:restartNumberingAfterBreak="0">
    <w:nsid w:val="565A0CA6"/>
    <w:multiLevelType w:val="hybridMultilevel"/>
    <w:tmpl w:val="04C0A1B2"/>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 w15:restartNumberingAfterBreak="0">
    <w:nsid w:val="5BF05E01"/>
    <w:multiLevelType w:val="hybridMultilevel"/>
    <w:tmpl w:val="EEC222F6"/>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 w15:restartNumberingAfterBreak="0">
    <w:nsid w:val="67237B0F"/>
    <w:multiLevelType w:val="multilevel"/>
    <w:tmpl w:val="7060B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1"/>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characterSpacingControl w:val="doNotCompress"/>
  <w:hdrShapeDefaults>
    <o:shapedefaults v:ext="edit" spidmax="1945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8A3DAD76-016C-4748-8E77-B01C90B1D49A}"/>
    <w:docVar w:name="dgnword-eventsink" w:val="339532680"/>
    <w:docVar w:name="dgnword-lastRevisionsView" w:val="0"/>
  </w:docVars>
  <w:rsids>
    <w:rsidRoot w:val="00510BA8"/>
    <w:rsid w:val="000017DA"/>
    <w:rsid w:val="00001F8D"/>
    <w:rsid w:val="00003D81"/>
    <w:rsid w:val="00005340"/>
    <w:rsid w:val="000129C4"/>
    <w:rsid w:val="000229B9"/>
    <w:rsid w:val="00041558"/>
    <w:rsid w:val="000422ED"/>
    <w:rsid w:val="00050344"/>
    <w:rsid w:val="000609C8"/>
    <w:rsid w:val="00077039"/>
    <w:rsid w:val="0008504C"/>
    <w:rsid w:val="000956F8"/>
    <w:rsid w:val="00096258"/>
    <w:rsid w:val="000A1D2E"/>
    <w:rsid w:val="000B196D"/>
    <w:rsid w:val="000D358A"/>
    <w:rsid w:val="000E3F7A"/>
    <w:rsid w:val="000E6531"/>
    <w:rsid w:val="000F2928"/>
    <w:rsid w:val="000F556E"/>
    <w:rsid w:val="00102999"/>
    <w:rsid w:val="00112CFE"/>
    <w:rsid w:val="00115C11"/>
    <w:rsid w:val="001474CE"/>
    <w:rsid w:val="00157196"/>
    <w:rsid w:val="001620AE"/>
    <w:rsid w:val="00163DF9"/>
    <w:rsid w:val="0017225D"/>
    <w:rsid w:val="00174276"/>
    <w:rsid w:val="00176D02"/>
    <w:rsid w:val="001819C2"/>
    <w:rsid w:val="00192413"/>
    <w:rsid w:val="0019384E"/>
    <w:rsid w:val="00195328"/>
    <w:rsid w:val="001A3D57"/>
    <w:rsid w:val="001A57A1"/>
    <w:rsid w:val="001B71E3"/>
    <w:rsid w:val="001C3478"/>
    <w:rsid w:val="001C58E7"/>
    <w:rsid w:val="001D0A40"/>
    <w:rsid w:val="001D5BDB"/>
    <w:rsid w:val="001D7422"/>
    <w:rsid w:val="001E1355"/>
    <w:rsid w:val="001F3702"/>
    <w:rsid w:val="001F593F"/>
    <w:rsid w:val="00205C45"/>
    <w:rsid w:val="00215FDB"/>
    <w:rsid w:val="00227916"/>
    <w:rsid w:val="00231716"/>
    <w:rsid w:val="00235193"/>
    <w:rsid w:val="0023522E"/>
    <w:rsid w:val="00237CE8"/>
    <w:rsid w:val="002402BA"/>
    <w:rsid w:val="00257F7E"/>
    <w:rsid w:val="00266AA4"/>
    <w:rsid w:val="0027268A"/>
    <w:rsid w:val="00273070"/>
    <w:rsid w:val="00284D4E"/>
    <w:rsid w:val="002A13EA"/>
    <w:rsid w:val="002B3B14"/>
    <w:rsid w:val="002C1A8E"/>
    <w:rsid w:val="002C6E64"/>
    <w:rsid w:val="002D3114"/>
    <w:rsid w:val="00300952"/>
    <w:rsid w:val="003074DA"/>
    <w:rsid w:val="00314351"/>
    <w:rsid w:val="00325E44"/>
    <w:rsid w:val="00327A08"/>
    <w:rsid w:val="00342C88"/>
    <w:rsid w:val="00346047"/>
    <w:rsid w:val="00360AC7"/>
    <w:rsid w:val="00363A59"/>
    <w:rsid w:val="003740AA"/>
    <w:rsid w:val="003818B5"/>
    <w:rsid w:val="00383753"/>
    <w:rsid w:val="00383B00"/>
    <w:rsid w:val="00386375"/>
    <w:rsid w:val="00387BD6"/>
    <w:rsid w:val="00391C38"/>
    <w:rsid w:val="003A56C2"/>
    <w:rsid w:val="003B0E5E"/>
    <w:rsid w:val="003B5466"/>
    <w:rsid w:val="003C3EAE"/>
    <w:rsid w:val="003D66E8"/>
    <w:rsid w:val="003E0284"/>
    <w:rsid w:val="003E2AC6"/>
    <w:rsid w:val="003F00DB"/>
    <w:rsid w:val="003F036E"/>
    <w:rsid w:val="00412BB0"/>
    <w:rsid w:val="004150DF"/>
    <w:rsid w:val="0042317C"/>
    <w:rsid w:val="004271F5"/>
    <w:rsid w:val="0043457B"/>
    <w:rsid w:val="00434F5D"/>
    <w:rsid w:val="0044452D"/>
    <w:rsid w:val="00446DBC"/>
    <w:rsid w:val="00450AA4"/>
    <w:rsid w:val="004931F6"/>
    <w:rsid w:val="00494BD7"/>
    <w:rsid w:val="004B3BF3"/>
    <w:rsid w:val="004B7C6F"/>
    <w:rsid w:val="004C0003"/>
    <w:rsid w:val="004C3D4F"/>
    <w:rsid w:val="004D0964"/>
    <w:rsid w:val="004D3D70"/>
    <w:rsid w:val="004F07E4"/>
    <w:rsid w:val="004F5490"/>
    <w:rsid w:val="0050241C"/>
    <w:rsid w:val="00507827"/>
    <w:rsid w:val="00510BA8"/>
    <w:rsid w:val="005143D2"/>
    <w:rsid w:val="005219CE"/>
    <w:rsid w:val="00536A0A"/>
    <w:rsid w:val="00540F4F"/>
    <w:rsid w:val="005501C0"/>
    <w:rsid w:val="00554021"/>
    <w:rsid w:val="00563754"/>
    <w:rsid w:val="005B1A74"/>
    <w:rsid w:val="005B254B"/>
    <w:rsid w:val="005C1E89"/>
    <w:rsid w:val="005C4848"/>
    <w:rsid w:val="005E161C"/>
    <w:rsid w:val="005E3BEE"/>
    <w:rsid w:val="005F3BEC"/>
    <w:rsid w:val="005F490B"/>
    <w:rsid w:val="005F7253"/>
    <w:rsid w:val="00610636"/>
    <w:rsid w:val="00612E16"/>
    <w:rsid w:val="006402D4"/>
    <w:rsid w:val="0064685D"/>
    <w:rsid w:val="00661F4A"/>
    <w:rsid w:val="0066298F"/>
    <w:rsid w:val="00667DCE"/>
    <w:rsid w:val="00670352"/>
    <w:rsid w:val="0067057A"/>
    <w:rsid w:val="00672924"/>
    <w:rsid w:val="00694615"/>
    <w:rsid w:val="006B2712"/>
    <w:rsid w:val="006C6ACF"/>
    <w:rsid w:val="006D3962"/>
    <w:rsid w:val="006E560F"/>
    <w:rsid w:val="0071173F"/>
    <w:rsid w:val="00720DC9"/>
    <w:rsid w:val="00726898"/>
    <w:rsid w:val="007300B1"/>
    <w:rsid w:val="00733811"/>
    <w:rsid w:val="007536B9"/>
    <w:rsid w:val="00755C70"/>
    <w:rsid w:val="00764D12"/>
    <w:rsid w:val="00766640"/>
    <w:rsid w:val="007719E7"/>
    <w:rsid w:val="00781C65"/>
    <w:rsid w:val="00782401"/>
    <w:rsid w:val="00785989"/>
    <w:rsid w:val="0078641A"/>
    <w:rsid w:val="00792BD5"/>
    <w:rsid w:val="007C4843"/>
    <w:rsid w:val="007E0E38"/>
    <w:rsid w:val="007E58EA"/>
    <w:rsid w:val="00806929"/>
    <w:rsid w:val="00810CBB"/>
    <w:rsid w:val="008223C5"/>
    <w:rsid w:val="00822F10"/>
    <w:rsid w:val="00831A3C"/>
    <w:rsid w:val="00836353"/>
    <w:rsid w:val="008403B7"/>
    <w:rsid w:val="00846493"/>
    <w:rsid w:val="00850C71"/>
    <w:rsid w:val="00853440"/>
    <w:rsid w:val="00855169"/>
    <w:rsid w:val="00866CCC"/>
    <w:rsid w:val="00867781"/>
    <w:rsid w:val="00871A1B"/>
    <w:rsid w:val="00874AAC"/>
    <w:rsid w:val="0087592F"/>
    <w:rsid w:val="00884C09"/>
    <w:rsid w:val="008A00D0"/>
    <w:rsid w:val="008A1C87"/>
    <w:rsid w:val="008B011C"/>
    <w:rsid w:val="008B6BC1"/>
    <w:rsid w:val="008C3961"/>
    <w:rsid w:val="008D2C59"/>
    <w:rsid w:val="008D3366"/>
    <w:rsid w:val="008D5240"/>
    <w:rsid w:val="008D71F6"/>
    <w:rsid w:val="008E6FEC"/>
    <w:rsid w:val="009019A6"/>
    <w:rsid w:val="00907D96"/>
    <w:rsid w:val="00910A86"/>
    <w:rsid w:val="00923EF5"/>
    <w:rsid w:val="00931BAB"/>
    <w:rsid w:val="009360DE"/>
    <w:rsid w:val="00952283"/>
    <w:rsid w:val="00962AC5"/>
    <w:rsid w:val="0096633B"/>
    <w:rsid w:val="009704AA"/>
    <w:rsid w:val="00972289"/>
    <w:rsid w:val="00974B80"/>
    <w:rsid w:val="00976B49"/>
    <w:rsid w:val="00981B9F"/>
    <w:rsid w:val="00981C93"/>
    <w:rsid w:val="0098779E"/>
    <w:rsid w:val="0099115A"/>
    <w:rsid w:val="00994B78"/>
    <w:rsid w:val="00994E73"/>
    <w:rsid w:val="009A08E6"/>
    <w:rsid w:val="009B21EE"/>
    <w:rsid w:val="009C156B"/>
    <w:rsid w:val="009E4D32"/>
    <w:rsid w:val="00A0255B"/>
    <w:rsid w:val="00A05883"/>
    <w:rsid w:val="00A10413"/>
    <w:rsid w:val="00A25D2F"/>
    <w:rsid w:val="00A3341C"/>
    <w:rsid w:val="00A43A06"/>
    <w:rsid w:val="00A55CD0"/>
    <w:rsid w:val="00A60A51"/>
    <w:rsid w:val="00A87EA9"/>
    <w:rsid w:val="00A93990"/>
    <w:rsid w:val="00AA4620"/>
    <w:rsid w:val="00AA6175"/>
    <w:rsid w:val="00AB6424"/>
    <w:rsid w:val="00AC0463"/>
    <w:rsid w:val="00AC5CED"/>
    <w:rsid w:val="00AC7E04"/>
    <w:rsid w:val="00AD12D0"/>
    <w:rsid w:val="00AD35CC"/>
    <w:rsid w:val="00AD6C24"/>
    <w:rsid w:val="00AF466D"/>
    <w:rsid w:val="00AF521C"/>
    <w:rsid w:val="00AF6145"/>
    <w:rsid w:val="00AF6229"/>
    <w:rsid w:val="00B16092"/>
    <w:rsid w:val="00B41F1A"/>
    <w:rsid w:val="00B46620"/>
    <w:rsid w:val="00B52874"/>
    <w:rsid w:val="00B60684"/>
    <w:rsid w:val="00B671D5"/>
    <w:rsid w:val="00B71123"/>
    <w:rsid w:val="00B71D59"/>
    <w:rsid w:val="00B90D39"/>
    <w:rsid w:val="00BA7CC5"/>
    <w:rsid w:val="00BC09B0"/>
    <w:rsid w:val="00BC4C84"/>
    <w:rsid w:val="00BD4BAD"/>
    <w:rsid w:val="00BE205C"/>
    <w:rsid w:val="00BE2F40"/>
    <w:rsid w:val="00C0076D"/>
    <w:rsid w:val="00C11905"/>
    <w:rsid w:val="00C140DB"/>
    <w:rsid w:val="00C21125"/>
    <w:rsid w:val="00C22D10"/>
    <w:rsid w:val="00C30465"/>
    <w:rsid w:val="00C31883"/>
    <w:rsid w:val="00C43479"/>
    <w:rsid w:val="00C45E49"/>
    <w:rsid w:val="00C47EFD"/>
    <w:rsid w:val="00C50B9E"/>
    <w:rsid w:val="00C545F3"/>
    <w:rsid w:val="00C76AD9"/>
    <w:rsid w:val="00C940BA"/>
    <w:rsid w:val="00C97FD2"/>
    <w:rsid w:val="00CA2028"/>
    <w:rsid w:val="00CA2589"/>
    <w:rsid w:val="00CA7FCB"/>
    <w:rsid w:val="00CB0207"/>
    <w:rsid w:val="00CD2D1B"/>
    <w:rsid w:val="00CE0202"/>
    <w:rsid w:val="00CF2688"/>
    <w:rsid w:val="00D03B82"/>
    <w:rsid w:val="00D03C39"/>
    <w:rsid w:val="00D12F38"/>
    <w:rsid w:val="00D26884"/>
    <w:rsid w:val="00D31B4E"/>
    <w:rsid w:val="00D328FB"/>
    <w:rsid w:val="00D37A42"/>
    <w:rsid w:val="00D46F26"/>
    <w:rsid w:val="00D47111"/>
    <w:rsid w:val="00D60FC9"/>
    <w:rsid w:val="00D62F9E"/>
    <w:rsid w:val="00D706B2"/>
    <w:rsid w:val="00D73393"/>
    <w:rsid w:val="00D75C5C"/>
    <w:rsid w:val="00D75D34"/>
    <w:rsid w:val="00DA6FEE"/>
    <w:rsid w:val="00DB07AA"/>
    <w:rsid w:val="00DB5BDB"/>
    <w:rsid w:val="00DB7C6E"/>
    <w:rsid w:val="00DD07CE"/>
    <w:rsid w:val="00DE2EE8"/>
    <w:rsid w:val="00DE3AAF"/>
    <w:rsid w:val="00DE7864"/>
    <w:rsid w:val="00DF2329"/>
    <w:rsid w:val="00DF3086"/>
    <w:rsid w:val="00DF7038"/>
    <w:rsid w:val="00E144BC"/>
    <w:rsid w:val="00E173C4"/>
    <w:rsid w:val="00E3537B"/>
    <w:rsid w:val="00E425E4"/>
    <w:rsid w:val="00E4323E"/>
    <w:rsid w:val="00E50AA6"/>
    <w:rsid w:val="00E526CA"/>
    <w:rsid w:val="00E53763"/>
    <w:rsid w:val="00E61CE3"/>
    <w:rsid w:val="00E631CC"/>
    <w:rsid w:val="00E75250"/>
    <w:rsid w:val="00E83A1C"/>
    <w:rsid w:val="00E84893"/>
    <w:rsid w:val="00E908D3"/>
    <w:rsid w:val="00E90B10"/>
    <w:rsid w:val="00E93F4F"/>
    <w:rsid w:val="00E96904"/>
    <w:rsid w:val="00EA1C2A"/>
    <w:rsid w:val="00EA2602"/>
    <w:rsid w:val="00EB1C45"/>
    <w:rsid w:val="00EC1DB8"/>
    <w:rsid w:val="00EC2DF5"/>
    <w:rsid w:val="00ED36D4"/>
    <w:rsid w:val="00ED5122"/>
    <w:rsid w:val="00EE0550"/>
    <w:rsid w:val="00EE22D0"/>
    <w:rsid w:val="00EE6BC0"/>
    <w:rsid w:val="00EF7CB5"/>
    <w:rsid w:val="00F01387"/>
    <w:rsid w:val="00F01F16"/>
    <w:rsid w:val="00F061B7"/>
    <w:rsid w:val="00F17E84"/>
    <w:rsid w:val="00F30BB0"/>
    <w:rsid w:val="00F3572E"/>
    <w:rsid w:val="00F65B94"/>
    <w:rsid w:val="00F72BE6"/>
    <w:rsid w:val="00F92925"/>
    <w:rsid w:val="00FB2F8F"/>
    <w:rsid w:val="00FC0302"/>
    <w:rsid w:val="00FC2757"/>
    <w:rsid w:val="00FC27B6"/>
    <w:rsid w:val="00FC2F3C"/>
    <w:rsid w:val="00FC4A55"/>
    <w:rsid w:val="00FC7110"/>
    <w:rsid w:val="00FD35FE"/>
    <w:rsid w:val="00FD4F7F"/>
    <w:rsid w:val="00FD5975"/>
    <w:rsid w:val="00FE15D0"/>
    <w:rsid w:val="00FE6A63"/>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9457"/>
    <o:shapelayout v:ext="edit">
      <o:idmap v:ext="edit" data="1"/>
    </o:shapelayout>
  </w:shapeDefaults>
  <w:decimalSymbol w:val="."/>
  <w:listSeparator w:val=";"/>
  <w15:docId w15:val="{287591E8-82E9-47C0-94B5-5514C733E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1C65"/>
  </w:style>
  <w:style w:type="paragraph" w:styleId="Titre1">
    <w:name w:val="heading 1"/>
    <w:basedOn w:val="Normal"/>
    <w:next w:val="Normal"/>
    <w:link w:val="Titre1Car"/>
    <w:uiPriority w:val="9"/>
    <w:qFormat/>
    <w:rsid w:val="00D75D34"/>
    <w:pPr>
      <w:keepNext/>
      <w:keepLines/>
      <w:spacing w:before="480" w:after="0"/>
      <w:outlineLvl w:val="0"/>
    </w:pPr>
    <w:rPr>
      <w:rFonts w:ascii="Cambria" w:eastAsia="MS Gothic" w:hAnsi="Cambria" w:cs="Times New Roman"/>
      <w:b/>
      <w:bCs/>
      <w:color w:val="365F91"/>
      <w:sz w:val="28"/>
      <w:szCs w:val="28"/>
    </w:rPr>
  </w:style>
  <w:style w:type="paragraph" w:styleId="Titre2">
    <w:name w:val="heading 2"/>
    <w:basedOn w:val="Normal"/>
    <w:next w:val="Normal"/>
    <w:link w:val="Titre2Car"/>
    <w:uiPriority w:val="9"/>
    <w:unhideWhenUsed/>
    <w:qFormat/>
    <w:rsid w:val="0005034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554021"/>
    <w:pPr>
      <w:keepNext/>
      <w:keepLines/>
      <w:spacing w:before="200" w:after="0"/>
      <w:outlineLvl w:val="2"/>
    </w:pPr>
    <w:rPr>
      <w:rFonts w:asciiTheme="majorHAnsi" w:eastAsiaTheme="majorEastAsia" w:hAnsiTheme="majorHAnsi" w:cstheme="majorBidi"/>
      <w:b/>
      <w:bCs/>
      <w:color w:val="4F81BD" w:themeColor="accent1"/>
    </w:rPr>
  </w:style>
  <w:style w:type="paragraph" w:styleId="Titre5">
    <w:name w:val="heading 5"/>
    <w:basedOn w:val="Normal"/>
    <w:next w:val="Normal"/>
    <w:link w:val="Titre5Car"/>
    <w:uiPriority w:val="9"/>
    <w:semiHidden/>
    <w:unhideWhenUsed/>
    <w:qFormat/>
    <w:rsid w:val="0027268A"/>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75D34"/>
    <w:rPr>
      <w:rFonts w:ascii="Cambria" w:eastAsia="MS Gothic" w:hAnsi="Cambria" w:cs="Times New Roman"/>
      <w:b/>
      <w:bCs/>
      <w:color w:val="365F91"/>
      <w:sz w:val="28"/>
      <w:szCs w:val="28"/>
    </w:rPr>
  </w:style>
  <w:style w:type="character" w:styleId="Marquedecommentaire">
    <w:name w:val="annotation reference"/>
    <w:uiPriority w:val="99"/>
    <w:semiHidden/>
    <w:unhideWhenUsed/>
    <w:rsid w:val="00D75D34"/>
    <w:rPr>
      <w:sz w:val="18"/>
      <w:szCs w:val="18"/>
    </w:rPr>
  </w:style>
  <w:style w:type="paragraph" w:styleId="Commentaire">
    <w:name w:val="annotation text"/>
    <w:basedOn w:val="Normal"/>
    <w:link w:val="CommentaireCar"/>
    <w:uiPriority w:val="99"/>
    <w:unhideWhenUsed/>
    <w:rsid w:val="00D75D34"/>
    <w:pPr>
      <w:spacing w:after="0" w:line="240" w:lineRule="auto"/>
    </w:pPr>
    <w:rPr>
      <w:rFonts w:ascii="Cambria" w:eastAsia="MS Mincho" w:hAnsi="Cambria" w:cs="Times New Roman"/>
      <w:sz w:val="20"/>
      <w:szCs w:val="20"/>
      <w:lang w:val="en-US"/>
    </w:rPr>
  </w:style>
  <w:style w:type="character" w:customStyle="1" w:styleId="CommentaireCar">
    <w:name w:val="Commentaire Car"/>
    <w:basedOn w:val="Policepardfaut"/>
    <w:link w:val="Commentaire"/>
    <w:uiPriority w:val="99"/>
    <w:rsid w:val="00D75D34"/>
    <w:rPr>
      <w:rFonts w:ascii="Cambria" w:eastAsia="MS Mincho" w:hAnsi="Cambria" w:cs="Times New Roman"/>
      <w:sz w:val="20"/>
      <w:szCs w:val="20"/>
      <w:lang w:val="en-US"/>
    </w:rPr>
  </w:style>
  <w:style w:type="paragraph" w:styleId="Textedebulles">
    <w:name w:val="Balloon Text"/>
    <w:basedOn w:val="Normal"/>
    <w:link w:val="TextedebullesCar"/>
    <w:uiPriority w:val="99"/>
    <w:semiHidden/>
    <w:unhideWhenUsed/>
    <w:rsid w:val="00D75D3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75D34"/>
    <w:rPr>
      <w:rFonts w:ascii="Tahoma" w:hAnsi="Tahoma" w:cs="Tahoma"/>
      <w:sz w:val="16"/>
      <w:szCs w:val="16"/>
    </w:rPr>
  </w:style>
  <w:style w:type="paragraph" w:styleId="Paragraphedeliste">
    <w:name w:val="List Paragraph"/>
    <w:basedOn w:val="Normal"/>
    <w:uiPriority w:val="34"/>
    <w:qFormat/>
    <w:rsid w:val="00FD35FE"/>
    <w:pPr>
      <w:spacing w:after="0" w:line="240" w:lineRule="auto"/>
      <w:ind w:left="720"/>
    </w:pPr>
    <w:rPr>
      <w:rFonts w:ascii="Calibri" w:hAnsi="Calibri" w:cs="Times New Roman"/>
      <w:lang w:eastAsia="fr-CH"/>
    </w:rPr>
  </w:style>
  <w:style w:type="character" w:styleId="Lienhypertexte">
    <w:name w:val="Hyperlink"/>
    <w:basedOn w:val="Policepardfaut"/>
    <w:uiPriority w:val="99"/>
    <w:semiHidden/>
    <w:unhideWhenUsed/>
    <w:rsid w:val="00FD35FE"/>
    <w:rPr>
      <w:color w:val="0000FF"/>
      <w:u w:val="single"/>
    </w:rPr>
  </w:style>
  <w:style w:type="paragraph" w:styleId="Objetducommentaire">
    <w:name w:val="annotation subject"/>
    <w:basedOn w:val="Commentaire"/>
    <w:next w:val="Commentaire"/>
    <w:link w:val="ObjetducommentaireCar"/>
    <w:uiPriority w:val="99"/>
    <w:semiHidden/>
    <w:unhideWhenUsed/>
    <w:rsid w:val="00BC4C84"/>
    <w:pPr>
      <w:spacing w:after="200"/>
    </w:pPr>
    <w:rPr>
      <w:rFonts w:asciiTheme="minorHAnsi" w:eastAsiaTheme="minorHAnsi" w:hAnsiTheme="minorHAnsi" w:cstheme="minorBidi"/>
      <w:b/>
      <w:bCs/>
      <w:lang w:val="fr-CH"/>
    </w:rPr>
  </w:style>
  <w:style w:type="character" w:customStyle="1" w:styleId="ObjetducommentaireCar">
    <w:name w:val="Objet du commentaire Car"/>
    <w:basedOn w:val="CommentaireCar"/>
    <w:link w:val="Objetducommentaire"/>
    <w:uiPriority w:val="99"/>
    <w:semiHidden/>
    <w:rsid w:val="00BC4C84"/>
    <w:rPr>
      <w:rFonts w:ascii="Cambria" w:eastAsia="MS Mincho" w:hAnsi="Cambria" w:cs="Times New Roman"/>
      <w:b/>
      <w:bCs/>
      <w:sz w:val="20"/>
      <w:szCs w:val="20"/>
      <w:lang w:val="en-US"/>
    </w:rPr>
  </w:style>
  <w:style w:type="paragraph" w:styleId="NormalWeb">
    <w:name w:val="Normal (Web)"/>
    <w:basedOn w:val="Normal"/>
    <w:uiPriority w:val="99"/>
    <w:semiHidden/>
    <w:unhideWhenUsed/>
    <w:rsid w:val="00C21125"/>
    <w:pPr>
      <w:spacing w:before="100" w:beforeAutospacing="1" w:after="100" w:afterAutospacing="1" w:line="240" w:lineRule="auto"/>
    </w:pPr>
    <w:rPr>
      <w:rFonts w:ascii="Times New Roman" w:eastAsia="Times New Roman" w:hAnsi="Times New Roman" w:cs="Times New Roman"/>
      <w:sz w:val="24"/>
      <w:szCs w:val="24"/>
      <w:lang w:eastAsia="fr-CH"/>
    </w:rPr>
  </w:style>
  <w:style w:type="character" w:styleId="lev">
    <w:name w:val="Strong"/>
    <w:basedOn w:val="Policepardfaut"/>
    <w:uiPriority w:val="22"/>
    <w:qFormat/>
    <w:rsid w:val="00C21125"/>
    <w:rPr>
      <w:b/>
      <w:bCs/>
    </w:rPr>
  </w:style>
  <w:style w:type="character" w:styleId="Accentuation">
    <w:name w:val="Emphasis"/>
    <w:basedOn w:val="Policepardfaut"/>
    <w:uiPriority w:val="20"/>
    <w:qFormat/>
    <w:rsid w:val="00C21125"/>
    <w:rPr>
      <w:i/>
      <w:iCs/>
    </w:rPr>
  </w:style>
  <w:style w:type="character" w:customStyle="1" w:styleId="Titre3Car">
    <w:name w:val="Titre 3 Car"/>
    <w:basedOn w:val="Policepardfaut"/>
    <w:link w:val="Titre3"/>
    <w:uiPriority w:val="9"/>
    <w:rsid w:val="00554021"/>
    <w:rPr>
      <w:rFonts w:asciiTheme="majorHAnsi" w:eastAsiaTheme="majorEastAsia" w:hAnsiTheme="majorHAnsi" w:cstheme="majorBidi"/>
      <w:b/>
      <w:bCs/>
      <w:color w:val="4F81BD" w:themeColor="accent1"/>
    </w:rPr>
  </w:style>
  <w:style w:type="paragraph" w:styleId="Rvision">
    <w:name w:val="Revision"/>
    <w:hidden/>
    <w:uiPriority w:val="99"/>
    <w:semiHidden/>
    <w:rsid w:val="00E631CC"/>
    <w:pPr>
      <w:spacing w:after="0" w:line="240" w:lineRule="auto"/>
    </w:pPr>
  </w:style>
  <w:style w:type="character" w:customStyle="1" w:styleId="Titre2Car">
    <w:name w:val="Titre 2 Car"/>
    <w:basedOn w:val="Policepardfaut"/>
    <w:link w:val="Titre2"/>
    <w:uiPriority w:val="9"/>
    <w:rsid w:val="00050344"/>
    <w:rPr>
      <w:rFonts w:asciiTheme="majorHAnsi" w:eastAsiaTheme="majorEastAsia" w:hAnsiTheme="majorHAnsi" w:cstheme="majorBidi"/>
      <w:b/>
      <w:bCs/>
      <w:color w:val="4F81BD" w:themeColor="accent1"/>
      <w:sz w:val="26"/>
      <w:szCs w:val="26"/>
    </w:rPr>
  </w:style>
  <w:style w:type="paragraph" w:customStyle="1" w:styleId="Default">
    <w:name w:val="Default"/>
    <w:rsid w:val="005E3BEE"/>
    <w:pPr>
      <w:autoSpaceDE w:val="0"/>
      <w:autoSpaceDN w:val="0"/>
      <w:adjustRightInd w:val="0"/>
      <w:spacing w:after="0" w:line="240" w:lineRule="auto"/>
    </w:pPr>
    <w:rPr>
      <w:rFonts w:ascii="Arial" w:hAnsi="Arial" w:cs="Arial"/>
      <w:color w:val="000000"/>
      <w:sz w:val="24"/>
      <w:szCs w:val="24"/>
      <w:lang w:val="fr-CH"/>
    </w:rPr>
  </w:style>
  <w:style w:type="character" w:customStyle="1" w:styleId="Titre5Car">
    <w:name w:val="Titre 5 Car"/>
    <w:basedOn w:val="Policepardfaut"/>
    <w:link w:val="Titre5"/>
    <w:uiPriority w:val="9"/>
    <w:semiHidden/>
    <w:rsid w:val="0027268A"/>
    <w:rPr>
      <w:rFonts w:asciiTheme="majorHAnsi" w:eastAsiaTheme="majorEastAsia" w:hAnsiTheme="majorHAnsi" w:cstheme="majorBidi"/>
      <w:color w:val="365F91" w:themeColor="accent1" w:themeShade="BF"/>
    </w:rPr>
  </w:style>
  <w:style w:type="paragraph" w:styleId="Notedebasdepage">
    <w:name w:val="footnote text"/>
    <w:basedOn w:val="Normal"/>
    <w:link w:val="NotedebasdepageCar"/>
    <w:uiPriority w:val="99"/>
    <w:semiHidden/>
    <w:unhideWhenUsed/>
    <w:rsid w:val="0066298F"/>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66298F"/>
    <w:rPr>
      <w:sz w:val="20"/>
      <w:szCs w:val="20"/>
    </w:rPr>
  </w:style>
  <w:style w:type="character" w:styleId="Appelnotedebasdep">
    <w:name w:val="footnote reference"/>
    <w:basedOn w:val="Policepardfaut"/>
    <w:uiPriority w:val="99"/>
    <w:semiHidden/>
    <w:unhideWhenUsed/>
    <w:rsid w:val="0066298F"/>
    <w:rPr>
      <w:vertAlign w:val="superscript"/>
    </w:rPr>
  </w:style>
  <w:style w:type="character" w:styleId="Numrodeligne">
    <w:name w:val="line number"/>
    <w:basedOn w:val="Policepardfaut"/>
    <w:uiPriority w:val="99"/>
    <w:semiHidden/>
    <w:unhideWhenUsed/>
    <w:rsid w:val="000017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127760">
      <w:bodyDiv w:val="1"/>
      <w:marLeft w:val="0"/>
      <w:marRight w:val="0"/>
      <w:marTop w:val="0"/>
      <w:marBottom w:val="0"/>
      <w:divBdr>
        <w:top w:val="none" w:sz="0" w:space="0" w:color="auto"/>
        <w:left w:val="none" w:sz="0" w:space="0" w:color="auto"/>
        <w:bottom w:val="none" w:sz="0" w:space="0" w:color="auto"/>
        <w:right w:val="none" w:sz="0" w:space="0" w:color="auto"/>
      </w:divBdr>
    </w:div>
    <w:div w:id="358168781">
      <w:bodyDiv w:val="1"/>
      <w:marLeft w:val="0"/>
      <w:marRight w:val="0"/>
      <w:marTop w:val="0"/>
      <w:marBottom w:val="0"/>
      <w:divBdr>
        <w:top w:val="none" w:sz="0" w:space="0" w:color="auto"/>
        <w:left w:val="none" w:sz="0" w:space="0" w:color="auto"/>
        <w:bottom w:val="none" w:sz="0" w:space="0" w:color="auto"/>
        <w:right w:val="none" w:sz="0" w:space="0" w:color="auto"/>
      </w:divBdr>
    </w:div>
    <w:div w:id="367878978">
      <w:bodyDiv w:val="1"/>
      <w:marLeft w:val="0"/>
      <w:marRight w:val="0"/>
      <w:marTop w:val="0"/>
      <w:marBottom w:val="0"/>
      <w:divBdr>
        <w:top w:val="none" w:sz="0" w:space="0" w:color="auto"/>
        <w:left w:val="none" w:sz="0" w:space="0" w:color="auto"/>
        <w:bottom w:val="none" w:sz="0" w:space="0" w:color="auto"/>
        <w:right w:val="none" w:sz="0" w:space="0" w:color="auto"/>
      </w:divBdr>
      <w:divsChild>
        <w:div w:id="1953897695">
          <w:marLeft w:val="0"/>
          <w:marRight w:val="0"/>
          <w:marTop w:val="129"/>
          <w:marBottom w:val="0"/>
          <w:divBdr>
            <w:top w:val="none" w:sz="0" w:space="0" w:color="auto"/>
            <w:left w:val="none" w:sz="0" w:space="0" w:color="auto"/>
            <w:bottom w:val="none" w:sz="0" w:space="0" w:color="auto"/>
            <w:right w:val="none" w:sz="0" w:space="0" w:color="auto"/>
          </w:divBdr>
          <w:divsChild>
            <w:div w:id="83193209">
              <w:marLeft w:val="0"/>
              <w:marRight w:val="0"/>
              <w:marTop w:val="0"/>
              <w:marBottom w:val="0"/>
              <w:divBdr>
                <w:top w:val="none" w:sz="0" w:space="0" w:color="auto"/>
                <w:left w:val="none" w:sz="0" w:space="0" w:color="auto"/>
                <w:bottom w:val="none" w:sz="0" w:space="0" w:color="auto"/>
                <w:right w:val="none" w:sz="0" w:space="0" w:color="auto"/>
              </w:divBdr>
              <w:divsChild>
                <w:div w:id="1673098358">
                  <w:marLeft w:val="107"/>
                  <w:marRight w:val="107"/>
                  <w:marTop w:val="0"/>
                  <w:marBottom w:val="0"/>
                  <w:divBdr>
                    <w:top w:val="none" w:sz="0" w:space="0" w:color="auto"/>
                    <w:left w:val="none" w:sz="0" w:space="0" w:color="auto"/>
                    <w:bottom w:val="none" w:sz="0" w:space="0" w:color="auto"/>
                    <w:right w:val="none" w:sz="0" w:space="0" w:color="auto"/>
                  </w:divBdr>
                </w:div>
              </w:divsChild>
            </w:div>
          </w:divsChild>
        </w:div>
      </w:divsChild>
    </w:div>
    <w:div w:id="513570537">
      <w:bodyDiv w:val="1"/>
      <w:marLeft w:val="0"/>
      <w:marRight w:val="0"/>
      <w:marTop w:val="0"/>
      <w:marBottom w:val="0"/>
      <w:divBdr>
        <w:top w:val="none" w:sz="0" w:space="0" w:color="auto"/>
        <w:left w:val="none" w:sz="0" w:space="0" w:color="auto"/>
        <w:bottom w:val="none" w:sz="0" w:space="0" w:color="auto"/>
        <w:right w:val="none" w:sz="0" w:space="0" w:color="auto"/>
      </w:divBdr>
    </w:div>
    <w:div w:id="519971845">
      <w:bodyDiv w:val="1"/>
      <w:marLeft w:val="0"/>
      <w:marRight w:val="0"/>
      <w:marTop w:val="0"/>
      <w:marBottom w:val="0"/>
      <w:divBdr>
        <w:top w:val="none" w:sz="0" w:space="0" w:color="auto"/>
        <w:left w:val="none" w:sz="0" w:space="0" w:color="auto"/>
        <w:bottom w:val="none" w:sz="0" w:space="0" w:color="auto"/>
        <w:right w:val="none" w:sz="0" w:space="0" w:color="auto"/>
      </w:divBdr>
    </w:div>
    <w:div w:id="525094098">
      <w:bodyDiv w:val="1"/>
      <w:marLeft w:val="0"/>
      <w:marRight w:val="0"/>
      <w:marTop w:val="0"/>
      <w:marBottom w:val="0"/>
      <w:divBdr>
        <w:top w:val="none" w:sz="0" w:space="0" w:color="auto"/>
        <w:left w:val="none" w:sz="0" w:space="0" w:color="auto"/>
        <w:bottom w:val="none" w:sz="0" w:space="0" w:color="auto"/>
        <w:right w:val="none" w:sz="0" w:space="0" w:color="auto"/>
      </w:divBdr>
    </w:div>
    <w:div w:id="876240972">
      <w:bodyDiv w:val="1"/>
      <w:marLeft w:val="0"/>
      <w:marRight w:val="0"/>
      <w:marTop w:val="0"/>
      <w:marBottom w:val="0"/>
      <w:divBdr>
        <w:top w:val="none" w:sz="0" w:space="0" w:color="auto"/>
        <w:left w:val="none" w:sz="0" w:space="0" w:color="auto"/>
        <w:bottom w:val="none" w:sz="0" w:space="0" w:color="auto"/>
        <w:right w:val="none" w:sz="0" w:space="0" w:color="auto"/>
      </w:divBdr>
      <w:divsChild>
        <w:div w:id="1706906376">
          <w:marLeft w:val="0"/>
          <w:marRight w:val="0"/>
          <w:marTop w:val="0"/>
          <w:marBottom w:val="0"/>
          <w:divBdr>
            <w:top w:val="none" w:sz="0" w:space="0" w:color="auto"/>
            <w:left w:val="none" w:sz="0" w:space="0" w:color="auto"/>
            <w:bottom w:val="none" w:sz="0" w:space="0" w:color="auto"/>
            <w:right w:val="none" w:sz="0" w:space="0" w:color="auto"/>
          </w:divBdr>
        </w:div>
        <w:div w:id="102530928">
          <w:marLeft w:val="0"/>
          <w:marRight w:val="0"/>
          <w:marTop w:val="0"/>
          <w:marBottom w:val="0"/>
          <w:divBdr>
            <w:top w:val="none" w:sz="0" w:space="0" w:color="auto"/>
            <w:left w:val="none" w:sz="0" w:space="0" w:color="auto"/>
            <w:bottom w:val="none" w:sz="0" w:space="0" w:color="auto"/>
            <w:right w:val="none" w:sz="0" w:space="0" w:color="auto"/>
          </w:divBdr>
        </w:div>
        <w:div w:id="404451678">
          <w:marLeft w:val="0"/>
          <w:marRight w:val="0"/>
          <w:marTop w:val="0"/>
          <w:marBottom w:val="0"/>
          <w:divBdr>
            <w:top w:val="none" w:sz="0" w:space="0" w:color="auto"/>
            <w:left w:val="none" w:sz="0" w:space="0" w:color="auto"/>
            <w:bottom w:val="none" w:sz="0" w:space="0" w:color="auto"/>
            <w:right w:val="none" w:sz="0" w:space="0" w:color="auto"/>
          </w:divBdr>
        </w:div>
        <w:div w:id="1449277682">
          <w:marLeft w:val="0"/>
          <w:marRight w:val="0"/>
          <w:marTop w:val="0"/>
          <w:marBottom w:val="0"/>
          <w:divBdr>
            <w:top w:val="none" w:sz="0" w:space="0" w:color="auto"/>
            <w:left w:val="none" w:sz="0" w:space="0" w:color="auto"/>
            <w:bottom w:val="none" w:sz="0" w:space="0" w:color="auto"/>
            <w:right w:val="none" w:sz="0" w:space="0" w:color="auto"/>
          </w:divBdr>
        </w:div>
      </w:divsChild>
    </w:div>
    <w:div w:id="1093011756">
      <w:bodyDiv w:val="1"/>
      <w:marLeft w:val="0"/>
      <w:marRight w:val="0"/>
      <w:marTop w:val="0"/>
      <w:marBottom w:val="0"/>
      <w:divBdr>
        <w:top w:val="none" w:sz="0" w:space="0" w:color="auto"/>
        <w:left w:val="none" w:sz="0" w:space="0" w:color="auto"/>
        <w:bottom w:val="none" w:sz="0" w:space="0" w:color="auto"/>
        <w:right w:val="none" w:sz="0" w:space="0" w:color="auto"/>
      </w:divBdr>
    </w:div>
    <w:div w:id="1376810536">
      <w:bodyDiv w:val="1"/>
      <w:marLeft w:val="0"/>
      <w:marRight w:val="0"/>
      <w:marTop w:val="0"/>
      <w:marBottom w:val="0"/>
      <w:divBdr>
        <w:top w:val="none" w:sz="0" w:space="0" w:color="auto"/>
        <w:left w:val="none" w:sz="0" w:space="0" w:color="auto"/>
        <w:bottom w:val="none" w:sz="0" w:space="0" w:color="auto"/>
        <w:right w:val="none" w:sz="0" w:space="0" w:color="auto"/>
      </w:divBdr>
    </w:div>
    <w:div w:id="1689984534">
      <w:bodyDiv w:val="1"/>
      <w:marLeft w:val="0"/>
      <w:marRight w:val="0"/>
      <w:marTop w:val="0"/>
      <w:marBottom w:val="0"/>
      <w:divBdr>
        <w:top w:val="none" w:sz="0" w:space="0" w:color="auto"/>
        <w:left w:val="none" w:sz="0" w:space="0" w:color="auto"/>
        <w:bottom w:val="none" w:sz="0" w:space="0" w:color="auto"/>
        <w:right w:val="none" w:sz="0" w:space="0" w:color="auto"/>
      </w:divBdr>
      <w:divsChild>
        <w:div w:id="1715613385">
          <w:marLeft w:val="0"/>
          <w:marRight w:val="0"/>
          <w:marTop w:val="129"/>
          <w:marBottom w:val="0"/>
          <w:divBdr>
            <w:top w:val="none" w:sz="0" w:space="0" w:color="auto"/>
            <w:left w:val="none" w:sz="0" w:space="0" w:color="auto"/>
            <w:bottom w:val="none" w:sz="0" w:space="0" w:color="auto"/>
            <w:right w:val="none" w:sz="0" w:space="0" w:color="auto"/>
          </w:divBdr>
          <w:divsChild>
            <w:div w:id="684870614">
              <w:marLeft w:val="0"/>
              <w:marRight w:val="0"/>
              <w:marTop w:val="0"/>
              <w:marBottom w:val="0"/>
              <w:divBdr>
                <w:top w:val="none" w:sz="0" w:space="0" w:color="auto"/>
                <w:left w:val="none" w:sz="0" w:space="0" w:color="auto"/>
                <w:bottom w:val="none" w:sz="0" w:space="0" w:color="auto"/>
                <w:right w:val="none" w:sz="0" w:space="0" w:color="auto"/>
              </w:divBdr>
              <w:divsChild>
                <w:div w:id="270018837">
                  <w:marLeft w:val="107"/>
                  <w:marRight w:val="107"/>
                  <w:marTop w:val="0"/>
                  <w:marBottom w:val="0"/>
                  <w:divBdr>
                    <w:top w:val="none" w:sz="0" w:space="0" w:color="auto"/>
                    <w:left w:val="none" w:sz="0" w:space="0" w:color="auto"/>
                    <w:bottom w:val="none" w:sz="0" w:space="0" w:color="auto"/>
                    <w:right w:val="none" w:sz="0" w:space="0" w:color="auto"/>
                  </w:divBdr>
                </w:div>
              </w:divsChild>
            </w:div>
          </w:divsChild>
        </w:div>
      </w:divsChild>
    </w:div>
    <w:div w:id="1759711569">
      <w:bodyDiv w:val="1"/>
      <w:marLeft w:val="0"/>
      <w:marRight w:val="0"/>
      <w:marTop w:val="0"/>
      <w:marBottom w:val="0"/>
      <w:divBdr>
        <w:top w:val="none" w:sz="0" w:space="0" w:color="auto"/>
        <w:left w:val="none" w:sz="0" w:space="0" w:color="auto"/>
        <w:bottom w:val="none" w:sz="0" w:space="0" w:color="auto"/>
        <w:right w:val="none" w:sz="0" w:space="0" w:color="auto"/>
      </w:divBdr>
    </w:div>
    <w:div w:id="1839077183">
      <w:bodyDiv w:val="1"/>
      <w:marLeft w:val="0"/>
      <w:marRight w:val="0"/>
      <w:marTop w:val="0"/>
      <w:marBottom w:val="0"/>
      <w:divBdr>
        <w:top w:val="none" w:sz="0" w:space="0" w:color="auto"/>
        <w:left w:val="none" w:sz="0" w:space="0" w:color="auto"/>
        <w:bottom w:val="none" w:sz="0" w:space="0" w:color="auto"/>
        <w:right w:val="none" w:sz="0" w:space="0" w:color="auto"/>
      </w:divBdr>
    </w:div>
    <w:div w:id="1917471891">
      <w:bodyDiv w:val="1"/>
      <w:marLeft w:val="0"/>
      <w:marRight w:val="0"/>
      <w:marTop w:val="0"/>
      <w:marBottom w:val="0"/>
      <w:divBdr>
        <w:top w:val="none" w:sz="0" w:space="0" w:color="auto"/>
        <w:left w:val="none" w:sz="0" w:space="0" w:color="auto"/>
        <w:bottom w:val="none" w:sz="0" w:space="0" w:color="auto"/>
        <w:right w:val="none" w:sz="0" w:space="0" w:color="auto"/>
      </w:divBdr>
    </w:div>
    <w:div w:id="2057116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humandiseasegenes.nl/yy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19E56D-D832-4D9E-B6FD-4D89E9325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11332</Words>
  <Characters>64372</Characters>
  <Application>Microsoft Office Word</Application>
  <DocSecurity>0</DocSecurity>
  <Lines>1129</Lines>
  <Paragraphs>473</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Hôpitaux Universitaires Genève</Company>
  <LinksUpToDate>false</LinksUpToDate>
  <CharactersWithSpaces>75231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jnba</dc:creator>
  <cp:lastModifiedBy>CARMINHO AMARO RODRIGUES Maria Teresa</cp:lastModifiedBy>
  <cp:revision>3</cp:revision>
  <dcterms:created xsi:type="dcterms:W3CDTF">2020-06-02T08:31:00Z</dcterms:created>
  <dcterms:modified xsi:type="dcterms:W3CDTF">2020-06-02T08:38:00Z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http://www.zotero.org/styles/american-journal-of-medical-genetics</vt:lpwstr>
  </property>
  <property fmtid="{D5CDD505-2E9C-101B-9397-08002B2CF9AE}" pid="3" name="Mendeley Recent Style Name 0_1">
    <vt:lpwstr>American Journal of Medical Genetics</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http://www.zotero.org/styles/chicago-fullnote-bibliography</vt:lpwstr>
  </property>
  <property fmtid="{D5CDD505-2E9C-101B-9397-08002B2CF9AE}" pid="7" name="Mendeley Recent Style Name 2_1">
    <vt:lpwstr>Chicago Manual of Style 17th edition (full note)</vt:lpwstr>
  </property>
  <property fmtid="{D5CDD505-2E9C-101B-9397-08002B2CF9AE}" pid="8" name="Mendeley Recent Style Id 3_1">
    <vt:lpwstr>http://www.zotero.org/styles/chicago-note-bibliography</vt:lpwstr>
  </property>
  <property fmtid="{D5CDD505-2E9C-101B-9397-08002B2CF9AE}" pid="9" name="Mendeley Recent Style Name 3_1">
    <vt:lpwstr>Chicago Manual of Style 17th edition (note)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http://www.zotero.org/styles/modern-language-association</vt:lpwstr>
  </property>
  <property fmtid="{D5CDD505-2E9C-101B-9397-08002B2CF9AE}" pid="15" name="Mendeley Recent Style Name 6_1">
    <vt:lpwstr>Modern Language Association 8th edition</vt:lpwstr>
  </property>
  <property fmtid="{D5CDD505-2E9C-101B-9397-08002B2CF9AE}" pid="16" name="Mendeley Recent Style Id 7_1">
    <vt:lpwstr>http://www.zotero.org/styles/national-library-of-medicine</vt:lpwstr>
  </property>
  <property fmtid="{D5CDD505-2E9C-101B-9397-08002B2CF9AE}" pid="17" name="Mendeley Recent Style Name 7_1">
    <vt:lpwstr>National Library of Medicine</vt:lpwstr>
  </property>
  <property fmtid="{D5CDD505-2E9C-101B-9397-08002B2CF9AE}" pid="18" name="Mendeley Recent Style Id 8_1">
    <vt:lpwstr>http://www.zotero.org/styles/parkinsonism-and-related-disorders</vt:lpwstr>
  </property>
  <property fmtid="{D5CDD505-2E9C-101B-9397-08002B2CF9AE}" pid="19" name="Mendeley Recent Style Name 8_1">
    <vt:lpwstr>Parkinsonism and Related Disorders</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ceca1713-10ca-37c4-ae8f-6dc81e0ac504</vt:lpwstr>
  </property>
  <property fmtid="{D5CDD505-2E9C-101B-9397-08002B2CF9AE}" pid="24" name="Mendeley Citation Style_1">
    <vt:lpwstr>http://www.zotero.org/styles/american-journal-of-medical-genetics</vt:lpwstr>
  </property>
</Properties>
</file>