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B1" w:rsidRPr="00DD55FF" w:rsidRDefault="00D250B1" w:rsidP="00DD55FF">
      <w:pPr>
        <w:jc w:val="center"/>
        <w:rPr>
          <w:i/>
          <w:sz w:val="36"/>
          <w:szCs w:val="36"/>
        </w:rPr>
      </w:pPr>
      <w:r w:rsidRPr="00DD55FF">
        <w:rPr>
          <w:i/>
          <w:sz w:val="36"/>
          <w:szCs w:val="36"/>
        </w:rPr>
        <w:t>Justifying Discrimination Law</w:t>
      </w:r>
      <w:r w:rsidR="00381AB7" w:rsidRPr="00DD55FF">
        <w:rPr>
          <w:rStyle w:val="FootnoteReference"/>
          <w:sz w:val="36"/>
          <w:szCs w:val="36"/>
        </w:rPr>
        <w:footnoteReference w:customMarkFollows="1" w:id="1"/>
        <w:sym w:font="Symbol" w:char="F02B"/>
      </w:r>
    </w:p>
    <w:p w:rsidR="00DD55FF" w:rsidRPr="00DD55FF" w:rsidRDefault="00DD55FF" w:rsidP="00DD55FF">
      <w:pPr>
        <w:jc w:val="center"/>
        <w:rPr>
          <w:b/>
          <w:sz w:val="24"/>
          <w:szCs w:val="24"/>
        </w:rPr>
      </w:pPr>
    </w:p>
    <w:p w:rsidR="00D250B1" w:rsidRPr="00DD55FF" w:rsidRDefault="00D250B1" w:rsidP="00DD55FF">
      <w:pPr>
        <w:jc w:val="center"/>
        <w:rPr>
          <w:rStyle w:val="FootnoteReference"/>
          <w:smallCaps/>
          <w:sz w:val="28"/>
          <w:szCs w:val="28"/>
        </w:rPr>
      </w:pPr>
      <w:r w:rsidRPr="00DD55FF">
        <w:rPr>
          <w:smallCaps/>
          <w:sz w:val="28"/>
          <w:szCs w:val="28"/>
        </w:rPr>
        <w:t>Colm O’Cinneide</w:t>
      </w:r>
      <w:r w:rsidRPr="00DD55FF">
        <w:rPr>
          <w:rStyle w:val="FootnoteReference"/>
          <w:smallCaps/>
          <w:sz w:val="28"/>
          <w:szCs w:val="28"/>
        </w:rPr>
        <w:footnoteReference w:customMarkFollows="1" w:id="2"/>
        <w:sym w:font="Symbol" w:char="F02A"/>
      </w:r>
    </w:p>
    <w:p w:rsidR="00DD55FF" w:rsidRPr="00DD55FF" w:rsidRDefault="00DD55FF" w:rsidP="00DD55FF">
      <w:pPr>
        <w:jc w:val="center"/>
        <w:rPr>
          <w:b/>
          <w:sz w:val="24"/>
          <w:szCs w:val="24"/>
        </w:rPr>
      </w:pPr>
    </w:p>
    <w:p w:rsidR="00DD55FF" w:rsidRDefault="00FC3439" w:rsidP="00DD55FF">
      <w:pPr>
        <w:jc w:val="both"/>
        <w:rPr>
          <w:b/>
          <w:sz w:val="24"/>
          <w:szCs w:val="24"/>
        </w:rPr>
      </w:pPr>
      <w:r w:rsidRPr="00DD55FF">
        <w:rPr>
          <w:b/>
          <w:sz w:val="24"/>
          <w:szCs w:val="24"/>
        </w:rPr>
        <w:t>Abstract</w:t>
      </w:r>
    </w:p>
    <w:p w:rsidR="008B04F3" w:rsidRPr="007A2551" w:rsidRDefault="00F10496" w:rsidP="00DD55FF">
      <w:pPr>
        <w:jc w:val="both"/>
        <w:rPr>
          <w:b/>
          <w:sz w:val="24"/>
          <w:szCs w:val="24"/>
        </w:rPr>
      </w:pPr>
      <w:r w:rsidRPr="00DD55FF">
        <w:rPr>
          <w:sz w:val="24"/>
          <w:szCs w:val="24"/>
        </w:rPr>
        <w:t xml:space="preserve">This review article analyses </w:t>
      </w:r>
      <w:proofErr w:type="spellStart"/>
      <w:r w:rsidRPr="00DD55FF">
        <w:rPr>
          <w:sz w:val="24"/>
          <w:szCs w:val="24"/>
        </w:rPr>
        <w:t>Tarunabh</w:t>
      </w:r>
      <w:proofErr w:type="spellEnd"/>
      <w:r w:rsidRPr="00DD55FF">
        <w:rPr>
          <w:sz w:val="24"/>
          <w:szCs w:val="24"/>
        </w:rPr>
        <w:t xml:space="preserve"> </w:t>
      </w:r>
      <w:proofErr w:type="spellStart"/>
      <w:r w:rsidRPr="00DD55FF">
        <w:rPr>
          <w:sz w:val="24"/>
          <w:szCs w:val="24"/>
        </w:rPr>
        <w:t>Khaitan’s</w:t>
      </w:r>
      <w:proofErr w:type="spellEnd"/>
      <w:r w:rsidRPr="00DD55FF">
        <w:rPr>
          <w:sz w:val="24"/>
          <w:szCs w:val="24"/>
        </w:rPr>
        <w:t xml:space="preserve"> attempt</w:t>
      </w:r>
      <w:r w:rsidR="00C0603B">
        <w:rPr>
          <w:sz w:val="24"/>
          <w:szCs w:val="24"/>
        </w:rPr>
        <w:t xml:space="preserve"> in his recent book, </w:t>
      </w:r>
      <w:r w:rsidR="00C0603B">
        <w:rPr>
          <w:i/>
          <w:sz w:val="24"/>
          <w:szCs w:val="24"/>
        </w:rPr>
        <w:t>A Theory of Discrimination Law</w:t>
      </w:r>
      <w:r w:rsidR="00C0603B">
        <w:rPr>
          <w:sz w:val="24"/>
          <w:szCs w:val="24"/>
        </w:rPr>
        <w:t xml:space="preserve">, </w:t>
      </w:r>
      <w:r w:rsidRPr="00D61B02">
        <w:rPr>
          <w:sz w:val="24"/>
          <w:szCs w:val="24"/>
        </w:rPr>
        <w:t>to</w:t>
      </w:r>
      <w:r w:rsidR="00BC7EB3">
        <w:rPr>
          <w:sz w:val="24"/>
          <w:szCs w:val="24"/>
        </w:rPr>
        <w:t xml:space="preserve"> identify</w:t>
      </w:r>
      <w:r w:rsidRPr="00DD55FF">
        <w:rPr>
          <w:sz w:val="24"/>
          <w:szCs w:val="24"/>
        </w:rPr>
        <w:t xml:space="preserve"> the central purpose and justification of discrimination law. </w:t>
      </w:r>
      <w:proofErr w:type="spellStart"/>
      <w:r w:rsidRPr="00DD55FF">
        <w:rPr>
          <w:sz w:val="24"/>
          <w:szCs w:val="24"/>
        </w:rPr>
        <w:t>Khaitan</w:t>
      </w:r>
      <w:proofErr w:type="spellEnd"/>
      <w:r w:rsidRPr="00DD55FF">
        <w:rPr>
          <w:sz w:val="24"/>
          <w:szCs w:val="24"/>
        </w:rPr>
        <w:t xml:space="preserve"> </w:t>
      </w:r>
      <w:r w:rsidR="001D0B63" w:rsidRPr="00DD55FF">
        <w:rPr>
          <w:sz w:val="24"/>
          <w:szCs w:val="24"/>
        </w:rPr>
        <w:t xml:space="preserve">sets out to </w:t>
      </w:r>
      <w:r w:rsidR="00BC7EB3">
        <w:rPr>
          <w:sz w:val="24"/>
          <w:szCs w:val="24"/>
        </w:rPr>
        <w:t>determine</w:t>
      </w:r>
      <w:r w:rsidR="001D0B63" w:rsidRPr="00DD55FF">
        <w:rPr>
          <w:sz w:val="24"/>
          <w:szCs w:val="24"/>
        </w:rPr>
        <w:t xml:space="preserve"> the key features of discrimination law through rigorous comparative analysis, and to locate a solid normative foundation for its provisions. </w:t>
      </w:r>
      <w:r w:rsidR="00C0603B">
        <w:rPr>
          <w:sz w:val="24"/>
          <w:szCs w:val="24"/>
        </w:rPr>
        <w:t xml:space="preserve">He </w:t>
      </w:r>
      <w:r w:rsidR="001D0B63" w:rsidRPr="00DD55FF">
        <w:rPr>
          <w:sz w:val="24"/>
          <w:szCs w:val="24"/>
        </w:rPr>
        <w:t xml:space="preserve">concludes that discrimination law is structured around an ‘obsession’ with combating group disadvantage, i.e. relative forms of disadvantage between different groups </w:t>
      </w:r>
      <w:r w:rsidR="001C647B" w:rsidRPr="00DD55FF">
        <w:rPr>
          <w:sz w:val="24"/>
          <w:szCs w:val="24"/>
        </w:rPr>
        <w:t>whose membership is defined by morally irrelevant or valuable personal characteristics</w:t>
      </w:r>
      <w:r w:rsidR="001D0B63" w:rsidRPr="00DD55FF">
        <w:rPr>
          <w:sz w:val="24"/>
          <w:szCs w:val="24"/>
        </w:rPr>
        <w:t xml:space="preserve"> such as gender, race, disability and so on. </w:t>
      </w:r>
      <w:r w:rsidR="000B42B6" w:rsidRPr="00DD55FF">
        <w:rPr>
          <w:sz w:val="24"/>
          <w:szCs w:val="24"/>
        </w:rPr>
        <w:t xml:space="preserve">He </w:t>
      </w:r>
      <w:r w:rsidR="00BC7EB3">
        <w:rPr>
          <w:sz w:val="24"/>
          <w:szCs w:val="24"/>
        </w:rPr>
        <w:t xml:space="preserve">goes on to make a strongly argued </w:t>
      </w:r>
      <w:r w:rsidR="000B42B6" w:rsidRPr="00DD55FF">
        <w:rPr>
          <w:sz w:val="24"/>
          <w:szCs w:val="24"/>
        </w:rPr>
        <w:t xml:space="preserve">liberal </w:t>
      </w:r>
      <w:r w:rsidR="00BC7EB3">
        <w:rPr>
          <w:sz w:val="24"/>
          <w:szCs w:val="24"/>
        </w:rPr>
        <w:t xml:space="preserve">(as distinct from an egalitarian) </w:t>
      </w:r>
      <w:r w:rsidR="000B42B6" w:rsidRPr="00DD55FF">
        <w:rPr>
          <w:sz w:val="24"/>
          <w:szCs w:val="24"/>
        </w:rPr>
        <w:t>case</w:t>
      </w:r>
      <w:r w:rsidR="00BC7EB3">
        <w:rPr>
          <w:sz w:val="24"/>
          <w:szCs w:val="24"/>
        </w:rPr>
        <w:t xml:space="preserve"> </w:t>
      </w:r>
      <w:r w:rsidR="000B42B6" w:rsidRPr="00DD55FF">
        <w:rPr>
          <w:sz w:val="24"/>
          <w:szCs w:val="24"/>
        </w:rPr>
        <w:t xml:space="preserve">as to why discrimination law is justified in seeking to </w:t>
      </w:r>
      <w:r w:rsidR="00BC7EB3">
        <w:rPr>
          <w:sz w:val="24"/>
          <w:szCs w:val="24"/>
        </w:rPr>
        <w:t xml:space="preserve">minimise the </w:t>
      </w:r>
      <w:r w:rsidR="000B42B6" w:rsidRPr="00DD55FF">
        <w:rPr>
          <w:sz w:val="24"/>
          <w:szCs w:val="24"/>
        </w:rPr>
        <w:t>negative impa</w:t>
      </w:r>
      <w:r w:rsidR="00BC7EB3">
        <w:rPr>
          <w:sz w:val="24"/>
          <w:szCs w:val="24"/>
        </w:rPr>
        <w:t>ct on individual liberty</w:t>
      </w:r>
      <w:r w:rsidR="008B04F3" w:rsidRPr="00DD55FF">
        <w:rPr>
          <w:sz w:val="24"/>
          <w:szCs w:val="24"/>
        </w:rPr>
        <w:t xml:space="preserve"> of</w:t>
      </w:r>
      <w:r w:rsidR="000B42B6" w:rsidRPr="00DD55FF">
        <w:rPr>
          <w:sz w:val="24"/>
          <w:szCs w:val="24"/>
        </w:rPr>
        <w:t xml:space="preserve"> group disadvantage</w:t>
      </w:r>
      <w:r w:rsidR="00C0603B">
        <w:rPr>
          <w:sz w:val="24"/>
          <w:szCs w:val="24"/>
        </w:rPr>
        <w:t>. Certain a</w:t>
      </w:r>
      <w:r w:rsidR="008B04F3" w:rsidRPr="00DD55FF">
        <w:rPr>
          <w:sz w:val="24"/>
          <w:szCs w:val="24"/>
        </w:rPr>
        <w:t xml:space="preserve">spects of his analysis fail to capture the full complexity of discrimination law and the moral concerns which underpin its functioning. However, in general, </w:t>
      </w:r>
      <w:proofErr w:type="spellStart"/>
      <w:r w:rsidR="008B04F3" w:rsidRPr="00DD55FF">
        <w:rPr>
          <w:sz w:val="24"/>
          <w:szCs w:val="24"/>
        </w:rPr>
        <w:t>Khaitan’s</w:t>
      </w:r>
      <w:proofErr w:type="spellEnd"/>
      <w:r w:rsidR="008B04F3" w:rsidRPr="00DD55FF">
        <w:rPr>
          <w:sz w:val="24"/>
          <w:szCs w:val="24"/>
        </w:rPr>
        <w:t xml:space="preserve"> arguments make an invaluable contribution to the diffuse theoretical literature on discrimination law, and are bound to become a </w:t>
      </w:r>
      <w:r w:rsidR="00BC7EB3">
        <w:rPr>
          <w:sz w:val="24"/>
          <w:szCs w:val="24"/>
        </w:rPr>
        <w:t>major</w:t>
      </w:r>
      <w:r w:rsidR="008B04F3" w:rsidRPr="00DD55FF">
        <w:rPr>
          <w:sz w:val="24"/>
          <w:szCs w:val="24"/>
        </w:rPr>
        <w:t xml:space="preserve"> point of reference in conceptual debates about this highly significant area of law.</w:t>
      </w:r>
    </w:p>
    <w:p w:rsidR="008B04F3" w:rsidRPr="00DD55FF" w:rsidRDefault="008B04F3" w:rsidP="00DD55FF">
      <w:pPr>
        <w:jc w:val="both"/>
        <w:rPr>
          <w:sz w:val="24"/>
          <w:szCs w:val="24"/>
        </w:rPr>
      </w:pPr>
      <w:r w:rsidRPr="00DD55FF">
        <w:rPr>
          <w:b/>
          <w:sz w:val="24"/>
          <w:szCs w:val="24"/>
        </w:rPr>
        <w:t xml:space="preserve">Keywords: </w:t>
      </w:r>
      <w:r w:rsidRPr="00DD55FF">
        <w:rPr>
          <w:sz w:val="24"/>
          <w:szCs w:val="24"/>
        </w:rPr>
        <w:t xml:space="preserve">discrimination law, group disadvantage, liberty, equality. </w:t>
      </w:r>
    </w:p>
    <w:p w:rsidR="00DD55FF" w:rsidRPr="00DD55FF" w:rsidRDefault="00DD55FF" w:rsidP="00DD55FF">
      <w:pPr>
        <w:jc w:val="center"/>
        <w:rPr>
          <w:i/>
          <w:sz w:val="28"/>
          <w:szCs w:val="28"/>
        </w:rPr>
      </w:pPr>
    </w:p>
    <w:p w:rsidR="006B20E1" w:rsidRPr="00DD55FF" w:rsidRDefault="008B04F3" w:rsidP="00DD55FF">
      <w:pPr>
        <w:jc w:val="center"/>
        <w:rPr>
          <w:i/>
          <w:sz w:val="28"/>
          <w:szCs w:val="28"/>
        </w:rPr>
      </w:pPr>
      <w:r w:rsidRPr="00DD55FF">
        <w:rPr>
          <w:sz w:val="28"/>
          <w:szCs w:val="28"/>
        </w:rPr>
        <w:t>1.</w:t>
      </w:r>
      <w:r w:rsidRPr="00DD55FF">
        <w:rPr>
          <w:i/>
          <w:sz w:val="28"/>
          <w:szCs w:val="28"/>
        </w:rPr>
        <w:t xml:space="preserve"> </w:t>
      </w:r>
      <w:r w:rsidR="0071651F" w:rsidRPr="00DD55FF">
        <w:rPr>
          <w:i/>
          <w:sz w:val="28"/>
          <w:szCs w:val="28"/>
        </w:rPr>
        <w:t>The Triumphal Progress of Discrimination Law</w:t>
      </w:r>
    </w:p>
    <w:p w:rsidR="00222C09" w:rsidRPr="00222C09" w:rsidRDefault="006D5127" w:rsidP="00222C09">
      <w:pPr>
        <w:jc w:val="both"/>
        <w:rPr>
          <w:sz w:val="24"/>
          <w:szCs w:val="24"/>
        </w:rPr>
      </w:pPr>
      <w:r w:rsidRPr="00DD55FF">
        <w:rPr>
          <w:sz w:val="24"/>
          <w:szCs w:val="24"/>
        </w:rPr>
        <w:t xml:space="preserve">Discrimination law is a legal success story. </w:t>
      </w:r>
      <w:r w:rsidR="00222C09">
        <w:rPr>
          <w:sz w:val="24"/>
          <w:szCs w:val="24"/>
        </w:rPr>
        <w:t>It is a comparatively new area of law, having only come into existence after the end of the Second World War. However, a</w:t>
      </w:r>
      <w:r w:rsidR="00897448">
        <w:rPr>
          <w:sz w:val="24"/>
          <w:szCs w:val="24"/>
        </w:rPr>
        <w:t xml:space="preserve">s noted by </w:t>
      </w:r>
      <w:proofErr w:type="spellStart"/>
      <w:r w:rsidR="00050CB3">
        <w:rPr>
          <w:sz w:val="24"/>
          <w:szCs w:val="24"/>
        </w:rPr>
        <w:t>Tarunabh</w:t>
      </w:r>
      <w:proofErr w:type="spellEnd"/>
      <w:r w:rsidR="00050CB3">
        <w:rPr>
          <w:sz w:val="24"/>
          <w:szCs w:val="24"/>
        </w:rPr>
        <w:t xml:space="preserve"> </w:t>
      </w:r>
      <w:proofErr w:type="spellStart"/>
      <w:r w:rsidR="00B81E9D" w:rsidRPr="00DD55FF">
        <w:rPr>
          <w:sz w:val="24"/>
          <w:szCs w:val="24"/>
        </w:rPr>
        <w:t>Khaitan</w:t>
      </w:r>
      <w:proofErr w:type="spellEnd"/>
      <w:r w:rsidR="00B81E9D" w:rsidRPr="00DD55FF">
        <w:rPr>
          <w:sz w:val="24"/>
          <w:szCs w:val="24"/>
        </w:rPr>
        <w:t xml:space="preserve"> in the first chapter of his </w:t>
      </w:r>
      <w:r w:rsidR="00050CB3">
        <w:rPr>
          <w:sz w:val="24"/>
          <w:szCs w:val="24"/>
        </w:rPr>
        <w:t xml:space="preserve">recent </w:t>
      </w:r>
      <w:r w:rsidR="00B81E9D" w:rsidRPr="00DD55FF">
        <w:rPr>
          <w:sz w:val="24"/>
          <w:szCs w:val="24"/>
        </w:rPr>
        <w:t xml:space="preserve">book, </w:t>
      </w:r>
      <w:r w:rsidR="00050CB3" w:rsidRPr="00050CB3">
        <w:rPr>
          <w:i/>
          <w:sz w:val="24"/>
          <w:szCs w:val="24"/>
        </w:rPr>
        <w:t>A Theory of Discrimination Law</w:t>
      </w:r>
      <w:r w:rsidR="00050CB3" w:rsidRPr="00050CB3">
        <w:rPr>
          <w:sz w:val="24"/>
          <w:szCs w:val="24"/>
        </w:rPr>
        <w:t xml:space="preserve">, </w:t>
      </w:r>
      <w:r w:rsidR="00222C09">
        <w:rPr>
          <w:sz w:val="24"/>
          <w:szCs w:val="24"/>
        </w:rPr>
        <w:t>its ‘</w:t>
      </w:r>
      <w:r w:rsidR="00222C09" w:rsidRPr="00222C09">
        <w:rPr>
          <w:sz w:val="24"/>
          <w:szCs w:val="24"/>
        </w:rPr>
        <w:t>geographical spread…is matched only by the expansion of its scope of protection’.</w:t>
      </w:r>
      <w:r w:rsidR="00222C09" w:rsidRPr="00222C09">
        <w:rPr>
          <w:sz w:val="24"/>
          <w:szCs w:val="24"/>
          <w:vertAlign w:val="superscript"/>
        </w:rPr>
        <w:footnoteReference w:id="3"/>
      </w:r>
      <w:r w:rsidR="00222C09" w:rsidRPr="00222C09">
        <w:rPr>
          <w:sz w:val="24"/>
          <w:szCs w:val="24"/>
        </w:rPr>
        <w:t xml:space="preserve"> </w:t>
      </w:r>
      <w:r w:rsidR="00222C09">
        <w:rPr>
          <w:sz w:val="24"/>
          <w:szCs w:val="24"/>
        </w:rPr>
        <w:t xml:space="preserve">Furthermore, </w:t>
      </w:r>
      <w:proofErr w:type="spellStart"/>
      <w:r w:rsidR="00222C09">
        <w:rPr>
          <w:sz w:val="24"/>
          <w:szCs w:val="24"/>
        </w:rPr>
        <w:t>Khaitan</w:t>
      </w:r>
      <w:proofErr w:type="spellEnd"/>
      <w:r w:rsidR="00222C09">
        <w:rPr>
          <w:sz w:val="24"/>
          <w:szCs w:val="24"/>
        </w:rPr>
        <w:t xml:space="preserve"> </w:t>
      </w:r>
      <w:r w:rsidR="00015C16">
        <w:rPr>
          <w:sz w:val="24"/>
          <w:szCs w:val="24"/>
        </w:rPr>
        <w:t xml:space="preserve">does not </w:t>
      </w:r>
      <w:r w:rsidR="00222C09">
        <w:rPr>
          <w:sz w:val="24"/>
          <w:szCs w:val="24"/>
        </w:rPr>
        <w:t xml:space="preserve">exaggerate when he </w:t>
      </w:r>
      <w:r w:rsidR="00015C16">
        <w:rPr>
          <w:sz w:val="24"/>
          <w:szCs w:val="24"/>
        </w:rPr>
        <w:t xml:space="preserve">affirms that discrimination law has come to be regarded as a </w:t>
      </w:r>
      <w:r w:rsidR="00222C09" w:rsidRPr="00222C09">
        <w:rPr>
          <w:sz w:val="24"/>
          <w:szCs w:val="24"/>
        </w:rPr>
        <w:t>‘mainstay of liberal democratic governance’ and a ‘marker of a civilised society’.</w:t>
      </w:r>
      <w:r w:rsidR="00222C09" w:rsidRPr="00222C09">
        <w:rPr>
          <w:sz w:val="24"/>
          <w:szCs w:val="24"/>
          <w:vertAlign w:val="superscript"/>
        </w:rPr>
        <w:footnoteReference w:id="4"/>
      </w:r>
      <w:r w:rsidR="00222C09" w:rsidRPr="00222C09">
        <w:rPr>
          <w:sz w:val="24"/>
          <w:szCs w:val="24"/>
        </w:rPr>
        <w:t xml:space="preserve"> </w:t>
      </w:r>
    </w:p>
    <w:p w:rsidR="006009F5" w:rsidRPr="00DD55FF" w:rsidRDefault="002A12A0" w:rsidP="00ED0675">
      <w:pPr>
        <w:ind w:firstLine="720"/>
        <w:jc w:val="both"/>
        <w:rPr>
          <w:sz w:val="24"/>
          <w:szCs w:val="24"/>
        </w:rPr>
      </w:pPr>
      <w:r w:rsidRPr="00DD55FF">
        <w:rPr>
          <w:sz w:val="24"/>
          <w:szCs w:val="24"/>
        </w:rPr>
        <w:t xml:space="preserve">However, </w:t>
      </w:r>
      <w:r w:rsidR="00897448">
        <w:rPr>
          <w:sz w:val="24"/>
          <w:szCs w:val="24"/>
        </w:rPr>
        <w:t>d</w:t>
      </w:r>
      <w:r w:rsidR="006009F5" w:rsidRPr="00DD55FF">
        <w:rPr>
          <w:sz w:val="24"/>
          <w:szCs w:val="24"/>
        </w:rPr>
        <w:t xml:space="preserve">iscrimination law </w:t>
      </w:r>
      <w:r w:rsidR="00D27910" w:rsidRPr="00DD55FF">
        <w:rPr>
          <w:sz w:val="24"/>
          <w:szCs w:val="24"/>
        </w:rPr>
        <w:t xml:space="preserve">is </w:t>
      </w:r>
      <w:r w:rsidR="00897448">
        <w:rPr>
          <w:sz w:val="24"/>
          <w:szCs w:val="24"/>
        </w:rPr>
        <w:t>also controversial</w:t>
      </w:r>
      <w:r w:rsidR="00D27910" w:rsidRPr="00DD55FF">
        <w:rPr>
          <w:sz w:val="24"/>
          <w:szCs w:val="24"/>
        </w:rPr>
        <w:t xml:space="preserve">. As </w:t>
      </w:r>
      <w:proofErr w:type="spellStart"/>
      <w:r w:rsidR="00D27910" w:rsidRPr="00DD55FF">
        <w:rPr>
          <w:sz w:val="24"/>
          <w:szCs w:val="24"/>
        </w:rPr>
        <w:t>Khaitan</w:t>
      </w:r>
      <w:proofErr w:type="spellEnd"/>
      <w:r w:rsidR="00D27910" w:rsidRPr="00DD55FF">
        <w:rPr>
          <w:sz w:val="24"/>
          <w:szCs w:val="24"/>
        </w:rPr>
        <w:t xml:space="preserve"> notes, ‘[t]</w:t>
      </w:r>
      <w:proofErr w:type="spellStart"/>
      <w:r w:rsidR="00D27910" w:rsidRPr="00DD55FF">
        <w:rPr>
          <w:sz w:val="24"/>
          <w:szCs w:val="24"/>
        </w:rPr>
        <w:t>abloid</w:t>
      </w:r>
      <w:proofErr w:type="spellEnd"/>
      <w:r w:rsidR="00D27910" w:rsidRPr="00DD55FF">
        <w:rPr>
          <w:sz w:val="24"/>
          <w:szCs w:val="24"/>
        </w:rPr>
        <w:t xml:space="preserve"> headlines decrying “Political Correctness Gone Mad” or calling lustily for a return to ‘common sense’ are complaining, more often than not, about a matter somehow connected with </w:t>
      </w:r>
      <w:r w:rsidR="00D27910" w:rsidRPr="00DD55FF">
        <w:rPr>
          <w:sz w:val="24"/>
          <w:szCs w:val="24"/>
        </w:rPr>
        <w:lastRenderedPageBreak/>
        <w:t>discrimination law’.</w:t>
      </w:r>
      <w:r w:rsidR="00D27910" w:rsidRPr="00DD55FF">
        <w:rPr>
          <w:rStyle w:val="FootnoteReference"/>
          <w:sz w:val="24"/>
          <w:szCs w:val="24"/>
        </w:rPr>
        <w:footnoteReference w:id="5"/>
      </w:r>
      <w:r w:rsidR="00D27910" w:rsidRPr="00DD55FF">
        <w:rPr>
          <w:sz w:val="24"/>
          <w:szCs w:val="24"/>
        </w:rPr>
        <w:t xml:space="preserve"> </w:t>
      </w:r>
      <w:r w:rsidR="00204A36" w:rsidRPr="00DD55FF">
        <w:rPr>
          <w:sz w:val="24"/>
          <w:szCs w:val="24"/>
        </w:rPr>
        <w:t xml:space="preserve">Furthermore, </w:t>
      </w:r>
      <w:r w:rsidR="00037056" w:rsidRPr="00DD55FF">
        <w:rPr>
          <w:sz w:val="24"/>
          <w:szCs w:val="24"/>
        </w:rPr>
        <w:t>su</w:t>
      </w:r>
      <w:r w:rsidR="00051C1F" w:rsidRPr="00DD55FF">
        <w:rPr>
          <w:sz w:val="24"/>
          <w:szCs w:val="24"/>
        </w:rPr>
        <w:t xml:space="preserve">bstantial differences of opinion exist </w:t>
      </w:r>
      <w:r w:rsidR="00944C08" w:rsidRPr="00DD55FF">
        <w:rPr>
          <w:sz w:val="24"/>
          <w:szCs w:val="24"/>
        </w:rPr>
        <w:t xml:space="preserve">among legal experts </w:t>
      </w:r>
      <w:r w:rsidR="00051C1F" w:rsidRPr="00DD55FF">
        <w:rPr>
          <w:sz w:val="24"/>
          <w:szCs w:val="24"/>
        </w:rPr>
        <w:t>as to the purpose and function of discrimination law taken as a whole, and the values that should guide its interpretation and application</w:t>
      </w:r>
      <w:r w:rsidR="00894F18" w:rsidRPr="00DD55FF">
        <w:rPr>
          <w:sz w:val="24"/>
          <w:szCs w:val="24"/>
        </w:rPr>
        <w:t>.</w:t>
      </w:r>
      <w:r w:rsidR="002B4BA5" w:rsidRPr="00DD55FF">
        <w:rPr>
          <w:rStyle w:val="FootnoteReference"/>
          <w:sz w:val="24"/>
          <w:szCs w:val="24"/>
        </w:rPr>
        <w:footnoteReference w:id="6"/>
      </w:r>
      <w:r w:rsidR="00113C28" w:rsidRPr="00DD55FF">
        <w:rPr>
          <w:sz w:val="24"/>
          <w:szCs w:val="24"/>
        </w:rPr>
        <w:t xml:space="preserve"> </w:t>
      </w:r>
      <w:r w:rsidR="00D63579" w:rsidRPr="00DD55FF">
        <w:rPr>
          <w:sz w:val="24"/>
          <w:szCs w:val="24"/>
        </w:rPr>
        <w:t xml:space="preserve">Key </w:t>
      </w:r>
      <w:r w:rsidR="00051C1F" w:rsidRPr="00DD55FF">
        <w:rPr>
          <w:sz w:val="24"/>
          <w:szCs w:val="24"/>
        </w:rPr>
        <w:t xml:space="preserve">areas of discrimination law are often characterised by </w:t>
      </w:r>
      <w:r w:rsidR="00944C08" w:rsidRPr="00DD55FF">
        <w:rPr>
          <w:sz w:val="24"/>
          <w:szCs w:val="24"/>
        </w:rPr>
        <w:t xml:space="preserve">a high degree of </w:t>
      </w:r>
      <w:r w:rsidR="00051C1F" w:rsidRPr="00DD55FF">
        <w:rPr>
          <w:sz w:val="24"/>
          <w:szCs w:val="24"/>
        </w:rPr>
        <w:t xml:space="preserve">normative uncertainty, with courts left to </w:t>
      </w:r>
      <w:r w:rsidR="00BC08DF" w:rsidRPr="00DD55FF">
        <w:rPr>
          <w:sz w:val="24"/>
          <w:szCs w:val="24"/>
        </w:rPr>
        <w:t xml:space="preserve">decide highly complex issues of law, policy and morality on the basis of highly </w:t>
      </w:r>
      <w:r w:rsidR="00051C1F" w:rsidRPr="00DD55FF">
        <w:rPr>
          <w:sz w:val="24"/>
          <w:szCs w:val="24"/>
        </w:rPr>
        <w:t>indeterminate legal standards</w:t>
      </w:r>
      <w:r w:rsidR="00BC08DF" w:rsidRPr="00DD55FF">
        <w:rPr>
          <w:sz w:val="24"/>
          <w:szCs w:val="24"/>
        </w:rPr>
        <w:t>.</w:t>
      </w:r>
      <w:r w:rsidR="00636678" w:rsidRPr="00DD55FF">
        <w:rPr>
          <w:rStyle w:val="FootnoteReference"/>
          <w:sz w:val="24"/>
          <w:szCs w:val="24"/>
        </w:rPr>
        <w:footnoteReference w:id="7"/>
      </w:r>
      <w:r w:rsidR="00037056" w:rsidRPr="00DD55FF">
        <w:rPr>
          <w:sz w:val="24"/>
          <w:szCs w:val="24"/>
        </w:rPr>
        <w:t xml:space="preserve"> </w:t>
      </w:r>
    </w:p>
    <w:p w:rsidR="00636678" w:rsidRPr="00DD55FF" w:rsidRDefault="009E31CD" w:rsidP="00ED0675">
      <w:pPr>
        <w:ind w:firstLine="720"/>
        <w:jc w:val="both"/>
        <w:rPr>
          <w:sz w:val="24"/>
          <w:szCs w:val="24"/>
        </w:rPr>
      </w:pPr>
      <w:r w:rsidRPr="00DD55FF">
        <w:rPr>
          <w:sz w:val="24"/>
          <w:szCs w:val="24"/>
        </w:rPr>
        <w:t xml:space="preserve">Given all this, one might assume that discrimination law would generate a high volume of theoretical </w:t>
      </w:r>
      <w:r w:rsidR="00D04CBD" w:rsidRPr="00DD55FF">
        <w:rPr>
          <w:sz w:val="24"/>
          <w:szCs w:val="24"/>
        </w:rPr>
        <w:t>writing</w:t>
      </w:r>
      <w:r w:rsidR="00F0050C" w:rsidRPr="00DD55FF">
        <w:rPr>
          <w:sz w:val="24"/>
          <w:szCs w:val="24"/>
        </w:rPr>
        <w:t>: it should be</w:t>
      </w:r>
      <w:r w:rsidRPr="00DD55FF">
        <w:rPr>
          <w:sz w:val="24"/>
          <w:szCs w:val="24"/>
        </w:rPr>
        <w:t xml:space="preserve"> a happy hunting ground for commentators eager to influence the development of such an important area of law. </w:t>
      </w:r>
      <w:r w:rsidR="00812C4B" w:rsidRPr="00DD55FF">
        <w:rPr>
          <w:sz w:val="24"/>
          <w:szCs w:val="24"/>
        </w:rPr>
        <w:t>S</w:t>
      </w:r>
      <w:r w:rsidRPr="00DD55FF">
        <w:rPr>
          <w:sz w:val="24"/>
          <w:szCs w:val="24"/>
        </w:rPr>
        <w:t>pecific topics such as positive action h</w:t>
      </w:r>
      <w:r w:rsidR="00812C4B" w:rsidRPr="00DD55FF">
        <w:rPr>
          <w:sz w:val="24"/>
          <w:szCs w:val="24"/>
        </w:rPr>
        <w:t xml:space="preserve">ave been extensively discussed. However, </w:t>
      </w:r>
      <w:r w:rsidR="00647F13" w:rsidRPr="00DD55FF">
        <w:rPr>
          <w:sz w:val="24"/>
          <w:szCs w:val="24"/>
        </w:rPr>
        <w:t xml:space="preserve">in general, </w:t>
      </w:r>
      <w:r w:rsidRPr="00DD55FF">
        <w:rPr>
          <w:sz w:val="24"/>
          <w:szCs w:val="24"/>
        </w:rPr>
        <w:t>remarkably lit</w:t>
      </w:r>
      <w:r w:rsidR="00F515EE" w:rsidRPr="00DD55FF">
        <w:rPr>
          <w:sz w:val="24"/>
          <w:szCs w:val="24"/>
        </w:rPr>
        <w:t xml:space="preserve">tle commentary has been produced which focuses on more ‘macro’ issues relating to the overall purpose, function and justification of discrimination law. </w:t>
      </w:r>
      <w:r w:rsidR="00FE724B" w:rsidRPr="00DD55FF">
        <w:rPr>
          <w:sz w:val="24"/>
          <w:szCs w:val="24"/>
        </w:rPr>
        <w:t xml:space="preserve">The </w:t>
      </w:r>
      <w:r w:rsidR="00647F13" w:rsidRPr="00DD55FF">
        <w:rPr>
          <w:sz w:val="24"/>
          <w:szCs w:val="24"/>
        </w:rPr>
        <w:t>t</w:t>
      </w:r>
      <w:r w:rsidR="00F32436" w:rsidRPr="00DD55FF">
        <w:rPr>
          <w:sz w:val="24"/>
          <w:szCs w:val="24"/>
        </w:rPr>
        <w:t xml:space="preserve">heoretical writing </w:t>
      </w:r>
      <w:r w:rsidR="00647F13" w:rsidRPr="00DD55FF">
        <w:rPr>
          <w:sz w:val="24"/>
          <w:szCs w:val="24"/>
        </w:rPr>
        <w:t xml:space="preserve">that does exist </w:t>
      </w:r>
      <w:r w:rsidR="00F32436" w:rsidRPr="00DD55FF">
        <w:rPr>
          <w:sz w:val="24"/>
          <w:szCs w:val="24"/>
        </w:rPr>
        <w:t xml:space="preserve">on this subject </w:t>
      </w:r>
      <w:r w:rsidR="00CF0D0D" w:rsidRPr="00DD55FF">
        <w:rPr>
          <w:sz w:val="24"/>
          <w:szCs w:val="24"/>
        </w:rPr>
        <w:t>is often rich and insightful.</w:t>
      </w:r>
      <w:r w:rsidR="00810BBA" w:rsidRPr="00DD55FF">
        <w:rPr>
          <w:rStyle w:val="FootnoteReference"/>
          <w:sz w:val="24"/>
          <w:szCs w:val="24"/>
        </w:rPr>
        <w:footnoteReference w:id="8"/>
      </w:r>
      <w:r w:rsidR="00CF0D0D" w:rsidRPr="00DD55FF">
        <w:rPr>
          <w:sz w:val="24"/>
          <w:szCs w:val="24"/>
        </w:rPr>
        <w:t xml:space="preserve"> </w:t>
      </w:r>
      <w:r w:rsidR="00A6065A" w:rsidRPr="00DD55FF">
        <w:rPr>
          <w:sz w:val="24"/>
          <w:szCs w:val="24"/>
        </w:rPr>
        <w:t xml:space="preserve">But it also tends to be fractured, taking the form of scattered conversations rather than a shared common dialogue. </w:t>
      </w:r>
      <w:r w:rsidR="006B20E1" w:rsidRPr="00DD55FF">
        <w:rPr>
          <w:sz w:val="24"/>
          <w:szCs w:val="24"/>
        </w:rPr>
        <w:t>Furthermore, much of this commentary remains partial, or underdeveloped – and in particular struggles to keep pace with the fluid, dynamic and ever-expanding role played by discrimination law in contemporary society.</w:t>
      </w:r>
      <w:r w:rsidR="008E2DE4" w:rsidRPr="00DD55FF">
        <w:rPr>
          <w:rStyle w:val="FootnoteReference"/>
          <w:sz w:val="24"/>
          <w:szCs w:val="24"/>
        </w:rPr>
        <w:footnoteReference w:id="9"/>
      </w:r>
      <w:r w:rsidR="006B20E1" w:rsidRPr="00DD55FF">
        <w:rPr>
          <w:sz w:val="24"/>
          <w:szCs w:val="24"/>
        </w:rPr>
        <w:t xml:space="preserve"> </w:t>
      </w:r>
    </w:p>
    <w:p w:rsidR="00ED0675" w:rsidRDefault="002F6B4A" w:rsidP="00050CB3">
      <w:pPr>
        <w:ind w:firstLine="720"/>
        <w:jc w:val="both"/>
        <w:rPr>
          <w:i/>
          <w:sz w:val="28"/>
          <w:szCs w:val="28"/>
        </w:rPr>
      </w:pPr>
      <w:proofErr w:type="spellStart"/>
      <w:r w:rsidRPr="00DD55FF">
        <w:rPr>
          <w:sz w:val="24"/>
          <w:szCs w:val="24"/>
        </w:rPr>
        <w:t>Khaitan’s</w:t>
      </w:r>
      <w:proofErr w:type="spellEnd"/>
      <w:r w:rsidRPr="00DD55FF">
        <w:rPr>
          <w:sz w:val="24"/>
          <w:szCs w:val="24"/>
        </w:rPr>
        <w:t xml:space="preserve"> book </w:t>
      </w:r>
      <w:r w:rsidR="00E76E00" w:rsidRPr="00DD55FF">
        <w:rPr>
          <w:sz w:val="24"/>
          <w:szCs w:val="24"/>
        </w:rPr>
        <w:t>sets out to fill this gap. I</w:t>
      </w:r>
      <w:r w:rsidR="00FD776C" w:rsidRPr="00DD55FF">
        <w:rPr>
          <w:sz w:val="24"/>
          <w:szCs w:val="24"/>
        </w:rPr>
        <w:t>t aims to provide a comprehensive theoretical account of the content and justification of discrimination law</w:t>
      </w:r>
      <w:r w:rsidR="00046701" w:rsidRPr="00DD55FF">
        <w:rPr>
          <w:sz w:val="24"/>
          <w:szCs w:val="24"/>
        </w:rPr>
        <w:t>,</w:t>
      </w:r>
      <w:r w:rsidR="00FD776C" w:rsidRPr="00DD55FF">
        <w:rPr>
          <w:sz w:val="24"/>
          <w:szCs w:val="24"/>
        </w:rPr>
        <w:t xml:space="preserve"> wh</w:t>
      </w:r>
      <w:r w:rsidR="00E76E00" w:rsidRPr="00DD55FF">
        <w:rPr>
          <w:sz w:val="24"/>
          <w:szCs w:val="24"/>
        </w:rPr>
        <w:t>ich faithfully reflects how it h</w:t>
      </w:r>
      <w:r w:rsidR="00FD776C" w:rsidRPr="00DD55FF">
        <w:rPr>
          <w:sz w:val="24"/>
          <w:szCs w:val="24"/>
        </w:rPr>
        <w:t>as evolved</w:t>
      </w:r>
      <w:r w:rsidR="00E76E00" w:rsidRPr="00DD55FF">
        <w:rPr>
          <w:sz w:val="24"/>
          <w:szCs w:val="24"/>
        </w:rPr>
        <w:t xml:space="preserve"> over the last few decades. It is thus an </w:t>
      </w:r>
      <w:r w:rsidR="00F44725" w:rsidRPr="00DD55FF">
        <w:rPr>
          <w:sz w:val="24"/>
          <w:szCs w:val="24"/>
        </w:rPr>
        <w:t xml:space="preserve">admirably </w:t>
      </w:r>
      <w:r w:rsidR="00E76E00" w:rsidRPr="00DD55FF">
        <w:rPr>
          <w:sz w:val="24"/>
          <w:szCs w:val="24"/>
        </w:rPr>
        <w:t xml:space="preserve">ambitious </w:t>
      </w:r>
      <w:r w:rsidR="00CE063D" w:rsidRPr="00DD55FF">
        <w:rPr>
          <w:sz w:val="24"/>
          <w:szCs w:val="24"/>
        </w:rPr>
        <w:t>exercise in what the author describes as ‘particular jurisprudence’ (i.e. theorising about a specific area of law)</w:t>
      </w:r>
      <w:r w:rsidR="00F44725" w:rsidRPr="00DD55FF">
        <w:rPr>
          <w:sz w:val="24"/>
          <w:szCs w:val="24"/>
        </w:rPr>
        <w:t>,</w:t>
      </w:r>
      <w:r w:rsidR="00CE063D" w:rsidRPr="00DD55FF">
        <w:rPr>
          <w:rStyle w:val="FootnoteReference"/>
          <w:sz w:val="24"/>
          <w:szCs w:val="24"/>
        </w:rPr>
        <w:footnoteReference w:id="10"/>
      </w:r>
      <w:r w:rsidR="00F44725" w:rsidRPr="00DD55FF">
        <w:rPr>
          <w:sz w:val="24"/>
          <w:szCs w:val="24"/>
        </w:rPr>
        <w:t xml:space="preserve"> which is informed throughout by the author’s keen intelligence and in-depth knowledge of comparative discrimination </w:t>
      </w:r>
      <w:r w:rsidR="00097AB2" w:rsidRPr="00DD55FF">
        <w:rPr>
          <w:sz w:val="24"/>
          <w:szCs w:val="24"/>
        </w:rPr>
        <w:t xml:space="preserve">law. </w:t>
      </w:r>
      <w:r w:rsidR="00897448">
        <w:rPr>
          <w:sz w:val="24"/>
          <w:szCs w:val="24"/>
        </w:rPr>
        <w:t>As such, t</w:t>
      </w:r>
      <w:r w:rsidR="005A430F" w:rsidRPr="00DD55FF">
        <w:rPr>
          <w:sz w:val="24"/>
          <w:szCs w:val="24"/>
        </w:rPr>
        <w:t>h</w:t>
      </w:r>
      <w:r w:rsidR="0048635E" w:rsidRPr="00DD55FF">
        <w:rPr>
          <w:sz w:val="24"/>
          <w:szCs w:val="24"/>
        </w:rPr>
        <w:t xml:space="preserve">is book </w:t>
      </w:r>
      <w:r w:rsidR="00A85CB5" w:rsidRPr="00DD55FF">
        <w:rPr>
          <w:sz w:val="24"/>
          <w:szCs w:val="24"/>
        </w:rPr>
        <w:t>represents a major contribution to the somewhat scattered conceptual literature that exists in this field</w:t>
      </w:r>
      <w:r w:rsidR="00CE063D" w:rsidRPr="00DD55FF">
        <w:rPr>
          <w:sz w:val="24"/>
          <w:szCs w:val="24"/>
        </w:rPr>
        <w:t>.</w:t>
      </w:r>
    </w:p>
    <w:p w:rsidR="00ED0675" w:rsidRPr="00ED0675" w:rsidRDefault="00ED0675" w:rsidP="00ED0675">
      <w:pPr>
        <w:ind w:firstLine="720"/>
        <w:jc w:val="center"/>
        <w:rPr>
          <w:i/>
          <w:sz w:val="28"/>
          <w:szCs w:val="28"/>
        </w:rPr>
      </w:pPr>
    </w:p>
    <w:p w:rsidR="00ED0675" w:rsidRDefault="008B04F3" w:rsidP="00ED0675">
      <w:pPr>
        <w:jc w:val="center"/>
        <w:rPr>
          <w:i/>
          <w:sz w:val="28"/>
          <w:szCs w:val="28"/>
        </w:rPr>
      </w:pPr>
      <w:r w:rsidRPr="00ED0675">
        <w:rPr>
          <w:sz w:val="28"/>
          <w:szCs w:val="28"/>
        </w:rPr>
        <w:t>2.</w:t>
      </w:r>
      <w:r w:rsidRPr="00ED0675">
        <w:rPr>
          <w:i/>
          <w:sz w:val="28"/>
          <w:szCs w:val="28"/>
        </w:rPr>
        <w:t xml:space="preserve"> </w:t>
      </w:r>
      <w:r w:rsidR="00ED0675">
        <w:rPr>
          <w:i/>
          <w:sz w:val="28"/>
          <w:szCs w:val="28"/>
        </w:rPr>
        <w:t>Conceptual Dissonance:</w:t>
      </w:r>
    </w:p>
    <w:p w:rsidR="005A4E50" w:rsidRPr="00ED0675" w:rsidRDefault="00B57C91" w:rsidP="00ED0675">
      <w:pPr>
        <w:jc w:val="center"/>
        <w:rPr>
          <w:i/>
          <w:sz w:val="28"/>
          <w:szCs w:val="28"/>
        </w:rPr>
      </w:pPr>
      <w:r w:rsidRPr="00ED0675">
        <w:rPr>
          <w:i/>
          <w:sz w:val="28"/>
          <w:szCs w:val="28"/>
        </w:rPr>
        <w:t xml:space="preserve">The </w:t>
      </w:r>
      <w:r w:rsidR="000E009F" w:rsidRPr="00ED0675">
        <w:rPr>
          <w:i/>
          <w:sz w:val="28"/>
          <w:szCs w:val="28"/>
        </w:rPr>
        <w:t xml:space="preserve">Achilles Heel of Contemporary </w:t>
      </w:r>
      <w:r w:rsidR="00443015" w:rsidRPr="00ED0675">
        <w:rPr>
          <w:i/>
          <w:sz w:val="28"/>
          <w:szCs w:val="28"/>
        </w:rPr>
        <w:t>Discrimination Law</w:t>
      </w:r>
    </w:p>
    <w:p w:rsidR="0003218E" w:rsidRPr="00DD55FF" w:rsidRDefault="00C72BAC" w:rsidP="00DD55FF">
      <w:pPr>
        <w:jc w:val="both"/>
        <w:rPr>
          <w:sz w:val="24"/>
          <w:szCs w:val="24"/>
        </w:rPr>
      </w:pPr>
      <w:r w:rsidRPr="00DD55FF">
        <w:rPr>
          <w:sz w:val="24"/>
          <w:szCs w:val="24"/>
        </w:rPr>
        <w:t xml:space="preserve">Khaitan begins his </w:t>
      </w:r>
      <w:r w:rsidR="00113C28" w:rsidRPr="00DD55FF">
        <w:rPr>
          <w:sz w:val="24"/>
          <w:szCs w:val="24"/>
        </w:rPr>
        <w:t xml:space="preserve">theoretical analysis </w:t>
      </w:r>
      <w:r w:rsidR="00A757A4" w:rsidRPr="00DD55FF">
        <w:rPr>
          <w:sz w:val="24"/>
          <w:szCs w:val="24"/>
        </w:rPr>
        <w:t xml:space="preserve">by drawing attention to what he views as the central </w:t>
      </w:r>
      <w:r w:rsidR="00332548" w:rsidRPr="00DD55FF">
        <w:rPr>
          <w:sz w:val="24"/>
          <w:szCs w:val="24"/>
        </w:rPr>
        <w:t>‘</w:t>
      </w:r>
      <w:r w:rsidR="00A757A4" w:rsidRPr="00DD55FF">
        <w:rPr>
          <w:sz w:val="24"/>
          <w:szCs w:val="24"/>
        </w:rPr>
        <w:t>problem</w:t>
      </w:r>
      <w:r w:rsidR="00332548" w:rsidRPr="00DD55FF">
        <w:rPr>
          <w:sz w:val="24"/>
          <w:szCs w:val="24"/>
        </w:rPr>
        <w:t>’</w:t>
      </w:r>
      <w:r w:rsidR="00A757A4" w:rsidRPr="00DD55FF">
        <w:rPr>
          <w:sz w:val="24"/>
          <w:szCs w:val="24"/>
        </w:rPr>
        <w:t xml:space="preserve"> of contemporary discrimination law – namely the </w:t>
      </w:r>
      <w:r w:rsidRPr="00DD55FF">
        <w:rPr>
          <w:sz w:val="24"/>
          <w:szCs w:val="24"/>
        </w:rPr>
        <w:t xml:space="preserve">striking contrast between what </w:t>
      </w:r>
      <w:r w:rsidRPr="00DD55FF">
        <w:rPr>
          <w:sz w:val="24"/>
          <w:szCs w:val="24"/>
        </w:rPr>
        <w:lastRenderedPageBreak/>
        <w:t xml:space="preserve">he describes as the ‘lay understanding’ of discrimination and the </w:t>
      </w:r>
      <w:r w:rsidR="00716452" w:rsidRPr="00DD55FF">
        <w:rPr>
          <w:sz w:val="24"/>
          <w:szCs w:val="24"/>
        </w:rPr>
        <w:t>‘</w:t>
      </w:r>
      <w:r w:rsidRPr="00DD55FF">
        <w:rPr>
          <w:sz w:val="24"/>
          <w:szCs w:val="24"/>
        </w:rPr>
        <w:t xml:space="preserve">legal </w:t>
      </w:r>
      <w:r w:rsidR="00716452" w:rsidRPr="00DD55FF">
        <w:rPr>
          <w:sz w:val="24"/>
          <w:szCs w:val="24"/>
        </w:rPr>
        <w:t>model’</w:t>
      </w:r>
      <w:r w:rsidRPr="00DD55FF">
        <w:rPr>
          <w:sz w:val="24"/>
          <w:szCs w:val="24"/>
        </w:rPr>
        <w:t xml:space="preserve"> of </w:t>
      </w:r>
      <w:r w:rsidR="00716452" w:rsidRPr="00DD55FF">
        <w:rPr>
          <w:sz w:val="24"/>
          <w:szCs w:val="24"/>
        </w:rPr>
        <w:t>what qualifies as discriminatory conduct</w:t>
      </w:r>
      <w:r w:rsidRPr="00DD55FF">
        <w:rPr>
          <w:sz w:val="24"/>
          <w:szCs w:val="24"/>
        </w:rPr>
        <w:t>.</w:t>
      </w:r>
      <w:r w:rsidR="00F272E6" w:rsidRPr="00DD55FF">
        <w:rPr>
          <w:rStyle w:val="FootnoteReference"/>
          <w:sz w:val="24"/>
          <w:szCs w:val="24"/>
        </w:rPr>
        <w:footnoteReference w:id="11"/>
      </w:r>
      <w:r w:rsidRPr="00DD55FF">
        <w:rPr>
          <w:sz w:val="24"/>
          <w:szCs w:val="24"/>
        </w:rPr>
        <w:t xml:space="preserve"> </w:t>
      </w:r>
      <w:r w:rsidR="00AD5F70" w:rsidRPr="00DD55FF">
        <w:rPr>
          <w:sz w:val="24"/>
          <w:szCs w:val="24"/>
        </w:rPr>
        <w:t>He suggests that d</w:t>
      </w:r>
      <w:r w:rsidRPr="00DD55FF">
        <w:rPr>
          <w:sz w:val="24"/>
          <w:szCs w:val="24"/>
        </w:rPr>
        <w:t>iscrimination is conventionally understood to be ‘intentional, direct, and com</w:t>
      </w:r>
      <w:r w:rsidR="00D4404B">
        <w:rPr>
          <w:sz w:val="24"/>
          <w:szCs w:val="24"/>
        </w:rPr>
        <w:t>parative’,</w:t>
      </w:r>
      <w:r w:rsidR="00897448">
        <w:rPr>
          <w:sz w:val="24"/>
          <w:szCs w:val="24"/>
        </w:rPr>
        <w:t xml:space="preserve"> </w:t>
      </w:r>
      <w:r w:rsidR="00D4404B">
        <w:rPr>
          <w:sz w:val="24"/>
          <w:szCs w:val="24"/>
        </w:rPr>
        <w:t xml:space="preserve">i.e. </w:t>
      </w:r>
      <w:r w:rsidR="00AD5F70" w:rsidRPr="00DD55FF">
        <w:rPr>
          <w:sz w:val="24"/>
          <w:szCs w:val="24"/>
        </w:rPr>
        <w:t xml:space="preserve">behaviour which subjects individuals to less favourable treatment which is directly </w:t>
      </w:r>
      <w:r w:rsidRPr="00DD55FF">
        <w:rPr>
          <w:sz w:val="24"/>
          <w:szCs w:val="24"/>
        </w:rPr>
        <w:t xml:space="preserve">motivated by racism, sexism and other </w:t>
      </w:r>
      <w:r w:rsidR="00830FFB" w:rsidRPr="00DD55FF">
        <w:rPr>
          <w:sz w:val="24"/>
          <w:szCs w:val="24"/>
        </w:rPr>
        <w:t xml:space="preserve">unwarranted </w:t>
      </w:r>
      <w:r w:rsidR="00ED231A" w:rsidRPr="00DD55FF">
        <w:rPr>
          <w:sz w:val="24"/>
          <w:szCs w:val="24"/>
        </w:rPr>
        <w:t>and</w:t>
      </w:r>
      <w:r w:rsidR="00DB04BF" w:rsidRPr="00DD55FF">
        <w:rPr>
          <w:sz w:val="24"/>
          <w:szCs w:val="24"/>
        </w:rPr>
        <w:t>/or</w:t>
      </w:r>
      <w:r w:rsidR="00ED231A" w:rsidRPr="00DD55FF">
        <w:rPr>
          <w:sz w:val="24"/>
          <w:szCs w:val="24"/>
        </w:rPr>
        <w:t xml:space="preserve"> irrational </w:t>
      </w:r>
      <w:r w:rsidR="00830FFB" w:rsidRPr="00DD55FF">
        <w:rPr>
          <w:sz w:val="24"/>
          <w:szCs w:val="24"/>
        </w:rPr>
        <w:t xml:space="preserve">forms </w:t>
      </w:r>
      <w:r w:rsidRPr="00DD55FF">
        <w:rPr>
          <w:sz w:val="24"/>
          <w:szCs w:val="24"/>
        </w:rPr>
        <w:t>of prejudice</w:t>
      </w:r>
      <w:r w:rsidR="00AD5F70" w:rsidRPr="00DD55FF">
        <w:rPr>
          <w:sz w:val="24"/>
          <w:szCs w:val="24"/>
        </w:rPr>
        <w:t>.</w:t>
      </w:r>
      <w:r w:rsidR="00D4404B" w:rsidRPr="00D4404B">
        <w:rPr>
          <w:sz w:val="24"/>
          <w:szCs w:val="24"/>
          <w:vertAlign w:val="superscript"/>
        </w:rPr>
        <w:footnoteReference w:id="12"/>
      </w:r>
      <w:r w:rsidRPr="00DD55FF">
        <w:rPr>
          <w:sz w:val="24"/>
          <w:szCs w:val="24"/>
        </w:rPr>
        <w:t xml:space="preserve"> </w:t>
      </w:r>
      <w:r w:rsidR="00195DE8" w:rsidRPr="00DD55FF">
        <w:rPr>
          <w:sz w:val="24"/>
          <w:szCs w:val="24"/>
        </w:rPr>
        <w:t xml:space="preserve">In contrast, discrimination law </w:t>
      </w:r>
      <w:r w:rsidRPr="00DD55FF">
        <w:rPr>
          <w:sz w:val="24"/>
          <w:szCs w:val="24"/>
        </w:rPr>
        <w:t xml:space="preserve">prohibits types of behaviour which may be ‘unintended, indirect or non-comparative’ - as for example when the law prohibits </w:t>
      </w:r>
      <w:r w:rsidR="007D09B5" w:rsidRPr="00DD55FF">
        <w:rPr>
          <w:sz w:val="24"/>
          <w:szCs w:val="24"/>
        </w:rPr>
        <w:t xml:space="preserve">forms of </w:t>
      </w:r>
      <w:r w:rsidR="009F5D51" w:rsidRPr="00DD55FF">
        <w:rPr>
          <w:sz w:val="24"/>
          <w:szCs w:val="24"/>
        </w:rPr>
        <w:t xml:space="preserve">direct </w:t>
      </w:r>
      <w:r w:rsidR="007D09B5" w:rsidRPr="00DD55FF">
        <w:rPr>
          <w:sz w:val="24"/>
          <w:szCs w:val="24"/>
        </w:rPr>
        <w:t xml:space="preserve">or indirect </w:t>
      </w:r>
      <w:r w:rsidR="009F5D51" w:rsidRPr="00DD55FF">
        <w:rPr>
          <w:sz w:val="24"/>
          <w:szCs w:val="24"/>
        </w:rPr>
        <w:t>discrimination which is not m</w:t>
      </w:r>
      <w:r w:rsidR="007D09B5" w:rsidRPr="00DD55FF">
        <w:rPr>
          <w:sz w:val="24"/>
          <w:szCs w:val="24"/>
        </w:rPr>
        <w:t xml:space="preserve">otivated by prejudicial intent, </w:t>
      </w:r>
      <w:r w:rsidR="00275398" w:rsidRPr="00DD55FF">
        <w:rPr>
          <w:sz w:val="24"/>
          <w:szCs w:val="24"/>
        </w:rPr>
        <w:t xml:space="preserve">or imposes legal liability on employers who have </w:t>
      </w:r>
      <w:r w:rsidR="00897448">
        <w:rPr>
          <w:sz w:val="24"/>
          <w:szCs w:val="24"/>
        </w:rPr>
        <w:t xml:space="preserve">neglected </w:t>
      </w:r>
      <w:r w:rsidR="00275398" w:rsidRPr="00DD55FF">
        <w:rPr>
          <w:sz w:val="24"/>
          <w:szCs w:val="24"/>
        </w:rPr>
        <w:t>to make reasonable accommodation for the specific needs of particular persons with disabilities</w:t>
      </w:r>
      <w:r w:rsidR="00897448">
        <w:rPr>
          <w:sz w:val="24"/>
          <w:szCs w:val="24"/>
        </w:rPr>
        <w:t>.</w:t>
      </w:r>
      <w:r w:rsidRPr="00DD55FF">
        <w:rPr>
          <w:sz w:val="24"/>
          <w:szCs w:val="24"/>
          <w:vertAlign w:val="superscript"/>
        </w:rPr>
        <w:footnoteReference w:id="13"/>
      </w:r>
      <w:r w:rsidRPr="00DD55FF">
        <w:rPr>
          <w:sz w:val="24"/>
          <w:szCs w:val="24"/>
        </w:rPr>
        <w:t xml:space="preserve"> </w:t>
      </w:r>
    </w:p>
    <w:p w:rsidR="005D7D1B" w:rsidRPr="00DD55FF" w:rsidRDefault="00C72BAC" w:rsidP="00D4404B">
      <w:pPr>
        <w:ind w:firstLine="720"/>
        <w:jc w:val="both"/>
        <w:rPr>
          <w:sz w:val="24"/>
          <w:szCs w:val="24"/>
        </w:rPr>
      </w:pPr>
      <w:r w:rsidRPr="00DD55FF">
        <w:rPr>
          <w:sz w:val="24"/>
          <w:szCs w:val="24"/>
        </w:rPr>
        <w:t xml:space="preserve">In </w:t>
      </w:r>
      <w:r w:rsidR="00830FFB" w:rsidRPr="00DD55FF">
        <w:rPr>
          <w:sz w:val="24"/>
          <w:szCs w:val="24"/>
        </w:rPr>
        <w:t>ot</w:t>
      </w:r>
      <w:r w:rsidR="00CE063D" w:rsidRPr="00DD55FF">
        <w:rPr>
          <w:sz w:val="24"/>
          <w:szCs w:val="24"/>
        </w:rPr>
        <w:t>her</w:t>
      </w:r>
      <w:r w:rsidR="00830FFB" w:rsidRPr="00DD55FF">
        <w:rPr>
          <w:sz w:val="24"/>
          <w:szCs w:val="24"/>
        </w:rPr>
        <w:t xml:space="preserve"> words, </w:t>
      </w:r>
      <w:r w:rsidRPr="00DD55FF">
        <w:rPr>
          <w:sz w:val="24"/>
          <w:szCs w:val="24"/>
        </w:rPr>
        <w:t xml:space="preserve">as Khaitan puts it, ‘the law treats a much wider range </w:t>
      </w:r>
      <w:r w:rsidR="0037288A" w:rsidRPr="00DD55FF">
        <w:rPr>
          <w:sz w:val="24"/>
          <w:szCs w:val="24"/>
        </w:rPr>
        <w:t>of conduct as discriminatory the</w:t>
      </w:r>
      <w:r w:rsidRPr="00DD55FF">
        <w:rPr>
          <w:sz w:val="24"/>
          <w:szCs w:val="24"/>
        </w:rPr>
        <w:t>n does ordinary language’.</w:t>
      </w:r>
      <w:r w:rsidR="00136218" w:rsidRPr="00DD55FF">
        <w:rPr>
          <w:rStyle w:val="FootnoteReference"/>
          <w:sz w:val="24"/>
          <w:szCs w:val="24"/>
        </w:rPr>
        <w:footnoteReference w:id="14"/>
      </w:r>
      <w:r w:rsidR="00136218" w:rsidRPr="00DD55FF">
        <w:rPr>
          <w:sz w:val="24"/>
          <w:szCs w:val="24"/>
        </w:rPr>
        <w:t xml:space="preserve"> Furthermore, at times the inverse is also the case: there are situations where the law does not prohibit behaviour which lay understanding might view as discriminatory, or at least as highly questionable.</w:t>
      </w:r>
      <w:r w:rsidRPr="00DD55FF">
        <w:rPr>
          <w:sz w:val="24"/>
          <w:szCs w:val="24"/>
          <w:vertAlign w:val="superscript"/>
        </w:rPr>
        <w:footnoteReference w:id="15"/>
      </w:r>
      <w:r w:rsidR="00136218" w:rsidRPr="00DD55FF">
        <w:rPr>
          <w:sz w:val="24"/>
          <w:szCs w:val="24"/>
        </w:rPr>
        <w:t xml:space="preserve"> </w:t>
      </w:r>
      <w:r w:rsidR="00787005" w:rsidRPr="00DD55FF">
        <w:rPr>
          <w:sz w:val="24"/>
          <w:szCs w:val="24"/>
        </w:rPr>
        <w:t xml:space="preserve">In </w:t>
      </w:r>
      <w:r w:rsidR="00FA0816" w:rsidRPr="00DD55FF">
        <w:rPr>
          <w:sz w:val="24"/>
          <w:szCs w:val="24"/>
        </w:rPr>
        <w:t xml:space="preserve">general, to quote </w:t>
      </w:r>
      <w:r w:rsidR="001E279E" w:rsidRPr="00DD55FF">
        <w:rPr>
          <w:sz w:val="24"/>
          <w:szCs w:val="24"/>
        </w:rPr>
        <w:t>Khaitan</w:t>
      </w:r>
      <w:r w:rsidR="00787005" w:rsidRPr="00DD55FF">
        <w:rPr>
          <w:sz w:val="24"/>
          <w:szCs w:val="24"/>
        </w:rPr>
        <w:t xml:space="preserve"> </w:t>
      </w:r>
      <w:r w:rsidR="00FA0816" w:rsidRPr="00DD55FF">
        <w:rPr>
          <w:sz w:val="24"/>
          <w:szCs w:val="24"/>
        </w:rPr>
        <w:t>again</w:t>
      </w:r>
      <w:r w:rsidR="00787005" w:rsidRPr="00DD55FF">
        <w:rPr>
          <w:sz w:val="24"/>
          <w:szCs w:val="24"/>
        </w:rPr>
        <w:t xml:space="preserve">, </w:t>
      </w:r>
      <w:r w:rsidR="001E279E" w:rsidRPr="00DD55FF">
        <w:rPr>
          <w:sz w:val="24"/>
          <w:szCs w:val="24"/>
        </w:rPr>
        <w:t>‘the scope of what counts as discrimination in law is both wider and narrower than what the term encompasses in the lay understanding’ of the term’</w:t>
      </w:r>
      <w:r w:rsidR="00787005" w:rsidRPr="00DD55FF">
        <w:rPr>
          <w:sz w:val="24"/>
          <w:szCs w:val="24"/>
        </w:rPr>
        <w:t>.</w:t>
      </w:r>
      <w:r w:rsidR="00787005" w:rsidRPr="00DD55FF">
        <w:rPr>
          <w:rStyle w:val="FootnoteReference"/>
          <w:sz w:val="24"/>
          <w:szCs w:val="24"/>
        </w:rPr>
        <w:footnoteReference w:id="16"/>
      </w:r>
      <w:r w:rsidR="001E279E" w:rsidRPr="00DD55FF">
        <w:rPr>
          <w:sz w:val="24"/>
          <w:szCs w:val="24"/>
        </w:rPr>
        <w:t xml:space="preserve"> </w:t>
      </w:r>
      <w:r w:rsidR="00787005" w:rsidRPr="00DD55FF">
        <w:rPr>
          <w:sz w:val="24"/>
          <w:szCs w:val="24"/>
        </w:rPr>
        <w:t>T</w:t>
      </w:r>
      <w:r w:rsidR="00136218" w:rsidRPr="00DD55FF">
        <w:rPr>
          <w:sz w:val="24"/>
          <w:szCs w:val="24"/>
        </w:rPr>
        <w:t xml:space="preserve">his </w:t>
      </w:r>
      <w:r w:rsidR="00787005" w:rsidRPr="00DD55FF">
        <w:rPr>
          <w:sz w:val="24"/>
          <w:szCs w:val="24"/>
        </w:rPr>
        <w:t xml:space="preserve">can create </w:t>
      </w:r>
      <w:r w:rsidR="00136218" w:rsidRPr="00DD55FF">
        <w:rPr>
          <w:sz w:val="24"/>
          <w:szCs w:val="24"/>
        </w:rPr>
        <w:t xml:space="preserve">a troubling disconnect between the popular view of what the law should be and what it actually is in practice. </w:t>
      </w:r>
    </w:p>
    <w:p w:rsidR="001C0995" w:rsidRPr="00DD55FF" w:rsidRDefault="003011F7" w:rsidP="00ED0675">
      <w:pPr>
        <w:ind w:firstLine="720"/>
        <w:jc w:val="both"/>
        <w:rPr>
          <w:sz w:val="24"/>
          <w:szCs w:val="24"/>
        </w:rPr>
      </w:pPr>
      <w:r w:rsidRPr="00DD55FF">
        <w:rPr>
          <w:sz w:val="24"/>
          <w:szCs w:val="24"/>
        </w:rPr>
        <w:t xml:space="preserve">But </w:t>
      </w:r>
      <w:r w:rsidR="00FC26E8" w:rsidRPr="00DD55FF">
        <w:rPr>
          <w:sz w:val="24"/>
          <w:szCs w:val="24"/>
        </w:rPr>
        <w:t>more is going on here than a simple difference of views between expert</w:t>
      </w:r>
      <w:r w:rsidRPr="00DD55FF">
        <w:rPr>
          <w:sz w:val="24"/>
          <w:szCs w:val="24"/>
        </w:rPr>
        <w:t xml:space="preserve"> and non-expert opinion. What Khaitan</w:t>
      </w:r>
      <w:r w:rsidR="00FC26E8" w:rsidRPr="00DD55FF">
        <w:rPr>
          <w:sz w:val="24"/>
          <w:szCs w:val="24"/>
        </w:rPr>
        <w:t xml:space="preserve"> describes as the ‘lay understanding’ of discrimination also forms the basis of </w:t>
      </w:r>
      <w:r w:rsidR="00093754" w:rsidRPr="00DD55FF">
        <w:rPr>
          <w:sz w:val="24"/>
          <w:szCs w:val="24"/>
        </w:rPr>
        <w:t>some</w:t>
      </w:r>
      <w:r w:rsidR="00E96EC3" w:rsidRPr="00DD55FF">
        <w:rPr>
          <w:sz w:val="24"/>
          <w:szCs w:val="24"/>
        </w:rPr>
        <w:t xml:space="preserve"> of the most prominent theoretical accounts of what constitutes the </w:t>
      </w:r>
      <w:r w:rsidR="00093754" w:rsidRPr="00DD55FF">
        <w:rPr>
          <w:sz w:val="24"/>
          <w:szCs w:val="24"/>
        </w:rPr>
        <w:t xml:space="preserve">‘central case’ of discrimination, i.e. </w:t>
      </w:r>
      <w:r w:rsidR="00E96EC3" w:rsidRPr="00DD55FF">
        <w:rPr>
          <w:sz w:val="24"/>
          <w:szCs w:val="24"/>
        </w:rPr>
        <w:t>the core or paradigm form of discriminatory behaviour</w:t>
      </w:r>
      <w:r w:rsidR="00D00ABC" w:rsidRPr="00DD55FF">
        <w:rPr>
          <w:sz w:val="24"/>
          <w:szCs w:val="24"/>
        </w:rPr>
        <w:t>,</w:t>
      </w:r>
      <w:r w:rsidR="00BC0474" w:rsidRPr="00DD55FF">
        <w:rPr>
          <w:sz w:val="24"/>
          <w:szCs w:val="24"/>
        </w:rPr>
        <w:t xml:space="preserve"> </w:t>
      </w:r>
      <w:r w:rsidR="00D00ABC" w:rsidRPr="00DD55FF">
        <w:rPr>
          <w:sz w:val="24"/>
          <w:szCs w:val="24"/>
        </w:rPr>
        <w:t xml:space="preserve">whose </w:t>
      </w:r>
      <w:r w:rsidR="00BC0474" w:rsidRPr="00DD55FF">
        <w:rPr>
          <w:sz w:val="24"/>
          <w:szCs w:val="24"/>
        </w:rPr>
        <w:t xml:space="preserve">moral ‘wrongness’ </w:t>
      </w:r>
      <w:r w:rsidR="00952468" w:rsidRPr="00DD55FF">
        <w:rPr>
          <w:sz w:val="24"/>
          <w:szCs w:val="24"/>
        </w:rPr>
        <w:t xml:space="preserve">justifies </w:t>
      </w:r>
      <w:r w:rsidR="00BC0474" w:rsidRPr="00DD55FF">
        <w:rPr>
          <w:sz w:val="24"/>
          <w:szCs w:val="24"/>
        </w:rPr>
        <w:t>legal intervention</w:t>
      </w:r>
      <w:r w:rsidR="00D00ABC" w:rsidRPr="00DD55FF">
        <w:rPr>
          <w:sz w:val="24"/>
          <w:szCs w:val="24"/>
        </w:rPr>
        <w:t xml:space="preserve"> to</w:t>
      </w:r>
      <w:r w:rsidR="00AF6D8A" w:rsidRPr="00DD55FF">
        <w:rPr>
          <w:sz w:val="24"/>
          <w:szCs w:val="24"/>
        </w:rPr>
        <w:t xml:space="preserve"> protect potential victims</w:t>
      </w:r>
      <w:r w:rsidR="00952468" w:rsidRPr="00DD55FF">
        <w:rPr>
          <w:sz w:val="24"/>
          <w:szCs w:val="24"/>
        </w:rPr>
        <w:t xml:space="preserve"> and thus </w:t>
      </w:r>
      <w:r w:rsidR="00FC184E" w:rsidRPr="00DD55FF">
        <w:rPr>
          <w:sz w:val="24"/>
          <w:szCs w:val="24"/>
        </w:rPr>
        <w:t xml:space="preserve">constitutes the primary rationale for </w:t>
      </w:r>
      <w:r w:rsidR="00952468" w:rsidRPr="00DD55FF">
        <w:rPr>
          <w:sz w:val="24"/>
          <w:szCs w:val="24"/>
        </w:rPr>
        <w:t>the system of discrimination law taken as a whole</w:t>
      </w:r>
      <w:r w:rsidR="00AF6D8A" w:rsidRPr="00DD55FF">
        <w:rPr>
          <w:sz w:val="24"/>
          <w:szCs w:val="24"/>
        </w:rPr>
        <w:t>.</w:t>
      </w:r>
      <w:r w:rsidR="00AF6D8A" w:rsidRPr="00DD55FF">
        <w:rPr>
          <w:rStyle w:val="FootnoteReference"/>
          <w:sz w:val="24"/>
          <w:szCs w:val="24"/>
        </w:rPr>
        <w:footnoteReference w:id="17"/>
      </w:r>
      <w:r w:rsidR="00D00ABC" w:rsidRPr="00DD55FF">
        <w:rPr>
          <w:sz w:val="24"/>
          <w:szCs w:val="24"/>
        </w:rPr>
        <w:t xml:space="preserve"> </w:t>
      </w:r>
      <w:r w:rsidR="00AF6D8A" w:rsidRPr="00DD55FF">
        <w:rPr>
          <w:sz w:val="24"/>
          <w:szCs w:val="24"/>
        </w:rPr>
        <w:t>Furthermore, many legislators and judges</w:t>
      </w:r>
      <w:r w:rsidR="00BC0474" w:rsidRPr="00DD55FF">
        <w:rPr>
          <w:sz w:val="24"/>
          <w:szCs w:val="24"/>
        </w:rPr>
        <w:t xml:space="preserve"> </w:t>
      </w:r>
      <w:r w:rsidR="00944C08" w:rsidRPr="00DD55FF">
        <w:rPr>
          <w:sz w:val="24"/>
          <w:szCs w:val="24"/>
        </w:rPr>
        <w:t xml:space="preserve">are also wedded to this </w:t>
      </w:r>
      <w:r w:rsidR="007D09B5" w:rsidRPr="00DD55FF">
        <w:rPr>
          <w:sz w:val="24"/>
          <w:szCs w:val="24"/>
        </w:rPr>
        <w:t>view of what constitutes the ‘essence’ of discriminatory behaviour</w:t>
      </w:r>
      <w:r w:rsidR="00944C08" w:rsidRPr="00DD55FF">
        <w:rPr>
          <w:sz w:val="24"/>
          <w:szCs w:val="24"/>
        </w:rPr>
        <w:t xml:space="preserve">, </w:t>
      </w:r>
      <w:r w:rsidR="00AF6D8A" w:rsidRPr="00DD55FF">
        <w:rPr>
          <w:sz w:val="24"/>
          <w:szCs w:val="24"/>
        </w:rPr>
        <w:t xml:space="preserve">as evidenced for example by the </w:t>
      </w:r>
      <w:r w:rsidR="00F127FC" w:rsidRPr="00DD55FF">
        <w:rPr>
          <w:sz w:val="24"/>
          <w:szCs w:val="24"/>
        </w:rPr>
        <w:t xml:space="preserve">dissenting opinions in the recent </w:t>
      </w:r>
      <w:r w:rsidR="00AF6D8A" w:rsidRPr="00DD55FF">
        <w:rPr>
          <w:sz w:val="24"/>
          <w:szCs w:val="24"/>
        </w:rPr>
        <w:lastRenderedPageBreak/>
        <w:t>US Supreme Court</w:t>
      </w:r>
      <w:r w:rsidR="00F127FC" w:rsidRPr="00DD55FF">
        <w:rPr>
          <w:sz w:val="24"/>
          <w:szCs w:val="24"/>
        </w:rPr>
        <w:t xml:space="preserve"> case of </w:t>
      </w:r>
      <w:r w:rsidR="00F127FC" w:rsidRPr="00DD55FF">
        <w:rPr>
          <w:i/>
          <w:sz w:val="24"/>
          <w:szCs w:val="24"/>
        </w:rPr>
        <w:t>Texas Dept. of Housing and Community Affairs v. Inclusive Communities Project</w:t>
      </w:r>
      <w:r w:rsidR="00F127FC" w:rsidRPr="00DD55FF">
        <w:rPr>
          <w:sz w:val="24"/>
          <w:szCs w:val="24"/>
        </w:rPr>
        <w:t>.</w:t>
      </w:r>
      <w:r w:rsidR="00F127FC" w:rsidRPr="00DD55FF">
        <w:rPr>
          <w:rStyle w:val="FootnoteReference"/>
          <w:sz w:val="24"/>
          <w:szCs w:val="24"/>
        </w:rPr>
        <w:footnoteReference w:id="18"/>
      </w:r>
      <w:r w:rsidR="00D63579" w:rsidRPr="00DD55FF">
        <w:rPr>
          <w:sz w:val="24"/>
          <w:szCs w:val="24"/>
        </w:rPr>
        <w:t xml:space="preserve"> </w:t>
      </w:r>
    </w:p>
    <w:p w:rsidR="00932E21" w:rsidRDefault="00897448" w:rsidP="00ED0675">
      <w:pPr>
        <w:ind w:firstLine="720"/>
        <w:jc w:val="both"/>
        <w:rPr>
          <w:sz w:val="24"/>
          <w:szCs w:val="24"/>
        </w:rPr>
      </w:pPr>
      <w:r>
        <w:rPr>
          <w:sz w:val="24"/>
          <w:szCs w:val="24"/>
        </w:rPr>
        <w:t>D</w:t>
      </w:r>
      <w:r w:rsidR="00C325FA" w:rsidRPr="00DD55FF">
        <w:rPr>
          <w:sz w:val="24"/>
          <w:szCs w:val="24"/>
        </w:rPr>
        <w:t xml:space="preserve">iscrimination law </w:t>
      </w:r>
      <w:r>
        <w:rPr>
          <w:sz w:val="24"/>
          <w:szCs w:val="24"/>
        </w:rPr>
        <w:t xml:space="preserve">thus </w:t>
      </w:r>
      <w:r w:rsidR="00C325FA" w:rsidRPr="00DD55FF">
        <w:rPr>
          <w:sz w:val="24"/>
          <w:szCs w:val="24"/>
        </w:rPr>
        <w:t xml:space="preserve">functions in a way that </w:t>
      </w:r>
      <w:r>
        <w:rPr>
          <w:sz w:val="24"/>
          <w:szCs w:val="24"/>
        </w:rPr>
        <w:t>that can be</w:t>
      </w:r>
      <w:r w:rsidR="00315525" w:rsidRPr="00DD55FF">
        <w:rPr>
          <w:sz w:val="24"/>
          <w:szCs w:val="24"/>
        </w:rPr>
        <w:t xml:space="preserve"> difficult to reco</w:t>
      </w:r>
      <w:r w:rsidR="005D7D1B" w:rsidRPr="00DD55FF">
        <w:rPr>
          <w:sz w:val="24"/>
          <w:szCs w:val="24"/>
        </w:rPr>
        <w:t xml:space="preserve">ncile with the </w:t>
      </w:r>
      <w:r w:rsidR="00136218" w:rsidRPr="00DD55FF">
        <w:rPr>
          <w:sz w:val="24"/>
          <w:szCs w:val="24"/>
        </w:rPr>
        <w:t xml:space="preserve">assumption </w:t>
      </w:r>
      <w:r w:rsidR="007E2CD5">
        <w:rPr>
          <w:sz w:val="24"/>
          <w:szCs w:val="24"/>
        </w:rPr>
        <w:t>-</w:t>
      </w:r>
      <w:r w:rsidR="00932E21" w:rsidRPr="00DD55FF">
        <w:rPr>
          <w:sz w:val="24"/>
          <w:szCs w:val="24"/>
        </w:rPr>
        <w:t xml:space="preserve"> shared by many theorists, legal actors and laypeople alike - </w:t>
      </w:r>
      <w:r w:rsidR="005D7D1B" w:rsidRPr="00DD55FF">
        <w:rPr>
          <w:sz w:val="24"/>
          <w:szCs w:val="24"/>
        </w:rPr>
        <w:t>th</w:t>
      </w:r>
      <w:r w:rsidR="00136218" w:rsidRPr="00DD55FF">
        <w:rPr>
          <w:sz w:val="24"/>
          <w:szCs w:val="24"/>
        </w:rPr>
        <w:t xml:space="preserve">at its </w:t>
      </w:r>
      <w:r w:rsidR="00C059DD" w:rsidRPr="00DD55FF">
        <w:rPr>
          <w:sz w:val="24"/>
          <w:szCs w:val="24"/>
        </w:rPr>
        <w:t xml:space="preserve">primary </w:t>
      </w:r>
      <w:r w:rsidR="00C059DD" w:rsidRPr="00DD55FF">
        <w:rPr>
          <w:i/>
          <w:sz w:val="24"/>
          <w:szCs w:val="24"/>
        </w:rPr>
        <w:t xml:space="preserve">raison </w:t>
      </w:r>
      <w:proofErr w:type="spellStart"/>
      <w:r w:rsidR="00C059DD" w:rsidRPr="00DD55FF">
        <w:rPr>
          <w:i/>
          <w:sz w:val="24"/>
          <w:szCs w:val="24"/>
        </w:rPr>
        <w:t>d’etre</w:t>
      </w:r>
      <w:proofErr w:type="spellEnd"/>
      <w:r w:rsidR="00C059DD" w:rsidRPr="00DD55FF">
        <w:rPr>
          <w:i/>
          <w:sz w:val="24"/>
          <w:szCs w:val="24"/>
        </w:rPr>
        <w:t xml:space="preserve"> </w:t>
      </w:r>
      <w:r w:rsidR="00136218" w:rsidRPr="00DD55FF">
        <w:rPr>
          <w:sz w:val="24"/>
          <w:szCs w:val="24"/>
        </w:rPr>
        <w:t>i</w:t>
      </w:r>
      <w:r w:rsidR="00C059DD" w:rsidRPr="00DD55FF">
        <w:rPr>
          <w:sz w:val="24"/>
          <w:szCs w:val="24"/>
        </w:rPr>
        <w:t>s to combat less favourable treatment of individuals which is motivated by unwarranted animus or prejudice</w:t>
      </w:r>
      <w:r w:rsidR="006A7243" w:rsidRPr="00DD55FF">
        <w:rPr>
          <w:sz w:val="24"/>
          <w:szCs w:val="24"/>
        </w:rPr>
        <w:t xml:space="preserve">. </w:t>
      </w:r>
      <w:r w:rsidR="00136218" w:rsidRPr="00DD55FF">
        <w:rPr>
          <w:sz w:val="24"/>
          <w:szCs w:val="24"/>
        </w:rPr>
        <w:t>T</w:t>
      </w:r>
      <w:r w:rsidR="006A7243" w:rsidRPr="00DD55FF">
        <w:rPr>
          <w:sz w:val="24"/>
          <w:szCs w:val="24"/>
        </w:rPr>
        <w:t xml:space="preserve">his </w:t>
      </w:r>
      <w:r w:rsidR="009E29A3" w:rsidRPr="00DD55FF">
        <w:rPr>
          <w:sz w:val="24"/>
          <w:szCs w:val="24"/>
        </w:rPr>
        <w:t>discrepancy can expose</w:t>
      </w:r>
      <w:r w:rsidR="00C14694" w:rsidRPr="00DD55FF">
        <w:rPr>
          <w:sz w:val="24"/>
          <w:szCs w:val="24"/>
        </w:rPr>
        <w:t xml:space="preserve"> discrimination law to accusations that it </w:t>
      </w:r>
      <w:r w:rsidR="00694EED" w:rsidRPr="00DD55FF">
        <w:rPr>
          <w:sz w:val="24"/>
          <w:szCs w:val="24"/>
        </w:rPr>
        <w:t>has lost touch w</w:t>
      </w:r>
      <w:r w:rsidR="00FE311B" w:rsidRPr="00DD55FF">
        <w:rPr>
          <w:sz w:val="24"/>
          <w:szCs w:val="24"/>
        </w:rPr>
        <w:t>ith its normative und</w:t>
      </w:r>
      <w:r w:rsidR="00D4404B">
        <w:rPr>
          <w:sz w:val="24"/>
          <w:szCs w:val="24"/>
        </w:rPr>
        <w:t>erpinnings.</w:t>
      </w:r>
      <w:r w:rsidR="00146CED" w:rsidRPr="00DD55FF">
        <w:rPr>
          <w:rStyle w:val="FootnoteReference"/>
          <w:sz w:val="24"/>
          <w:szCs w:val="24"/>
        </w:rPr>
        <w:footnoteReference w:id="19"/>
      </w:r>
      <w:r w:rsidR="006A7243" w:rsidRPr="00DD55FF">
        <w:rPr>
          <w:sz w:val="24"/>
          <w:szCs w:val="24"/>
        </w:rPr>
        <w:t xml:space="preserve"> </w:t>
      </w:r>
      <w:proofErr w:type="spellStart"/>
      <w:r w:rsidR="00894F18" w:rsidRPr="00DD55FF">
        <w:rPr>
          <w:sz w:val="24"/>
          <w:szCs w:val="24"/>
        </w:rPr>
        <w:t>Khaitan</w:t>
      </w:r>
      <w:proofErr w:type="spellEnd"/>
      <w:r w:rsidR="00894F18" w:rsidRPr="00DD55FF">
        <w:rPr>
          <w:sz w:val="24"/>
          <w:szCs w:val="24"/>
        </w:rPr>
        <w:t xml:space="preserve"> is thus correct to diagnose discrimin</w:t>
      </w:r>
      <w:r w:rsidR="00121B43">
        <w:rPr>
          <w:sz w:val="24"/>
          <w:szCs w:val="24"/>
        </w:rPr>
        <w:t xml:space="preserve">ation law as having a ‘problem’ - </w:t>
      </w:r>
      <w:r w:rsidR="001C0995" w:rsidRPr="00DD55FF">
        <w:rPr>
          <w:sz w:val="24"/>
          <w:szCs w:val="24"/>
        </w:rPr>
        <w:t xml:space="preserve">even if his </w:t>
      </w:r>
      <w:r w:rsidR="00D63579" w:rsidRPr="00DD55FF">
        <w:rPr>
          <w:sz w:val="24"/>
          <w:szCs w:val="24"/>
        </w:rPr>
        <w:t xml:space="preserve">framing of the issue </w:t>
      </w:r>
      <w:r w:rsidR="0048635E" w:rsidRPr="00DD55FF">
        <w:rPr>
          <w:sz w:val="24"/>
          <w:szCs w:val="24"/>
        </w:rPr>
        <w:t xml:space="preserve">in terms of a divide between </w:t>
      </w:r>
      <w:r w:rsidR="00D63579" w:rsidRPr="00DD55FF">
        <w:rPr>
          <w:sz w:val="24"/>
          <w:szCs w:val="24"/>
        </w:rPr>
        <w:t xml:space="preserve">lay and expert-legal views </w:t>
      </w:r>
      <w:r w:rsidR="0048635E" w:rsidRPr="00DD55FF">
        <w:rPr>
          <w:sz w:val="24"/>
          <w:szCs w:val="24"/>
        </w:rPr>
        <w:t>glosses over the existence of more fundamental co</w:t>
      </w:r>
      <w:r w:rsidR="0071651F" w:rsidRPr="00DD55FF">
        <w:rPr>
          <w:sz w:val="24"/>
          <w:szCs w:val="24"/>
        </w:rPr>
        <w:t xml:space="preserve">nceptual </w:t>
      </w:r>
      <w:r w:rsidR="000E009F" w:rsidRPr="00DD55FF">
        <w:rPr>
          <w:sz w:val="24"/>
          <w:szCs w:val="24"/>
        </w:rPr>
        <w:t>dissonance relating to its purpose and functioning</w:t>
      </w:r>
      <w:r w:rsidR="0048635E" w:rsidRPr="00DD55FF">
        <w:rPr>
          <w:sz w:val="24"/>
          <w:szCs w:val="24"/>
        </w:rPr>
        <w:t>.</w:t>
      </w:r>
      <w:r w:rsidR="001C0995" w:rsidRPr="00DD55FF">
        <w:rPr>
          <w:sz w:val="24"/>
          <w:szCs w:val="24"/>
        </w:rPr>
        <w:t xml:space="preserve"> </w:t>
      </w:r>
    </w:p>
    <w:p w:rsidR="000D7646" w:rsidRPr="000D7646" w:rsidRDefault="000D7646" w:rsidP="00ED0675">
      <w:pPr>
        <w:ind w:firstLine="720"/>
        <w:jc w:val="both"/>
        <w:rPr>
          <w:b/>
          <w:sz w:val="24"/>
          <w:szCs w:val="24"/>
        </w:rPr>
      </w:pPr>
    </w:p>
    <w:p w:rsidR="00146CED" w:rsidRPr="00ED0675" w:rsidRDefault="008B04F3" w:rsidP="00ED0675">
      <w:pPr>
        <w:jc w:val="center"/>
        <w:rPr>
          <w:i/>
          <w:sz w:val="28"/>
          <w:szCs w:val="28"/>
        </w:rPr>
      </w:pPr>
      <w:r w:rsidRPr="00ED0675">
        <w:rPr>
          <w:sz w:val="28"/>
          <w:szCs w:val="28"/>
        </w:rPr>
        <w:t>3.</w:t>
      </w:r>
      <w:r w:rsidRPr="00ED0675">
        <w:rPr>
          <w:i/>
          <w:sz w:val="28"/>
          <w:szCs w:val="28"/>
        </w:rPr>
        <w:t xml:space="preserve"> </w:t>
      </w:r>
      <w:r w:rsidR="00787709" w:rsidRPr="00ED0675">
        <w:rPr>
          <w:i/>
          <w:sz w:val="28"/>
          <w:szCs w:val="28"/>
        </w:rPr>
        <w:t xml:space="preserve">The Search for the </w:t>
      </w:r>
      <w:r w:rsidRPr="00ED0675">
        <w:rPr>
          <w:i/>
          <w:sz w:val="28"/>
          <w:szCs w:val="28"/>
        </w:rPr>
        <w:t>‘</w:t>
      </w:r>
      <w:r w:rsidR="00787709" w:rsidRPr="00ED0675">
        <w:rPr>
          <w:i/>
          <w:sz w:val="28"/>
          <w:szCs w:val="28"/>
        </w:rPr>
        <w:t>Holy Grail</w:t>
      </w:r>
      <w:r w:rsidRPr="00ED0675">
        <w:rPr>
          <w:i/>
          <w:sz w:val="28"/>
          <w:szCs w:val="28"/>
        </w:rPr>
        <w:t>’</w:t>
      </w:r>
      <w:r w:rsidR="000E009F" w:rsidRPr="00ED0675">
        <w:rPr>
          <w:i/>
          <w:sz w:val="28"/>
          <w:szCs w:val="28"/>
        </w:rPr>
        <w:t xml:space="preserve"> – A Coherent Normative Foundation for Discrimination Law</w:t>
      </w:r>
    </w:p>
    <w:p w:rsidR="00944C08" w:rsidRPr="00DD55FF" w:rsidRDefault="006A7243" w:rsidP="00DD55FF">
      <w:pPr>
        <w:jc w:val="both"/>
        <w:rPr>
          <w:sz w:val="24"/>
          <w:szCs w:val="24"/>
        </w:rPr>
      </w:pPr>
      <w:r w:rsidRPr="00DD55FF">
        <w:rPr>
          <w:sz w:val="24"/>
          <w:szCs w:val="24"/>
        </w:rPr>
        <w:t>What then is to done about this problem? Khaitan</w:t>
      </w:r>
      <w:r w:rsidR="00BD2DDE" w:rsidRPr="00DD55FF">
        <w:rPr>
          <w:sz w:val="24"/>
          <w:szCs w:val="24"/>
        </w:rPr>
        <w:t xml:space="preserve"> sets out his stall within the first few pages of his book. He argues that it is </w:t>
      </w:r>
      <w:r w:rsidR="00595B6E" w:rsidRPr="00DD55FF">
        <w:rPr>
          <w:sz w:val="24"/>
          <w:szCs w:val="24"/>
        </w:rPr>
        <w:t>p</w:t>
      </w:r>
      <w:r w:rsidR="00694EED" w:rsidRPr="00DD55FF">
        <w:rPr>
          <w:sz w:val="24"/>
          <w:szCs w:val="24"/>
        </w:rPr>
        <w:t xml:space="preserve">roblematic to assume </w:t>
      </w:r>
      <w:r w:rsidR="00595B6E" w:rsidRPr="00DD55FF">
        <w:rPr>
          <w:sz w:val="24"/>
          <w:szCs w:val="24"/>
        </w:rPr>
        <w:t>that</w:t>
      </w:r>
      <w:r w:rsidR="00C14694" w:rsidRPr="00DD55FF">
        <w:rPr>
          <w:sz w:val="24"/>
          <w:szCs w:val="24"/>
        </w:rPr>
        <w:t xml:space="preserve"> </w:t>
      </w:r>
      <w:r w:rsidR="00595B6E" w:rsidRPr="00DD55FF">
        <w:rPr>
          <w:sz w:val="24"/>
          <w:szCs w:val="24"/>
        </w:rPr>
        <w:t xml:space="preserve">the lay understanding </w:t>
      </w:r>
      <w:r w:rsidR="0001228B" w:rsidRPr="00DD55FF">
        <w:rPr>
          <w:sz w:val="24"/>
          <w:szCs w:val="24"/>
        </w:rPr>
        <w:t>should necessa</w:t>
      </w:r>
      <w:r w:rsidR="00C14694" w:rsidRPr="00DD55FF">
        <w:rPr>
          <w:sz w:val="24"/>
          <w:szCs w:val="24"/>
        </w:rPr>
        <w:t xml:space="preserve">rily form the </w:t>
      </w:r>
      <w:r w:rsidR="00BD2DDE" w:rsidRPr="00DD55FF">
        <w:rPr>
          <w:sz w:val="24"/>
          <w:szCs w:val="24"/>
        </w:rPr>
        <w:t xml:space="preserve">basis of discrimination law. </w:t>
      </w:r>
      <w:r w:rsidR="00860328" w:rsidRPr="00DD55FF">
        <w:rPr>
          <w:sz w:val="24"/>
          <w:szCs w:val="24"/>
        </w:rPr>
        <w:t xml:space="preserve">When it initially took shape, the </w:t>
      </w:r>
      <w:r w:rsidR="00BD2DDE" w:rsidRPr="00DD55FF">
        <w:rPr>
          <w:sz w:val="24"/>
          <w:szCs w:val="24"/>
        </w:rPr>
        <w:t xml:space="preserve">legal model </w:t>
      </w:r>
      <w:r w:rsidR="00860328" w:rsidRPr="00DD55FF">
        <w:rPr>
          <w:sz w:val="24"/>
          <w:szCs w:val="24"/>
        </w:rPr>
        <w:t>clearly reflected the assumption that discrimination was intrinsically ‘intentional, direct and comparative’ in nature.</w:t>
      </w:r>
      <w:r w:rsidR="004A6F45" w:rsidRPr="00DD55FF">
        <w:rPr>
          <w:rStyle w:val="FootnoteReference"/>
          <w:sz w:val="24"/>
          <w:szCs w:val="24"/>
        </w:rPr>
        <w:footnoteReference w:id="20"/>
      </w:r>
      <w:r w:rsidR="00860328" w:rsidRPr="00DD55FF">
        <w:rPr>
          <w:sz w:val="24"/>
          <w:szCs w:val="24"/>
        </w:rPr>
        <w:t xml:space="preserve"> However, it has subsequently </w:t>
      </w:r>
      <w:r w:rsidR="00853BB2" w:rsidRPr="00DD55FF">
        <w:rPr>
          <w:sz w:val="24"/>
          <w:szCs w:val="24"/>
        </w:rPr>
        <w:t xml:space="preserve">evolved in a manner that reflects </w:t>
      </w:r>
      <w:r w:rsidR="009B62F2" w:rsidRPr="00DD55FF">
        <w:rPr>
          <w:sz w:val="24"/>
          <w:szCs w:val="24"/>
        </w:rPr>
        <w:t>practical experience of the application of the law to contested cases</w:t>
      </w:r>
      <w:r w:rsidR="00853BB2" w:rsidRPr="00DD55FF">
        <w:rPr>
          <w:sz w:val="24"/>
          <w:szCs w:val="24"/>
        </w:rPr>
        <w:t xml:space="preserve">, the need to respond to the lived experience of </w:t>
      </w:r>
      <w:r w:rsidR="009B62F2" w:rsidRPr="00DD55FF">
        <w:rPr>
          <w:sz w:val="24"/>
          <w:szCs w:val="24"/>
        </w:rPr>
        <w:t>disadvantaged groups</w:t>
      </w:r>
      <w:r w:rsidR="00853BB2" w:rsidRPr="00DD55FF">
        <w:rPr>
          <w:sz w:val="24"/>
          <w:szCs w:val="24"/>
        </w:rPr>
        <w:t xml:space="preserve">, and the inconsistencies and problematic gaps in protection that are generated by </w:t>
      </w:r>
      <w:r w:rsidR="00B15079" w:rsidRPr="00DD55FF">
        <w:rPr>
          <w:sz w:val="24"/>
          <w:szCs w:val="24"/>
        </w:rPr>
        <w:t xml:space="preserve">excessive </w:t>
      </w:r>
      <w:r w:rsidR="00853BB2" w:rsidRPr="00DD55FF">
        <w:rPr>
          <w:sz w:val="24"/>
          <w:szCs w:val="24"/>
        </w:rPr>
        <w:t>fidelity to the ‘lay understanding’ of discrimination.</w:t>
      </w:r>
      <w:r w:rsidR="00A503B6" w:rsidRPr="00DD55FF">
        <w:rPr>
          <w:sz w:val="24"/>
          <w:szCs w:val="24"/>
          <w:vertAlign w:val="superscript"/>
        </w:rPr>
        <w:footnoteReference w:id="21"/>
      </w:r>
      <w:r w:rsidR="00A503B6" w:rsidRPr="00DD55FF">
        <w:rPr>
          <w:sz w:val="24"/>
          <w:szCs w:val="24"/>
        </w:rPr>
        <w:t xml:space="preserve"> </w:t>
      </w:r>
      <w:r w:rsidR="004D4764" w:rsidRPr="00DD55FF">
        <w:rPr>
          <w:sz w:val="24"/>
          <w:szCs w:val="24"/>
        </w:rPr>
        <w:t>In other words</w:t>
      </w:r>
      <w:r w:rsidR="00CA28E5" w:rsidRPr="00DD55FF">
        <w:rPr>
          <w:sz w:val="24"/>
          <w:szCs w:val="24"/>
        </w:rPr>
        <w:t>,</w:t>
      </w:r>
      <w:r w:rsidR="004D4764" w:rsidRPr="00DD55FF">
        <w:rPr>
          <w:sz w:val="24"/>
          <w:szCs w:val="24"/>
        </w:rPr>
        <w:t xml:space="preserve"> praxis has been key to its development</w:t>
      </w:r>
      <w:r w:rsidR="00B15079" w:rsidRPr="00DD55FF">
        <w:rPr>
          <w:sz w:val="24"/>
          <w:szCs w:val="24"/>
        </w:rPr>
        <w:t xml:space="preserve">, and the lessons of this experience should not be discounted: </w:t>
      </w:r>
      <w:r w:rsidR="004D4764" w:rsidRPr="00DD55FF">
        <w:rPr>
          <w:sz w:val="24"/>
          <w:szCs w:val="24"/>
        </w:rPr>
        <w:t>as Khaitan argues (citing Bernard Williams)</w:t>
      </w:r>
      <w:r w:rsidR="00CA28E5" w:rsidRPr="00DD55FF">
        <w:rPr>
          <w:sz w:val="24"/>
          <w:szCs w:val="24"/>
        </w:rPr>
        <w:t>, the operation of law often helps to refine unexamined moral beliefs and challenge embedded assumptions about the ‘real’ nature of concepts such as discrimination.</w:t>
      </w:r>
      <w:r w:rsidR="004A6F45" w:rsidRPr="00DD55FF">
        <w:rPr>
          <w:rStyle w:val="FootnoteReference"/>
          <w:sz w:val="24"/>
          <w:szCs w:val="24"/>
        </w:rPr>
        <w:footnoteReference w:id="22"/>
      </w:r>
      <w:r w:rsidR="00CA28E5" w:rsidRPr="00DD55FF">
        <w:rPr>
          <w:sz w:val="24"/>
          <w:szCs w:val="24"/>
        </w:rPr>
        <w:t xml:space="preserve"> </w:t>
      </w:r>
    </w:p>
    <w:p w:rsidR="006D06FA" w:rsidRPr="00DD55FF" w:rsidRDefault="00944C08" w:rsidP="00ED0675">
      <w:pPr>
        <w:ind w:firstLine="720"/>
        <w:jc w:val="both"/>
        <w:rPr>
          <w:sz w:val="24"/>
          <w:szCs w:val="24"/>
        </w:rPr>
      </w:pPr>
      <w:r w:rsidRPr="00DD55FF">
        <w:rPr>
          <w:sz w:val="24"/>
          <w:szCs w:val="24"/>
        </w:rPr>
        <w:lastRenderedPageBreak/>
        <w:t xml:space="preserve">Furthermore, as </w:t>
      </w:r>
      <w:proofErr w:type="spellStart"/>
      <w:r w:rsidR="004035AF" w:rsidRPr="00DD55FF">
        <w:rPr>
          <w:sz w:val="24"/>
          <w:szCs w:val="24"/>
        </w:rPr>
        <w:t>Khaitan</w:t>
      </w:r>
      <w:proofErr w:type="spellEnd"/>
      <w:r w:rsidR="004035AF" w:rsidRPr="00DD55FF">
        <w:rPr>
          <w:sz w:val="24"/>
          <w:szCs w:val="24"/>
        </w:rPr>
        <w:t xml:space="preserve"> </w:t>
      </w:r>
      <w:r w:rsidR="00513E24" w:rsidRPr="00DD55FF">
        <w:rPr>
          <w:sz w:val="24"/>
          <w:szCs w:val="24"/>
        </w:rPr>
        <w:t>notes</w:t>
      </w:r>
      <w:r w:rsidR="007F6330">
        <w:rPr>
          <w:sz w:val="24"/>
          <w:szCs w:val="24"/>
        </w:rPr>
        <w:t xml:space="preserve">, </w:t>
      </w:r>
      <w:r w:rsidR="00513E24" w:rsidRPr="00DD55FF">
        <w:rPr>
          <w:sz w:val="24"/>
          <w:szCs w:val="24"/>
        </w:rPr>
        <w:t xml:space="preserve">the contemporary </w:t>
      </w:r>
      <w:r w:rsidR="00C9493D" w:rsidRPr="00DD55FF">
        <w:rPr>
          <w:sz w:val="24"/>
          <w:szCs w:val="24"/>
        </w:rPr>
        <w:t xml:space="preserve">legal model of discrimination </w:t>
      </w:r>
      <w:r w:rsidR="00513E24" w:rsidRPr="00DD55FF">
        <w:rPr>
          <w:sz w:val="24"/>
          <w:szCs w:val="24"/>
        </w:rPr>
        <w:t>that has e</w:t>
      </w:r>
      <w:r w:rsidR="00C9493D" w:rsidRPr="00DD55FF">
        <w:rPr>
          <w:sz w:val="24"/>
          <w:szCs w:val="24"/>
        </w:rPr>
        <w:t xml:space="preserve">merged </w:t>
      </w:r>
      <w:r w:rsidR="00DC6386" w:rsidRPr="00DD55FF">
        <w:rPr>
          <w:sz w:val="24"/>
          <w:szCs w:val="24"/>
        </w:rPr>
        <w:t xml:space="preserve">out of this evolutionary process </w:t>
      </w:r>
      <w:r w:rsidR="00C102C2">
        <w:rPr>
          <w:sz w:val="24"/>
          <w:szCs w:val="24"/>
        </w:rPr>
        <w:t>-</w:t>
      </w:r>
      <w:r w:rsidR="00C059DD" w:rsidRPr="00DD55FF">
        <w:rPr>
          <w:sz w:val="24"/>
          <w:szCs w:val="24"/>
        </w:rPr>
        <w:t xml:space="preserve"> including those ‘irregular’ features which can be difficult to reconcile with lay understanding - </w:t>
      </w:r>
      <w:r w:rsidR="00DC6386" w:rsidRPr="00DD55FF">
        <w:rPr>
          <w:sz w:val="24"/>
          <w:szCs w:val="24"/>
        </w:rPr>
        <w:t>attract</w:t>
      </w:r>
      <w:r w:rsidR="00513E24" w:rsidRPr="00DD55FF">
        <w:rPr>
          <w:sz w:val="24"/>
          <w:szCs w:val="24"/>
        </w:rPr>
        <w:t>s</w:t>
      </w:r>
      <w:r w:rsidR="00DC6386" w:rsidRPr="00DD55FF">
        <w:rPr>
          <w:sz w:val="24"/>
          <w:szCs w:val="24"/>
        </w:rPr>
        <w:t xml:space="preserve"> wide support among law-makers, academic commentators and </w:t>
      </w:r>
      <w:r w:rsidR="000E78B8" w:rsidRPr="00DD55FF">
        <w:rPr>
          <w:sz w:val="24"/>
          <w:szCs w:val="24"/>
        </w:rPr>
        <w:t xml:space="preserve">many of the </w:t>
      </w:r>
      <w:r w:rsidR="00DC6386" w:rsidRPr="00DD55FF">
        <w:rPr>
          <w:sz w:val="24"/>
          <w:szCs w:val="24"/>
        </w:rPr>
        <w:t xml:space="preserve">interested parties </w:t>
      </w:r>
      <w:r w:rsidR="000E78B8" w:rsidRPr="00DD55FF">
        <w:rPr>
          <w:sz w:val="24"/>
          <w:szCs w:val="24"/>
        </w:rPr>
        <w:t xml:space="preserve">most </w:t>
      </w:r>
      <w:r w:rsidR="00DC6386" w:rsidRPr="00DD55FF">
        <w:rPr>
          <w:sz w:val="24"/>
          <w:szCs w:val="24"/>
        </w:rPr>
        <w:t>closely affected by its functioning.</w:t>
      </w:r>
      <w:r w:rsidR="00694EED" w:rsidRPr="00DD55FF">
        <w:rPr>
          <w:sz w:val="24"/>
          <w:szCs w:val="24"/>
          <w:vertAlign w:val="superscript"/>
        </w:rPr>
        <w:footnoteReference w:id="23"/>
      </w:r>
      <w:r w:rsidR="00DC6386" w:rsidRPr="00DD55FF">
        <w:rPr>
          <w:sz w:val="24"/>
          <w:szCs w:val="24"/>
        </w:rPr>
        <w:t xml:space="preserve"> </w:t>
      </w:r>
      <w:r w:rsidR="00FF7632" w:rsidRPr="00DD55FF">
        <w:rPr>
          <w:sz w:val="24"/>
          <w:szCs w:val="24"/>
        </w:rPr>
        <w:t>E</w:t>
      </w:r>
      <w:r w:rsidR="002065B1" w:rsidRPr="00DD55FF">
        <w:rPr>
          <w:sz w:val="24"/>
          <w:szCs w:val="24"/>
        </w:rPr>
        <w:t xml:space="preserve">ven theorists </w:t>
      </w:r>
      <w:r w:rsidR="006744D3" w:rsidRPr="00DD55FF">
        <w:rPr>
          <w:sz w:val="24"/>
          <w:szCs w:val="24"/>
        </w:rPr>
        <w:t xml:space="preserve">whose views closely reflect the ‘lay understanding’ </w:t>
      </w:r>
      <w:r w:rsidR="0022766E" w:rsidRPr="00DD55FF">
        <w:rPr>
          <w:sz w:val="24"/>
          <w:szCs w:val="24"/>
        </w:rPr>
        <w:t>of discrimination</w:t>
      </w:r>
      <w:r w:rsidR="00FF7632" w:rsidRPr="00DD55FF">
        <w:rPr>
          <w:sz w:val="24"/>
          <w:szCs w:val="24"/>
        </w:rPr>
        <w:t xml:space="preserve"> are in general willing to accept that the key features of the contemporary legal model of</w:t>
      </w:r>
      <w:r w:rsidR="0022766E" w:rsidRPr="00DD55FF">
        <w:rPr>
          <w:sz w:val="24"/>
          <w:szCs w:val="24"/>
        </w:rPr>
        <w:t xml:space="preserve"> discrimination law may be normatively justified</w:t>
      </w:r>
      <w:r w:rsidR="00C9493D" w:rsidRPr="00DD55FF">
        <w:rPr>
          <w:sz w:val="24"/>
          <w:szCs w:val="24"/>
        </w:rPr>
        <w:t xml:space="preserve"> – albeit perhaps on less compelling grounds than what they regard as its ‘central case’</w:t>
      </w:r>
      <w:r w:rsidR="0022766E" w:rsidRPr="00DD55FF">
        <w:rPr>
          <w:sz w:val="24"/>
          <w:szCs w:val="24"/>
        </w:rPr>
        <w:t>.</w:t>
      </w:r>
      <w:r w:rsidR="00FE1B7A" w:rsidRPr="00DD55FF">
        <w:rPr>
          <w:rStyle w:val="FootnoteReference"/>
          <w:sz w:val="24"/>
          <w:szCs w:val="24"/>
        </w:rPr>
        <w:footnoteReference w:id="24"/>
      </w:r>
      <w:r w:rsidR="0022766E" w:rsidRPr="00DD55FF">
        <w:rPr>
          <w:sz w:val="24"/>
          <w:szCs w:val="24"/>
        </w:rPr>
        <w:t xml:space="preserve"> Furthermore,</w:t>
      </w:r>
      <w:r w:rsidR="00FF7632" w:rsidRPr="00DD55FF">
        <w:rPr>
          <w:sz w:val="24"/>
          <w:szCs w:val="24"/>
        </w:rPr>
        <w:t xml:space="preserve"> although </w:t>
      </w:r>
      <w:proofErr w:type="spellStart"/>
      <w:r w:rsidR="00FF7632" w:rsidRPr="00DD55FF">
        <w:rPr>
          <w:sz w:val="24"/>
          <w:szCs w:val="24"/>
        </w:rPr>
        <w:t>Khaitan</w:t>
      </w:r>
      <w:proofErr w:type="spellEnd"/>
      <w:r w:rsidR="00FF7632" w:rsidRPr="00DD55FF">
        <w:rPr>
          <w:sz w:val="24"/>
          <w:szCs w:val="24"/>
        </w:rPr>
        <w:t xml:space="preserve"> does not discuss this in any detail, it is striking that</w:t>
      </w:r>
      <w:r w:rsidR="0022766E" w:rsidRPr="00DD55FF">
        <w:rPr>
          <w:sz w:val="24"/>
          <w:szCs w:val="24"/>
        </w:rPr>
        <w:t xml:space="preserve"> </w:t>
      </w:r>
      <w:r w:rsidR="006D06FA" w:rsidRPr="00DD55FF">
        <w:rPr>
          <w:sz w:val="24"/>
          <w:szCs w:val="24"/>
        </w:rPr>
        <w:t xml:space="preserve">when aspects of the legal model which do not correspond to the lay understanding have come under political or legal attack, </w:t>
      </w:r>
      <w:r w:rsidR="0022766E" w:rsidRPr="00DD55FF">
        <w:rPr>
          <w:sz w:val="24"/>
          <w:szCs w:val="24"/>
        </w:rPr>
        <w:t xml:space="preserve">legislators and judges have </w:t>
      </w:r>
      <w:r w:rsidR="00695A46" w:rsidRPr="00DD55FF">
        <w:rPr>
          <w:sz w:val="24"/>
          <w:szCs w:val="24"/>
        </w:rPr>
        <w:t xml:space="preserve">regularly </w:t>
      </w:r>
      <w:r w:rsidR="0022766E" w:rsidRPr="00DD55FF">
        <w:rPr>
          <w:sz w:val="24"/>
          <w:szCs w:val="24"/>
        </w:rPr>
        <w:t xml:space="preserve">endorsed </w:t>
      </w:r>
      <w:r w:rsidR="006D06FA" w:rsidRPr="00DD55FF">
        <w:rPr>
          <w:sz w:val="24"/>
          <w:szCs w:val="24"/>
        </w:rPr>
        <w:t xml:space="preserve">the legal </w:t>
      </w:r>
      <w:r w:rsidR="006D06FA" w:rsidRPr="00DD55FF">
        <w:rPr>
          <w:i/>
          <w:sz w:val="24"/>
          <w:szCs w:val="24"/>
        </w:rPr>
        <w:t>status quo</w:t>
      </w:r>
      <w:r w:rsidR="006D06FA" w:rsidRPr="00DD55FF">
        <w:rPr>
          <w:sz w:val="24"/>
          <w:szCs w:val="24"/>
        </w:rPr>
        <w:t>.</w:t>
      </w:r>
      <w:r w:rsidR="006D06FA" w:rsidRPr="00DD55FF">
        <w:rPr>
          <w:rStyle w:val="FootnoteReference"/>
          <w:sz w:val="24"/>
          <w:szCs w:val="24"/>
        </w:rPr>
        <w:footnoteReference w:id="25"/>
      </w:r>
      <w:r w:rsidR="00695A46" w:rsidRPr="00DD55FF">
        <w:rPr>
          <w:sz w:val="24"/>
          <w:szCs w:val="24"/>
        </w:rPr>
        <w:t xml:space="preserve"> </w:t>
      </w:r>
    </w:p>
    <w:p w:rsidR="00143EEE" w:rsidRPr="00DD55FF" w:rsidRDefault="00695A46" w:rsidP="00ED0675">
      <w:pPr>
        <w:ind w:firstLine="720"/>
        <w:jc w:val="both"/>
        <w:rPr>
          <w:sz w:val="24"/>
          <w:szCs w:val="24"/>
        </w:rPr>
      </w:pPr>
      <w:proofErr w:type="spellStart"/>
      <w:r w:rsidRPr="00DD55FF">
        <w:rPr>
          <w:sz w:val="24"/>
          <w:szCs w:val="24"/>
        </w:rPr>
        <w:t>Khaitan</w:t>
      </w:r>
      <w:proofErr w:type="spellEnd"/>
      <w:r w:rsidR="00F84070" w:rsidRPr="00DD55FF">
        <w:rPr>
          <w:sz w:val="24"/>
          <w:szCs w:val="24"/>
        </w:rPr>
        <w:t xml:space="preserve"> is</w:t>
      </w:r>
      <w:r w:rsidRPr="00DD55FF">
        <w:rPr>
          <w:sz w:val="24"/>
          <w:szCs w:val="24"/>
        </w:rPr>
        <w:t xml:space="preserve"> </w:t>
      </w:r>
      <w:r w:rsidR="00146E9A" w:rsidRPr="00DD55FF">
        <w:rPr>
          <w:sz w:val="24"/>
          <w:szCs w:val="24"/>
        </w:rPr>
        <w:t xml:space="preserve">nevertheless </w:t>
      </w:r>
      <w:r w:rsidR="00F84070" w:rsidRPr="00DD55FF">
        <w:rPr>
          <w:sz w:val="24"/>
          <w:szCs w:val="24"/>
        </w:rPr>
        <w:t xml:space="preserve">unwilling to rely solely on the argument from praxis to justify the current model of discrimination law. Instead, he </w:t>
      </w:r>
      <w:r w:rsidRPr="00DD55FF">
        <w:rPr>
          <w:sz w:val="24"/>
          <w:szCs w:val="24"/>
        </w:rPr>
        <w:t xml:space="preserve">suggests that </w:t>
      </w:r>
      <w:r w:rsidR="00146E9A" w:rsidRPr="00DD55FF">
        <w:rPr>
          <w:sz w:val="24"/>
          <w:szCs w:val="24"/>
        </w:rPr>
        <w:t xml:space="preserve">there is an ‘urgent’ need to </w:t>
      </w:r>
      <w:r w:rsidR="003C3AF8" w:rsidRPr="00DD55FF">
        <w:rPr>
          <w:sz w:val="24"/>
          <w:szCs w:val="24"/>
        </w:rPr>
        <w:t xml:space="preserve">return to grand theorizing, and to </w:t>
      </w:r>
      <w:r w:rsidR="00146E9A" w:rsidRPr="00DD55FF">
        <w:rPr>
          <w:sz w:val="24"/>
          <w:szCs w:val="24"/>
        </w:rPr>
        <w:t xml:space="preserve">identify a sound </w:t>
      </w:r>
      <w:r w:rsidR="003C3AF8" w:rsidRPr="00DD55FF">
        <w:rPr>
          <w:sz w:val="24"/>
          <w:szCs w:val="24"/>
        </w:rPr>
        <w:t xml:space="preserve">normative </w:t>
      </w:r>
      <w:r w:rsidR="00146E9A" w:rsidRPr="00DD55FF">
        <w:rPr>
          <w:sz w:val="24"/>
          <w:szCs w:val="24"/>
        </w:rPr>
        <w:t>fo</w:t>
      </w:r>
      <w:r w:rsidR="003C3AF8" w:rsidRPr="00DD55FF">
        <w:rPr>
          <w:sz w:val="24"/>
          <w:szCs w:val="24"/>
        </w:rPr>
        <w:t>undation for discrimination law</w:t>
      </w:r>
      <w:r w:rsidR="00146E9A" w:rsidRPr="00DD55FF">
        <w:rPr>
          <w:sz w:val="24"/>
          <w:szCs w:val="24"/>
        </w:rPr>
        <w:t xml:space="preserve"> </w:t>
      </w:r>
      <w:r w:rsidR="00F84070" w:rsidRPr="00DD55FF">
        <w:rPr>
          <w:sz w:val="24"/>
          <w:szCs w:val="24"/>
        </w:rPr>
        <w:t>as a self-contained area of legal regulation</w:t>
      </w:r>
      <w:r w:rsidR="00A7273E" w:rsidRPr="00DD55FF">
        <w:rPr>
          <w:sz w:val="24"/>
          <w:szCs w:val="24"/>
        </w:rPr>
        <w:t>. A</w:t>
      </w:r>
      <w:r w:rsidR="00143EEE" w:rsidRPr="00DD55FF">
        <w:rPr>
          <w:sz w:val="24"/>
          <w:szCs w:val="24"/>
        </w:rPr>
        <w:t xml:space="preserve">s he puts it: </w:t>
      </w:r>
    </w:p>
    <w:p w:rsidR="00695A46" w:rsidRPr="00DD55FF" w:rsidRDefault="00143EEE" w:rsidP="00DD55FF">
      <w:pPr>
        <w:ind w:left="720"/>
        <w:jc w:val="both"/>
        <w:rPr>
          <w:sz w:val="24"/>
          <w:szCs w:val="24"/>
        </w:rPr>
      </w:pPr>
      <w:r w:rsidRPr="00DD55FF">
        <w:rPr>
          <w:sz w:val="24"/>
          <w:szCs w:val="24"/>
        </w:rPr>
        <w:t>‘</w:t>
      </w:r>
      <w:r w:rsidR="00D760C9" w:rsidRPr="00DD55FF">
        <w:rPr>
          <w:sz w:val="24"/>
          <w:szCs w:val="24"/>
        </w:rPr>
        <w:t>[T]</w:t>
      </w:r>
      <w:r w:rsidRPr="00DD55FF">
        <w:rPr>
          <w:sz w:val="24"/>
          <w:szCs w:val="24"/>
        </w:rPr>
        <w:t>he Holy Grail…is a coherent normative foundation upon which discrimination law can securely rest.</w:t>
      </w:r>
      <w:r w:rsidR="00094C1E" w:rsidRPr="00DD55FF">
        <w:rPr>
          <w:sz w:val="24"/>
          <w:szCs w:val="24"/>
        </w:rPr>
        <w:t xml:space="preserve"> Dismissing this search as the </w:t>
      </w:r>
      <w:proofErr w:type="spellStart"/>
      <w:r w:rsidR="00094C1E" w:rsidRPr="00DD55FF">
        <w:rPr>
          <w:sz w:val="24"/>
          <w:szCs w:val="24"/>
        </w:rPr>
        <w:t>fetishi</w:t>
      </w:r>
      <w:r w:rsidR="00B32208" w:rsidRPr="00DD55FF">
        <w:rPr>
          <w:sz w:val="24"/>
          <w:szCs w:val="24"/>
        </w:rPr>
        <w:t>z</w:t>
      </w:r>
      <w:r w:rsidR="00094C1E" w:rsidRPr="00DD55FF">
        <w:rPr>
          <w:sz w:val="24"/>
          <w:szCs w:val="24"/>
        </w:rPr>
        <w:t>ation</w:t>
      </w:r>
      <w:proofErr w:type="spellEnd"/>
      <w:r w:rsidR="00094C1E" w:rsidRPr="00DD55FF">
        <w:rPr>
          <w:sz w:val="24"/>
          <w:szCs w:val="24"/>
        </w:rPr>
        <w:t xml:space="preserve"> of coherence will be unfair</w:t>
      </w:r>
      <w:r w:rsidR="007F6330">
        <w:rPr>
          <w:sz w:val="24"/>
          <w:szCs w:val="24"/>
        </w:rPr>
        <w:t>…</w:t>
      </w:r>
      <w:r w:rsidR="00094C1E" w:rsidRPr="00DD55FF">
        <w:rPr>
          <w:sz w:val="24"/>
          <w:szCs w:val="24"/>
        </w:rPr>
        <w:t>The battle of ideas has</w:t>
      </w:r>
      <w:r w:rsidRPr="00DD55FF">
        <w:rPr>
          <w:sz w:val="24"/>
          <w:szCs w:val="24"/>
        </w:rPr>
        <w:t xml:space="preserve"> </w:t>
      </w:r>
      <w:r w:rsidR="00B32208" w:rsidRPr="00DD55FF">
        <w:rPr>
          <w:sz w:val="24"/>
          <w:szCs w:val="24"/>
        </w:rPr>
        <w:t>important real-world implications.’</w:t>
      </w:r>
      <w:r w:rsidR="00B32208" w:rsidRPr="00DD55FF">
        <w:rPr>
          <w:rStyle w:val="FootnoteReference"/>
          <w:sz w:val="24"/>
          <w:szCs w:val="24"/>
        </w:rPr>
        <w:footnoteReference w:id="26"/>
      </w:r>
      <w:r w:rsidR="00146E9A" w:rsidRPr="00DD55FF">
        <w:rPr>
          <w:sz w:val="24"/>
          <w:szCs w:val="24"/>
        </w:rPr>
        <w:t xml:space="preserve"> </w:t>
      </w:r>
    </w:p>
    <w:p w:rsidR="00567904" w:rsidRDefault="009068C4" w:rsidP="00ED0675">
      <w:pPr>
        <w:ind w:firstLine="720"/>
        <w:jc w:val="both"/>
        <w:rPr>
          <w:sz w:val="24"/>
          <w:szCs w:val="24"/>
        </w:rPr>
      </w:pPr>
      <w:r w:rsidRPr="00DD55FF">
        <w:rPr>
          <w:sz w:val="24"/>
          <w:szCs w:val="24"/>
        </w:rPr>
        <w:t xml:space="preserve">Of course, </w:t>
      </w:r>
      <w:proofErr w:type="spellStart"/>
      <w:r w:rsidRPr="00DD55FF">
        <w:rPr>
          <w:sz w:val="24"/>
          <w:szCs w:val="24"/>
        </w:rPr>
        <w:t>Khaitan</w:t>
      </w:r>
      <w:proofErr w:type="spellEnd"/>
      <w:r w:rsidRPr="00DD55FF">
        <w:rPr>
          <w:sz w:val="24"/>
          <w:szCs w:val="24"/>
        </w:rPr>
        <w:t xml:space="preserve"> is not the first to embark on this quest</w:t>
      </w:r>
      <w:r w:rsidR="00831342" w:rsidRPr="00DD55FF">
        <w:rPr>
          <w:sz w:val="24"/>
          <w:szCs w:val="24"/>
        </w:rPr>
        <w:t xml:space="preserve"> for this ‘Holy Grail’</w:t>
      </w:r>
      <w:r w:rsidRPr="00DD55FF">
        <w:rPr>
          <w:sz w:val="24"/>
          <w:szCs w:val="24"/>
        </w:rPr>
        <w:t xml:space="preserve">. However, he argues that previous attempts to identify an adequate set of normative foundations for discrimination law have failed – or at best have only succeeded in shedding light on specific aspects of the law. </w:t>
      </w:r>
      <w:r w:rsidR="00403AE3" w:rsidRPr="00DD55FF">
        <w:rPr>
          <w:sz w:val="24"/>
          <w:szCs w:val="24"/>
        </w:rPr>
        <w:t xml:space="preserve">He suggests that </w:t>
      </w:r>
      <w:r w:rsidR="00EF17B1" w:rsidRPr="00DD55FF">
        <w:rPr>
          <w:sz w:val="24"/>
          <w:szCs w:val="24"/>
        </w:rPr>
        <w:t xml:space="preserve">these ‘candidate </w:t>
      </w:r>
      <w:r w:rsidR="005D758A" w:rsidRPr="00DD55FF">
        <w:rPr>
          <w:sz w:val="24"/>
          <w:szCs w:val="24"/>
        </w:rPr>
        <w:t>theories</w:t>
      </w:r>
      <w:r w:rsidR="00EF17B1" w:rsidRPr="00DD55FF">
        <w:rPr>
          <w:sz w:val="24"/>
          <w:szCs w:val="24"/>
        </w:rPr>
        <w:t>’</w:t>
      </w:r>
      <w:r w:rsidR="005D758A" w:rsidRPr="00DD55FF">
        <w:rPr>
          <w:sz w:val="24"/>
          <w:szCs w:val="24"/>
        </w:rPr>
        <w:t xml:space="preserve"> can be </w:t>
      </w:r>
      <w:r w:rsidR="00403AE3" w:rsidRPr="00DD55FF">
        <w:rPr>
          <w:sz w:val="24"/>
          <w:szCs w:val="24"/>
        </w:rPr>
        <w:t xml:space="preserve">roughly </w:t>
      </w:r>
      <w:r w:rsidR="005D758A" w:rsidRPr="00DD55FF">
        <w:rPr>
          <w:sz w:val="24"/>
          <w:szCs w:val="24"/>
        </w:rPr>
        <w:t xml:space="preserve">classified into three </w:t>
      </w:r>
      <w:r w:rsidR="00EF17B1" w:rsidRPr="00DD55FF">
        <w:rPr>
          <w:sz w:val="24"/>
          <w:szCs w:val="24"/>
        </w:rPr>
        <w:t xml:space="preserve">categories, </w:t>
      </w:r>
      <w:r w:rsidR="00403AE3" w:rsidRPr="00DD55FF">
        <w:rPr>
          <w:sz w:val="24"/>
          <w:szCs w:val="24"/>
        </w:rPr>
        <w:t xml:space="preserve">egalitarian, liberal and </w:t>
      </w:r>
      <w:proofErr w:type="spellStart"/>
      <w:r w:rsidR="00403AE3" w:rsidRPr="00DD55FF">
        <w:rPr>
          <w:sz w:val="24"/>
          <w:szCs w:val="24"/>
        </w:rPr>
        <w:t>dignaritarian</w:t>
      </w:r>
      <w:proofErr w:type="spellEnd"/>
      <w:r w:rsidR="00664FC5" w:rsidRPr="00DD55FF">
        <w:rPr>
          <w:sz w:val="24"/>
          <w:szCs w:val="24"/>
        </w:rPr>
        <w:t>.</w:t>
      </w:r>
      <w:r w:rsidR="00403AE3" w:rsidRPr="00DD55FF">
        <w:rPr>
          <w:sz w:val="24"/>
          <w:szCs w:val="24"/>
        </w:rPr>
        <w:t xml:space="preserve"> Egalitarian theories </w:t>
      </w:r>
      <w:r w:rsidR="00E45AE5" w:rsidRPr="00DD55FF">
        <w:rPr>
          <w:sz w:val="24"/>
          <w:szCs w:val="24"/>
        </w:rPr>
        <w:t xml:space="preserve">regard discrimination law as giving expression to an underlying commitment to the equality of status of all individuals, although they often differ as to what this principle entails in substance. Liberal theorists in </w:t>
      </w:r>
      <w:proofErr w:type="spellStart"/>
      <w:r w:rsidR="00E45AE5" w:rsidRPr="00DD55FF">
        <w:rPr>
          <w:sz w:val="24"/>
          <w:szCs w:val="24"/>
        </w:rPr>
        <w:t>Khaitan’s</w:t>
      </w:r>
      <w:proofErr w:type="spellEnd"/>
      <w:r w:rsidR="00E45AE5" w:rsidRPr="00DD55FF">
        <w:rPr>
          <w:sz w:val="24"/>
          <w:szCs w:val="24"/>
        </w:rPr>
        <w:t xml:space="preserve"> words think that ‘the job of providing a normative foundation to discrimination law is best performed by some (capacious) conception of liberty, autonomy or freedom’.</w:t>
      </w:r>
      <w:r w:rsidR="00E83096" w:rsidRPr="00DD55FF">
        <w:rPr>
          <w:rStyle w:val="FootnoteReference"/>
          <w:sz w:val="24"/>
          <w:szCs w:val="24"/>
        </w:rPr>
        <w:footnoteReference w:id="27"/>
      </w:r>
      <w:r w:rsidR="00E45AE5" w:rsidRPr="00DD55FF">
        <w:rPr>
          <w:sz w:val="24"/>
          <w:szCs w:val="24"/>
        </w:rPr>
        <w:t xml:space="preserve"> </w:t>
      </w:r>
      <w:proofErr w:type="spellStart"/>
      <w:r w:rsidR="00E45AE5" w:rsidRPr="00DD55FF">
        <w:rPr>
          <w:sz w:val="24"/>
          <w:szCs w:val="24"/>
        </w:rPr>
        <w:t>Dignaritarians</w:t>
      </w:r>
      <w:proofErr w:type="spellEnd"/>
      <w:r w:rsidR="00E45AE5" w:rsidRPr="00DD55FF">
        <w:rPr>
          <w:sz w:val="24"/>
          <w:szCs w:val="24"/>
        </w:rPr>
        <w:t xml:space="preserve"> regard discrimination law as justified on the basis that it helps to secure personal dignity. However, in </w:t>
      </w:r>
      <w:proofErr w:type="spellStart"/>
      <w:r w:rsidR="00E45AE5" w:rsidRPr="00DD55FF">
        <w:rPr>
          <w:sz w:val="24"/>
          <w:szCs w:val="24"/>
        </w:rPr>
        <w:t>Khaitan’s</w:t>
      </w:r>
      <w:proofErr w:type="spellEnd"/>
      <w:r w:rsidR="00E45AE5" w:rsidRPr="00DD55FF">
        <w:rPr>
          <w:sz w:val="24"/>
          <w:szCs w:val="24"/>
        </w:rPr>
        <w:t xml:space="preserve"> view, all three sets of theories are vulnerable to similar</w:t>
      </w:r>
      <w:r w:rsidR="00566BC9" w:rsidRPr="00DD55FF">
        <w:rPr>
          <w:sz w:val="24"/>
          <w:szCs w:val="24"/>
        </w:rPr>
        <w:t xml:space="preserve"> criticism: namely that they </w:t>
      </w:r>
      <w:r w:rsidRPr="00DD55FF">
        <w:rPr>
          <w:sz w:val="24"/>
          <w:szCs w:val="24"/>
        </w:rPr>
        <w:t xml:space="preserve">lead to </w:t>
      </w:r>
      <w:r w:rsidR="00566BC9" w:rsidRPr="00DD55FF">
        <w:rPr>
          <w:sz w:val="24"/>
          <w:szCs w:val="24"/>
        </w:rPr>
        <w:t>‘</w:t>
      </w:r>
      <w:r w:rsidRPr="00DD55FF">
        <w:rPr>
          <w:sz w:val="24"/>
          <w:szCs w:val="24"/>
        </w:rPr>
        <w:t>normatively unpalatable outcomes</w:t>
      </w:r>
      <w:r w:rsidR="00566BC9" w:rsidRPr="00DD55FF">
        <w:rPr>
          <w:sz w:val="24"/>
          <w:szCs w:val="24"/>
        </w:rPr>
        <w:t>’</w:t>
      </w:r>
      <w:r w:rsidRPr="00DD55FF">
        <w:rPr>
          <w:sz w:val="24"/>
          <w:szCs w:val="24"/>
        </w:rPr>
        <w:t xml:space="preserve"> an</w:t>
      </w:r>
      <w:r w:rsidR="00566BC9" w:rsidRPr="00DD55FF">
        <w:rPr>
          <w:sz w:val="24"/>
          <w:szCs w:val="24"/>
        </w:rPr>
        <w:t>d linked problems of fit.</w:t>
      </w:r>
      <w:r w:rsidR="00566BC9" w:rsidRPr="00DD55FF">
        <w:rPr>
          <w:rStyle w:val="FootnoteReference"/>
          <w:sz w:val="24"/>
          <w:szCs w:val="24"/>
        </w:rPr>
        <w:footnoteReference w:id="28"/>
      </w:r>
      <w:r w:rsidR="00721668" w:rsidRPr="00DD55FF">
        <w:rPr>
          <w:sz w:val="24"/>
          <w:szCs w:val="24"/>
        </w:rPr>
        <w:t xml:space="preserve"> </w:t>
      </w:r>
    </w:p>
    <w:p w:rsidR="00567452" w:rsidRPr="00DD55FF" w:rsidRDefault="00C84351" w:rsidP="00ED0675">
      <w:pPr>
        <w:ind w:firstLine="720"/>
        <w:jc w:val="both"/>
        <w:rPr>
          <w:sz w:val="24"/>
          <w:szCs w:val="24"/>
        </w:rPr>
      </w:pPr>
      <w:r w:rsidRPr="00DD55FF">
        <w:rPr>
          <w:sz w:val="24"/>
          <w:szCs w:val="24"/>
        </w:rPr>
        <w:t>More specifically, Khaitan n</w:t>
      </w:r>
      <w:r w:rsidR="00944B3C" w:rsidRPr="00DD55FF">
        <w:rPr>
          <w:sz w:val="24"/>
          <w:szCs w:val="24"/>
        </w:rPr>
        <w:t>otes that t</w:t>
      </w:r>
      <w:r w:rsidR="00721668" w:rsidRPr="00DD55FF">
        <w:rPr>
          <w:sz w:val="24"/>
          <w:szCs w:val="24"/>
        </w:rPr>
        <w:t xml:space="preserve">he principle of equality has been accused of lacking much in the way of meaningful substance, and also of failing to provide any real </w:t>
      </w:r>
      <w:r w:rsidR="00721668" w:rsidRPr="00DD55FF">
        <w:rPr>
          <w:sz w:val="24"/>
          <w:szCs w:val="24"/>
        </w:rPr>
        <w:lastRenderedPageBreak/>
        <w:t>justificatory force to the provisions of discrimination law.</w:t>
      </w:r>
      <w:r w:rsidR="00E83096" w:rsidRPr="00DD55FF">
        <w:rPr>
          <w:rStyle w:val="FootnoteReference"/>
          <w:sz w:val="24"/>
          <w:szCs w:val="24"/>
        </w:rPr>
        <w:footnoteReference w:id="29"/>
      </w:r>
      <w:r w:rsidR="00721668" w:rsidRPr="00DD55FF">
        <w:rPr>
          <w:sz w:val="24"/>
          <w:szCs w:val="24"/>
        </w:rPr>
        <w:t xml:space="preserve"> </w:t>
      </w:r>
      <w:r w:rsidRPr="00DD55FF">
        <w:rPr>
          <w:sz w:val="24"/>
          <w:szCs w:val="24"/>
        </w:rPr>
        <w:t>Furthermore, both l</w:t>
      </w:r>
      <w:r w:rsidR="00721668" w:rsidRPr="00DD55FF">
        <w:rPr>
          <w:sz w:val="24"/>
          <w:szCs w:val="24"/>
        </w:rPr>
        <w:t xml:space="preserve">iberal </w:t>
      </w:r>
      <w:r w:rsidRPr="00DD55FF">
        <w:rPr>
          <w:sz w:val="24"/>
          <w:szCs w:val="24"/>
        </w:rPr>
        <w:t xml:space="preserve">and </w:t>
      </w:r>
      <w:proofErr w:type="spellStart"/>
      <w:r w:rsidRPr="00DD55FF">
        <w:rPr>
          <w:sz w:val="24"/>
          <w:szCs w:val="24"/>
        </w:rPr>
        <w:t>dignitarian</w:t>
      </w:r>
      <w:proofErr w:type="spellEnd"/>
      <w:r w:rsidRPr="00DD55FF">
        <w:rPr>
          <w:sz w:val="24"/>
          <w:szCs w:val="24"/>
        </w:rPr>
        <w:t xml:space="preserve"> </w:t>
      </w:r>
      <w:r w:rsidR="00721668" w:rsidRPr="00DD55FF">
        <w:rPr>
          <w:sz w:val="24"/>
          <w:szCs w:val="24"/>
        </w:rPr>
        <w:t>theories have been criticised for</w:t>
      </w:r>
      <w:r w:rsidR="009418DB" w:rsidRPr="00DD55FF">
        <w:rPr>
          <w:sz w:val="24"/>
          <w:szCs w:val="24"/>
        </w:rPr>
        <w:t xml:space="preserve"> being</w:t>
      </w:r>
      <w:r w:rsidR="00721668" w:rsidRPr="00DD55FF">
        <w:rPr>
          <w:sz w:val="24"/>
          <w:szCs w:val="24"/>
        </w:rPr>
        <w:t xml:space="preserve"> under-inclusive</w:t>
      </w:r>
      <w:r w:rsidR="009418DB" w:rsidRPr="00DD55FF">
        <w:rPr>
          <w:sz w:val="24"/>
          <w:szCs w:val="24"/>
        </w:rPr>
        <w:t xml:space="preserve">, </w:t>
      </w:r>
      <w:r w:rsidR="00721668" w:rsidRPr="00DD55FF">
        <w:rPr>
          <w:sz w:val="24"/>
          <w:szCs w:val="24"/>
        </w:rPr>
        <w:t xml:space="preserve">in the sense that they </w:t>
      </w:r>
      <w:r w:rsidR="00AC215A" w:rsidRPr="00DD55FF">
        <w:rPr>
          <w:sz w:val="24"/>
          <w:szCs w:val="24"/>
        </w:rPr>
        <w:t xml:space="preserve">struggle to </w:t>
      </w:r>
      <w:r w:rsidR="00721668" w:rsidRPr="00DD55FF">
        <w:rPr>
          <w:sz w:val="24"/>
          <w:szCs w:val="24"/>
        </w:rPr>
        <w:t xml:space="preserve">justify why certain aspects of discrimination </w:t>
      </w:r>
      <w:r w:rsidR="00AC215A" w:rsidRPr="00DD55FF">
        <w:rPr>
          <w:sz w:val="24"/>
          <w:szCs w:val="24"/>
        </w:rPr>
        <w:t xml:space="preserve">law </w:t>
      </w:r>
      <w:r w:rsidR="00721668" w:rsidRPr="00DD55FF">
        <w:rPr>
          <w:sz w:val="24"/>
          <w:szCs w:val="24"/>
        </w:rPr>
        <w:t>curtail individual freedom in any meaningful way</w:t>
      </w:r>
      <w:r w:rsidR="009418DB" w:rsidRPr="00DD55FF">
        <w:rPr>
          <w:sz w:val="24"/>
          <w:szCs w:val="24"/>
        </w:rPr>
        <w:t>.</w:t>
      </w:r>
      <w:r w:rsidR="000B40D1" w:rsidRPr="00DD55FF">
        <w:rPr>
          <w:rStyle w:val="FootnoteReference"/>
          <w:sz w:val="24"/>
          <w:szCs w:val="24"/>
        </w:rPr>
        <w:footnoteReference w:id="30"/>
      </w:r>
      <w:r w:rsidR="009418DB" w:rsidRPr="00DD55FF">
        <w:rPr>
          <w:sz w:val="24"/>
          <w:szCs w:val="24"/>
        </w:rPr>
        <w:t xml:space="preserve"> </w:t>
      </w:r>
    </w:p>
    <w:p w:rsidR="00567452" w:rsidRPr="00DD55FF" w:rsidRDefault="008F253F" w:rsidP="00ED0675">
      <w:pPr>
        <w:ind w:firstLine="720"/>
        <w:jc w:val="both"/>
        <w:rPr>
          <w:sz w:val="24"/>
          <w:szCs w:val="24"/>
        </w:rPr>
      </w:pPr>
      <w:proofErr w:type="spellStart"/>
      <w:r w:rsidRPr="00DD55FF">
        <w:rPr>
          <w:sz w:val="24"/>
          <w:szCs w:val="24"/>
        </w:rPr>
        <w:t>Khaitan</w:t>
      </w:r>
      <w:r w:rsidR="00944B3C" w:rsidRPr="00DD55FF">
        <w:rPr>
          <w:sz w:val="24"/>
          <w:szCs w:val="24"/>
        </w:rPr>
        <w:t>’s</w:t>
      </w:r>
      <w:proofErr w:type="spellEnd"/>
      <w:r w:rsidR="00944B3C" w:rsidRPr="00DD55FF">
        <w:rPr>
          <w:sz w:val="24"/>
          <w:szCs w:val="24"/>
        </w:rPr>
        <w:t xml:space="preserve"> </w:t>
      </w:r>
      <w:r w:rsidR="00C84351" w:rsidRPr="00DD55FF">
        <w:rPr>
          <w:sz w:val="24"/>
          <w:szCs w:val="24"/>
        </w:rPr>
        <w:t xml:space="preserve">critique in this regard </w:t>
      </w:r>
      <w:r w:rsidR="00944B3C" w:rsidRPr="00DD55FF">
        <w:rPr>
          <w:sz w:val="24"/>
          <w:szCs w:val="24"/>
        </w:rPr>
        <w:t>is a little thin</w:t>
      </w:r>
      <w:r w:rsidR="00C84351" w:rsidRPr="00DD55FF">
        <w:rPr>
          <w:sz w:val="24"/>
          <w:szCs w:val="24"/>
        </w:rPr>
        <w:t xml:space="preserve">, and could </w:t>
      </w:r>
      <w:r w:rsidR="00F81807" w:rsidRPr="00DD55FF">
        <w:rPr>
          <w:sz w:val="24"/>
          <w:szCs w:val="24"/>
        </w:rPr>
        <w:t>have benefited from more detailed elaboration.</w:t>
      </w:r>
      <w:r w:rsidR="00F81807" w:rsidRPr="00DD55FF">
        <w:rPr>
          <w:rStyle w:val="FootnoteReference"/>
          <w:sz w:val="24"/>
          <w:szCs w:val="24"/>
        </w:rPr>
        <w:footnoteReference w:id="31"/>
      </w:r>
      <w:r w:rsidR="00664FC5" w:rsidRPr="00DD55FF">
        <w:rPr>
          <w:sz w:val="24"/>
          <w:szCs w:val="24"/>
        </w:rPr>
        <w:t xml:space="preserve"> But his shorthand account of </w:t>
      </w:r>
      <w:r w:rsidR="007F6330" w:rsidRPr="007F6330">
        <w:rPr>
          <w:sz w:val="24"/>
          <w:szCs w:val="24"/>
        </w:rPr>
        <w:t xml:space="preserve">the limitations of the egalitarian, liberal, and </w:t>
      </w:r>
      <w:proofErr w:type="spellStart"/>
      <w:r w:rsidR="007F6330" w:rsidRPr="007F6330">
        <w:rPr>
          <w:sz w:val="24"/>
          <w:szCs w:val="24"/>
        </w:rPr>
        <w:t>dignatarian</w:t>
      </w:r>
      <w:proofErr w:type="spellEnd"/>
      <w:r w:rsidR="007F6330" w:rsidRPr="007F6330">
        <w:rPr>
          <w:sz w:val="24"/>
          <w:szCs w:val="24"/>
        </w:rPr>
        <w:t xml:space="preserve"> normative theories nevertheless hits</w:t>
      </w:r>
      <w:r w:rsidR="007F6330">
        <w:rPr>
          <w:sz w:val="24"/>
          <w:szCs w:val="24"/>
        </w:rPr>
        <w:t xml:space="preserve"> home</w:t>
      </w:r>
      <w:r w:rsidR="00664FC5" w:rsidRPr="00DD55FF">
        <w:rPr>
          <w:sz w:val="24"/>
          <w:szCs w:val="24"/>
        </w:rPr>
        <w:t xml:space="preserve">. </w:t>
      </w:r>
      <w:r w:rsidR="00C84351" w:rsidRPr="00DD55FF">
        <w:rPr>
          <w:sz w:val="24"/>
          <w:szCs w:val="24"/>
        </w:rPr>
        <w:t>In response to these</w:t>
      </w:r>
      <w:r w:rsidR="00664FC5" w:rsidRPr="00DD55FF">
        <w:rPr>
          <w:sz w:val="24"/>
          <w:szCs w:val="24"/>
        </w:rPr>
        <w:t xml:space="preserve"> deficiencies, a</w:t>
      </w:r>
      <w:r w:rsidR="00E23462" w:rsidRPr="00DD55FF">
        <w:rPr>
          <w:sz w:val="24"/>
          <w:szCs w:val="24"/>
        </w:rPr>
        <w:t>s Khaitan notes, ‘</w:t>
      </w:r>
      <w:r w:rsidRPr="00DD55FF">
        <w:rPr>
          <w:sz w:val="24"/>
          <w:szCs w:val="24"/>
        </w:rPr>
        <w:t>pluralist</w:t>
      </w:r>
      <w:r w:rsidR="00E23462" w:rsidRPr="00DD55FF">
        <w:rPr>
          <w:sz w:val="24"/>
          <w:szCs w:val="24"/>
        </w:rPr>
        <w:t xml:space="preserve">’ </w:t>
      </w:r>
      <w:r w:rsidR="00664FC5" w:rsidRPr="00DD55FF">
        <w:rPr>
          <w:sz w:val="24"/>
          <w:szCs w:val="24"/>
        </w:rPr>
        <w:t xml:space="preserve">theories have emerged </w:t>
      </w:r>
      <w:r w:rsidRPr="00DD55FF">
        <w:rPr>
          <w:sz w:val="24"/>
          <w:szCs w:val="24"/>
        </w:rPr>
        <w:t>which view discrimination law as resting on ‘</w:t>
      </w:r>
      <w:r w:rsidR="009068C4" w:rsidRPr="00DD55FF">
        <w:rPr>
          <w:sz w:val="24"/>
          <w:szCs w:val="24"/>
        </w:rPr>
        <w:t>multiple normative foundations</w:t>
      </w:r>
      <w:r w:rsidR="00E23462" w:rsidRPr="00DD55FF">
        <w:rPr>
          <w:sz w:val="24"/>
          <w:szCs w:val="24"/>
        </w:rPr>
        <w:t>’</w:t>
      </w:r>
      <w:r w:rsidR="00C84351" w:rsidRPr="00DD55FF">
        <w:rPr>
          <w:sz w:val="24"/>
          <w:szCs w:val="24"/>
        </w:rPr>
        <w:t>.</w:t>
      </w:r>
      <w:r w:rsidR="00255115" w:rsidRPr="00DD55FF">
        <w:rPr>
          <w:sz w:val="24"/>
          <w:szCs w:val="24"/>
          <w:vertAlign w:val="superscript"/>
        </w:rPr>
        <w:t xml:space="preserve"> </w:t>
      </w:r>
      <w:r w:rsidR="00255115" w:rsidRPr="00DD55FF">
        <w:rPr>
          <w:sz w:val="24"/>
          <w:szCs w:val="24"/>
          <w:vertAlign w:val="superscript"/>
        </w:rPr>
        <w:footnoteReference w:id="32"/>
      </w:r>
      <w:r w:rsidR="00255115" w:rsidRPr="00DD55FF">
        <w:rPr>
          <w:sz w:val="24"/>
          <w:szCs w:val="24"/>
        </w:rPr>
        <w:t xml:space="preserve"> A</w:t>
      </w:r>
      <w:r w:rsidRPr="00DD55FF">
        <w:rPr>
          <w:sz w:val="24"/>
          <w:szCs w:val="24"/>
        </w:rPr>
        <w:t xml:space="preserve"> pessimist strain of thought </w:t>
      </w:r>
      <w:r w:rsidR="00255115" w:rsidRPr="00DD55FF">
        <w:rPr>
          <w:sz w:val="24"/>
          <w:szCs w:val="24"/>
        </w:rPr>
        <w:t xml:space="preserve">has also emerged, </w:t>
      </w:r>
      <w:r w:rsidRPr="00DD55FF">
        <w:rPr>
          <w:sz w:val="24"/>
          <w:szCs w:val="24"/>
        </w:rPr>
        <w:t>which regards the law in this context</w:t>
      </w:r>
      <w:r w:rsidR="00255115" w:rsidRPr="00DD55FF">
        <w:rPr>
          <w:sz w:val="24"/>
          <w:szCs w:val="24"/>
        </w:rPr>
        <w:t xml:space="preserve"> as lacking any real coherent normative foundation.</w:t>
      </w:r>
      <w:r w:rsidR="00255115" w:rsidRPr="00DD55FF">
        <w:rPr>
          <w:rStyle w:val="FootnoteReference"/>
          <w:sz w:val="24"/>
          <w:szCs w:val="24"/>
        </w:rPr>
        <w:footnoteReference w:id="33"/>
      </w:r>
      <w:r w:rsidR="00255115" w:rsidRPr="00DD55FF">
        <w:rPr>
          <w:sz w:val="24"/>
          <w:szCs w:val="24"/>
        </w:rPr>
        <w:t xml:space="preserve"> </w:t>
      </w:r>
      <w:r w:rsidR="00C84351" w:rsidRPr="00DD55FF">
        <w:rPr>
          <w:sz w:val="24"/>
          <w:szCs w:val="24"/>
        </w:rPr>
        <w:t>Khaitan is sympathetic to the former, but not to the latter. In his view, t</w:t>
      </w:r>
      <w:r w:rsidRPr="00DD55FF">
        <w:rPr>
          <w:sz w:val="24"/>
          <w:szCs w:val="24"/>
        </w:rPr>
        <w:t>he pessimists have ‘hung up their boots all too soon’.</w:t>
      </w:r>
      <w:r w:rsidRPr="00DD55FF">
        <w:rPr>
          <w:rStyle w:val="FootnoteReference"/>
          <w:sz w:val="24"/>
          <w:szCs w:val="24"/>
        </w:rPr>
        <w:footnoteReference w:id="34"/>
      </w:r>
      <w:r w:rsidR="00400851" w:rsidRPr="00DD55FF">
        <w:rPr>
          <w:sz w:val="24"/>
          <w:szCs w:val="24"/>
        </w:rPr>
        <w:t xml:space="preserve"> Instead, </w:t>
      </w:r>
      <w:r w:rsidR="00BF6E93" w:rsidRPr="00DD55FF">
        <w:rPr>
          <w:sz w:val="24"/>
          <w:szCs w:val="24"/>
        </w:rPr>
        <w:t>he</w:t>
      </w:r>
      <w:r w:rsidR="00400851" w:rsidRPr="00DD55FF">
        <w:rPr>
          <w:sz w:val="24"/>
          <w:szCs w:val="24"/>
        </w:rPr>
        <w:t xml:space="preserve"> argues </w:t>
      </w:r>
      <w:r w:rsidR="00F96BE1" w:rsidRPr="00DD55FF">
        <w:rPr>
          <w:sz w:val="24"/>
          <w:szCs w:val="24"/>
        </w:rPr>
        <w:t xml:space="preserve">that </w:t>
      </w:r>
      <w:r w:rsidR="00400851" w:rsidRPr="00DD55FF">
        <w:rPr>
          <w:sz w:val="24"/>
          <w:szCs w:val="24"/>
        </w:rPr>
        <w:t xml:space="preserve">the existing candidate theories, for all their limitations, nevertheless </w:t>
      </w:r>
      <w:r w:rsidR="00F96BE1" w:rsidRPr="00DD55FF">
        <w:rPr>
          <w:sz w:val="24"/>
          <w:szCs w:val="24"/>
        </w:rPr>
        <w:t>are capable of yielding up raw materials which can be combined into the building blocks of a new</w:t>
      </w:r>
      <w:r w:rsidR="00400851" w:rsidRPr="00DD55FF">
        <w:rPr>
          <w:sz w:val="24"/>
          <w:szCs w:val="24"/>
        </w:rPr>
        <w:t>, better developed</w:t>
      </w:r>
      <w:r w:rsidR="00F96BE1" w:rsidRPr="00DD55FF">
        <w:rPr>
          <w:sz w:val="24"/>
          <w:szCs w:val="24"/>
        </w:rPr>
        <w:t xml:space="preserve"> theoretical approach. </w:t>
      </w:r>
      <w:r w:rsidR="008D029D" w:rsidRPr="00DD55FF">
        <w:rPr>
          <w:sz w:val="24"/>
          <w:szCs w:val="24"/>
        </w:rPr>
        <w:t xml:space="preserve">However, such an approach cannot be based solely on </w:t>
      </w:r>
      <w:r w:rsidR="0028351C" w:rsidRPr="00DD55FF">
        <w:rPr>
          <w:sz w:val="24"/>
          <w:szCs w:val="24"/>
        </w:rPr>
        <w:t>vague appeals to abstract</w:t>
      </w:r>
      <w:r w:rsidR="0070206F" w:rsidRPr="00DD55FF">
        <w:rPr>
          <w:sz w:val="24"/>
          <w:szCs w:val="24"/>
        </w:rPr>
        <w:t xml:space="preserve"> </w:t>
      </w:r>
      <w:r w:rsidR="008D029D" w:rsidRPr="00DD55FF">
        <w:rPr>
          <w:sz w:val="24"/>
          <w:szCs w:val="24"/>
        </w:rPr>
        <w:t>i</w:t>
      </w:r>
      <w:r w:rsidR="0028351C" w:rsidRPr="00DD55FF">
        <w:rPr>
          <w:sz w:val="24"/>
          <w:szCs w:val="24"/>
        </w:rPr>
        <w:t xml:space="preserve">deals </w:t>
      </w:r>
      <w:r w:rsidR="008D029D" w:rsidRPr="00DD55FF">
        <w:rPr>
          <w:sz w:val="24"/>
          <w:szCs w:val="24"/>
        </w:rPr>
        <w:t xml:space="preserve">such as ‘equality’, ’autonomy’ or ‘dignity’: ‘appeals to at least some of these values cannot be avoided…but they need to be </w:t>
      </w:r>
      <w:r w:rsidR="0070206F" w:rsidRPr="00DD55FF">
        <w:rPr>
          <w:sz w:val="24"/>
          <w:szCs w:val="24"/>
        </w:rPr>
        <w:t>con</w:t>
      </w:r>
      <w:r w:rsidR="008D029D" w:rsidRPr="00DD55FF">
        <w:rPr>
          <w:sz w:val="24"/>
          <w:szCs w:val="24"/>
        </w:rPr>
        <w:t>cretiz</w:t>
      </w:r>
      <w:r w:rsidR="0070206F" w:rsidRPr="00DD55FF">
        <w:rPr>
          <w:sz w:val="24"/>
          <w:szCs w:val="24"/>
        </w:rPr>
        <w:t xml:space="preserve">ed </w:t>
      </w:r>
      <w:r w:rsidR="008D029D" w:rsidRPr="00DD55FF">
        <w:rPr>
          <w:sz w:val="24"/>
          <w:szCs w:val="24"/>
        </w:rPr>
        <w:t>somewhat into a conception that we are able to grasp’.</w:t>
      </w:r>
      <w:r w:rsidR="00400851" w:rsidRPr="00DD55FF">
        <w:rPr>
          <w:rStyle w:val="FootnoteReference"/>
          <w:sz w:val="24"/>
          <w:szCs w:val="24"/>
        </w:rPr>
        <w:footnoteReference w:id="35"/>
      </w:r>
      <w:r w:rsidR="00567452" w:rsidRPr="00DD55FF">
        <w:rPr>
          <w:sz w:val="24"/>
          <w:szCs w:val="24"/>
        </w:rPr>
        <w:t xml:space="preserve"> </w:t>
      </w:r>
    </w:p>
    <w:p w:rsidR="006516EC" w:rsidRPr="00DD55FF" w:rsidRDefault="008D029D" w:rsidP="00ED0675">
      <w:pPr>
        <w:ind w:firstLine="720"/>
        <w:jc w:val="both"/>
        <w:rPr>
          <w:sz w:val="24"/>
          <w:szCs w:val="24"/>
        </w:rPr>
      </w:pPr>
      <w:r w:rsidRPr="00DD55FF">
        <w:rPr>
          <w:sz w:val="24"/>
          <w:szCs w:val="24"/>
        </w:rPr>
        <w:t xml:space="preserve">In other words, Khaitan sets out to </w:t>
      </w:r>
      <w:r w:rsidR="00B221E7" w:rsidRPr="00DD55FF">
        <w:rPr>
          <w:sz w:val="24"/>
          <w:szCs w:val="24"/>
        </w:rPr>
        <w:t xml:space="preserve">develop a sophisticated </w:t>
      </w:r>
      <w:r w:rsidR="00C17064" w:rsidRPr="00DD55FF">
        <w:rPr>
          <w:sz w:val="24"/>
          <w:szCs w:val="24"/>
        </w:rPr>
        <w:t>theoretical framework rooted in value pluralism</w:t>
      </w:r>
      <w:r w:rsidR="00B221E7" w:rsidRPr="00DD55FF">
        <w:rPr>
          <w:sz w:val="24"/>
          <w:szCs w:val="24"/>
        </w:rPr>
        <w:t xml:space="preserve"> </w:t>
      </w:r>
      <w:r w:rsidR="00C17064" w:rsidRPr="00DD55FF">
        <w:rPr>
          <w:sz w:val="24"/>
          <w:szCs w:val="24"/>
        </w:rPr>
        <w:t xml:space="preserve">that </w:t>
      </w:r>
      <w:r w:rsidR="00B221E7" w:rsidRPr="00DD55FF">
        <w:rPr>
          <w:sz w:val="24"/>
          <w:szCs w:val="24"/>
        </w:rPr>
        <w:t>can provide the type of comprehensive normative foundation</w:t>
      </w:r>
      <w:r w:rsidR="00C17064" w:rsidRPr="00DD55FF">
        <w:rPr>
          <w:sz w:val="24"/>
          <w:szCs w:val="24"/>
        </w:rPr>
        <w:t xml:space="preserve"> that discrimination law requires. In </w:t>
      </w:r>
      <w:r w:rsidR="00CD5424" w:rsidRPr="00DD55FF">
        <w:rPr>
          <w:sz w:val="24"/>
          <w:szCs w:val="24"/>
        </w:rPr>
        <w:t>articulating this ambition, he emphasises that his aim is to generate a</w:t>
      </w:r>
      <w:r w:rsidR="00C17064" w:rsidRPr="00DD55FF">
        <w:rPr>
          <w:sz w:val="24"/>
          <w:szCs w:val="24"/>
        </w:rPr>
        <w:t xml:space="preserve"> </w:t>
      </w:r>
      <w:r w:rsidR="00CD5424" w:rsidRPr="00DD55FF">
        <w:rPr>
          <w:sz w:val="24"/>
          <w:szCs w:val="24"/>
        </w:rPr>
        <w:t xml:space="preserve">theory of </w:t>
      </w:r>
      <w:r w:rsidR="00CD5424" w:rsidRPr="00DD55FF">
        <w:rPr>
          <w:i/>
          <w:sz w:val="24"/>
          <w:szCs w:val="24"/>
        </w:rPr>
        <w:t xml:space="preserve">discrimination law </w:t>
      </w:r>
      <w:r w:rsidR="00CD5424" w:rsidRPr="00DD55FF">
        <w:rPr>
          <w:sz w:val="24"/>
          <w:szCs w:val="24"/>
        </w:rPr>
        <w:t xml:space="preserve">– not to set out a </w:t>
      </w:r>
      <w:r w:rsidR="00DA68A5" w:rsidRPr="00DD55FF">
        <w:rPr>
          <w:sz w:val="24"/>
          <w:szCs w:val="24"/>
        </w:rPr>
        <w:t xml:space="preserve">sociological or moral account of the ‘wrongness’ of </w:t>
      </w:r>
      <w:r w:rsidR="00DA68A5" w:rsidRPr="00DD55FF">
        <w:rPr>
          <w:i/>
          <w:sz w:val="24"/>
          <w:szCs w:val="24"/>
        </w:rPr>
        <w:t>discrimination</w:t>
      </w:r>
      <w:r w:rsidR="00CD5424" w:rsidRPr="00DD55FF">
        <w:rPr>
          <w:sz w:val="24"/>
          <w:szCs w:val="24"/>
        </w:rPr>
        <w:t xml:space="preserve"> as such.</w:t>
      </w:r>
      <w:r w:rsidR="00797DC2" w:rsidRPr="00DD55FF">
        <w:rPr>
          <w:rStyle w:val="FootnoteReference"/>
          <w:sz w:val="24"/>
          <w:szCs w:val="24"/>
        </w:rPr>
        <w:footnoteReference w:id="36"/>
      </w:r>
      <w:r w:rsidR="00CD5424" w:rsidRPr="00DD55FF">
        <w:rPr>
          <w:sz w:val="24"/>
          <w:szCs w:val="24"/>
        </w:rPr>
        <w:t xml:space="preserve"> </w:t>
      </w:r>
      <w:r w:rsidR="00C90DAC" w:rsidRPr="00DD55FF">
        <w:rPr>
          <w:sz w:val="24"/>
          <w:szCs w:val="24"/>
        </w:rPr>
        <w:t xml:space="preserve">Furthermore, he states that </w:t>
      </w:r>
      <w:r w:rsidR="009068C4" w:rsidRPr="00DD55FF">
        <w:rPr>
          <w:sz w:val="24"/>
          <w:szCs w:val="24"/>
        </w:rPr>
        <w:t xml:space="preserve">any such theory needs to </w:t>
      </w:r>
      <w:r w:rsidR="0028351C" w:rsidRPr="00DD55FF">
        <w:rPr>
          <w:sz w:val="24"/>
          <w:szCs w:val="24"/>
        </w:rPr>
        <w:t xml:space="preserve">recognise that </w:t>
      </w:r>
      <w:r w:rsidR="00C90DAC" w:rsidRPr="00DD55FF">
        <w:rPr>
          <w:sz w:val="24"/>
          <w:szCs w:val="24"/>
        </w:rPr>
        <w:t>d</w:t>
      </w:r>
      <w:r w:rsidR="009068C4" w:rsidRPr="00DD55FF">
        <w:rPr>
          <w:sz w:val="24"/>
          <w:szCs w:val="24"/>
        </w:rPr>
        <w:t>ifferent n</w:t>
      </w:r>
      <w:r w:rsidR="00C90DAC" w:rsidRPr="00DD55FF">
        <w:rPr>
          <w:sz w:val="24"/>
          <w:szCs w:val="24"/>
        </w:rPr>
        <w:t xml:space="preserve">ormative </w:t>
      </w:r>
      <w:r w:rsidR="009068C4" w:rsidRPr="00DD55FF">
        <w:rPr>
          <w:sz w:val="24"/>
          <w:szCs w:val="24"/>
        </w:rPr>
        <w:t xml:space="preserve">principles </w:t>
      </w:r>
      <w:r w:rsidR="00C90DAC" w:rsidRPr="00DD55FF">
        <w:rPr>
          <w:sz w:val="24"/>
          <w:szCs w:val="24"/>
        </w:rPr>
        <w:t xml:space="preserve">may be </w:t>
      </w:r>
      <w:r w:rsidR="009068C4" w:rsidRPr="00DD55FF">
        <w:rPr>
          <w:sz w:val="24"/>
          <w:szCs w:val="24"/>
        </w:rPr>
        <w:t>relevant at different levels of inquiry</w:t>
      </w:r>
      <w:r w:rsidR="00C90DAC" w:rsidRPr="00DD55FF">
        <w:rPr>
          <w:sz w:val="24"/>
          <w:szCs w:val="24"/>
        </w:rPr>
        <w:t xml:space="preserve">: in particular, he cites Hart in emphasising the need to </w:t>
      </w:r>
      <w:r w:rsidR="00302C72" w:rsidRPr="00DD55FF">
        <w:rPr>
          <w:sz w:val="24"/>
          <w:szCs w:val="24"/>
        </w:rPr>
        <w:t xml:space="preserve">distinguish between </w:t>
      </w:r>
      <w:r w:rsidR="00E2707F" w:rsidRPr="00DD55FF">
        <w:rPr>
          <w:sz w:val="24"/>
          <w:szCs w:val="24"/>
        </w:rPr>
        <w:t xml:space="preserve">a </w:t>
      </w:r>
      <w:r w:rsidR="009068C4" w:rsidRPr="00DD55FF">
        <w:rPr>
          <w:i/>
          <w:sz w:val="24"/>
          <w:szCs w:val="24"/>
        </w:rPr>
        <w:t>purposive</w:t>
      </w:r>
      <w:r w:rsidR="009068C4" w:rsidRPr="00DD55FF">
        <w:rPr>
          <w:sz w:val="24"/>
          <w:szCs w:val="24"/>
        </w:rPr>
        <w:t xml:space="preserve"> inquiry into the general justifying aim</w:t>
      </w:r>
      <w:r w:rsidR="00E2707F" w:rsidRPr="00DD55FF">
        <w:rPr>
          <w:sz w:val="24"/>
          <w:szCs w:val="24"/>
        </w:rPr>
        <w:t xml:space="preserve">(s) of discrimination law (i.e. what is the purpose of his </w:t>
      </w:r>
      <w:r w:rsidR="00E2707F" w:rsidRPr="00DD55FF">
        <w:rPr>
          <w:sz w:val="24"/>
          <w:szCs w:val="24"/>
        </w:rPr>
        <w:lastRenderedPageBreak/>
        <w:t>legal framework)</w:t>
      </w:r>
      <w:r w:rsidR="009068C4" w:rsidRPr="00DD55FF">
        <w:rPr>
          <w:sz w:val="24"/>
          <w:szCs w:val="24"/>
        </w:rPr>
        <w:t xml:space="preserve"> and </w:t>
      </w:r>
      <w:r w:rsidR="00E2707F" w:rsidRPr="00DD55FF">
        <w:rPr>
          <w:sz w:val="24"/>
          <w:szCs w:val="24"/>
        </w:rPr>
        <w:t xml:space="preserve">a more intermediate level of inquiry into </w:t>
      </w:r>
      <w:r w:rsidR="009068C4" w:rsidRPr="00DD55FF">
        <w:rPr>
          <w:sz w:val="24"/>
          <w:szCs w:val="24"/>
        </w:rPr>
        <w:t xml:space="preserve">a set of </w:t>
      </w:r>
      <w:r w:rsidR="009068C4" w:rsidRPr="00DD55FF">
        <w:rPr>
          <w:i/>
          <w:sz w:val="24"/>
          <w:szCs w:val="24"/>
        </w:rPr>
        <w:t>distributive</w:t>
      </w:r>
      <w:r w:rsidR="009068C4" w:rsidRPr="00DD55FF">
        <w:rPr>
          <w:sz w:val="24"/>
          <w:szCs w:val="24"/>
        </w:rPr>
        <w:t xml:space="preserve"> sub-questions ‘internal to law’</w:t>
      </w:r>
      <w:r w:rsidR="00E2707F" w:rsidRPr="00DD55FF">
        <w:rPr>
          <w:sz w:val="24"/>
          <w:szCs w:val="24"/>
        </w:rPr>
        <w:t xml:space="preserve"> relating to the allocation of rights and duties </w:t>
      </w:r>
      <w:r w:rsidR="005270CE" w:rsidRPr="00DD55FF">
        <w:rPr>
          <w:sz w:val="24"/>
          <w:szCs w:val="24"/>
        </w:rPr>
        <w:t>between different social actors.</w:t>
      </w:r>
      <w:r w:rsidR="005270CE" w:rsidRPr="00DD55FF">
        <w:rPr>
          <w:rStyle w:val="FootnoteReference"/>
          <w:sz w:val="24"/>
          <w:szCs w:val="24"/>
        </w:rPr>
        <w:footnoteReference w:id="37"/>
      </w:r>
      <w:r w:rsidR="009068C4" w:rsidRPr="00DD55FF">
        <w:rPr>
          <w:sz w:val="24"/>
          <w:szCs w:val="24"/>
        </w:rPr>
        <w:t xml:space="preserve"> </w:t>
      </w:r>
      <w:r w:rsidR="00F677E3" w:rsidRPr="00DD55FF">
        <w:rPr>
          <w:sz w:val="24"/>
          <w:szCs w:val="24"/>
        </w:rPr>
        <w:t>Khaitan</w:t>
      </w:r>
      <w:r w:rsidR="005270CE" w:rsidRPr="00DD55FF">
        <w:rPr>
          <w:sz w:val="24"/>
          <w:szCs w:val="24"/>
        </w:rPr>
        <w:t xml:space="preserve"> acknowledges that these two levels of inquiry are linked, but again emphasises the need to maintain a distinction between them – which he </w:t>
      </w:r>
      <w:r w:rsidR="006516EC" w:rsidRPr="00DD55FF">
        <w:rPr>
          <w:sz w:val="24"/>
          <w:szCs w:val="24"/>
        </w:rPr>
        <w:t xml:space="preserve">implies </w:t>
      </w:r>
      <w:r w:rsidR="005270CE" w:rsidRPr="00DD55FF">
        <w:rPr>
          <w:sz w:val="24"/>
          <w:szCs w:val="24"/>
        </w:rPr>
        <w:t>that much of the existing theorising about discrimination law has failed to do.</w:t>
      </w:r>
      <w:r w:rsidR="00FB2A30" w:rsidRPr="00DD55FF">
        <w:rPr>
          <w:rStyle w:val="FootnoteReference"/>
          <w:sz w:val="24"/>
          <w:szCs w:val="24"/>
        </w:rPr>
        <w:footnoteReference w:id="38"/>
      </w:r>
      <w:r w:rsidR="005270CE" w:rsidRPr="00DD55FF">
        <w:rPr>
          <w:sz w:val="24"/>
          <w:szCs w:val="24"/>
        </w:rPr>
        <w:t xml:space="preserve"> </w:t>
      </w:r>
    </w:p>
    <w:p w:rsidR="00F677E3" w:rsidRDefault="003F5E6C" w:rsidP="00ED0675">
      <w:pPr>
        <w:ind w:firstLine="720"/>
        <w:jc w:val="both"/>
        <w:rPr>
          <w:sz w:val="24"/>
          <w:szCs w:val="24"/>
        </w:rPr>
      </w:pPr>
      <w:proofErr w:type="spellStart"/>
      <w:r w:rsidRPr="00DD55FF">
        <w:rPr>
          <w:sz w:val="24"/>
          <w:szCs w:val="24"/>
        </w:rPr>
        <w:t>Khaitan</w:t>
      </w:r>
      <w:proofErr w:type="spellEnd"/>
      <w:r w:rsidR="00195B49" w:rsidRPr="00DD55FF">
        <w:rPr>
          <w:sz w:val="24"/>
          <w:szCs w:val="24"/>
        </w:rPr>
        <w:t xml:space="preserve"> also argues that a</w:t>
      </w:r>
      <w:r w:rsidR="009068C4" w:rsidRPr="00DD55FF">
        <w:rPr>
          <w:sz w:val="24"/>
          <w:szCs w:val="24"/>
        </w:rPr>
        <w:t xml:space="preserve">ny such </w:t>
      </w:r>
      <w:r w:rsidR="006D44E3" w:rsidRPr="00DD55FF">
        <w:rPr>
          <w:sz w:val="24"/>
          <w:szCs w:val="24"/>
        </w:rPr>
        <w:t>theoretical account must take close account of the actual legal content of discrimination law, as well as defining its characteristics as a distinct mode of legal regulation in order to justify its specific design and functioning.</w:t>
      </w:r>
      <w:r w:rsidR="00691025" w:rsidRPr="00DD55FF">
        <w:rPr>
          <w:sz w:val="24"/>
          <w:szCs w:val="24"/>
          <w:vertAlign w:val="superscript"/>
        </w:rPr>
        <w:t xml:space="preserve"> </w:t>
      </w:r>
      <w:r w:rsidR="00691025" w:rsidRPr="00DD55FF">
        <w:rPr>
          <w:sz w:val="24"/>
          <w:szCs w:val="24"/>
          <w:vertAlign w:val="superscript"/>
        </w:rPr>
        <w:footnoteReference w:id="39"/>
      </w:r>
      <w:r w:rsidR="006D44E3" w:rsidRPr="00DD55FF">
        <w:rPr>
          <w:sz w:val="24"/>
          <w:szCs w:val="24"/>
        </w:rPr>
        <w:t xml:space="preserve"> In doing this, </w:t>
      </w:r>
      <w:r w:rsidR="00195B49" w:rsidRPr="00DD55FF">
        <w:rPr>
          <w:sz w:val="24"/>
          <w:szCs w:val="24"/>
        </w:rPr>
        <w:t xml:space="preserve">the theoretical inquiry </w:t>
      </w:r>
      <w:r w:rsidR="006D44E3" w:rsidRPr="00DD55FF">
        <w:rPr>
          <w:sz w:val="24"/>
          <w:szCs w:val="24"/>
        </w:rPr>
        <w:t xml:space="preserve">needs to </w:t>
      </w:r>
      <w:r w:rsidRPr="00DD55FF">
        <w:rPr>
          <w:sz w:val="24"/>
          <w:szCs w:val="24"/>
        </w:rPr>
        <w:t xml:space="preserve">avoid ‘getting caught in the specificities of a particular legal system’ and </w:t>
      </w:r>
      <w:r w:rsidR="006D44E3" w:rsidRPr="00DD55FF">
        <w:rPr>
          <w:sz w:val="24"/>
          <w:szCs w:val="24"/>
        </w:rPr>
        <w:t xml:space="preserve">take account </w:t>
      </w:r>
      <w:r w:rsidR="00195B49" w:rsidRPr="00DD55FF">
        <w:rPr>
          <w:sz w:val="24"/>
          <w:szCs w:val="24"/>
        </w:rPr>
        <w:t>of how discrimination law has developed as a ‘</w:t>
      </w:r>
      <w:proofErr w:type="spellStart"/>
      <w:r w:rsidR="00195B49" w:rsidRPr="00DD55FF">
        <w:rPr>
          <w:sz w:val="24"/>
          <w:szCs w:val="24"/>
        </w:rPr>
        <w:t>transborder</w:t>
      </w:r>
      <w:proofErr w:type="spellEnd"/>
      <w:r w:rsidR="00195B49" w:rsidRPr="00DD55FF">
        <w:rPr>
          <w:sz w:val="24"/>
          <w:szCs w:val="24"/>
        </w:rPr>
        <w:t xml:space="preserve"> </w:t>
      </w:r>
      <w:r w:rsidR="006D44E3" w:rsidRPr="00DD55FF">
        <w:rPr>
          <w:sz w:val="24"/>
          <w:szCs w:val="24"/>
        </w:rPr>
        <w:t>phenomenon</w:t>
      </w:r>
      <w:r w:rsidR="00195B49" w:rsidRPr="00DD55FF">
        <w:rPr>
          <w:sz w:val="24"/>
          <w:szCs w:val="24"/>
        </w:rPr>
        <w:t>’, as discussed above</w:t>
      </w:r>
      <w:r w:rsidR="00E642A3" w:rsidRPr="00DD55FF">
        <w:rPr>
          <w:sz w:val="24"/>
          <w:szCs w:val="24"/>
        </w:rPr>
        <w:t>.</w:t>
      </w:r>
      <w:r w:rsidR="00691025" w:rsidRPr="00DD55FF">
        <w:rPr>
          <w:rStyle w:val="FootnoteReference"/>
          <w:sz w:val="24"/>
          <w:szCs w:val="24"/>
        </w:rPr>
        <w:footnoteReference w:id="40"/>
      </w:r>
      <w:r w:rsidR="00E642A3" w:rsidRPr="00DD55FF">
        <w:rPr>
          <w:sz w:val="24"/>
          <w:szCs w:val="24"/>
        </w:rPr>
        <w:t xml:space="preserve"> Khaitan thus develops his theoretical account by reference to a comparative dataset made up of five </w:t>
      </w:r>
      <w:r w:rsidR="007A5F85" w:rsidRPr="00DD55FF">
        <w:rPr>
          <w:sz w:val="24"/>
          <w:szCs w:val="24"/>
        </w:rPr>
        <w:t xml:space="preserve">common law </w:t>
      </w:r>
      <w:r w:rsidR="00E642A3" w:rsidRPr="00DD55FF">
        <w:rPr>
          <w:sz w:val="24"/>
          <w:szCs w:val="24"/>
        </w:rPr>
        <w:t xml:space="preserve">jurisdictions – Canada, the US, </w:t>
      </w:r>
      <w:r w:rsidR="00090AA6" w:rsidRPr="00DD55FF">
        <w:rPr>
          <w:sz w:val="24"/>
          <w:szCs w:val="24"/>
        </w:rPr>
        <w:t xml:space="preserve">India, South Africa and </w:t>
      </w:r>
      <w:r w:rsidR="00E642A3" w:rsidRPr="00DD55FF">
        <w:rPr>
          <w:sz w:val="24"/>
          <w:szCs w:val="24"/>
        </w:rPr>
        <w:t>the UK</w:t>
      </w:r>
      <w:r w:rsidR="00090AA6" w:rsidRPr="00DD55FF">
        <w:rPr>
          <w:sz w:val="24"/>
          <w:szCs w:val="24"/>
        </w:rPr>
        <w:t xml:space="preserve"> (whose legal system also incorporates EU and ECHR non-discrimination norms)</w:t>
      </w:r>
      <w:r w:rsidR="008C43E9">
        <w:rPr>
          <w:sz w:val="24"/>
          <w:szCs w:val="24"/>
        </w:rPr>
        <w:t xml:space="preserve"> - whose</w:t>
      </w:r>
      <w:r w:rsidR="00E642A3" w:rsidRPr="00DD55FF">
        <w:rPr>
          <w:sz w:val="24"/>
          <w:szCs w:val="24"/>
        </w:rPr>
        <w:t xml:space="preserve"> </w:t>
      </w:r>
      <w:r w:rsidR="00065C7A" w:rsidRPr="00DD55FF">
        <w:rPr>
          <w:sz w:val="24"/>
          <w:szCs w:val="24"/>
        </w:rPr>
        <w:t xml:space="preserve">discrimination law frameworks </w:t>
      </w:r>
      <w:r w:rsidR="00567904">
        <w:rPr>
          <w:sz w:val="24"/>
          <w:szCs w:val="24"/>
        </w:rPr>
        <w:t xml:space="preserve">are based round </w:t>
      </w:r>
      <w:r w:rsidR="00E642A3" w:rsidRPr="00DD55FF">
        <w:rPr>
          <w:sz w:val="24"/>
          <w:szCs w:val="24"/>
        </w:rPr>
        <w:t xml:space="preserve">a </w:t>
      </w:r>
      <w:r w:rsidR="000B26C1" w:rsidRPr="00DD55FF">
        <w:rPr>
          <w:sz w:val="24"/>
          <w:szCs w:val="24"/>
        </w:rPr>
        <w:t xml:space="preserve">common </w:t>
      </w:r>
      <w:r w:rsidR="008C43E9">
        <w:rPr>
          <w:sz w:val="24"/>
          <w:szCs w:val="24"/>
        </w:rPr>
        <w:t xml:space="preserve">set of core </w:t>
      </w:r>
      <w:r w:rsidR="00E642A3" w:rsidRPr="00DD55FF">
        <w:rPr>
          <w:sz w:val="24"/>
          <w:szCs w:val="24"/>
        </w:rPr>
        <w:t xml:space="preserve">legal </w:t>
      </w:r>
      <w:r w:rsidR="000B26C1" w:rsidRPr="00DD55FF">
        <w:rPr>
          <w:sz w:val="24"/>
          <w:szCs w:val="24"/>
        </w:rPr>
        <w:t>concepts</w:t>
      </w:r>
      <w:r w:rsidR="00E642A3" w:rsidRPr="00DD55FF">
        <w:rPr>
          <w:sz w:val="24"/>
          <w:szCs w:val="24"/>
        </w:rPr>
        <w:t>.</w:t>
      </w:r>
      <w:r w:rsidR="00691025" w:rsidRPr="00DD55FF">
        <w:rPr>
          <w:rStyle w:val="FootnoteReference"/>
          <w:sz w:val="24"/>
          <w:szCs w:val="24"/>
        </w:rPr>
        <w:footnoteReference w:id="41"/>
      </w:r>
      <w:r w:rsidR="00362E56" w:rsidRPr="00DD55FF">
        <w:rPr>
          <w:sz w:val="24"/>
          <w:szCs w:val="24"/>
        </w:rPr>
        <w:t xml:space="preserve"> This comparative data in turn fuels </w:t>
      </w:r>
      <w:proofErr w:type="spellStart"/>
      <w:r w:rsidR="00362E56" w:rsidRPr="00DD55FF">
        <w:rPr>
          <w:sz w:val="24"/>
          <w:szCs w:val="24"/>
        </w:rPr>
        <w:t>Khaitan’s</w:t>
      </w:r>
      <w:proofErr w:type="spellEnd"/>
      <w:r w:rsidR="00362E56" w:rsidRPr="00DD55FF">
        <w:rPr>
          <w:sz w:val="24"/>
          <w:szCs w:val="24"/>
        </w:rPr>
        <w:t xml:space="preserve"> </w:t>
      </w:r>
      <w:r w:rsidR="00787709" w:rsidRPr="00DD55FF">
        <w:rPr>
          <w:sz w:val="24"/>
          <w:szCs w:val="24"/>
        </w:rPr>
        <w:t>search for the ‘Holy Grail’ of a sound normative foundation for discrimination law</w:t>
      </w:r>
      <w:r w:rsidR="00362E56" w:rsidRPr="00DD55FF">
        <w:rPr>
          <w:sz w:val="24"/>
          <w:szCs w:val="24"/>
        </w:rPr>
        <w:t>, by providing a basis for a descriptive ac</w:t>
      </w:r>
      <w:r w:rsidR="009161DE" w:rsidRPr="00DD55FF">
        <w:rPr>
          <w:sz w:val="24"/>
          <w:szCs w:val="24"/>
        </w:rPr>
        <w:t xml:space="preserve">count of its actual scope and substance. </w:t>
      </w:r>
      <w:r w:rsidR="00787709" w:rsidRPr="00DD55FF">
        <w:rPr>
          <w:sz w:val="24"/>
          <w:szCs w:val="24"/>
        </w:rPr>
        <w:t xml:space="preserve"> </w:t>
      </w:r>
    </w:p>
    <w:p w:rsidR="00AE6F86" w:rsidRPr="00AE6F86" w:rsidRDefault="00AE6F86" w:rsidP="00ED0675">
      <w:pPr>
        <w:jc w:val="both"/>
        <w:rPr>
          <w:b/>
          <w:sz w:val="24"/>
          <w:szCs w:val="24"/>
        </w:rPr>
      </w:pPr>
    </w:p>
    <w:p w:rsidR="00F677E3" w:rsidRPr="00ED0675" w:rsidRDefault="001A395D" w:rsidP="00ED0675">
      <w:pPr>
        <w:jc w:val="center"/>
        <w:rPr>
          <w:i/>
          <w:sz w:val="28"/>
          <w:szCs w:val="28"/>
        </w:rPr>
      </w:pPr>
      <w:r w:rsidRPr="00ED0675">
        <w:rPr>
          <w:sz w:val="28"/>
          <w:szCs w:val="28"/>
        </w:rPr>
        <w:t>4.</w:t>
      </w:r>
      <w:r w:rsidRPr="00ED0675">
        <w:rPr>
          <w:i/>
          <w:sz w:val="28"/>
          <w:szCs w:val="28"/>
        </w:rPr>
        <w:t xml:space="preserve"> </w:t>
      </w:r>
      <w:r w:rsidR="00F677E3" w:rsidRPr="00ED0675">
        <w:rPr>
          <w:i/>
          <w:sz w:val="28"/>
          <w:szCs w:val="28"/>
        </w:rPr>
        <w:t>The Perils of Grail Questing</w:t>
      </w:r>
    </w:p>
    <w:p w:rsidR="00433816" w:rsidRPr="00DD55FF" w:rsidRDefault="00362E56" w:rsidP="00DD55FF">
      <w:pPr>
        <w:jc w:val="both"/>
        <w:rPr>
          <w:sz w:val="24"/>
          <w:szCs w:val="24"/>
        </w:rPr>
      </w:pPr>
      <w:r w:rsidRPr="00DD55FF">
        <w:rPr>
          <w:sz w:val="24"/>
          <w:szCs w:val="24"/>
        </w:rPr>
        <w:t>Before following Khaitan further on his qu</w:t>
      </w:r>
      <w:r w:rsidR="00851395" w:rsidRPr="00DD55FF">
        <w:rPr>
          <w:sz w:val="24"/>
          <w:szCs w:val="24"/>
        </w:rPr>
        <w:t xml:space="preserve">est, it is worth noting </w:t>
      </w:r>
      <w:r w:rsidR="00FB2A30" w:rsidRPr="00DD55FF">
        <w:rPr>
          <w:sz w:val="24"/>
          <w:szCs w:val="24"/>
        </w:rPr>
        <w:t xml:space="preserve">that the </w:t>
      </w:r>
      <w:r w:rsidRPr="00DD55FF">
        <w:rPr>
          <w:sz w:val="24"/>
          <w:szCs w:val="24"/>
        </w:rPr>
        <w:t xml:space="preserve">way in which he frames his theoretical inquiry has much to commend it. </w:t>
      </w:r>
      <w:r w:rsidR="00FB2A30" w:rsidRPr="00DD55FF">
        <w:rPr>
          <w:sz w:val="24"/>
          <w:szCs w:val="24"/>
        </w:rPr>
        <w:t xml:space="preserve">To start with, he is </w:t>
      </w:r>
      <w:r w:rsidR="002A0F74" w:rsidRPr="00DD55FF">
        <w:rPr>
          <w:sz w:val="24"/>
          <w:szCs w:val="24"/>
        </w:rPr>
        <w:t>justified in emphasising</w:t>
      </w:r>
      <w:r w:rsidR="003278AB" w:rsidRPr="00DD55FF">
        <w:rPr>
          <w:sz w:val="24"/>
          <w:szCs w:val="24"/>
        </w:rPr>
        <w:t xml:space="preserve"> the desirability of identifying a solid normative basis for discrimination law, </w:t>
      </w:r>
      <w:r w:rsidR="00FB2A30" w:rsidRPr="00DD55FF">
        <w:rPr>
          <w:sz w:val="24"/>
          <w:szCs w:val="24"/>
        </w:rPr>
        <w:t xml:space="preserve">given the extent of its impact on </w:t>
      </w:r>
      <w:r w:rsidR="003278AB" w:rsidRPr="00DD55FF">
        <w:rPr>
          <w:sz w:val="24"/>
          <w:szCs w:val="24"/>
        </w:rPr>
        <w:t xml:space="preserve">daily life and the contested and uncertain nature of many of its provisions. </w:t>
      </w:r>
      <w:proofErr w:type="spellStart"/>
      <w:r w:rsidR="00787709" w:rsidRPr="00DD55FF">
        <w:rPr>
          <w:sz w:val="24"/>
          <w:szCs w:val="24"/>
        </w:rPr>
        <w:t>Khaitan</w:t>
      </w:r>
      <w:proofErr w:type="spellEnd"/>
      <w:r w:rsidR="00787709" w:rsidRPr="00DD55FF">
        <w:rPr>
          <w:sz w:val="24"/>
          <w:szCs w:val="24"/>
        </w:rPr>
        <w:t xml:space="preserve"> </w:t>
      </w:r>
      <w:r w:rsidR="003278AB" w:rsidRPr="00DD55FF">
        <w:rPr>
          <w:sz w:val="24"/>
          <w:szCs w:val="24"/>
        </w:rPr>
        <w:t xml:space="preserve">also </w:t>
      </w:r>
      <w:r w:rsidR="00461DE9" w:rsidRPr="00DD55FF">
        <w:rPr>
          <w:sz w:val="24"/>
          <w:szCs w:val="24"/>
        </w:rPr>
        <w:t xml:space="preserve">makes a </w:t>
      </w:r>
      <w:r w:rsidR="00CC3BB7" w:rsidRPr="00DD55FF">
        <w:rPr>
          <w:sz w:val="24"/>
          <w:szCs w:val="24"/>
        </w:rPr>
        <w:t>very</w:t>
      </w:r>
      <w:r w:rsidR="00787709" w:rsidRPr="00DD55FF">
        <w:rPr>
          <w:sz w:val="24"/>
          <w:szCs w:val="24"/>
        </w:rPr>
        <w:t xml:space="preserve"> important point when he argues that </w:t>
      </w:r>
      <w:r w:rsidR="00461DE9" w:rsidRPr="00DD55FF">
        <w:rPr>
          <w:sz w:val="24"/>
          <w:szCs w:val="24"/>
        </w:rPr>
        <w:t xml:space="preserve">it is problematic to assume that </w:t>
      </w:r>
      <w:r w:rsidR="00787709" w:rsidRPr="00DD55FF">
        <w:rPr>
          <w:sz w:val="24"/>
          <w:szCs w:val="24"/>
        </w:rPr>
        <w:t xml:space="preserve">the </w:t>
      </w:r>
      <w:r w:rsidR="00461DE9" w:rsidRPr="00DD55FF">
        <w:rPr>
          <w:sz w:val="24"/>
          <w:szCs w:val="24"/>
        </w:rPr>
        <w:t>‘lay understanding’ of discrimination should be taken as constituting the central case of discrimination law</w:t>
      </w:r>
      <w:r w:rsidR="00CC3BB7" w:rsidRPr="00DD55FF">
        <w:rPr>
          <w:sz w:val="24"/>
          <w:szCs w:val="24"/>
        </w:rPr>
        <w:t>. Such an assumption risk</w:t>
      </w:r>
      <w:r w:rsidR="00F33572" w:rsidRPr="00DD55FF">
        <w:rPr>
          <w:sz w:val="24"/>
          <w:szCs w:val="24"/>
        </w:rPr>
        <w:t>s</w:t>
      </w:r>
      <w:r w:rsidR="00CC3BB7" w:rsidRPr="00DD55FF">
        <w:rPr>
          <w:sz w:val="24"/>
          <w:szCs w:val="24"/>
        </w:rPr>
        <w:t xml:space="preserve"> obscuring the possibility that this specific understanding of discrimination is flawed or under-inclusive</w:t>
      </w:r>
      <w:r w:rsidR="00583731" w:rsidRPr="00DD55FF">
        <w:rPr>
          <w:sz w:val="24"/>
          <w:szCs w:val="24"/>
        </w:rPr>
        <w:t xml:space="preserve"> – </w:t>
      </w:r>
      <w:r w:rsidR="00F33572" w:rsidRPr="00DD55FF">
        <w:rPr>
          <w:sz w:val="24"/>
          <w:szCs w:val="24"/>
        </w:rPr>
        <w:t>as the evolving understanding of how discriminatory treatment impacts upon individuals and groups</w:t>
      </w:r>
      <w:r w:rsidR="00474988" w:rsidRPr="00DD55FF">
        <w:rPr>
          <w:sz w:val="24"/>
          <w:szCs w:val="24"/>
        </w:rPr>
        <w:t>, as reflected in the development of the law in this regard,</w:t>
      </w:r>
      <w:r w:rsidR="00F33572" w:rsidRPr="00DD55FF">
        <w:rPr>
          <w:sz w:val="24"/>
          <w:szCs w:val="24"/>
        </w:rPr>
        <w:t xml:space="preserve"> suggests is indeed the case</w:t>
      </w:r>
      <w:r w:rsidR="00583731" w:rsidRPr="00DD55FF">
        <w:rPr>
          <w:sz w:val="24"/>
          <w:szCs w:val="24"/>
        </w:rPr>
        <w:t xml:space="preserve">. Furthermore, </w:t>
      </w:r>
      <w:r w:rsidR="00CC3BB7" w:rsidRPr="00DD55FF">
        <w:rPr>
          <w:sz w:val="24"/>
          <w:szCs w:val="24"/>
        </w:rPr>
        <w:t xml:space="preserve">the </w:t>
      </w:r>
      <w:r w:rsidR="00461DE9" w:rsidRPr="00DD55FF">
        <w:rPr>
          <w:sz w:val="24"/>
          <w:szCs w:val="24"/>
        </w:rPr>
        <w:t xml:space="preserve">normative integrity of a structure of legal norms </w:t>
      </w:r>
      <w:r w:rsidR="00CC3BB7" w:rsidRPr="00DD55FF">
        <w:rPr>
          <w:sz w:val="24"/>
          <w:szCs w:val="24"/>
        </w:rPr>
        <w:t xml:space="preserve">such as discrimination law </w:t>
      </w:r>
      <w:r w:rsidR="00583731" w:rsidRPr="00DD55FF">
        <w:rPr>
          <w:sz w:val="24"/>
          <w:szCs w:val="24"/>
        </w:rPr>
        <w:t xml:space="preserve">does not necessarily depend on the degree to which </w:t>
      </w:r>
      <w:r w:rsidR="00474988" w:rsidRPr="00DD55FF">
        <w:rPr>
          <w:sz w:val="24"/>
          <w:szCs w:val="24"/>
        </w:rPr>
        <w:t xml:space="preserve">a one-to-one correspondence exists between it and a specific form of </w:t>
      </w:r>
      <w:r w:rsidR="00583731" w:rsidRPr="00DD55FF">
        <w:rPr>
          <w:sz w:val="24"/>
          <w:szCs w:val="24"/>
        </w:rPr>
        <w:t>moral wrongd</w:t>
      </w:r>
      <w:r w:rsidR="00F33572" w:rsidRPr="00DD55FF">
        <w:rPr>
          <w:sz w:val="24"/>
          <w:szCs w:val="24"/>
        </w:rPr>
        <w:t>oing</w:t>
      </w:r>
      <w:r w:rsidR="00474988" w:rsidRPr="00DD55FF">
        <w:rPr>
          <w:sz w:val="24"/>
          <w:szCs w:val="24"/>
        </w:rPr>
        <w:t xml:space="preserve">: </w:t>
      </w:r>
      <w:proofErr w:type="spellStart"/>
      <w:r w:rsidR="00474988" w:rsidRPr="00DD55FF">
        <w:rPr>
          <w:sz w:val="24"/>
          <w:szCs w:val="24"/>
        </w:rPr>
        <w:t>Khaitan</w:t>
      </w:r>
      <w:proofErr w:type="spellEnd"/>
      <w:r w:rsidR="00474988" w:rsidRPr="00DD55FF">
        <w:rPr>
          <w:sz w:val="24"/>
          <w:szCs w:val="24"/>
        </w:rPr>
        <w:t xml:space="preserve"> is entirely justified in focusing </w:t>
      </w:r>
      <w:r w:rsidR="00474988" w:rsidRPr="00DD55FF">
        <w:rPr>
          <w:sz w:val="24"/>
          <w:szCs w:val="24"/>
        </w:rPr>
        <w:lastRenderedPageBreak/>
        <w:t xml:space="preserve">on </w:t>
      </w:r>
      <w:r w:rsidR="00787709" w:rsidRPr="00DD55FF">
        <w:rPr>
          <w:sz w:val="24"/>
          <w:szCs w:val="24"/>
        </w:rPr>
        <w:t>analysing discrimination law</w:t>
      </w:r>
      <w:r w:rsidR="00474988" w:rsidRPr="00DD55FF">
        <w:rPr>
          <w:sz w:val="24"/>
          <w:szCs w:val="24"/>
        </w:rPr>
        <w:t xml:space="preserve"> as a distinct body of regulatory norms</w:t>
      </w:r>
      <w:r w:rsidR="00241ABA" w:rsidRPr="00DD55FF">
        <w:rPr>
          <w:sz w:val="24"/>
          <w:szCs w:val="24"/>
        </w:rPr>
        <w:t>,</w:t>
      </w:r>
      <w:r w:rsidR="00787709" w:rsidRPr="00DD55FF">
        <w:rPr>
          <w:sz w:val="24"/>
          <w:szCs w:val="24"/>
        </w:rPr>
        <w:t xml:space="preserve"> as distinct from the concept of discrimination </w:t>
      </w:r>
      <w:r w:rsidR="00474988" w:rsidRPr="00DD55FF">
        <w:rPr>
          <w:sz w:val="24"/>
          <w:szCs w:val="24"/>
        </w:rPr>
        <w:t xml:space="preserve">as such. </w:t>
      </w:r>
      <w:r w:rsidR="00486E09" w:rsidRPr="00DD55FF">
        <w:rPr>
          <w:sz w:val="24"/>
          <w:szCs w:val="24"/>
        </w:rPr>
        <w:t xml:space="preserve">Furthermore, </w:t>
      </w:r>
      <w:proofErr w:type="spellStart"/>
      <w:r w:rsidR="00433816" w:rsidRPr="00DD55FF">
        <w:rPr>
          <w:sz w:val="24"/>
          <w:szCs w:val="24"/>
        </w:rPr>
        <w:t>Khaitan’s</w:t>
      </w:r>
      <w:proofErr w:type="spellEnd"/>
      <w:r w:rsidR="00433816" w:rsidRPr="00DD55FF">
        <w:rPr>
          <w:sz w:val="24"/>
          <w:szCs w:val="24"/>
        </w:rPr>
        <w:t xml:space="preserve"> comparative approach is </w:t>
      </w:r>
      <w:r w:rsidR="00741AFC" w:rsidRPr="00DD55FF">
        <w:rPr>
          <w:sz w:val="24"/>
          <w:szCs w:val="24"/>
        </w:rPr>
        <w:t>sound</w:t>
      </w:r>
      <w:r w:rsidR="00433816" w:rsidRPr="00DD55FF">
        <w:rPr>
          <w:sz w:val="24"/>
          <w:szCs w:val="24"/>
        </w:rPr>
        <w:t xml:space="preserve">: discrimination law has evolved on a </w:t>
      </w:r>
      <w:proofErr w:type="spellStart"/>
      <w:r w:rsidR="00433816" w:rsidRPr="00DD55FF">
        <w:rPr>
          <w:sz w:val="24"/>
          <w:szCs w:val="24"/>
        </w:rPr>
        <w:t>transborder</w:t>
      </w:r>
      <w:proofErr w:type="spellEnd"/>
      <w:r w:rsidR="00433816" w:rsidRPr="00DD55FF">
        <w:rPr>
          <w:sz w:val="24"/>
          <w:szCs w:val="24"/>
        </w:rPr>
        <w:t xml:space="preserve"> basis, and needs to be understood </w:t>
      </w:r>
      <w:r w:rsidR="00903560" w:rsidRPr="00DD55FF">
        <w:rPr>
          <w:sz w:val="24"/>
          <w:szCs w:val="24"/>
        </w:rPr>
        <w:t xml:space="preserve">and analysed </w:t>
      </w:r>
      <w:r w:rsidR="00433816" w:rsidRPr="00DD55FF">
        <w:rPr>
          <w:sz w:val="24"/>
          <w:szCs w:val="24"/>
        </w:rPr>
        <w:t xml:space="preserve">as such. </w:t>
      </w:r>
    </w:p>
    <w:p w:rsidR="00531ACF" w:rsidRDefault="00433816" w:rsidP="00ED0675">
      <w:pPr>
        <w:ind w:firstLine="720"/>
        <w:jc w:val="both"/>
        <w:rPr>
          <w:sz w:val="24"/>
          <w:szCs w:val="24"/>
        </w:rPr>
      </w:pPr>
      <w:r w:rsidRPr="00DD55FF">
        <w:rPr>
          <w:sz w:val="24"/>
          <w:szCs w:val="24"/>
        </w:rPr>
        <w:t xml:space="preserve">Having said that, </w:t>
      </w:r>
      <w:proofErr w:type="spellStart"/>
      <w:r w:rsidRPr="00DD55FF">
        <w:rPr>
          <w:sz w:val="24"/>
          <w:szCs w:val="24"/>
        </w:rPr>
        <w:t>Khaitan’s</w:t>
      </w:r>
      <w:proofErr w:type="spellEnd"/>
      <w:r w:rsidR="001B5642" w:rsidRPr="00DD55FF">
        <w:rPr>
          <w:sz w:val="24"/>
          <w:szCs w:val="24"/>
        </w:rPr>
        <w:t xml:space="preserve"> </w:t>
      </w:r>
      <w:r w:rsidR="0040470F" w:rsidRPr="00DD55FF">
        <w:rPr>
          <w:sz w:val="24"/>
          <w:szCs w:val="24"/>
        </w:rPr>
        <w:t xml:space="preserve">methodology </w:t>
      </w:r>
      <w:r w:rsidR="008A6913" w:rsidRPr="00DD55FF">
        <w:rPr>
          <w:sz w:val="24"/>
          <w:szCs w:val="24"/>
        </w:rPr>
        <w:t>has some weak points. For example, i</w:t>
      </w:r>
      <w:r w:rsidRPr="00DD55FF">
        <w:rPr>
          <w:sz w:val="24"/>
          <w:szCs w:val="24"/>
        </w:rPr>
        <w:t>n separating out the purpos</w:t>
      </w:r>
      <w:r w:rsidR="002B3F67" w:rsidRPr="00DD55FF">
        <w:rPr>
          <w:sz w:val="24"/>
          <w:szCs w:val="24"/>
        </w:rPr>
        <w:t>ive</w:t>
      </w:r>
      <w:r w:rsidRPr="00DD55FF">
        <w:rPr>
          <w:sz w:val="24"/>
          <w:szCs w:val="24"/>
        </w:rPr>
        <w:t xml:space="preserve"> and distributive levels of inquiry, he seems to assume that it will be possible to isolate a distinct </w:t>
      </w:r>
      <w:r w:rsidRPr="00DD55FF">
        <w:rPr>
          <w:i/>
          <w:sz w:val="24"/>
          <w:szCs w:val="24"/>
        </w:rPr>
        <w:t xml:space="preserve">raison </w:t>
      </w:r>
      <w:proofErr w:type="spellStart"/>
      <w:r w:rsidRPr="00DD55FF">
        <w:rPr>
          <w:i/>
          <w:sz w:val="24"/>
          <w:szCs w:val="24"/>
        </w:rPr>
        <w:t>d’etre</w:t>
      </w:r>
      <w:proofErr w:type="spellEnd"/>
      <w:r w:rsidRPr="00DD55FF">
        <w:rPr>
          <w:sz w:val="24"/>
          <w:szCs w:val="24"/>
        </w:rPr>
        <w:t xml:space="preserve"> for discrimination law</w:t>
      </w:r>
      <w:r w:rsidR="00F34882" w:rsidRPr="00DD55FF">
        <w:rPr>
          <w:sz w:val="24"/>
          <w:szCs w:val="24"/>
        </w:rPr>
        <w:t xml:space="preserve"> taken as a whole</w:t>
      </w:r>
      <w:r w:rsidRPr="00DD55FF">
        <w:rPr>
          <w:sz w:val="24"/>
          <w:szCs w:val="24"/>
        </w:rPr>
        <w:t xml:space="preserve">, </w:t>
      </w:r>
      <w:r w:rsidR="00F34882" w:rsidRPr="00DD55FF">
        <w:rPr>
          <w:sz w:val="24"/>
          <w:szCs w:val="24"/>
        </w:rPr>
        <w:t xml:space="preserve">which will be analytically distinct from the distributive balance struck by its </w:t>
      </w:r>
      <w:r w:rsidR="001B5642" w:rsidRPr="00DD55FF">
        <w:rPr>
          <w:sz w:val="24"/>
          <w:szCs w:val="24"/>
        </w:rPr>
        <w:t xml:space="preserve">various </w:t>
      </w:r>
      <w:r w:rsidR="00903560" w:rsidRPr="00DD55FF">
        <w:rPr>
          <w:sz w:val="24"/>
          <w:szCs w:val="24"/>
        </w:rPr>
        <w:t>component parts.</w:t>
      </w:r>
      <w:r w:rsidR="00F34882" w:rsidRPr="00DD55FF">
        <w:rPr>
          <w:sz w:val="24"/>
          <w:szCs w:val="24"/>
        </w:rPr>
        <w:t xml:space="preserve"> This must be open to question: </w:t>
      </w:r>
      <w:r w:rsidR="00903560" w:rsidRPr="00DD55FF">
        <w:rPr>
          <w:sz w:val="24"/>
          <w:szCs w:val="24"/>
        </w:rPr>
        <w:t>discrimination law may</w:t>
      </w:r>
      <w:r w:rsidR="00F34882" w:rsidRPr="00DD55FF">
        <w:rPr>
          <w:sz w:val="24"/>
          <w:szCs w:val="24"/>
        </w:rPr>
        <w:t xml:space="preserve"> </w:t>
      </w:r>
      <w:r w:rsidR="001B5642" w:rsidRPr="00DD55FF">
        <w:rPr>
          <w:sz w:val="24"/>
          <w:szCs w:val="24"/>
        </w:rPr>
        <w:t xml:space="preserve">have </w:t>
      </w:r>
      <w:r w:rsidR="00F34882" w:rsidRPr="00DD55FF">
        <w:rPr>
          <w:sz w:val="24"/>
          <w:szCs w:val="24"/>
        </w:rPr>
        <w:t>multip</w:t>
      </w:r>
      <w:r w:rsidR="001B5642" w:rsidRPr="00DD55FF">
        <w:rPr>
          <w:sz w:val="24"/>
          <w:szCs w:val="24"/>
        </w:rPr>
        <w:t>le purposes</w:t>
      </w:r>
      <w:r w:rsidR="008A6913" w:rsidRPr="00DD55FF">
        <w:rPr>
          <w:sz w:val="24"/>
          <w:szCs w:val="24"/>
        </w:rPr>
        <w:t xml:space="preserve"> </w:t>
      </w:r>
      <w:r w:rsidR="001B5642" w:rsidRPr="00DD55FF">
        <w:rPr>
          <w:sz w:val="24"/>
          <w:szCs w:val="24"/>
        </w:rPr>
        <w:t>that are</w:t>
      </w:r>
      <w:r w:rsidR="00903560" w:rsidRPr="00DD55FF">
        <w:rPr>
          <w:sz w:val="24"/>
          <w:szCs w:val="24"/>
        </w:rPr>
        <w:t xml:space="preserve"> channelled and given effect </w:t>
      </w:r>
      <w:r w:rsidR="001B5642" w:rsidRPr="00DD55FF">
        <w:rPr>
          <w:sz w:val="24"/>
          <w:szCs w:val="24"/>
        </w:rPr>
        <w:t>by different legal norm</w:t>
      </w:r>
      <w:r w:rsidR="008A6913" w:rsidRPr="00DD55FF">
        <w:rPr>
          <w:sz w:val="24"/>
          <w:szCs w:val="24"/>
        </w:rPr>
        <w:t xml:space="preserve">s within its overall structure, </w:t>
      </w:r>
      <w:r w:rsidR="002B3F67" w:rsidRPr="00DD55FF">
        <w:rPr>
          <w:sz w:val="24"/>
          <w:szCs w:val="24"/>
        </w:rPr>
        <w:t>meaning that questions about its overall purpose may not necessarily be clearly distinguishable from distributive sub-questions relating to each of its component parts.</w:t>
      </w:r>
      <w:r w:rsidR="00531ACF">
        <w:rPr>
          <w:sz w:val="24"/>
          <w:szCs w:val="24"/>
        </w:rPr>
        <w:t xml:space="preserve"> </w:t>
      </w:r>
      <w:r w:rsidR="00903560" w:rsidRPr="00DD55FF">
        <w:rPr>
          <w:sz w:val="24"/>
          <w:szCs w:val="24"/>
        </w:rPr>
        <w:t xml:space="preserve">Furthermore, </w:t>
      </w:r>
      <w:r w:rsidR="00645F87" w:rsidRPr="00DD55FF">
        <w:rPr>
          <w:sz w:val="24"/>
          <w:szCs w:val="24"/>
        </w:rPr>
        <w:t xml:space="preserve">the assumption </w:t>
      </w:r>
      <w:r w:rsidR="00903560" w:rsidRPr="00DD55FF">
        <w:rPr>
          <w:sz w:val="24"/>
          <w:szCs w:val="24"/>
        </w:rPr>
        <w:t>that there is</w:t>
      </w:r>
      <w:r w:rsidR="008679A1" w:rsidRPr="00DD55FF">
        <w:rPr>
          <w:sz w:val="24"/>
          <w:szCs w:val="24"/>
        </w:rPr>
        <w:t xml:space="preserve"> a</w:t>
      </w:r>
      <w:r w:rsidR="009C0629">
        <w:rPr>
          <w:sz w:val="24"/>
          <w:szCs w:val="24"/>
        </w:rPr>
        <w:t xml:space="preserve"> ‘Holy Grail’ to be found -</w:t>
      </w:r>
      <w:r w:rsidR="008679A1" w:rsidRPr="00DD55FF">
        <w:rPr>
          <w:sz w:val="24"/>
          <w:szCs w:val="24"/>
        </w:rPr>
        <w:t xml:space="preserve"> namely </w:t>
      </w:r>
      <w:r w:rsidR="00903560" w:rsidRPr="00DD55FF">
        <w:rPr>
          <w:sz w:val="24"/>
          <w:szCs w:val="24"/>
        </w:rPr>
        <w:t xml:space="preserve">a </w:t>
      </w:r>
      <w:r w:rsidR="009D6D25" w:rsidRPr="00DD55FF">
        <w:rPr>
          <w:sz w:val="24"/>
          <w:szCs w:val="24"/>
        </w:rPr>
        <w:t xml:space="preserve">single </w:t>
      </w:r>
      <w:r w:rsidR="00903560" w:rsidRPr="00DD55FF">
        <w:rPr>
          <w:sz w:val="24"/>
          <w:szCs w:val="24"/>
        </w:rPr>
        <w:t xml:space="preserve">‘normative foundation’ </w:t>
      </w:r>
      <w:r w:rsidR="001B5642" w:rsidRPr="00DD55FF">
        <w:rPr>
          <w:sz w:val="24"/>
          <w:szCs w:val="24"/>
        </w:rPr>
        <w:t xml:space="preserve">for discrimination law </w:t>
      </w:r>
      <w:r w:rsidR="008679A1" w:rsidRPr="00DD55FF">
        <w:rPr>
          <w:sz w:val="24"/>
          <w:szCs w:val="24"/>
        </w:rPr>
        <w:t xml:space="preserve">- </w:t>
      </w:r>
      <w:r w:rsidR="009D6D25" w:rsidRPr="00DD55FF">
        <w:rPr>
          <w:sz w:val="24"/>
          <w:szCs w:val="24"/>
        </w:rPr>
        <w:t xml:space="preserve">risks generating a </w:t>
      </w:r>
      <w:r w:rsidR="002D184D" w:rsidRPr="00DD55FF">
        <w:rPr>
          <w:sz w:val="24"/>
          <w:szCs w:val="24"/>
        </w:rPr>
        <w:t>built-in bias towards coherence</w:t>
      </w:r>
      <w:r w:rsidR="008679A1" w:rsidRPr="00DD55FF">
        <w:rPr>
          <w:sz w:val="24"/>
          <w:szCs w:val="24"/>
        </w:rPr>
        <w:t>, i.e. a p</w:t>
      </w:r>
      <w:r w:rsidR="00D77B6F" w:rsidRPr="00DD55FF">
        <w:rPr>
          <w:sz w:val="24"/>
          <w:szCs w:val="24"/>
        </w:rPr>
        <w:t>reference for</w:t>
      </w:r>
      <w:r w:rsidR="00346402" w:rsidRPr="00DD55FF">
        <w:rPr>
          <w:sz w:val="24"/>
          <w:szCs w:val="24"/>
        </w:rPr>
        <w:t xml:space="preserve"> </w:t>
      </w:r>
      <w:r w:rsidR="00D77B6F" w:rsidRPr="00DD55FF">
        <w:rPr>
          <w:sz w:val="24"/>
          <w:szCs w:val="24"/>
        </w:rPr>
        <w:t xml:space="preserve">‘pure’ </w:t>
      </w:r>
      <w:r w:rsidR="008679A1" w:rsidRPr="00DD55FF">
        <w:rPr>
          <w:sz w:val="24"/>
          <w:szCs w:val="24"/>
        </w:rPr>
        <w:t xml:space="preserve">theoretical explanations which </w:t>
      </w:r>
      <w:r w:rsidR="00346402" w:rsidRPr="00DD55FF">
        <w:rPr>
          <w:sz w:val="24"/>
          <w:szCs w:val="24"/>
        </w:rPr>
        <w:t xml:space="preserve">are </w:t>
      </w:r>
      <w:r w:rsidR="008679A1" w:rsidRPr="00DD55FF">
        <w:rPr>
          <w:sz w:val="24"/>
          <w:szCs w:val="24"/>
        </w:rPr>
        <w:t xml:space="preserve">monolithic, </w:t>
      </w:r>
      <w:r w:rsidR="00346402" w:rsidRPr="00DD55FF">
        <w:rPr>
          <w:sz w:val="24"/>
          <w:szCs w:val="24"/>
        </w:rPr>
        <w:t xml:space="preserve">clear-cut </w:t>
      </w:r>
      <w:r w:rsidR="00D77B6F" w:rsidRPr="00DD55FF">
        <w:rPr>
          <w:sz w:val="24"/>
          <w:szCs w:val="24"/>
        </w:rPr>
        <w:t xml:space="preserve">and </w:t>
      </w:r>
      <w:r w:rsidR="00346402" w:rsidRPr="00DD55FF">
        <w:rPr>
          <w:sz w:val="24"/>
          <w:szCs w:val="24"/>
        </w:rPr>
        <w:t>sharply etched in black-and-white</w:t>
      </w:r>
      <w:r w:rsidR="00E677B3" w:rsidRPr="00DD55FF">
        <w:rPr>
          <w:sz w:val="24"/>
          <w:szCs w:val="24"/>
        </w:rPr>
        <w:t>. However, it may be the case t</w:t>
      </w:r>
      <w:r w:rsidR="007B0B92" w:rsidRPr="00DD55FF">
        <w:rPr>
          <w:sz w:val="24"/>
          <w:szCs w:val="24"/>
        </w:rPr>
        <w:t>hat discrimination law is best viewed as sketched in</w:t>
      </w:r>
      <w:r w:rsidR="00E677B3" w:rsidRPr="00DD55FF">
        <w:rPr>
          <w:sz w:val="24"/>
          <w:szCs w:val="24"/>
        </w:rPr>
        <w:t xml:space="preserve"> shades of grey</w:t>
      </w:r>
      <w:r w:rsidR="00EE60CB" w:rsidRPr="00DD55FF">
        <w:rPr>
          <w:sz w:val="24"/>
          <w:szCs w:val="24"/>
        </w:rPr>
        <w:t xml:space="preserve">, </w:t>
      </w:r>
      <w:r w:rsidR="006A1D6C" w:rsidRPr="00DD55FF">
        <w:rPr>
          <w:sz w:val="24"/>
          <w:szCs w:val="24"/>
        </w:rPr>
        <w:t>and that no single normative basis can justify the various constrai</w:t>
      </w:r>
      <w:r w:rsidR="008C43E9">
        <w:rPr>
          <w:sz w:val="24"/>
          <w:szCs w:val="24"/>
        </w:rPr>
        <w:t xml:space="preserve">nts it imposes on social actors. </w:t>
      </w:r>
    </w:p>
    <w:p w:rsidR="00ED0675" w:rsidRDefault="00531ACF" w:rsidP="00ED0675">
      <w:pPr>
        <w:ind w:firstLine="720"/>
        <w:jc w:val="both"/>
        <w:rPr>
          <w:sz w:val="24"/>
          <w:szCs w:val="24"/>
        </w:rPr>
      </w:pPr>
      <w:r>
        <w:rPr>
          <w:sz w:val="24"/>
          <w:szCs w:val="24"/>
        </w:rPr>
        <w:t xml:space="preserve">As </w:t>
      </w:r>
      <w:r w:rsidR="008C43E9">
        <w:rPr>
          <w:sz w:val="24"/>
          <w:szCs w:val="24"/>
        </w:rPr>
        <w:t xml:space="preserve">discussed in the remainder of this review, </w:t>
      </w:r>
      <w:proofErr w:type="spellStart"/>
      <w:r w:rsidR="008C43E9">
        <w:rPr>
          <w:sz w:val="24"/>
          <w:szCs w:val="24"/>
        </w:rPr>
        <w:t>Khaitan’s</w:t>
      </w:r>
      <w:proofErr w:type="spellEnd"/>
      <w:r w:rsidR="006A1D6C" w:rsidRPr="00DD55FF">
        <w:rPr>
          <w:sz w:val="24"/>
          <w:szCs w:val="24"/>
        </w:rPr>
        <w:t xml:space="preserve"> </w:t>
      </w:r>
      <w:r w:rsidR="00EA1D0C">
        <w:rPr>
          <w:sz w:val="24"/>
          <w:szCs w:val="24"/>
        </w:rPr>
        <w:t>search for his Holy Grail suffers from some of these methodological blind spots</w:t>
      </w:r>
      <w:r w:rsidR="00437D48">
        <w:rPr>
          <w:sz w:val="24"/>
          <w:szCs w:val="24"/>
        </w:rPr>
        <w:t xml:space="preserve">. </w:t>
      </w:r>
      <w:r w:rsidR="00EC66DF" w:rsidRPr="00DD55FF">
        <w:rPr>
          <w:sz w:val="24"/>
          <w:szCs w:val="24"/>
        </w:rPr>
        <w:t xml:space="preserve">However, </w:t>
      </w:r>
      <w:r w:rsidR="006E5740" w:rsidRPr="00DD55FF">
        <w:rPr>
          <w:sz w:val="24"/>
          <w:szCs w:val="24"/>
        </w:rPr>
        <w:t xml:space="preserve">while </w:t>
      </w:r>
      <w:r w:rsidR="00346ECE">
        <w:rPr>
          <w:sz w:val="24"/>
          <w:szCs w:val="24"/>
        </w:rPr>
        <w:t xml:space="preserve">his quest </w:t>
      </w:r>
      <w:r w:rsidR="00EA1D0C">
        <w:rPr>
          <w:sz w:val="24"/>
          <w:szCs w:val="24"/>
        </w:rPr>
        <w:t xml:space="preserve">at times leads him astray, </w:t>
      </w:r>
      <w:r w:rsidR="006E5740" w:rsidRPr="00DD55FF">
        <w:rPr>
          <w:sz w:val="24"/>
          <w:szCs w:val="24"/>
        </w:rPr>
        <w:t xml:space="preserve">he finds plenty of wisdom on the way – which makes his journey </w:t>
      </w:r>
      <w:r w:rsidR="00203512" w:rsidRPr="00DD55FF">
        <w:rPr>
          <w:sz w:val="24"/>
          <w:szCs w:val="24"/>
        </w:rPr>
        <w:t xml:space="preserve">well </w:t>
      </w:r>
      <w:r w:rsidR="006E5740" w:rsidRPr="00DD55FF">
        <w:rPr>
          <w:sz w:val="24"/>
          <w:szCs w:val="24"/>
        </w:rPr>
        <w:t xml:space="preserve">worth following.  </w:t>
      </w:r>
    </w:p>
    <w:p w:rsidR="00395209" w:rsidRPr="00DD55FF" w:rsidRDefault="006E5740" w:rsidP="00ED0675">
      <w:pPr>
        <w:ind w:firstLine="720"/>
        <w:jc w:val="both"/>
        <w:rPr>
          <w:sz w:val="24"/>
          <w:szCs w:val="24"/>
        </w:rPr>
      </w:pPr>
      <w:r w:rsidRPr="00DD55FF">
        <w:rPr>
          <w:sz w:val="24"/>
          <w:szCs w:val="24"/>
        </w:rPr>
        <w:t xml:space="preserve">   </w:t>
      </w:r>
    </w:p>
    <w:p w:rsidR="00395209" w:rsidRPr="00ED0675" w:rsidRDefault="001A395D" w:rsidP="00ED0675">
      <w:pPr>
        <w:jc w:val="center"/>
        <w:rPr>
          <w:i/>
          <w:sz w:val="28"/>
          <w:szCs w:val="28"/>
        </w:rPr>
      </w:pPr>
      <w:r w:rsidRPr="00ED0675">
        <w:rPr>
          <w:sz w:val="28"/>
          <w:szCs w:val="28"/>
        </w:rPr>
        <w:t>5.</w:t>
      </w:r>
      <w:r w:rsidRPr="00ED0675">
        <w:rPr>
          <w:i/>
          <w:sz w:val="28"/>
          <w:szCs w:val="28"/>
        </w:rPr>
        <w:t xml:space="preserve"> </w:t>
      </w:r>
      <w:r w:rsidR="00395209" w:rsidRPr="00ED0675">
        <w:rPr>
          <w:i/>
          <w:sz w:val="28"/>
          <w:szCs w:val="28"/>
        </w:rPr>
        <w:t>The Scope and Substance of Discrimination Law</w:t>
      </w:r>
    </w:p>
    <w:p w:rsidR="004F54EE" w:rsidRPr="00DD55FF" w:rsidRDefault="00050CB3" w:rsidP="00DD55FF">
      <w:pPr>
        <w:jc w:val="both"/>
        <w:rPr>
          <w:sz w:val="24"/>
          <w:szCs w:val="24"/>
        </w:rPr>
      </w:pPr>
      <w:proofErr w:type="spellStart"/>
      <w:r>
        <w:rPr>
          <w:sz w:val="24"/>
          <w:szCs w:val="24"/>
        </w:rPr>
        <w:t>Khaitan</w:t>
      </w:r>
      <w:proofErr w:type="spellEnd"/>
      <w:r>
        <w:rPr>
          <w:sz w:val="24"/>
          <w:szCs w:val="24"/>
        </w:rPr>
        <w:t xml:space="preserve"> begins</w:t>
      </w:r>
      <w:r w:rsidR="00424EF3" w:rsidRPr="00DD55FF">
        <w:rPr>
          <w:sz w:val="24"/>
          <w:szCs w:val="24"/>
        </w:rPr>
        <w:t xml:space="preserve"> his substantive analysis by </w:t>
      </w:r>
      <w:r w:rsidR="004713C6" w:rsidRPr="00DD55FF">
        <w:rPr>
          <w:sz w:val="24"/>
          <w:szCs w:val="24"/>
        </w:rPr>
        <w:t xml:space="preserve">attempting to delineate the scope and substance of discrimination law. He notes </w:t>
      </w:r>
      <w:r w:rsidR="00424EF3" w:rsidRPr="00DD55FF">
        <w:rPr>
          <w:sz w:val="24"/>
          <w:szCs w:val="24"/>
        </w:rPr>
        <w:t xml:space="preserve">that </w:t>
      </w:r>
      <w:r w:rsidR="00395209" w:rsidRPr="00DD55FF">
        <w:rPr>
          <w:sz w:val="24"/>
          <w:szCs w:val="24"/>
        </w:rPr>
        <w:t>discrimination law has a ‘crisis of identity’</w:t>
      </w:r>
      <w:r w:rsidR="00A2170B" w:rsidRPr="00DD55FF">
        <w:rPr>
          <w:sz w:val="24"/>
          <w:szCs w:val="24"/>
        </w:rPr>
        <w:t>: it has emerged out</w:t>
      </w:r>
      <w:r w:rsidR="004713C6" w:rsidRPr="00DD55FF">
        <w:rPr>
          <w:sz w:val="24"/>
          <w:szCs w:val="24"/>
        </w:rPr>
        <w:t xml:space="preserve"> and remains linked to</w:t>
      </w:r>
      <w:r w:rsidR="00A2170B" w:rsidRPr="00DD55FF">
        <w:rPr>
          <w:sz w:val="24"/>
          <w:szCs w:val="24"/>
        </w:rPr>
        <w:t xml:space="preserve"> different fields of law</w:t>
      </w:r>
      <w:r w:rsidR="004713C6" w:rsidRPr="00DD55FF">
        <w:rPr>
          <w:sz w:val="24"/>
          <w:szCs w:val="24"/>
        </w:rPr>
        <w:t>, such as labour law or constitutional law, and has only recently come to be recognised as a distinct sub-set of legal norms in its own right.</w:t>
      </w:r>
      <w:r w:rsidR="00E72275" w:rsidRPr="00DD55FF">
        <w:rPr>
          <w:rStyle w:val="FootnoteReference"/>
          <w:sz w:val="24"/>
          <w:szCs w:val="24"/>
        </w:rPr>
        <w:footnoteReference w:id="42"/>
      </w:r>
      <w:r w:rsidR="004713C6" w:rsidRPr="00DD55FF">
        <w:rPr>
          <w:sz w:val="24"/>
          <w:szCs w:val="24"/>
        </w:rPr>
        <w:t xml:space="preserve"> He therefore </w:t>
      </w:r>
      <w:r w:rsidR="00395209" w:rsidRPr="00DD55FF">
        <w:rPr>
          <w:sz w:val="24"/>
          <w:szCs w:val="24"/>
        </w:rPr>
        <w:t xml:space="preserve">sets out to identify the essence of discrimination law, </w:t>
      </w:r>
      <w:r w:rsidR="004713C6" w:rsidRPr="00DD55FF">
        <w:rPr>
          <w:sz w:val="24"/>
          <w:szCs w:val="24"/>
        </w:rPr>
        <w:t xml:space="preserve">i.e. </w:t>
      </w:r>
      <w:r w:rsidR="00A029AA" w:rsidRPr="00DD55FF">
        <w:rPr>
          <w:sz w:val="24"/>
          <w:szCs w:val="24"/>
        </w:rPr>
        <w:t xml:space="preserve">the ‘necessary and </w:t>
      </w:r>
      <w:r w:rsidR="00395209" w:rsidRPr="00DD55FF">
        <w:rPr>
          <w:sz w:val="24"/>
          <w:szCs w:val="24"/>
        </w:rPr>
        <w:t xml:space="preserve">sufficient conditions’ that distinguish duty-imposing legal norms as norms of </w:t>
      </w:r>
      <w:r w:rsidR="00395209" w:rsidRPr="00DD55FF">
        <w:rPr>
          <w:i/>
          <w:sz w:val="24"/>
          <w:szCs w:val="24"/>
        </w:rPr>
        <w:t>discrimination law</w:t>
      </w:r>
      <w:r w:rsidR="00395209" w:rsidRPr="00DD55FF">
        <w:rPr>
          <w:sz w:val="24"/>
          <w:szCs w:val="24"/>
        </w:rPr>
        <w:t xml:space="preserve"> </w:t>
      </w:r>
      <w:r w:rsidR="004713C6" w:rsidRPr="00DD55FF">
        <w:rPr>
          <w:sz w:val="24"/>
          <w:szCs w:val="24"/>
        </w:rPr>
        <w:t xml:space="preserve">as such, </w:t>
      </w:r>
      <w:r w:rsidR="00395209" w:rsidRPr="00DD55FF">
        <w:rPr>
          <w:sz w:val="24"/>
          <w:szCs w:val="24"/>
        </w:rPr>
        <w:t>as distinct from other branches o</w:t>
      </w:r>
      <w:r w:rsidR="004713C6" w:rsidRPr="00DD55FF">
        <w:rPr>
          <w:sz w:val="24"/>
          <w:szCs w:val="24"/>
        </w:rPr>
        <w:t xml:space="preserve">f legal regulation such as for example </w:t>
      </w:r>
      <w:r w:rsidR="00395209" w:rsidRPr="00DD55FF">
        <w:rPr>
          <w:sz w:val="24"/>
          <w:szCs w:val="24"/>
        </w:rPr>
        <w:t>social welfare law or tort law.</w:t>
      </w:r>
      <w:r w:rsidR="00A029AA" w:rsidRPr="00DD55FF">
        <w:rPr>
          <w:rStyle w:val="FootnoteReference"/>
          <w:sz w:val="24"/>
          <w:szCs w:val="24"/>
        </w:rPr>
        <w:footnoteReference w:id="43"/>
      </w:r>
      <w:r w:rsidR="00395209" w:rsidRPr="00DD55FF">
        <w:rPr>
          <w:sz w:val="24"/>
          <w:szCs w:val="24"/>
        </w:rPr>
        <w:t xml:space="preserve">  </w:t>
      </w:r>
    </w:p>
    <w:p w:rsidR="00395209" w:rsidRPr="00DD55FF" w:rsidRDefault="00395209" w:rsidP="00ED0675">
      <w:pPr>
        <w:ind w:firstLine="720"/>
        <w:jc w:val="both"/>
        <w:rPr>
          <w:sz w:val="24"/>
          <w:szCs w:val="24"/>
        </w:rPr>
      </w:pPr>
      <w:r w:rsidRPr="00DD55FF">
        <w:rPr>
          <w:sz w:val="24"/>
          <w:szCs w:val="24"/>
        </w:rPr>
        <w:t>To do this, Khaitan utilises a thought experiment designed to identify the common features of norms that form part of discrimination law in the states contained within his dataset. This thought experiment involves listing a number of legal norms</w:t>
      </w:r>
      <w:r w:rsidR="00FA6BC2" w:rsidRPr="00DD55FF">
        <w:rPr>
          <w:sz w:val="24"/>
          <w:szCs w:val="24"/>
        </w:rPr>
        <w:t xml:space="preserve">, </w:t>
      </w:r>
      <w:r w:rsidRPr="00DD55FF">
        <w:rPr>
          <w:sz w:val="24"/>
          <w:szCs w:val="24"/>
        </w:rPr>
        <w:t>including for example a prohibition on refusing to let accommodation to person</w:t>
      </w:r>
      <w:r w:rsidR="00050CB3">
        <w:rPr>
          <w:sz w:val="24"/>
          <w:szCs w:val="24"/>
        </w:rPr>
        <w:t xml:space="preserve">s </w:t>
      </w:r>
      <w:r w:rsidRPr="00DD55FF">
        <w:rPr>
          <w:sz w:val="24"/>
          <w:szCs w:val="24"/>
        </w:rPr>
        <w:t>based on their race</w:t>
      </w:r>
      <w:r w:rsidR="00FA6BC2" w:rsidRPr="00DD55FF">
        <w:rPr>
          <w:sz w:val="24"/>
          <w:szCs w:val="24"/>
        </w:rPr>
        <w:t xml:space="preserve">; </w:t>
      </w:r>
      <w:r w:rsidRPr="00DD55FF">
        <w:rPr>
          <w:sz w:val="24"/>
          <w:szCs w:val="24"/>
        </w:rPr>
        <w:t>a re</w:t>
      </w:r>
      <w:r w:rsidR="00735D6E">
        <w:rPr>
          <w:sz w:val="24"/>
          <w:szCs w:val="24"/>
        </w:rPr>
        <w:t>quirement to pay a minimum wage</w:t>
      </w:r>
      <w:r w:rsidR="00FA6BC2" w:rsidRPr="00DD55FF">
        <w:rPr>
          <w:sz w:val="24"/>
          <w:szCs w:val="24"/>
        </w:rPr>
        <w:t>;</w:t>
      </w:r>
      <w:r w:rsidRPr="00DD55FF">
        <w:rPr>
          <w:sz w:val="24"/>
          <w:szCs w:val="24"/>
        </w:rPr>
        <w:t xml:space="preserve"> and a provision that all persons with severe mobility difficulties </w:t>
      </w:r>
      <w:r w:rsidR="00050CB3">
        <w:rPr>
          <w:sz w:val="24"/>
          <w:szCs w:val="24"/>
        </w:rPr>
        <w:t>shall receive a monthly allowance from</w:t>
      </w:r>
      <w:r w:rsidRPr="00DD55FF">
        <w:rPr>
          <w:sz w:val="24"/>
          <w:szCs w:val="24"/>
        </w:rPr>
        <w:t xml:space="preserve"> the local council.</w:t>
      </w:r>
      <w:r w:rsidR="00050CB3">
        <w:rPr>
          <w:sz w:val="24"/>
          <w:szCs w:val="24"/>
        </w:rPr>
        <w:t xml:space="preserve"> </w:t>
      </w:r>
      <w:r w:rsidRPr="00DD55FF">
        <w:rPr>
          <w:sz w:val="24"/>
          <w:szCs w:val="24"/>
        </w:rPr>
        <w:t xml:space="preserve">By reference to how hypothetical lawyers within all five states of the dataset might classify these norms, he </w:t>
      </w:r>
      <w:r w:rsidRPr="00DD55FF">
        <w:rPr>
          <w:sz w:val="24"/>
          <w:szCs w:val="24"/>
        </w:rPr>
        <w:lastRenderedPageBreak/>
        <w:t xml:space="preserve">extrapolates the existence of four necessary conditions for a legal norm to be regarded </w:t>
      </w:r>
      <w:r w:rsidR="005A50E0" w:rsidRPr="00DD55FF">
        <w:rPr>
          <w:sz w:val="24"/>
          <w:szCs w:val="24"/>
        </w:rPr>
        <w:t xml:space="preserve">as </w:t>
      </w:r>
      <w:r w:rsidRPr="00DD55FF">
        <w:rPr>
          <w:sz w:val="24"/>
          <w:szCs w:val="24"/>
        </w:rPr>
        <w:t xml:space="preserve">part of discrimination law - namely ‘personal grounds’; ‘cognate groups’; ‘relative disadvantage’; and ‘eccentric distribution’. </w:t>
      </w:r>
    </w:p>
    <w:p w:rsidR="009F7F28" w:rsidRPr="00DD55FF" w:rsidRDefault="00ED0675" w:rsidP="00ED0675">
      <w:pPr>
        <w:ind w:firstLine="720"/>
        <w:jc w:val="both"/>
        <w:rPr>
          <w:sz w:val="24"/>
          <w:szCs w:val="24"/>
        </w:rPr>
      </w:pPr>
      <w:r>
        <w:rPr>
          <w:sz w:val="24"/>
          <w:szCs w:val="24"/>
        </w:rPr>
        <w:t>The first condition -</w:t>
      </w:r>
      <w:r w:rsidR="00395209" w:rsidRPr="00DD55FF">
        <w:rPr>
          <w:sz w:val="24"/>
          <w:szCs w:val="24"/>
        </w:rPr>
        <w:t xml:space="preserve"> ‘personal grounds’ - is that the legal norm in question requires some connection between the prohibited act or omission at issue and certain attributes or characteristics that persons have. In other words, as Khaitan puts it, discrimination law shows ‘sensitivity’ to particular characteristics possessed by individuals</w:t>
      </w:r>
      <w:r w:rsidR="00FA73C4" w:rsidRPr="00DD55FF">
        <w:rPr>
          <w:sz w:val="24"/>
          <w:szCs w:val="24"/>
        </w:rPr>
        <w:t>,</w:t>
      </w:r>
      <w:r w:rsidR="00A029AA" w:rsidRPr="00DD55FF">
        <w:rPr>
          <w:sz w:val="24"/>
          <w:szCs w:val="24"/>
        </w:rPr>
        <w:t xml:space="preserve"> such as their race, </w:t>
      </w:r>
      <w:r w:rsidR="00395209" w:rsidRPr="00DD55FF">
        <w:rPr>
          <w:sz w:val="24"/>
          <w:szCs w:val="24"/>
        </w:rPr>
        <w:t>sex</w:t>
      </w:r>
      <w:r w:rsidR="00A029AA" w:rsidRPr="00DD55FF">
        <w:rPr>
          <w:sz w:val="24"/>
          <w:szCs w:val="24"/>
        </w:rPr>
        <w:t>, religion and so on</w:t>
      </w:r>
      <w:r w:rsidR="00FA73C4" w:rsidRPr="00DD55FF">
        <w:rPr>
          <w:sz w:val="24"/>
          <w:szCs w:val="24"/>
        </w:rPr>
        <w:t>.</w:t>
      </w:r>
      <w:r w:rsidR="00A029AA" w:rsidRPr="00DD55FF">
        <w:rPr>
          <w:rStyle w:val="FootnoteReference"/>
          <w:sz w:val="24"/>
          <w:szCs w:val="24"/>
        </w:rPr>
        <w:footnoteReference w:id="44"/>
      </w:r>
      <w:r w:rsidR="00FA73C4" w:rsidRPr="00DD55FF">
        <w:rPr>
          <w:sz w:val="24"/>
          <w:szCs w:val="24"/>
        </w:rPr>
        <w:t xml:space="preserve"> However, as he discusses in detail later in the book, it does not necessarily require that </w:t>
      </w:r>
      <w:r w:rsidR="00077AE8" w:rsidRPr="00DD55FF">
        <w:rPr>
          <w:sz w:val="24"/>
          <w:szCs w:val="24"/>
        </w:rPr>
        <w:t xml:space="preserve">a direct </w:t>
      </w:r>
      <w:r w:rsidR="00050CB3">
        <w:rPr>
          <w:sz w:val="24"/>
          <w:szCs w:val="24"/>
        </w:rPr>
        <w:t>ca</w:t>
      </w:r>
      <w:r w:rsidR="00FA73C4" w:rsidRPr="00DD55FF">
        <w:rPr>
          <w:sz w:val="24"/>
          <w:szCs w:val="24"/>
        </w:rPr>
        <w:t>u</w:t>
      </w:r>
      <w:r w:rsidR="00050CB3">
        <w:rPr>
          <w:sz w:val="24"/>
          <w:szCs w:val="24"/>
        </w:rPr>
        <w:t>s</w:t>
      </w:r>
      <w:r w:rsidR="00FA73C4" w:rsidRPr="00DD55FF">
        <w:rPr>
          <w:sz w:val="24"/>
          <w:szCs w:val="24"/>
        </w:rPr>
        <w:t>al link exists between these personal characteristics and the prohibited acts or omissions in question: it can be enough if</w:t>
      </w:r>
      <w:r w:rsidR="00077AE8" w:rsidRPr="00DD55FF">
        <w:rPr>
          <w:sz w:val="24"/>
          <w:szCs w:val="24"/>
        </w:rPr>
        <w:t xml:space="preserve"> a </w:t>
      </w:r>
      <w:r w:rsidR="00077AE8" w:rsidRPr="00DD55FF">
        <w:rPr>
          <w:i/>
          <w:sz w:val="24"/>
          <w:szCs w:val="24"/>
        </w:rPr>
        <w:t>correlation</w:t>
      </w:r>
      <w:r w:rsidR="00077AE8" w:rsidRPr="00DD55FF">
        <w:rPr>
          <w:sz w:val="24"/>
          <w:szCs w:val="24"/>
        </w:rPr>
        <w:t xml:space="preserve"> exists between the disadvantage generated by the prohibited conduct in question and the relevant personal characteristic at issue</w:t>
      </w:r>
      <w:r w:rsidR="00085215" w:rsidRPr="00DD55FF">
        <w:rPr>
          <w:sz w:val="24"/>
          <w:szCs w:val="24"/>
        </w:rPr>
        <w:t>.</w:t>
      </w:r>
      <w:r w:rsidR="00077AE8" w:rsidRPr="00DD55FF">
        <w:rPr>
          <w:rStyle w:val="FootnoteReference"/>
          <w:sz w:val="24"/>
          <w:szCs w:val="24"/>
        </w:rPr>
        <w:footnoteReference w:id="45"/>
      </w:r>
      <w:r w:rsidR="00FA73C4" w:rsidRPr="00DD55FF">
        <w:rPr>
          <w:sz w:val="24"/>
          <w:szCs w:val="24"/>
        </w:rPr>
        <w:t xml:space="preserve"> </w:t>
      </w:r>
    </w:p>
    <w:p w:rsidR="00395209" w:rsidRPr="00DD55FF" w:rsidRDefault="009376A2" w:rsidP="00ED0675">
      <w:pPr>
        <w:ind w:firstLine="720"/>
        <w:jc w:val="both"/>
        <w:rPr>
          <w:sz w:val="24"/>
          <w:szCs w:val="24"/>
        </w:rPr>
      </w:pPr>
      <w:r w:rsidRPr="00DD55FF">
        <w:rPr>
          <w:sz w:val="24"/>
          <w:szCs w:val="24"/>
        </w:rPr>
        <w:t xml:space="preserve">Moving on, Khaitan notes that this </w:t>
      </w:r>
      <w:r w:rsidR="00395209" w:rsidRPr="00DD55FF">
        <w:rPr>
          <w:sz w:val="24"/>
          <w:szCs w:val="24"/>
        </w:rPr>
        <w:t xml:space="preserve">concept of a </w:t>
      </w:r>
      <w:r w:rsidR="009F7F28" w:rsidRPr="00DD55FF">
        <w:rPr>
          <w:sz w:val="24"/>
          <w:szCs w:val="24"/>
        </w:rPr>
        <w:t>‘</w:t>
      </w:r>
      <w:r w:rsidR="00395209" w:rsidRPr="00DD55FF">
        <w:rPr>
          <w:sz w:val="24"/>
          <w:szCs w:val="24"/>
        </w:rPr>
        <w:t>personal ground</w:t>
      </w:r>
      <w:r w:rsidR="009F7F28" w:rsidRPr="00DD55FF">
        <w:rPr>
          <w:sz w:val="24"/>
          <w:szCs w:val="24"/>
        </w:rPr>
        <w:t>’</w:t>
      </w:r>
      <w:r w:rsidR="00395209" w:rsidRPr="00DD55FF">
        <w:rPr>
          <w:sz w:val="24"/>
          <w:szCs w:val="24"/>
        </w:rPr>
        <w:t xml:space="preserve"> can exist in two distinct ‘orders’ – a universal order, which applies to all persons, and cognate ‘particular’ instances of that universal order which attach to different groups of people.</w:t>
      </w:r>
      <w:r w:rsidR="00A029AA" w:rsidRPr="00DD55FF">
        <w:rPr>
          <w:rStyle w:val="FootnoteReference"/>
          <w:sz w:val="24"/>
          <w:szCs w:val="24"/>
        </w:rPr>
        <w:footnoteReference w:id="46"/>
      </w:r>
      <w:r w:rsidR="00395209" w:rsidRPr="00DD55FF">
        <w:rPr>
          <w:sz w:val="24"/>
          <w:szCs w:val="24"/>
        </w:rPr>
        <w:t xml:space="preserve"> Gender is an example of a universal order, while men and women are ‘cognates groups’ of that universal order.  </w:t>
      </w:r>
      <w:r w:rsidR="00075B44" w:rsidRPr="00DD55FF">
        <w:rPr>
          <w:sz w:val="24"/>
          <w:szCs w:val="24"/>
        </w:rPr>
        <w:t xml:space="preserve">In all the legal systems contained in </w:t>
      </w:r>
      <w:proofErr w:type="spellStart"/>
      <w:r w:rsidR="00075B44" w:rsidRPr="00DD55FF">
        <w:rPr>
          <w:sz w:val="24"/>
          <w:szCs w:val="24"/>
        </w:rPr>
        <w:t>Khaitan’s</w:t>
      </w:r>
      <w:proofErr w:type="spellEnd"/>
      <w:r w:rsidR="00075B44" w:rsidRPr="00DD55FF">
        <w:rPr>
          <w:sz w:val="24"/>
          <w:szCs w:val="24"/>
        </w:rPr>
        <w:t xml:space="preserve"> dataset, p</w:t>
      </w:r>
      <w:r w:rsidR="00395209" w:rsidRPr="00DD55FF">
        <w:rPr>
          <w:sz w:val="24"/>
          <w:szCs w:val="24"/>
        </w:rPr>
        <w:t>ersonal grounds are generally pro</w:t>
      </w:r>
      <w:r w:rsidR="00075B44" w:rsidRPr="00DD55FF">
        <w:rPr>
          <w:sz w:val="24"/>
          <w:szCs w:val="24"/>
        </w:rPr>
        <w:t>tected in their universal order. This is</w:t>
      </w:r>
      <w:r w:rsidR="00395209" w:rsidRPr="00DD55FF">
        <w:rPr>
          <w:sz w:val="24"/>
          <w:szCs w:val="24"/>
        </w:rPr>
        <w:t xml:space="preserve"> </w:t>
      </w:r>
      <w:r w:rsidR="00075B44" w:rsidRPr="00DD55FF">
        <w:rPr>
          <w:sz w:val="24"/>
          <w:szCs w:val="24"/>
        </w:rPr>
        <w:t xml:space="preserve">why </w:t>
      </w:r>
      <w:r w:rsidR="00395209" w:rsidRPr="00DD55FF">
        <w:rPr>
          <w:sz w:val="24"/>
          <w:szCs w:val="24"/>
        </w:rPr>
        <w:t xml:space="preserve">discrimination law tends to be ‘symmetrical’, i.e. discrimination on the basis of gender (a </w:t>
      </w:r>
      <w:r w:rsidR="00FA73C4" w:rsidRPr="00DD55FF">
        <w:rPr>
          <w:sz w:val="24"/>
          <w:szCs w:val="24"/>
        </w:rPr>
        <w:t>universal ground) is prohibited</w:t>
      </w:r>
      <w:r w:rsidR="00395209" w:rsidRPr="00DD55FF">
        <w:rPr>
          <w:sz w:val="24"/>
          <w:szCs w:val="24"/>
        </w:rPr>
        <w:t xml:space="preserve">, </w:t>
      </w:r>
      <w:r w:rsidR="00FA73C4" w:rsidRPr="00DD55FF">
        <w:rPr>
          <w:sz w:val="24"/>
          <w:szCs w:val="24"/>
        </w:rPr>
        <w:t xml:space="preserve">but </w:t>
      </w:r>
      <w:r w:rsidR="00395209" w:rsidRPr="00DD55FF">
        <w:rPr>
          <w:sz w:val="24"/>
          <w:szCs w:val="24"/>
        </w:rPr>
        <w:t>not discrimination on the grounds of being a women alon</w:t>
      </w:r>
      <w:r w:rsidR="00075B44" w:rsidRPr="00DD55FF">
        <w:rPr>
          <w:sz w:val="24"/>
          <w:szCs w:val="24"/>
        </w:rPr>
        <w:t xml:space="preserve">e (a cognate ground). However, established practice across the dataset suggests </w:t>
      </w:r>
      <w:r w:rsidR="00395209" w:rsidRPr="00DD55FF">
        <w:rPr>
          <w:sz w:val="24"/>
          <w:szCs w:val="24"/>
        </w:rPr>
        <w:t xml:space="preserve">personal ground must be capable of classifying persons into one or </w:t>
      </w:r>
      <w:r w:rsidR="00075B44" w:rsidRPr="00DD55FF">
        <w:rPr>
          <w:sz w:val="24"/>
          <w:szCs w:val="24"/>
        </w:rPr>
        <w:t>more cognate groups before it will be</w:t>
      </w:r>
      <w:r w:rsidR="00395209" w:rsidRPr="00DD55FF">
        <w:rPr>
          <w:sz w:val="24"/>
          <w:szCs w:val="24"/>
        </w:rPr>
        <w:t xml:space="preserve"> protected by discrimination law – which Khaitan classifies as the ‘cognate groups condition’, the second necessary qualifying condition</w:t>
      </w:r>
      <w:r w:rsidR="00FA73C4" w:rsidRPr="00DD55FF">
        <w:rPr>
          <w:sz w:val="24"/>
          <w:szCs w:val="24"/>
        </w:rPr>
        <w:t xml:space="preserve"> in his classificatory scheme</w:t>
      </w:r>
      <w:r w:rsidR="00395209" w:rsidRPr="00DD55FF">
        <w:rPr>
          <w:sz w:val="24"/>
          <w:szCs w:val="24"/>
        </w:rPr>
        <w:t>.</w:t>
      </w:r>
      <w:r w:rsidR="00A029AA" w:rsidRPr="00DD55FF">
        <w:rPr>
          <w:rStyle w:val="FootnoteReference"/>
          <w:sz w:val="24"/>
          <w:szCs w:val="24"/>
        </w:rPr>
        <w:footnoteReference w:id="47"/>
      </w:r>
    </w:p>
    <w:p w:rsidR="00395209" w:rsidRPr="00DD55FF" w:rsidRDefault="00395209" w:rsidP="00ED0675">
      <w:pPr>
        <w:ind w:firstLine="720"/>
        <w:jc w:val="both"/>
        <w:rPr>
          <w:sz w:val="24"/>
          <w:szCs w:val="24"/>
        </w:rPr>
      </w:pPr>
      <w:r w:rsidRPr="00DD55FF">
        <w:rPr>
          <w:sz w:val="24"/>
          <w:szCs w:val="24"/>
        </w:rPr>
        <w:t xml:space="preserve">The third condition is ‘relative disadvantage’, whereby members of one cognate group </w:t>
      </w:r>
      <w:r w:rsidR="007500F1" w:rsidRPr="00DD55FF">
        <w:rPr>
          <w:sz w:val="24"/>
          <w:szCs w:val="24"/>
        </w:rPr>
        <w:t xml:space="preserve">(e.g. women, disabled persons, or members of certain ethnic minorities) </w:t>
      </w:r>
      <w:r w:rsidRPr="00DD55FF">
        <w:rPr>
          <w:sz w:val="24"/>
          <w:szCs w:val="24"/>
        </w:rPr>
        <w:t>‘must be significantly more likely to suffer abiding, persuasive and substantial disadvantage’ than members of another cognate group associated with a particular personal ground</w:t>
      </w:r>
      <w:r w:rsidR="007500F1" w:rsidRPr="00DD55FF">
        <w:rPr>
          <w:sz w:val="24"/>
          <w:szCs w:val="24"/>
        </w:rPr>
        <w:t xml:space="preserve"> (e.g. men, persons with</w:t>
      </w:r>
      <w:r w:rsidR="00050CB3">
        <w:rPr>
          <w:sz w:val="24"/>
          <w:szCs w:val="24"/>
        </w:rPr>
        <w:t>out</w:t>
      </w:r>
      <w:r w:rsidR="007500F1" w:rsidRPr="00DD55FF">
        <w:rPr>
          <w:sz w:val="24"/>
          <w:szCs w:val="24"/>
        </w:rPr>
        <w:t xml:space="preserve"> a disability, and members of a majority ethnic group)</w:t>
      </w:r>
      <w:r w:rsidRPr="00DD55FF">
        <w:rPr>
          <w:sz w:val="24"/>
          <w:szCs w:val="24"/>
        </w:rPr>
        <w:t>.</w:t>
      </w:r>
      <w:r w:rsidR="00B33DE9" w:rsidRPr="00DD55FF">
        <w:rPr>
          <w:rStyle w:val="FootnoteReference"/>
          <w:sz w:val="24"/>
          <w:szCs w:val="24"/>
        </w:rPr>
        <w:footnoteReference w:id="48"/>
      </w:r>
      <w:r w:rsidRPr="00DD55FF">
        <w:rPr>
          <w:sz w:val="24"/>
          <w:szCs w:val="24"/>
        </w:rPr>
        <w:t xml:space="preserve"> This third condition is a key element of </w:t>
      </w:r>
      <w:proofErr w:type="spellStart"/>
      <w:r w:rsidRPr="00DD55FF">
        <w:rPr>
          <w:sz w:val="24"/>
          <w:szCs w:val="24"/>
        </w:rPr>
        <w:t>Khaitan’s</w:t>
      </w:r>
      <w:proofErr w:type="spellEnd"/>
      <w:r w:rsidRPr="00DD55FF">
        <w:rPr>
          <w:sz w:val="24"/>
          <w:szCs w:val="24"/>
        </w:rPr>
        <w:t xml:space="preserve"> analysis. It requires that the cognate groups protected by discrimination law be identified by relative disadvantage, not by sharing a p</w:t>
      </w:r>
      <w:r w:rsidR="004F54EE" w:rsidRPr="00DD55FF">
        <w:rPr>
          <w:sz w:val="24"/>
          <w:szCs w:val="24"/>
        </w:rPr>
        <w:t>articular identity as such,</w:t>
      </w:r>
      <w:r w:rsidRPr="00DD55FF">
        <w:rPr>
          <w:sz w:val="24"/>
          <w:szCs w:val="24"/>
        </w:rPr>
        <w:t xml:space="preserve"> or by whether the personal ground in question can ever be ‘relevant’ to rational decision-making </w:t>
      </w:r>
      <w:r w:rsidRPr="00DD55FF">
        <w:rPr>
          <w:sz w:val="24"/>
          <w:szCs w:val="24"/>
        </w:rPr>
        <w:lastRenderedPageBreak/>
        <w:t>processes.</w:t>
      </w:r>
      <w:r w:rsidR="00B33DE9" w:rsidRPr="00DD55FF">
        <w:rPr>
          <w:rStyle w:val="FootnoteReference"/>
          <w:sz w:val="24"/>
          <w:szCs w:val="24"/>
        </w:rPr>
        <w:footnoteReference w:id="49"/>
      </w:r>
      <w:r w:rsidR="00E6175E" w:rsidRPr="00DD55FF">
        <w:rPr>
          <w:sz w:val="24"/>
          <w:szCs w:val="24"/>
        </w:rPr>
        <w:t xml:space="preserve"> </w:t>
      </w:r>
      <w:r w:rsidRPr="00DD55FF">
        <w:rPr>
          <w:sz w:val="24"/>
          <w:szCs w:val="24"/>
        </w:rPr>
        <w:t xml:space="preserve">Khaitan suggests that the question of which groups should be treated by discrimination law as subject to ‘relative </w:t>
      </w:r>
      <w:r w:rsidR="009D62F4" w:rsidRPr="00DD55FF">
        <w:rPr>
          <w:sz w:val="24"/>
          <w:szCs w:val="24"/>
        </w:rPr>
        <w:t xml:space="preserve">group </w:t>
      </w:r>
      <w:r w:rsidRPr="00DD55FF">
        <w:rPr>
          <w:sz w:val="24"/>
          <w:szCs w:val="24"/>
        </w:rPr>
        <w:t>disadvantage’ has to be determined by ‘practical judgment’ within a given state context.</w:t>
      </w:r>
      <w:r w:rsidR="00B33DE9" w:rsidRPr="00DD55FF">
        <w:rPr>
          <w:rStyle w:val="FootnoteReference"/>
          <w:sz w:val="24"/>
          <w:szCs w:val="24"/>
        </w:rPr>
        <w:footnoteReference w:id="50"/>
      </w:r>
      <w:r w:rsidRPr="00DD55FF">
        <w:rPr>
          <w:sz w:val="24"/>
          <w:szCs w:val="24"/>
        </w:rPr>
        <w:t xml:space="preserve"> However, he maintains that this condition</w:t>
      </w:r>
      <w:r w:rsidR="009D62F4" w:rsidRPr="00DD55FF">
        <w:rPr>
          <w:sz w:val="24"/>
          <w:szCs w:val="24"/>
        </w:rPr>
        <w:t xml:space="preserve">, </w:t>
      </w:r>
      <w:r w:rsidRPr="00DD55FF">
        <w:rPr>
          <w:sz w:val="24"/>
          <w:szCs w:val="24"/>
        </w:rPr>
        <w:t xml:space="preserve">however satisfied, is a defining characteristic of any legal norms classified as being part of discrimination law within his dataset of national legal systems. </w:t>
      </w:r>
    </w:p>
    <w:p w:rsidR="00735D6E" w:rsidRDefault="00395209" w:rsidP="00ED0675">
      <w:pPr>
        <w:ind w:firstLine="720"/>
        <w:jc w:val="both"/>
        <w:rPr>
          <w:sz w:val="24"/>
          <w:szCs w:val="24"/>
        </w:rPr>
      </w:pPr>
      <w:r w:rsidRPr="00DD55FF">
        <w:rPr>
          <w:sz w:val="24"/>
          <w:szCs w:val="24"/>
        </w:rPr>
        <w:t>So too is his fourth and final condition – namely that the legal norm in question is likely to distribute the ‘non-remote and tangible benefits in question to some, but not all, members of the relatively disadvantaged group’.</w:t>
      </w:r>
      <w:r w:rsidR="00E6175E" w:rsidRPr="00DD55FF">
        <w:rPr>
          <w:rStyle w:val="FootnoteReference"/>
          <w:sz w:val="24"/>
          <w:szCs w:val="24"/>
        </w:rPr>
        <w:footnoteReference w:id="51"/>
      </w:r>
      <w:r w:rsidRPr="00DD55FF">
        <w:rPr>
          <w:sz w:val="24"/>
          <w:szCs w:val="24"/>
        </w:rPr>
        <w:t xml:space="preserve"> In other words, legal norms which satisfy this ‘eccentric distribution condition’ will be designed to re-distribute benefits to at least some of the members of a disadvantaged cognate group, as long as their claim to access these benefits is not too remote. However, legal norms which distribute benefits to all members of a disadvantaged group –</w:t>
      </w:r>
      <w:r w:rsidR="00A13C0E" w:rsidRPr="00DD55FF">
        <w:rPr>
          <w:sz w:val="24"/>
          <w:szCs w:val="24"/>
        </w:rPr>
        <w:t xml:space="preserve"> including </w:t>
      </w:r>
      <w:r w:rsidRPr="00DD55FF">
        <w:rPr>
          <w:sz w:val="24"/>
          <w:szCs w:val="24"/>
        </w:rPr>
        <w:t>social welfare legislation</w:t>
      </w:r>
      <w:r w:rsidR="00A13C0E" w:rsidRPr="00DD55FF">
        <w:rPr>
          <w:sz w:val="24"/>
          <w:szCs w:val="24"/>
        </w:rPr>
        <w:t>, such as the above-mentioned example of the payment of allowances to persons with severe mobility difficulties</w:t>
      </w:r>
      <w:r w:rsidRPr="00DD55FF">
        <w:rPr>
          <w:sz w:val="24"/>
          <w:szCs w:val="24"/>
        </w:rPr>
        <w:t xml:space="preserve"> – will not qualify.</w:t>
      </w:r>
      <w:r w:rsidR="00A13C0E" w:rsidRPr="00DD55FF">
        <w:rPr>
          <w:rStyle w:val="FootnoteReference"/>
          <w:sz w:val="24"/>
          <w:szCs w:val="24"/>
        </w:rPr>
        <w:footnoteReference w:id="52"/>
      </w:r>
      <w:r w:rsidR="0023261D" w:rsidRPr="00DD55FF">
        <w:rPr>
          <w:sz w:val="24"/>
          <w:szCs w:val="24"/>
        </w:rPr>
        <w:t xml:space="preserve"> </w:t>
      </w:r>
    </w:p>
    <w:p w:rsidR="009835DF" w:rsidRPr="00DD55FF" w:rsidRDefault="00395209" w:rsidP="00ED0675">
      <w:pPr>
        <w:ind w:firstLine="720"/>
        <w:jc w:val="both"/>
        <w:rPr>
          <w:sz w:val="24"/>
          <w:szCs w:val="24"/>
        </w:rPr>
      </w:pPr>
      <w:proofErr w:type="spellStart"/>
      <w:r w:rsidRPr="00DD55FF">
        <w:rPr>
          <w:sz w:val="24"/>
          <w:szCs w:val="24"/>
        </w:rPr>
        <w:t>Khaitan</w:t>
      </w:r>
      <w:proofErr w:type="spellEnd"/>
      <w:r w:rsidRPr="00DD55FF">
        <w:rPr>
          <w:sz w:val="24"/>
          <w:szCs w:val="24"/>
        </w:rPr>
        <w:t xml:space="preserve"> argues that all four of these conditions must be satisfied before a legal norm will qualify as part of discrimination law. As a consequence, he views them as lending ‘identity and a degree of internal coherence’ to discrimination.</w:t>
      </w:r>
      <w:r w:rsidR="00CD4EF0" w:rsidRPr="00DD55FF">
        <w:rPr>
          <w:rStyle w:val="FootnoteReference"/>
          <w:sz w:val="24"/>
          <w:szCs w:val="24"/>
        </w:rPr>
        <w:footnoteReference w:id="53"/>
      </w:r>
      <w:r w:rsidR="00A42C77" w:rsidRPr="00DD55FF">
        <w:rPr>
          <w:sz w:val="24"/>
          <w:szCs w:val="24"/>
        </w:rPr>
        <w:t xml:space="preserve"> </w:t>
      </w:r>
      <w:r w:rsidRPr="00DD55FF">
        <w:rPr>
          <w:sz w:val="24"/>
          <w:szCs w:val="24"/>
        </w:rPr>
        <w:t>Within this classificatory scheme, he highlights the importance of the relative group disadvantage condition, which he views as being ‘at the heart of discrimination law’.</w:t>
      </w:r>
      <w:r w:rsidR="00CD4EF0" w:rsidRPr="00DD55FF">
        <w:rPr>
          <w:rStyle w:val="FootnoteReference"/>
          <w:sz w:val="24"/>
          <w:szCs w:val="24"/>
        </w:rPr>
        <w:footnoteReference w:id="54"/>
      </w:r>
      <w:r w:rsidR="002E1F8F" w:rsidRPr="00DD55FF">
        <w:rPr>
          <w:sz w:val="24"/>
          <w:szCs w:val="24"/>
        </w:rPr>
        <w:t xml:space="preserve"> </w:t>
      </w:r>
      <w:r w:rsidR="009835DF" w:rsidRPr="00DD55FF">
        <w:rPr>
          <w:sz w:val="24"/>
          <w:szCs w:val="24"/>
        </w:rPr>
        <w:t xml:space="preserve">For him, sensitivity to group disadvantage is unique to discrimination law, and addressing this is its major </w:t>
      </w:r>
      <w:r w:rsidR="009835DF" w:rsidRPr="00DD55FF">
        <w:rPr>
          <w:i/>
          <w:sz w:val="24"/>
          <w:szCs w:val="24"/>
        </w:rPr>
        <w:t xml:space="preserve">raison </w:t>
      </w:r>
      <w:proofErr w:type="spellStart"/>
      <w:r w:rsidR="009835DF" w:rsidRPr="00DD55FF">
        <w:rPr>
          <w:i/>
          <w:sz w:val="24"/>
          <w:szCs w:val="24"/>
        </w:rPr>
        <w:t>d’etre</w:t>
      </w:r>
      <w:proofErr w:type="spellEnd"/>
      <w:r w:rsidR="009835DF" w:rsidRPr="00DD55FF">
        <w:rPr>
          <w:sz w:val="24"/>
          <w:szCs w:val="24"/>
        </w:rPr>
        <w:t xml:space="preserve">. </w:t>
      </w:r>
    </w:p>
    <w:p w:rsidR="00A346BC" w:rsidRPr="00DD55FF" w:rsidRDefault="00A1487E" w:rsidP="00ED0675">
      <w:pPr>
        <w:ind w:firstLine="720"/>
        <w:jc w:val="both"/>
        <w:rPr>
          <w:sz w:val="24"/>
          <w:szCs w:val="24"/>
        </w:rPr>
      </w:pPr>
      <w:r w:rsidRPr="00DD55FF">
        <w:rPr>
          <w:sz w:val="24"/>
          <w:szCs w:val="24"/>
        </w:rPr>
        <w:t xml:space="preserve">At this stage, the alert reader will already have detected that </w:t>
      </w:r>
      <w:proofErr w:type="spellStart"/>
      <w:r w:rsidRPr="00DD55FF">
        <w:rPr>
          <w:sz w:val="24"/>
          <w:szCs w:val="24"/>
        </w:rPr>
        <w:t>Khaitan’s</w:t>
      </w:r>
      <w:proofErr w:type="spellEnd"/>
      <w:r w:rsidRPr="00DD55FF">
        <w:rPr>
          <w:sz w:val="24"/>
          <w:szCs w:val="24"/>
        </w:rPr>
        <w:t xml:space="preserve"> account of the essential features of discrimination law does not tally with the ‘lay understanding’ of its functions, or with many of the standard </w:t>
      </w:r>
      <w:r w:rsidR="0048635E" w:rsidRPr="00DD55FF">
        <w:rPr>
          <w:sz w:val="24"/>
          <w:szCs w:val="24"/>
        </w:rPr>
        <w:t xml:space="preserve">conceptual </w:t>
      </w:r>
      <w:r w:rsidRPr="00DD55FF">
        <w:rPr>
          <w:sz w:val="24"/>
          <w:szCs w:val="24"/>
        </w:rPr>
        <w:t xml:space="preserve">accounts of its distinguishing features. </w:t>
      </w:r>
      <w:proofErr w:type="spellStart"/>
      <w:r w:rsidRPr="00DD55FF">
        <w:rPr>
          <w:sz w:val="24"/>
          <w:szCs w:val="24"/>
        </w:rPr>
        <w:t>Khaitan’s</w:t>
      </w:r>
      <w:proofErr w:type="spellEnd"/>
      <w:r w:rsidRPr="00DD55FF">
        <w:rPr>
          <w:sz w:val="24"/>
          <w:szCs w:val="24"/>
        </w:rPr>
        <w:t xml:space="preserve"> analysis does not define the essence of discrimination law as relating to the protection of individuals against particular forms of behaviour motivated by contempt or prejudice</w:t>
      </w:r>
      <w:r w:rsidR="003C3C6E" w:rsidRPr="00DD55FF">
        <w:rPr>
          <w:sz w:val="24"/>
          <w:szCs w:val="24"/>
        </w:rPr>
        <w:t>, in contrast to the ‘lay understanding’</w:t>
      </w:r>
      <w:r w:rsidRPr="00DD55FF">
        <w:rPr>
          <w:sz w:val="24"/>
          <w:szCs w:val="24"/>
        </w:rPr>
        <w:t>; nor does he frame it in terms of combating stereotyping or other forms of irrational decision-making</w:t>
      </w:r>
      <w:r w:rsidR="009D56EF" w:rsidRPr="00DD55FF">
        <w:rPr>
          <w:sz w:val="24"/>
          <w:szCs w:val="24"/>
        </w:rPr>
        <w:t>, as some commentators have argued.</w:t>
      </w:r>
      <w:r w:rsidR="009D56EF" w:rsidRPr="00DD55FF">
        <w:rPr>
          <w:sz w:val="24"/>
          <w:szCs w:val="24"/>
          <w:vertAlign w:val="superscript"/>
        </w:rPr>
        <w:footnoteReference w:id="55"/>
      </w:r>
      <w:r w:rsidRPr="00DD55FF">
        <w:rPr>
          <w:sz w:val="24"/>
          <w:szCs w:val="24"/>
        </w:rPr>
        <w:t xml:space="preserve"> Instead, he argues that its key defining characteristic is this concern with combating relative group disadvantage – a view which constitutes a radical departure from much of the theoretical accounts of discrimination law that exist, but which </w:t>
      </w:r>
      <w:r w:rsidR="003C3C6E" w:rsidRPr="00DD55FF">
        <w:rPr>
          <w:sz w:val="24"/>
          <w:szCs w:val="24"/>
        </w:rPr>
        <w:t xml:space="preserve">chimes with </w:t>
      </w:r>
      <w:r w:rsidRPr="00DD55FF">
        <w:rPr>
          <w:sz w:val="24"/>
          <w:szCs w:val="24"/>
        </w:rPr>
        <w:t xml:space="preserve">some recent </w:t>
      </w:r>
      <w:r w:rsidR="003C3C6E" w:rsidRPr="00DD55FF">
        <w:rPr>
          <w:sz w:val="24"/>
          <w:szCs w:val="24"/>
        </w:rPr>
        <w:t xml:space="preserve">critical </w:t>
      </w:r>
      <w:r w:rsidRPr="00DD55FF">
        <w:rPr>
          <w:sz w:val="24"/>
          <w:szCs w:val="24"/>
        </w:rPr>
        <w:t>analysis of its scope and substance</w:t>
      </w:r>
      <w:r w:rsidR="003C3C6E" w:rsidRPr="00DD55FF">
        <w:rPr>
          <w:sz w:val="24"/>
          <w:szCs w:val="24"/>
        </w:rPr>
        <w:t>.</w:t>
      </w:r>
      <w:r w:rsidRPr="00DD55FF">
        <w:rPr>
          <w:sz w:val="24"/>
          <w:szCs w:val="24"/>
          <w:vertAlign w:val="superscript"/>
        </w:rPr>
        <w:footnoteReference w:id="56"/>
      </w:r>
      <w:r w:rsidRPr="00DD55FF">
        <w:rPr>
          <w:sz w:val="24"/>
          <w:szCs w:val="24"/>
        </w:rPr>
        <w:t xml:space="preserve"> </w:t>
      </w:r>
    </w:p>
    <w:p w:rsidR="00735D6E" w:rsidRDefault="00A1487E" w:rsidP="00ED0675">
      <w:pPr>
        <w:ind w:firstLine="720"/>
        <w:jc w:val="both"/>
        <w:rPr>
          <w:sz w:val="24"/>
          <w:szCs w:val="24"/>
        </w:rPr>
      </w:pPr>
      <w:r w:rsidRPr="00DD55FF">
        <w:rPr>
          <w:sz w:val="24"/>
          <w:szCs w:val="24"/>
        </w:rPr>
        <w:lastRenderedPageBreak/>
        <w:t xml:space="preserve">To back up this analysis, Khaitan </w:t>
      </w:r>
      <w:r w:rsidR="00F71A95" w:rsidRPr="00DD55FF">
        <w:rPr>
          <w:sz w:val="24"/>
          <w:szCs w:val="24"/>
        </w:rPr>
        <w:t xml:space="preserve">then turns his focus </w:t>
      </w:r>
      <w:r w:rsidR="00735D6E">
        <w:rPr>
          <w:sz w:val="24"/>
          <w:szCs w:val="24"/>
        </w:rPr>
        <w:t xml:space="preserve">onto the </w:t>
      </w:r>
      <w:r w:rsidR="006269AC" w:rsidRPr="00DD55FF">
        <w:rPr>
          <w:sz w:val="24"/>
          <w:szCs w:val="24"/>
        </w:rPr>
        <w:t xml:space="preserve">key features of </w:t>
      </w:r>
      <w:r w:rsidR="00735D6E" w:rsidRPr="00735D6E">
        <w:rPr>
          <w:sz w:val="24"/>
          <w:szCs w:val="24"/>
        </w:rPr>
        <w:t>discrimination law in all five states that make up his dataset</w:t>
      </w:r>
      <w:r w:rsidR="006269AC" w:rsidRPr="00DD55FF">
        <w:rPr>
          <w:sz w:val="24"/>
          <w:szCs w:val="24"/>
        </w:rPr>
        <w:t xml:space="preserve">, with a view to demonstrating </w:t>
      </w:r>
      <w:r w:rsidRPr="00DD55FF">
        <w:rPr>
          <w:sz w:val="24"/>
          <w:szCs w:val="24"/>
        </w:rPr>
        <w:t xml:space="preserve">that </w:t>
      </w:r>
      <w:r w:rsidR="00735D6E">
        <w:rPr>
          <w:sz w:val="24"/>
          <w:szCs w:val="24"/>
        </w:rPr>
        <w:t>they</w:t>
      </w:r>
      <w:r w:rsidR="006269AC" w:rsidRPr="00DD55FF">
        <w:rPr>
          <w:sz w:val="24"/>
          <w:szCs w:val="24"/>
        </w:rPr>
        <w:t xml:space="preserve"> </w:t>
      </w:r>
      <w:r w:rsidR="00735D6E">
        <w:rPr>
          <w:sz w:val="24"/>
          <w:szCs w:val="24"/>
        </w:rPr>
        <w:t>reflect</w:t>
      </w:r>
      <w:r w:rsidR="006269AC" w:rsidRPr="00DD55FF">
        <w:rPr>
          <w:sz w:val="24"/>
          <w:szCs w:val="24"/>
        </w:rPr>
        <w:t xml:space="preserve"> </w:t>
      </w:r>
      <w:r w:rsidR="00600174" w:rsidRPr="00DD55FF">
        <w:rPr>
          <w:sz w:val="24"/>
          <w:szCs w:val="24"/>
        </w:rPr>
        <w:t xml:space="preserve">the </w:t>
      </w:r>
      <w:r w:rsidR="009D56EF" w:rsidRPr="00DD55FF">
        <w:rPr>
          <w:sz w:val="24"/>
          <w:szCs w:val="24"/>
        </w:rPr>
        <w:t xml:space="preserve">four </w:t>
      </w:r>
      <w:r w:rsidR="00600174" w:rsidRPr="00DD55FF">
        <w:rPr>
          <w:sz w:val="24"/>
          <w:szCs w:val="24"/>
        </w:rPr>
        <w:t>essential features of discrim</w:t>
      </w:r>
      <w:r w:rsidR="006269AC" w:rsidRPr="00DD55FF">
        <w:rPr>
          <w:sz w:val="24"/>
          <w:szCs w:val="24"/>
        </w:rPr>
        <w:t xml:space="preserve">ination law as he defines them - </w:t>
      </w:r>
      <w:r w:rsidR="00600174" w:rsidRPr="00DD55FF">
        <w:rPr>
          <w:sz w:val="24"/>
          <w:szCs w:val="24"/>
        </w:rPr>
        <w:t>i</w:t>
      </w:r>
      <w:r w:rsidR="006269AC" w:rsidRPr="00DD55FF">
        <w:rPr>
          <w:sz w:val="24"/>
          <w:szCs w:val="24"/>
        </w:rPr>
        <w:t xml:space="preserve">n particular, </w:t>
      </w:r>
      <w:r w:rsidR="00F71A95" w:rsidRPr="00DD55FF">
        <w:rPr>
          <w:sz w:val="24"/>
          <w:szCs w:val="24"/>
        </w:rPr>
        <w:t>the focus</w:t>
      </w:r>
      <w:r w:rsidR="00600174" w:rsidRPr="00DD55FF">
        <w:rPr>
          <w:sz w:val="24"/>
          <w:szCs w:val="24"/>
        </w:rPr>
        <w:t xml:space="preserve"> on combating relative group disadvantage</w:t>
      </w:r>
      <w:r w:rsidR="00EC5FC3" w:rsidRPr="00DD55FF">
        <w:rPr>
          <w:sz w:val="24"/>
          <w:szCs w:val="24"/>
        </w:rPr>
        <w:t xml:space="preserve">. </w:t>
      </w:r>
    </w:p>
    <w:p w:rsidR="00600174" w:rsidRPr="00DD55FF" w:rsidRDefault="00600174" w:rsidP="00ED0675">
      <w:pPr>
        <w:ind w:firstLine="720"/>
        <w:jc w:val="both"/>
        <w:rPr>
          <w:sz w:val="24"/>
          <w:szCs w:val="24"/>
        </w:rPr>
      </w:pPr>
      <w:r w:rsidRPr="00DD55FF">
        <w:rPr>
          <w:sz w:val="24"/>
          <w:szCs w:val="24"/>
        </w:rPr>
        <w:t>For example, he argues that comparative experience shows that personal grounds will be protected by discrimination law if they (</w:t>
      </w:r>
      <w:proofErr w:type="spellStart"/>
      <w:r w:rsidRPr="00DD55FF">
        <w:rPr>
          <w:sz w:val="24"/>
          <w:szCs w:val="24"/>
        </w:rPr>
        <w:t>i</w:t>
      </w:r>
      <w:proofErr w:type="spellEnd"/>
      <w:r w:rsidRPr="00DD55FF">
        <w:rPr>
          <w:sz w:val="24"/>
          <w:szCs w:val="24"/>
        </w:rPr>
        <w:t>) classify persons into groups with a significant relative advantage gap between them, which can take political, socio-cultural or purely material form, and (ii) are also ‘normatively irrelevant’,  i.e. that they involve personal characteristics which are immutable in nature or shaped by fundamental personal choices that have normative value and deserve to be respected accordingly, such as being pregnant, being of a particular marital status, or being of a particular religion or belief.</w:t>
      </w:r>
      <w:r w:rsidRPr="00DD55FF">
        <w:rPr>
          <w:sz w:val="24"/>
          <w:szCs w:val="24"/>
          <w:vertAlign w:val="superscript"/>
        </w:rPr>
        <w:footnoteReference w:id="57"/>
      </w:r>
      <w:r w:rsidRPr="00DD55FF">
        <w:rPr>
          <w:sz w:val="24"/>
          <w:szCs w:val="24"/>
        </w:rPr>
        <w:t xml:space="preserve"> In other words, </w:t>
      </w:r>
      <w:proofErr w:type="spellStart"/>
      <w:r w:rsidRPr="00DD55FF">
        <w:rPr>
          <w:sz w:val="24"/>
          <w:szCs w:val="24"/>
        </w:rPr>
        <w:t>Khaitan</w:t>
      </w:r>
      <w:proofErr w:type="spellEnd"/>
      <w:r w:rsidRPr="00DD55FF">
        <w:rPr>
          <w:sz w:val="24"/>
          <w:szCs w:val="24"/>
        </w:rPr>
        <w:t xml:space="preserve"> suggests that the shape of the ‘protectorate’ of discrimination law </w:t>
      </w:r>
      <w:r w:rsidR="003C3C6E" w:rsidRPr="00DD55FF">
        <w:rPr>
          <w:sz w:val="24"/>
          <w:szCs w:val="24"/>
        </w:rPr>
        <w:t xml:space="preserve">reflects a desire to combat specific forms </w:t>
      </w:r>
      <w:r w:rsidR="009D56EF" w:rsidRPr="00DD55FF">
        <w:rPr>
          <w:sz w:val="24"/>
          <w:szCs w:val="24"/>
        </w:rPr>
        <w:t>of relative group disadvantage, rather than targeting irr</w:t>
      </w:r>
      <w:r w:rsidRPr="00DD55FF">
        <w:rPr>
          <w:sz w:val="24"/>
          <w:szCs w:val="24"/>
        </w:rPr>
        <w:t xml:space="preserve">ational decision-making </w:t>
      </w:r>
      <w:r w:rsidR="009D56EF" w:rsidRPr="00DD55FF">
        <w:rPr>
          <w:sz w:val="24"/>
          <w:szCs w:val="24"/>
        </w:rPr>
        <w:t xml:space="preserve">or treatment </w:t>
      </w:r>
      <w:r w:rsidR="00735D6E">
        <w:rPr>
          <w:sz w:val="24"/>
          <w:szCs w:val="24"/>
        </w:rPr>
        <w:t xml:space="preserve">directly </w:t>
      </w:r>
      <w:r w:rsidR="009D56EF" w:rsidRPr="00DD55FF">
        <w:rPr>
          <w:sz w:val="24"/>
          <w:szCs w:val="24"/>
        </w:rPr>
        <w:t xml:space="preserve">motivated by </w:t>
      </w:r>
      <w:r w:rsidR="00735D6E">
        <w:rPr>
          <w:sz w:val="24"/>
          <w:szCs w:val="24"/>
        </w:rPr>
        <w:t xml:space="preserve">prejudice. </w:t>
      </w:r>
    </w:p>
    <w:p w:rsidR="008F1509" w:rsidRDefault="008F1509" w:rsidP="00ED0675">
      <w:pPr>
        <w:ind w:firstLine="720"/>
        <w:jc w:val="both"/>
        <w:rPr>
          <w:sz w:val="24"/>
          <w:szCs w:val="24"/>
        </w:rPr>
      </w:pPr>
      <w:proofErr w:type="spellStart"/>
      <w:r w:rsidRPr="00DD55FF">
        <w:rPr>
          <w:sz w:val="24"/>
          <w:szCs w:val="24"/>
        </w:rPr>
        <w:t>Khaitan</w:t>
      </w:r>
      <w:proofErr w:type="spellEnd"/>
      <w:r w:rsidRPr="00DD55FF">
        <w:rPr>
          <w:sz w:val="24"/>
          <w:szCs w:val="24"/>
        </w:rPr>
        <w:t xml:space="preserve"> </w:t>
      </w:r>
      <w:r w:rsidR="009D56EF" w:rsidRPr="00DD55FF">
        <w:rPr>
          <w:sz w:val="24"/>
          <w:szCs w:val="24"/>
        </w:rPr>
        <w:t xml:space="preserve">also </w:t>
      </w:r>
      <w:r w:rsidRPr="00DD55FF">
        <w:rPr>
          <w:sz w:val="24"/>
          <w:szCs w:val="24"/>
        </w:rPr>
        <w:t>draws particular attention to manner in which direct discrimination is now regarded by courts in three out of three of five states in his dataset – the UK, Canada and South Africa - as an ‘action-regarding norm’ based on an ‘objective determination of the implication of a protected grou</w:t>
      </w:r>
      <w:r w:rsidR="0066795C" w:rsidRPr="00DD55FF">
        <w:rPr>
          <w:sz w:val="24"/>
          <w:szCs w:val="24"/>
        </w:rPr>
        <w:t xml:space="preserve">nd’ (i.e. the existence of a </w:t>
      </w:r>
      <w:r w:rsidR="00D141D8" w:rsidRPr="00DD55FF">
        <w:rPr>
          <w:sz w:val="24"/>
          <w:szCs w:val="24"/>
        </w:rPr>
        <w:t>ca</w:t>
      </w:r>
      <w:r w:rsidRPr="00DD55FF">
        <w:rPr>
          <w:sz w:val="24"/>
          <w:szCs w:val="24"/>
        </w:rPr>
        <w:t>u</w:t>
      </w:r>
      <w:r w:rsidR="00D141D8" w:rsidRPr="00DD55FF">
        <w:rPr>
          <w:sz w:val="24"/>
          <w:szCs w:val="24"/>
        </w:rPr>
        <w:t>s</w:t>
      </w:r>
      <w:r w:rsidRPr="00DD55FF">
        <w:rPr>
          <w:sz w:val="24"/>
          <w:szCs w:val="24"/>
        </w:rPr>
        <w:t>al connection</w:t>
      </w:r>
      <w:r w:rsidR="0066795C" w:rsidRPr="00DD55FF">
        <w:rPr>
          <w:sz w:val="24"/>
          <w:szCs w:val="24"/>
        </w:rPr>
        <w:t xml:space="preserve"> </w:t>
      </w:r>
      <w:r w:rsidRPr="00DD55FF">
        <w:rPr>
          <w:sz w:val="24"/>
          <w:szCs w:val="24"/>
        </w:rPr>
        <w:t>between a protected ground and the treatment in question).</w:t>
      </w:r>
      <w:r w:rsidRPr="00DD55FF">
        <w:rPr>
          <w:sz w:val="24"/>
          <w:szCs w:val="24"/>
          <w:vertAlign w:val="superscript"/>
        </w:rPr>
        <w:footnoteReference w:id="58"/>
      </w:r>
      <w:r w:rsidRPr="00DD55FF">
        <w:rPr>
          <w:sz w:val="24"/>
          <w:szCs w:val="24"/>
        </w:rPr>
        <w:t xml:space="preserve"> This does away with any formal legal requirement that subjective prejudicial intent be present</w:t>
      </w:r>
      <w:r w:rsidR="0096143F" w:rsidRPr="00DD55FF">
        <w:rPr>
          <w:sz w:val="24"/>
          <w:szCs w:val="24"/>
        </w:rPr>
        <w:t xml:space="preserve">, thereby moving </w:t>
      </w:r>
      <w:r w:rsidR="009D56EF" w:rsidRPr="00DD55FF">
        <w:rPr>
          <w:sz w:val="24"/>
          <w:szCs w:val="24"/>
        </w:rPr>
        <w:t xml:space="preserve">closer to establishing a </w:t>
      </w:r>
      <w:r w:rsidR="0096143F" w:rsidRPr="00DD55FF">
        <w:rPr>
          <w:sz w:val="24"/>
          <w:szCs w:val="24"/>
        </w:rPr>
        <w:t>‘co</w:t>
      </w:r>
      <w:r w:rsidR="00A2371B" w:rsidRPr="00DD55FF">
        <w:rPr>
          <w:sz w:val="24"/>
          <w:szCs w:val="24"/>
        </w:rPr>
        <w:t>r</w:t>
      </w:r>
      <w:r w:rsidR="0096143F" w:rsidRPr="00DD55FF">
        <w:rPr>
          <w:sz w:val="24"/>
          <w:szCs w:val="24"/>
        </w:rPr>
        <w:t>relation’ requirement</w:t>
      </w:r>
      <w:r w:rsidR="004C4962" w:rsidRPr="00DD55FF">
        <w:rPr>
          <w:sz w:val="24"/>
          <w:szCs w:val="24"/>
        </w:rPr>
        <w:t xml:space="preserve"> (as discussed above)</w:t>
      </w:r>
      <w:r w:rsidR="0096143F" w:rsidRPr="00DD55FF">
        <w:rPr>
          <w:sz w:val="24"/>
          <w:szCs w:val="24"/>
        </w:rPr>
        <w:t xml:space="preserve"> between the conduct at issue and the protected ground at issue</w:t>
      </w:r>
      <w:r w:rsidRPr="00DD55FF">
        <w:rPr>
          <w:sz w:val="24"/>
          <w:szCs w:val="24"/>
        </w:rPr>
        <w:t>: as Khaitan notes, ‘this development is the primary driver’ of the divergence that has opened up between the lay and legal understanding of discrimination across all the legal systems surveyed as part of his dataset</w:t>
      </w:r>
      <w:r w:rsidR="00A44BEA">
        <w:rPr>
          <w:sz w:val="24"/>
          <w:szCs w:val="24"/>
        </w:rPr>
        <w:t>.</w:t>
      </w:r>
      <w:r w:rsidRPr="00DD55FF">
        <w:rPr>
          <w:sz w:val="24"/>
          <w:szCs w:val="24"/>
          <w:vertAlign w:val="superscript"/>
        </w:rPr>
        <w:footnoteReference w:id="59"/>
      </w:r>
      <w:r w:rsidRPr="00DD55FF">
        <w:rPr>
          <w:sz w:val="24"/>
          <w:szCs w:val="24"/>
        </w:rPr>
        <w:t xml:space="preserve"> </w:t>
      </w:r>
      <w:r w:rsidR="0096143F" w:rsidRPr="00DD55FF">
        <w:rPr>
          <w:sz w:val="24"/>
          <w:szCs w:val="24"/>
        </w:rPr>
        <w:t xml:space="preserve">He suggests a similar dynamic is in play in relation to the gradual dilution of the requirement to </w:t>
      </w:r>
      <w:r w:rsidR="004C4962" w:rsidRPr="00DD55FF">
        <w:rPr>
          <w:sz w:val="24"/>
          <w:szCs w:val="24"/>
        </w:rPr>
        <w:t>point to a comparator to establish the existence of direct discrimination, and in the evolution of comparative legal doctrine relating to indirect discrimination.</w:t>
      </w:r>
      <w:r w:rsidRPr="00DD55FF">
        <w:rPr>
          <w:sz w:val="24"/>
          <w:szCs w:val="24"/>
          <w:vertAlign w:val="superscript"/>
        </w:rPr>
        <w:footnoteReference w:id="60"/>
      </w:r>
      <w:r w:rsidRPr="00DD55FF">
        <w:rPr>
          <w:sz w:val="24"/>
          <w:szCs w:val="24"/>
        </w:rPr>
        <w:t xml:space="preserve"> </w:t>
      </w:r>
      <w:r w:rsidR="009D56EF" w:rsidRPr="00DD55FF">
        <w:rPr>
          <w:sz w:val="24"/>
          <w:szCs w:val="24"/>
        </w:rPr>
        <w:t xml:space="preserve">Taken together, he again argues that all these comparative developments </w:t>
      </w:r>
      <w:r w:rsidR="00D9013E" w:rsidRPr="00DD55FF">
        <w:rPr>
          <w:sz w:val="24"/>
          <w:szCs w:val="24"/>
        </w:rPr>
        <w:t xml:space="preserve">are best explained as </w:t>
      </w:r>
      <w:r w:rsidR="009D56EF" w:rsidRPr="00DD55FF">
        <w:rPr>
          <w:sz w:val="24"/>
          <w:szCs w:val="24"/>
        </w:rPr>
        <w:t>reflect</w:t>
      </w:r>
      <w:r w:rsidR="00D9013E" w:rsidRPr="00DD55FF">
        <w:rPr>
          <w:sz w:val="24"/>
          <w:szCs w:val="24"/>
        </w:rPr>
        <w:t>ing</w:t>
      </w:r>
      <w:r w:rsidR="009D56EF" w:rsidRPr="00DD55FF">
        <w:rPr>
          <w:sz w:val="24"/>
          <w:szCs w:val="24"/>
        </w:rPr>
        <w:t xml:space="preserve"> a desire to minimise </w:t>
      </w:r>
      <w:r w:rsidR="00D9013E" w:rsidRPr="00DD55FF">
        <w:rPr>
          <w:sz w:val="24"/>
          <w:szCs w:val="24"/>
        </w:rPr>
        <w:t xml:space="preserve">the negative impact of relative group disadvantage on individuals, which he views as the central structuring </w:t>
      </w:r>
      <w:r w:rsidR="00D9013E" w:rsidRPr="00DD55FF">
        <w:rPr>
          <w:i/>
          <w:sz w:val="24"/>
          <w:szCs w:val="24"/>
        </w:rPr>
        <w:t xml:space="preserve">leitmotif </w:t>
      </w:r>
      <w:r w:rsidR="00D9013E" w:rsidRPr="00DD55FF">
        <w:rPr>
          <w:sz w:val="24"/>
          <w:szCs w:val="24"/>
        </w:rPr>
        <w:t>of contemporary discrimination law.</w:t>
      </w:r>
      <w:r w:rsidR="009D56EF" w:rsidRPr="00DD55FF">
        <w:rPr>
          <w:sz w:val="24"/>
          <w:szCs w:val="24"/>
        </w:rPr>
        <w:t xml:space="preserve"> </w:t>
      </w:r>
    </w:p>
    <w:p w:rsidR="00ED0675" w:rsidRPr="00DD55FF" w:rsidRDefault="00ED0675" w:rsidP="00ED0675">
      <w:pPr>
        <w:ind w:firstLine="720"/>
        <w:jc w:val="both"/>
        <w:rPr>
          <w:sz w:val="24"/>
          <w:szCs w:val="24"/>
        </w:rPr>
      </w:pPr>
    </w:p>
    <w:p w:rsidR="00EC1A6F" w:rsidRPr="0076778D" w:rsidRDefault="001A395D" w:rsidP="0076778D">
      <w:pPr>
        <w:jc w:val="center"/>
        <w:rPr>
          <w:i/>
          <w:sz w:val="28"/>
          <w:szCs w:val="28"/>
        </w:rPr>
      </w:pPr>
      <w:r w:rsidRPr="0076778D">
        <w:rPr>
          <w:sz w:val="28"/>
          <w:szCs w:val="28"/>
        </w:rPr>
        <w:t>6.</w:t>
      </w:r>
      <w:r w:rsidRPr="0076778D">
        <w:rPr>
          <w:i/>
          <w:sz w:val="28"/>
          <w:szCs w:val="28"/>
        </w:rPr>
        <w:t xml:space="preserve"> </w:t>
      </w:r>
      <w:r w:rsidR="00EC1A6F" w:rsidRPr="0076778D">
        <w:rPr>
          <w:i/>
          <w:sz w:val="28"/>
          <w:szCs w:val="28"/>
        </w:rPr>
        <w:t xml:space="preserve">The Strengths and Limits of </w:t>
      </w:r>
      <w:proofErr w:type="spellStart"/>
      <w:r w:rsidR="00EC1A6F" w:rsidRPr="0076778D">
        <w:rPr>
          <w:i/>
          <w:sz w:val="28"/>
          <w:szCs w:val="28"/>
        </w:rPr>
        <w:t>Khaitan’s</w:t>
      </w:r>
      <w:proofErr w:type="spellEnd"/>
      <w:r w:rsidR="00EC1A6F" w:rsidRPr="0076778D">
        <w:rPr>
          <w:i/>
          <w:sz w:val="28"/>
          <w:szCs w:val="28"/>
        </w:rPr>
        <w:t xml:space="preserve"> Descriptive Analysis</w:t>
      </w:r>
    </w:p>
    <w:p w:rsidR="006773F4" w:rsidRPr="00DD55FF" w:rsidRDefault="00840257" w:rsidP="00DD55FF">
      <w:pPr>
        <w:jc w:val="both"/>
        <w:rPr>
          <w:sz w:val="24"/>
          <w:szCs w:val="24"/>
        </w:rPr>
      </w:pPr>
      <w:r w:rsidRPr="00DD55FF">
        <w:rPr>
          <w:sz w:val="24"/>
          <w:szCs w:val="24"/>
        </w:rPr>
        <w:t xml:space="preserve">Certain </w:t>
      </w:r>
      <w:r w:rsidR="004C4962" w:rsidRPr="00DD55FF">
        <w:rPr>
          <w:sz w:val="24"/>
          <w:szCs w:val="24"/>
        </w:rPr>
        <w:t>aspects</w:t>
      </w:r>
      <w:r w:rsidR="00C32762" w:rsidRPr="00DD55FF">
        <w:rPr>
          <w:sz w:val="24"/>
          <w:szCs w:val="24"/>
        </w:rPr>
        <w:t xml:space="preserve"> of </w:t>
      </w:r>
      <w:proofErr w:type="spellStart"/>
      <w:r w:rsidR="00C32762" w:rsidRPr="00DD55FF">
        <w:rPr>
          <w:sz w:val="24"/>
          <w:szCs w:val="24"/>
        </w:rPr>
        <w:t>Khaitan’s</w:t>
      </w:r>
      <w:proofErr w:type="spellEnd"/>
      <w:r w:rsidR="00C32762" w:rsidRPr="00DD55FF">
        <w:rPr>
          <w:sz w:val="24"/>
          <w:szCs w:val="24"/>
        </w:rPr>
        <w:t xml:space="preserve"> </w:t>
      </w:r>
      <w:r w:rsidR="00501A3D" w:rsidRPr="00DD55FF">
        <w:rPr>
          <w:sz w:val="24"/>
          <w:szCs w:val="24"/>
        </w:rPr>
        <w:t xml:space="preserve">comparative </w:t>
      </w:r>
      <w:r w:rsidR="00C32762" w:rsidRPr="00DD55FF">
        <w:rPr>
          <w:sz w:val="24"/>
          <w:szCs w:val="24"/>
        </w:rPr>
        <w:t>analysis</w:t>
      </w:r>
      <w:r w:rsidR="004C747B" w:rsidRPr="00DD55FF">
        <w:rPr>
          <w:sz w:val="24"/>
          <w:szCs w:val="24"/>
        </w:rPr>
        <w:t xml:space="preserve"> </w:t>
      </w:r>
      <w:r w:rsidR="00501A3D" w:rsidRPr="00DD55FF">
        <w:rPr>
          <w:sz w:val="24"/>
          <w:szCs w:val="24"/>
        </w:rPr>
        <w:t>are a little shaky</w:t>
      </w:r>
      <w:r w:rsidR="00C32762" w:rsidRPr="00DD55FF">
        <w:rPr>
          <w:sz w:val="24"/>
          <w:szCs w:val="24"/>
        </w:rPr>
        <w:t>. For example, he suggests that legal requirements to make reasonable accommodation are best viewed as a secondary right, wh</w:t>
      </w:r>
      <w:r w:rsidR="005F7BDC" w:rsidRPr="00DD55FF">
        <w:rPr>
          <w:sz w:val="24"/>
          <w:szCs w:val="24"/>
        </w:rPr>
        <w:t xml:space="preserve">ich is </w:t>
      </w:r>
      <w:r w:rsidR="00C32762" w:rsidRPr="00DD55FF">
        <w:rPr>
          <w:sz w:val="24"/>
          <w:szCs w:val="24"/>
        </w:rPr>
        <w:t>ancillary to and dependent upon a breach of the primary legal obligation not to engage in indirect discrimination against the individuals and groups concerned.</w:t>
      </w:r>
      <w:r w:rsidR="00C32762" w:rsidRPr="00DD55FF">
        <w:rPr>
          <w:rStyle w:val="FootnoteReference"/>
          <w:sz w:val="24"/>
          <w:szCs w:val="24"/>
        </w:rPr>
        <w:footnoteReference w:id="61"/>
      </w:r>
      <w:r w:rsidR="005F7BDC" w:rsidRPr="00DD55FF">
        <w:rPr>
          <w:sz w:val="24"/>
          <w:szCs w:val="24"/>
        </w:rPr>
        <w:t xml:space="preserve"> </w:t>
      </w:r>
      <w:r w:rsidR="00501A3D" w:rsidRPr="00DD55FF">
        <w:rPr>
          <w:sz w:val="24"/>
          <w:szCs w:val="24"/>
        </w:rPr>
        <w:t xml:space="preserve">This </w:t>
      </w:r>
      <w:r w:rsidR="004C747B" w:rsidRPr="00DD55FF">
        <w:rPr>
          <w:sz w:val="24"/>
          <w:szCs w:val="24"/>
        </w:rPr>
        <w:t xml:space="preserve">is a </w:t>
      </w:r>
      <w:r w:rsidR="004C747B" w:rsidRPr="00DD55FF">
        <w:rPr>
          <w:sz w:val="24"/>
          <w:szCs w:val="24"/>
        </w:rPr>
        <w:lastRenderedPageBreak/>
        <w:t xml:space="preserve">questionable claim. </w:t>
      </w:r>
      <w:r w:rsidR="00C32762" w:rsidRPr="00DD55FF">
        <w:rPr>
          <w:sz w:val="24"/>
          <w:szCs w:val="24"/>
        </w:rPr>
        <w:t xml:space="preserve">In the context of disability, the main area where reasonable accommodation requirements take effect, </w:t>
      </w:r>
      <w:r w:rsidR="005F7BDC" w:rsidRPr="00DD55FF">
        <w:rPr>
          <w:sz w:val="24"/>
          <w:szCs w:val="24"/>
        </w:rPr>
        <w:t xml:space="preserve">an obligation to accommodate </w:t>
      </w:r>
      <w:r w:rsidR="00CE0ADE" w:rsidRPr="00DD55FF">
        <w:rPr>
          <w:sz w:val="24"/>
          <w:szCs w:val="24"/>
        </w:rPr>
        <w:t xml:space="preserve">a particular individual </w:t>
      </w:r>
      <w:r w:rsidR="00FC4AFA" w:rsidRPr="00DD55FF">
        <w:rPr>
          <w:sz w:val="24"/>
          <w:szCs w:val="24"/>
        </w:rPr>
        <w:t xml:space="preserve">is capable of arising </w:t>
      </w:r>
      <w:r w:rsidR="005F7BDC" w:rsidRPr="00DD55FF">
        <w:rPr>
          <w:sz w:val="24"/>
          <w:szCs w:val="24"/>
        </w:rPr>
        <w:t>in</w:t>
      </w:r>
      <w:r w:rsidR="00CE0ADE" w:rsidRPr="00DD55FF">
        <w:rPr>
          <w:sz w:val="24"/>
          <w:szCs w:val="24"/>
        </w:rPr>
        <w:t xml:space="preserve"> a situation where </w:t>
      </w:r>
      <w:r w:rsidR="004F517E" w:rsidRPr="00DD55FF">
        <w:rPr>
          <w:sz w:val="24"/>
          <w:szCs w:val="24"/>
        </w:rPr>
        <w:t xml:space="preserve">the element of group disadvantage required to establish a claim of </w:t>
      </w:r>
      <w:r w:rsidR="00CE0ADE" w:rsidRPr="00DD55FF">
        <w:rPr>
          <w:sz w:val="24"/>
          <w:szCs w:val="24"/>
        </w:rPr>
        <w:t>indirect discrimination</w:t>
      </w:r>
      <w:r w:rsidR="005F7BDC" w:rsidRPr="00DD55FF">
        <w:rPr>
          <w:sz w:val="24"/>
          <w:szCs w:val="24"/>
        </w:rPr>
        <w:t xml:space="preserve"> </w:t>
      </w:r>
      <w:r w:rsidR="00CE0ADE" w:rsidRPr="00DD55FF">
        <w:rPr>
          <w:sz w:val="24"/>
          <w:szCs w:val="24"/>
        </w:rPr>
        <w:t xml:space="preserve">cannot be </w:t>
      </w:r>
      <w:r w:rsidR="004F517E" w:rsidRPr="00DD55FF">
        <w:rPr>
          <w:sz w:val="24"/>
          <w:szCs w:val="24"/>
        </w:rPr>
        <w:t>made out</w:t>
      </w:r>
      <w:r w:rsidR="00CE0ADE" w:rsidRPr="00DD55FF">
        <w:rPr>
          <w:sz w:val="24"/>
          <w:szCs w:val="24"/>
        </w:rPr>
        <w:t>.</w:t>
      </w:r>
      <w:r w:rsidR="005F7BDC" w:rsidRPr="00DD55FF">
        <w:rPr>
          <w:rStyle w:val="FootnoteReference"/>
          <w:sz w:val="24"/>
          <w:szCs w:val="24"/>
        </w:rPr>
        <w:footnoteReference w:id="62"/>
      </w:r>
      <w:r w:rsidR="005F7BDC" w:rsidRPr="00DD55FF">
        <w:rPr>
          <w:sz w:val="24"/>
          <w:szCs w:val="24"/>
        </w:rPr>
        <w:t xml:space="preserve"> </w:t>
      </w:r>
    </w:p>
    <w:p w:rsidR="00395209" w:rsidRPr="00DD55FF" w:rsidRDefault="005D0E6D" w:rsidP="00AA11E2">
      <w:pPr>
        <w:ind w:firstLine="720"/>
        <w:jc w:val="both"/>
        <w:rPr>
          <w:sz w:val="24"/>
          <w:szCs w:val="24"/>
        </w:rPr>
      </w:pPr>
      <w:r w:rsidRPr="00DD55FF">
        <w:rPr>
          <w:sz w:val="24"/>
          <w:szCs w:val="24"/>
        </w:rPr>
        <w:t xml:space="preserve">However, in general, </w:t>
      </w:r>
      <w:proofErr w:type="spellStart"/>
      <w:r w:rsidRPr="00DD55FF">
        <w:rPr>
          <w:sz w:val="24"/>
          <w:szCs w:val="24"/>
        </w:rPr>
        <w:t>Khaitan’s</w:t>
      </w:r>
      <w:proofErr w:type="spellEnd"/>
      <w:r w:rsidRPr="00DD55FF">
        <w:rPr>
          <w:sz w:val="24"/>
          <w:szCs w:val="24"/>
        </w:rPr>
        <w:t xml:space="preserve"> descriptive analysis of the scope and substance of contemporary discrimination law is impressive. Anyone with even a passing interest in this area of law will benefit from reading </w:t>
      </w:r>
      <w:proofErr w:type="spellStart"/>
      <w:r w:rsidRPr="00DD55FF">
        <w:rPr>
          <w:sz w:val="24"/>
          <w:szCs w:val="24"/>
        </w:rPr>
        <w:t>Khaitan’s</w:t>
      </w:r>
      <w:proofErr w:type="spellEnd"/>
      <w:r w:rsidRPr="00DD55FF">
        <w:rPr>
          <w:sz w:val="24"/>
          <w:szCs w:val="24"/>
        </w:rPr>
        <w:t xml:space="preserve"> masterly (and succinct) </w:t>
      </w:r>
      <w:r w:rsidR="00A44BEA">
        <w:rPr>
          <w:sz w:val="24"/>
          <w:szCs w:val="24"/>
        </w:rPr>
        <w:t xml:space="preserve">comparative overview. He demonstrates </w:t>
      </w:r>
      <w:r w:rsidR="000A7616" w:rsidRPr="00DD55FF">
        <w:rPr>
          <w:sz w:val="24"/>
          <w:szCs w:val="24"/>
        </w:rPr>
        <w:t xml:space="preserve">that </w:t>
      </w:r>
      <w:r w:rsidR="00463448" w:rsidRPr="00DD55FF">
        <w:rPr>
          <w:sz w:val="24"/>
          <w:szCs w:val="24"/>
        </w:rPr>
        <w:t xml:space="preserve">a ‘remarkable degree of consensus’ </w:t>
      </w:r>
      <w:r w:rsidR="00A44BEA">
        <w:rPr>
          <w:sz w:val="24"/>
          <w:szCs w:val="24"/>
        </w:rPr>
        <w:t xml:space="preserve">exists as </w:t>
      </w:r>
      <w:r w:rsidR="00463448" w:rsidRPr="00DD55FF">
        <w:rPr>
          <w:sz w:val="24"/>
          <w:szCs w:val="24"/>
        </w:rPr>
        <w:t xml:space="preserve">to </w:t>
      </w:r>
      <w:r w:rsidR="00A44BEA">
        <w:rPr>
          <w:sz w:val="24"/>
          <w:szCs w:val="24"/>
        </w:rPr>
        <w:t xml:space="preserve">the </w:t>
      </w:r>
      <w:r w:rsidR="00696773">
        <w:rPr>
          <w:sz w:val="24"/>
          <w:szCs w:val="24"/>
        </w:rPr>
        <w:t xml:space="preserve">core elements of </w:t>
      </w:r>
      <w:r w:rsidR="00463448" w:rsidRPr="00DD55FF">
        <w:rPr>
          <w:sz w:val="24"/>
          <w:szCs w:val="24"/>
        </w:rPr>
        <w:t>discrimination law across all of the legal system</w:t>
      </w:r>
      <w:r w:rsidR="003A712B" w:rsidRPr="00DD55FF">
        <w:rPr>
          <w:sz w:val="24"/>
          <w:szCs w:val="24"/>
        </w:rPr>
        <w:t xml:space="preserve">s that form part of his dataset. </w:t>
      </w:r>
      <w:r w:rsidR="00A44BEA">
        <w:rPr>
          <w:sz w:val="24"/>
          <w:szCs w:val="24"/>
        </w:rPr>
        <w:t xml:space="preserve">He also </w:t>
      </w:r>
      <w:r w:rsidR="000A7616" w:rsidRPr="00DD55FF">
        <w:rPr>
          <w:sz w:val="24"/>
          <w:szCs w:val="24"/>
        </w:rPr>
        <w:t xml:space="preserve">succeeds in establishing that </w:t>
      </w:r>
      <w:r w:rsidR="002A646B" w:rsidRPr="00DD55FF">
        <w:rPr>
          <w:sz w:val="24"/>
          <w:szCs w:val="24"/>
        </w:rPr>
        <w:t>combating group disadvantage is a central concern of contemporary discrimination law</w:t>
      </w:r>
      <w:r w:rsidR="00ED4AA3" w:rsidRPr="00DD55FF">
        <w:rPr>
          <w:sz w:val="24"/>
          <w:szCs w:val="24"/>
        </w:rPr>
        <w:t xml:space="preserve">. As </w:t>
      </w:r>
      <w:proofErr w:type="spellStart"/>
      <w:r w:rsidR="00ED4AA3" w:rsidRPr="00DD55FF">
        <w:rPr>
          <w:sz w:val="24"/>
          <w:szCs w:val="24"/>
        </w:rPr>
        <w:t>Khaitan</w:t>
      </w:r>
      <w:proofErr w:type="spellEnd"/>
      <w:r w:rsidR="003A712B" w:rsidRPr="00DD55FF">
        <w:rPr>
          <w:sz w:val="24"/>
          <w:szCs w:val="24"/>
        </w:rPr>
        <w:t xml:space="preserve"> argues, many of its key compone</w:t>
      </w:r>
      <w:r w:rsidR="00ED4AA3" w:rsidRPr="00DD55FF">
        <w:rPr>
          <w:sz w:val="24"/>
          <w:szCs w:val="24"/>
        </w:rPr>
        <w:t xml:space="preserve">nt parts are best viewed as directed towards achieving this objective - </w:t>
      </w:r>
      <w:r w:rsidR="003A712B" w:rsidRPr="00DD55FF">
        <w:rPr>
          <w:sz w:val="24"/>
          <w:szCs w:val="24"/>
        </w:rPr>
        <w:t>in particular the prohibition on indirect discrimination</w:t>
      </w:r>
      <w:r w:rsidR="00ED4AA3" w:rsidRPr="00DD55FF">
        <w:rPr>
          <w:sz w:val="24"/>
          <w:szCs w:val="24"/>
        </w:rPr>
        <w:t xml:space="preserve"> and the other elements of the ‘legal model’ of discrimination that depart from the </w:t>
      </w:r>
      <w:r w:rsidR="00CD2F80" w:rsidRPr="00DD55FF">
        <w:rPr>
          <w:sz w:val="24"/>
          <w:szCs w:val="24"/>
        </w:rPr>
        <w:t>‘lay understanding’</w:t>
      </w:r>
      <w:r w:rsidR="00D67E69" w:rsidRPr="00DD55FF">
        <w:rPr>
          <w:sz w:val="24"/>
          <w:szCs w:val="24"/>
        </w:rPr>
        <w:t xml:space="preserve"> of </w:t>
      </w:r>
      <w:r w:rsidR="00ED4AA3" w:rsidRPr="00DD55FF">
        <w:rPr>
          <w:sz w:val="24"/>
          <w:szCs w:val="24"/>
        </w:rPr>
        <w:t>this concept.</w:t>
      </w:r>
      <w:r w:rsidR="003346D4" w:rsidRPr="00DD55FF">
        <w:rPr>
          <w:rStyle w:val="FootnoteReference"/>
          <w:sz w:val="24"/>
          <w:szCs w:val="24"/>
        </w:rPr>
        <w:footnoteReference w:id="63"/>
      </w:r>
      <w:r w:rsidR="004C747B" w:rsidRPr="00DD55FF">
        <w:rPr>
          <w:sz w:val="24"/>
          <w:szCs w:val="24"/>
        </w:rPr>
        <w:t xml:space="preserve"> </w:t>
      </w:r>
    </w:p>
    <w:p w:rsidR="00474988" w:rsidRPr="00DD55FF" w:rsidRDefault="004B2207" w:rsidP="00AA11E2">
      <w:pPr>
        <w:ind w:firstLine="720"/>
        <w:jc w:val="both"/>
        <w:rPr>
          <w:sz w:val="24"/>
          <w:szCs w:val="24"/>
        </w:rPr>
      </w:pPr>
      <w:r w:rsidRPr="00DD55FF">
        <w:rPr>
          <w:sz w:val="24"/>
          <w:szCs w:val="24"/>
        </w:rPr>
        <w:t xml:space="preserve">Having said that, Khaitan is vulnerable to the accusation that he overlooks important elements of discrimination law which do not fit neatly into his analytical framework. </w:t>
      </w:r>
      <w:r w:rsidR="0008639A" w:rsidRPr="00DD55FF">
        <w:rPr>
          <w:sz w:val="24"/>
          <w:szCs w:val="24"/>
        </w:rPr>
        <w:t>To start with, not every element of discrimination law in the countries surveyed appear to adhere to his four conditions. For example, age discrimination is prohibited in Canada, the US, the UK and South Africa</w:t>
      </w:r>
      <w:r w:rsidR="00BF0C1D" w:rsidRPr="00DD55FF">
        <w:rPr>
          <w:sz w:val="24"/>
          <w:szCs w:val="24"/>
        </w:rPr>
        <w:t xml:space="preserve"> – but while different ‘cognate’ age groups may face particular disadvantages in specific contexts, their relationship is not characterised by any consistent or stable pattern of relative group disadvantage. </w:t>
      </w:r>
      <w:r w:rsidR="008D3470" w:rsidRPr="00DD55FF">
        <w:rPr>
          <w:sz w:val="24"/>
          <w:szCs w:val="24"/>
        </w:rPr>
        <w:t xml:space="preserve">In other words, </w:t>
      </w:r>
      <w:r w:rsidR="00F91879" w:rsidRPr="00DD55FF">
        <w:rPr>
          <w:sz w:val="24"/>
          <w:szCs w:val="24"/>
        </w:rPr>
        <w:t xml:space="preserve">the </w:t>
      </w:r>
      <w:r w:rsidR="00D16D0C" w:rsidRPr="00DD55FF">
        <w:rPr>
          <w:sz w:val="24"/>
          <w:szCs w:val="24"/>
        </w:rPr>
        <w:t xml:space="preserve">legal </w:t>
      </w:r>
      <w:r w:rsidR="008D3470" w:rsidRPr="00DD55FF">
        <w:rPr>
          <w:sz w:val="24"/>
          <w:szCs w:val="24"/>
        </w:rPr>
        <w:t>p</w:t>
      </w:r>
      <w:r w:rsidR="006946FC" w:rsidRPr="00DD55FF">
        <w:rPr>
          <w:sz w:val="24"/>
          <w:szCs w:val="24"/>
        </w:rPr>
        <w:t>rohibition on age discrimination</w:t>
      </w:r>
      <w:r w:rsidR="008D3470" w:rsidRPr="00DD55FF">
        <w:rPr>
          <w:sz w:val="24"/>
          <w:szCs w:val="24"/>
        </w:rPr>
        <w:t xml:space="preserve">, </w:t>
      </w:r>
      <w:r w:rsidR="00D16D0C" w:rsidRPr="00DD55FF">
        <w:rPr>
          <w:sz w:val="24"/>
          <w:szCs w:val="24"/>
        </w:rPr>
        <w:t xml:space="preserve">which form an important element of contemporary discrimination law, </w:t>
      </w:r>
      <w:r w:rsidR="00273F90" w:rsidRPr="00DD55FF">
        <w:rPr>
          <w:sz w:val="24"/>
          <w:szCs w:val="24"/>
        </w:rPr>
        <w:t xml:space="preserve">does not satisfy </w:t>
      </w:r>
      <w:proofErr w:type="spellStart"/>
      <w:r w:rsidR="00273F90" w:rsidRPr="00DD55FF">
        <w:rPr>
          <w:sz w:val="24"/>
          <w:szCs w:val="24"/>
        </w:rPr>
        <w:t>Khaitan’s</w:t>
      </w:r>
      <w:proofErr w:type="spellEnd"/>
      <w:r w:rsidR="00273F90" w:rsidRPr="00DD55FF">
        <w:rPr>
          <w:sz w:val="24"/>
          <w:szCs w:val="24"/>
        </w:rPr>
        <w:t xml:space="preserve"> third </w:t>
      </w:r>
      <w:r w:rsidR="008D3470" w:rsidRPr="00DD55FF">
        <w:rPr>
          <w:sz w:val="24"/>
          <w:szCs w:val="24"/>
        </w:rPr>
        <w:t xml:space="preserve">qualifying </w:t>
      </w:r>
      <w:r w:rsidR="00273F90" w:rsidRPr="00DD55FF">
        <w:rPr>
          <w:sz w:val="24"/>
          <w:szCs w:val="24"/>
        </w:rPr>
        <w:t xml:space="preserve">condition </w:t>
      </w:r>
      <w:r w:rsidR="008D3470" w:rsidRPr="00DD55FF">
        <w:rPr>
          <w:sz w:val="24"/>
          <w:szCs w:val="24"/>
        </w:rPr>
        <w:t xml:space="preserve">as </w:t>
      </w:r>
      <w:r w:rsidR="00273F90" w:rsidRPr="00DD55FF">
        <w:rPr>
          <w:sz w:val="24"/>
          <w:szCs w:val="24"/>
        </w:rPr>
        <w:t>outlined abo</w:t>
      </w:r>
      <w:r w:rsidR="008D3470" w:rsidRPr="00DD55FF">
        <w:rPr>
          <w:sz w:val="24"/>
          <w:szCs w:val="24"/>
        </w:rPr>
        <w:t xml:space="preserve">ve: </w:t>
      </w:r>
      <w:r w:rsidR="00273F90" w:rsidRPr="00DD55FF">
        <w:rPr>
          <w:sz w:val="24"/>
          <w:szCs w:val="24"/>
        </w:rPr>
        <w:t xml:space="preserve">instead </w:t>
      </w:r>
      <w:r w:rsidR="008D3470" w:rsidRPr="00DD55FF">
        <w:rPr>
          <w:sz w:val="24"/>
          <w:szCs w:val="24"/>
        </w:rPr>
        <w:t>of targeting relative group disadvantage, it is directed at preventing irrational decision-making motivated by crude, age-related stereotyping</w:t>
      </w:r>
      <w:r w:rsidR="00273F90" w:rsidRPr="00DD55FF">
        <w:rPr>
          <w:sz w:val="24"/>
          <w:szCs w:val="24"/>
        </w:rPr>
        <w:t>. Similarly,</w:t>
      </w:r>
      <w:r w:rsidR="008D3470" w:rsidRPr="00DD55FF">
        <w:rPr>
          <w:sz w:val="24"/>
          <w:szCs w:val="24"/>
        </w:rPr>
        <w:t xml:space="preserve"> courts reviewing state act</w:t>
      </w:r>
      <w:r w:rsidR="005B38E8">
        <w:rPr>
          <w:sz w:val="24"/>
          <w:szCs w:val="24"/>
        </w:rPr>
        <w:t xml:space="preserve">ion for compliance with non-discrimination provisions of national constitutions or international human rights instruments </w:t>
      </w:r>
      <w:r w:rsidR="00F91879" w:rsidRPr="00DD55FF">
        <w:rPr>
          <w:sz w:val="24"/>
          <w:szCs w:val="24"/>
        </w:rPr>
        <w:t xml:space="preserve">have </w:t>
      </w:r>
      <w:r w:rsidR="008D3470" w:rsidRPr="00DD55FF">
        <w:rPr>
          <w:sz w:val="24"/>
          <w:szCs w:val="24"/>
        </w:rPr>
        <w:t>overturn</w:t>
      </w:r>
      <w:r w:rsidR="00F91879" w:rsidRPr="00DD55FF">
        <w:rPr>
          <w:sz w:val="24"/>
          <w:szCs w:val="24"/>
        </w:rPr>
        <w:t>ed</w:t>
      </w:r>
      <w:r w:rsidR="008D3470" w:rsidRPr="00DD55FF">
        <w:rPr>
          <w:sz w:val="24"/>
          <w:szCs w:val="24"/>
        </w:rPr>
        <w:t xml:space="preserve"> decisions which differentiate between individuals or groups on irrational </w:t>
      </w:r>
      <w:r w:rsidR="00F91879" w:rsidRPr="00DD55FF">
        <w:rPr>
          <w:sz w:val="24"/>
          <w:szCs w:val="24"/>
        </w:rPr>
        <w:t xml:space="preserve">or improperly motivated </w:t>
      </w:r>
      <w:r w:rsidR="008D3470" w:rsidRPr="00DD55FF">
        <w:rPr>
          <w:sz w:val="24"/>
          <w:szCs w:val="24"/>
        </w:rPr>
        <w:t>grounds, even if no embedded forms of ‘relative group disadvantage’ are at issue.</w:t>
      </w:r>
      <w:r w:rsidR="008D3470" w:rsidRPr="00DD55FF">
        <w:rPr>
          <w:rStyle w:val="FootnoteReference"/>
          <w:sz w:val="24"/>
          <w:szCs w:val="24"/>
        </w:rPr>
        <w:footnoteReference w:id="64"/>
      </w:r>
      <w:r w:rsidR="008D3470" w:rsidRPr="00DD55FF">
        <w:rPr>
          <w:sz w:val="24"/>
          <w:szCs w:val="24"/>
        </w:rPr>
        <w:t xml:space="preserve"> </w:t>
      </w:r>
      <w:r w:rsidR="00EA271F">
        <w:rPr>
          <w:sz w:val="24"/>
          <w:szCs w:val="24"/>
        </w:rPr>
        <w:t xml:space="preserve">It is also worth noting that </w:t>
      </w:r>
      <w:r w:rsidR="00E13C76">
        <w:rPr>
          <w:sz w:val="24"/>
          <w:szCs w:val="24"/>
        </w:rPr>
        <w:t xml:space="preserve">legislative </w:t>
      </w:r>
      <w:r w:rsidR="00EC7DBD" w:rsidRPr="00DD55FF">
        <w:rPr>
          <w:sz w:val="24"/>
          <w:szCs w:val="24"/>
        </w:rPr>
        <w:t>prohibition</w:t>
      </w:r>
      <w:r w:rsidR="00E13C76">
        <w:rPr>
          <w:sz w:val="24"/>
          <w:szCs w:val="24"/>
        </w:rPr>
        <w:t>s</w:t>
      </w:r>
      <w:r w:rsidR="00EC7DBD" w:rsidRPr="00DD55FF">
        <w:rPr>
          <w:sz w:val="24"/>
          <w:szCs w:val="24"/>
        </w:rPr>
        <w:t xml:space="preserve"> on religious discrimination</w:t>
      </w:r>
      <w:r w:rsidR="00E13C76">
        <w:rPr>
          <w:sz w:val="24"/>
          <w:szCs w:val="24"/>
        </w:rPr>
        <w:t xml:space="preserve"> have often been interpreted by reference to th</w:t>
      </w:r>
      <w:r w:rsidR="00696773">
        <w:rPr>
          <w:sz w:val="24"/>
          <w:szCs w:val="24"/>
        </w:rPr>
        <w:t>e individual right to religious freedom</w:t>
      </w:r>
      <w:r w:rsidR="00121B43">
        <w:rPr>
          <w:sz w:val="24"/>
          <w:szCs w:val="24"/>
        </w:rPr>
        <w:t>,</w:t>
      </w:r>
      <w:r w:rsidR="00696773">
        <w:rPr>
          <w:sz w:val="24"/>
          <w:szCs w:val="24"/>
        </w:rPr>
        <w:t xml:space="preserve"> rather than</w:t>
      </w:r>
      <w:r w:rsidR="00EA271F">
        <w:rPr>
          <w:sz w:val="24"/>
          <w:szCs w:val="24"/>
        </w:rPr>
        <w:t xml:space="preserve"> </w:t>
      </w:r>
      <w:r w:rsidR="00E13C76">
        <w:rPr>
          <w:sz w:val="24"/>
          <w:szCs w:val="24"/>
        </w:rPr>
        <w:t xml:space="preserve">to </w:t>
      </w:r>
      <w:r w:rsidR="00121B43">
        <w:rPr>
          <w:sz w:val="24"/>
          <w:szCs w:val="24"/>
        </w:rPr>
        <w:t xml:space="preserve">notions of relative </w:t>
      </w:r>
      <w:r w:rsidR="00E13C76">
        <w:rPr>
          <w:sz w:val="24"/>
          <w:szCs w:val="24"/>
        </w:rPr>
        <w:t>group disadvantage.</w:t>
      </w:r>
      <w:r w:rsidR="00F56E58" w:rsidRPr="00DD55FF">
        <w:rPr>
          <w:rStyle w:val="FootnoteReference"/>
          <w:sz w:val="24"/>
          <w:szCs w:val="24"/>
        </w:rPr>
        <w:footnoteReference w:id="65"/>
      </w:r>
      <w:r w:rsidR="00F56E58" w:rsidRPr="00DD55FF">
        <w:rPr>
          <w:sz w:val="24"/>
          <w:szCs w:val="24"/>
        </w:rPr>
        <w:t xml:space="preserve"> </w:t>
      </w:r>
    </w:p>
    <w:p w:rsidR="00BB2845" w:rsidRPr="00DD55FF" w:rsidRDefault="00473165" w:rsidP="00AA11E2">
      <w:pPr>
        <w:ind w:firstLine="720"/>
        <w:jc w:val="both"/>
        <w:rPr>
          <w:sz w:val="24"/>
          <w:szCs w:val="24"/>
        </w:rPr>
      </w:pPr>
      <w:r w:rsidRPr="00DD55FF">
        <w:rPr>
          <w:sz w:val="24"/>
          <w:szCs w:val="24"/>
        </w:rPr>
        <w:lastRenderedPageBreak/>
        <w:t xml:space="preserve">Furthermore, </w:t>
      </w:r>
      <w:proofErr w:type="spellStart"/>
      <w:r w:rsidRPr="00DD55FF">
        <w:rPr>
          <w:sz w:val="24"/>
          <w:szCs w:val="24"/>
        </w:rPr>
        <w:t>Khaitan’s</w:t>
      </w:r>
      <w:proofErr w:type="spellEnd"/>
      <w:r w:rsidRPr="00DD55FF">
        <w:rPr>
          <w:sz w:val="24"/>
          <w:szCs w:val="24"/>
        </w:rPr>
        <w:t xml:space="preserve"> account underplays the extent to which the lay understanding of discrimination still exerts considerable influence over how the inchoate norms of discrimination law are fleshed out and given effect in law, reflecting </w:t>
      </w:r>
      <w:r w:rsidR="00E6574B" w:rsidRPr="00DD55FF">
        <w:rPr>
          <w:sz w:val="24"/>
          <w:szCs w:val="24"/>
        </w:rPr>
        <w:t>the existence of persisting normative uncertainty about its purpose and function</w:t>
      </w:r>
      <w:r w:rsidRPr="00DD55FF">
        <w:rPr>
          <w:sz w:val="24"/>
          <w:szCs w:val="24"/>
        </w:rPr>
        <w:t>.</w:t>
      </w:r>
      <w:r w:rsidRPr="00DD55FF">
        <w:rPr>
          <w:sz w:val="24"/>
          <w:szCs w:val="24"/>
          <w:vertAlign w:val="superscript"/>
        </w:rPr>
        <w:footnoteReference w:id="66"/>
      </w:r>
      <w:r w:rsidRPr="00DD55FF">
        <w:rPr>
          <w:sz w:val="24"/>
          <w:szCs w:val="24"/>
        </w:rPr>
        <w:t xml:space="preserve"> </w:t>
      </w:r>
      <w:r w:rsidR="00E13C76">
        <w:rPr>
          <w:sz w:val="24"/>
          <w:szCs w:val="24"/>
        </w:rPr>
        <w:t>H</w:t>
      </w:r>
      <w:r w:rsidR="00BB2845" w:rsidRPr="00DD55FF">
        <w:rPr>
          <w:sz w:val="24"/>
          <w:szCs w:val="24"/>
        </w:rPr>
        <w:t xml:space="preserve">e </w:t>
      </w:r>
      <w:r w:rsidR="00E13C76">
        <w:rPr>
          <w:sz w:val="24"/>
          <w:szCs w:val="24"/>
        </w:rPr>
        <w:t xml:space="preserve">also </w:t>
      </w:r>
      <w:r w:rsidR="00BB2845" w:rsidRPr="00DD55FF">
        <w:rPr>
          <w:sz w:val="24"/>
          <w:szCs w:val="24"/>
        </w:rPr>
        <w:t xml:space="preserve">overstates the </w:t>
      </w:r>
      <w:r w:rsidR="000266A5" w:rsidRPr="00DD55FF">
        <w:rPr>
          <w:sz w:val="24"/>
          <w:szCs w:val="24"/>
        </w:rPr>
        <w:t xml:space="preserve">degree </w:t>
      </w:r>
      <w:r w:rsidR="00BB2845" w:rsidRPr="00DD55FF">
        <w:rPr>
          <w:sz w:val="24"/>
          <w:szCs w:val="24"/>
        </w:rPr>
        <w:t xml:space="preserve">to which discrimination law across the legal systems making up his dataset are converging upon a shared approach centred upon combating group disadvantage. For example, </w:t>
      </w:r>
      <w:proofErr w:type="spellStart"/>
      <w:r w:rsidR="001D3B4B" w:rsidRPr="00DD55FF">
        <w:rPr>
          <w:sz w:val="24"/>
          <w:szCs w:val="24"/>
        </w:rPr>
        <w:t>Khaitan</w:t>
      </w:r>
      <w:proofErr w:type="spellEnd"/>
      <w:r w:rsidR="001D3B4B" w:rsidRPr="00DD55FF">
        <w:rPr>
          <w:sz w:val="24"/>
          <w:szCs w:val="24"/>
        </w:rPr>
        <w:t xml:space="preserve"> suggests that </w:t>
      </w:r>
      <w:r w:rsidR="00BB2845" w:rsidRPr="00DD55FF">
        <w:rPr>
          <w:sz w:val="24"/>
          <w:szCs w:val="24"/>
        </w:rPr>
        <w:t xml:space="preserve">reasonable accommodation requirements are </w:t>
      </w:r>
      <w:r w:rsidR="00AE16EF" w:rsidRPr="00DD55FF">
        <w:rPr>
          <w:sz w:val="24"/>
          <w:szCs w:val="24"/>
        </w:rPr>
        <w:t xml:space="preserve">being extended beyond </w:t>
      </w:r>
      <w:r w:rsidR="00BB2845" w:rsidRPr="00DD55FF">
        <w:rPr>
          <w:sz w:val="24"/>
          <w:szCs w:val="24"/>
        </w:rPr>
        <w:t xml:space="preserve">disability to </w:t>
      </w:r>
      <w:r w:rsidR="00AE16EF" w:rsidRPr="00DD55FF">
        <w:rPr>
          <w:sz w:val="24"/>
          <w:szCs w:val="24"/>
        </w:rPr>
        <w:t xml:space="preserve">cover other </w:t>
      </w:r>
      <w:r w:rsidR="00BB2845" w:rsidRPr="00DD55FF">
        <w:rPr>
          <w:sz w:val="24"/>
          <w:szCs w:val="24"/>
        </w:rPr>
        <w:t>grounds such as religion or belief, which he views as reflecting discrimination law’s focus on combating the negative fall-out of embedded disadvantage: however, this trend is really confined to Canada and</w:t>
      </w:r>
      <w:r w:rsidR="00AE16EF" w:rsidRPr="00DD55FF">
        <w:rPr>
          <w:sz w:val="24"/>
          <w:szCs w:val="24"/>
        </w:rPr>
        <w:t xml:space="preserve"> </w:t>
      </w:r>
      <w:r w:rsidR="00BB2845" w:rsidRPr="00DD55FF">
        <w:rPr>
          <w:sz w:val="24"/>
          <w:szCs w:val="24"/>
        </w:rPr>
        <w:t xml:space="preserve">South Africa, and has </w:t>
      </w:r>
      <w:r w:rsidR="00AE16EF" w:rsidRPr="00DD55FF">
        <w:rPr>
          <w:sz w:val="24"/>
          <w:szCs w:val="24"/>
        </w:rPr>
        <w:t xml:space="preserve">yet to take substantive form </w:t>
      </w:r>
      <w:r w:rsidR="00BB2845" w:rsidRPr="00DD55FF">
        <w:rPr>
          <w:sz w:val="24"/>
          <w:szCs w:val="24"/>
        </w:rPr>
        <w:t>in</w:t>
      </w:r>
      <w:r w:rsidR="00AE16EF" w:rsidRPr="00DD55FF">
        <w:rPr>
          <w:sz w:val="24"/>
          <w:szCs w:val="24"/>
        </w:rPr>
        <w:t xml:space="preserve"> the other jurisdictions he discusses.</w:t>
      </w:r>
      <w:r w:rsidR="00AE16EF" w:rsidRPr="00DD55FF">
        <w:rPr>
          <w:rStyle w:val="FootnoteReference"/>
          <w:sz w:val="24"/>
          <w:szCs w:val="24"/>
        </w:rPr>
        <w:footnoteReference w:id="67"/>
      </w:r>
      <w:r w:rsidR="00BB2845" w:rsidRPr="00DD55FF">
        <w:rPr>
          <w:sz w:val="24"/>
          <w:szCs w:val="24"/>
        </w:rPr>
        <w:t xml:space="preserve"> </w:t>
      </w:r>
    </w:p>
    <w:p w:rsidR="00473165" w:rsidRPr="00DD55FF" w:rsidRDefault="00407837" w:rsidP="00AA11E2">
      <w:pPr>
        <w:ind w:firstLine="720"/>
        <w:jc w:val="both"/>
        <w:rPr>
          <w:sz w:val="24"/>
          <w:szCs w:val="24"/>
        </w:rPr>
      </w:pPr>
      <w:r w:rsidRPr="00DD55FF">
        <w:rPr>
          <w:sz w:val="24"/>
          <w:szCs w:val="24"/>
        </w:rPr>
        <w:t xml:space="preserve">In general, </w:t>
      </w:r>
      <w:proofErr w:type="spellStart"/>
      <w:r w:rsidRPr="00DD55FF">
        <w:rPr>
          <w:sz w:val="24"/>
          <w:szCs w:val="24"/>
        </w:rPr>
        <w:t>Khaitan</w:t>
      </w:r>
      <w:proofErr w:type="spellEnd"/>
      <w:r w:rsidRPr="00DD55FF">
        <w:rPr>
          <w:sz w:val="24"/>
          <w:szCs w:val="24"/>
        </w:rPr>
        <w:t xml:space="preserve"> is too quick to gloss over the complex, contested and multi-faceted nature of contemporary discrimination law. </w:t>
      </w:r>
      <w:r w:rsidR="002022EB" w:rsidRPr="00DD55FF">
        <w:rPr>
          <w:sz w:val="24"/>
          <w:szCs w:val="24"/>
        </w:rPr>
        <w:t xml:space="preserve">It </w:t>
      </w:r>
      <w:r w:rsidR="001660A4">
        <w:rPr>
          <w:sz w:val="24"/>
          <w:szCs w:val="24"/>
        </w:rPr>
        <w:t xml:space="preserve">has </w:t>
      </w:r>
      <w:r w:rsidR="002022EB" w:rsidRPr="00DD55FF">
        <w:rPr>
          <w:sz w:val="24"/>
          <w:szCs w:val="24"/>
        </w:rPr>
        <w:t>been shaped by various political processes, and is deployed to help achieve a v</w:t>
      </w:r>
      <w:r w:rsidR="00473165" w:rsidRPr="00DD55FF">
        <w:rPr>
          <w:sz w:val="24"/>
          <w:szCs w:val="24"/>
        </w:rPr>
        <w:t>ariety of different policy ends.</w:t>
      </w:r>
      <w:r w:rsidR="00AE2DEF" w:rsidRPr="00DD55FF">
        <w:rPr>
          <w:rStyle w:val="FootnoteReference"/>
          <w:sz w:val="24"/>
          <w:szCs w:val="24"/>
        </w:rPr>
        <w:footnoteReference w:id="68"/>
      </w:r>
      <w:r w:rsidR="00473165" w:rsidRPr="00DD55FF">
        <w:rPr>
          <w:sz w:val="24"/>
          <w:szCs w:val="24"/>
        </w:rPr>
        <w:t xml:space="preserve"> A</w:t>
      </w:r>
      <w:r w:rsidR="002022EB" w:rsidRPr="00DD55FF">
        <w:rPr>
          <w:sz w:val="24"/>
          <w:szCs w:val="24"/>
        </w:rPr>
        <w:t xml:space="preserve">s a result, </w:t>
      </w:r>
      <w:r w:rsidR="00D87FB7" w:rsidRPr="00DD55FF">
        <w:rPr>
          <w:sz w:val="24"/>
          <w:szCs w:val="24"/>
        </w:rPr>
        <w:t>i</w:t>
      </w:r>
      <w:r w:rsidR="00C2725F" w:rsidRPr="00DD55FF">
        <w:rPr>
          <w:sz w:val="24"/>
          <w:szCs w:val="24"/>
        </w:rPr>
        <w:t xml:space="preserve">ts provisions </w:t>
      </w:r>
      <w:r w:rsidR="00664C37" w:rsidRPr="00DD55FF">
        <w:rPr>
          <w:sz w:val="24"/>
          <w:szCs w:val="24"/>
        </w:rPr>
        <w:t xml:space="preserve">are probably best understood as directed towards combating </w:t>
      </w:r>
      <w:r w:rsidR="002022EB" w:rsidRPr="00DD55FF">
        <w:rPr>
          <w:sz w:val="24"/>
          <w:szCs w:val="24"/>
        </w:rPr>
        <w:t xml:space="preserve">an assortment of different albeit overlapping </w:t>
      </w:r>
      <w:r w:rsidR="00664C37" w:rsidRPr="00DD55FF">
        <w:rPr>
          <w:sz w:val="24"/>
          <w:szCs w:val="24"/>
        </w:rPr>
        <w:t xml:space="preserve">forms of </w:t>
      </w:r>
      <w:r w:rsidR="00CF3462" w:rsidRPr="00DD55FF">
        <w:rPr>
          <w:sz w:val="24"/>
          <w:szCs w:val="24"/>
        </w:rPr>
        <w:t>harmful behaviour</w:t>
      </w:r>
      <w:r w:rsidR="00664C37" w:rsidRPr="00DD55FF">
        <w:rPr>
          <w:sz w:val="24"/>
          <w:szCs w:val="24"/>
        </w:rPr>
        <w:t xml:space="preserve">, </w:t>
      </w:r>
      <w:r w:rsidR="0094404C" w:rsidRPr="00DD55FF">
        <w:rPr>
          <w:sz w:val="24"/>
          <w:szCs w:val="24"/>
        </w:rPr>
        <w:t xml:space="preserve">which extend beyond </w:t>
      </w:r>
      <w:r w:rsidR="00CF3462" w:rsidRPr="00DD55FF">
        <w:rPr>
          <w:sz w:val="24"/>
          <w:szCs w:val="24"/>
        </w:rPr>
        <w:t xml:space="preserve">acts which perpetuate </w:t>
      </w:r>
      <w:r w:rsidR="00CD4588" w:rsidRPr="00DD55FF">
        <w:rPr>
          <w:sz w:val="24"/>
          <w:szCs w:val="24"/>
        </w:rPr>
        <w:t>relative group disadvantage</w:t>
      </w:r>
      <w:r w:rsidR="0094404C" w:rsidRPr="00DD55FF">
        <w:rPr>
          <w:sz w:val="24"/>
          <w:szCs w:val="24"/>
        </w:rPr>
        <w:t xml:space="preserve"> to include </w:t>
      </w:r>
      <w:r w:rsidR="000A58E7" w:rsidRPr="00DD55FF">
        <w:rPr>
          <w:sz w:val="24"/>
          <w:szCs w:val="24"/>
        </w:rPr>
        <w:t xml:space="preserve">improperly motivated </w:t>
      </w:r>
      <w:r w:rsidR="00664C37" w:rsidRPr="00DD55FF">
        <w:rPr>
          <w:sz w:val="24"/>
          <w:szCs w:val="24"/>
        </w:rPr>
        <w:t>decision-making</w:t>
      </w:r>
      <w:r w:rsidR="00F56E58" w:rsidRPr="00DD55FF">
        <w:rPr>
          <w:sz w:val="24"/>
          <w:szCs w:val="24"/>
        </w:rPr>
        <w:t xml:space="preserve"> and other </w:t>
      </w:r>
      <w:r w:rsidR="00DD2FF4" w:rsidRPr="00DD55FF">
        <w:rPr>
          <w:sz w:val="24"/>
          <w:szCs w:val="24"/>
        </w:rPr>
        <w:t xml:space="preserve">morally questionable types of differential treatment. </w:t>
      </w:r>
      <w:proofErr w:type="spellStart"/>
      <w:r w:rsidR="00386A02" w:rsidRPr="00DD55FF">
        <w:rPr>
          <w:sz w:val="24"/>
          <w:szCs w:val="24"/>
        </w:rPr>
        <w:t>Khaitan’s</w:t>
      </w:r>
      <w:proofErr w:type="spellEnd"/>
      <w:r w:rsidR="00386A02" w:rsidRPr="00DD55FF">
        <w:rPr>
          <w:sz w:val="24"/>
          <w:szCs w:val="24"/>
        </w:rPr>
        <w:t xml:space="preserve"> third qualifying condition – the requirement that the ‘cognate groups’ protected by discrimination law be identified by relative group disadvantage – thus appears to be to</w:t>
      </w:r>
      <w:r w:rsidR="00E638FE" w:rsidRPr="00DD55FF">
        <w:rPr>
          <w:sz w:val="24"/>
          <w:szCs w:val="24"/>
        </w:rPr>
        <w:t>o</w:t>
      </w:r>
      <w:r w:rsidR="00386A02" w:rsidRPr="00DD55FF">
        <w:rPr>
          <w:sz w:val="24"/>
          <w:szCs w:val="24"/>
        </w:rPr>
        <w:t xml:space="preserve"> reductive. </w:t>
      </w:r>
    </w:p>
    <w:p w:rsidR="00AA11E2" w:rsidRDefault="00050CB3" w:rsidP="00AA11E2">
      <w:pPr>
        <w:ind w:firstLine="720"/>
        <w:jc w:val="both"/>
        <w:rPr>
          <w:sz w:val="24"/>
          <w:szCs w:val="24"/>
        </w:rPr>
      </w:pPr>
      <w:r>
        <w:rPr>
          <w:sz w:val="24"/>
          <w:szCs w:val="24"/>
        </w:rPr>
        <w:t xml:space="preserve">That said, </w:t>
      </w:r>
      <w:proofErr w:type="spellStart"/>
      <w:r w:rsidR="00CF7CA1" w:rsidRPr="00DD55FF">
        <w:rPr>
          <w:sz w:val="24"/>
          <w:szCs w:val="24"/>
        </w:rPr>
        <w:t>Khaitan</w:t>
      </w:r>
      <w:proofErr w:type="spellEnd"/>
      <w:r w:rsidR="00CF7CA1" w:rsidRPr="00DD55FF">
        <w:rPr>
          <w:sz w:val="24"/>
          <w:szCs w:val="24"/>
        </w:rPr>
        <w:t xml:space="preserve"> </w:t>
      </w:r>
      <w:r w:rsidR="00E638FE" w:rsidRPr="00DD55FF">
        <w:rPr>
          <w:sz w:val="24"/>
          <w:szCs w:val="24"/>
        </w:rPr>
        <w:t>is correct to emphasise the importance of the concept</w:t>
      </w:r>
      <w:r w:rsidR="00D87FB7" w:rsidRPr="00DD55FF">
        <w:rPr>
          <w:sz w:val="24"/>
          <w:szCs w:val="24"/>
        </w:rPr>
        <w:t xml:space="preserve"> of relative group disadvantage. I</w:t>
      </w:r>
      <w:r w:rsidR="00C23FA3" w:rsidRPr="00DD55FF">
        <w:rPr>
          <w:sz w:val="24"/>
          <w:szCs w:val="24"/>
        </w:rPr>
        <w:t>t plays a key role in shaping important elements o</w:t>
      </w:r>
      <w:r w:rsidR="00E638FE" w:rsidRPr="00DD55FF">
        <w:rPr>
          <w:sz w:val="24"/>
          <w:szCs w:val="24"/>
        </w:rPr>
        <w:t>f conte</w:t>
      </w:r>
      <w:r w:rsidR="00D87FB7" w:rsidRPr="00DD55FF">
        <w:rPr>
          <w:sz w:val="24"/>
          <w:szCs w:val="24"/>
        </w:rPr>
        <w:t xml:space="preserve">mporary discrimination law, and </w:t>
      </w:r>
      <w:r w:rsidR="00E638FE" w:rsidRPr="00DD55FF">
        <w:rPr>
          <w:sz w:val="24"/>
          <w:szCs w:val="24"/>
        </w:rPr>
        <w:t xml:space="preserve">he is right to argue that </w:t>
      </w:r>
      <w:r w:rsidR="00CF7CA1" w:rsidRPr="00DD55FF">
        <w:rPr>
          <w:sz w:val="24"/>
          <w:szCs w:val="24"/>
        </w:rPr>
        <w:t>any serious theoretical analysis of the exis</w:t>
      </w:r>
      <w:r w:rsidR="00D87FB7" w:rsidRPr="00DD55FF">
        <w:rPr>
          <w:sz w:val="24"/>
          <w:szCs w:val="24"/>
        </w:rPr>
        <w:t>ting state of the law in this regard</w:t>
      </w:r>
      <w:r w:rsidR="00CF7CA1" w:rsidRPr="00DD55FF">
        <w:rPr>
          <w:sz w:val="24"/>
          <w:szCs w:val="24"/>
        </w:rPr>
        <w:t xml:space="preserve"> has to engage with the question of whether this focus on relative group disadvan</w:t>
      </w:r>
      <w:r w:rsidR="00D87FB7" w:rsidRPr="00DD55FF">
        <w:rPr>
          <w:sz w:val="24"/>
          <w:szCs w:val="24"/>
        </w:rPr>
        <w:t xml:space="preserve">tage is normatively justified. </w:t>
      </w:r>
      <w:r w:rsidR="00E638FE" w:rsidRPr="00DD55FF">
        <w:rPr>
          <w:sz w:val="24"/>
          <w:szCs w:val="24"/>
        </w:rPr>
        <w:t xml:space="preserve">But </w:t>
      </w:r>
      <w:r w:rsidR="00347965" w:rsidRPr="00DD55FF">
        <w:rPr>
          <w:sz w:val="24"/>
          <w:szCs w:val="24"/>
        </w:rPr>
        <w:t>justifying the salience of relative group disadvantage in this context can only provide a partial normative foundation for discrimination law</w:t>
      </w:r>
      <w:r w:rsidR="00EC1A6F" w:rsidRPr="00DD55FF">
        <w:rPr>
          <w:sz w:val="24"/>
          <w:szCs w:val="24"/>
        </w:rPr>
        <w:t xml:space="preserve">: a much more complex, multi-faceted account of the legitimacy of discrimination law is required, which as discussed below </w:t>
      </w:r>
      <w:proofErr w:type="spellStart"/>
      <w:r w:rsidR="00EC1A6F" w:rsidRPr="00DD55FF">
        <w:rPr>
          <w:sz w:val="24"/>
          <w:szCs w:val="24"/>
        </w:rPr>
        <w:t>Khaitan</w:t>
      </w:r>
      <w:proofErr w:type="spellEnd"/>
      <w:r w:rsidR="00EC1A6F" w:rsidRPr="00DD55FF">
        <w:rPr>
          <w:sz w:val="24"/>
          <w:szCs w:val="24"/>
        </w:rPr>
        <w:t xml:space="preserve"> only partially provides.</w:t>
      </w:r>
    </w:p>
    <w:p w:rsidR="00CF7CA1" w:rsidRPr="00DD55FF" w:rsidRDefault="00347965" w:rsidP="00AA11E2">
      <w:pPr>
        <w:ind w:firstLine="720"/>
        <w:jc w:val="both"/>
        <w:rPr>
          <w:sz w:val="24"/>
          <w:szCs w:val="24"/>
        </w:rPr>
      </w:pPr>
      <w:r w:rsidRPr="00DD55FF">
        <w:rPr>
          <w:sz w:val="24"/>
          <w:szCs w:val="24"/>
        </w:rPr>
        <w:t xml:space="preserve"> </w:t>
      </w:r>
    </w:p>
    <w:p w:rsidR="00E71C40" w:rsidRPr="00AA11E2" w:rsidRDefault="001A395D" w:rsidP="00AA11E2">
      <w:pPr>
        <w:jc w:val="center"/>
        <w:rPr>
          <w:sz w:val="28"/>
          <w:szCs w:val="28"/>
        </w:rPr>
      </w:pPr>
      <w:r w:rsidRPr="00AA11E2">
        <w:rPr>
          <w:sz w:val="28"/>
          <w:szCs w:val="28"/>
        </w:rPr>
        <w:t xml:space="preserve">7. </w:t>
      </w:r>
      <w:r w:rsidR="00EC1A6F" w:rsidRPr="00AA11E2">
        <w:rPr>
          <w:i/>
          <w:sz w:val="28"/>
          <w:szCs w:val="28"/>
        </w:rPr>
        <w:t xml:space="preserve">The </w:t>
      </w:r>
      <w:r w:rsidR="00E71C40" w:rsidRPr="00AA11E2">
        <w:rPr>
          <w:i/>
          <w:sz w:val="28"/>
          <w:szCs w:val="28"/>
        </w:rPr>
        <w:t>Point and Purpose</w:t>
      </w:r>
      <w:r w:rsidR="00EC1A6F" w:rsidRPr="00AA11E2">
        <w:rPr>
          <w:i/>
          <w:sz w:val="28"/>
          <w:szCs w:val="28"/>
        </w:rPr>
        <w:t xml:space="preserve"> of Discrimination Law</w:t>
      </w:r>
    </w:p>
    <w:p w:rsidR="00BD5ADF" w:rsidRPr="00DD55FF" w:rsidRDefault="00442C72" w:rsidP="00DD55FF">
      <w:pPr>
        <w:jc w:val="both"/>
        <w:rPr>
          <w:sz w:val="24"/>
          <w:szCs w:val="24"/>
        </w:rPr>
      </w:pPr>
      <w:r w:rsidRPr="00DD55FF">
        <w:rPr>
          <w:sz w:val="24"/>
          <w:szCs w:val="24"/>
        </w:rPr>
        <w:t>In the secon</w:t>
      </w:r>
      <w:r w:rsidR="005F6D27" w:rsidRPr="00DD55FF">
        <w:rPr>
          <w:sz w:val="24"/>
          <w:szCs w:val="24"/>
        </w:rPr>
        <w:t>d</w:t>
      </w:r>
      <w:r w:rsidRPr="00DD55FF">
        <w:rPr>
          <w:sz w:val="24"/>
          <w:szCs w:val="24"/>
        </w:rPr>
        <w:t xml:space="preserve"> part of his book, </w:t>
      </w:r>
      <w:r w:rsidR="005F6D27" w:rsidRPr="00DD55FF">
        <w:rPr>
          <w:sz w:val="24"/>
          <w:szCs w:val="24"/>
        </w:rPr>
        <w:t xml:space="preserve">pithily entitled ‘Point and Purpose’, </w:t>
      </w:r>
      <w:r w:rsidRPr="00DD55FF">
        <w:rPr>
          <w:sz w:val="24"/>
          <w:szCs w:val="24"/>
        </w:rPr>
        <w:t xml:space="preserve">Khaitan </w:t>
      </w:r>
      <w:r w:rsidR="005F6D27" w:rsidRPr="00DD55FF">
        <w:rPr>
          <w:sz w:val="24"/>
          <w:szCs w:val="24"/>
        </w:rPr>
        <w:t xml:space="preserve">turns to consider the normative issues relating to the justification of discrimination law. </w:t>
      </w:r>
      <w:r w:rsidR="00092E65" w:rsidRPr="00DD55FF">
        <w:rPr>
          <w:sz w:val="24"/>
          <w:szCs w:val="24"/>
        </w:rPr>
        <w:t xml:space="preserve">From the beginning, he nails his colours to a liberal </w:t>
      </w:r>
      <w:r w:rsidR="00551011" w:rsidRPr="00DD55FF">
        <w:rPr>
          <w:sz w:val="24"/>
          <w:szCs w:val="24"/>
        </w:rPr>
        <w:t xml:space="preserve">perfectionist </w:t>
      </w:r>
      <w:r w:rsidR="00ED0ABC" w:rsidRPr="00DD55FF">
        <w:rPr>
          <w:sz w:val="24"/>
          <w:szCs w:val="24"/>
        </w:rPr>
        <w:t>mast</w:t>
      </w:r>
      <w:r w:rsidR="006D7B5C" w:rsidRPr="00DD55FF">
        <w:rPr>
          <w:sz w:val="24"/>
          <w:szCs w:val="24"/>
        </w:rPr>
        <w:t xml:space="preserve">. He </w:t>
      </w:r>
      <w:r w:rsidR="00BD5ADF" w:rsidRPr="00DD55FF">
        <w:rPr>
          <w:sz w:val="24"/>
          <w:szCs w:val="24"/>
        </w:rPr>
        <w:t>sets out a theoretical account of the necessary conditions required to ‘live a good life’ that gives primacy to the value</w:t>
      </w:r>
      <w:r w:rsidR="00B437F9" w:rsidRPr="00DD55FF">
        <w:rPr>
          <w:sz w:val="24"/>
          <w:szCs w:val="24"/>
        </w:rPr>
        <w:t xml:space="preserve"> of human freedom, and uses this as a basis to identify and justify the normative basis of the </w:t>
      </w:r>
      <w:r w:rsidR="00B437F9" w:rsidRPr="00DD55FF">
        <w:rPr>
          <w:sz w:val="24"/>
          <w:szCs w:val="24"/>
        </w:rPr>
        <w:lastRenderedPageBreak/>
        <w:t xml:space="preserve">contemporary ‘legal model’ of discrimination and its particular focus on combating group disadvantage. </w:t>
      </w:r>
      <w:r w:rsidR="00BD5ADF" w:rsidRPr="00DD55FF">
        <w:rPr>
          <w:sz w:val="24"/>
          <w:szCs w:val="24"/>
        </w:rPr>
        <w:t xml:space="preserve">  </w:t>
      </w:r>
    </w:p>
    <w:p w:rsidR="00AB76ED" w:rsidRPr="00DD55FF" w:rsidRDefault="00BD5ADF" w:rsidP="00AA11E2">
      <w:pPr>
        <w:ind w:firstLine="720"/>
        <w:jc w:val="both"/>
        <w:rPr>
          <w:sz w:val="24"/>
          <w:szCs w:val="24"/>
        </w:rPr>
      </w:pPr>
      <w:r w:rsidRPr="00DD55FF">
        <w:rPr>
          <w:sz w:val="24"/>
          <w:szCs w:val="24"/>
        </w:rPr>
        <w:t xml:space="preserve">To start with, Khaitan </w:t>
      </w:r>
      <w:r w:rsidR="008003D6" w:rsidRPr="00DD55FF">
        <w:rPr>
          <w:sz w:val="24"/>
          <w:szCs w:val="24"/>
        </w:rPr>
        <w:t>i</w:t>
      </w:r>
      <w:r w:rsidR="00092E65" w:rsidRPr="00DD55FF">
        <w:rPr>
          <w:sz w:val="24"/>
          <w:szCs w:val="24"/>
        </w:rPr>
        <w:t>dentifies three ‘basic goods</w:t>
      </w:r>
      <w:r w:rsidRPr="00DD55FF">
        <w:rPr>
          <w:sz w:val="24"/>
          <w:szCs w:val="24"/>
        </w:rPr>
        <w:t xml:space="preserve">’ </w:t>
      </w:r>
      <w:r w:rsidR="00092E65" w:rsidRPr="00DD55FF">
        <w:rPr>
          <w:sz w:val="24"/>
          <w:szCs w:val="24"/>
        </w:rPr>
        <w:t xml:space="preserve">which if secured to all persons will help to ensure their </w:t>
      </w:r>
      <w:r w:rsidR="00551011" w:rsidRPr="00DD55FF">
        <w:rPr>
          <w:sz w:val="24"/>
          <w:szCs w:val="24"/>
        </w:rPr>
        <w:t>‘</w:t>
      </w:r>
      <w:r w:rsidR="00092E65" w:rsidRPr="00DD55FF">
        <w:rPr>
          <w:sz w:val="24"/>
          <w:szCs w:val="24"/>
        </w:rPr>
        <w:t>freedom to pursue a good life unhindered by certain unjustified constraints which affect our well-being adversely’.</w:t>
      </w:r>
      <w:r w:rsidR="00092E65" w:rsidRPr="00DD55FF">
        <w:rPr>
          <w:rStyle w:val="FootnoteReference"/>
          <w:sz w:val="24"/>
          <w:szCs w:val="24"/>
        </w:rPr>
        <w:footnoteReference w:id="69"/>
      </w:r>
      <w:r w:rsidR="00092E65" w:rsidRPr="00DD55FF">
        <w:rPr>
          <w:sz w:val="24"/>
          <w:szCs w:val="24"/>
        </w:rPr>
        <w:t xml:space="preserve"> These basic goods are ‘negative freedom, an adequate range of valuable opportunities, and self-respect’.</w:t>
      </w:r>
      <w:r w:rsidR="00551011" w:rsidRPr="00DD55FF">
        <w:rPr>
          <w:sz w:val="24"/>
          <w:szCs w:val="24"/>
        </w:rPr>
        <w:t xml:space="preserve"> For a person to enjoy access to these goods in a meaningful manner, </w:t>
      </w:r>
      <w:r w:rsidR="001E04B9" w:rsidRPr="00DD55FF">
        <w:rPr>
          <w:sz w:val="24"/>
          <w:szCs w:val="24"/>
        </w:rPr>
        <w:t xml:space="preserve">he suggests that such </w:t>
      </w:r>
      <w:r w:rsidR="00551011" w:rsidRPr="00DD55FF">
        <w:rPr>
          <w:sz w:val="24"/>
          <w:szCs w:val="24"/>
        </w:rPr>
        <w:t>access must be ‘secured’, ‘adequate’</w:t>
      </w:r>
      <w:r w:rsidR="00D94E10" w:rsidRPr="00DD55FF">
        <w:rPr>
          <w:sz w:val="24"/>
          <w:szCs w:val="24"/>
        </w:rPr>
        <w:t>, ‘relational’ (i.e. reflect our shared social existence) and be ‘evaluat</w:t>
      </w:r>
      <w:r w:rsidR="00551011" w:rsidRPr="00DD55FF">
        <w:rPr>
          <w:sz w:val="24"/>
          <w:szCs w:val="24"/>
        </w:rPr>
        <w:t>ed holistically</w:t>
      </w:r>
      <w:r w:rsidR="00D94E10" w:rsidRPr="00DD55FF">
        <w:rPr>
          <w:sz w:val="24"/>
          <w:szCs w:val="24"/>
        </w:rPr>
        <w:t>’ across the context of a person’s life taken as a whole</w:t>
      </w:r>
      <w:r w:rsidR="00551011" w:rsidRPr="00DD55FF">
        <w:rPr>
          <w:sz w:val="24"/>
          <w:szCs w:val="24"/>
        </w:rPr>
        <w:t>.</w:t>
      </w:r>
      <w:r w:rsidR="00F705F3" w:rsidRPr="00DD55FF">
        <w:rPr>
          <w:rStyle w:val="FootnoteReference"/>
          <w:sz w:val="24"/>
          <w:szCs w:val="24"/>
        </w:rPr>
        <w:footnoteReference w:id="70"/>
      </w:r>
      <w:r w:rsidR="00D94E10" w:rsidRPr="00DD55FF">
        <w:rPr>
          <w:sz w:val="24"/>
          <w:szCs w:val="24"/>
        </w:rPr>
        <w:t xml:space="preserve"> Khaitan </w:t>
      </w:r>
      <w:r w:rsidR="00510809" w:rsidRPr="00DD55FF">
        <w:rPr>
          <w:sz w:val="24"/>
          <w:szCs w:val="24"/>
        </w:rPr>
        <w:t>then goes on to argue that such secured access</w:t>
      </w:r>
      <w:r w:rsidR="00551011" w:rsidRPr="00DD55FF">
        <w:rPr>
          <w:sz w:val="24"/>
          <w:szCs w:val="24"/>
        </w:rPr>
        <w:t xml:space="preserve"> </w:t>
      </w:r>
      <w:r w:rsidR="008003D6" w:rsidRPr="00DD55FF">
        <w:rPr>
          <w:sz w:val="24"/>
          <w:szCs w:val="24"/>
        </w:rPr>
        <w:t xml:space="preserve">must inevitably have a relative dimension: ‘the freedom we are entitled to also </w:t>
      </w:r>
      <w:proofErr w:type="gramStart"/>
      <w:r w:rsidR="008003D6" w:rsidRPr="00DD55FF">
        <w:rPr>
          <w:sz w:val="24"/>
          <w:szCs w:val="24"/>
        </w:rPr>
        <w:t>de</w:t>
      </w:r>
      <w:r w:rsidR="00050CB3">
        <w:rPr>
          <w:sz w:val="24"/>
          <w:szCs w:val="24"/>
        </w:rPr>
        <w:t>pends</w:t>
      </w:r>
      <w:proofErr w:type="gramEnd"/>
      <w:r w:rsidR="00050CB3">
        <w:rPr>
          <w:sz w:val="24"/>
          <w:szCs w:val="24"/>
        </w:rPr>
        <w:t xml:space="preserve"> on the freedom that others</w:t>
      </w:r>
      <w:r w:rsidR="008003D6" w:rsidRPr="00DD55FF">
        <w:rPr>
          <w:sz w:val="24"/>
          <w:szCs w:val="24"/>
        </w:rPr>
        <w:t xml:space="preserve"> enjoy’, while ‘efforts to facilitate or improve access to these goods must give priority to the least free’.</w:t>
      </w:r>
      <w:r w:rsidR="00F705F3" w:rsidRPr="00DD55FF">
        <w:rPr>
          <w:rStyle w:val="FootnoteReference"/>
          <w:sz w:val="24"/>
          <w:szCs w:val="24"/>
        </w:rPr>
        <w:footnoteReference w:id="71"/>
      </w:r>
      <w:r w:rsidR="008003D6" w:rsidRPr="00DD55FF">
        <w:rPr>
          <w:sz w:val="24"/>
          <w:szCs w:val="24"/>
        </w:rPr>
        <w:t xml:space="preserve"> </w:t>
      </w:r>
    </w:p>
    <w:p w:rsidR="00A05111" w:rsidRPr="00DD55FF" w:rsidRDefault="001E04B9" w:rsidP="00AA11E2">
      <w:pPr>
        <w:ind w:firstLine="720"/>
        <w:jc w:val="both"/>
        <w:rPr>
          <w:sz w:val="24"/>
          <w:szCs w:val="24"/>
        </w:rPr>
      </w:pPr>
      <w:proofErr w:type="spellStart"/>
      <w:r w:rsidRPr="00DD55FF">
        <w:rPr>
          <w:sz w:val="24"/>
          <w:szCs w:val="24"/>
        </w:rPr>
        <w:t>Khaitan</w:t>
      </w:r>
      <w:r w:rsidR="00E13C76">
        <w:rPr>
          <w:sz w:val="24"/>
          <w:szCs w:val="24"/>
        </w:rPr>
        <w:t>’s</w:t>
      </w:r>
      <w:proofErr w:type="spellEnd"/>
      <w:r w:rsidR="00E13C76">
        <w:rPr>
          <w:sz w:val="24"/>
          <w:szCs w:val="24"/>
        </w:rPr>
        <w:t xml:space="preserve"> argument in this regard</w:t>
      </w:r>
      <w:r w:rsidRPr="00DD55FF">
        <w:rPr>
          <w:sz w:val="24"/>
          <w:szCs w:val="24"/>
        </w:rPr>
        <w:t xml:space="preserve"> </w:t>
      </w:r>
      <w:r w:rsidR="003770A2">
        <w:rPr>
          <w:sz w:val="24"/>
          <w:szCs w:val="24"/>
        </w:rPr>
        <w:t>-</w:t>
      </w:r>
      <w:r w:rsidR="00AB76ED" w:rsidRPr="00DD55FF">
        <w:rPr>
          <w:sz w:val="24"/>
          <w:szCs w:val="24"/>
        </w:rPr>
        <w:t xml:space="preserve"> which interestingly echoes some of the sociological claims made by P</w:t>
      </w:r>
      <w:r w:rsidR="00954592" w:rsidRPr="00DD55FF">
        <w:rPr>
          <w:sz w:val="24"/>
          <w:szCs w:val="24"/>
        </w:rPr>
        <w:t>i</w:t>
      </w:r>
      <w:r w:rsidR="00B437F9" w:rsidRPr="00DD55FF">
        <w:rPr>
          <w:sz w:val="24"/>
          <w:szCs w:val="24"/>
        </w:rPr>
        <w:t>ckett and Wilkinson</w:t>
      </w:r>
      <w:r w:rsidR="00AB76ED" w:rsidRPr="00DD55FF">
        <w:rPr>
          <w:sz w:val="24"/>
          <w:szCs w:val="24"/>
        </w:rPr>
        <w:t xml:space="preserve"> in their influential book </w:t>
      </w:r>
      <w:r w:rsidR="00AB76ED" w:rsidRPr="00DD55FF">
        <w:rPr>
          <w:i/>
          <w:sz w:val="24"/>
          <w:szCs w:val="24"/>
        </w:rPr>
        <w:t>The Spirit Level</w:t>
      </w:r>
      <w:r w:rsidR="008723F8" w:rsidRPr="00E13C76">
        <w:rPr>
          <w:rStyle w:val="FootnoteReference"/>
          <w:sz w:val="24"/>
          <w:szCs w:val="24"/>
        </w:rPr>
        <w:footnoteReference w:id="72"/>
      </w:r>
      <w:r w:rsidR="00AB76ED" w:rsidRPr="00DD55FF">
        <w:rPr>
          <w:i/>
          <w:sz w:val="24"/>
          <w:szCs w:val="24"/>
        </w:rPr>
        <w:t xml:space="preserve"> </w:t>
      </w:r>
      <w:r w:rsidR="00AB76ED" w:rsidRPr="00DD55FF">
        <w:rPr>
          <w:sz w:val="24"/>
          <w:szCs w:val="24"/>
        </w:rPr>
        <w:t xml:space="preserve">- </w:t>
      </w:r>
      <w:r w:rsidRPr="00DD55FF">
        <w:rPr>
          <w:sz w:val="24"/>
          <w:szCs w:val="24"/>
        </w:rPr>
        <w:t xml:space="preserve">is necessarily more of a sketch than a fully-fledged </w:t>
      </w:r>
      <w:r w:rsidR="00B437F9" w:rsidRPr="00DD55FF">
        <w:rPr>
          <w:sz w:val="24"/>
          <w:szCs w:val="24"/>
        </w:rPr>
        <w:t>philosophical analysis</w:t>
      </w:r>
      <w:r w:rsidR="00AB76ED" w:rsidRPr="00DD55FF">
        <w:rPr>
          <w:sz w:val="24"/>
          <w:szCs w:val="24"/>
        </w:rPr>
        <w:t xml:space="preserve">. </w:t>
      </w:r>
      <w:r w:rsidR="00A05111" w:rsidRPr="00DD55FF">
        <w:rPr>
          <w:sz w:val="24"/>
          <w:szCs w:val="24"/>
        </w:rPr>
        <w:t xml:space="preserve">However, in general, </w:t>
      </w:r>
      <w:r w:rsidR="00E13C76">
        <w:rPr>
          <w:sz w:val="24"/>
          <w:szCs w:val="24"/>
        </w:rPr>
        <w:t xml:space="preserve">he </w:t>
      </w:r>
      <w:r w:rsidR="00A05111" w:rsidRPr="00DD55FF">
        <w:rPr>
          <w:sz w:val="24"/>
          <w:szCs w:val="24"/>
        </w:rPr>
        <w:t xml:space="preserve">generates a rich discussion of how our </w:t>
      </w:r>
      <w:r w:rsidR="00F54B19" w:rsidRPr="00DD55FF">
        <w:rPr>
          <w:sz w:val="24"/>
          <w:szCs w:val="24"/>
        </w:rPr>
        <w:t>freedom is invariably ‘conditioned by social forms’</w:t>
      </w:r>
      <w:r w:rsidR="00F705F3" w:rsidRPr="00DD55FF">
        <w:rPr>
          <w:rStyle w:val="FootnoteReference"/>
          <w:sz w:val="24"/>
          <w:szCs w:val="24"/>
        </w:rPr>
        <w:footnoteReference w:id="73"/>
      </w:r>
      <w:r w:rsidR="00F54B19" w:rsidRPr="00DD55FF">
        <w:rPr>
          <w:sz w:val="24"/>
          <w:szCs w:val="24"/>
        </w:rPr>
        <w:t xml:space="preserve"> and dependant o</w:t>
      </w:r>
      <w:r w:rsidR="0038145E" w:rsidRPr="00DD55FF">
        <w:rPr>
          <w:sz w:val="24"/>
          <w:szCs w:val="24"/>
        </w:rPr>
        <w:t>n others also enjoying a certain level</w:t>
      </w:r>
      <w:r w:rsidR="00F54B19" w:rsidRPr="00DD55FF">
        <w:rPr>
          <w:sz w:val="24"/>
          <w:szCs w:val="24"/>
        </w:rPr>
        <w:t xml:space="preserve"> of </w:t>
      </w:r>
      <w:r w:rsidR="00394254" w:rsidRPr="00DD55FF">
        <w:rPr>
          <w:sz w:val="24"/>
          <w:szCs w:val="24"/>
        </w:rPr>
        <w:t>secured</w:t>
      </w:r>
      <w:r w:rsidR="00A05111" w:rsidRPr="00DD55FF">
        <w:rPr>
          <w:sz w:val="24"/>
          <w:szCs w:val="24"/>
        </w:rPr>
        <w:t xml:space="preserve"> access to these basic goods – and also outlines the importan</w:t>
      </w:r>
      <w:r w:rsidR="0055472D" w:rsidRPr="00DD55FF">
        <w:rPr>
          <w:sz w:val="24"/>
          <w:szCs w:val="24"/>
        </w:rPr>
        <w:t>c</w:t>
      </w:r>
      <w:r w:rsidR="00A05111" w:rsidRPr="00DD55FF">
        <w:rPr>
          <w:sz w:val="24"/>
          <w:szCs w:val="24"/>
        </w:rPr>
        <w:t xml:space="preserve">e of the role of the state as a </w:t>
      </w:r>
      <w:r w:rsidR="00354F0D" w:rsidRPr="00DD55FF">
        <w:rPr>
          <w:sz w:val="24"/>
          <w:szCs w:val="24"/>
        </w:rPr>
        <w:t xml:space="preserve">co-ordinating actor </w:t>
      </w:r>
      <w:r w:rsidR="0055472D" w:rsidRPr="00DD55FF">
        <w:rPr>
          <w:sz w:val="24"/>
          <w:szCs w:val="24"/>
        </w:rPr>
        <w:t>in this regard.</w:t>
      </w:r>
      <w:r w:rsidR="00902CFD" w:rsidRPr="00DD55FF">
        <w:rPr>
          <w:rStyle w:val="FootnoteReference"/>
          <w:sz w:val="24"/>
          <w:szCs w:val="24"/>
        </w:rPr>
        <w:footnoteReference w:id="74"/>
      </w:r>
    </w:p>
    <w:p w:rsidR="007B5DB0" w:rsidRPr="00DD55FF" w:rsidRDefault="00F057BC" w:rsidP="00AA11E2">
      <w:pPr>
        <w:ind w:firstLine="720"/>
        <w:jc w:val="both"/>
        <w:rPr>
          <w:sz w:val="24"/>
          <w:szCs w:val="24"/>
        </w:rPr>
      </w:pPr>
      <w:r>
        <w:rPr>
          <w:sz w:val="24"/>
          <w:szCs w:val="24"/>
        </w:rPr>
        <w:t xml:space="preserve">In making these arguments, </w:t>
      </w:r>
      <w:proofErr w:type="spellStart"/>
      <w:r w:rsidRPr="00F057BC">
        <w:rPr>
          <w:sz w:val="24"/>
          <w:szCs w:val="24"/>
        </w:rPr>
        <w:t>Khaitan</w:t>
      </w:r>
      <w:proofErr w:type="spellEnd"/>
      <w:r w:rsidRPr="00F057BC">
        <w:rPr>
          <w:sz w:val="24"/>
          <w:szCs w:val="24"/>
        </w:rPr>
        <w:t xml:space="preserve"> insists that his account of freedom is comparative, but not necessarily egalitarian – and cross-refers to the scepticism about strong egalitarian principles expressed by </w:t>
      </w:r>
      <w:proofErr w:type="spellStart"/>
      <w:r w:rsidRPr="00F057BC">
        <w:rPr>
          <w:sz w:val="24"/>
          <w:szCs w:val="24"/>
        </w:rPr>
        <w:t>Raz</w:t>
      </w:r>
      <w:proofErr w:type="spellEnd"/>
      <w:r w:rsidRPr="00F057BC">
        <w:rPr>
          <w:sz w:val="24"/>
          <w:szCs w:val="24"/>
        </w:rPr>
        <w:t xml:space="preserve"> and others.</w:t>
      </w:r>
      <w:r w:rsidRPr="00F057BC">
        <w:rPr>
          <w:sz w:val="24"/>
          <w:szCs w:val="24"/>
          <w:vertAlign w:val="superscript"/>
        </w:rPr>
        <w:footnoteReference w:id="75"/>
      </w:r>
      <w:r w:rsidRPr="00F057BC">
        <w:rPr>
          <w:sz w:val="24"/>
          <w:szCs w:val="24"/>
        </w:rPr>
        <w:t xml:space="preserve"> </w:t>
      </w:r>
      <w:r w:rsidR="003931E5">
        <w:rPr>
          <w:sz w:val="24"/>
          <w:szCs w:val="24"/>
        </w:rPr>
        <w:t xml:space="preserve">He nevertheless </w:t>
      </w:r>
      <w:r w:rsidRPr="00F057BC">
        <w:rPr>
          <w:sz w:val="24"/>
          <w:szCs w:val="24"/>
        </w:rPr>
        <w:t xml:space="preserve">acknowledges the potent rhetorical appeal of the language of equality. He </w:t>
      </w:r>
      <w:r w:rsidR="003931E5">
        <w:rPr>
          <w:sz w:val="24"/>
          <w:szCs w:val="24"/>
        </w:rPr>
        <w:t xml:space="preserve">therefore </w:t>
      </w:r>
      <w:r w:rsidRPr="00F057BC">
        <w:rPr>
          <w:sz w:val="24"/>
          <w:szCs w:val="24"/>
        </w:rPr>
        <w:t xml:space="preserve">affirms that he is presenting a ‘liberal demand’ for the state to take action to better secure sufficient liberty for all persons, but suggests that the textured and contextual understanding of liberty he presents will cater for ‘some egalitarian and </w:t>
      </w:r>
      <w:proofErr w:type="spellStart"/>
      <w:r w:rsidRPr="00F057BC">
        <w:rPr>
          <w:sz w:val="24"/>
          <w:szCs w:val="24"/>
        </w:rPr>
        <w:t>dignitarian</w:t>
      </w:r>
      <w:proofErr w:type="spellEnd"/>
      <w:r w:rsidRPr="00F057BC">
        <w:rPr>
          <w:sz w:val="24"/>
          <w:szCs w:val="24"/>
        </w:rPr>
        <w:t xml:space="preserve"> concerns’.</w:t>
      </w:r>
      <w:r w:rsidRPr="00F057BC">
        <w:rPr>
          <w:sz w:val="24"/>
          <w:szCs w:val="24"/>
          <w:vertAlign w:val="superscript"/>
        </w:rPr>
        <w:footnoteReference w:id="76"/>
      </w:r>
      <w:r w:rsidRPr="00F057BC">
        <w:rPr>
          <w:sz w:val="24"/>
          <w:szCs w:val="24"/>
        </w:rPr>
        <w:t xml:space="preserve"> </w:t>
      </w:r>
      <w:r w:rsidR="00F34DB6">
        <w:rPr>
          <w:sz w:val="24"/>
          <w:szCs w:val="24"/>
        </w:rPr>
        <w:t>(</w:t>
      </w:r>
      <w:r w:rsidR="008E7FAB" w:rsidRPr="00DD55FF">
        <w:rPr>
          <w:sz w:val="24"/>
          <w:szCs w:val="24"/>
        </w:rPr>
        <w:t xml:space="preserve">Having said that, </w:t>
      </w:r>
      <w:proofErr w:type="spellStart"/>
      <w:r w:rsidR="0055472D" w:rsidRPr="00DD55FF">
        <w:rPr>
          <w:sz w:val="24"/>
          <w:szCs w:val="24"/>
        </w:rPr>
        <w:t>Khaitan’s</w:t>
      </w:r>
      <w:proofErr w:type="spellEnd"/>
      <w:r w:rsidR="0055472D" w:rsidRPr="00DD55FF">
        <w:rPr>
          <w:sz w:val="24"/>
          <w:szCs w:val="24"/>
        </w:rPr>
        <w:t xml:space="preserve"> liberal perfectionist analysis reads </w:t>
      </w:r>
      <w:r w:rsidR="008E7FAB" w:rsidRPr="00DD55FF">
        <w:rPr>
          <w:sz w:val="24"/>
          <w:szCs w:val="24"/>
        </w:rPr>
        <w:t xml:space="preserve">at times </w:t>
      </w:r>
      <w:r w:rsidR="0055472D" w:rsidRPr="00DD55FF">
        <w:rPr>
          <w:sz w:val="24"/>
          <w:szCs w:val="24"/>
        </w:rPr>
        <w:t xml:space="preserve">like an elaborate attempt to arrive at an egalitarian end-point without having </w:t>
      </w:r>
      <w:r w:rsidR="003931E5">
        <w:rPr>
          <w:sz w:val="24"/>
          <w:szCs w:val="24"/>
        </w:rPr>
        <w:t>to rely on egalitarian premises</w:t>
      </w:r>
      <w:r w:rsidR="00A56A4B">
        <w:rPr>
          <w:sz w:val="24"/>
          <w:szCs w:val="24"/>
        </w:rPr>
        <w:t>. Furthermore, his disavowal of egalitarianism may ultimately weaken his argument – but this point will be returned to below.</w:t>
      </w:r>
      <w:r w:rsidR="00F34DB6">
        <w:rPr>
          <w:sz w:val="24"/>
          <w:szCs w:val="24"/>
        </w:rPr>
        <w:t>)</w:t>
      </w:r>
      <w:r w:rsidR="00A56A4B">
        <w:rPr>
          <w:sz w:val="24"/>
          <w:szCs w:val="24"/>
        </w:rPr>
        <w:t xml:space="preserve"> </w:t>
      </w:r>
    </w:p>
    <w:p w:rsidR="00F34DB6" w:rsidRDefault="00902CFD" w:rsidP="00F34DB6">
      <w:pPr>
        <w:ind w:firstLine="720"/>
        <w:jc w:val="both"/>
        <w:rPr>
          <w:sz w:val="24"/>
          <w:szCs w:val="24"/>
        </w:rPr>
      </w:pPr>
      <w:proofErr w:type="spellStart"/>
      <w:r w:rsidRPr="00DD55FF">
        <w:rPr>
          <w:sz w:val="24"/>
          <w:szCs w:val="24"/>
        </w:rPr>
        <w:t>Khaitan</w:t>
      </w:r>
      <w:proofErr w:type="spellEnd"/>
      <w:r w:rsidRPr="00DD55FF">
        <w:rPr>
          <w:sz w:val="24"/>
          <w:szCs w:val="24"/>
        </w:rPr>
        <w:t xml:space="preserve"> then turns to</w:t>
      </w:r>
      <w:r w:rsidR="002D4DE5" w:rsidRPr="00DD55FF">
        <w:rPr>
          <w:sz w:val="24"/>
          <w:szCs w:val="24"/>
        </w:rPr>
        <w:t xml:space="preserve"> the question of what constitutes the ‘point’ of discrimination law</w:t>
      </w:r>
      <w:r w:rsidR="003D3F99" w:rsidRPr="00DD55FF">
        <w:rPr>
          <w:sz w:val="24"/>
          <w:szCs w:val="24"/>
        </w:rPr>
        <w:t>, i.e. what it ‘seeks to do’</w:t>
      </w:r>
      <w:r w:rsidR="002D4DE5" w:rsidRPr="00DD55FF">
        <w:rPr>
          <w:sz w:val="24"/>
          <w:szCs w:val="24"/>
        </w:rPr>
        <w:t>.</w:t>
      </w:r>
      <w:r w:rsidR="003D3F99" w:rsidRPr="00DD55FF">
        <w:rPr>
          <w:rStyle w:val="FootnoteReference"/>
          <w:sz w:val="24"/>
          <w:szCs w:val="24"/>
        </w:rPr>
        <w:footnoteReference w:id="77"/>
      </w:r>
      <w:r w:rsidR="002D4DE5" w:rsidRPr="00DD55FF">
        <w:rPr>
          <w:sz w:val="24"/>
          <w:szCs w:val="24"/>
        </w:rPr>
        <w:t xml:space="preserve"> As an i</w:t>
      </w:r>
      <w:r w:rsidR="00701C8D" w:rsidRPr="00DD55FF">
        <w:rPr>
          <w:sz w:val="24"/>
          <w:szCs w:val="24"/>
        </w:rPr>
        <w:t>nitial step, he rejects the conventional understanding</w:t>
      </w:r>
      <w:r w:rsidR="002D4DE5" w:rsidRPr="00DD55FF">
        <w:rPr>
          <w:sz w:val="24"/>
          <w:szCs w:val="24"/>
        </w:rPr>
        <w:t xml:space="preserve"> that its </w:t>
      </w:r>
      <w:r w:rsidR="00BA0E66" w:rsidRPr="00DD55FF">
        <w:rPr>
          <w:sz w:val="24"/>
          <w:szCs w:val="24"/>
        </w:rPr>
        <w:t xml:space="preserve">core </w:t>
      </w:r>
      <w:r w:rsidR="002D4DE5" w:rsidRPr="00DD55FF">
        <w:rPr>
          <w:sz w:val="24"/>
          <w:szCs w:val="24"/>
        </w:rPr>
        <w:t xml:space="preserve">function is to protect </w:t>
      </w:r>
      <w:r w:rsidR="008A4E58" w:rsidRPr="00DD55FF">
        <w:rPr>
          <w:sz w:val="24"/>
          <w:szCs w:val="24"/>
        </w:rPr>
        <w:t xml:space="preserve">individuals </w:t>
      </w:r>
      <w:r w:rsidR="002D4DE5" w:rsidRPr="00DD55FF">
        <w:rPr>
          <w:sz w:val="24"/>
          <w:szCs w:val="24"/>
        </w:rPr>
        <w:t xml:space="preserve">against discrimination on protected grounds, </w:t>
      </w:r>
      <w:r w:rsidR="006D7B5C" w:rsidRPr="00DD55FF">
        <w:rPr>
          <w:sz w:val="24"/>
          <w:szCs w:val="24"/>
        </w:rPr>
        <w:t xml:space="preserve">as the ‘lay understanding’ assumes. He argues that this view of the purpose of discrimination </w:t>
      </w:r>
      <w:proofErr w:type="gramStart"/>
      <w:r w:rsidR="006D7B5C" w:rsidRPr="00DD55FF">
        <w:rPr>
          <w:sz w:val="24"/>
          <w:szCs w:val="24"/>
        </w:rPr>
        <w:lastRenderedPageBreak/>
        <w:t>law</w:t>
      </w:r>
      <w:proofErr w:type="gramEnd"/>
      <w:r w:rsidR="006D7B5C" w:rsidRPr="00DD55FF">
        <w:rPr>
          <w:sz w:val="24"/>
          <w:szCs w:val="24"/>
        </w:rPr>
        <w:t xml:space="preserve"> </w:t>
      </w:r>
      <w:r w:rsidR="002D4DE5" w:rsidRPr="00DD55FF">
        <w:rPr>
          <w:sz w:val="24"/>
          <w:szCs w:val="24"/>
        </w:rPr>
        <w:t xml:space="preserve">cannot account for the </w:t>
      </w:r>
      <w:r w:rsidR="008A4E58" w:rsidRPr="00DD55FF">
        <w:rPr>
          <w:sz w:val="24"/>
          <w:szCs w:val="24"/>
        </w:rPr>
        <w:t>s</w:t>
      </w:r>
      <w:r w:rsidR="002D4DE5" w:rsidRPr="00DD55FF">
        <w:rPr>
          <w:sz w:val="24"/>
          <w:szCs w:val="24"/>
        </w:rPr>
        <w:t xml:space="preserve">alience of group disadvantage </w:t>
      </w:r>
      <w:r w:rsidR="006D7B5C" w:rsidRPr="00DD55FF">
        <w:rPr>
          <w:sz w:val="24"/>
          <w:szCs w:val="24"/>
        </w:rPr>
        <w:t>within its structure and functioning</w:t>
      </w:r>
      <w:r w:rsidR="00F34DB6">
        <w:rPr>
          <w:sz w:val="24"/>
          <w:szCs w:val="24"/>
        </w:rPr>
        <w:t>.</w:t>
      </w:r>
      <w:r w:rsidR="008A4E58" w:rsidRPr="00DD55FF">
        <w:rPr>
          <w:rStyle w:val="FootnoteReference"/>
          <w:sz w:val="24"/>
          <w:szCs w:val="24"/>
        </w:rPr>
        <w:footnoteReference w:id="78"/>
      </w:r>
      <w:r w:rsidR="008A4E58" w:rsidRPr="00DD55FF">
        <w:rPr>
          <w:sz w:val="24"/>
          <w:szCs w:val="24"/>
        </w:rPr>
        <w:t xml:space="preserve"> </w:t>
      </w:r>
      <w:r w:rsidR="008723F8" w:rsidRPr="00DD55FF">
        <w:rPr>
          <w:sz w:val="24"/>
          <w:szCs w:val="24"/>
        </w:rPr>
        <w:t xml:space="preserve">He also argues that </w:t>
      </w:r>
      <w:r w:rsidR="00701C8D" w:rsidRPr="00DD55FF">
        <w:rPr>
          <w:sz w:val="24"/>
          <w:szCs w:val="24"/>
        </w:rPr>
        <w:t xml:space="preserve">the </w:t>
      </w:r>
      <w:r w:rsidR="00BA0E66" w:rsidRPr="00DD55FF">
        <w:rPr>
          <w:sz w:val="24"/>
          <w:szCs w:val="24"/>
        </w:rPr>
        <w:t>central</w:t>
      </w:r>
      <w:r w:rsidR="00701C8D" w:rsidRPr="00DD55FF">
        <w:rPr>
          <w:sz w:val="24"/>
          <w:szCs w:val="24"/>
        </w:rPr>
        <w:t xml:space="preserve"> purpose of discrimination law </w:t>
      </w:r>
      <w:r w:rsidR="00BA0E66" w:rsidRPr="00DD55FF">
        <w:rPr>
          <w:sz w:val="24"/>
          <w:szCs w:val="24"/>
        </w:rPr>
        <w:t xml:space="preserve">cannot be </w:t>
      </w:r>
      <w:r w:rsidR="00701C8D" w:rsidRPr="00DD55FF">
        <w:rPr>
          <w:sz w:val="24"/>
          <w:szCs w:val="24"/>
        </w:rPr>
        <w:t xml:space="preserve">to combat irrational decision-making, </w:t>
      </w:r>
      <w:r w:rsidR="00BA0E66" w:rsidRPr="00DD55FF">
        <w:rPr>
          <w:sz w:val="24"/>
          <w:szCs w:val="24"/>
        </w:rPr>
        <w:t xml:space="preserve">given that </w:t>
      </w:r>
      <w:r w:rsidR="00701C8D" w:rsidRPr="00DD55FF">
        <w:rPr>
          <w:sz w:val="24"/>
          <w:szCs w:val="24"/>
        </w:rPr>
        <w:t xml:space="preserve">it </w:t>
      </w:r>
      <w:r w:rsidR="008723F8" w:rsidRPr="00DD55FF">
        <w:rPr>
          <w:sz w:val="24"/>
          <w:szCs w:val="24"/>
        </w:rPr>
        <w:t xml:space="preserve">prohibits </w:t>
      </w:r>
      <w:r w:rsidR="00701C8D" w:rsidRPr="00DD55FF">
        <w:rPr>
          <w:sz w:val="24"/>
          <w:szCs w:val="24"/>
        </w:rPr>
        <w:t xml:space="preserve">forms of </w:t>
      </w:r>
      <w:r w:rsidR="008723F8" w:rsidRPr="00DD55FF">
        <w:rPr>
          <w:sz w:val="24"/>
          <w:szCs w:val="24"/>
        </w:rPr>
        <w:t xml:space="preserve">behaviour which could readily be </w:t>
      </w:r>
      <w:r w:rsidR="00701C8D" w:rsidRPr="00DD55FF">
        <w:rPr>
          <w:sz w:val="24"/>
          <w:szCs w:val="24"/>
        </w:rPr>
        <w:t>described a</w:t>
      </w:r>
      <w:r w:rsidR="008723F8" w:rsidRPr="00DD55FF">
        <w:rPr>
          <w:sz w:val="24"/>
          <w:szCs w:val="24"/>
        </w:rPr>
        <w:t>s ‘rational’.</w:t>
      </w:r>
      <w:r w:rsidR="00701C8D" w:rsidRPr="00DD55FF">
        <w:rPr>
          <w:rStyle w:val="FootnoteReference"/>
          <w:sz w:val="24"/>
          <w:szCs w:val="24"/>
        </w:rPr>
        <w:footnoteReference w:id="79"/>
      </w:r>
      <w:r w:rsidR="008723F8" w:rsidRPr="00DD55FF">
        <w:rPr>
          <w:sz w:val="24"/>
          <w:szCs w:val="24"/>
        </w:rPr>
        <w:t xml:space="preserve">  </w:t>
      </w:r>
    </w:p>
    <w:p w:rsidR="003D3F99" w:rsidRPr="00DD55FF" w:rsidRDefault="003D3F99" w:rsidP="00F34DB6">
      <w:pPr>
        <w:ind w:firstLine="720"/>
        <w:jc w:val="both"/>
        <w:rPr>
          <w:sz w:val="24"/>
          <w:szCs w:val="24"/>
        </w:rPr>
      </w:pPr>
      <w:r w:rsidRPr="00DD55FF">
        <w:rPr>
          <w:sz w:val="24"/>
          <w:szCs w:val="24"/>
        </w:rPr>
        <w:t>Instead, Khaitan</w:t>
      </w:r>
      <w:r w:rsidR="008A4E58" w:rsidRPr="00DD55FF">
        <w:rPr>
          <w:sz w:val="24"/>
          <w:szCs w:val="24"/>
        </w:rPr>
        <w:t xml:space="preserve"> puts forward an alternative </w:t>
      </w:r>
      <w:r w:rsidR="008A4E58" w:rsidRPr="00DD55FF">
        <w:rPr>
          <w:i/>
          <w:sz w:val="24"/>
          <w:szCs w:val="24"/>
        </w:rPr>
        <w:t xml:space="preserve">raison </w:t>
      </w:r>
      <w:proofErr w:type="spellStart"/>
      <w:r w:rsidR="008A4E58" w:rsidRPr="00DD55FF">
        <w:rPr>
          <w:i/>
          <w:sz w:val="24"/>
          <w:szCs w:val="24"/>
        </w:rPr>
        <w:t>d’etre</w:t>
      </w:r>
      <w:proofErr w:type="spellEnd"/>
      <w:r w:rsidR="001E7698" w:rsidRPr="00DD55FF">
        <w:rPr>
          <w:sz w:val="24"/>
          <w:szCs w:val="24"/>
        </w:rPr>
        <w:t>, namely that d</w:t>
      </w:r>
      <w:r w:rsidR="005E48A4" w:rsidRPr="00DD55FF">
        <w:rPr>
          <w:sz w:val="24"/>
          <w:szCs w:val="24"/>
        </w:rPr>
        <w:t>iscrimination law ‘seeks to reduce (and ultimately remove) any significant advantage gap between a protected group and its cognate groups’.</w:t>
      </w:r>
      <w:r w:rsidR="005E48A4" w:rsidRPr="00DD55FF">
        <w:rPr>
          <w:rStyle w:val="FootnoteReference"/>
          <w:sz w:val="24"/>
          <w:szCs w:val="24"/>
        </w:rPr>
        <w:footnoteReference w:id="80"/>
      </w:r>
      <w:r w:rsidR="005E48A4" w:rsidRPr="00DD55FF">
        <w:rPr>
          <w:sz w:val="24"/>
          <w:szCs w:val="24"/>
        </w:rPr>
        <w:t xml:space="preserve"> In other words, </w:t>
      </w:r>
      <w:r w:rsidR="00F34DB6">
        <w:rPr>
          <w:sz w:val="24"/>
          <w:szCs w:val="24"/>
        </w:rPr>
        <w:t xml:space="preserve">he argues that </w:t>
      </w:r>
      <w:r w:rsidR="005E48A4" w:rsidRPr="00DD55FF">
        <w:rPr>
          <w:sz w:val="24"/>
          <w:szCs w:val="24"/>
        </w:rPr>
        <w:t>its g</w:t>
      </w:r>
      <w:r w:rsidR="000B26C1" w:rsidRPr="00DD55FF">
        <w:rPr>
          <w:sz w:val="24"/>
          <w:szCs w:val="24"/>
        </w:rPr>
        <w:t xml:space="preserve">eneral </w:t>
      </w:r>
      <w:r w:rsidRPr="00DD55FF">
        <w:rPr>
          <w:sz w:val="24"/>
          <w:szCs w:val="24"/>
        </w:rPr>
        <w:t>purpose i</w:t>
      </w:r>
      <w:r w:rsidR="000B26C1" w:rsidRPr="00DD55FF">
        <w:rPr>
          <w:sz w:val="24"/>
          <w:szCs w:val="24"/>
        </w:rPr>
        <w:t xml:space="preserve">s to secure an </w:t>
      </w:r>
      <w:r w:rsidR="005E48A4" w:rsidRPr="00DD55FF">
        <w:rPr>
          <w:sz w:val="24"/>
          <w:szCs w:val="24"/>
        </w:rPr>
        <w:t xml:space="preserve">important </w:t>
      </w:r>
      <w:r w:rsidR="000B26C1" w:rsidRPr="00DD55FF">
        <w:rPr>
          <w:sz w:val="24"/>
          <w:szCs w:val="24"/>
        </w:rPr>
        <w:t>asp</w:t>
      </w:r>
      <w:r w:rsidR="005E48A4" w:rsidRPr="00DD55FF">
        <w:rPr>
          <w:sz w:val="24"/>
          <w:szCs w:val="24"/>
        </w:rPr>
        <w:t>e</w:t>
      </w:r>
      <w:r w:rsidR="000B26C1" w:rsidRPr="00DD55FF">
        <w:rPr>
          <w:sz w:val="24"/>
          <w:szCs w:val="24"/>
        </w:rPr>
        <w:t xml:space="preserve">ct of </w:t>
      </w:r>
      <w:r w:rsidR="005E48A4" w:rsidRPr="00DD55FF">
        <w:rPr>
          <w:sz w:val="24"/>
          <w:szCs w:val="24"/>
        </w:rPr>
        <w:t xml:space="preserve">individual </w:t>
      </w:r>
      <w:r w:rsidR="000B26C1" w:rsidRPr="00DD55FF">
        <w:rPr>
          <w:sz w:val="24"/>
          <w:szCs w:val="24"/>
        </w:rPr>
        <w:t xml:space="preserve">well-being by </w:t>
      </w:r>
      <w:r w:rsidRPr="00DD55FF">
        <w:rPr>
          <w:sz w:val="24"/>
          <w:szCs w:val="24"/>
        </w:rPr>
        <w:t>‘</w:t>
      </w:r>
      <w:r w:rsidR="000B26C1" w:rsidRPr="00DD55FF">
        <w:rPr>
          <w:sz w:val="24"/>
          <w:szCs w:val="24"/>
        </w:rPr>
        <w:t xml:space="preserve">reducing the </w:t>
      </w:r>
      <w:r w:rsidR="005E48A4" w:rsidRPr="00DD55FF">
        <w:rPr>
          <w:sz w:val="24"/>
          <w:szCs w:val="24"/>
        </w:rPr>
        <w:t xml:space="preserve">persuasive, abiding and substantial </w:t>
      </w:r>
      <w:r w:rsidR="000B26C1" w:rsidRPr="00DD55FF">
        <w:rPr>
          <w:sz w:val="24"/>
          <w:szCs w:val="24"/>
        </w:rPr>
        <w:t>relative disad</w:t>
      </w:r>
      <w:r w:rsidR="005E48A4" w:rsidRPr="00DD55FF">
        <w:rPr>
          <w:sz w:val="24"/>
          <w:szCs w:val="24"/>
        </w:rPr>
        <w:t>vantage</w:t>
      </w:r>
      <w:r w:rsidR="000B26C1" w:rsidRPr="00DD55FF">
        <w:rPr>
          <w:sz w:val="24"/>
          <w:szCs w:val="24"/>
        </w:rPr>
        <w:t xml:space="preserve"> faced by me</w:t>
      </w:r>
      <w:r w:rsidR="005E48A4" w:rsidRPr="00DD55FF">
        <w:rPr>
          <w:sz w:val="24"/>
          <w:szCs w:val="24"/>
        </w:rPr>
        <w:t>mbers of protected groups’</w:t>
      </w:r>
      <w:r w:rsidR="00F34DB6">
        <w:rPr>
          <w:sz w:val="24"/>
          <w:szCs w:val="24"/>
        </w:rPr>
        <w:t>.</w:t>
      </w:r>
      <w:r w:rsidRPr="00DD55FF">
        <w:rPr>
          <w:rStyle w:val="FootnoteReference"/>
          <w:sz w:val="24"/>
          <w:szCs w:val="24"/>
        </w:rPr>
        <w:footnoteReference w:id="81"/>
      </w:r>
      <w:r w:rsidRPr="00DD55FF">
        <w:rPr>
          <w:sz w:val="24"/>
          <w:szCs w:val="24"/>
        </w:rPr>
        <w:t xml:space="preserve"> Particular rules of discrimination law may have at best a loose relationship to this general justifying aim: but Khaitan argues that discrimination law is </w:t>
      </w:r>
      <w:r w:rsidRPr="00DD55FF">
        <w:rPr>
          <w:i/>
          <w:sz w:val="24"/>
          <w:szCs w:val="24"/>
        </w:rPr>
        <w:t>‘as a whole</w:t>
      </w:r>
      <w:r w:rsidRPr="00DD55FF">
        <w:rPr>
          <w:sz w:val="24"/>
          <w:szCs w:val="24"/>
        </w:rPr>
        <w:t xml:space="preserve"> [author’s italics] is geared towards achieving this goal’.</w:t>
      </w:r>
      <w:r w:rsidRPr="00DD55FF">
        <w:rPr>
          <w:rStyle w:val="FootnoteReference"/>
          <w:sz w:val="24"/>
          <w:szCs w:val="24"/>
        </w:rPr>
        <w:footnoteReference w:id="82"/>
      </w:r>
    </w:p>
    <w:p w:rsidR="0027139C" w:rsidRPr="00DD55FF" w:rsidRDefault="003D3F99" w:rsidP="00AA11E2">
      <w:pPr>
        <w:ind w:firstLine="720"/>
        <w:jc w:val="both"/>
        <w:rPr>
          <w:sz w:val="24"/>
          <w:szCs w:val="24"/>
        </w:rPr>
      </w:pPr>
      <w:proofErr w:type="spellStart"/>
      <w:r w:rsidRPr="00DD55FF">
        <w:rPr>
          <w:sz w:val="24"/>
          <w:szCs w:val="24"/>
        </w:rPr>
        <w:t>Khaitan</w:t>
      </w:r>
      <w:proofErr w:type="spellEnd"/>
      <w:r w:rsidRPr="00DD55FF">
        <w:rPr>
          <w:sz w:val="24"/>
          <w:szCs w:val="24"/>
        </w:rPr>
        <w:t xml:space="preserve"> </w:t>
      </w:r>
      <w:r w:rsidR="00642048" w:rsidRPr="00DD55FF">
        <w:rPr>
          <w:sz w:val="24"/>
          <w:szCs w:val="24"/>
        </w:rPr>
        <w:t xml:space="preserve">then refers back to his liberal perfectionist analysis of the constituent elements of individual well-being, and </w:t>
      </w:r>
      <w:r w:rsidRPr="00DD55FF">
        <w:rPr>
          <w:sz w:val="24"/>
          <w:szCs w:val="24"/>
        </w:rPr>
        <w:t>sug</w:t>
      </w:r>
      <w:r w:rsidR="00642048" w:rsidRPr="00DD55FF">
        <w:rPr>
          <w:sz w:val="24"/>
          <w:szCs w:val="24"/>
        </w:rPr>
        <w:t xml:space="preserve">gests that discrimination law is justified in pursuing this general aim because </w:t>
      </w:r>
      <w:r w:rsidR="000759D1" w:rsidRPr="00DD55FF">
        <w:rPr>
          <w:sz w:val="24"/>
          <w:szCs w:val="24"/>
        </w:rPr>
        <w:t xml:space="preserve">relative group disadvantage </w:t>
      </w:r>
      <w:r w:rsidR="00EB5B9A" w:rsidRPr="00DD55FF">
        <w:rPr>
          <w:sz w:val="24"/>
          <w:szCs w:val="24"/>
        </w:rPr>
        <w:t>negative</w:t>
      </w:r>
      <w:r w:rsidR="00E2239C" w:rsidRPr="00DD55FF">
        <w:rPr>
          <w:sz w:val="24"/>
          <w:szCs w:val="24"/>
        </w:rPr>
        <w:t>ly affects t</w:t>
      </w:r>
      <w:r w:rsidR="00EB5B9A" w:rsidRPr="00DD55FF">
        <w:rPr>
          <w:sz w:val="24"/>
          <w:szCs w:val="24"/>
        </w:rPr>
        <w:t xml:space="preserve">he secured access of members of affected groups to the basic goods of </w:t>
      </w:r>
      <w:r w:rsidR="000B26C1" w:rsidRPr="00DD55FF">
        <w:rPr>
          <w:sz w:val="24"/>
          <w:szCs w:val="24"/>
        </w:rPr>
        <w:t>neg</w:t>
      </w:r>
      <w:r w:rsidR="00EB5B9A" w:rsidRPr="00DD55FF">
        <w:rPr>
          <w:sz w:val="24"/>
          <w:szCs w:val="24"/>
        </w:rPr>
        <w:t>ative</w:t>
      </w:r>
      <w:r w:rsidR="000B26C1" w:rsidRPr="00DD55FF">
        <w:rPr>
          <w:sz w:val="24"/>
          <w:szCs w:val="24"/>
        </w:rPr>
        <w:t xml:space="preserve"> freedom, </w:t>
      </w:r>
      <w:r w:rsidR="00EB5B9A" w:rsidRPr="00DD55FF">
        <w:rPr>
          <w:sz w:val="24"/>
          <w:szCs w:val="24"/>
        </w:rPr>
        <w:t xml:space="preserve">an </w:t>
      </w:r>
      <w:r w:rsidR="000B26C1" w:rsidRPr="00DD55FF">
        <w:rPr>
          <w:sz w:val="24"/>
          <w:szCs w:val="24"/>
        </w:rPr>
        <w:t>adeq</w:t>
      </w:r>
      <w:r w:rsidR="00EB5B9A" w:rsidRPr="00DD55FF">
        <w:rPr>
          <w:sz w:val="24"/>
          <w:szCs w:val="24"/>
        </w:rPr>
        <w:t>uate</w:t>
      </w:r>
      <w:r w:rsidR="000B26C1" w:rsidRPr="00DD55FF">
        <w:rPr>
          <w:sz w:val="24"/>
          <w:szCs w:val="24"/>
        </w:rPr>
        <w:t xml:space="preserve"> range </w:t>
      </w:r>
      <w:r w:rsidR="00EB5B9A" w:rsidRPr="00DD55FF">
        <w:rPr>
          <w:sz w:val="24"/>
          <w:szCs w:val="24"/>
        </w:rPr>
        <w:t>of valuable</w:t>
      </w:r>
      <w:r w:rsidR="000B26C1" w:rsidRPr="00DD55FF">
        <w:rPr>
          <w:sz w:val="24"/>
          <w:szCs w:val="24"/>
        </w:rPr>
        <w:t xml:space="preserve"> opp</w:t>
      </w:r>
      <w:r w:rsidR="0003598F">
        <w:rPr>
          <w:sz w:val="24"/>
          <w:szCs w:val="24"/>
        </w:rPr>
        <w:t xml:space="preserve">ortunities, and self-respect. </w:t>
      </w:r>
      <w:r w:rsidR="00E2239C" w:rsidRPr="00DD55FF">
        <w:rPr>
          <w:sz w:val="24"/>
          <w:szCs w:val="24"/>
        </w:rPr>
        <w:t>I</w:t>
      </w:r>
      <w:r w:rsidR="00F34DB6">
        <w:rPr>
          <w:sz w:val="24"/>
          <w:szCs w:val="24"/>
        </w:rPr>
        <w:t xml:space="preserve">n an </w:t>
      </w:r>
      <w:r w:rsidR="00E2239C" w:rsidRPr="00DD55FF">
        <w:rPr>
          <w:sz w:val="24"/>
          <w:szCs w:val="24"/>
        </w:rPr>
        <w:t xml:space="preserve">admirably succinct few pages, Khaitan </w:t>
      </w:r>
      <w:r w:rsidR="00E52797" w:rsidRPr="00DD55FF">
        <w:rPr>
          <w:sz w:val="24"/>
          <w:szCs w:val="24"/>
        </w:rPr>
        <w:t xml:space="preserve">supports this argument by </w:t>
      </w:r>
      <w:r w:rsidR="00E2239C" w:rsidRPr="00DD55FF">
        <w:rPr>
          <w:sz w:val="24"/>
          <w:szCs w:val="24"/>
        </w:rPr>
        <w:t>outli</w:t>
      </w:r>
      <w:r w:rsidR="00767F2B" w:rsidRPr="00DD55FF">
        <w:rPr>
          <w:sz w:val="24"/>
          <w:szCs w:val="24"/>
        </w:rPr>
        <w:t>n</w:t>
      </w:r>
      <w:r w:rsidR="00E52797" w:rsidRPr="00DD55FF">
        <w:rPr>
          <w:sz w:val="24"/>
          <w:szCs w:val="24"/>
        </w:rPr>
        <w:t>ing</w:t>
      </w:r>
      <w:r w:rsidR="00E2239C" w:rsidRPr="00DD55FF">
        <w:rPr>
          <w:sz w:val="24"/>
          <w:szCs w:val="24"/>
        </w:rPr>
        <w:t xml:space="preserve"> </w:t>
      </w:r>
      <w:r w:rsidR="00767F2B" w:rsidRPr="00DD55FF">
        <w:rPr>
          <w:sz w:val="24"/>
          <w:szCs w:val="24"/>
        </w:rPr>
        <w:t xml:space="preserve">how relative group disadvantage </w:t>
      </w:r>
      <w:r w:rsidR="00E52797" w:rsidRPr="00DD55FF">
        <w:rPr>
          <w:sz w:val="24"/>
          <w:szCs w:val="24"/>
        </w:rPr>
        <w:t xml:space="preserve">not </w:t>
      </w:r>
      <w:r w:rsidR="00050CB3">
        <w:rPr>
          <w:sz w:val="24"/>
          <w:szCs w:val="24"/>
        </w:rPr>
        <w:t xml:space="preserve">only </w:t>
      </w:r>
      <w:r w:rsidR="006D0F04" w:rsidRPr="00DD55FF">
        <w:rPr>
          <w:sz w:val="24"/>
          <w:szCs w:val="24"/>
        </w:rPr>
        <w:t>manifest</w:t>
      </w:r>
      <w:r w:rsidR="00E52797" w:rsidRPr="00DD55FF">
        <w:rPr>
          <w:sz w:val="24"/>
          <w:szCs w:val="24"/>
        </w:rPr>
        <w:t>s</w:t>
      </w:r>
      <w:r w:rsidR="006D0F04" w:rsidRPr="00DD55FF">
        <w:rPr>
          <w:sz w:val="24"/>
          <w:szCs w:val="24"/>
        </w:rPr>
        <w:t xml:space="preserve"> itself in forms </w:t>
      </w:r>
      <w:r w:rsidR="005A7D67" w:rsidRPr="00DD55FF">
        <w:rPr>
          <w:sz w:val="24"/>
          <w:szCs w:val="24"/>
        </w:rPr>
        <w:t xml:space="preserve">of behaviour </w:t>
      </w:r>
      <w:r w:rsidR="006D0F04" w:rsidRPr="00DD55FF">
        <w:rPr>
          <w:sz w:val="24"/>
          <w:szCs w:val="24"/>
        </w:rPr>
        <w:t xml:space="preserve">which </w:t>
      </w:r>
      <w:r w:rsidR="00767F2B" w:rsidRPr="00DD55FF">
        <w:rPr>
          <w:sz w:val="24"/>
          <w:szCs w:val="24"/>
        </w:rPr>
        <w:t xml:space="preserve">impact directly upon individuals but </w:t>
      </w:r>
      <w:r w:rsidR="0010080C" w:rsidRPr="00DD55FF">
        <w:rPr>
          <w:sz w:val="24"/>
          <w:szCs w:val="24"/>
        </w:rPr>
        <w:t>a</w:t>
      </w:r>
      <w:r w:rsidR="00767F2B" w:rsidRPr="00DD55FF">
        <w:rPr>
          <w:sz w:val="24"/>
          <w:szCs w:val="24"/>
        </w:rPr>
        <w:t>lso generate</w:t>
      </w:r>
      <w:r w:rsidR="0010080C" w:rsidRPr="00DD55FF">
        <w:rPr>
          <w:sz w:val="24"/>
          <w:szCs w:val="24"/>
        </w:rPr>
        <w:t>s</w:t>
      </w:r>
      <w:r w:rsidR="00767F2B" w:rsidRPr="00DD55FF">
        <w:rPr>
          <w:sz w:val="24"/>
          <w:szCs w:val="24"/>
        </w:rPr>
        <w:t xml:space="preserve"> a ‘stigmatising effect’ which can have a </w:t>
      </w:r>
      <w:r w:rsidR="002A4AC9" w:rsidRPr="00DD55FF">
        <w:rPr>
          <w:sz w:val="24"/>
          <w:szCs w:val="24"/>
        </w:rPr>
        <w:t xml:space="preserve">negative impact on disadvantaged </w:t>
      </w:r>
      <w:r w:rsidR="00767F2B" w:rsidRPr="00DD55FF">
        <w:rPr>
          <w:sz w:val="24"/>
          <w:szCs w:val="24"/>
        </w:rPr>
        <w:t>group</w:t>
      </w:r>
      <w:r w:rsidR="006D0F04" w:rsidRPr="00DD55FF">
        <w:rPr>
          <w:sz w:val="24"/>
          <w:szCs w:val="24"/>
        </w:rPr>
        <w:t>s</w:t>
      </w:r>
      <w:r w:rsidR="00767F2B" w:rsidRPr="00DD55FF">
        <w:rPr>
          <w:sz w:val="24"/>
          <w:szCs w:val="24"/>
        </w:rPr>
        <w:t xml:space="preserve"> taken as a whole.</w:t>
      </w:r>
      <w:r w:rsidR="00767F2B" w:rsidRPr="00DD55FF">
        <w:rPr>
          <w:rStyle w:val="FootnoteReference"/>
          <w:sz w:val="24"/>
          <w:szCs w:val="24"/>
        </w:rPr>
        <w:footnoteReference w:id="83"/>
      </w:r>
      <w:r w:rsidR="0010080C" w:rsidRPr="00DD55FF">
        <w:rPr>
          <w:sz w:val="24"/>
          <w:szCs w:val="24"/>
        </w:rPr>
        <w:t xml:space="preserve"> </w:t>
      </w:r>
      <w:r w:rsidR="00BA0E66" w:rsidRPr="00DD55FF">
        <w:rPr>
          <w:sz w:val="24"/>
          <w:szCs w:val="24"/>
        </w:rPr>
        <w:t>He goes on to argue that d</w:t>
      </w:r>
      <w:r w:rsidR="0010080C" w:rsidRPr="00DD55FF">
        <w:rPr>
          <w:sz w:val="24"/>
          <w:szCs w:val="24"/>
        </w:rPr>
        <w:t>iscrimin</w:t>
      </w:r>
      <w:r w:rsidR="00BA0E66" w:rsidRPr="00DD55FF">
        <w:rPr>
          <w:sz w:val="24"/>
          <w:szCs w:val="24"/>
        </w:rPr>
        <w:t>ation</w:t>
      </w:r>
      <w:r w:rsidR="0010080C" w:rsidRPr="00DD55FF">
        <w:rPr>
          <w:sz w:val="24"/>
          <w:szCs w:val="24"/>
        </w:rPr>
        <w:t xml:space="preserve"> law provides a mechanism fo</w:t>
      </w:r>
      <w:r w:rsidR="00BA0E66" w:rsidRPr="00DD55FF">
        <w:rPr>
          <w:sz w:val="24"/>
          <w:szCs w:val="24"/>
        </w:rPr>
        <w:t>r combating these adverse consequences of group disadvantage, and is thus justified because it helps to secure individual freedom.</w:t>
      </w:r>
    </w:p>
    <w:p w:rsidR="00F34DB6" w:rsidRDefault="00103E31" w:rsidP="0003598F">
      <w:pPr>
        <w:ind w:firstLine="720"/>
        <w:jc w:val="both"/>
        <w:rPr>
          <w:sz w:val="24"/>
          <w:szCs w:val="24"/>
        </w:rPr>
      </w:pPr>
      <w:r>
        <w:rPr>
          <w:sz w:val="24"/>
          <w:szCs w:val="24"/>
        </w:rPr>
        <w:t>In d</w:t>
      </w:r>
      <w:r w:rsidR="0003598F">
        <w:rPr>
          <w:sz w:val="24"/>
          <w:szCs w:val="24"/>
        </w:rPr>
        <w:t xml:space="preserve">eveloping this argument, </w:t>
      </w:r>
      <w:proofErr w:type="spellStart"/>
      <w:r w:rsidR="0003598F">
        <w:rPr>
          <w:sz w:val="24"/>
          <w:szCs w:val="24"/>
        </w:rPr>
        <w:t>Khaitan</w:t>
      </w:r>
      <w:proofErr w:type="spellEnd"/>
      <w:r w:rsidR="0003598F">
        <w:rPr>
          <w:sz w:val="24"/>
          <w:szCs w:val="24"/>
        </w:rPr>
        <w:t xml:space="preserve"> suggests that </w:t>
      </w:r>
      <w:r w:rsidR="00547D59" w:rsidRPr="00DD55FF">
        <w:rPr>
          <w:sz w:val="24"/>
          <w:szCs w:val="24"/>
        </w:rPr>
        <w:t>the various specific duties imposed by</w:t>
      </w:r>
      <w:r w:rsidR="003447A7" w:rsidRPr="00DD55FF">
        <w:rPr>
          <w:sz w:val="24"/>
          <w:szCs w:val="24"/>
        </w:rPr>
        <w:t xml:space="preserve"> </w:t>
      </w:r>
      <w:r w:rsidR="00547D59" w:rsidRPr="00DD55FF">
        <w:rPr>
          <w:sz w:val="24"/>
          <w:szCs w:val="24"/>
        </w:rPr>
        <w:t xml:space="preserve">discrimination law </w:t>
      </w:r>
      <w:r w:rsidR="00502A34" w:rsidRPr="00DD55FF">
        <w:rPr>
          <w:sz w:val="24"/>
          <w:szCs w:val="24"/>
        </w:rPr>
        <w:t xml:space="preserve">– the prohibition on direct and indirect discrimination, the requirement not to victimise individuals who bring a discrimination claim, and so on - </w:t>
      </w:r>
      <w:r w:rsidR="00547D59" w:rsidRPr="00DD55FF">
        <w:rPr>
          <w:sz w:val="24"/>
          <w:szCs w:val="24"/>
        </w:rPr>
        <w:t xml:space="preserve">are all instances of a single, comprehensive duty which </w:t>
      </w:r>
      <w:r w:rsidR="003447A7" w:rsidRPr="00DD55FF">
        <w:rPr>
          <w:sz w:val="24"/>
          <w:szCs w:val="24"/>
        </w:rPr>
        <w:t xml:space="preserve">requires </w:t>
      </w:r>
      <w:r w:rsidR="008E470E" w:rsidRPr="00DD55FF">
        <w:rPr>
          <w:sz w:val="24"/>
          <w:szCs w:val="24"/>
        </w:rPr>
        <w:t>the persons to whom it applies</w:t>
      </w:r>
      <w:r w:rsidR="003447A7" w:rsidRPr="00DD55FF">
        <w:rPr>
          <w:sz w:val="24"/>
          <w:szCs w:val="24"/>
        </w:rPr>
        <w:t xml:space="preserve"> to refrain from engaging in ‘wrongful and unjustified exacerbation of relative group disadvantage’.</w:t>
      </w:r>
      <w:r w:rsidR="00807BDD" w:rsidRPr="00DD55FF">
        <w:rPr>
          <w:rStyle w:val="FootnoteReference"/>
          <w:sz w:val="24"/>
          <w:szCs w:val="24"/>
        </w:rPr>
        <w:footnoteReference w:id="84"/>
      </w:r>
      <w:r w:rsidR="003447A7" w:rsidRPr="00DD55FF">
        <w:rPr>
          <w:b/>
          <w:sz w:val="24"/>
          <w:szCs w:val="24"/>
        </w:rPr>
        <w:t xml:space="preserve"> </w:t>
      </w:r>
      <w:r w:rsidR="00807BDD" w:rsidRPr="00DD55FF">
        <w:rPr>
          <w:sz w:val="24"/>
          <w:szCs w:val="24"/>
        </w:rPr>
        <w:t>A breach of this duty need not necessarily involve ‘fault’,</w:t>
      </w:r>
      <w:r w:rsidR="003447A7" w:rsidRPr="00DD55FF">
        <w:rPr>
          <w:sz w:val="24"/>
          <w:szCs w:val="24"/>
        </w:rPr>
        <w:t xml:space="preserve"> </w:t>
      </w:r>
      <w:r w:rsidR="00807BDD" w:rsidRPr="00DD55FF">
        <w:rPr>
          <w:sz w:val="24"/>
          <w:szCs w:val="24"/>
        </w:rPr>
        <w:t>in the sense of requiring a ‘bad’ state of mind</w:t>
      </w:r>
      <w:r w:rsidR="00BC0BDA" w:rsidRPr="00DD55FF">
        <w:rPr>
          <w:sz w:val="24"/>
          <w:szCs w:val="24"/>
        </w:rPr>
        <w:t xml:space="preserve"> – as the ‘lay understanding’ of discrimination generally assumes</w:t>
      </w:r>
      <w:r w:rsidR="00807BDD" w:rsidRPr="00DD55FF">
        <w:rPr>
          <w:sz w:val="24"/>
          <w:szCs w:val="24"/>
        </w:rPr>
        <w:t>.</w:t>
      </w:r>
      <w:r w:rsidR="00807BDD" w:rsidRPr="00DD55FF">
        <w:rPr>
          <w:rStyle w:val="FootnoteReference"/>
          <w:sz w:val="24"/>
          <w:szCs w:val="24"/>
        </w:rPr>
        <w:footnoteReference w:id="85"/>
      </w:r>
      <w:r w:rsidR="00807BDD" w:rsidRPr="00DD55FF">
        <w:rPr>
          <w:sz w:val="24"/>
          <w:szCs w:val="24"/>
        </w:rPr>
        <w:t xml:space="preserve"> </w:t>
      </w:r>
      <w:r w:rsidR="00957927" w:rsidRPr="00DD55FF">
        <w:rPr>
          <w:sz w:val="24"/>
          <w:szCs w:val="24"/>
        </w:rPr>
        <w:t>Instead, the duty is underpinned by a wider concept of wrongfulness, framed around an ‘effect-based’ understanding of discrimination</w:t>
      </w:r>
      <w:r w:rsidR="002D5EAD" w:rsidRPr="00DD55FF">
        <w:rPr>
          <w:sz w:val="24"/>
          <w:szCs w:val="24"/>
        </w:rPr>
        <w:t xml:space="preserve">: </w:t>
      </w:r>
      <w:r w:rsidR="001B3AF6">
        <w:rPr>
          <w:sz w:val="24"/>
          <w:szCs w:val="24"/>
        </w:rPr>
        <w:t xml:space="preserve">duty bearers will be </w:t>
      </w:r>
      <w:r w:rsidR="00957927" w:rsidRPr="00DD55FF">
        <w:rPr>
          <w:sz w:val="24"/>
          <w:szCs w:val="24"/>
        </w:rPr>
        <w:t xml:space="preserve">in breach </w:t>
      </w:r>
      <w:r w:rsidR="001B3AF6">
        <w:rPr>
          <w:sz w:val="24"/>
          <w:szCs w:val="24"/>
        </w:rPr>
        <w:t xml:space="preserve">of their obligations </w:t>
      </w:r>
      <w:r w:rsidR="00957927" w:rsidRPr="00DD55FF">
        <w:rPr>
          <w:sz w:val="24"/>
          <w:szCs w:val="24"/>
        </w:rPr>
        <w:t xml:space="preserve">if they act </w:t>
      </w:r>
      <w:r w:rsidR="00957927" w:rsidRPr="00DD55FF">
        <w:rPr>
          <w:sz w:val="24"/>
          <w:szCs w:val="24"/>
        </w:rPr>
        <w:lastRenderedPageBreak/>
        <w:t xml:space="preserve">in a manner that exacerbates group disadvantage </w:t>
      </w:r>
      <w:r w:rsidR="002D5EAD" w:rsidRPr="00DD55FF">
        <w:rPr>
          <w:sz w:val="24"/>
          <w:szCs w:val="24"/>
        </w:rPr>
        <w:t xml:space="preserve">without adequate justification or excusing circumstances. </w:t>
      </w:r>
    </w:p>
    <w:p w:rsidR="00D4056C" w:rsidRPr="00DD55FF" w:rsidRDefault="001B3AF6" w:rsidP="00524455">
      <w:pPr>
        <w:ind w:firstLine="720"/>
        <w:jc w:val="both"/>
        <w:rPr>
          <w:sz w:val="24"/>
          <w:szCs w:val="24"/>
        </w:rPr>
      </w:pPr>
      <w:proofErr w:type="spellStart"/>
      <w:r>
        <w:rPr>
          <w:sz w:val="24"/>
          <w:szCs w:val="24"/>
        </w:rPr>
        <w:t>Khaitan</w:t>
      </w:r>
      <w:proofErr w:type="spellEnd"/>
      <w:r>
        <w:rPr>
          <w:sz w:val="24"/>
          <w:szCs w:val="24"/>
        </w:rPr>
        <w:t xml:space="preserve"> justifies the manner in which </w:t>
      </w:r>
      <w:r w:rsidR="00F16276">
        <w:rPr>
          <w:sz w:val="24"/>
          <w:szCs w:val="24"/>
        </w:rPr>
        <w:t xml:space="preserve">this general non-discrimination duty is built around an </w:t>
      </w:r>
      <w:r>
        <w:rPr>
          <w:sz w:val="24"/>
          <w:szCs w:val="24"/>
        </w:rPr>
        <w:t xml:space="preserve">‘effects-based’ </w:t>
      </w:r>
      <w:r w:rsidR="00F16276">
        <w:rPr>
          <w:sz w:val="24"/>
          <w:szCs w:val="24"/>
        </w:rPr>
        <w:t xml:space="preserve">rather than a fault-based </w:t>
      </w:r>
      <w:r>
        <w:rPr>
          <w:sz w:val="24"/>
          <w:szCs w:val="24"/>
        </w:rPr>
        <w:t>understanding of discrimination by</w:t>
      </w:r>
      <w:r w:rsidR="00F16276">
        <w:rPr>
          <w:sz w:val="24"/>
          <w:szCs w:val="24"/>
        </w:rPr>
        <w:t xml:space="preserve"> reference to </w:t>
      </w:r>
      <w:r w:rsidR="007226EF">
        <w:rPr>
          <w:sz w:val="24"/>
          <w:szCs w:val="24"/>
        </w:rPr>
        <w:t xml:space="preserve">the need to combat relative group disadvantage. He </w:t>
      </w:r>
      <w:r w:rsidR="00F34DB6">
        <w:rPr>
          <w:sz w:val="24"/>
          <w:szCs w:val="24"/>
        </w:rPr>
        <w:t xml:space="preserve">furthermore suggests </w:t>
      </w:r>
      <w:r w:rsidR="00D4056C" w:rsidRPr="00DD55FF">
        <w:rPr>
          <w:sz w:val="24"/>
          <w:szCs w:val="24"/>
        </w:rPr>
        <w:t xml:space="preserve">the possibility of justifying indirect discrimination, along with other </w:t>
      </w:r>
      <w:r w:rsidR="007226EF">
        <w:rPr>
          <w:sz w:val="24"/>
          <w:szCs w:val="24"/>
        </w:rPr>
        <w:t xml:space="preserve">statutory </w:t>
      </w:r>
      <w:r w:rsidR="00D4056C" w:rsidRPr="00DD55FF">
        <w:rPr>
          <w:sz w:val="24"/>
          <w:szCs w:val="24"/>
        </w:rPr>
        <w:t>limitations on the reach of the prohibition on exacerbating group disadvantage, takes account of other potentially competing interests and ensures this non-discrimination duty is ‘not too demanding’.</w:t>
      </w:r>
      <w:r w:rsidR="00D4056C" w:rsidRPr="00DD55FF">
        <w:rPr>
          <w:sz w:val="24"/>
          <w:szCs w:val="24"/>
          <w:vertAlign w:val="superscript"/>
        </w:rPr>
        <w:footnoteReference w:id="86"/>
      </w:r>
      <w:r w:rsidR="00D4056C" w:rsidRPr="00DD55FF">
        <w:rPr>
          <w:sz w:val="24"/>
          <w:szCs w:val="24"/>
        </w:rPr>
        <w:t xml:space="preserve"> </w:t>
      </w:r>
      <w:r w:rsidR="00121B43">
        <w:rPr>
          <w:sz w:val="24"/>
          <w:szCs w:val="24"/>
        </w:rPr>
        <w:t>H</w:t>
      </w:r>
      <w:r w:rsidR="00D4056C" w:rsidRPr="00DD55FF">
        <w:rPr>
          <w:sz w:val="24"/>
          <w:szCs w:val="24"/>
        </w:rPr>
        <w:t xml:space="preserve">e </w:t>
      </w:r>
      <w:r w:rsidR="00121B43">
        <w:rPr>
          <w:sz w:val="24"/>
          <w:szCs w:val="24"/>
        </w:rPr>
        <w:t xml:space="preserve">also </w:t>
      </w:r>
      <w:r w:rsidR="007226EF">
        <w:rPr>
          <w:sz w:val="24"/>
          <w:szCs w:val="24"/>
        </w:rPr>
        <w:t xml:space="preserve">notes that </w:t>
      </w:r>
      <w:r w:rsidR="00D4056C" w:rsidRPr="00DD55FF">
        <w:rPr>
          <w:sz w:val="24"/>
          <w:szCs w:val="24"/>
        </w:rPr>
        <w:t xml:space="preserve">this duty </w:t>
      </w:r>
      <w:r w:rsidR="007226EF">
        <w:rPr>
          <w:sz w:val="24"/>
          <w:szCs w:val="24"/>
        </w:rPr>
        <w:t xml:space="preserve">is ‘selectively’ </w:t>
      </w:r>
      <w:r w:rsidR="00D4056C" w:rsidRPr="00DD55FF">
        <w:rPr>
          <w:sz w:val="24"/>
          <w:szCs w:val="24"/>
        </w:rPr>
        <w:t xml:space="preserve">imposed </w:t>
      </w:r>
      <w:r w:rsidR="007226EF">
        <w:rPr>
          <w:sz w:val="24"/>
          <w:szCs w:val="24"/>
        </w:rPr>
        <w:t>on duty-bearers</w:t>
      </w:r>
      <w:r w:rsidR="00D4056C" w:rsidRPr="00DD55FF">
        <w:rPr>
          <w:sz w:val="24"/>
          <w:szCs w:val="24"/>
        </w:rPr>
        <w:t xml:space="preserve"> defined by reference to their ‘significant ability to affect…access to basic needs’ and the ‘public character’ of their activity</w:t>
      </w:r>
      <w:r w:rsidR="007226EF">
        <w:rPr>
          <w:sz w:val="24"/>
          <w:szCs w:val="24"/>
        </w:rPr>
        <w:t>,</w:t>
      </w:r>
      <w:r w:rsidR="00D4056C" w:rsidRPr="00DD55FF">
        <w:rPr>
          <w:sz w:val="24"/>
          <w:szCs w:val="24"/>
          <w:vertAlign w:val="superscript"/>
        </w:rPr>
        <w:footnoteReference w:id="87"/>
      </w:r>
      <w:r w:rsidR="00D4056C" w:rsidRPr="00DD55FF">
        <w:rPr>
          <w:sz w:val="24"/>
          <w:szCs w:val="24"/>
        </w:rPr>
        <w:t xml:space="preserve"> </w:t>
      </w:r>
      <w:r w:rsidR="007226EF">
        <w:rPr>
          <w:sz w:val="24"/>
          <w:szCs w:val="24"/>
        </w:rPr>
        <w:t xml:space="preserve">and argues that </w:t>
      </w:r>
      <w:r w:rsidR="00D4056C" w:rsidRPr="00DD55FF">
        <w:rPr>
          <w:sz w:val="24"/>
          <w:szCs w:val="24"/>
        </w:rPr>
        <w:t xml:space="preserve">this careful delineation of who qualifies as a duty bearer </w:t>
      </w:r>
      <w:r w:rsidR="00D34E37" w:rsidRPr="00DD55FF">
        <w:rPr>
          <w:sz w:val="24"/>
          <w:szCs w:val="24"/>
        </w:rPr>
        <w:t xml:space="preserve">again </w:t>
      </w:r>
      <w:r w:rsidR="007226EF">
        <w:rPr>
          <w:sz w:val="24"/>
          <w:szCs w:val="24"/>
        </w:rPr>
        <w:t>helps to dilute</w:t>
      </w:r>
      <w:r w:rsidR="00D4056C" w:rsidRPr="00DD55FF">
        <w:rPr>
          <w:sz w:val="24"/>
          <w:szCs w:val="24"/>
        </w:rPr>
        <w:t xml:space="preserve"> ‘the demandingness of the duty’.</w:t>
      </w:r>
      <w:r w:rsidR="00D4056C" w:rsidRPr="00DD55FF">
        <w:rPr>
          <w:sz w:val="24"/>
          <w:szCs w:val="24"/>
          <w:vertAlign w:val="superscript"/>
        </w:rPr>
        <w:footnoteReference w:id="88"/>
      </w:r>
    </w:p>
    <w:p w:rsidR="00AA11E2" w:rsidRDefault="00867B4C" w:rsidP="00AA11E2">
      <w:pPr>
        <w:ind w:firstLine="720"/>
        <w:jc w:val="both"/>
        <w:rPr>
          <w:sz w:val="24"/>
          <w:szCs w:val="24"/>
        </w:rPr>
      </w:pPr>
      <w:proofErr w:type="spellStart"/>
      <w:r w:rsidRPr="00DD55FF">
        <w:rPr>
          <w:sz w:val="24"/>
          <w:szCs w:val="24"/>
        </w:rPr>
        <w:t>Khaitan</w:t>
      </w:r>
      <w:proofErr w:type="spellEnd"/>
      <w:r w:rsidR="00121B43">
        <w:rPr>
          <w:sz w:val="24"/>
          <w:szCs w:val="24"/>
        </w:rPr>
        <w:t xml:space="preserve"> </w:t>
      </w:r>
      <w:r w:rsidR="00103E31">
        <w:rPr>
          <w:sz w:val="24"/>
          <w:szCs w:val="24"/>
        </w:rPr>
        <w:t xml:space="preserve">then </w:t>
      </w:r>
      <w:r w:rsidR="00BE37FD" w:rsidRPr="00DD55FF">
        <w:rPr>
          <w:sz w:val="24"/>
          <w:szCs w:val="24"/>
        </w:rPr>
        <w:t xml:space="preserve">suggests </w:t>
      </w:r>
      <w:r w:rsidR="00816359" w:rsidRPr="00DD55FF">
        <w:rPr>
          <w:sz w:val="24"/>
          <w:szCs w:val="24"/>
        </w:rPr>
        <w:t xml:space="preserve">that the justificatory logic underpinning </w:t>
      </w:r>
      <w:r w:rsidR="007226EF">
        <w:rPr>
          <w:sz w:val="24"/>
          <w:szCs w:val="24"/>
        </w:rPr>
        <w:t xml:space="preserve">this general </w:t>
      </w:r>
      <w:r w:rsidR="002A7EF6">
        <w:rPr>
          <w:sz w:val="24"/>
          <w:szCs w:val="24"/>
        </w:rPr>
        <w:t xml:space="preserve">non-discrimination duty </w:t>
      </w:r>
      <w:r w:rsidR="007226EF">
        <w:rPr>
          <w:sz w:val="24"/>
          <w:szCs w:val="24"/>
        </w:rPr>
        <w:t xml:space="preserve">also </w:t>
      </w:r>
      <w:r w:rsidR="00816359" w:rsidRPr="00DD55FF">
        <w:rPr>
          <w:sz w:val="24"/>
          <w:szCs w:val="24"/>
        </w:rPr>
        <w:t>supports its extension to cover intersectional forms of discrimination</w:t>
      </w:r>
      <w:r w:rsidR="00A94A3A" w:rsidRPr="00DD55FF">
        <w:rPr>
          <w:sz w:val="24"/>
          <w:szCs w:val="24"/>
        </w:rPr>
        <w:t>,</w:t>
      </w:r>
      <w:r w:rsidR="00816359" w:rsidRPr="00DD55FF">
        <w:rPr>
          <w:sz w:val="24"/>
          <w:szCs w:val="24"/>
        </w:rPr>
        <w:t xml:space="preserve"> </w:t>
      </w:r>
      <w:r w:rsidR="002A7EF6">
        <w:rPr>
          <w:sz w:val="24"/>
          <w:szCs w:val="24"/>
        </w:rPr>
        <w:t>on the basis that it would enhance the capacity of discrimination law to combat g</w:t>
      </w:r>
      <w:r w:rsidR="00A94A3A" w:rsidRPr="00DD55FF">
        <w:rPr>
          <w:sz w:val="24"/>
          <w:szCs w:val="24"/>
        </w:rPr>
        <w:t>roup disadvantage.</w:t>
      </w:r>
      <w:r w:rsidR="00F21F91" w:rsidRPr="00DD55FF">
        <w:rPr>
          <w:rStyle w:val="FootnoteReference"/>
          <w:sz w:val="24"/>
          <w:szCs w:val="24"/>
        </w:rPr>
        <w:footnoteReference w:id="89"/>
      </w:r>
      <w:r w:rsidR="008616D9" w:rsidRPr="00DD55FF">
        <w:rPr>
          <w:sz w:val="24"/>
          <w:szCs w:val="24"/>
        </w:rPr>
        <w:t xml:space="preserve"> As he argues in the final substantive chapter of this book</w:t>
      </w:r>
      <w:r w:rsidR="00D34E37" w:rsidRPr="00DD55FF">
        <w:rPr>
          <w:sz w:val="24"/>
          <w:szCs w:val="24"/>
        </w:rPr>
        <w:t>,</w:t>
      </w:r>
      <w:r w:rsidR="008616D9" w:rsidRPr="00DD55FF">
        <w:rPr>
          <w:sz w:val="24"/>
          <w:szCs w:val="24"/>
        </w:rPr>
        <w:t xml:space="preserve"> this logic </w:t>
      </w:r>
      <w:r w:rsidR="00A94A3A" w:rsidRPr="00DD55FF">
        <w:rPr>
          <w:sz w:val="24"/>
          <w:szCs w:val="24"/>
        </w:rPr>
        <w:t>also supports the use of positive action measures</w:t>
      </w:r>
      <w:r w:rsidR="00DD67A3" w:rsidRPr="00DD55FF">
        <w:rPr>
          <w:sz w:val="24"/>
          <w:szCs w:val="24"/>
        </w:rPr>
        <w:t xml:space="preserve"> designed to benefit members of one</w:t>
      </w:r>
      <w:r w:rsidR="00D34E37" w:rsidRPr="00DD55FF">
        <w:rPr>
          <w:sz w:val="24"/>
          <w:szCs w:val="24"/>
        </w:rPr>
        <w:t xml:space="preserve"> or more disadvantaged groups - i</w:t>
      </w:r>
      <w:r w:rsidR="00DD67A3" w:rsidRPr="00DD55FF">
        <w:rPr>
          <w:sz w:val="24"/>
          <w:szCs w:val="24"/>
        </w:rPr>
        <w:t>f such measures are appropriately designed, regularly reviewed and suitabl</w:t>
      </w:r>
      <w:r w:rsidRPr="00DD55FF">
        <w:rPr>
          <w:sz w:val="24"/>
          <w:szCs w:val="24"/>
        </w:rPr>
        <w:t>y limited in scope</w:t>
      </w:r>
      <w:r w:rsidR="008616D9" w:rsidRPr="00DD55FF">
        <w:rPr>
          <w:sz w:val="24"/>
          <w:szCs w:val="24"/>
        </w:rPr>
        <w:t>.</w:t>
      </w:r>
    </w:p>
    <w:p w:rsidR="00867B4C" w:rsidRPr="00DD55FF" w:rsidRDefault="008616D9" w:rsidP="00AA11E2">
      <w:pPr>
        <w:ind w:firstLine="720"/>
        <w:jc w:val="both"/>
        <w:rPr>
          <w:sz w:val="24"/>
          <w:szCs w:val="24"/>
        </w:rPr>
      </w:pPr>
      <w:r w:rsidRPr="00DD55FF">
        <w:rPr>
          <w:sz w:val="24"/>
          <w:szCs w:val="24"/>
        </w:rPr>
        <w:t xml:space="preserve"> </w:t>
      </w:r>
      <w:r w:rsidR="006D4EE4" w:rsidRPr="00DD55FF">
        <w:rPr>
          <w:sz w:val="24"/>
          <w:szCs w:val="24"/>
        </w:rPr>
        <w:t xml:space="preserve"> </w:t>
      </w:r>
      <w:r w:rsidR="00867B4C" w:rsidRPr="00DD55FF">
        <w:rPr>
          <w:sz w:val="24"/>
          <w:szCs w:val="24"/>
        </w:rPr>
        <w:t xml:space="preserve"> </w:t>
      </w:r>
    </w:p>
    <w:p w:rsidR="00670BF4" w:rsidRPr="00AA11E2" w:rsidRDefault="001A395D" w:rsidP="00AA11E2">
      <w:pPr>
        <w:jc w:val="center"/>
        <w:rPr>
          <w:i/>
          <w:sz w:val="28"/>
          <w:szCs w:val="28"/>
        </w:rPr>
      </w:pPr>
      <w:r w:rsidRPr="00AA11E2">
        <w:rPr>
          <w:sz w:val="28"/>
          <w:szCs w:val="28"/>
        </w:rPr>
        <w:t>8.</w:t>
      </w:r>
      <w:r w:rsidRPr="00AA11E2">
        <w:rPr>
          <w:i/>
          <w:sz w:val="28"/>
          <w:szCs w:val="28"/>
        </w:rPr>
        <w:t xml:space="preserve"> </w:t>
      </w:r>
      <w:r w:rsidR="00670BF4" w:rsidRPr="00AA11E2">
        <w:rPr>
          <w:i/>
          <w:sz w:val="28"/>
          <w:szCs w:val="28"/>
        </w:rPr>
        <w:t xml:space="preserve">The Strengths and Limits of </w:t>
      </w:r>
      <w:proofErr w:type="spellStart"/>
      <w:r w:rsidR="00670BF4" w:rsidRPr="00AA11E2">
        <w:rPr>
          <w:i/>
          <w:sz w:val="28"/>
          <w:szCs w:val="28"/>
        </w:rPr>
        <w:t>Khaitan’s</w:t>
      </w:r>
      <w:proofErr w:type="spellEnd"/>
      <w:r w:rsidR="00670BF4" w:rsidRPr="00AA11E2">
        <w:rPr>
          <w:i/>
          <w:sz w:val="28"/>
          <w:szCs w:val="28"/>
        </w:rPr>
        <w:t xml:space="preserve"> Normative Analysis</w:t>
      </w:r>
    </w:p>
    <w:p w:rsidR="002A7EF6" w:rsidRDefault="00524488" w:rsidP="00DD55FF">
      <w:pPr>
        <w:jc w:val="both"/>
        <w:rPr>
          <w:sz w:val="24"/>
          <w:szCs w:val="24"/>
        </w:rPr>
      </w:pPr>
      <w:r w:rsidRPr="00DD55FF">
        <w:rPr>
          <w:sz w:val="24"/>
          <w:szCs w:val="24"/>
        </w:rPr>
        <w:t xml:space="preserve">There is much to admire in </w:t>
      </w:r>
      <w:proofErr w:type="spellStart"/>
      <w:r w:rsidRPr="00DD55FF">
        <w:rPr>
          <w:sz w:val="24"/>
          <w:szCs w:val="24"/>
        </w:rPr>
        <w:t>Khaitan’s</w:t>
      </w:r>
      <w:proofErr w:type="spellEnd"/>
      <w:r w:rsidRPr="00DD55FF">
        <w:rPr>
          <w:sz w:val="24"/>
          <w:szCs w:val="24"/>
        </w:rPr>
        <w:t xml:space="preserve"> normative argument. He makes a </w:t>
      </w:r>
      <w:r w:rsidR="00B20DB8" w:rsidRPr="00DD55FF">
        <w:rPr>
          <w:sz w:val="24"/>
          <w:szCs w:val="24"/>
        </w:rPr>
        <w:t xml:space="preserve">compelling </w:t>
      </w:r>
      <w:r w:rsidRPr="00DD55FF">
        <w:rPr>
          <w:sz w:val="24"/>
          <w:szCs w:val="24"/>
        </w:rPr>
        <w:t xml:space="preserve">case as to why </w:t>
      </w:r>
      <w:r w:rsidR="00FA6BC2" w:rsidRPr="00DD55FF">
        <w:rPr>
          <w:sz w:val="24"/>
          <w:szCs w:val="24"/>
        </w:rPr>
        <w:t>‘disadvantage acquires a special character when it attaches itself to groups rather than when it is distributed randomly to individuals across all groups’,</w:t>
      </w:r>
      <w:r w:rsidR="00050CB3">
        <w:rPr>
          <w:rStyle w:val="FootnoteReference"/>
          <w:sz w:val="24"/>
          <w:szCs w:val="24"/>
        </w:rPr>
        <w:footnoteReference w:id="90"/>
      </w:r>
      <w:r w:rsidR="00FA6BC2" w:rsidRPr="00DD55FF">
        <w:rPr>
          <w:sz w:val="24"/>
          <w:szCs w:val="24"/>
        </w:rPr>
        <w:t xml:space="preserve"> and </w:t>
      </w:r>
      <w:r w:rsidRPr="00DD55FF">
        <w:rPr>
          <w:sz w:val="24"/>
          <w:szCs w:val="24"/>
        </w:rPr>
        <w:t xml:space="preserve">why a </w:t>
      </w:r>
      <w:r w:rsidR="00DC6079" w:rsidRPr="00DD55FF">
        <w:rPr>
          <w:sz w:val="24"/>
          <w:szCs w:val="24"/>
        </w:rPr>
        <w:t xml:space="preserve">strong </w:t>
      </w:r>
      <w:r w:rsidRPr="00DD55FF">
        <w:rPr>
          <w:sz w:val="24"/>
          <w:szCs w:val="24"/>
        </w:rPr>
        <w:t xml:space="preserve">moral case exists </w:t>
      </w:r>
      <w:r w:rsidR="00DC6079" w:rsidRPr="00DD55FF">
        <w:rPr>
          <w:sz w:val="24"/>
          <w:szCs w:val="24"/>
        </w:rPr>
        <w:t>as to why law should p</w:t>
      </w:r>
      <w:r w:rsidRPr="00DD55FF">
        <w:rPr>
          <w:sz w:val="24"/>
          <w:szCs w:val="24"/>
        </w:rPr>
        <w:t>rotect the interests of individuals not to be subject to disadvantage on account of their membership of groups defined by ‘norm</w:t>
      </w:r>
      <w:r w:rsidR="002A7EF6">
        <w:rPr>
          <w:sz w:val="24"/>
          <w:szCs w:val="24"/>
        </w:rPr>
        <w:t xml:space="preserve">atively irrelevant’ criteria. </w:t>
      </w:r>
    </w:p>
    <w:p w:rsidR="005B1A62" w:rsidRPr="00DD55FF" w:rsidRDefault="002A7EF6" w:rsidP="002A7EF6">
      <w:pPr>
        <w:ind w:firstLine="720"/>
        <w:jc w:val="both"/>
        <w:rPr>
          <w:sz w:val="24"/>
          <w:szCs w:val="24"/>
        </w:rPr>
      </w:pPr>
      <w:proofErr w:type="spellStart"/>
      <w:r>
        <w:rPr>
          <w:sz w:val="24"/>
          <w:szCs w:val="24"/>
        </w:rPr>
        <w:t>Khaitan</w:t>
      </w:r>
      <w:proofErr w:type="spellEnd"/>
      <w:r w:rsidR="00524488" w:rsidRPr="00DD55FF">
        <w:rPr>
          <w:sz w:val="24"/>
          <w:szCs w:val="24"/>
        </w:rPr>
        <w:t xml:space="preserve"> is </w:t>
      </w:r>
      <w:r w:rsidR="006733D3" w:rsidRPr="00DD55FF">
        <w:rPr>
          <w:sz w:val="24"/>
          <w:szCs w:val="24"/>
        </w:rPr>
        <w:t xml:space="preserve">by no means </w:t>
      </w:r>
      <w:r w:rsidR="00524488" w:rsidRPr="00DD55FF">
        <w:rPr>
          <w:sz w:val="24"/>
          <w:szCs w:val="24"/>
        </w:rPr>
        <w:t xml:space="preserve">the first commentator to </w:t>
      </w:r>
      <w:r w:rsidR="00BD3D04" w:rsidRPr="00DD55FF">
        <w:rPr>
          <w:sz w:val="24"/>
          <w:szCs w:val="24"/>
        </w:rPr>
        <w:t xml:space="preserve">make the case as to why </w:t>
      </w:r>
      <w:r w:rsidR="00524488" w:rsidRPr="00DD55FF">
        <w:rPr>
          <w:sz w:val="24"/>
          <w:szCs w:val="24"/>
        </w:rPr>
        <w:t xml:space="preserve">group disadvantage </w:t>
      </w:r>
      <w:r w:rsidR="00BD3D04" w:rsidRPr="00DD55FF">
        <w:rPr>
          <w:sz w:val="24"/>
          <w:szCs w:val="24"/>
        </w:rPr>
        <w:t xml:space="preserve">should be viewed as </w:t>
      </w:r>
      <w:r w:rsidR="00524488" w:rsidRPr="00DD55FF">
        <w:rPr>
          <w:sz w:val="24"/>
          <w:szCs w:val="24"/>
        </w:rPr>
        <w:t>a core concern of discrimination law</w:t>
      </w:r>
      <w:r w:rsidR="006733D3" w:rsidRPr="00DD55FF">
        <w:rPr>
          <w:sz w:val="24"/>
          <w:szCs w:val="24"/>
        </w:rPr>
        <w:t xml:space="preserve">: indeed, </w:t>
      </w:r>
      <w:r>
        <w:rPr>
          <w:sz w:val="24"/>
          <w:szCs w:val="24"/>
        </w:rPr>
        <w:t xml:space="preserve">his </w:t>
      </w:r>
      <w:r w:rsidR="006733D3" w:rsidRPr="00DD55FF">
        <w:rPr>
          <w:sz w:val="24"/>
          <w:szCs w:val="24"/>
        </w:rPr>
        <w:t>analysis might have benefited</w:t>
      </w:r>
      <w:r w:rsidR="000E009F" w:rsidRPr="00DD55FF">
        <w:rPr>
          <w:sz w:val="24"/>
          <w:szCs w:val="24"/>
        </w:rPr>
        <w:t xml:space="preserve"> from more discussion as to how </w:t>
      </w:r>
      <w:r w:rsidR="006733D3" w:rsidRPr="00DD55FF">
        <w:rPr>
          <w:sz w:val="24"/>
          <w:szCs w:val="24"/>
        </w:rPr>
        <w:t>it relates to the work of other authors who have put forward a similar analysis</w:t>
      </w:r>
      <w:r w:rsidR="00E75A3F" w:rsidRPr="00DD55FF">
        <w:rPr>
          <w:sz w:val="24"/>
          <w:szCs w:val="24"/>
        </w:rPr>
        <w:t xml:space="preserve"> (albeit predominantly from an egalitarian perspective)</w:t>
      </w:r>
      <w:r w:rsidR="006733D3" w:rsidRPr="00DD55FF">
        <w:rPr>
          <w:sz w:val="24"/>
          <w:szCs w:val="24"/>
        </w:rPr>
        <w:t>.</w:t>
      </w:r>
      <w:r w:rsidR="008C26A6" w:rsidRPr="00DD55FF">
        <w:rPr>
          <w:rStyle w:val="FootnoteReference"/>
          <w:sz w:val="24"/>
          <w:szCs w:val="24"/>
        </w:rPr>
        <w:footnoteReference w:id="91"/>
      </w:r>
      <w:r w:rsidR="00524488" w:rsidRPr="00DD55FF">
        <w:rPr>
          <w:sz w:val="24"/>
          <w:szCs w:val="24"/>
        </w:rPr>
        <w:t xml:space="preserve"> However, </w:t>
      </w:r>
      <w:r w:rsidR="00D4411F" w:rsidRPr="00DD55FF">
        <w:rPr>
          <w:sz w:val="24"/>
          <w:szCs w:val="24"/>
        </w:rPr>
        <w:t>he ma</w:t>
      </w:r>
      <w:r w:rsidR="00A516CF" w:rsidRPr="00DD55FF">
        <w:rPr>
          <w:sz w:val="24"/>
          <w:szCs w:val="24"/>
        </w:rPr>
        <w:t xml:space="preserve">kes an original contribution by </w:t>
      </w:r>
      <w:r w:rsidR="006733D3" w:rsidRPr="00DD55FF">
        <w:rPr>
          <w:sz w:val="24"/>
          <w:szCs w:val="24"/>
        </w:rPr>
        <w:t xml:space="preserve">developing a detailed </w:t>
      </w:r>
      <w:r w:rsidR="006733D3" w:rsidRPr="00DD55FF">
        <w:rPr>
          <w:sz w:val="24"/>
          <w:szCs w:val="24"/>
        </w:rPr>
        <w:lastRenderedPageBreak/>
        <w:t xml:space="preserve">argument as to how </w:t>
      </w:r>
      <w:r w:rsidR="00D4411F" w:rsidRPr="00DD55FF">
        <w:rPr>
          <w:sz w:val="24"/>
          <w:szCs w:val="24"/>
        </w:rPr>
        <w:t>combating group disadvantage enhances individual freed</w:t>
      </w:r>
      <w:r w:rsidR="00C245D7" w:rsidRPr="00DD55FF">
        <w:rPr>
          <w:sz w:val="24"/>
          <w:szCs w:val="24"/>
        </w:rPr>
        <w:t xml:space="preserve">om - and thereby fills a gap in much of the existing conceptual literature written from a liberal perspective, which has </w:t>
      </w:r>
      <w:r w:rsidR="001D4CA5" w:rsidRPr="00DD55FF">
        <w:rPr>
          <w:sz w:val="24"/>
          <w:szCs w:val="24"/>
        </w:rPr>
        <w:t>by and large n</w:t>
      </w:r>
      <w:r w:rsidR="00C245D7" w:rsidRPr="00DD55FF">
        <w:rPr>
          <w:sz w:val="24"/>
          <w:szCs w:val="24"/>
        </w:rPr>
        <w:t>eglect</w:t>
      </w:r>
      <w:r w:rsidR="001D4CA5" w:rsidRPr="00DD55FF">
        <w:rPr>
          <w:sz w:val="24"/>
          <w:szCs w:val="24"/>
        </w:rPr>
        <w:t>ed</w:t>
      </w:r>
      <w:r w:rsidR="00C245D7" w:rsidRPr="00DD55FF">
        <w:rPr>
          <w:sz w:val="24"/>
          <w:szCs w:val="24"/>
        </w:rPr>
        <w:t xml:space="preserve"> </w:t>
      </w:r>
      <w:r w:rsidR="00C936E7" w:rsidRPr="00DD55FF">
        <w:rPr>
          <w:sz w:val="24"/>
          <w:szCs w:val="24"/>
        </w:rPr>
        <w:t xml:space="preserve">or downplayed </w:t>
      </w:r>
      <w:r w:rsidR="00C245D7" w:rsidRPr="00DD55FF">
        <w:rPr>
          <w:sz w:val="24"/>
          <w:szCs w:val="24"/>
        </w:rPr>
        <w:t>this group dimension.</w:t>
      </w:r>
      <w:r w:rsidR="00E75A3F" w:rsidRPr="00DD55FF">
        <w:rPr>
          <w:rStyle w:val="FootnoteReference"/>
          <w:sz w:val="24"/>
          <w:szCs w:val="24"/>
        </w:rPr>
        <w:footnoteReference w:id="92"/>
      </w:r>
      <w:r w:rsidR="00E75A3F" w:rsidRPr="00DD55FF">
        <w:rPr>
          <w:sz w:val="24"/>
          <w:szCs w:val="24"/>
        </w:rPr>
        <w:t xml:space="preserve"> </w:t>
      </w:r>
    </w:p>
    <w:p w:rsidR="0009488C" w:rsidRPr="00DD55FF" w:rsidRDefault="001D4CA5" w:rsidP="00AA11E2">
      <w:pPr>
        <w:ind w:firstLine="720"/>
        <w:jc w:val="both"/>
        <w:rPr>
          <w:sz w:val="24"/>
          <w:szCs w:val="24"/>
        </w:rPr>
      </w:pPr>
      <w:proofErr w:type="spellStart"/>
      <w:r w:rsidRPr="00DD55FF">
        <w:rPr>
          <w:sz w:val="24"/>
          <w:szCs w:val="24"/>
        </w:rPr>
        <w:t>Khaitan</w:t>
      </w:r>
      <w:proofErr w:type="spellEnd"/>
      <w:r w:rsidRPr="00DD55FF">
        <w:rPr>
          <w:sz w:val="24"/>
          <w:szCs w:val="24"/>
        </w:rPr>
        <w:t xml:space="preserve"> also d</w:t>
      </w:r>
      <w:r w:rsidR="00D4411F" w:rsidRPr="00DD55FF">
        <w:rPr>
          <w:sz w:val="24"/>
          <w:szCs w:val="24"/>
        </w:rPr>
        <w:t>oes a comprehensive job in demonstrating t</w:t>
      </w:r>
      <w:r w:rsidR="00233AFD" w:rsidRPr="00DD55FF">
        <w:rPr>
          <w:sz w:val="24"/>
          <w:szCs w:val="24"/>
        </w:rPr>
        <w:t>he limitations</w:t>
      </w:r>
      <w:r w:rsidR="00467EBA" w:rsidRPr="00DD55FF">
        <w:rPr>
          <w:sz w:val="24"/>
          <w:szCs w:val="24"/>
        </w:rPr>
        <w:t xml:space="preserve"> of </w:t>
      </w:r>
      <w:r w:rsidR="00D4411F" w:rsidRPr="00DD55FF">
        <w:rPr>
          <w:sz w:val="24"/>
          <w:szCs w:val="24"/>
        </w:rPr>
        <w:t xml:space="preserve">alternative </w:t>
      </w:r>
      <w:r w:rsidR="00467EBA" w:rsidRPr="00DD55FF">
        <w:rPr>
          <w:sz w:val="24"/>
          <w:szCs w:val="24"/>
        </w:rPr>
        <w:t>attempts to identify the normative foundations of discrimination law</w:t>
      </w:r>
      <w:r w:rsidR="00DD5ECA" w:rsidRPr="00DD55FF">
        <w:rPr>
          <w:sz w:val="24"/>
          <w:szCs w:val="24"/>
        </w:rPr>
        <w:t>. H</w:t>
      </w:r>
      <w:r w:rsidR="00C71E2C" w:rsidRPr="00DD55FF">
        <w:rPr>
          <w:sz w:val="24"/>
          <w:szCs w:val="24"/>
        </w:rPr>
        <w:t xml:space="preserve">is analysis of the shortcomings of </w:t>
      </w:r>
      <w:r w:rsidR="00F244CC" w:rsidRPr="00DD55FF">
        <w:rPr>
          <w:sz w:val="24"/>
          <w:szCs w:val="24"/>
        </w:rPr>
        <w:t xml:space="preserve">theories that </w:t>
      </w:r>
      <w:r w:rsidR="00467EBA" w:rsidRPr="00DD55FF">
        <w:rPr>
          <w:sz w:val="24"/>
          <w:szCs w:val="24"/>
        </w:rPr>
        <w:t xml:space="preserve">cling to the ‘lay understanding’ of </w:t>
      </w:r>
      <w:r w:rsidR="00233AFD" w:rsidRPr="00DD55FF">
        <w:rPr>
          <w:sz w:val="24"/>
          <w:szCs w:val="24"/>
        </w:rPr>
        <w:t>what constitutes discrimination</w:t>
      </w:r>
      <w:r w:rsidR="00C71E2C" w:rsidRPr="00DD55FF">
        <w:rPr>
          <w:sz w:val="24"/>
          <w:szCs w:val="24"/>
        </w:rPr>
        <w:t xml:space="preserve">, thereby </w:t>
      </w:r>
      <w:r w:rsidR="003F10D5" w:rsidRPr="00DD55FF">
        <w:rPr>
          <w:sz w:val="24"/>
          <w:szCs w:val="24"/>
        </w:rPr>
        <w:t>lock</w:t>
      </w:r>
      <w:r w:rsidR="00C71E2C" w:rsidRPr="00DD55FF">
        <w:rPr>
          <w:sz w:val="24"/>
          <w:szCs w:val="24"/>
        </w:rPr>
        <w:t>ing</w:t>
      </w:r>
      <w:r w:rsidR="003F10D5" w:rsidRPr="00DD55FF">
        <w:rPr>
          <w:sz w:val="24"/>
          <w:szCs w:val="24"/>
        </w:rPr>
        <w:t xml:space="preserve"> themselves into a cripplingly narrow </w:t>
      </w:r>
      <w:r w:rsidR="004F25EC" w:rsidRPr="00DD55FF">
        <w:rPr>
          <w:sz w:val="24"/>
          <w:szCs w:val="24"/>
        </w:rPr>
        <w:t>conceptual approach</w:t>
      </w:r>
      <w:r w:rsidR="00C71E2C" w:rsidRPr="00DD55FF">
        <w:rPr>
          <w:sz w:val="24"/>
          <w:szCs w:val="24"/>
        </w:rPr>
        <w:t>, is particularly on point</w:t>
      </w:r>
      <w:r w:rsidR="004F25EC" w:rsidRPr="00DD55FF">
        <w:rPr>
          <w:sz w:val="24"/>
          <w:szCs w:val="24"/>
        </w:rPr>
        <w:t>.</w:t>
      </w:r>
      <w:r w:rsidR="004614C7" w:rsidRPr="00DD55FF">
        <w:rPr>
          <w:rStyle w:val="FootnoteReference"/>
          <w:sz w:val="24"/>
          <w:szCs w:val="24"/>
        </w:rPr>
        <w:footnoteReference w:id="93"/>
      </w:r>
      <w:r w:rsidR="005B1A62" w:rsidRPr="00DD55FF">
        <w:rPr>
          <w:sz w:val="24"/>
          <w:szCs w:val="24"/>
        </w:rPr>
        <w:t xml:space="preserve"> He convincingly argues that the ‘lay understanding’ cannot be assumed to constitute the central case of discrimination law, either in a d</w:t>
      </w:r>
      <w:r w:rsidR="00F10496" w:rsidRPr="00DD55FF">
        <w:rPr>
          <w:sz w:val="24"/>
          <w:szCs w:val="24"/>
        </w:rPr>
        <w:t>escriptive or a normative sense.</w:t>
      </w:r>
    </w:p>
    <w:p w:rsidR="00954CE7" w:rsidRPr="00DD55FF" w:rsidRDefault="0009488C" w:rsidP="00AA11E2">
      <w:pPr>
        <w:ind w:firstLine="720"/>
        <w:jc w:val="both"/>
        <w:rPr>
          <w:sz w:val="24"/>
          <w:szCs w:val="24"/>
        </w:rPr>
      </w:pPr>
      <w:r w:rsidRPr="00DD55FF">
        <w:rPr>
          <w:sz w:val="24"/>
          <w:szCs w:val="24"/>
        </w:rPr>
        <w:t xml:space="preserve">However, there are </w:t>
      </w:r>
      <w:r w:rsidR="00D808B7" w:rsidRPr="00DD55FF">
        <w:rPr>
          <w:sz w:val="24"/>
          <w:szCs w:val="24"/>
        </w:rPr>
        <w:t xml:space="preserve">some </w:t>
      </w:r>
      <w:r w:rsidR="002A7EF6">
        <w:rPr>
          <w:sz w:val="24"/>
          <w:szCs w:val="24"/>
        </w:rPr>
        <w:t xml:space="preserve">gaps in </w:t>
      </w:r>
      <w:proofErr w:type="spellStart"/>
      <w:r w:rsidR="002A7EF6">
        <w:rPr>
          <w:sz w:val="24"/>
          <w:szCs w:val="24"/>
        </w:rPr>
        <w:t>Khaitan’s</w:t>
      </w:r>
      <w:proofErr w:type="spellEnd"/>
      <w:r w:rsidRPr="00DD55FF">
        <w:rPr>
          <w:sz w:val="24"/>
          <w:szCs w:val="24"/>
        </w:rPr>
        <w:t xml:space="preserve"> theoretical account of the point and purpose of d</w:t>
      </w:r>
      <w:r w:rsidR="002A7EF6">
        <w:rPr>
          <w:sz w:val="24"/>
          <w:szCs w:val="24"/>
        </w:rPr>
        <w:t>iscrimination law. His</w:t>
      </w:r>
      <w:r w:rsidRPr="00DD55FF">
        <w:rPr>
          <w:sz w:val="24"/>
          <w:szCs w:val="24"/>
        </w:rPr>
        <w:t xml:space="preserve"> focus on group disadvantage means that he does not provide a </w:t>
      </w:r>
      <w:r w:rsidR="006E1341" w:rsidRPr="00DD55FF">
        <w:rPr>
          <w:sz w:val="24"/>
          <w:szCs w:val="24"/>
        </w:rPr>
        <w:t xml:space="preserve">justificatory </w:t>
      </w:r>
      <w:r w:rsidRPr="00DD55FF">
        <w:rPr>
          <w:sz w:val="24"/>
          <w:szCs w:val="24"/>
        </w:rPr>
        <w:t xml:space="preserve">explanation for those elements of </w:t>
      </w:r>
      <w:r w:rsidR="009A01A1" w:rsidRPr="00DD55FF">
        <w:rPr>
          <w:sz w:val="24"/>
          <w:szCs w:val="24"/>
        </w:rPr>
        <w:t>the</w:t>
      </w:r>
      <w:r w:rsidRPr="00DD55FF">
        <w:rPr>
          <w:sz w:val="24"/>
          <w:szCs w:val="24"/>
        </w:rPr>
        <w:t xml:space="preserve"> law, such as the prohibition on age and religious discrimi</w:t>
      </w:r>
      <w:r w:rsidR="00533367" w:rsidRPr="00DD55FF">
        <w:rPr>
          <w:sz w:val="24"/>
          <w:szCs w:val="24"/>
        </w:rPr>
        <w:t xml:space="preserve">nation, which do not fit </w:t>
      </w:r>
      <w:r w:rsidR="00B06576" w:rsidRPr="00DD55FF">
        <w:rPr>
          <w:sz w:val="24"/>
          <w:szCs w:val="24"/>
        </w:rPr>
        <w:t xml:space="preserve">well </w:t>
      </w:r>
      <w:r w:rsidR="00533367" w:rsidRPr="00DD55FF">
        <w:rPr>
          <w:sz w:val="24"/>
          <w:szCs w:val="24"/>
        </w:rPr>
        <w:t>within</w:t>
      </w:r>
      <w:r w:rsidRPr="00DD55FF">
        <w:rPr>
          <w:sz w:val="24"/>
          <w:szCs w:val="24"/>
        </w:rPr>
        <w:t xml:space="preserve"> his group disadvantage template. As discussed above, these aspects of discrimination la</w:t>
      </w:r>
      <w:r w:rsidR="009A01A1" w:rsidRPr="00DD55FF">
        <w:rPr>
          <w:sz w:val="24"/>
          <w:szCs w:val="24"/>
        </w:rPr>
        <w:t>w appear to b</w:t>
      </w:r>
      <w:r w:rsidR="006733D3" w:rsidRPr="00DD55FF">
        <w:rPr>
          <w:sz w:val="24"/>
          <w:szCs w:val="24"/>
        </w:rPr>
        <w:t xml:space="preserve">e designed to combat irrational decision-making and other forms of improperly motivated </w:t>
      </w:r>
      <w:r w:rsidR="009A01A1" w:rsidRPr="00DD55FF">
        <w:rPr>
          <w:sz w:val="24"/>
          <w:szCs w:val="24"/>
        </w:rPr>
        <w:t xml:space="preserve">behaviour, and/or to protect certain </w:t>
      </w:r>
      <w:r w:rsidR="006733D3" w:rsidRPr="00DD55FF">
        <w:rPr>
          <w:sz w:val="24"/>
          <w:szCs w:val="24"/>
        </w:rPr>
        <w:t xml:space="preserve">individual </w:t>
      </w:r>
      <w:proofErr w:type="spellStart"/>
      <w:r w:rsidR="009A01A1" w:rsidRPr="00DD55FF">
        <w:rPr>
          <w:sz w:val="24"/>
          <w:szCs w:val="24"/>
        </w:rPr>
        <w:t>i</w:t>
      </w:r>
      <w:r w:rsidR="00C0326E" w:rsidRPr="00DD55FF">
        <w:rPr>
          <w:sz w:val="24"/>
          <w:szCs w:val="24"/>
        </w:rPr>
        <w:t>dentitarian</w:t>
      </w:r>
      <w:proofErr w:type="spellEnd"/>
      <w:r w:rsidR="00C0326E" w:rsidRPr="00DD55FF">
        <w:rPr>
          <w:sz w:val="24"/>
          <w:szCs w:val="24"/>
        </w:rPr>
        <w:t xml:space="preserve"> choices which are deemed to be valuable and worthy of protection.</w:t>
      </w:r>
      <w:r w:rsidR="007B5B78" w:rsidRPr="00DD55FF">
        <w:rPr>
          <w:sz w:val="24"/>
          <w:szCs w:val="24"/>
        </w:rPr>
        <w:t xml:space="preserve"> Their purpose</w:t>
      </w:r>
      <w:r w:rsidR="00E963EA" w:rsidRPr="00DD55FF">
        <w:rPr>
          <w:sz w:val="24"/>
          <w:szCs w:val="24"/>
        </w:rPr>
        <w:t xml:space="preserve"> and justification cannot be </w:t>
      </w:r>
      <w:r w:rsidR="00D141D8" w:rsidRPr="00DD55FF">
        <w:rPr>
          <w:sz w:val="24"/>
          <w:szCs w:val="24"/>
        </w:rPr>
        <w:t>credibly framed in terms of countering established patterns of relative group disa</w:t>
      </w:r>
      <w:r w:rsidR="00954CE7" w:rsidRPr="00DD55FF">
        <w:rPr>
          <w:sz w:val="24"/>
          <w:szCs w:val="24"/>
        </w:rPr>
        <w:t>dvantage, unless one dilutes this</w:t>
      </w:r>
      <w:r w:rsidR="00D141D8" w:rsidRPr="00DD55FF">
        <w:rPr>
          <w:sz w:val="24"/>
          <w:szCs w:val="24"/>
        </w:rPr>
        <w:t xml:space="preserve"> concept to </w:t>
      </w:r>
      <w:r w:rsidR="00DD59D4" w:rsidRPr="00DD55FF">
        <w:rPr>
          <w:sz w:val="24"/>
          <w:szCs w:val="24"/>
        </w:rPr>
        <w:t xml:space="preserve">the point of </w:t>
      </w:r>
      <w:r w:rsidR="00D141D8" w:rsidRPr="00DD55FF">
        <w:rPr>
          <w:sz w:val="24"/>
          <w:szCs w:val="24"/>
        </w:rPr>
        <w:t>meaningless</w:t>
      </w:r>
      <w:r w:rsidR="00050CB3">
        <w:rPr>
          <w:sz w:val="24"/>
          <w:szCs w:val="24"/>
        </w:rPr>
        <w:t>ness</w:t>
      </w:r>
      <w:r w:rsidR="00D141D8" w:rsidRPr="00DD55FF">
        <w:rPr>
          <w:sz w:val="24"/>
          <w:szCs w:val="24"/>
        </w:rPr>
        <w:t xml:space="preserve">. </w:t>
      </w:r>
    </w:p>
    <w:p w:rsidR="00B06576" w:rsidRPr="00DD55FF" w:rsidRDefault="00533367" w:rsidP="00AA11E2">
      <w:pPr>
        <w:ind w:firstLine="720"/>
        <w:jc w:val="both"/>
        <w:rPr>
          <w:sz w:val="24"/>
          <w:szCs w:val="24"/>
        </w:rPr>
      </w:pPr>
      <w:proofErr w:type="spellStart"/>
      <w:r w:rsidRPr="00DD55FF">
        <w:rPr>
          <w:sz w:val="24"/>
          <w:szCs w:val="24"/>
        </w:rPr>
        <w:t>Khaitan</w:t>
      </w:r>
      <w:proofErr w:type="spellEnd"/>
      <w:r w:rsidRPr="00DD55FF">
        <w:rPr>
          <w:sz w:val="24"/>
          <w:szCs w:val="24"/>
        </w:rPr>
        <w:t xml:space="preserve"> also </w:t>
      </w:r>
      <w:r w:rsidR="00DC1AA5" w:rsidRPr="00DD55FF">
        <w:rPr>
          <w:sz w:val="24"/>
          <w:szCs w:val="24"/>
        </w:rPr>
        <w:t xml:space="preserve">arguably </w:t>
      </w:r>
      <w:r w:rsidRPr="00DD55FF">
        <w:rPr>
          <w:sz w:val="24"/>
          <w:szCs w:val="24"/>
        </w:rPr>
        <w:t xml:space="preserve">attempts to shoehorn too much into his group </w:t>
      </w:r>
      <w:r w:rsidR="00954CE7" w:rsidRPr="00DD55FF">
        <w:rPr>
          <w:sz w:val="24"/>
          <w:szCs w:val="24"/>
        </w:rPr>
        <w:t>disadvantage rubric.</w:t>
      </w:r>
      <w:r w:rsidRPr="00DD55FF">
        <w:rPr>
          <w:sz w:val="24"/>
          <w:szCs w:val="24"/>
        </w:rPr>
        <w:t xml:space="preserve"> For example, he argues that the protection that discrimination law affords to cognate groups which are not generally subject to stable and sustained patterns of social disadvantage - such as men, or members of ethnic majorities – is justified on the basis of ‘expressive salience’, i.e. that it gives expression to the need for the law to be seen to be ‘even-handed’ in its treatment of different group identities, and prevents groups engaging in a process of competitive debasement’.</w:t>
      </w:r>
      <w:r w:rsidRPr="00DD55FF">
        <w:rPr>
          <w:sz w:val="24"/>
          <w:szCs w:val="24"/>
          <w:vertAlign w:val="superscript"/>
        </w:rPr>
        <w:footnoteReference w:id="94"/>
      </w:r>
      <w:r w:rsidRPr="00DD55FF">
        <w:rPr>
          <w:sz w:val="24"/>
          <w:szCs w:val="24"/>
        </w:rPr>
        <w:t xml:space="preserve"> </w:t>
      </w:r>
      <w:r w:rsidR="00B06576" w:rsidRPr="00DD55FF">
        <w:rPr>
          <w:sz w:val="24"/>
          <w:szCs w:val="24"/>
        </w:rPr>
        <w:t xml:space="preserve">However, </w:t>
      </w:r>
      <w:r w:rsidRPr="00DD55FF">
        <w:rPr>
          <w:sz w:val="24"/>
          <w:szCs w:val="24"/>
        </w:rPr>
        <w:t xml:space="preserve">this is a relatively thin justificatory basis for </w:t>
      </w:r>
      <w:r w:rsidR="00B06576" w:rsidRPr="00DD55FF">
        <w:rPr>
          <w:sz w:val="24"/>
          <w:szCs w:val="24"/>
        </w:rPr>
        <w:t xml:space="preserve">the largely symmetrical approach adopted by all the national legal systems coming within </w:t>
      </w:r>
      <w:proofErr w:type="spellStart"/>
      <w:r w:rsidR="00B06576" w:rsidRPr="00DD55FF">
        <w:rPr>
          <w:sz w:val="24"/>
          <w:szCs w:val="24"/>
        </w:rPr>
        <w:t>Khaitan’</w:t>
      </w:r>
      <w:r w:rsidR="00EE2D25" w:rsidRPr="00DD55FF">
        <w:rPr>
          <w:sz w:val="24"/>
          <w:szCs w:val="24"/>
        </w:rPr>
        <w:t>s</w:t>
      </w:r>
      <w:proofErr w:type="spellEnd"/>
      <w:r w:rsidR="00EE2D25" w:rsidRPr="00DD55FF">
        <w:rPr>
          <w:sz w:val="24"/>
          <w:szCs w:val="24"/>
        </w:rPr>
        <w:t xml:space="preserve"> dataset. I</w:t>
      </w:r>
      <w:r w:rsidR="00B06576" w:rsidRPr="00DD55FF">
        <w:rPr>
          <w:sz w:val="24"/>
          <w:szCs w:val="24"/>
        </w:rPr>
        <w:t xml:space="preserve">t provides a reason why such an approach may be reconcilable with a strong focus on combating group disadvantage, but does not establish a compelling basis as to why the full rigour of, for example, the prohibition on direct discrimination should be applied to such ‘collateral’ cases, as </w:t>
      </w:r>
      <w:proofErr w:type="spellStart"/>
      <w:r w:rsidR="00B06576" w:rsidRPr="00DD55FF">
        <w:rPr>
          <w:sz w:val="24"/>
          <w:szCs w:val="24"/>
        </w:rPr>
        <w:t>Khaitan</w:t>
      </w:r>
      <w:proofErr w:type="spellEnd"/>
      <w:r w:rsidR="00B06576" w:rsidRPr="00DD55FF">
        <w:rPr>
          <w:sz w:val="24"/>
          <w:szCs w:val="24"/>
        </w:rPr>
        <w:t xml:space="preserve"> describes them.</w:t>
      </w:r>
      <w:r w:rsidR="00EE2D25" w:rsidRPr="00DD55FF">
        <w:rPr>
          <w:sz w:val="24"/>
          <w:szCs w:val="24"/>
        </w:rPr>
        <w:t xml:space="preserve"> </w:t>
      </w:r>
      <w:r w:rsidR="00B06576" w:rsidRPr="00DD55FF">
        <w:rPr>
          <w:sz w:val="24"/>
          <w:szCs w:val="24"/>
        </w:rPr>
        <w:t xml:space="preserve"> </w:t>
      </w:r>
    </w:p>
    <w:p w:rsidR="00BD7A76" w:rsidRPr="00DD55FF" w:rsidRDefault="00EE2D25" w:rsidP="00AA11E2">
      <w:pPr>
        <w:ind w:firstLine="720"/>
        <w:jc w:val="both"/>
        <w:rPr>
          <w:sz w:val="24"/>
          <w:szCs w:val="24"/>
        </w:rPr>
      </w:pPr>
      <w:r w:rsidRPr="00DD55FF">
        <w:rPr>
          <w:sz w:val="24"/>
          <w:szCs w:val="24"/>
        </w:rPr>
        <w:t xml:space="preserve">In general, the moral imperative to combat group disadvantage can </w:t>
      </w:r>
      <w:r w:rsidR="00BD3D04" w:rsidRPr="00DD55FF">
        <w:rPr>
          <w:sz w:val="24"/>
          <w:szCs w:val="24"/>
        </w:rPr>
        <w:t>only provide a partial normative foundation for discrimination law</w:t>
      </w:r>
      <w:r w:rsidRPr="00DD55FF">
        <w:rPr>
          <w:sz w:val="24"/>
          <w:szCs w:val="24"/>
        </w:rPr>
        <w:t>. It cannot provide a comprehensive justification for the dif</w:t>
      </w:r>
      <w:r w:rsidR="006125CD" w:rsidRPr="00DD55FF">
        <w:rPr>
          <w:sz w:val="24"/>
          <w:szCs w:val="24"/>
        </w:rPr>
        <w:t>f</w:t>
      </w:r>
      <w:r w:rsidRPr="00DD55FF">
        <w:rPr>
          <w:sz w:val="24"/>
          <w:szCs w:val="24"/>
        </w:rPr>
        <w:t>erent elements of the law in this regard</w:t>
      </w:r>
      <w:r w:rsidR="006125CD" w:rsidRPr="00DD55FF">
        <w:rPr>
          <w:sz w:val="24"/>
          <w:szCs w:val="24"/>
        </w:rPr>
        <w:t>, which would appear to be directed towards achieving a variety of different purposes</w:t>
      </w:r>
      <w:r w:rsidRPr="00DD55FF">
        <w:rPr>
          <w:sz w:val="24"/>
          <w:szCs w:val="24"/>
        </w:rPr>
        <w:t xml:space="preserve"> </w:t>
      </w:r>
      <w:r w:rsidR="006125CD" w:rsidRPr="00DD55FF">
        <w:rPr>
          <w:sz w:val="24"/>
          <w:szCs w:val="24"/>
        </w:rPr>
        <w:t xml:space="preserve">rather than the single, overarching objective outlined by </w:t>
      </w:r>
      <w:proofErr w:type="spellStart"/>
      <w:r w:rsidR="006125CD" w:rsidRPr="00DD55FF">
        <w:rPr>
          <w:sz w:val="24"/>
          <w:szCs w:val="24"/>
        </w:rPr>
        <w:t>Khaitan</w:t>
      </w:r>
      <w:proofErr w:type="spellEnd"/>
      <w:r w:rsidR="006125CD" w:rsidRPr="00DD55FF">
        <w:rPr>
          <w:sz w:val="24"/>
          <w:szCs w:val="24"/>
        </w:rPr>
        <w:t xml:space="preserve">. While he claims to provide a pluralist account of the values </w:t>
      </w:r>
      <w:r w:rsidR="006125CD" w:rsidRPr="00DD55FF">
        <w:rPr>
          <w:sz w:val="24"/>
          <w:szCs w:val="24"/>
        </w:rPr>
        <w:lastRenderedPageBreak/>
        <w:t xml:space="preserve">underpinning discrimination law, in reality he </w:t>
      </w:r>
      <w:r w:rsidR="007B500E" w:rsidRPr="00DD55FF">
        <w:rPr>
          <w:sz w:val="24"/>
          <w:szCs w:val="24"/>
        </w:rPr>
        <w:t>focuses too much on th</w:t>
      </w:r>
      <w:r w:rsidR="002F2061" w:rsidRPr="00DD55FF">
        <w:rPr>
          <w:sz w:val="24"/>
          <w:szCs w:val="24"/>
        </w:rPr>
        <w:t>e group disadvantage dimension – reflecting h</w:t>
      </w:r>
      <w:r w:rsidR="00576916" w:rsidRPr="00DD55FF">
        <w:rPr>
          <w:sz w:val="24"/>
          <w:szCs w:val="24"/>
        </w:rPr>
        <w:t xml:space="preserve">is preference for </w:t>
      </w:r>
      <w:r w:rsidR="002F2061" w:rsidRPr="00DD55FF">
        <w:rPr>
          <w:sz w:val="24"/>
          <w:szCs w:val="24"/>
        </w:rPr>
        <w:t xml:space="preserve">normative </w:t>
      </w:r>
      <w:r w:rsidR="00576916" w:rsidRPr="00DD55FF">
        <w:rPr>
          <w:sz w:val="24"/>
          <w:szCs w:val="24"/>
        </w:rPr>
        <w:t>‘</w:t>
      </w:r>
      <w:r w:rsidR="002F2061" w:rsidRPr="00DD55FF">
        <w:rPr>
          <w:sz w:val="24"/>
          <w:szCs w:val="24"/>
        </w:rPr>
        <w:t>purity</w:t>
      </w:r>
      <w:r w:rsidR="00576916" w:rsidRPr="00DD55FF">
        <w:rPr>
          <w:sz w:val="24"/>
          <w:szCs w:val="24"/>
        </w:rPr>
        <w:t>’</w:t>
      </w:r>
      <w:r w:rsidR="002F2061" w:rsidRPr="00DD55FF">
        <w:rPr>
          <w:sz w:val="24"/>
          <w:szCs w:val="24"/>
        </w:rPr>
        <w:t xml:space="preserve"> distinctions as discussed above.</w:t>
      </w:r>
    </w:p>
    <w:p w:rsidR="00387C34" w:rsidRPr="00DD55FF" w:rsidRDefault="006125CD" w:rsidP="00AA11E2">
      <w:pPr>
        <w:ind w:firstLine="720"/>
        <w:jc w:val="both"/>
        <w:rPr>
          <w:sz w:val="24"/>
          <w:szCs w:val="24"/>
        </w:rPr>
      </w:pPr>
      <w:r w:rsidRPr="00DD55FF">
        <w:rPr>
          <w:sz w:val="24"/>
          <w:szCs w:val="24"/>
        </w:rPr>
        <w:t xml:space="preserve">A </w:t>
      </w:r>
      <w:r w:rsidR="00BD3D04" w:rsidRPr="00DD55FF">
        <w:rPr>
          <w:sz w:val="24"/>
          <w:szCs w:val="24"/>
        </w:rPr>
        <w:t xml:space="preserve">more complex, multi-faceted </w:t>
      </w:r>
      <w:r w:rsidR="007B500E" w:rsidRPr="00DD55FF">
        <w:rPr>
          <w:sz w:val="24"/>
          <w:szCs w:val="24"/>
        </w:rPr>
        <w:t xml:space="preserve">analysis </w:t>
      </w:r>
      <w:r w:rsidR="00BD3D04" w:rsidRPr="00DD55FF">
        <w:rPr>
          <w:sz w:val="24"/>
          <w:szCs w:val="24"/>
        </w:rPr>
        <w:t xml:space="preserve">of the legitimacy of discrimination law is required, which </w:t>
      </w:r>
      <w:r w:rsidR="007B500E" w:rsidRPr="00DD55FF">
        <w:rPr>
          <w:sz w:val="24"/>
          <w:szCs w:val="24"/>
        </w:rPr>
        <w:t>would explore how its role in combating g</w:t>
      </w:r>
      <w:r w:rsidR="00A87FB1" w:rsidRPr="00DD55FF">
        <w:rPr>
          <w:sz w:val="24"/>
          <w:szCs w:val="24"/>
        </w:rPr>
        <w:t>roup disadvantage is one element of what Shin has described as the ‘messy plurality’ of moral concerns that it is expected to address.</w:t>
      </w:r>
      <w:r w:rsidR="00A87FB1" w:rsidRPr="00DD55FF">
        <w:rPr>
          <w:rStyle w:val="FootnoteReference"/>
          <w:sz w:val="24"/>
          <w:szCs w:val="24"/>
        </w:rPr>
        <w:footnoteReference w:id="95"/>
      </w:r>
      <w:r w:rsidR="00531552" w:rsidRPr="00DD55FF">
        <w:rPr>
          <w:sz w:val="24"/>
          <w:szCs w:val="24"/>
        </w:rPr>
        <w:t xml:space="preserve"> S</w:t>
      </w:r>
      <w:r w:rsidR="00FD7E5F" w:rsidRPr="00DD55FF">
        <w:rPr>
          <w:sz w:val="24"/>
          <w:szCs w:val="24"/>
        </w:rPr>
        <w:t>uch a genuinely pluralist</w:t>
      </w:r>
      <w:r w:rsidR="007B500E" w:rsidRPr="00DD55FF">
        <w:rPr>
          <w:sz w:val="24"/>
          <w:szCs w:val="24"/>
        </w:rPr>
        <w:t xml:space="preserve"> </w:t>
      </w:r>
      <w:r w:rsidR="00531552" w:rsidRPr="00DD55FF">
        <w:rPr>
          <w:sz w:val="24"/>
          <w:szCs w:val="24"/>
        </w:rPr>
        <w:t xml:space="preserve">approach might </w:t>
      </w:r>
      <w:r w:rsidR="00FD7E5F" w:rsidRPr="00DD55FF">
        <w:rPr>
          <w:sz w:val="24"/>
          <w:szCs w:val="24"/>
        </w:rPr>
        <w:t>plug</w:t>
      </w:r>
      <w:r w:rsidR="00531552" w:rsidRPr="00DD55FF">
        <w:rPr>
          <w:sz w:val="24"/>
          <w:szCs w:val="24"/>
        </w:rPr>
        <w:t xml:space="preserve"> some of the gaps in </w:t>
      </w:r>
      <w:proofErr w:type="spellStart"/>
      <w:r w:rsidR="00531552" w:rsidRPr="00DD55FF">
        <w:rPr>
          <w:sz w:val="24"/>
          <w:szCs w:val="24"/>
        </w:rPr>
        <w:t>Khaitan’s</w:t>
      </w:r>
      <w:proofErr w:type="spellEnd"/>
      <w:r w:rsidR="00531552" w:rsidRPr="00DD55FF">
        <w:rPr>
          <w:sz w:val="24"/>
          <w:szCs w:val="24"/>
        </w:rPr>
        <w:t xml:space="preserve"> justificatory account.</w:t>
      </w:r>
      <w:r w:rsidR="00387C34" w:rsidRPr="00DD55FF">
        <w:rPr>
          <w:rStyle w:val="FootnoteReference"/>
          <w:sz w:val="24"/>
          <w:szCs w:val="24"/>
        </w:rPr>
        <w:footnoteReference w:id="96"/>
      </w:r>
      <w:r w:rsidR="000A60E0" w:rsidRPr="00DD55FF">
        <w:rPr>
          <w:sz w:val="24"/>
          <w:szCs w:val="24"/>
        </w:rPr>
        <w:t xml:space="preserve"> </w:t>
      </w:r>
      <w:r w:rsidR="00A87FB1" w:rsidRPr="00DD55FF">
        <w:rPr>
          <w:sz w:val="24"/>
          <w:szCs w:val="24"/>
        </w:rPr>
        <w:t xml:space="preserve">It will also have to </w:t>
      </w:r>
      <w:r w:rsidR="000A60E0" w:rsidRPr="00DD55FF">
        <w:rPr>
          <w:sz w:val="24"/>
          <w:szCs w:val="24"/>
        </w:rPr>
        <w:t xml:space="preserve">engage closely with the </w:t>
      </w:r>
      <w:r w:rsidR="00443F60" w:rsidRPr="00DD55FF">
        <w:rPr>
          <w:sz w:val="24"/>
          <w:szCs w:val="24"/>
        </w:rPr>
        <w:t xml:space="preserve">specific </w:t>
      </w:r>
      <w:r w:rsidR="000A60E0" w:rsidRPr="00DD55FF">
        <w:rPr>
          <w:sz w:val="24"/>
          <w:szCs w:val="24"/>
        </w:rPr>
        <w:t xml:space="preserve">distributive issues that arise in respect of each of the different protected grounds, which arguably play a key role in both shaping and justifying how </w:t>
      </w:r>
      <w:r w:rsidR="00812D28" w:rsidRPr="00DD55FF">
        <w:rPr>
          <w:sz w:val="24"/>
          <w:szCs w:val="24"/>
        </w:rPr>
        <w:t>discrimination law norms</w:t>
      </w:r>
      <w:r w:rsidR="00443F60" w:rsidRPr="00DD55FF">
        <w:rPr>
          <w:sz w:val="24"/>
          <w:szCs w:val="24"/>
        </w:rPr>
        <w:t xml:space="preserve"> are applied within the particular</w:t>
      </w:r>
      <w:r w:rsidR="00812D28" w:rsidRPr="00DD55FF">
        <w:rPr>
          <w:sz w:val="24"/>
          <w:szCs w:val="24"/>
        </w:rPr>
        <w:t xml:space="preserve"> context of each of these different grounds.</w:t>
      </w:r>
      <w:r w:rsidR="00A87FB1" w:rsidRPr="00DD55FF">
        <w:rPr>
          <w:rStyle w:val="FootnoteReference"/>
          <w:sz w:val="24"/>
          <w:szCs w:val="24"/>
        </w:rPr>
        <w:footnoteReference w:id="97"/>
      </w:r>
      <w:r w:rsidR="000A60E0" w:rsidRPr="00DD55FF">
        <w:rPr>
          <w:sz w:val="24"/>
          <w:szCs w:val="24"/>
        </w:rPr>
        <w:t xml:space="preserve">  </w:t>
      </w:r>
      <w:r w:rsidR="006006A0" w:rsidRPr="00DD55FF">
        <w:rPr>
          <w:sz w:val="24"/>
          <w:szCs w:val="24"/>
        </w:rPr>
        <w:t xml:space="preserve"> </w:t>
      </w:r>
    </w:p>
    <w:p w:rsidR="00A31F07" w:rsidRPr="00DD55FF" w:rsidRDefault="00387C34" w:rsidP="00AA11E2">
      <w:pPr>
        <w:ind w:firstLine="720"/>
        <w:jc w:val="both"/>
        <w:rPr>
          <w:sz w:val="24"/>
          <w:szCs w:val="24"/>
        </w:rPr>
      </w:pPr>
      <w:proofErr w:type="spellStart"/>
      <w:r w:rsidRPr="00DD55FF">
        <w:rPr>
          <w:sz w:val="24"/>
          <w:szCs w:val="24"/>
        </w:rPr>
        <w:t>Khaitan’s</w:t>
      </w:r>
      <w:proofErr w:type="spellEnd"/>
      <w:r w:rsidRPr="00DD55FF">
        <w:rPr>
          <w:sz w:val="24"/>
          <w:szCs w:val="24"/>
        </w:rPr>
        <w:t xml:space="preserve"> analysis </w:t>
      </w:r>
      <w:r w:rsidR="00753738" w:rsidRPr="00DD55FF">
        <w:rPr>
          <w:sz w:val="24"/>
          <w:szCs w:val="24"/>
        </w:rPr>
        <w:t>has another weak spot</w:t>
      </w:r>
      <w:r w:rsidR="00E77922" w:rsidRPr="00DD55FF">
        <w:rPr>
          <w:sz w:val="24"/>
          <w:szCs w:val="24"/>
        </w:rPr>
        <w:t xml:space="preserve">, namely his justification of </w:t>
      </w:r>
      <w:r w:rsidR="00CF713F" w:rsidRPr="00DD55FF">
        <w:rPr>
          <w:sz w:val="24"/>
          <w:szCs w:val="24"/>
        </w:rPr>
        <w:t xml:space="preserve">why individual duty-bearers should be required to comply with the onerous requirements of the non-discrimination duty. </w:t>
      </w:r>
      <w:r w:rsidR="001D38F4" w:rsidRPr="00DD55FF">
        <w:rPr>
          <w:sz w:val="24"/>
          <w:szCs w:val="24"/>
        </w:rPr>
        <w:t xml:space="preserve">He argues that </w:t>
      </w:r>
      <w:r w:rsidR="00A969D8" w:rsidRPr="00DD55FF">
        <w:rPr>
          <w:sz w:val="24"/>
          <w:szCs w:val="24"/>
        </w:rPr>
        <w:t>duty-bearers</w:t>
      </w:r>
      <w:r w:rsidR="00A27C68" w:rsidRPr="00DD55FF">
        <w:rPr>
          <w:sz w:val="24"/>
          <w:szCs w:val="24"/>
        </w:rPr>
        <w:t xml:space="preserve"> are subject to an ‘effects-based’</w:t>
      </w:r>
      <w:r w:rsidR="00A969D8" w:rsidRPr="00DD55FF">
        <w:rPr>
          <w:sz w:val="24"/>
          <w:szCs w:val="24"/>
        </w:rPr>
        <w:t xml:space="preserve"> obligation to refrain from unjustifiably exacerbating group disadvantage</w:t>
      </w:r>
      <w:r w:rsidR="00905497" w:rsidRPr="00DD55FF">
        <w:rPr>
          <w:sz w:val="24"/>
          <w:szCs w:val="24"/>
        </w:rPr>
        <w:t>, which provides the normative underpinning for this wide-ranging and demanding duty</w:t>
      </w:r>
      <w:r w:rsidR="00012DFA" w:rsidRPr="00DD55FF">
        <w:rPr>
          <w:sz w:val="24"/>
          <w:szCs w:val="24"/>
        </w:rPr>
        <w:t>.</w:t>
      </w:r>
      <w:r w:rsidR="00374096" w:rsidRPr="00DD55FF">
        <w:rPr>
          <w:sz w:val="24"/>
          <w:szCs w:val="24"/>
        </w:rPr>
        <w:t xml:space="preserve"> </w:t>
      </w:r>
      <w:r w:rsidR="00447CBE" w:rsidRPr="00DD55FF">
        <w:rPr>
          <w:sz w:val="24"/>
          <w:szCs w:val="24"/>
        </w:rPr>
        <w:t xml:space="preserve">In </w:t>
      </w:r>
      <w:proofErr w:type="spellStart"/>
      <w:r w:rsidR="00447CBE" w:rsidRPr="00DD55FF">
        <w:rPr>
          <w:sz w:val="24"/>
          <w:szCs w:val="24"/>
        </w:rPr>
        <w:t>Khaitan’s</w:t>
      </w:r>
      <w:proofErr w:type="spellEnd"/>
      <w:r w:rsidR="00447CBE" w:rsidRPr="00DD55FF">
        <w:rPr>
          <w:sz w:val="24"/>
          <w:szCs w:val="24"/>
        </w:rPr>
        <w:t xml:space="preserve"> account, this obligation is derived from the manner in which group disadvantage impacts negatively upon individual freedom, and in particular on how it restricts access to an ‘adequate range of valuable opportunities’ and a healthy sense of ‘self-respect’. But it is open to question whether these liberty-based interests are sufficiently concrete to provide an adequate foundation for </w:t>
      </w:r>
      <w:r w:rsidR="00930A44" w:rsidRPr="00DD55FF">
        <w:rPr>
          <w:sz w:val="24"/>
          <w:szCs w:val="24"/>
        </w:rPr>
        <w:t>this claim, in particular the inherently uncertain notion of ‘self-respect’.</w:t>
      </w:r>
      <w:r w:rsidR="00A31F07" w:rsidRPr="00DD55FF">
        <w:rPr>
          <w:sz w:val="24"/>
          <w:szCs w:val="24"/>
        </w:rPr>
        <w:t xml:space="preserve"> In addition</w:t>
      </w:r>
      <w:r w:rsidR="00930A44" w:rsidRPr="00DD55FF">
        <w:rPr>
          <w:sz w:val="24"/>
          <w:szCs w:val="24"/>
        </w:rPr>
        <w:t>, it is debatable whether such an obligation to respect individual freedom is sufficiently compelling to justify the imposition of a general duty to refrain from discriminating in relation to the ‘eccentric distribution’ of benefits, as distinct from a duty to respect the entitlement of all individuals to a minimum degree of autonomy –</w:t>
      </w:r>
      <w:r w:rsidR="008A1D89" w:rsidRPr="00DD55FF">
        <w:rPr>
          <w:sz w:val="24"/>
          <w:szCs w:val="24"/>
        </w:rPr>
        <w:t xml:space="preserve"> especially in situations where discriminators may not obviously have behaved in a morally questionable manner.</w:t>
      </w:r>
      <w:r w:rsidR="00447CBE" w:rsidRPr="00DD55FF">
        <w:rPr>
          <w:sz w:val="24"/>
          <w:szCs w:val="24"/>
          <w:vertAlign w:val="superscript"/>
        </w:rPr>
        <w:footnoteReference w:id="98"/>
      </w:r>
      <w:r w:rsidR="00A31F07" w:rsidRPr="00DD55FF">
        <w:rPr>
          <w:sz w:val="24"/>
          <w:szCs w:val="24"/>
        </w:rPr>
        <w:t xml:space="preserve"> </w:t>
      </w:r>
      <w:proofErr w:type="spellStart"/>
      <w:r w:rsidR="00A31F07" w:rsidRPr="00DD55FF">
        <w:rPr>
          <w:sz w:val="24"/>
          <w:szCs w:val="24"/>
        </w:rPr>
        <w:t>Khaitan</w:t>
      </w:r>
      <w:proofErr w:type="spellEnd"/>
      <w:r w:rsidR="00A31F07" w:rsidRPr="00DD55FF">
        <w:rPr>
          <w:sz w:val="24"/>
          <w:szCs w:val="24"/>
        </w:rPr>
        <w:t xml:space="preserve"> suggests that such a duty can be viewed as having a </w:t>
      </w:r>
      <w:proofErr w:type="spellStart"/>
      <w:r w:rsidR="00A31F07" w:rsidRPr="00DD55FF">
        <w:rPr>
          <w:sz w:val="24"/>
          <w:szCs w:val="24"/>
        </w:rPr>
        <w:t>prioritarian</w:t>
      </w:r>
      <w:proofErr w:type="spellEnd"/>
      <w:r w:rsidR="00A31F07" w:rsidRPr="00DD55FF">
        <w:rPr>
          <w:sz w:val="24"/>
          <w:szCs w:val="24"/>
        </w:rPr>
        <w:t xml:space="preserve"> dimension, </w:t>
      </w:r>
      <w:r w:rsidR="00A5017B" w:rsidRPr="00DD55FF">
        <w:rPr>
          <w:sz w:val="24"/>
          <w:szCs w:val="24"/>
        </w:rPr>
        <w:t xml:space="preserve">on the basis that securing equal </w:t>
      </w:r>
      <w:r w:rsidR="00A5017B" w:rsidRPr="00DD55FF">
        <w:rPr>
          <w:sz w:val="24"/>
          <w:szCs w:val="24"/>
        </w:rPr>
        <w:lastRenderedPageBreak/>
        <w:t>treatment in the eccentric distribution of benefits will ensure the worst-off members of disadvantaged groups will gain better secured access to the basic goods necessary to enjoy meaningful liberty:</w:t>
      </w:r>
      <w:r w:rsidR="00A5017B" w:rsidRPr="00DD55FF">
        <w:rPr>
          <w:rStyle w:val="FootnoteReference"/>
          <w:sz w:val="24"/>
          <w:szCs w:val="24"/>
        </w:rPr>
        <w:footnoteReference w:id="99"/>
      </w:r>
      <w:r w:rsidR="00A5017B" w:rsidRPr="00DD55FF">
        <w:rPr>
          <w:sz w:val="24"/>
          <w:szCs w:val="24"/>
        </w:rPr>
        <w:t xml:space="preserve"> but this could be viewed as constituting a relatively slender basis on which to construct a wide-ranging non-discrimination duty. </w:t>
      </w:r>
      <w:r w:rsidR="00A31F07" w:rsidRPr="00DD55FF">
        <w:rPr>
          <w:sz w:val="24"/>
          <w:szCs w:val="24"/>
        </w:rPr>
        <w:t xml:space="preserve"> </w:t>
      </w:r>
    </w:p>
    <w:p w:rsidR="00823053" w:rsidRPr="00DD55FF" w:rsidRDefault="008407BB" w:rsidP="00AA11E2">
      <w:pPr>
        <w:ind w:firstLine="720"/>
        <w:jc w:val="both"/>
        <w:rPr>
          <w:sz w:val="24"/>
          <w:szCs w:val="24"/>
        </w:rPr>
      </w:pPr>
      <w:r w:rsidRPr="00DD55FF">
        <w:rPr>
          <w:sz w:val="24"/>
          <w:szCs w:val="24"/>
        </w:rPr>
        <w:t xml:space="preserve">In this respect, it can be argued that </w:t>
      </w:r>
      <w:proofErr w:type="spellStart"/>
      <w:r w:rsidRPr="00DD55FF">
        <w:rPr>
          <w:sz w:val="24"/>
          <w:szCs w:val="24"/>
        </w:rPr>
        <w:t>Khaitan’</w:t>
      </w:r>
      <w:r w:rsidR="00B5694F" w:rsidRPr="00DD55FF">
        <w:rPr>
          <w:sz w:val="24"/>
          <w:szCs w:val="24"/>
        </w:rPr>
        <w:t>s</w:t>
      </w:r>
      <w:proofErr w:type="spellEnd"/>
      <w:r w:rsidR="00B5694F" w:rsidRPr="00DD55FF">
        <w:rPr>
          <w:sz w:val="24"/>
          <w:szCs w:val="24"/>
        </w:rPr>
        <w:t xml:space="preserve"> reluctance to rely on egalitarian arguments – even in a supplementary </w:t>
      </w:r>
      <w:r w:rsidR="00863E7C" w:rsidRPr="00DD55FF">
        <w:rPr>
          <w:sz w:val="24"/>
          <w:szCs w:val="24"/>
        </w:rPr>
        <w:t>capacity</w:t>
      </w:r>
      <w:r w:rsidR="00F11B00" w:rsidRPr="00DD55FF">
        <w:rPr>
          <w:sz w:val="24"/>
          <w:szCs w:val="24"/>
        </w:rPr>
        <w:t xml:space="preserve"> – makes his job harder. </w:t>
      </w:r>
      <w:r w:rsidR="00E24452" w:rsidRPr="00DD55FF">
        <w:rPr>
          <w:sz w:val="24"/>
          <w:szCs w:val="24"/>
        </w:rPr>
        <w:t xml:space="preserve">A concern to </w:t>
      </w:r>
      <w:r w:rsidR="00806346" w:rsidRPr="00DD55FF">
        <w:rPr>
          <w:sz w:val="24"/>
          <w:szCs w:val="24"/>
        </w:rPr>
        <w:t xml:space="preserve">secure individual liberty </w:t>
      </w:r>
      <w:r w:rsidR="006D1D6A" w:rsidRPr="00DD55FF">
        <w:rPr>
          <w:sz w:val="24"/>
          <w:szCs w:val="24"/>
        </w:rPr>
        <w:t>can</w:t>
      </w:r>
      <w:r w:rsidR="00E24452" w:rsidRPr="00DD55FF">
        <w:rPr>
          <w:sz w:val="24"/>
          <w:szCs w:val="24"/>
        </w:rPr>
        <w:t xml:space="preserve"> </w:t>
      </w:r>
      <w:r w:rsidR="006D1D6A" w:rsidRPr="00DD55FF">
        <w:rPr>
          <w:sz w:val="24"/>
          <w:szCs w:val="24"/>
        </w:rPr>
        <w:t xml:space="preserve">lay </w:t>
      </w:r>
      <w:r w:rsidR="00E24452" w:rsidRPr="00DD55FF">
        <w:rPr>
          <w:sz w:val="24"/>
          <w:szCs w:val="24"/>
        </w:rPr>
        <w:t>the foundation</w:t>
      </w:r>
      <w:r w:rsidR="006D1D6A" w:rsidRPr="00DD55FF">
        <w:rPr>
          <w:sz w:val="24"/>
          <w:szCs w:val="24"/>
        </w:rPr>
        <w:t>s</w:t>
      </w:r>
      <w:r w:rsidR="00E24452" w:rsidRPr="00DD55FF">
        <w:rPr>
          <w:sz w:val="24"/>
          <w:szCs w:val="24"/>
        </w:rPr>
        <w:t xml:space="preserve"> for a justificatory account of discrimination law, </w:t>
      </w:r>
      <w:r w:rsidR="00906912" w:rsidRPr="00DD55FF">
        <w:rPr>
          <w:sz w:val="24"/>
          <w:szCs w:val="24"/>
        </w:rPr>
        <w:t xml:space="preserve">but equality may be needed to provide </w:t>
      </w:r>
      <w:r w:rsidR="00021221" w:rsidRPr="00DD55FF">
        <w:rPr>
          <w:sz w:val="24"/>
          <w:szCs w:val="24"/>
        </w:rPr>
        <w:t xml:space="preserve">cross-bracing for its walls. In particular, </w:t>
      </w:r>
      <w:r w:rsidR="00A5017B" w:rsidRPr="00DD55FF">
        <w:rPr>
          <w:sz w:val="24"/>
          <w:szCs w:val="24"/>
        </w:rPr>
        <w:t xml:space="preserve">a solid </w:t>
      </w:r>
      <w:r w:rsidR="004E105C" w:rsidRPr="00DD55FF">
        <w:rPr>
          <w:sz w:val="24"/>
          <w:szCs w:val="24"/>
        </w:rPr>
        <w:t xml:space="preserve">case can be made that </w:t>
      </w:r>
      <w:r w:rsidR="00021221" w:rsidRPr="00DD55FF">
        <w:rPr>
          <w:sz w:val="24"/>
          <w:szCs w:val="24"/>
        </w:rPr>
        <w:t>the concept of ‘basic equality’, to use Waldron’s formulation,</w:t>
      </w:r>
      <w:r w:rsidR="00A5017B" w:rsidRPr="00DD55FF">
        <w:rPr>
          <w:rStyle w:val="FootnoteReference"/>
          <w:sz w:val="24"/>
          <w:szCs w:val="24"/>
        </w:rPr>
        <w:footnoteReference w:id="100"/>
      </w:r>
      <w:r w:rsidR="008828F0" w:rsidRPr="00DD55FF">
        <w:rPr>
          <w:sz w:val="24"/>
          <w:szCs w:val="24"/>
        </w:rPr>
        <w:t xml:space="preserve"> </w:t>
      </w:r>
      <w:r w:rsidR="00566027" w:rsidRPr="00DD55FF">
        <w:rPr>
          <w:sz w:val="24"/>
          <w:szCs w:val="24"/>
        </w:rPr>
        <w:t xml:space="preserve">must form part of any justificatory framework in this </w:t>
      </w:r>
      <w:r w:rsidR="00FC3D3A" w:rsidRPr="00DD55FF">
        <w:rPr>
          <w:sz w:val="24"/>
          <w:szCs w:val="24"/>
        </w:rPr>
        <w:t>regard</w:t>
      </w:r>
      <w:r w:rsidR="00FD1E34" w:rsidRPr="00DD55FF">
        <w:rPr>
          <w:sz w:val="24"/>
          <w:szCs w:val="24"/>
        </w:rPr>
        <w:t>. I</w:t>
      </w:r>
      <w:r w:rsidR="008828F0" w:rsidRPr="00DD55FF">
        <w:rPr>
          <w:sz w:val="24"/>
          <w:szCs w:val="24"/>
        </w:rPr>
        <w:t xml:space="preserve">t </w:t>
      </w:r>
      <w:r w:rsidR="002948C3" w:rsidRPr="00DD55FF">
        <w:rPr>
          <w:sz w:val="24"/>
          <w:szCs w:val="24"/>
        </w:rPr>
        <w:t xml:space="preserve">supplies a </w:t>
      </w:r>
      <w:r w:rsidR="008828F0" w:rsidRPr="00DD55FF">
        <w:rPr>
          <w:sz w:val="24"/>
          <w:szCs w:val="24"/>
        </w:rPr>
        <w:t xml:space="preserve">rationale </w:t>
      </w:r>
      <w:r w:rsidR="006149EF" w:rsidRPr="00DD55FF">
        <w:rPr>
          <w:sz w:val="24"/>
          <w:szCs w:val="24"/>
        </w:rPr>
        <w:t xml:space="preserve">as to </w:t>
      </w:r>
      <w:r w:rsidR="00BE408D" w:rsidRPr="00DD55FF">
        <w:rPr>
          <w:sz w:val="24"/>
          <w:szCs w:val="24"/>
        </w:rPr>
        <w:t>why access to th</w:t>
      </w:r>
      <w:r w:rsidR="000674DF" w:rsidRPr="00DD55FF">
        <w:rPr>
          <w:sz w:val="24"/>
          <w:szCs w:val="24"/>
        </w:rPr>
        <w:t xml:space="preserve">e basic goods necessary to secure </w:t>
      </w:r>
      <w:r w:rsidR="00BE408D" w:rsidRPr="00DD55FF">
        <w:rPr>
          <w:sz w:val="24"/>
          <w:szCs w:val="24"/>
        </w:rPr>
        <w:t xml:space="preserve">individual freedom needs to be secured </w:t>
      </w:r>
      <w:r w:rsidR="008828F0" w:rsidRPr="00DD55FF">
        <w:rPr>
          <w:sz w:val="24"/>
          <w:szCs w:val="24"/>
        </w:rPr>
        <w:t xml:space="preserve">on a non-discriminatory </w:t>
      </w:r>
      <w:r w:rsidR="00EC0345" w:rsidRPr="00DD55FF">
        <w:rPr>
          <w:sz w:val="24"/>
          <w:szCs w:val="24"/>
        </w:rPr>
        <w:t>(as distinct from a sufficientarian) basis</w:t>
      </w:r>
      <w:r w:rsidR="008828F0" w:rsidRPr="00DD55FF">
        <w:rPr>
          <w:sz w:val="24"/>
          <w:szCs w:val="24"/>
        </w:rPr>
        <w:t xml:space="preserve">, </w:t>
      </w:r>
      <w:r w:rsidR="002948C3" w:rsidRPr="00DD55FF">
        <w:rPr>
          <w:sz w:val="24"/>
          <w:szCs w:val="24"/>
        </w:rPr>
        <w:t>which ‘pure’ autonomy-based arguments</w:t>
      </w:r>
      <w:r w:rsidR="001219A4" w:rsidRPr="00DD55FF">
        <w:rPr>
          <w:sz w:val="24"/>
          <w:szCs w:val="24"/>
        </w:rPr>
        <w:t xml:space="preserve"> may</w:t>
      </w:r>
      <w:r w:rsidR="002948C3" w:rsidRPr="00DD55FF">
        <w:rPr>
          <w:sz w:val="24"/>
          <w:szCs w:val="24"/>
        </w:rPr>
        <w:t xml:space="preserve"> </w:t>
      </w:r>
      <w:r w:rsidR="00566027" w:rsidRPr="00DD55FF">
        <w:rPr>
          <w:sz w:val="24"/>
          <w:szCs w:val="24"/>
        </w:rPr>
        <w:t>s</w:t>
      </w:r>
      <w:r w:rsidR="002948C3" w:rsidRPr="00DD55FF">
        <w:rPr>
          <w:sz w:val="24"/>
          <w:szCs w:val="24"/>
        </w:rPr>
        <w:t>truggle to match.</w:t>
      </w:r>
      <w:r w:rsidR="002948C3" w:rsidRPr="00DD55FF">
        <w:rPr>
          <w:rStyle w:val="FootnoteReference"/>
          <w:sz w:val="24"/>
          <w:szCs w:val="24"/>
        </w:rPr>
        <w:footnoteReference w:id="101"/>
      </w:r>
      <w:r w:rsidR="00F11B00" w:rsidRPr="00DD55FF">
        <w:rPr>
          <w:sz w:val="24"/>
          <w:szCs w:val="24"/>
        </w:rPr>
        <w:t xml:space="preserve"> </w:t>
      </w:r>
    </w:p>
    <w:p w:rsidR="00373622" w:rsidRDefault="006149EF" w:rsidP="00AA11E2">
      <w:pPr>
        <w:ind w:firstLine="720"/>
        <w:jc w:val="both"/>
        <w:rPr>
          <w:sz w:val="24"/>
          <w:szCs w:val="24"/>
        </w:rPr>
      </w:pPr>
      <w:r w:rsidRPr="00DD55FF">
        <w:rPr>
          <w:sz w:val="24"/>
          <w:szCs w:val="24"/>
        </w:rPr>
        <w:t>However</w:t>
      </w:r>
      <w:r w:rsidR="008610D7" w:rsidRPr="00DD55FF">
        <w:rPr>
          <w:sz w:val="24"/>
          <w:szCs w:val="24"/>
        </w:rPr>
        <w:t xml:space="preserve"> </w:t>
      </w:r>
      <w:proofErr w:type="spellStart"/>
      <w:r w:rsidR="008610D7" w:rsidRPr="00DD55FF">
        <w:rPr>
          <w:sz w:val="24"/>
          <w:szCs w:val="24"/>
        </w:rPr>
        <w:t>Khaitan</w:t>
      </w:r>
      <w:proofErr w:type="spellEnd"/>
      <w:r w:rsidR="008610D7" w:rsidRPr="00DD55FF">
        <w:rPr>
          <w:sz w:val="24"/>
          <w:szCs w:val="24"/>
        </w:rPr>
        <w:t xml:space="preserve"> </w:t>
      </w:r>
      <w:r w:rsidR="00AC59C9" w:rsidRPr="00DD55FF">
        <w:rPr>
          <w:sz w:val="24"/>
          <w:szCs w:val="24"/>
        </w:rPr>
        <w:t>den</w:t>
      </w:r>
      <w:r w:rsidR="00823053" w:rsidRPr="00DD55FF">
        <w:rPr>
          <w:sz w:val="24"/>
          <w:szCs w:val="24"/>
        </w:rPr>
        <w:t>ies himself the us</w:t>
      </w:r>
      <w:r w:rsidR="00722750" w:rsidRPr="00DD55FF">
        <w:rPr>
          <w:sz w:val="24"/>
          <w:szCs w:val="24"/>
        </w:rPr>
        <w:t>e of equality</w:t>
      </w:r>
      <w:r w:rsidR="00823053" w:rsidRPr="00DD55FF">
        <w:rPr>
          <w:sz w:val="24"/>
          <w:szCs w:val="24"/>
        </w:rPr>
        <w:t>.</w:t>
      </w:r>
      <w:r w:rsidR="00AC59C9" w:rsidRPr="00DD55FF">
        <w:rPr>
          <w:sz w:val="24"/>
          <w:szCs w:val="24"/>
        </w:rPr>
        <w:t xml:space="preserve"> Despite his avowed commitment to developing a pluralist account of discrimination law, </w:t>
      </w:r>
      <w:r w:rsidR="00E07936" w:rsidRPr="00DD55FF">
        <w:rPr>
          <w:sz w:val="24"/>
          <w:szCs w:val="24"/>
        </w:rPr>
        <w:t xml:space="preserve">he actively steers clear of invoking any egalitarian principles – </w:t>
      </w:r>
      <w:r w:rsidR="00711405" w:rsidRPr="00DD55FF">
        <w:rPr>
          <w:sz w:val="24"/>
          <w:szCs w:val="24"/>
        </w:rPr>
        <w:t xml:space="preserve">reflecting his </w:t>
      </w:r>
      <w:r w:rsidR="006D019B" w:rsidRPr="00DD55FF">
        <w:rPr>
          <w:sz w:val="24"/>
          <w:szCs w:val="24"/>
        </w:rPr>
        <w:t xml:space="preserve">commitment </w:t>
      </w:r>
      <w:r w:rsidR="00DE6915" w:rsidRPr="00DD55FF">
        <w:rPr>
          <w:sz w:val="24"/>
          <w:szCs w:val="24"/>
        </w:rPr>
        <w:t xml:space="preserve">to liberal perfectionism, as well as his </w:t>
      </w:r>
      <w:r w:rsidR="00711405" w:rsidRPr="00DD55FF">
        <w:rPr>
          <w:sz w:val="24"/>
          <w:szCs w:val="24"/>
        </w:rPr>
        <w:t>inclination towards theore</w:t>
      </w:r>
      <w:r w:rsidR="006D019B" w:rsidRPr="00DD55FF">
        <w:rPr>
          <w:sz w:val="24"/>
          <w:szCs w:val="24"/>
        </w:rPr>
        <w:t xml:space="preserve">tical purity. But it is open to question whether some parts of his </w:t>
      </w:r>
      <w:r w:rsidR="00793A35" w:rsidRPr="00DD55FF">
        <w:rPr>
          <w:sz w:val="24"/>
          <w:szCs w:val="24"/>
        </w:rPr>
        <w:t xml:space="preserve">autonomy-based </w:t>
      </w:r>
      <w:r w:rsidR="006D019B" w:rsidRPr="00DD55FF">
        <w:rPr>
          <w:sz w:val="24"/>
          <w:szCs w:val="24"/>
        </w:rPr>
        <w:t>normative framework can bear the load he wishes them to carry</w:t>
      </w:r>
      <w:r w:rsidR="00050CB3">
        <w:rPr>
          <w:sz w:val="24"/>
          <w:szCs w:val="24"/>
        </w:rPr>
        <w:t>.</w:t>
      </w:r>
      <w:r w:rsidR="00F11B00" w:rsidRPr="00DD55FF">
        <w:rPr>
          <w:sz w:val="24"/>
          <w:szCs w:val="24"/>
          <w:vertAlign w:val="superscript"/>
        </w:rPr>
        <w:footnoteReference w:id="102"/>
      </w:r>
      <w:r w:rsidR="006D019B" w:rsidRPr="00DD55FF">
        <w:rPr>
          <w:sz w:val="24"/>
          <w:szCs w:val="24"/>
        </w:rPr>
        <w:t xml:space="preserve"> </w:t>
      </w:r>
      <w:r w:rsidR="00DE6915" w:rsidRPr="00DD55FF">
        <w:rPr>
          <w:sz w:val="24"/>
          <w:szCs w:val="24"/>
        </w:rPr>
        <w:t xml:space="preserve">He might have done better to relax his preference for bright-line solutions, and open the door to more </w:t>
      </w:r>
      <w:r w:rsidR="00793A35" w:rsidRPr="00DD55FF">
        <w:rPr>
          <w:sz w:val="24"/>
          <w:szCs w:val="24"/>
        </w:rPr>
        <w:t xml:space="preserve">substantive </w:t>
      </w:r>
      <w:r w:rsidR="00DE6915" w:rsidRPr="00DD55FF">
        <w:rPr>
          <w:sz w:val="24"/>
          <w:szCs w:val="24"/>
        </w:rPr>
        <w:t>engagement with e</w:t>
      </w:r>
      <w:r w:rsidR="00793A35" w:rsidRPr="00DD55FF">
        <w:rPr>
          <w:sz w:val="24"/>
          <w:szCs w:val="24"/>
        </w:rPr>
        <w:t>galitarian principles.</w:t>
      </w:r>
      <w:r w:rsidR="00D250B1" w:rsidRPr="00DD55FF">
        <w:rPr>
          <w:sz w:val="24"/>
          <w:szCs w:val="24"/>
        </w:rPr>
        <w:t xml:space="preserve"> Having said that, </w:t>
      </w:r>
      <w:proofErr w:type="spellStart"/>
      <w:r w:rsidR="00D250B1" w:rsidRPr="00DD55FF">
        <w:rPr>
          <w:sz w:val="24"/>
          <w:szCs w:val="24"/>
        </w:rPr>
        <w:t>Khaitan</w:t>
      </w:r>
      <w:proofErr w:type="spellEnd"/>
      <w:r w:rsidR="00823053" w:rsidRPr="00DD55FF">
        <w:rPr>
          <w:sz w:val="24"/>
          <w:szCs w:val="24"/>
        </w:rPr>
        <w:t xml:space="preserve"> makes effective use of his chosen building materials</w:t>
      </w:r>
      <w:r w:rsidR="0062208A" w:rsidRPr="00DD55FF">
        <w:rPr>
          <w:sz w:val="24"/>
          <w:szCs w:val="24"/>
        </w:rPr>
        <w:t>, and succeeds in constructing</w:t>
      </w:r>
      <w:r w:rsidR="00722750" w:rsidRPr="00DD55FF">
        <w:rPr>
          <w:sz w:val="24"/>
          <w:szCs w:val="24"/>
        </w:rPr>
        <w:t xml:space="preserve"> a credible and thought-provoking </w:t>
      </w:r>
      <w:r w:rsidR="0062208A" w:rsidRPr="00DD55FF">
        <w:rPr>
          <w:sz w:val="24"/>
          <w:szCs w:val="24"/>
        </w:rPr>
        <w:t xml:space="preserve">liberal </w:t>
      </w:r>
      <w:r w:rsidR="00722750" w:rsidRPr="00DD55FF">
        <w:rPr>
          <w:sz w:val="24"/>
          <w:szCs w:val="24"/>
        </w:rPr>
        <w:t>case</w:t>
      </w:r>
      <w:r w:rsidR="0062208A" w:rsidRPr="00DD55FF">
        <w:rPr>
          <w:sz w:val="24"/>
          <w:szCs w:val="24"/>
        </w:rPr>
        <w:t xml:space="preserve"> as to why</w:t>
      </w:r>
      <w:r w:rsidR="00AD7FD8" w:rsidRPr="00DD55FF">
        <w:rPr>
          <w:sz w:val="24"/>
          <w:szCs w:val="24"/>
        </w:rPr>
        <w:t xml:space="preserve"> discrimination law</w:t>
      </w:r>
      <w:r w:rsidR="0062208A" w:rsidRPr="00DD55FF">
        <w:rPr>
          <w:sz w:val="24"/>
          <w:szCs w:val="24"/>
        </w:rPr>
        <w:t xml:space="preserve"> </w:t>
      </w:r>
      <w:r w:rsidR="00AD7FD8" w:rsidRPr="00DD55FF">
        <w:rPr>
          <w:sz w:val="24"/>
          <w:szCs w:val="24"/>
        </w:rPr>
        <w:t xml:space="preserve">is justified </w:t>
      </w:r>
      <w:r w:rsidR="00373622" w:rsidRPr="00DD55FF">
        <w:rPr>
          <w:sz w:val="24"/>
          <w:szCs w:val="24"/>
        </w:rPr>
        <w:t>in targeting group disadvantage</w:t>
      </w:r>
      <w:r w:rsidR="00082351" w:rsidRPr="00DD55FF">
        <w:rPr>
          <w:sz w:val="24"/>
          <w:szCs w:val="24"/>
        </w:rPr>
        <w:t xml:space="preserve"> – even if he perhaps is too ambitious in </w:t>
      </w:r>
      <w:r w:rsidR="00DC1AA5" w:rsidRPr="00DD55FF">
        <w:rPr>
          <w:sz w:val="24"/>
          <w:szCs w:val="24"/>
        </w:rPr>
        <w:t>his architectural undertaking</w:t>
      </w:r>
      <w:r w:rsidR="00373622" w:rsidRPr="00DD55FF">
        <w:rPr>
          <w:sz w:val="24"/>
          <w:szCs w:val="24"/>
        </w:rPr>
        <w:t xml:space="preserve">. </w:t>
      </w:r>
      <w:r w:rsidR="00722750" w:rsidRPr="00DD55FF">
        <w:rPr>
          <w:sz w:val="24"/>
          <w:szCs w:val="24"/>
        </w:rPr>
        <w:t xml:space="preserve"> </w:t>
      </w:r>
      <w:r w:rsidR="00823053" w:rsidRPr="00DD55FF">
        <w:rPr>
          <w:sz w:val="24"/>
          <w:szCs w:val="24"/>
        </w:rPr>
        <w:t xml:space="preserve"> </w:t>
      </w:r>
      <w:r w:rsidR="00D250B1" w:rsidRPr="00DD55FF">
        <w:rPr>
          <w:sz w:val="24"/>
          <w:szCs w:val="24"/>
        </w:rPr>
        <w:t xml:space="preserve"> </w:t>
      </w:r>
    </w:p>
    <w:p w:rsidR="00AA11E2" w:rsidRPr="00AA11E2" w:rsidRDefault="00AA11E2" w:rsidP="00AA11E2">
      <w:pPr>
        <w:ind w:firstLine="720"/>
        <w:jc w:val="center"/>
        <w:rPr>
          <w:sz w:val="28"/>
          <w:szCs w:val="28"/>
        </w:rPr>
      </w:pPr>
    </w:p>
    <w:p w:rsidR="00373622" w:rsidRPr="00AA11E2" w:rsidRDefault="001A395D" w:rsidP="00AA11E2">
      <w:pPr>
        <w:jc w:val="center"/>
        <w:rPr>
          <w:sz w:val="28"/>
          <w:szCs w:val="28"/>
        </w:rPr>
      </w:pPr>
      <w:r w:rsidRPr="00AA11E2">
        <w:rPr>
          <w:sz w:val="28"/>
          <w:szCs w:val="28"/>
        </w:rPr>
        <w:t xml:space="preserve">9. </w:t>
      </w:r>
      <w:r w:rsidR="00373622" w:rsidRPr="00AA11E2">
        <w:rPr>
          <w:i/>
          <w:sz w:val="28"/>
          <w:szCs w:val="28"/>
        </w:rPr>
        <w:t>Conclusion</w:t>
      </w:r>
    </w:p>
    <w:p w:rsidR="002B7F3C" w:rsidRPr="00DD55FF" w:rsidRDefault="00066BBD" w:rsidP="00DD55FF">
      <w:pPr>
        <w:jc w:val="both"/>
        <w:rPr>
          <w:sz w:val="24"/>
          <w:szCs w:val="24"/>
        </w:rPr>
      </w:pPr>
      <w:proofErr w:type="spellStart"/>
      <w:r w:rsidRPr="00DD55FF">
        <w:rPr>
          <w:sz w:val="24"/>
          <w:szCs w:val="24"/>
        </w:rPr>
        <w:t>Khaitan</w:t>
      </w:r>
      <w:proofErr w:type="spellEnd"/>
      <w:r w:rsidR="00B004B7" w:rsidRPr="00DD55FF">
        <w:rPr>
          <w:sz w:val="24"/>
          <w:szCs w:val="24"/>
        </w:rPr>
        <w:t xml:space="preserve"> embarks in this book </w:t>
      </w:r>
      <w:r w:rsidR="00963542" w:rsidRPr="00DD55FF">
        <w:rPr>
          <w:sz w:val="24"/>
          <w:szCs w:val="24"/>
        </w:rPr>
        <w:t>on a</w:t>
      </w:r>
      <w:r w:rsidR="00B004B7" w:rsidRPr="00DD55FF">
        <w:rPr>
          <w:sz w:val="24"/>
          <w:szCs w:val="24"/>
        </w:rPr>
        <w:t xml:space="preserve"> quest for his ‘Holy Grail’, namely a sound normative foundation for contemporary discrimination law. </w:t>
      </w:r>
      <w:r w:rsidR="003428A5" w:rsidRPr="00DD55FF">
        <w:rPr>
          <w:sz w:val="24"/>
          <w:szCs w:val="24"/>
        </w:rPr>
        <w:t xml:space="preserve">He concludes that this </w:t>
      </w:r>
      <w:r w:rsidR="00963542" w:rsidRPr="00DD55FF">
        <w:rPr>
          <w:sz w:val="24"/>
          <w:szCs w:val="24"/>
        </w:rPr>
        <w:t xml:space="preserve">Grail </w:t>
      </w:r>
      <w:r w:rsidR="003428A5" w:rsidRPr="00DD55FF">
        <w:rPr>
          <w:sz w:val="24"/>
          <w:szCs w:val="24"/>
        </w:rPr>
        <w:t>ta</w:t>
      </w:r>
      <w:r w:rsidR="00963542" w:rsidRPr="00DD55FF">
        <w:rPr>
          <w:sz w:val="24"/>
          <w:szCs w:val="24"/>
        </w:rPr>
        <w:t xml:space="preserve">kes the form of the need to combat group disadvantage in the interests of enhancing individual freedom. </w:t>
      </w:r>
      <w:r w:rsidR="00963542" w:rsidRPr="00DD55FF">
        <w:rPr>
          <w:sz w:val="24"/>
          <w:szCs w:val="24"/>
        </w:rPr>
        <w:lastRenderedPageBreak/>
        <w:t>Others will conclude that thi</w:t>
      </w:r>
      <w:r w:rsidR="000C184C" w:rsidRPr="00DD55FF">
        <w:rPr>
          <w:sz w:val="24"/>
          <w:szCs w:val="24"/>
        </w:rPr>
        <w:t xml:space="preserve">s moral concern represents only a part of the ultimate truth. However, </w:t>
      </w:r>
      <w:proofErr w:type="spellStart"/>
      <w:r w:rsidR="000C184C" w:rsidRPr="00DD55FF">
        <w:rPr>
          <w:sz w:val="24"/>
          <w:szCs w:val="24"/>
        </w:rPr>
        <w:t>Khaitan’s</w:t>
      </w:r>
      <w:proofErr w:type="spellEnd"/>
      <w:r w:rsidR="000C184C" w:rsidRPr="00DD55FF">
        <w:rPr>
          <w:sz w:val="24"/>
          <w:szCs w:val="24"/>
        </w:rPr>
        <w:t xml:space="preserve"> </w:t>
      </w:r>
      <w:r w:rsidR="0013321E" w:rsidRPr="00DD55FF">
        <w:rPr>
          <w:sz w:val="24"/>
          <w:szCs w:val="24"/>
        </w:rPr>
        <w:t xml:space="preserve">quest shows up the inadequacies of </w:t>
      </w:r>
      <w:r w:rsidR="00CA2C82" w:rsidRPr="00DD55FF">
        <w:rPr>
          <w:sz w:val="24"/>
          <w:szCs w:val="24"/>
        </w:rPr>
        <w:t>previous attempts to track down this Holy Grail</w:t>
      </w:r>
      <w:r w:rsidR="006813F9" w:rsidRPr="00DD55FF">
        <w:rPr>
          <w:sz w:val="24"/>
          <w:szCs w:val="24"/>
        </w:rPr>
        <w:t>, and the path he has lai</w:t>
      </w:r>
      <w:r w:rsidR="00EE4BE9" w:rsidRPr="00DD55FF">
        <w:rPr>
          <w:sz w:val="24"/>
          <w:szCs w:val="24"/>
        </w:rPr>
        <w:t>d down will encourage others to follow in his footsteps. In general, this book is a significant achievement</w:t>
      </w:r>
      <w:r w:rsidR="003428A5" w:rsidRPr="00DD55FF">
        <w:rPr>
          <w:sz w:val="24"/>
          <w:szCs w:val="24"/>
        </w:rPr>
        <w:t>: it represents a major addition to the theoretical literature on discrimination law</w:t>
      </w:r>
      <w:r w:rsidR="00EE4BE9" w:rsidRPr="00DD55FF">
        <w:rPr>
          <w:sz w:val="24"/>
          <w:szCs w:val="24"/>
        </w:rPr>
        <w:t>.</w:t>
      </w:r>
    </w:p>
    <w:sectPr w:rsidR="002B7F3C" w:rsidRPr="00DD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19A" w:rsidRDefault="001D119A" w:rsidP="00691100">
      <w:pPr>
        <w:spacing w:after="0" w:line="240" w:lineRule="auto"/>
      </w:pPr>
      <w:r>
        <w:separator/>
      </w:r>
    </w:p>
  </w:endnote>
  <w:endnote w:type="continuationSeparator" w:id="0">
    <w:p w:rsidR="001D119A" w:rsidRDefault="001D119A" w:rsidP="0069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19A" w:rsidRDefault="001D119A" w:rsidP="00691100">
      <w:pPr>
        <w:spacing w:after="0" w:line="240" w:lineRule="auto"/>
      </w:pPr>
      <w:r>
        <w:separator/>
      </w:r>
    </w:p>
  </w:footnote>
  <w:footnote w:type="continuationSeparator" w:id="0">
    <w:p w:rsidR="001D119A" w:rsidRDefault="001D119A" w:rsidP="00691100">
      <w:pPr>
        <w:spacing w:after="0" w:line="240" w:lineRule="auto"/>
      </w:pPr>
      <w:r>
        <w:continuationSeparator/>
      </w:r>
    </w:p>
  </w:footnote>
  <w:footnote w:id="1">
    <w:p w:rsidR="00381AB7" w:rsidRPr="00DD55FF" w:rsidRDefault="00381AB7" w:rsidP="00DD55FF">
      <w:pPr>
        <w:pStyle w:val="FootnoteText"/>
        <w:jc w:val="both"/>
        <w:rPr>
          <w:sz w:val="22"/>
          <w:szCs w:val="22"/>
        </w:rPr>
      </w:pPr>
      <w:r w:rsidRPr="00DD55FF">
        <w:rPr>
          <w:rStyle w:val="FootnoteReference"/>
          <w:sz w:val="22"/>
          <w:szCs w:val="22"/>
        </w:rPr>
        <w:sym w:font="Symbol" w:char="F02B"/>
      </w:r>
      <w:r w:rsidRPr="00DD55FF">
        <w:rPr>
          <w:sz w:val="22"/>
          <w:szCs w:val="22"/>
        </w:rPr>
        <w:t xml:space="preserve"> </w:t>
      </w:r>
      <w:r w:rsidR="00FC3439" w:rsidRPr="00DD55FF">
        <w:rPr>
          <w:sz w:val="22"/>
          <w:szCs w:val="22"/>
        </w:rPr>
        <w:t xml:space="preserve">A review of T </w:t>
      </w:r>
      <w:proofErr w:type="spellStart"/>
      <w:r w:rsidR="00FC3439" w:rsidRPr="00DD55FF">
        <w:rPr>
          <w:sz w:val="22"/>
          <w:szCs w:val="22"/>
        </w:rPr>
        <w:t>Khaitan</w:t>
      </w:r>
      <w:proofErr w:type="spellEnd"/>
      <w:r w:rsidR="00FC3439" w:rsidRPr="00DD55FF">
        <w:rPr>
          <w:sz w:val="22"/>
          <w:szCs w:val="22"/>
        </w:rPr>
        <w:t xml:space="preserve">, </w:t>
      </w:r>
      <w:r w:rsidR="00FC3439" w:rsidRPr="00DD55FF">
        <w:rPr>
          <w:i/>
          <w:sz w:val="22"/>
          <w:szCs w:val="22"/>
        </w:rPr>
        <w:t>A Theory of Discrimination Law</w:t>
      </w:r>
      <w:r w:rsidR="00FC3439" w:rsidRPr="00DD55FF">
        <w:rPr>
          <w:sz w:val="22"/>
          <w:szCs w:val="22"/>
        </w:rPr>
        <w:t xml:space="preserve"> (OUP, 2015).</w:t>
      </w:r>
    </w:p>
  </w:footnote>
  <w:footnote w:id="2">
    <w:p w:rsidR="00D250B1" w:rsidRPr="00DD55FF" w:rsidRDefault="00D250B1" w:rsidP="00DD55FF">
      <w:pPr>
        <w:pStyle w:val="FootnoteText"/>
        <w:jc w:val="both"/>
        <w:rPr>
          <w:sz w:val="22"/>
          <w:szCs w:val="22"/>
        </w:rPr>
      </w:pPr>
      <w:r w:rsidRPr="00DD55FF">
        <w:rPr>
          <w:rStyle w:val="FootnoteReference"/>
          <w:sz w:val="22"/>
          <w:szCs w:val="22"/>
        </w:rPr>
        <w:sym w:font="Symbol" w:char="F02A"/>
      </w:r>
      <w:r w:rsidR="00CB188E" w:rsidRPr="00DD55FF">
        <w:rPr>
          <w:sz w:val="22"/>
          <w:szCs w:val="22"/>
        </w:rPr>
        <w:t xml:space="preserve"> Professor of H</w:t>
      </w:r>
      <w:r w:rsidRPr="00DD55FF">
        <w:rPr>
          <w:sz w:val="22"/>
          <w:szCs w:val="22"/>
        </w:rPr>
        <w:t xml:space="preserve">uman Rights Law, UCL. I am grateful to </w:t>
      </w:r>
      <w:proofErr w:type="spellStart"/>
      <w:r w:rsidR="00381AB7" w:rsidRPr="00DD55FF">
        <w:rPr>
          <w:sz w:val="22"/>
          <w:szCs w:val="22"/>
        </w:rPr>
        <w:t>Tarunabh</w:t>
      </w:r>
      <w:proofErr w:type="spellEnd"/>
      <w:r w:rsidR="00381AB7" w:rsidRPr="00DD55FF">
        <w:rPr>
          <w:sz w:val="22"/>
          <w:szCs w:val="22"/>
        </w:rPr>
        <w:t xml:space="preserve"> </w:t>
      </w:r>
      <w:proofErr w:type="spellStart"/>
      <w:r w:rsidR="00381AB7" w:rsidRPr="00DD55FF">
        <w:rPr>
          <w:sz w:val="22"/>
          <w:szCs w:val="22"/>
        </w:rPr>
        <w:t>Khaitan</w:t>
      </w:r>
      <w:proofErr w:type="spellEnd"/>
      <w:r w:rsidR="00381AB7" w:rsidRPr="00DD55FF">
        <w:rPr>
          <w:sz w:val="22"/>
          <w:szCs w:val="22"/>
        </w:rPr>
        <w:t xml:space="preserve"> for comments on an earlier draft, and to Julie Dickson for her patience.</w:t>
      </w:r>
    </w:p>
  </w:footnote>
  <w:footnote w:id="3">
    <w:p w:rsidR="00222C09" w:rsidRPr="00DD55FF" w:rsidRDefault="00222C09" w:rsidP="00222C09">
      <w:pPr>
        <w:pStyle w:val="FootnoteText"/>
        <w:jc w:val="both"/>
        <w:rPr>
          <w:sz w:val="22"/>
          <w:szCs w:val="22"/>
        </w:rPr>
      </w:pPr>
      <w:r w:rsidRPr="00DD55FF">
        <w:rPr>
          <w:rStyle w:val="FootnoteReference"/>
          <w:sz w:val="22"/>
          <w:szCs w:val="22"/>
        </w:rPr>
        <w:footnoteRef/>
      </w:r>
      <w:r w:rsidRPr="00DD55FF">
        <w:rPr>
          <w:sz w:val="22"/>
          <w:szCs w:val="22"/>
        </w:rPr>
        <w:t xml:space="preserve"> </w:t>
      </w:r>
      <w:r w:rsidR="00567904">
        <w:rPr>
          <w:sz w:val="22"/>
          <w:szCs w:val="22"/>
        </w:rPr>
        <w:t xml:space="preserve">T </w:t>
      </w:r>
      <w:proofErr w:type="spellStart"/>
      <w:r w:rsidRPr="00DD55FF">
        <w:rPr>
          <w:sz w:val="22"/>
          <w:szCs w:val="22"/>
        </w:rPr>
        <w:t>Khaitan</w:t>
      </w:r>
      <w:proofErr w:type="spellEnd"/>
      <w:r w:rsidR="00567904">
        <w:rPr>
          <w:sz w:val="22"/>
          <w:szCs w:val="22"/>
        </w:rPr>
        <w:t xml:space="preserve">, </w:t>
      </w:r>
      <w:r w:rsidR="00567904" w:rsidRPr="00567904">
        <w:rPr>
          <w:i/>
          <w:sz w:val="22"/>
          <w:szCs w:val="22"/>
        </w:rPr>
        <w:t>A Theory of Discrimination Law</w:t>
      </w:r>
      <w:r w:rsidR="00567904">
        <w:rPr>
          <w:sz w:val="22"/>
          <w:szCs w:val="22"/>
        </w:rPr>
        <w:t xml:space="preserve"> (OUP, 2015)</w:t>
      </w:r>
      <w:r w:rsidRPr="00DD55FF">
        <w:rPr>
          <w:sz w:val="22"/>
          <w:szCs w:val="22"/>
        </w:rPr>
        <w:t xml:space="preserve"> 3.</w:t>
      </w:r>
    </w:p>
  </w:footnote>
  <w:footnote w:id="4">
    <w:p w:rsidR="00222C09" w:rsidRPr="00DD55FF" w:rsidRDefault="00222C09" w:rsidP="00222C09">
      <w:pPr>
        <w:pStyle w:val="FootnoteText"/>
        <w:jc w:val="both"/>
        <w:rPr>
          <w:sz w:val="22"/>
          <w:szCs w:val="22"/>
        </w:rPr>
      </w:pPr>
      <w:r w:rsidRPr="00DD55FF">
        <w:rPr>
          <w:rStyle w:val="FootnoteReference"/>
          <w:sz w:val="22"/>
          <w:szCs w:val="22"/>
        </w:rPr>
        <w:footnoteRef/>
      </w:r>
      <w:r w:rsidR="00567904">
        <w:rPr>
          <w:sz w:val="22"/>
          <w:szCs w:val="22"/>
        </w:rPr>
        <w:t xml:space="preserve"> ibid</w:t>
      </w:r>
      <w:r w:rsidRPr="00DD55FF">
        <w:rPr>
          <w:sz w:val="22"/>
          <w:szCs w:val="22"/>
        </w:rPr>
        <w:t xml:space="preserve"> 2.</w:t>
      </w:r>
    </w:p>
  </w:footnote>
  <w:footnote w:id="5">
    <w:p w:rsidR="00F11B00" w:rsidRPr="00DD55FF" w:rsidRDefault="00F11B00" w:rsidP="00DD55FF">
      <w:pPr>
        <w:pStyle w:val="FootnoteText"/>
        <w:jc w:val="both"/>
        <w:rPr>
          <w:sz w:val="22"/>
          <w:szCs w:val="22"/>
        </w:rPr>
      </w:pPr>
      <w:r w:rsidRPr="00DD55FF">
        <w:rPr>
          <w:rStyle w:val="FootnoteReference"/>
          <w:sz w:val="22"/>
          <w:szCs w:val="22"/>
        </w:rPr>
        <w:footnoteRef/>
      </w:r>
      <w:r w:rsidR="00567904">
        <w:rPr>
          <w:sz w:val="22"/>
          <w:szCs w:val="22"/>
        </w:rPr>
        <w:t xml:space="preserve"> ibid </w:t>
      </w:r>
      <w:r w:rsidRPr="00DD55FF">
        <w:rPr>
          <w:sz w:val="22"/>
          <w:szCs w:val="22"/>
        </w:rPr>
        <w:t>1.</w:t>
      </w:r>
    </w:p>
  </w:footnote>
  <w:footnote w:id="6">
    <w:p w:rsidR="00F11B00" w:rsidRPr="00DD55FF" w:rsidRDefault="00F11B00" w:rsidP="00DD55FF">
      <w:pPr>
        <w:pStyle w:val="FootnoteText"/>
        <w:jc w:val="both"/>
        <w:rPr>
          <w:sz w:val="22"/>
          <w:szCs w:val="22"/>
        </w:rPr>
      </w:pPr>
      <w:r w:rsidRPr="00DD55FF">
        <w:rPr>
          <w:rStyle w:val="FootnoteReference"/>
          <w:sz w:val="22"/>
          <w:szCs w:val="22"/>
        </w:rPr>
        <w:footnoteRef/>
      </w:r>
      <w:r w:rsidR="00567904">
        <w:rPr>
          <w:sz w:val="22"/>
          <w:szCs w:val="22"/>
        </w:rPr>
        <w:t xml:space="preserve"> </w:t>
      </w:r>
      <w:r w:rsidR="009F0BD6" w:rsidRPr="00DD55FF">
        <w:rPr>
          <w:sz w:val="22"/>
          <w:szCs w:val="22"/>
        </w:rPr>
        <w:t xml:space="preserve">ibid </w:t>
      </w:r>
      <w:r w:rsidRPr="00DD55FF">
        <w:rPr>
          <w:sz w:val="22"/>
          <w:szCs w:val="22"/>
        </w:rPr>
        <w:t>4-9.</w:t>
      </w:r>
    </w:p>
  </w:footnote>
  <w:footnote w:id="7">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C O’Cinneide,</w:t>
      </w:r>
      <w:r w:rsidRPr="00DD55FF">
        <w:rPr>
          <w:rFonts w:ascii="Arial" w:hAnsi="Arial" w:cs="Arial"/>
          <w:sz w:val="22"/>
          <w:szCs w:val="22"/>
        </w:rPr>
        <w:t xml:space="preserve"> </w:t>
      </w:r>
      <w:r w:rsidRPr="00DD55FF">
        <w:rPr>
          <w:sz w:val="22"/>
          <w:szCs w:val="22"/>
        </w:rPr>
        <w:t>‘</w:t>
      </w:r>
      <w:proofErr w:type="gramStart"/>
      <w:r w:rsidRPr="00DD55FF">
        <w:rPr>
          <w:sz w:val="22"/>
          <w:szCs w:val="22"/>
        </w:rPr>
        <w:t>The</w:t>
      </w:r>
      <w:proofErr w:type="gramEnd"/>
      <w:r w:rsidRPr="00DD55FF">
        <w:rPr>
          <w:sz w:val="22"/>
          <w:szCs w:val="22"/>
        </w:rPr>
        <w:t xml:space="preserve"> Uncertain Foundations of Contemporary Anti-discrimination Law’ (2011) 11(2) </w:t>
      </w:r>
      <w:r w:rsidRPr="00DD55FF">
        <w:rPr>
          <w:i/>
          <w:sz w:val="22"/>
          <w:szCs w:val="22"/>
        </w:rPr>
        <w:t>International Journal of Discrimination and the Law</w:t>
      </w:r>
      <w:r w:rsidRPr="00DD55FF">
        <w:rPr>
          <w:sz w:val="22"/>
          <w:szCs w:val="22"/>
        </w:rPr>
        <w:t xml:space="preserve"> 7. </w:t>
      </w:r>
    </w:p>
  </w:footnote>
  <w:footnote w:id="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for example the essays collected in C </w:t>
      </w:r>
      <w:proofErr w:type="spellStart"/>
      <w:r w:rsidRPr="00DD55FF">
        <w:rPr>
          <w:sz w:val="22"/>
          <w:szCs w:val="22"/>
        </w:rPr>
        <w:t>McCrudden</w:t>
      </w:r>
      <w:proofErr w:type="spellEnd"/>
      <w:r w:rsidRPr="00DD55FF">
        <w:rPr>
          <w:sz w:val="22"/>
          <w:szCs w:val="22"/>
        </w:rPr>
        <w:t xml:space="preserve"> (</w:t>
      </w:r>
      <w:proofErr w:type="spellStart"/>
      <w:proofErr w:type="gramStart"/>
      <w:r w:rsidRPr="00DD55FF">
        <w:rPr>
          <w:sz w:val="22"/>
          <w:szCs w:val="22"/>
        </w:rPr>
        <w:t>ed</w:t>
      </w:r>
      <w:proofErr w:type="spellEnd"/>
      <w:proofErr w:type="gramEnd"/>
      <w:r w:rsidRPr="00DD55FF">
        <w:rPr>
          <w:sz w:val="22"/>
          <w:szCs w:val="22"/>
        </w:rPr>
        <w:t xml:space="preserve">), </w:t>
      </w:r>
      <w:r w:rsidRPr="00DD55FF">
        <w:rPr>
          <w:i/>
          <w:sz w:val="22"/>
          <w:szCs w:val="22"/>
        </w:rPr>
        <w:t>Anti-Discrimination Law</w:t>
      </w:r>
      <w:r w:rsidRPr="00DD55FF">
        <w:rPr>
          <w:sz w:val="22"/>
          <w:szCs w:val="22"/>
        </w:rPr>
        <w:t xml:space="preserve"> (2</w:t>
      </w:r>
      <w:r w:rsidRPr="00DD55FF">
        <w:rPr>
          <w:sz w:val="22"/>
          <w:szCs w:val="22"/>
          <w:vertAlign w:val="superscript"/>
        </w:rPr>
        <w:t>nd</w:t>
      </w:r>
      <w:r w:rsidRPr="00DD55FF">
        <w:rPr>
          <w:sz w:val="22"/>
          <w:szCs w:val="22"/>
        </w:rPr>
        <w:t xml:space="preserve"> </w:t>
      </w:r>
      <w:proofErr w:type="spellStart"/>
      <w:r w:rsidRPr="00DD55FF">
        <w:rPr>
          <w:sz w:val="22"/>
          <w:szCs w:val="22"/>
        </w:rPr>
        <w:t>edn</w:t>
      </w:r>
      <w:proofErr w:type="spellEnd"/>
      <w:r w:rsidRPr="00DD55FF">
        <w:rPr>
          <w:sz w:val="22"/>
          <w:szCs w:val="22"/>
        </w:rPr>
        <w:t xml:space="preserve">, </w:t>
      </w:r>
      <w:proofErr w:type="spellStart"/>
      <w:r w:rsidRPr="00DD55FF">
        <w:rPr>
          <w:sz w:val="22"/>
          <w:szCs w:val="22"/>
        </w:rPr>
        <w:t>Ashgate</w:t>
      </w:r>
      <w:proofErr w:type="spellEnd"/>
      <w:r w:rsidRPr="00DD55FF">
        <w:rPr>
          <w:sz w:val="22"/>
          <w:szCs w:val="22"/>
        </w:rPr>
        <w:t xml:space="preserve"> 2004) and D Hellman and S Moreau (</w:t>
      </w:r>
      <w:proofErr w:type="spellStart"/>
      <w:r w:rsidRPr="00DD55FF">
        <w:rPr>
          <w:sz w:val="22"/>
          <w:szCs w:val="22"/>
        </w:rPr>
        <w:t>eds</w:t>
      </w:r>
      <w:proofErr w:type="spellEnd"/>
      <w:r w:rsidRPr="00DD55FF">
        <w:rPr>
          <w:sz w:val="22"/>
          <w:szCs w:val="22"/>
        </w:rPr>
        <w:t xml:space="preserve">), </w:t>
      </w:r>
      <w:r w:rsidRPr="00DD55FF">
        <w:rPr>
          <w:i/>
          <w:sz w:val="22"/>
          <w:szCs w:val="22"/>
        </w:rPr>
        <w:t>Philosophical Foundations of Discrimination Law</w:t>
      </w:r>
      <w:r w:rsidRPr="00DD55FF">
        <w:rPr>
          <w:sz w:val="22"/>
          <w:szCs w:val="22"/>
        </w:rPr>
        <w:t xml:space="preserve"> (Oxford University Press 2011).</w:t>
      </w:r>
    </w:p>
  </w:footnote>
  <w:footnote w:id="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For example, much of the existing theoretical literature does not engage in any depth with the law relating to disability or age discrimination. The influential work of Sandra Fredman merits honourable mention as an exception in this regard: see S Fredman, </w:t>
      </w:r>
      <w:r w:rsidRPr="00DD55FF">
        <w:rPr>
          <w:i/>
          <w:sz w:val="22"/>
          <w:szCs w:val="22"/>
        </w:rPr>
        <w:t xml:space="preserve">Discrimination Law </w:t>
      </w:r>
      <w:r w:rsidRPr="00DD55FF">
        <w:rPr>
          <w:sz w:val="22"/>
          <w:szCs w:val="22"/>
        </w:rPr>
        <w:t>(2</w:t>
      </w:r>
      <w:r w:rsidRPr="00DD55FF">
        <w:rPr>
          <w:sz w:val="22"/>
          <w:szCs w:val="22"/>
          <w:vertAlign w:val="superscript"/>
        </w:rPr>
        <w:t>nd</w:t>
      </w:r>
      <w:r w:rsidRPr="00DD55FF">
        <w:rPr>
          <w:sz w:val="22"/>
          <w:szCs w:val="22"/>
        </w:rPr>
        <w:t xml:space="preserve"> </w:t>
      </w:r>
      <w:proofErr w:type="spellStart"/>
      <w:r w:rsidRPr="00DD55FF">
        <w:rPr>
          <w:sz w:val="22"/>
          <w:szCs w:val="22"/>
        </w:rPr>
        <w:t>edn</w:t>
      </w:r>
      <w:proofErr w:type="spellEnd"/>
      <w:r w:rsidRPr="00DD55FF">
        <w:rPr>
          <w:sz w:val="22"/>
          <w:szCs w:val="22"/>
        </w:rPr>
        <w:t xml:space="preserve">, Oxford University Press 2011). </w:t>
      </w:r>
    </w:p>
  </w:footnote>
  <w:footnote w:id="10">
    <w:p w:rsidR="00F11B00" w:rsidRPr="00DD55FF" w:rsidRDefault="00F11B00" w:rsidP="00DD55FF">
      <w:pPr>
        <w:pStyle w:val="FootnoteText"/>
        <w:jc w:val="both"/>
        <w:rPr>
          <w:sz w:val="22"/>
          <w:szCs w:val="22"/>
        </w:rPr>
      </w:pPr>
      <w:r w:rsidRPr="00DD55FF">
        <w:rPr>
          <w:rStyle w:val="FootnoteReference"/>
          <w:sz w:val="22"/>
          <w:szCs w:val="22"/>
        </w:rPr>
        <w:footnoteRef/>
      </w:r>
      <w:r w:rsidR="00567904">
        <w:rPr>
          <w:sz w:val="22"/>
          <w:szCs w:val="22"/>
        </w:rPr>
        <w:t xml:space="preserve"> </w:t>
      </w:r>
      <w:proofErr w:type="spellStart"/>
      <w:r w:rsidR="00567904">
        <w:rPr>
          <w:sz w:val="22"/>
          <w:szCs w:val="22"/>
        </w:rPr>
        <w:t>Khaitan</w:t>
      </w:r>
      <w:proofErr w:type="spellEnd"/>
      <w:r w:rsidR="00567904">
        <w:rPr>
          <w:sz w:val="22"/>
          <w:szCs w:val="22"/>
        </w:rPr>
        <w:t xml:space="preserve"> (n 1</w:t>
      </w:r>
      <w:r w:rsidRPr="00DD55FF">
        <w:rPr>
          <w:sz w:val="22"/>
          <w:szCs w:val="22"/>
        </w:rPr>
        <w:t>) 248.</w:t>
      </w:r>
    </w:p>
  </w:footnote>
  <w:footnote w:id="11">
    <w:p w:rsidR="00F11B00" w:rsidRPr="00DD55FF" w:rsidRDefault="00F11B00" w:rsidP="00DD55FF">
      <w:pPr>
        <w:pStyle w:val="FootnoteText"/>
        <w:jc w:val="both"/>
        <w:rPr>
          <w:sz w:val="22"/>
          <w:szCs w:val="22"/>
        </w:rPr>
      </w:pPr>
      <w:r w:rsidRPr="00DD55FF">
        <w:rPr>
          <w:rStyle w:val="FootnoteReference"/>
          <w:sz w:val="22"/>
          <w:szCs w:val="22"/>
        </w:rPr>
        <w:footnoteRef/>
      </w:r>
      <w:r w:rsidR="009F0BD6" w:rsidRPr="00DD55FF">
        <w:rPr>
          <w:sz w:val="22"/>
          <w:szCs w:val="22"/>
        </w:rPr>
        <w:t xml:space="preserve"> ibid</w:t>
      </w:r>
      <w:r w:rsidRPr="00DD55FF">
        <w:rPr>
          <w:sz w:val="22"/>
          <w:szCs w:val="22"/>
        </w:rPr>
        <w:t xml:space="preserve"> 1-2. Khaitan acknowledges that these terms – ‘lay understanding’ and ‘legal model’ – are relatively ‘coarse’ archetypes: however, as he notes, they serve the ‘heuristically useful’ function of shedding light on a set of conceptual tensions running through normative debates about discrimination law. </w:t>
      </w:r>
    </w:p>
  </w:footnote>
  <w:footnote w:id="12">
    <w:p w:rsidR="00D4404B" w:rsidRPr="00DD55FF" w:rsidRDefault="00D4404B" w:rsidP="00D4404B">
      <w:pPr>
        <w:pStyle w:val="FootnoteText"/>
        <w:jc w:val="both"/>
        <w:rPr>
          <w:sz w:val="22"/>
          <w:szCs w:val="22"/>
        </w:rPr>
      </w:pPr>
      <w:r w:rsidRPr="00DD55FF">
        <w:rPr>
          <w:rStyle w:val="FootnoteReference"/>
          <w:sz w:val="22"/>
          <w:szCs w:val="22"/>
        </w:rPr>
        <w:footnoteRef/>
      </w:r>
      <w:r w:rsidRPr="00DD55FF">
        <w:rPr>
          <w:sz w:val="22"/>
          <w:szCs w:val="22"/>
        </w:rPr>
        <w:t xml:space="preserve"> ibid 1-2.</w:t>
      </w:r>
    </w:p>
  </w:footnote>
  <w:footnote w:id="13">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2.</w:t>
      </w:r>
    </w:p>
  </w:footnote>
  <w:footnote w:id="1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2.</w:t>
      </w:r>
    </w:p>
  </w:footnote>
  <w:footnote w:id="15">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For example, discrimination law permits employers in certain situations to give preferential treatment to certain disadvantaged groups through positive action programmes, which popular discourse often views as an inherently suspect form of ‘positive discrimination’.</w:t>
      </w:r>
    </w:p>
  </w:footnote>
  <w:footnote w:id="16">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2.</w:t>
      </w:r>
    </w:p>
  </w:footnote>
  <w:footnote w:id="17">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r w:rsidR="007E2CD5">
        <w:rPr>
          <w:sz w:val="22"/>
          <w:szCs w:val="22"/>
        </w:rPr>
        <w:t>See e.g. the views of John Gard</w:t>
      </w:r>
      <w:r w:rsidRPr="00DD55FF">
        <w:rPr>
          <w:sz w:val="22"/>
          <w:szCs w:val="22"/>
        </w:rPr>
        <w:t xml:space="preserve">ner, set out in particular in J. Gardner, ‘Liberals and Unlawful Discrimination’ (1989) 9 </w:t>
      </w:r>
      <w:r w:rsidRPr="00DD55FF">
        <w:rPr>
          <w:i/>
          <w:sz w:val="22"/>
          <w:szCs w:val="22"/>
        </w:rPr>
        <w:t>OJLS</w:t>
      </w:r>
      <w:r w:rsidRPr="00DD55FF">
        <w:rPr>
          <w:sz w:val="22"/>
          <w:szCs w:val="22"/>
        </w:rPr>
        <w:t xml:space="preserve"> 1; J. Gardner, ‘Discrimination as Injustice’ (1996) 16 </w:t>
      </w:r>
      <w:r w:rsidRPr="00DD55FF">
        <w:rPr>
          <w:i/>
          <w:sz w:val="22"/>
          <w:szCs w:val="22"/>
        </w:rPr>
        <w:t>OJLS</w:t>
      </w:r>
      <w:r w:rsidRPr="00DD55FF">
        <w:rPr>
          <w:sz w:val="22"/>
          <w:szCs w:val="22"/>
        </w:rPr>
        <w:t xml:space="preserve"> 367, and J. Gardner, ‘On the Grounds of her </w:t>
      </w:r>
      <w:proofErr w:type="gramStart"/>
      <w:r w:rsidRPr="00DD55FF">
        <w:rPr>
          <w:sz w:val="22"/>
          <w:szCs w:val="22"/>
        </w:rPr>
        <w:t>Sex(</w:t>
      </w:r>
      <w:proofErr w:type="spellStart"/>
      <w:proofErr w:type="gramEnd"/>
      <w:r w:rsidRPr="00DD55FF">
        <w:rPr>
          <w:sz w:val="22"/>
          <w:szCs w:val="22"/>
        </w:rPr>
        <w:t>uality</w:t>
      </w:r>
      <w:proofErr w:type="spellEnd"/>
      <w:r w:rsidRPr="00DD55FF">
        <w:rPr>
          <w:sz w:val="22"/>
          <w:szCs w:val="22"/>
        </w:rPr>
        <w:t xml:space="preserve">)’ (1998) 18 </w:t>
      </w:r>
      <w:r w:rsidRPr="00DD55FF">
        <w:rPr>
          <w:i/>
          <w:sz w:val="22"/>
          <w:szCs w:val="22"/>
        </w:rPr>
        <w:t>OJLS</w:t>
      </w:r>
      <w:r w:rsidRPr="00DD55FF">
        <w:rPr>
          <w:sz w:val="22"/>
          <w:szCs w:val="22"/>
        </w:rPr>
        <w:t xml:space="preserve"> 167. See also </w:t>
      </w:r>
      <w:r w:rsidRPr="00DD55FF">
        <w:rPr>
          <w:sz w:val="22"/>
          <w:szCs w:val="22"/>
          <w:lang w:val="en-US"/>
        </w:rPr>
        <w:t xml:space="preserve">L. Alexander, ‘What Makes Wrongful Discrimination Wrong?  Biases, Preferences, Stereotypes, and Proxies’ (1992) 141 </w:t>
      </w:r>
      <w:r w:rsidRPr="00DD55FF">
        <w:rPr>
          <w:i/>
          <w:sz w:val="22"/>
          <w:szCs w:val="22"/>
          <w:lang w:val="en-US"/>
        </w:rPr>
        <w:t>U. Pa. L. Rev.</w:t>
      </w:r>
      <w:r w:rsidRPr="00DD55FF">
        <w:rPr>
          <w:sz w:val="22"/>
          <w:szCs w:val="22"/>
          <w:lang w:val="en-US"/>
        </w:rPr>
        <w:t xml:space="preserve"> 149.</w:t>
      </w:r>
    </w:p>
  </w:footnote>
  <w:footnote w:id="1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r w:rsidRPr="00DD55FF">
        <w:rPr>
          <w:i/>
          <w:sz w:val="22"/>
          <w:szCs w:val="22"/>
        </w:rPr>
        <w:t>Texas Dept. of Housing and Community Affairs v. Inclusive Communities Project Inc</w:t>
      </w:r>
      <w:r w:rsidRPr="00DD55FF">
        <w:rPr>
          <w:sz w:val="22"/>
          <w:szCs w:val="22"/>
        </w:rPr>
        <w:t>., 135 S. Ct. 2507 (2015).</w:t>
      </w:r>
    </w:p>
  </w:footnote>
  <w:footnote w:id="1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r w:rsidR="00D4404B">
        <w:rPr>
          <w:sz w:val="22"/>
          <w:szCs w:val="22"/>
        </w:rPr>
        <w:t xml:space="preserve">Various commentators have expressed strong scepticism as to whether </w:t>
      </w:r>
      <w:r w:rsidRPr="00DD55FF">
        <w:rPr>
          <w:sz w:val="22"/>
          <w:szCs w:val="22"/>
        </w:rPr>
        <w:t xml:space="preserve">the existing scope of discrimination law can </w:t>
      </w:r>
      <w:r w:rsidR="00D4404B">
        <w:rPr>
          <w:sz w:val="22"/>
          <w:szCs w:val="22"/>
        </w:rPr>
        <w:t xml:space="preserve">be justified by reference to conceptual </w:t>
      </w:r>
      <w:r w:rsidRPr="00DD55FF">
        <w:rPr>
          <w:sz w:val="22"/>
          <w:szCs w:val="22"/>
        </w:rPr>
        <w:t>account</w:t>
      </w:r>
      <w:r w:rsidR="00D4404B">
        <w:rPr>
          <w:sz w:val="22"/>
          <w:szCs w:val="22"/>
        </w:rPr>
        <w:t>s</w:t>
      </w:r>
      <w:r w:rsidRPr="00DD55FF">
        <w:rPr>
          <w:sz w:val="22"/>
          <w:szCs w:val="22"/>
        </w:rPr>
        <w:t xml:space="preserve"> of discrimination analogous to the ‘la</w:t>
      </w:r>
      <w:r w:rsidR="00D4404B">
        <w:rPr>
          <w:sz w:val="22"/>
          <w:szCs w:val="22"/>
        </w:rPr>
        <w:t>y understanding’ of the concept:</w:t>
      </w:r>
      <w:r w:rsidRPr="00DD55FF">
        <w:rPr>
          <w:sz w:val="22"/>
          <w:szCs w:val="22"/>
        </w:rPr>
        <w:t xml:space="preserve"> see </w:t>
      </w:r>
      <w:r w:rsidR="002A7EF6">
        <w:rPr>
          <w:sz w:val="22"/>
          <w:szCs w:val="22"/>
        </w:rPr>
        <w:t>Alexander (n 15</w:t>
      </w:r>
      <w:r w:rsidR="00D4404B">
        <w:rPr>
          <w:sz w:val="22"/>
          <w:szCs w:val="22"/>
        </w:rPr>
        <w:t xml:space="preserve">) 213, 219; </w:t>
      </w:r>
      <w:r w:rsidRPr="00DD55FF">
        <w:rPr>
          <w:sz w:val="22"/>
          <w:szCs w:val="22"/>
        </w:rPr>
        <w:t xml:space="preserve">R. </w:t>
      </w:r>
      <w:proofErr w:type="spellStart"/>
      <w:r w:rsidRPr="00DD55FF">
        <w:rPr>
          <w:sz w:val="22"/>
          <w:szCs w:val="22"/>
        </w:rPr>
        <w:t>Arneson</w:t>
      </w:r>
      <w:proofErr w:type="spellEnd"/>
      <w:r w:rsidRPr="00DD55FF">
        <w:rPr>
          <w:sz w:val="22"/>
          <w:szCs w:val="22"/>
        </w:rPr>
        <w:t xml:space="preserve">, ‘What is Wrongful Discrimination?’ (2006) 43 </w:t>
      </w:r>
      <w:r w:rsidRPr="00DD55FF">
        <w:rPr>
          <w:i/>
          <w:sz w:val="22"/>
          <w:szCs w:val="22"/>
        </w:rPr>
        <w:t>San Diego Law Review</w:t>
      </w:r>
      <w:r w:rsidRPr="00DD55FF">
        <w:rPr>
          <w:sz w:val="22"/>
          <w:szCs w:val="22"/>
        </w:rPr>
        <w:t xml:space="preserve"> 775; M. Cavanagh, </w:t>
      </w:r>
      <w:r w:rsidRPr="00DD55FF">
        <w:rPr>
          <w:i/>
          <w:sz w:val="22"/>
          <w:szCs w:val="22"/>
        </w:rPr>
        <w:t>Against Equality of Opportunity</w:t>
      </w:r>
      <w:r w:rsidRPr="00DD55FF">
        <w:rPr>
          <w:sz w:val="22"/>
          <w:szCs w:val="22"/>
        </w:rPr>
        <w:t xml:space="preserve"> (Clarendon, 2002); N. Smith, </w:t>
      </w:r>
      <w:r w:rsidRPr="00DD55FF">
        <w:rPr>
          <w:i/>
          <w:sz w:val="22"/>
          <w:szCs w:val="22"/>
        </w:rPr>
        <w:t>Basic Equality and Discrimination</w:t>
      </w:r>
      <w:r w:rsidRPr="00DD55FF">
        <w:rPr>
          <w:sz w:val="22"/>
          <w:szCs w:val="22"/>
        </w:rPr>
        <w:t xml:space="preserve"> (</w:t>
      </w:r>
      <w:proofErr w:type="spellStart"/>
      <w:r w:rsidRPr="00DD55FF">
        <w:rPr>
          <w:sz w:val="22"/>
          <w:szCs w:val="22"/>
        </w:rPr>
        <w:t>Ashgate</w:t>
      </w:r>
      <w:proofErr w:type="spellEnd"/>
      <w:r w:rsidRPr="00DD55FF">
        <w:rPr>
          <w:sz w:val="22"/>
          <w:szCs w:val="22"/>
        </w:rPr>
        <w:t xml:space="preserve">, 2011), 139-214. </w:t>
      </w:r>
    </w:p>
  </w:footnote>
  <w:footnote w:id="20">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in general A. Lester, ‘Discrimination: What Can Lawyers Learn </w:t>
      </w:r>
      <w:proofErr w:type="gramStart"/>
      <w:r w:rsidRPr="00DD55FF">
        <w:rPr>
          <w:sz w:val="22"/>
          <w:szCs w:val="22"/>
        </w:rPr>
        <w:t>From</w:t>
      </w:r>
      <w:proofErr w:type="gramEnd"/>
      <w:r w:rsidRPr="00DD55FF">
        <w:rPr>
          <w:sz w:val="22"/>
          <w:szCs w:val="22"/>
        </w:rPr>
        <w:t xml:space="preserve"> History’ (1994) </w:t>
      </w:r>
      <w:r w:rsidRPr="00DD55FF">
        <w:rPr>
          <w:i/>
          <w:sz w:val="22"/>
          <w:szCs w:val="22"/>
        </w:rPr>
        <w:t xml:space="preserve">Public Law </w:t>
      </w:r>
      <w:r w:rsidRPr="00DD55FF">
        <w:rPr>
          <w:sz w:val="22"/>
          <w:szCs w:val="22"/>
        </w:rPr>
        <w:t>224.</w:t>
      </w:r>
    </w:p>
  </w:footnote>
  <w:footnote w:id="2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Doyle has noted that the harm inflicted by indirect discrimination may restrict individual autonomy to an equivalent or even greater degree than behaviour coming within the ‘central case’ of discrimination as defined above: see O. Doyle, ‘Direct Discrimination, Indirect discrimination and Autonomy’ (2007) 27(3) </w:t>
      </w:r>
      <w:r w:rsidRPr="00DD55FF">
        <w:rPr>
          <w:i/>
          <w:sz w:val="22"/>
          <w:szCs w:val="22"/>
        </w:rPr>
        <w:t>OJLS</w:t>
      </w:r>
      <w:r w:rsidRPr="00DD55FF">
        <w:rPr>
          <w:sz w:val="22"/>
          <w:szCs w:val="22"/>
        </w:rPr>
        <w:t xml:space="preserve"> 537, 546-551.</w:t>
      </w:r>
      <w:r w:rsidRPr="00DD55FF">
        <w:rPr>
          <w:i/>
          <w:sz w:val="22"/>
          <w:szCs w:val="22"/>
        </w:rPr>
        <w:t xml:space="preserve"> </w:t>
      </w:r>
      <w:r w:rsidRPr="00DD55FF">
        <w:rPr>
          <w:sz w:val="22"/>
          <w:szCs w:val="22"/>
        </w:rPr>
        <w:t xml:space="preserve">Disability rights theorists have similarly been highly critical of the limitations of the ‘lay understanding’ of discrimination: see e.g. S. </w:t>
      </w:r>
      <w:proofErr w:type="spellStart"/>
      <w:r w:rsidRPr="00DD55FF">
        <w:rPr>
          <w:sz w:val="22"/>
          <w:szCs w:val="22"/>
        </w:rPr>
        <w:t>Bagenstos</w:t>
      </w:r>
      <w:proofErr w:type="spellEnd"/>
      <w:r w:rsidRPr="00DD55FF">
        <w:rPr>
          <w:sz w:val="22"/>
          <w:szCs w:val="22"/>
        </w:rPr>
        <w:t xml:space="preserve">, ‘”Rational Discrimination”, Accommodation, and the Politics of (Disability) Civil Rights’ (2003) 89 </w:t>
      </w:r>
      <w:r w:rsidRPr="00DD55FF">
        <w:rPr>
          <w:i/>
          <w:sz w:val="22"/>
          <w:szCs w:val="22"/>
        </w:rPr>
        <w:t xml:space="preserve">Virginia L. Rev. </w:t>
      </w:r>
      <w:r w:rsidRPr="00DD55FF">
        <w:rPr>
          <w:sz w:val="22"/>
          <w:szCs w:val="22"/>
        </w:rPr>
        <w:t>825.</w:t>
      </w:r>
    </w:p>
  </w:footnote>
  <w:footnote w:id="22">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Pr="00DD55FF">
        <w:rPr>
          <w:sz w:val="22"/>
          <w:szCs w:val="22"/>
        </w:rPr>
        <w:t>Khaitan</w:t>
      </w:r>
      <w:proofErr w:type="spellEnd"/>
      <w:r w:rsidR="00567904">
        <w:rPr>
          <w:sz w:val="22"/>
          <w:szCs w:val="22"/>
        </w:rPr>
        <w:t xml:space="preserve"> (n 1</w:t>
      </w:r>
      <w:r w:rsidRPr="00DD55FF">
        <w:rPr>
          <w:sz w:val="22"/>
          <w:szCs w:val="22"/>
        </w:rPr>
        <w:t>) 5-6.</w:t>
      </w:r>
    </w:p>
  </w:footnote>
  <w:footnote w:id="23">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r w:rsidR="00D4404B">
        <w:rPr>
          <w:sz w:val="22"/>
          <w:szCs w:val="22"/>
        </w:rPr>
        <w:t>i</w:t>
      </w:r>
      <w:r w:rsidRPr="00DD55FF">
        <w:rPr>
          <w:sz w:val="22"/>
          <w:szCs w:val="22"/>
        </w:rPr>
        <w:t xml:space="preserve">bid 8. </w:t>
      </w:r>
    </w:p>
  </w:footnote>
  <w:footnote w:id="2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e.g. Gardner, ‘On the Grounds of her </w:t>
      </w:r>
      <w:proofErr w:type="gramStart"/>
      <w:r w:rsidRPr="00DD55FF">
        <w:rPr>
          <w:sz w:val="22"/>
          <w:szCs w:val="22"/>
        </w:rPr>
        <w:t>Sex(</w:t>
      </w:r>
      <w:proofErr w:type="spellStart"/>
      <w:proofErr w:type="gramEnd"/>
      <w:r w:rsidRPr="00DD55FF">
        <w:rPr>
          <w:sz w:val="22"/>
          <w:szCs w:val="22"/>
        </w:rPr>
        <w:t>uality</w:t>
      </w:r>
      <w:proofErr w:type="spellEnd"/>
      <w:r w:rsidRPr="00DD55FF">
        <w:rPr>
          <w:sz w:val="22"/>
          <w:szCs w:val="22"/>
        </w:rPr>
        <w:t>)’</w:t>
      </w:r>
      <w:r w:rsidR="009F0BD6" w:rsidRPr="00DD55FF">
        <w:rPr>
          <w:sz w:val="22"/>
          <w:szCs w:val="22"/>
        </w:rPr>
        <w:t xml:space="preserve"> (n 22</w:t>
      </w:r>
      <w:r w:rsidRPr="00DD55FF">
        <w:rPr>
          <w:sz w:val="22"/>
          <w:szCs w:val="22"/>
        </w:rPr>
        <w:t xml:space="preserve">) 182-3. </w:t>
      </w:r>
    </w:p>
  </w:footnote>
  <w:footnote w:id="25">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for example the judgment of the UK Supreme Court in </w:t>
      </w:r>
      <w:r w:rsidRPr="00DD55FF">
        <w:rPr>
          <w:i/>
          <w:sz w:val="22"/>
          <w:szCs w:val="22"/>
        </w:rPr>
        <w:t>R (E) v Governing Body of the Jewish Free School</w:t>
      </w:r>
      <w:r w:rsidRPr="00DD55FF">
        <w:rPr>
          <w:sz w:val="22"/>
          <w:szCs w:val="22"/>
        </w:rPr>
        <w:t xml:space="preserve"> [2009] UKSC 15, which affirmed that motive was not required to establish the existence of direct discrimination. </w:t>
      </w:r>
    </w:p>
  </w:footnote>
  <w:footnote w:id="26">
    <w:p w:rsidR="00F11B00" w:rsidRPr="00DD55FF" w:rsidRDefault="00F11B00" w:rsidP="00DD55FF">
      <w:pPr>
        <w:pStyle w:val="FootnoteText"/>
        <w:jc w:val="both"/>
        <w:rPr>
          <w:sz w:val="22"/>
          <w:szCs w:val="22"/>
        </w:rPr>
      </w:pPr>
      <w:r w:rsidRPr="00DD55FF">
        <w:rPr>
          <w:rStyle w:val="FootnoteReference"/>
          <w:sz w:val="22"/>
          <w:szCs w:val="22"/>
        </w:rPr>
        <w:footnoteRef/>
      </w:r>
      <w:r w:rsidR="00567904">
        <w:rPr>
          <w:sz w:val="22"/>
          <w:szCs w:val="22"/>
        </w:rPr>
        <w:t xml:space="preserve"> </w:t>
      </w:r>
      <w:proofErr w:type="spellStart"/>
      <w:r w:rsidR="00567904">
        <w:rPr>
          <w:sz w:val="22"/>
          <w:szCs w:val="22"/>
        </w:rPr>
        <w:t>Khaitan</w:t>
      </w:r>
      <w:proofErr w:type="spellEnd"/>
      <w:r w:rsidR="00567904">
        <w:rPr>
          <w:sz w:val="22"/>
          <w:szCs w:val="22"/>
        </w:rPr>
        <w:t xml:space="preserve"> (n 1</w:t>
      </w:r>
      <w:r w:rsidRPr="00DD55FF">
        <w:rPr>
          <w:sz w:val="22"/>
          <w:szCs w:val="22"/>
        </w:rPr>
        <w:t>) 6.</w:t>
      </w:r>
    </w:p>
  </w:footnote>
  <w:footnote w:id="27">
    <w:p w:rsidR="00F11B00" w:rsidRPr="00DD55FF" w:rsidRDefault="00F11B00" w:rsidP="00DD55FF">
      <w:pPr>
        <w:pStyle w:val="FootnoteText"/>
        <w:jc w:val="both"/>
        <w:rPr>
          <w:sz w:val="22"/>
          <w:szCs w:val="22"/>
        </w:rPr>
      </w:pPr>
      <w:r w:rsidRPr="00DD55FF">
        <w:rPr>
          <w:rStyle w:val="FootnoteReference"/>
          <w:sz w:val="22"/>
          <w:szCs w:val="22"/>
        </w:rPr>
        <w:footnoteRef/>
      </w:r>
      <w:r w:rsidR="009F0BD6" w:rsidRPr="00DD55FF">
        <w:rPr>
          <w:sz w:val="22"/>
          <w:szCs w:val="22"/>
        </w:rPr>
        <w:t xml:space="preserve"> ibid</w:t>
      </w:r>
      <w:r w:rsidRPr="00DD55FF">
        <w:rPr>
          <w:sz w:val="22"/>
          <w:szCs w:val="22"/>
        </w:rPr>
        <w:t xml:space="preserve"> 5-6.</w:t>
      </w:r>
    </w:p>
  </w:footnote>
  <w:footnote w:id="2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r w:rsidR="009F0BD6" w:rsidRPr="00DD55FF">
        <w:rPr>
          <w:sz w:val="22"/>
          <w:szCs w:val="22"/>
        </w:rPr>
        <w:t>i</w:t>
      </w:r>
      <w:r w:rsidRPr="00DD55FF">
        <w:rPr>
          <w:sz w:val="22"/>
          <w:szCs w:val="22"/>
        </w:rPr>
        <w:t>bid 7.</w:t>
      </w:r>
    </w:p>
  </w:footnote>
  <w:footnote w:id="2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This line of criticism is well-established in the theoretical literature: see P. </w:t>
      </w:r>
      <w:proofErr w:type="spellStart"/>
      <w:r w:rsidRPr="00DD55FF">
        <w:rPr>
          <w:sz w:val="22"/>
          <w:szCs w:val="22"/>
          <w:lang w:val="en-US"/>
        </w:rPr>
        <w:t>West</w:t>
      </w:r>
      <w:r w:rsidR="009F0BD6" w:rsidRPr="00DD55FF">
        <w:rPr>
          <w:sz w:val="22"/>
          <w:szCs w:val="22"/>
          <w:lang w:val="en-US"/>
        </w:rPr>
        <w:t>en</w:t>
      </w:r>
      <w:proofErr w:type="spellEnd"/>
      <w:r w:rsidR="009F0BD6" w:rsidRPr="00DD55FF">
        <w:rPr>
          <w:sz w:val="22"/>
          <w:szCs w:val="22"/>
          <w:lang w:val="en-US"/>
        </w:rPr>
        <w:t>, ‘The Empty Idea of Equality’</w:t>
      </w:r>
      <w:r w:rsidRPr="00DD55FF">
        <w:rPr>
          <w:sz w:val="22"/>
          <w:szCs w:val="22"/>
          <w:lang w:val="en-US"/>
        </w:rPr>
        <w:t xml:space="preserve"> (1985) 95 </w:t>
      </w:r>
      <w:proofErr w:type="spellStart"/>
      <w:r w:rsidRPr="00DD55FF">
        <w:rPr>
          <w:i/>
          <w:sz w:val="22"/>
          <w:szCs w:val="22"/>
          <w:lang w:val="en-US"/>
        </w:rPr>
        <w:t>Harv</w:t>
      </w:r>
      <w:proofErr w:type="spellEnd"/>
      <w:r w:rsidRPr="00DD55FF">
        <w:rPr>
          <w:i/>
          <w:sz w:val="22"/>
          <w:szCs w:val="22"/>
          <w:lang w:val="en-US"/>
        </w:rPr>
        <w:t>. L. R.</w:t>
      </w:r>
      <w:r w:rsidRPr="00DD55FF">
        <w:rPr>
          <w:sz w:val="22"/>
          <w:szCs w:val="22"/>
          <w:lang w:val="en-US"/>
        </w:rPr>
        <w:t xml:space="preserve"> 537; </w:t>
      </w:r>
      <w:r w:rsidRPr="00DD55FF">
        <w:rPr>
          <w:sz w:val="22"/>
          <w:szCs w:val="22"/>
        </w:rPr>
        <w:t xml:space="preserve">J. </w:t>
      </w:r>
      <w:proofErr w:type="spellStart"/>
      <w:r w:rsidRPr="00DD55FF">
        <w:rPr>
          <w:sz w:val="22"/>
          <w:szCs w:val="22"/>
        </w:rPr>
        <w:t>Raz</w:t>
      </w:r>
      <w:proofErr w:type="spellEnd"/>
      <w:r w:rsidRPr="00DD55FF">
        <w:rPr>
          <w:sz w:val="22"/>
          <w:szCs w:val="22"/>
        </w:rPr>
        <w:t xml:space="preserve">, </w:t>
      </w:r>
      <w:proofErr w:type="gramStart"/>
      <w:r w:rsidRPr="00DD55FF">
        <w:rPr>
          <w:i/>
          <w:sz w:val="22"/>
          <w:szCs w:val="22"/>
        </w:rPr>
        <w:t>The</w:t>
      </w:r>
      <w:proofErr w:type="gramEnd"/>
      <w:r w:rsidRPr="00DD55FF">
        <w:rPr>
          <w:i/>
          <w:sz w:val="22"/>
          <w:szCs w:val="22"/>
        </w:rPr>
        <w:t xml:space="preserve"> Morality of Freedom</w:t>
      </w:r>
      <w:r w:rsidRPr="00DD55FF">
        <w:rPr>
          <w:sz w:val="22"/>
          <w:szCs w:val="22"/>
        </w:rPr>
        <w:t xml:space="preserve"> (Clarendon, 1986), Ch. 9; E. Holmes, ‘Anti-Discrimination Rights Without Equality’ (2005) 68(2) </w:t>
      </w:r>
      <w:r w:rsidRPr="00DD55FF">
        <w:rPr>
          <w:i/>
          <w:sz w:val="22"/>
          <w:szCs w:val="22"/>
        </w:rPr>
        <w:t xml:space="preserve">MLR </w:t>
      </w:r>
      <w:r w:rsidRPr="00DD55FF">
        <w:rPr>
          <w:sz w:val="22"/>
          <w:szCs w:val="22"/>
        </w:rPr>
        <w:t>175.</w:t>
      </w:r>
    </w:p>
  </w:footnote>
  <w:footnote w:id="30">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r w:rsidR="00D4404B">
        <w:rPr>
          <w:sz w:val="22"/>
          <w:szCs w:val="22"/>
        </w:rPr>
        <w:t>ibid 7-8.</w:t>
      </w:r>
    </w:p>
  </w:footnote>
  <w:footnote w:id="3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For example, Khaitan suggests that egalitarian theories are vulnerable to the ‘levelling down’ objection, i.e. that they provide no normative basis for objecting to a reduction of the standard of treatment accorded to some to ensure a level playing field for all. Even leaving aside the issue of whether this objection has merit (which Khaitan assumes without argument), it cannot be readily directed at some of the more developed egalitarian theories </w:t>
      </w:r>
      <w:r w:rsidR="00567904">
        <w:rPr>
          <w:sz w:val="22"/>
          <w:szCs w:val="22"/>
        </w:rPr>
        <w:t xml:space="preserve">that are invoked </w:t>
      </w:r>
      <w:r w:rsidRPr="00DD55FF">
        <w:rPr>
          <w:sz w:val="22"/>
          <w:szCs w:val="22"/>
        </w:rPr>
        <w:t>to explain and justify discrimination law: see e.g. E. Anderson, ‘What I</w:t>
      </w:r>
      <w:r w:rsidR="00567904">
        <w:rPr>
          <w:sz w:val="22"/>
          <w:szCs w:val="22"/>
        </w:rPr>
        <w:t>s</w:t>
      </w:r>
      <w:r w:rsidRPr="00DD55FF">
        <w:rPr>
          <w:sz w:val="22"/>
          <w:szCs w:val="22"/>
        </w:rPr>
        <w:t xml:space="preserve"> the Point of Equality?’ (1999) 109(2) </w:t>
      </w:r>
      <w:r w:rsidRPr="00DD55FF">
        <w:rPr>
          <w:i/>
          <w:iCs/>
          <w:sz w:val="22"/>
          <w:szCs w:val="22"/>
        </w:rPr>
        <w:t xml:space="preserve">Ethics </w:t>
      </w:r>
      <w:r w:rsidR="00567904">
        <w:rPr>
          <w:sz w:val="22"/>
          <w:szCs w:val="22"/>
        </w:rPr>
        <w:t xml:space="preserve">287; </w:t>
      </w:r>
      <w:proofErr w:type="spellStart"/>
      <w:r w:rsidR="00567904">
        <w:rPr>
          <w:sz w:val="22"/>
          <w:szCs w:val="22"/>
        </w:rPr>
        <w:t>Fredman</w:t>
      </w:r>
      <w:proofErr w:type="spellEnd"/>
      <w:r w:rsidR="00567904">
        <w:rPr>
          <w:sz w:val="22"/>
          <w:szCs w:val="22"/>
        </w:rPr>
        <w:t xml:space="preserve"> (n 7</w:t>
      </w:r>
      <w:r w:rsidRPr="00DD55FF">
        <w:rPr>
          <w:sz w:val="22"/>
          <w:szCs w:val="22"/>
        </w:rPr>
        <w:t xml:space="preserve">).    </w:t>
      </w:r>
    </w:p>
  </w:footnote>
  <w:footnote w:id="32">
    <w:p w:rsidR="00F11B00" w:rsidRPr="00DD55FF" w:rsidRDefault="00F11B00" w:rsidP="00DD55FF">
      <w:pPr>
        <w:pStyle w:val="FootnoteText"/>
        <w:jc w:val="both"/>
        <w:rPr>
          <w:sz w:val="22"/>
          <w:szCs w:val="22"/>
        </w:rPr>
      </w:pPr>
      <w:r w:rsidRPr="00DD55FF">
        <w:rPr>
          <w:rStyle w:val="FootnoteReference"/>
          <w:sz w:val="22"/>
          <w:szCs w:val="22"/>
        </w:rPr>
        <w:footnoteRef/>
      </w:r>
      <w:r w:rsidR="00567904">
        <w:rPr>
          <w:sz w:val="22"/>
          <w:szCs w:val="22"/>
        </w:rPr>
        <w:t xml:space="preserve"> </w:t>
      </w:r>
      <w:proofErr w:type="spellStart"/>
      <w:r w:rsidR="00567904">
        <w:rPr>
          <w:sz w:val="22"/>
          <w:szCs w:val="22"/>
        </w:rPr>
        <w:t>Khaitan</w:t>
      </w:r>
      <w:proofErr w:type="spellEnd"/>
      <w:r w:rsidR="00567904">
        <w:rPr>
          <w:sz w:val="22"/>
          <w:szCs w:val="22"/>
        </w:rPr>
        <w:t xml:space="preserve"> (n 1</w:t>
      </w:r>
      <w:r w:rsidR="009F0BD6" w:rsidRPr="00DD55FF">
        <w:rPr>
          <w:sz w:val="22"/>
          <w:szCs w:val="22"/>
        </w:rPr>
        <w:t>)</w:t>
      </w:r>
      <w:r w:rsidRPr="00DD55FF">
        <w:rPr>
          <w:sz w:val="22"/>
          <w:szCs w:val="22"/>
        </w:rPr>
        <w:t xml:space="preserve"> 9.</w:t>
      </w:r>
    </w:p>
  </w:footnote>
  <w:footnote w:id="33">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Khaitan cites the views of George Rutherglen as exemplifying this ‘pessimist’ strain of thought: see in particular G. Rutherglen, ‘Concrete or Abstract Conceptions of Discrimination’, in D Hellman and S Moreau (</w:t>
      </w:r>
      <w:proofErr w:type="spellStart"/>
      <w:r w:rsidRPr="00DD55FF">
        <w:rPr>
          <w:sz w:val="22"/>
          <w:szCs w:val="22"/>
        </w:rPr>
        <w:t>eds</w:t>
      </w:r>
      <w:proofErr w:type="spellEnd"/>
      <w:r w:rsidRPr="00DD55FF">
        <w:rPr>
          <w:sz w:val="22"/>
          <w:szCs w:val="22"/>
        </w:rPr>
        <w:t xml:space="preserve">), </w:t>
      </w:r>
      <w:r w:rsidRPr="00DD55FF">
        <w:rPr>
          <w:i/>
          <w:sz w:val="22"/>
          <w:szCs w:val="22"/>
        </w:rPr>
        <w:t>Philosophical Foundations of Discrimination Law</w:t>
      </w:r>
      <w:r w:rsidRPr="00DD55FF">
        <w:rPr>
          <w:sz w:val="22"/>
          <w:szCs w:val="22"/>
        </w:rPr>
        <w:t xml:space="preserve"> (Oxford University Press 2011), 115.</w:t>
      </w:r>
    </w:p>
  </w:footnote>
  <w:footnote w:id="3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00567904">
        <w:rPr>
          <w:sz w:val="22"/>
          <w:szCs w:val="22"/>
        </w:rPr>
        <w:t>Khaitan</w:t>
      </w:r>
      <w:proofErr w:type="spellEnd"/>
      <w:r w:rsidR="00567904">
        <w:rPr>
          <w:sz w:val="22"/>
          <w:szCs w:val="22"/>
        </w:rPr>
        <w:t xml:space="preserve"> (n 1</w:t>
      </w:r>
      <w:r w:rsidR="009F0BD6" w:rsidRPr="00DD55FF">
        <w:rPr>
          <w:sz w:val="22"/>
          <w:szCs w:val="22"/>
        </w:rPr>
        <w:t xml:space="preserve">) </w:t>
      </w:r>
      <w:r w:rsidRPr="00DD55FF">
        <w:rPr>
          <w:sz w:val="22"/>
          <w:szCs w:val="22"/>
        </w:rPr>
        <w:t>9.</w:t>
      </w:r>
    </w:p>
  </w:footnote>
  <w:footnote w:id="35">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9. </w:t>
      </w:r>
    </w:p>
  </w:footnote>
  <w:footnote w:id="36">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Khaitan acknowledges that how discrimination is conceptualised will inevitably impact on normative questions relating to the justification of the applicable legal norms in this regard, but emphasises that a distinction nevertheless exists between these two lines of analysis: ibid 5-6.</w:t>
      </w:r>
    </w:p>
  </w:footnote>
  <w:footnote w:id="37">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10.</w:t>
      </w:r>
    </w:p>
  </w:footnote>
  <w:footnote w:id="3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Pr="00DD55FF">
        <w:rPr>
          <w:sz w:val="22"/>
          <w:szCs w:val="22"/>
        </w:rPr>
        <w:t>Khaitan</w:t>
      </w:r>
      <w:proofErr w:type="spellEnd"/>
      <w:r w:rsidRPr="00DD55FF">
        <w:rPr>
          <w:sz w:val="22"/>
          <w:szCs w:val="22"/>
        </w:rPr>
        <w:t xml:space="preserve"> does not develop this point in further detail, reflecting a general tendency in this book for him to steer clear of overt criticism of existing theoretical writing in this field. This diplomatic approach is a little unsatisfactory, as it often leaves the reader unsure as to whom exactly such critical remarks are directed towards. </w:t>
      </w:r>
    </w:p>
  </w:footnote>
  <w:footnote w:id="3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Pr="00DD55FF">
        <w:rPr>
          <w:sz w:val="22"/>
          <w:szCs w:val="22"/>
        </w:rPr>
        <w:t>Khaitan</w:t>
      </w:r>
      <w:proofErr w:type="spellEnd"/>
      <w:r w:rsidRPr="00DD55FF">
        <w:rPr>
          <w:sz w:val="22"/>
          <w:szCs w:val="22"/>
        </w:rPr>
        <w:t xml:space="preserve"> clarifies that the focus of the book is on the ‘normative rules’ of the system, as distinct from its practical enforcement: his ambition is to evaluate discrimination law ‘in terms of its stated aspirations’. ibid 13.</w:t>
      </w:r>
    </w:p>
  </w:footnote>
  <w:footnote w:id="40">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12.</w:t>
      </w:r>
    </w:p>
  </w:footnote>
  <w:footnote w:id="4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13-17. </w:t>
      </w:r>
    </w:p>
  </w:footnote>
  <w:footnote w:id="42">
    <w:p w:rsidR="00F11B00" w:rsidRPr="00DD55FF" w:rsidRDefault="00F11B00" w:rsidP="00DD55FF">
      <w:pPr>
        <w:pStyle w:val="FootnoteText"/>
        <w:jc w:val="both"/>
        <w:rPr>
          <w:sz w:val="22"/>
          <w:szCs w:val="22"/>
        </w:rPr>
      </w:pPr>
      <w:r w:rsidRPr="00DD55FF">
        <w:rPr>
          <w:rStyle w:val="FootnoteReference"/>
          <w:sz w:val="22"/>
          <w:szCs w:val="22"/>
        </w:rPr>
        <w:footnoteRef/>
      </w:r>
      <w:r w:rsidR="00E13C76">
        <w:rPr>
          <w:sz w:val="22"/>
          <w:szCs w:val="22"/>
        </w:rPr>
        <w:t xml:space="preserve"> </w:t>
      </w:r>
      <w:proofErr w:type="spellStart"/>
      <w:r w:rsidR="00E13C76">
        <w:rPr>
          <w:sz w:val="22"/>
          <w:szCs w:val="22"/>
        </w:rPr>
        <w:t>Khaitan</w:t>
      </w:r>
      <w:proofErr w:type="spellEnd"/>
      <w:r w:rsidR="00E13C76">
        <w:rPr>
          <w:sz w:val="22"/>
          <w:szCs w:val="22"/>
        </w:rPr>
        <w:t xml:space="preserve"> (n 1</w:t>
      </w:r>
      <w:r w:rsidRPr="00DD55FF">
        <w:rPr>
          <w:sz w:val="22"/>
          <w:szCs w:val="22"/>
        </w:rPr>
        <w:t>), 24.</w:t>
      </w:r>
    </w:p>
  </w:footnote>
  <w:footnote w:id="43">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26.</w:t>
      </w:r>
    </w:p>
  </w:footnote>
  <w:footnote w:id="4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28.</w:t>
      </w:r>
    </w:p>
  </w:footnote>
  <w:footnote w:id="45">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Thus, for example, under the definition of indirect discrimination applied within all the legal systems that form part of </w:t>
      </w:r>
      <w:proofErr w:type="spellStart"/>
      <w:r w:rsidRPr="00DD55FF">
        <w:rPr>
          <w:sz w:val="22"/>
          <w:szCs w:val="22"/>
        </w:rPr>
        <w:t>Khaitan’s</w:t>
      </w:r>
      <w:proofErr w:type="spellEnd"/>
      <w:r w:rsidRPr="00DD55FF">
        <w:rPr>
          <w:sz w:val="22"/>
          <w:szCs w:val="22"/>
        </w:rPr>
        <w:t xml:space="preserve"> dataset, it is not necessary for the particular disadvantage at issue to be ‘caused’ by possession of the relevant characteristic as long as adequate correlation exists between the prohibited act and a pattern of relative disadvantage associated with the ‘personal ground’ in question.</w:t>
      </w:r>
    </w:p>
  </w:footnote>
  <w:footnote w:id="46">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29-30.</w:t>
      </w:r>
    </w:p>
  </w:footnote>
  <w:footnote w:id="47">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Khaitan notes that general regulatory measures – such as the requirement to pay all employees a minimum wage – are not viewed in any of the states surveyed as forming part of discrimination law. He suggests this is because they do not satisfy this ‘cognate group condition’: ibid 30.</w:t>
      </w:r>
    </w:p>
  </w:footnote>
  <w:footnote w:id="4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31.</w:t>
      </w:r>
    </w:p>
  </w:footnote>
  <w:footnote w:id="4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32-39. </w:t>
      </w:r>
    </w:p>
  </w:footnote>
  <w:footnote w:id="50">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37. Khaitan thus suggests that a prohibition on weight discrimination would satisfy the ‘relative disadvantage’ condition, but notes that the states making up his dataset have chosen not to use discrimination law to respond to this specific social problem.</w:t>
      </w:r>
    </w:p>
  </w:footnote>
  <w:footnote w:id="5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38-41.</w:t>
      </w:r>
    </w:p>
  </w:footnote>
  <w:footnote w:id="52">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39.</w:t>
      </w:r>
    </w:p>
  </w:footnote>
  <w:footnote w:id="53">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42.</w:t>
      </w:r>
    </w:p>
  </w:footnote>
  <w:footnote w:id="5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41.</w:t>
      </w:r>
    </w:p>
  </w:footnote>
  <w:footnote w:id="55">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e.g. </w:t>
      </w:r>
      <w:r w:rsidRPr="00DD55FF">
        <w:rPr>
          <w:sz w:val="22"/>
          <w:szCs w:val="22"/>
          <w:lang w:val="en-US"/>
        </w:rPr>
        <w:t xml:space="preserve">B Hale, ‘The Quest for Equal Treatment’ [2005] </w:t>
      </w:r>
      <w:r w:rsidRPr="00DD55FF">
        <w:rPr>
          <w:i/>
          <w:sz w:val="22"/>
          <w:szCs w:val="22"/>
          <w:lang w:val="en-US"/>
        </w:rPr>
        <w:t>Public Law</w:t>
      </w:r>
      <w:r w:rsidRPr="00DD55FF">
        <w:rPr>
          <w:sz w:val="22"/>
          <w:szCs w:val="22"/>
          <w:lang w:val="en-US"/>
        </w:rPr>
        <w:t xml:space="preserve"> 571 (discrimination law designed to combat irrational stereotyping based on protected characteristics). </w:t>
      </w:r>
    </w:p>
  </w:footnote>
  <w:footnote w:id="56">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in particular A </w:t>
      </w:r>
      <w:proofErr w:type="spellStart"/>
      <w:r w:rsidRPr="00DD55FF">
        <w:rPr>
          <w:sz w:val="22"/>
          <w:szCs w:val="22"/>
        </w:rPr>
        <w:t>McColgan</w:t>
      </w:r>
      <w:proofErr w:type="spellEnd"/>
      <w:r w:rsidRPr="00DD55FF">
        <w:rPr>
          <w:sz w:val="22"/>
          <w:szCs w:val="22"/>
        </w:rPr>
        <w:t xml:space="preserve">, </w:t>
      </w:r>
      <w:r w:rsidRPr="00DD55FF">
        <w:rPr>
          <w:i/>
          <w:sz w:val="22"/>
          <w:szCs w:val="22"/>
        </w:rPr>
        <w:t xml:space="preserve">Discrimination, Equality and the Law </w:t>
      </w:r>
      <w:r w:rsidRPr="00DD55FF">
        <w:rPr>
          <w:sz w:val="22"/>
          <w:szCs w:val="22"/>
        </w:rPr>
        <w:t>(Hart, 2014).</w:t>
      </w:r>
    </w:p>
  </w:footnote>
  <w:footnote w:id="57">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00E13C76">
        <w:rPr>
          <w:sz w:val="22"/>
          <w:szCs w:val="22"/>
        </w:rPr>
        <w:t>Khaitan</w:t>
      </w:r>
      <w:proofErr w:type="spellEnd"/>
      <w:r w:rsidR="00E13C76">
        <w:rPr>
          <w:sz w:val="22"/>
          <w:szCs w:val="22"/>
        </w:rPr>
        <w:t xml:space="preserve"> (n 1</w:t>
      </w:r>
      <w:r w:rsidR="009F0BD6" w:rsidRPr="00DD55FF">
        <w:rPr>
          <w:sz w:val="22"/>
          <w:szCs w:val="22"/>
        </w:rPr>
        <w:t>)</w:t>
      </w:r>
      <w:r w:rsidRPr="00DD55FF">
        <w:rPr>
          <w:sz w:val="22"/>
          <w:szCs w:val="22"/>
        </w:rPr>
        <w:t xml:space="preserve"> 49-60.</w:t>
      </w:r>
    </w:p>
  </w:footnote>
  <w:footnote w:id="5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69-73.</w:t>
      </w:r>
    </w:p>
  </w:footnote>
  <w:footnote w:id="5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As </w:t>
      </w:r>
      <w:proofErr w:type="spellStart"/>
      <w:r w:rsidRPr="00DD55FF">
        <w:rPr>
          <w:sz w:val="22"/>
          <w:szCs w:val="22"/>
        </w:rPr>
        <w:t>Khaitan</w:t>
      </w:r>
      <w:proofErr w:type="spellEnd"/>
      <w:r w:rsidRPr="00DD55FF">
        <w:rPr>
          <w:sz w:val="22"/>
          <w:szCs w:val="22"/>
        </w:rPr>
        <w:t xml:space="preserve"> acknowledges, the US is a not insignificant exception to this trend: ibid 70-71.</w:t>
      </w:r>
    </w:p>
  </w:footnote>
  <w:footnote w:id="60">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71-73.</w:t>
      </w:r>
    </w:p>
  </w:footnote>
  <w:footnote w:id="6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77-79.</w:t>
      </w:r>
    </w:p>
  </w:footnote>
  <w:footnote w:id="62">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in general L Waddington and A Hendriks, 'The Expanding Concept of Employment Discrimination in Europe: From Direct and Indirect Discrimination to Reasonable Accommodation Discrimination' (2002) 18(4) </w:t>
      </w:r>
      <w:r w:rsidRPr="00DD55FF">
        <w:rPr>
          <w:i/>
          <w:sz w:val="22"/>
          <w:szCs w:val="22"/>
        </w:rPr>
        <w:t>International Journal of Comparative Labour Law and Industrial Relations</w:t>
      </w:r>
      <w:r w:rsidRPr="00DD55FF">
        <w:rPr>
          <w:sz w:val="22"/>
          <w:szCs w:val="22"/>
        </w:rPr>
        <w:t xml:space="preserve"> 403–428. </w:t>
      </w:r>
    </w:p>
  </w:footnote>
  <w:footnote w:id="63">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00696773">
        <w:rPr>
          <w:sz w:val="22"/>
          <w:szCs w:val="22"/>
        </w:rPr>
        <w:t>Khaitan</w:t>
      </w:r>
      <w:proofErr w:type="spellEnd"/>
      <w:r w:rsidR="00696773">
        <w:rPr>
          <w:sz w:val="22"/>
          <w:szCs w:val="22"/>
        </w:rPr>
        <w:t xml:space="preserve"> (n 1</w:t>
      </w:r>
      <w:r w:rsidR="009F0BD6" w:rsidRPr="00DD55FF">
        <w:rPr>
          <w:sz w:val="22"/>
          <w:szCs w:val="22"/>
        </w:rPr>
        <w:t>)</w:t>
      </w:r>
      <w:r w:rsidRPr="00DD55FF">
        <w:rPr>
          <w:sz w:val="22"/>
          <w:szCs w:val="22"/>
        </w:rPr>
        <w:t xml:space="preserve"> 51.</w:t>
      </w:r>
    </w:p>
  </w:footnote>
  <w:footnote w:id="6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e.g. </w:t>
      </w:r>
      <w:r w:rsidRPr="00DD55FF">
        <w:rPr>
          <w:i/>
          <w:sz w:val="22"/>
          <w:szCs w:val="22"/>
        </w:rPr>
        <w:t>Clift v UK</w:t>
      </w:r>
      <w:r w:rsidRPr="00DD55FF">
        <w:rPr>
          <w:sz w:val="22"/>
          <w:szCs w:val="22"/>
        </w:rPr>
        <w:t xml:space="preserve">, App. No. 7205/07, decision of 13 July 2010, ECHR. In general, </w:t>
      </w:r>
      <w:proofErr w:type="spellStart"/>
      <w:r w:rsidRPr="00DD55FF">
        <w:rPr>
          <w:sz w:val="22"/>
          <w:szCs w:val="22"/>
        </w:rPr>
        <w:t>Khaitan</w:t>
      </w:r>
      <w:proofErr w:type="spellEnd"/>
      <w:r w:rsidRPr="00DD55FF">
        <w:rPr>
          <w:sz w:val="22"/>
          <w:szCs w:val="22"/>
        </w:rPr>
        <w:t xml:space="preserve"> </w:t>
      </w:r>
      <w:r w:rsidR="005B38E8">
        <w:rPr>
          <w:sz w:val="22"/>
          <w:szCs w:val="22"/>
        </w:rPr>
        <w:t xml:space="preserve">assumes that </w:t>
      </w:r>
      <w:r w:rsidR="00EA271F">
        <w:rPr>
          <w:sz w:val="22"/>
          <w:szCs w:val="22"/>
        </w:rPr>
        <w:t xml:space="preserve">fundamental rights </w:t>
      </w:r>
      <w:r w:rsidRPr="00DD55FF">
        <w:rPr>
          <w:sz w:val="22"/>
          <w:szCs w:val="22"/>
        </w:rPr>
        <w:t>jurisprudence</w:t>
      </w:r>
      <w:r w:rsidR="005B38E8">
        <w:rPr>
          <w:sz w:val="22"/>
          <w:szCs w:val="22"/>
        </w:rPr>
        <w:t xml:space="preserve"> </w:t>
      </w:r>
      <w:r w:rsidR="00EA271F">
        <w:rPr>
          <w:sz w:val="22"/>
          <w:szCs w:val="22"/>
        </w:rPr>
        <w:t xml:space="preserve">relating to discrimination issues </w:t>
      </w:r>
      <w:r w:rsidR="005B38E8">
        <w:rPr>
          <w:sz w:val="22"/>
          <w:szCs w:val="22"/>
        </w:rPr>
        <w:t xml:space="preserve">is </w:t>
      </w:r>
      <w:r w:rsidR="005B38E8" w:rsidRPr="005B38E8">
        <w:rPr>
          <w:sz w:val="22"/>
          <w:szCs w:val="22"/>
        </w:rPr>
        <w:t>now ‘irrevocably tied’ to the scope and substance of national anti-discrimination le</w:t>
      </w:r>
      <w:r w:rsidR="005B38E8">
        <w:rPr>
          <w:sz w:val="22"/>
          <w:szCs w:val="22"/>
        </w:rPr>
        <w:t xml:space="preserve">gislation: ibid 69. However, this </w:t>
      </w:r>
      <w:r w:rsidR="00EA271F">
        <w:rPr>
          <w:sz w:val="22"/>
          <w:szCs w:val="22"/>
        </w:rPr>
        <w:t xml:space="preserve">assumption glosses over the existence of some significant variations between these two inter-related but distinct sets of legal standards. </w:t>
      </w:r>
    </w:p>
  </w:footnote>
  <w:footnote w:id="65">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for example the approach adopted by the European Court of Human Rights in </w:t>
      </w:r>
      <w:proofErr w:type="spellStart"/>
      <w:r w:rsidRPr="00DD55FF">
        <w:rPr>
          <w:i/>
          <w:sz w:val="22"/>
          <w:szCs w:val="22"/>
        </w:rPr>
        <w:t>Eweida</w:t>
      </w:r>
      <w:proofErr w:type="spellEnd"/>
      <w:r w:rsidRPr="00DD55FF">
        <w:rPr>
          <w:i/>
          <w:sz w:val="22"/>
          <w:szCs w:val="22"/>
        </w:rPr>
        <w:t xml:space="preserve"> v UK</w:t>
      </w:r>
      <w:r w:rsidRPr="00DD55FF">
        <w:rPr>
          <w:sz w:val="22"/>
          <w:szCs w:val="22"/>
        </w:rPr>
        <w:t xml:space="preserve"> (2013) 57 EHRR 8, and by the English Court of Appeal in </w:t>
      </w:r>
      <w:proofErr w:type="spellStart"/>
      <w:r w:rsidRPr="00DD55FF">
        <w:rPr>
          <w:i/>
          <w:sz w:val="22"/>
          <w:szCs w:val="22"/>
        </w:rPr>
        <w:t>Mba</w:t>
      </w:r>
      <w:proofErr w:type="spellEnd"/>
      <w:r w:rsidRPr="00DD55FF">
        <w:rPr>
          <w:i/>
          <w:sz w:val="22"/>
          <w:szCs w:val="22"/>
        </w:rPr>
        <w:t xml:space="preserve"> v London Borough of Merton</w:t>
      </w:r>
      <w:r w:rsidRPr="00DD55FF">
        <w:rPr>
          <w:sz w:val="22"/>
          <w:szCs w:val="22"/>
        </w:rPr>
        <w:t xml:space="preserve"> [2013] EWCA </w:t>
      </w:r>
      <w:proofErr w:type="spellStart"/>
      <w:r w:rsidRPr="00DD55FF">
        <w:rPr>
          <w:sz w:val="22"/>
          <w:szCs w:val="22"/>
        </w:rPr>
        <w:t>Civ</w:t>
      </w:r>
      <w:proofErr w:type="spellEnd"/>
      <w:r w:rsidRPr="00DD55FF">
        <w:rPr>
          <w:sz w:val="22"/>
          <w:szCs w:val="22"/>
        </w:rPr>
        <w:t xml:space="preserve"> 1562.</w:t>
      </w:r>
    </w:p>
  </w:footnote>
  <w:footnote w:id="66">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for example </w:t>
      </w:r>
      <w:r w:rsidRPr="00DD55FF">
        <w:rPr>
          <w:i/>
          <w:sz w:val="22"/>
          <w:szCs w:val="22"/>
        </w:rPr>
        <w:t xml:space="preserve">Home Office v </w:t>
      </w:r>
      <w:proofErr w:type="spellStart"/>
      <w:r w:rsidRPr="00DD55FF">
        <w:rPr>
          <w:i/>
          <w:sz w:val="22"/>
          <w:szCs w:val="22"/>
        </w:rPr>
        <w:t>Essop</w:t>
      </w:r>
      <w:proofErr w:type="spellEnd"/>
      <w:r w:rsidRPr="00DD55FF">
        <w:rPr>
          <w:sz w:val="22"/>
          <w:szCs w:val="22"/>
        </w:rPr>
        <w:t xml:space="preserve"> [2015] EWCA </w:t>
      </w:r>
      <w:proofErr w:type="spellStart"/>
      <w:r w:rsidRPr="00DD55FF">
        <w:rPr>
          <w:sz w:val="22"/>
          <w:szCs w:val="22"/>
        </w:rPr>
        <w:t>Civ</w:t>
      </w:r>
      <w:proofErr w:type="spellEnd"/>
      <w:r w:rsidRPr="00DD55FF">
        <w:rPr>
          <w:sz w:val="22"/>
          <w:szCs w:val="22"/>
        </w:rPr>
        <w:t xml:space="preserve"> 609, which has been (rightfully) criticised by </w:t>
      </w:r>
      <w:proofErr w:type="spellStart"/>
      <w:r w:rsidRPr="00DD55FF">
        <w:rPr>
          <w:sz w:val="22"/>
          <w:szCs w:val="22"/>
        </w:rPr>
        <w:t>Khaitan</w:t>
      </w:r>
      <w:proofErr w:type="spellEnd"/>
      <w:r w:rsidRPr="00DD55FF">
        <w:rPr>
          <w:sz w:val="22"/>
          <w:szCs w:val="22"/>
        </w:rPr>
        <w:t xml:space="preserve">: see T. </w:t>
      </w:r>
      <w:proofErr w:type="spellStart"/>
      <w:r w:rsidRPr="00DD55FF">
        <w:rPr>
          <w:sz w:val="22"/>
          <w:szCs w:val="22"/>
        </w:rPr>
        <w:t>Khaitan</w:t>
      </w:r>
      <w:proofErr w:type="spellEnd"/>
      <w:r w:rsidRPr="00DD55FF">
        <w:rPr>
          <w:sz w:val="22"/>
          <w:szCs w:val="22"/>
        </w:rPr>
        <w:t>, ‘Indirect Discrimination Law: Causation, Explanation and Coat-</w:t>
      </w:r>
      <w:proofErr w:type="spellStart"/>
      <w:r w:rsidRPr="00DD55FF">
        <w:rPr>
          <w:sz w:val="22"/>
          <w:szCs w:val="22"/>
        </w:rPr>
        <w:t>Tailers’</w:t>
      </w:r>
      <w:proofErr w:type="spellEnd"/>
      <w:r w:rsidRPr="00DD55FF">
        <w:rPr>
          <w:sz w:val="22"/>
          <w:szCs w:val="22"/>
        </w:rPr>
        <w:t xml:space="preserve"> (2016) 135 </w:t>
      </w:r>
      <w:r w:rsidRPr="00DD55FF">
        <w:rPr>
          <w:i/>
          <w:sz w:val="22"/>
          <w:szCs w:val="22"/>
        </w:rPr>
        <w:t>LQR</w:t>
      </w:r>
      <w:r w:rsidRPr="00DD55FF">
        <w:rPr>
          <w:sz w:val="22"/>
          <w:szCs w:val="22"/>
        </w:rPr>
        <w:t xml:space="preserve"> 35. </w:t>
      </w:r>
    </w:p>
  </w:footnote>
  <w:footnote w:id="67">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for example </w:t>
      </w:r>
      <w:r w:rsidRPr="00DD55FF">
        <w:rPr>
          <w:i/>
          <w:sz w:val="22"/>
          <w:szCs w:val="22"/>
        </w:rPr>
        <w:t>R (Begum) v Denbigh High School</w:t>
      </w:r>
      <w:r w:rsidRPr="00DD55FF">
        <w:rPr>
          <w:sz w:val="22"/>
          <w:szCs w:val="22"/>
        </w:rPr>
        <w:t xml:space="preserve"> [2006] UKHL 15.</w:t>
      </w:r>
    </w:p>
  </w:footnote>
  <w:footnote w:id="6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in this respect C </w:t>
      </w:r>
      <w:proofErr w:type="spellStart"/>
      <w:r w:rsidRPr="00DD55FF">
        <w:rPr>
          <w:sz w:val="22"/>
          <w:szCs w:val="22"/>
        </w:rPr>
        <w:t>McCrudden</w:t>
      </w:r>
      <w:proofErr w:type="spellEnd"/>
      <w:r w:rsidRPr="00DD55FF">
        <w:rPr>
          <w:sz w:val="22"/>
          <w:szCs w:val="22"/>
        </w:rPr>
        <w:t>, ‘Theorising European Equality Law’, in C Costello and E Barry (</w:t>
      </w:r>
      <w:proofErr w:type="spellStart"/>
      <w:r w:rsidRPr="00DD55FF">
        <w:rPr>
          <w:sz w:val="22"/>
          <w:szCs w:val="22"/>
        </w:rPr>
        <w:t>eds</w:t>
      </w:r>
      <w:proofErr w:type="spellEnd"/>
      <w:r w:rsidRPr="00DD55FF">
        <w:rPr>
          <w:sz w:val="22"/>
          <w:szCs w:val="22"/>
        </w:rPr>
        <w:t xml:space="preserve">) </w:t>
      </w:r>
      <w:r w:rsidRPr="00DD55FF">
        <w:rPr>
          <w:i/>
          <w:sz w:val="22"/>
          <w:szCs w:val="22"/>
        </w:rPr>
        <w:t>Equality in Diversity: The New Equality Directives</w:t>
      </w:r>
      <w:r w:rsidRPr="00DD55FF">
        <w:rPr>
          <w:sz w:val="22"/>
          <w:szCs w:val="22"/>
        </w:rPr>
        <w:t xml:space="preserve"> (Irish Centre for European Law, 2003), 1-38.</w:t>
      </w:r>
    </w:p>
  </w:footnote>
  <w:footnote w:id="69">
    <w:p w:rsidR="00F11B00" w:rsidRPr="00DD55FF" w:rsidRDefault="00F11B00" w:rsidP="00DD55FF">
      <w:pPr>
        <w:pStyle w:val="FootnoteText"/>
        <w:jc w:val="both"/>
        <w:rPr>
          <w:sz w:val="22"/>
          <w:szCs w:val="22"/>
        </w:rPr>
      </w:pPr>
      <w:r w:rsidRPr="00DD55FF">
        <w:rPr>
          <w:rStyle w:val="FootnoteReference"/>
          <w:sz w:val="22"/>
          <w:szCs w:val="22"/>
        </w:rPr>
        <w:footnoteRef/>
      </w:r>
      <w:r w:rsidR="00F34DB6">
        <w:rPr>
          <w:sz w:val="22"/>
          <w:szCs w:val="22"/>
        </w:rPr>
        <w:t xml:space="preserve"> </w:t>
      </w:r>
      <w:proofErr w:type="spellStart"/>
      <w:r w:rsidR="00F34DB6">
        <w:rPr>
          <w:sz w:val="22"/>
          <w:szCs w:val="22"/>
        </w:rPr>
        <w:t>Khaitan</w:t>
      </w:r>
      <w:proofErr w:type="spellEnd"/>
      <w:r w:rsidR="00F34DB6">
        <w:rPr>
          <w:sz w:val="22"/>
          <w:szCs w:val="22"/>
        </w:rPr>
        <w:t xml:space="preserve"> (n 1</w:t>
      </w:r>
      <w:r w:rsidR="009F0BD6" w:rsidRPr="00DD55FF">
        <w:rPr>
          <w:sz w:val="22"/>
          <w:szCs w:val="22"/>
        </w:rPr>
        <w:t>)</w:t>
      </w:r>
      <w:r w:rsidRPr="00DD55FF">
        <w:rPr>
          <w:sz w:val="22"/>
          <w:szCs w:val="22"/>
        </w:rPr>
        <w:t xml:space="preserve"> 92.</w:t>
      </w:r>
    </w:p>
  </w:footnote>
  <w:footnote w:id="70">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92-98.</w:t>
      </w:r>
    </w:p>
  </w:footnote>
  <w:footnote w:id="7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113.</w:t>
      </w:r>
    </w:p>
  </w:footnote>
  <w:footnote w:id="72">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K Pickett and R Wilkinson, </w:t>
      </w:r>
      <w:r w:rsidRPr="00DD55FF">
        <w:rPr>
          <w:i/>
          <w:sz w:val="22"/>
          <w:szCs w:val="22"/>
        </w:rPr>
        <w:t xml:space="preserve">The Spirit Level: Why Equality is </w:t>
      </w:r>
      <w:proofErr w:type="gramStart"/>
      <w:r w:rsidRPr="00DD55FF">
        <w:rPr>
          <w:i/>
          <w:sz w:val="22"/>
          <w:szCs w:val="22"/>
        </w:rPr>
        <w:t>Better</w:t>
      </w:r>
      <w:proofErr w:type="gramEnd"/>
      <w:r w:rsidRPr="00DD55FF">
        <w:rPr>
          <w:i/>
          <w:sz w:val="22"/>
          <w:szCs w:val="22"/>
        </w:rPr>
        <w:t xml:space="preserve"> for Everyone</w:t>
      </w:r>
      <w:r w:rsidRPr="00DD55FF">
        <w:rPr>
          <w:sz w:val="22"/>
          <w:szCs w:val="22"/>
        </w:rPr>
        <w:t xml:space="preserve"> (Allen Lane, 2009).</w:t>
      </w:r>
    </w:p>
  </w:footnote>
  <w:footnote w:id="73">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00F34DB6">
        <w:rPr>
          <w:sz w:val="22"/>
          <w:szCs w:val="22"/>
        </w:rPr>
        <w:t>Khaitan</w:t>
      </w:r>
      <w:proofErr w:type="spellEnd"/>
      <w:r w:rsidR="00F34DB6">
        <w:rPr>
          <w:sz w:val="22"/>
          <w:szCs w:val="22"/>
        </w:rPr>
        <w:t xml:space="preserve"> (n 1</w:t>
      </w:r>
      <w:r w:rsidR="009F0BD6" w:rsidRPr="00DD55FF">
        <w:rPr>
          <w:sz w:val="22"/>
          <w:szCs w:val="22"/>
        </w:rPr>
        <w:t>)</w:t>
      </w:r>
      <w:r w:rsidRPr="00DD55FF">
        <w:rPr>
          <w:sz w:val="22"/>
          <w:szCs w:val="22"/>
        </w:rPr>
        <w:t xml:space="preserve"> 103.</w:t>
      </w:r>
    </w:p>
  </w:footnote>
  <w:footnote w:id="7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103-113.   </w:t>
      </w:r>
    </w:p>
  </w:footnote>
  <w:footnote w:id="75">
    <w:p w:rsidR="00F057BC" w:rsidRPr="00DD55FF" w:rsidRDefault="00F057BC" w:rsidP="00F057BC">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00F34DB6">
        <w:rPr>
          <w:sz w:val="22"/>
          <w:szCs w:val="22"/>
        </w:rPr>
        <w:t>Khaitan</w:t>
      </w:r>
      <w:proofErr w:type="spellEnd"/>
      <w:r w:rsidR="00F34DB6">
        <w:rPr>
          <w:sz w:val="22"/>
          <w:szCs w:val="22"/>
        </w:rPr>
        <w:t xml:space="preserve"> (n 1</w:t>
      </w:r>
      <w:r w:rsidRPr="00DD55FF">
        <w:rPr>
          <w:sz w:val="22"/>
          <w:szCs w:val="22"/>
        </w:rPr>
        <w:t>) 114-15</w:t>
      </w:r>
    </w:p>
  </w:footnote>
  <w:footnote w:id="76">
    <w:p w:rsidR="00F057BC" w:rsidRPr="00DD55FF" w:rsidRDefault="00F057BC" w:rsidP="00F057BC">
      <w:pPr>
        <w:pStyle w:val="FootnoteText"/>
        <w:jc w:val="both"/>
        <w:rPr>
          <w:sz w:val="22"/>
          <w:szCs w:val="22"/>
        </w:rPr>
      </w:pPr>
      <w:r w:rsidRPr="00DD55FF">
        <w:rPr>
          <w:rStyle w:val="FootnoteReference"/>
          <w:sz w:val="22"/>
          <w:szCs w:val="22"/>
        </w:rPr>
        <w:footnoteRef/>
      </w:r>
      <w:r w:rsidRPr="00DD55FF">
        <w:rPr>
          <w:sz w:val="22"/>
          <w:szCs w:val="22"/>
        </w:rPr>
        <w:t xml:space="preserve"> ibid 115.</w:t>
      </w:r>
    </w:p>
  </w:footnote>
  <w:footnote w:id="77">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117.</w:t>
      </w:r>
    </w:p>
  </w:footnote>
  <w:footnote w:id="7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120.</w:t>
      </w:r>
    </w:p>
  </w:footnote>
  <w:footnote w:id="7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134.</w:t>
      </w:r>
    </w:p>
  </w:footnote>
  <w:footnote w:id="80">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121.</w:t>
      </w:r>
    </w:p>
  </w:footnote>
  <w:footnote w:id="8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18.</w:t>
      </w:r>
    </w:p>
  </w:footnote>
  <w:footnote w:id="82">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121.</w:t>
      </w:r>
    </w:p>
  </w:footnote>
  <w:footnote w:id="83">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127-8.</w:t>
      </w:r>
    </w:p>
  </w:footnote>
  <w:footnote w:id="8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A breach of this duty is made out when individuals experience harm, which can take expressive form –</w:t>
      </w:r>
      <w:r w:rsidR="00F34DB6">
        <w:rPr>
          <w:sz w:val="22"/>
          <w:szCs w:val="22"/>
        </w:rPr>
        <w:t xml:space="preserve"> see </w:t>
      </w:r>
      <w:proofErr w:type="spellStart"/>
      <w:r w:rsidR="00F34DB6">
        <w:rPr>
          <w:sz w:val="22"/>
          <w:szCs w:val="22"/>
        </w:rPr>
        <w:t>Khaitan</w:t>
      </w:r>
      <w:proofErr w:type="spellEnd"/>
      <w:r w:rsidR="00F34DB6">
        <w:rPr>
          <w:sz w:val="22"/>
          <w:szCs w:val="22"/>
        </w:rPr>
        <w:t xml:space="preserve"> (n 1</w:t>
      </w:r>
      <w:r w:rsidR="009F0BD6" w:rsidRPr="00DD55FF">
        <w:rPr>
          <w:sz w:val="22"/>
          <w:szCs w:val="22"/>
        </w:rPr>
        <w:t>)</w:t>
      </w:r>
      <w:r w:rsidRPr="00DD55FF">
        <w:rPr>
          <w:sz w:val="22"/>
          <w:szCs w:val="22"/>
        </w:rPr>
        <w:t xml:space="preserve"> 151.</w:t>
      </w:r>
    </w:p>
  </w:footnote>
  <w:footnote w:id="85">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144. </w:t>
      </w:r>
    </w:p>
  </w:footnote>
  <w:footnote w:id="86">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194.</w:t>
      </w:r>
    </w:p>
  </w:footnote>
  <w:footnote w:id="87">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212.</w:t>
      </w:r>
    </w:p>
  </w:footnote>
  <w:footnote w:id="8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199-200.</w:t>
      </w:r>
    </w:p>
  </w:footnote>
  <w:footnote w:id="8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162-3.</w:t>
      </w:r>
    </w:p>
  </w:footnote>
  <w:footnote w:id="90">
    <w:p w:rsidR="00050CB3" w:rsidRDefault="00050CB3">
      <w:pPr>
        <w:pStyle w:val="FootnoteText"/>
      </w:pPr>
      <w:r>
        <w:rPr>
          <w:rStyle w:val="FootnoteReference"/>
        </w:rPr>
        <w:footnoteRef/>
      </w:r>
      <w:r>
        <w:t xml:space="preserve"> </w:t>
      </w:r>
      <w:r>
        <w:rPr>
          <w:sz w:val="22"/>
          <w:szCs w:val="22"/>
        </w:rPr>
        <w:t>ibid 41.</w:t>
      </w:r>
    </w:p>
  </w:footnote>
  <w:footnote w:id="9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See O </w:t>
      </w:r>
      <w:proofErr w:type="spellStart"/>
      <w:r w:rsidRPr="00DD55FF">
        <w:rPr>
          <w:sz w:val="22"/>
          <w:szCs w:val="22"/>
        </w:rPr>
        <w:t>Fiss</w:t>
      </w:r>
      <w:proofErr w:type="spellEnd"/>
      <w:proofErr w:type="gramStart"/>
      <w:r w:rsidRPr="00DD55FF">
        <w:rPr>
          <w:sz w:val="22"/>
          <w:szCs w:val="22"/>
        </w:rPr>
        <w:t>,</w:t>
      </w:r>
      <w:r w:rsidRPr="00DD55FF">
        <w:rPr>
          <w:rFonts w:ascii="Times New Roman" w:eastAsia="Times New Roman" w:hAnsi="Times New Roman" w:cs="Times New Roman"/>
          <w:sz w:val="22"/>
          <w:szCs w:val="22"/>
          <w:lang w:val="en-US"/>
        </w:rPr>
        <w:t>‘</w:t>
      </w:r>
      <w:r w:rsidRPr="00DD55FF">
        <w:rPr>
          <w:sz w:val="22"/>
          <w:szCs w:val="22"/>
          <w:lang w:val="en-US"/>
        </w:rPr>
        <w:t>Groups</w:t>
      </w:r>
      <w:proofErr w:type="gramEnd"/>
      <w:r w:rsidRPr="00DD55FF">
        <w:rPr>
          <w:sz w:val="22"/>
          <w:szCs w:val="22"/>
          <w:lang w:val="en-US"/>
        </w:rPr>
        <w:t xml:space="preserve"> and the Equal Protection Clause’ (1976) 5(2) </w:t>
      </w:r>
      <w:r w:rsidRPr="00DD55FF">
        <w:rPr>
          <w:i/>
          <w:sz w:val="22"/>
          <w:szCs w:val="22"/>
          <w:lang w:val="en-US"/>
        </w:rPr>
        <w:t>Philosophy and Public Affairs</w:t>
      </w:r>
      <w:r w:rsidRPr="00DD55FF">
        <w:rPr>
          <w:sz w:val="22"/>
          <w:szCs w:val="22"/>
          <w:lang w:val="en-US"/>
        </w:rPr>
        <w:t xml:space="preserve"> 107; C </w:t>
      </w:r>
      <w:proofErr w:type="spellStart"/>
      <w:r w:rsidRPr="00DD55FF">
        <w:rPr>
          <w:sz w:val="22"/>
          <w:szCs w:val="22"/>
          <w:lang w:val="en-US"/>
        </w:rPr>
        <w:t>Sunstein</w:t>
      </w:r>
      <w:proofErr w:type="spellEnd"/>
      <w:r w:rsidRPr="00DD55FF">
        <w:rPr>
          <w:sz w:val="22"/>
          <w:szCs w:val="22"/>
          <w:lang w:val="en-US"/>
        </w:rPr>
        <w:t xml:space="preserve">, ‘The </w:t>
      </w:r>
      <w:proofErr w:type="spellStart"/>
      <w:r w:rsidRPr="00DD55FF">
        <w:rPr>
          <w:sz w:val="22"/>
          <w:szCs w:val="22"/>
          <w:lang w:val="en-US"/>
        </w:rPr>
        <w:t>Anticaste</w:t>
      </w:r>
      <w:proofErr w:type="spellEnd"/>
      <w:r w:rsidRPr="00DD55FF">
        <w:rPr>
          <w:sz w:val="22"/>
          <w:szCs w:val="22"/>
          <w:lang w:val="en-US"/>
        </w:rPr>
        <w:t xml:space="preserve"> Principle’ (1994) 92(8) </w:t>
      </w:r>
      <w:r w:rsidRPr="00DD55FF">
        <w:rPr>
          <w:i/>
          <w:sz w:val="22"/>
          <w:szCs w:val="22"/>
          <w:lang w:val="en-US"/>
        </w:rPr>
        <w:t xml:space="preserve">Michigan Law Review </w:t>
      </w:r>
      <w:r w:rsidRPr="00DD55FF">
        <w:rPr>
          <w:sz w:val="22"/>
          <w:szCs w:val="22"/>
          <w:lang w:val="en-US"/>
        </w:rPr>
        <w:t xml:space="preserve">2410; R Post, ‘Prejudicial Appearances: The Logic of American Anti-Discrimination Law’ (2000) 88 </w:t>
      </w:r>
      <w:r w:rsidRPr="00DD55FF">
        <w:rPr>
          <w:i/>
          <w:sz w:val="22"/>
          <w:szCs w:val="22"/>
          <w:lang w:val="en-US"/>
        </w:rPr>
        <w:t>California Law Review</w:t>
      </w:r>
      <w:r w:rsidRPr="00DD55FF">
        <w:rPr>
          <w:sz w:val="22"/>
          <w:szCs w:val="22"/>
          <w:lang w:val="en-US"/>
        </w:rPr>
        <w:t xml:space="preserve"> 1;</w:t>
      </w:r>
      <w:r w:rsidR="009F0BD6" w:rsidRPr="00DD55FF">
        <w:rPr>
          <w:sz w:val="22"/>
          <w:szCs w:val="22"/>
        </w:rPr>
        <w:t xml:space="preserve"> </w:t>
      </w:r>
      <w:proofErr w:type="spellStart"/>
      <w:r w:rsidR="009F0BD6" w:rsidRPr="00DD55FF">
        <w:rPr>
          <w:sz w:val="22"/>
          <w:szCs w:val="22"/>
        </w:rPr>
        <w:t>Fredman</w:t>
      </w:r>
      <w:proofErr w:type="spellEnd"/>
      <w:r w:rsidR="009F0BD6" w:rsidRPr="00DD55FF">
        <w:rPr>
          <w:sz w:val="22"/>
          <w:szCs w:val="22"/>
        </w:rPr>
        <w:t xml:space="preserve"> (n 14</w:t>
      </w:r>
      <w:r w:rsidRPr="00DD55FF">
        <w:rPr>
          <w:sz w:val="22"/>
          <w:szCs w:val="22"/>
        </w:rPr>
        <w:t xml:space="preserve">); </w:t>
      </w:r>
      <w:proofErr w:type="spellStart"/>
      <w:r w:rsidRPr="00DD55FF">
        <w:rPr>
          <w:sz w:val="22"/>
          <w:szCs w:val="22"/>
        </w:rPr>
        <w:t>McColgan</w:t>
      </w:r>
      <w:proofErr w:type="spellEnd"/>
      <w:r w:rsidRPr="00DD55FF">
        <w:rPr>
          <w:sz w:val="22"/>
          <w:szCs w:val="22"/>
        </w:rPr>
        <w:t xml:space="preserve"> (n </w:t>
      </w:r>
      <w:r w:rsidR="009F0BD6" w:rsidRPr="00DD55FF">
        <w:rPr>
          <w:sz w:val="22"/>
          <w:szCs w:val="22"/>
        </w:rPr>
        <w:t>61</w:t>
      </w:r>
      <w:r w:rsidRPr="00DD55FF">
        <w:rPr>
          <w:sz w:val="22"/>
          <w:szCs w:val="22"/>
        </w:rPr>
        <w:t>).</w:t>
      </w:r>
    </w:p>
  </w:footnote>
  <w:footnote w:id="92">
    <w:p w:rsidR="00E75A3F" w:rsidRPr="00DD55FF" w:rsidRDefault="00E75A3F" w:rsidP="00DD55FF">
      <w:pPr>
        <w:pStyle w:val="FootnoteText"/>
        <w:jc w:val="both"/>
        <w:rPr>
          <w:sz w:val="22"/>
          <w:szCs w:val="22"/>
        </w:rPr>
      </w:pPr>
      <w:r w:rsidRPr="00DD55FF">
        <w:rPr>
          <w:rStyle w:val="FootnoteReference"/>
          <w:sz w:val="22"/>
          <w:szCs w:val="22"/>
        </w:rPr>
        <w:footnoteRef/>
      </w:r>
      <w:r w:rsidR="00066BBD" w:rsidRPr="00DD55FF">
        <w:rPr>
          <w:sz w:val="22"/>
          <w:szCs w:val="22"/>
        </w:rPr>
        <w:t xml:space="preserve"> Contrast for example Alexander’s account of the moral wrongfulness of</w:t>
      </w:r>
      <w:r w:rsidR="002A7EF6">
        <w:rPr>
          <w:sz w:val="22"/>
          <w:szCs w:val="22"/>
        </w:rPr>
        <w:t xml:space="preserve"> discrimination: Alexander (n 15</w:t>
      </w:r>
      <w:r w:rsidR="00066BBD" w:rsidRPr="00DD55FF">
        <w:rPr>
          <w:sz w:val="22"/>
          <w:szCs w:val="22"/>
        </w:rPr>
        <w:t xml:space="preserve">). </w:t>
      </w:r>
    </w:p>
  </w:footnote>
  <w:footnote w:id="93">
    <w:p w:rsidR="004614C7" w:rsidRPr="00DD55FF" w:rsidRDefault="004614C7" w:rsidP="00DD55FF">
      <w:pPr>
        <w:pStyle w:val="FootnoteText"/>
        <w:jc w:val="both"/>
        <w:rPr>
          <w:sz w:val="22"/>
          <w:szCs w:val="22"/>
        </w:rPr>
      </w:pPr>
      <w:r w:rsidRPr="00DD55FF">
        <w:rPr>
          <w:rStyle w:val="FootnoteReference"/>
          <w:sz w:val="22"/>
          <w:szCs w:val="22"/>
        </w:rPr>
        <w:footnoteRef/>
      </w:r>
      <w:r w:rsidRPr="00DD55FF">
        <w:rPr>
          <w:sz w:val="22"/>
          <w:szCs w:val="22"/>
        </w:rPr>
        <w:t xml:space="preserve"> </w:t>
      </w:r>
      <w:r w:rsidR="00066BBD" w:rsidRPr="00DD55FF">
        <w:rPr>
          <w:sz w:val="22"/>
          <w:szCs w:val="22"/>
        </w:rPr>
        <w:t>Again, contrast the limited explanatory reach of Alexander’s analysis: ibid.</w:t>
      </w:r>
    </w:p>
  </w:footnote>
  <w:footnote w:id="94">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002A7EF6">
        <w:rPr>
          <w:sz w:val="22"/>
          <w:szCs w:val="22"/>
        </w:rPr>
        <w:t>Khaitan</w:t>
      </w:r>
      <w:proofErr w:type="spellEnd"/>
      <w:r w:rsidR="002A7EF6">
        <w:rPr>
          <w:sz w:val="22"/>
          <w:szCs w:val="22"/>
        </w:rPr>
        <w:t xml:space="preserve"> (n 1</w:t>
      </w:r>
      <w:r w:rsidR="009F0BD6" w:rsidRPr="00DD55FF">
        <w:rPr>
          <w:sz w:val="22"/>
          <w:szCs w:val="22"/>
        </w:rPr>
        <w:t>)</w:t>
      </w:r>
      <w:r w:rsidRPr="00DD55FF">
        <w:rPr>
          <w:sz w:val="22"/>
          <w:szCs w:val="22"/>
        </w:rPr>
        <w:t xml:space="preserve"> 179-180.</w:t>
      </w:r>
    </w:p>
  </w:footnote>
  <w:footnote w:id="95">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P Shin, ‘Is There a Unitary Concept of Discrimination?</w:t>
      </w:r>
      <w:proofErr w:type="gramStart"/>
      <w:r w:rsidRPr="00DD55FF">
        <w:rPr>
          <w:sz w:val="22"/>
          <w:szCs w:val="22"/>
        </w:rPr>
        <w:t>’,</w:t>
      </w:r>
      <w:proofErr w:type="gramEnd"/>
      <w:r w:rsidRPr="00DD55FF">
        <w:rPr>
          <w:sz w:val="22"/>
          <w:szCs w:val="22"/>
        </w:rPr>
        <w:t xml:space="preserve"> in Hellman and Moreau (n</w:t>
      </w:r>
      <w:r w:rsidR="002A7EF6">
        <w:rPr>
          <w:sz w:val="22"/>
          <w:szCs w:val="22"/>
        </w:rPr>
        <w:t xml:space="preserve"> 6</w:t>
      </w:r>
      <w:r w:rsidRPr="00DD55FF">
        <w:rPr>
          <w:sz w:val="22"/>
          <w:szCs w:val="22"/>
        </w:rPr>
        <w:t>), 172-3.</w:t>
      </w:r>
      <w:r w:rsidR="000E009F" w:rsidRPr="00DD55FF">
        <w:rPr>
          <w:sz w:val="22"/>
          <w:szCs w:val="22"/>
        </w:rPr>
        <w:t xml:space="preserve"> The moral concerns underlying the ‘lay understanding’</w:t>
      </w:r>
      <w:r w:rsidR="009C40F0" w:rsidRPr="00DD55FF">
        <w:rPr>
          <w:sz w:val="22"/>
          <w:szCs w:val="22"/>
        </w:rPr>
        <w:t xml:space="preserve"> of discrimination</w:t>
      </w:r>
      <w:r w:rsidR="000E009F" w:rsidRPr="00DD55FF">
        <w:rPr>
          <w:sz w:val="22"/>
          <w:szCs w:val="22"/>
        </w:rPr>
        <w:t xml:space="preserve"> </w:t>
      </w:r>
      <w:r w:rsidR="009C40F0" w:rsidRPr="00DD55FF">
        <w:rPr>
          <w:sz w:val="22"/>
          <w:szCs w:val="22"/>
        </w:rPr>
        <w:t>form part of this plurality: as such, this particular view of the purpose and justification of discrimination law is not incorrect</w:t>
      </w:r>
      <w:r w:rsidR="005952F3" w:rsidRPr="00DD55FF">
        <w:rPr>
          <w:sz w:val="22"/>
          <w:szCs w:val="22"/>
        </w:rPr>
        <w:t xml:space="preserve"> as such</w:t>
      </w:r>
      <w:r w:rsidR="009C40F0" w:rsidRPr="00DD55FF">
        <w:rPr>
          <w:sz w:val="22"/>
          <w:szCs w:val="22"/>
        </w:rPr>
        <w:t xml:space="preserve">, just radically under-inclusive. </w:t>
      </w:r>
    </w:p>
  </w:footnote>
  <w:footnote w:id="96">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For example, it could provide a justification for the clear distinction that national legal systems maintain between the prohibition on direct and indirect discrimination, despite </w:t>
      </w:r>
      <w:proofErr w:type="spellStart"/>
      <w:r w:rsidRPr="00DD55FF">
        <w:rPr>
          <w:sz w:val="22"/>
          <w:szCs w:val="22"/>
        </w:rPr>
        <w:t>Khaitan’s</w:t>
      </w:r>
      <w:proofErr w:type="spellEnd"/>
      <w:r w:rsidRPr="00DD55FF">
        <w:rPr>
          <w:sz w:val="22"/>
          <w:szCs w:val="22"/>
        </w:rPr>
        <w:t xml:space="preserve"> insistence that they share a common purpose and justification: direct discrimination provides an important corrective r</w:t>
      </w:r>
      <w:r w:rsidR="00082351" w:rsidRPr="00DD55FF">
        <w:rPr>
          <w:sz w:val="22"/>
          <w:szCs w:val="22"/>
        </w:rPr>
        <w:t>emedy against certain improperly motivated</w:t>
      </w:r>
      <w:r w:rsidRPr="00DD55FF">
        <w:rPr>
          <w:sz w:val="22"/>
          <w:szCs w:val="22"/>
        </w:rPr>
        <w:t xml:space="preserve"> forms of decision-making that doubles up with its role in addressing group disadvantage, whereas the prohibition on indirect discrimination is primarily focused on the latter function. </w:t>
      </w:r>
    </w:p>
  </w:footnote>
  <w:footnote w:id="97">
    <w:p w:rsidR="00F11B00" w:rsidRPr="00DD55FF" w:rsidRDefault="00F11B00" w:rsidP="00DD55FF">
      <w:pPr>
        <w:pStyle w:val="FootnoteText"/>
        <w:jc w:val="both"/>
        <w:rPr>
          <w:sz w:val="22"/>
          <w:szCs w:val="22"/>
        </w:rPr>
      </w:pPr>
      <w:r w:rsidRPr="00DD55FF">
        <w:rPr>
          <w:rStyle w:val="FootnoteReference"/>
          <w:sz w:val="22"/>
          <w:szCs w:val="22"/>
        </w:rPr>
        <w:footnoteRef/>
      </w:r>
      <w:r w:rsidR="009F0BD6" w:rsidRPr="00DD55FF">
        <w:rPr>
          <w:sz w:val="22"/>
          <w:szCs w:val="22"/>
        </w:rPr>
        <w:t xml:space="preserve"> See </w:t>
      </w:r>
      <w:proofErr w:type="spellStart"/>
      <w:r w:rsidR="009F0BD6" w:rsidRPr="00DD55FF">
        <w:rPr>
          <w:sz w:val="22"/>
          <w:szCs w:val="22"/>
        </w:rPr>
        <w:t>Arneso</w:t>
      </w:r>
      <w:r w:rsidRPr="00DD55FF">
        <w:rPr>
          <w:sz w:val="22"/>
          <w:szCs w:val="22"/>
        </w:rPr>
        <w:t>n</w:t>
      </w:r>
      <w:proofErr w:type="spellEnd"/>
      <w:r w:rsidRPr="00DD55FF">
        <w:rPr>
          <w:sz w:val="22"/>
          <w:szCs w:val="22"/>
        </w:rPr>
        <w:t xml:space="preserve"> (n </w:t>
      </w:r>
      <w:r w:rsidR="002A7EF6">
        <w:rPr>
          <w:sz w:val="22"/>
          <w:szCs w:val="22"/>
        </w:rPr>
        <w:t>17</w:t>
      </w:r>
      <w:r w:rsidRPr="00DD55FF">
        <w:rPr>
          <w:sz w:val="22"/>
          <w:szCs w:val="22"/>
        </w:rPr>
        <w:t>).</w:t>
      </w:r>
    </w:p>
  </w:footnote>
  <w:footnote w:id="98">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In </w:t>
      </w:r>
      <w:proofErr w:type="spellStart"/>
      <w:r w:rsidRPr="00DD55FF">
        <w:rPr>
          <w:sz w:val="22"/>
          <w:szCs w:val="22"/>
        </w:rPr>
        <w:t>Khaitan’s</w:t>
      </w:r>
      <w:proofErr w:type="spellEnd"/>
      <w:r w:rsidRPr="00DD55FF">
        <w:rPr>
          <w:sz w:val="22"/>
          <w:szCs w:val="22"/>
        </w:rPr>
        <w:t xml:space="preserve"> account of the normative underpinning of the non-discrimination duty, issues of fault are subsumed within th</w:t>
      </w:r>
      <w:bookmarkStart w:id="0" w:name="_GoBack"/>
      <w:bookmarkEnd w:id="0"/>
      <w:r w:rsidRPr="00DD55FF">
        <w:rPr>
          <w:sz w:val="22"/>
          <w:szCs w:val="22"/>
        </w:rPr>
        <w:t>e scope and functioning of the justification defence to discrimination claims: he suggests that duty-bearers who breach the legal prohibition on direct discrimination are likely at least to have acted with ‘reckless disregard’ for the risk that their victim would suffer because of their membership of a protected group, while duty-bearers who breach the prohibition on indirect discrimination (and thus have been unable to invoke the objective justification defence that applies in this context) will at the least have a</w:t>
      </w:r>
      <w:r w:rsidR="009F0BD6" w:rsidRPr="00DD55FF">
        <w:rPr>
          <w:sz w:val="22"/>
          <w:szCs w:val="22"/>
        </w:rPr>
        <w:t xml:space="preserve">cted in </w:t>
      </w:r>
      <w:r w:rsidR="002A7EF6">
        <w:rPr>
          <w:sz w:val="22"/>
          <w:szCs w:val="22"/>
        </w:rPr>
        <w:t xml:space="preserve">a negligent manner: </w:t>
      </w:r>
      <w:proofErr w:type="spellStart"/>
      <w:r w:rsidR="002A7EF6">
        <w:rPr>
          <w:sz w:val="22"/>
          <w:szCs w:val="22"/>
        </w:rPr>
        <w:t>Khaitan</w:t>
      </w:r>
      <w:proofErr w:type="spellEnd"/>
      <w:r w:rsidR="002A7EF6">
        <w:rPr>
          <w:sz w:val="22"/>
          <w:szCs w:val="22"/>
        </w:rPr>
        <w:t xml:space="preserve"> (n 1</w:t>
      </w:r>
      <w:r w:rsidR="009F0BD6" w:rsidRPr="00DD55FF">
        <w:rPr>
          <w:sz w:val="22"/>
          <w:szCs w:val="22"/>
        </w:rPr>
        <w:t>)</w:t>
      </w:r>
      <w:r w:rsidRPr="00DD55FF">
        <w:rPr>
          <w:sz w:val="22"/>
          <w:szCs w:val="22"/>
        </w:rPr>
        <w:t xml:space="preserve"> 184-5. </w:t>
      </w:r>
    </w:p>
  </w:footnote>
  <w:footnote w:id="99">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ibid 128-9.</w:t>
      </w:r>
    </w:p>
  </w:footnote>
  <w:footnote w:id="100">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J Waldron,</w:t>
      </w:r>
      <w:r w:rsidR="00A74345" w:rsidRPr="00DD55FF">
        <w:rPr>
          <w:sz w:val="22"/>
          <w:szCs w:val="22"/>
        </w:rPr>
        <w:t xml:space="preserve"> ‘Basic Equality’ (2008) </w:t>
      </w:r>
      <w:r w:rsidR="00A74345" w:rsidRPr="00DD55FF">
        <w:rPr>
          <w:i/>
          <w:sz w:val="22"/>
          <w:szCs w:val="22"/>
        </w:rPr>
        <w:t>New York University Public Law and Legal Theory Working Papers</w:t>
      </w:r>
      <w:r w:rsidR="00A74345" w:rsidRPr="00DD55FF">
        <w:rPr>
          <w:sz w:val="22"/>
          <w:szCs w:val="22"/>
        </w:rPr>
        <w:t xml:space="preserve">, No 107, available at </w:t>
      </w:r>
      <w:r w:rsidRPr="00DD55FF">
        <w:rPr>
          <w:sz w:val="22"/>
          <w:szCs w:val="22"/>
        </w:rPr>
        <w:t xml:space="preserve"> </w:t>
      </w:r>
      <w:hyperlink r:id="rId1" w:history="1">
        <w:r w:rsidR="00A74345" w:rsidRPr="00DD55FF">
          <w:rPr>
            <w:rStyle w:val="Hyperlink"/>
            <w:sz w:val="22"/>
            <w:szCs w:val="22"/>
          </w:rPr>
          <w:t>http://lsr.nellco.org/nyu_plltwp/107</w:t>
        </w:r>
      </w:hyperlink>
      <w:r w:rsidR="00A74345" w:rsidRPr="00DD55FF">
        <w:rPr>
          <w:sz w:val="22"/>
          <w:szCs w:val="22"/>
        </w:rPr>
        <w:t xml:space="preserve"> (last accessed 1 February 2016).</w:t>
      </w:r>
    </w:p>
  </w:footnote>
  <w:footnote w:id="101">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Space prevents detailed elaboration of this argument. However the reader is directed to Shin’s contention that an obligation exists to act in a manner that expresses equal respect for the moral status of all individuals, which may be relevant to an adequate evaluation of the justifiability of a particular form of behaviour: see P Shin, ‘The Substantive Principle of Equal Treatment’ (2009) 15 </w:t>
      </w:r>
      <w:r w:rsidRPr="00DD55FF">
        <w:rPr>
          <w:i/>
          <w:sz w:val="22"/>
          <w:szCs w:val="22"/>
        </w:rPr>
        <w:t xml:space="preserve">Legal Theory </w:t>
      </w:r>
      <w:r w:rsidRPr="00DD55FF">
        <w:rPr>
          <w:sz w:val="22"/>
          <w:szCs w:val="22"/>
        </w:rPr>
        <w:t>149.</w:t>
      </w:r>
    </w:p>
  </w:footnote>
  <w:footnote w:id="102">
    <w:p w:rsidR="00F11B00" w:rsidRPr="00DD55FF" w:rsidRDefault="00F11B00" w:rsidP="00DD55FF">
      <w:pPr>
        <w:pStyle w:val="FootnoteText"/>
        <w:jc w:val="both"/>
        <w:rPr>
          <w:sz w:val="22"/>
          <w:szCs w:val="22"/>
        </w:rPr>
      </w:pPr>
      <w:r w:rsidRPr="00DD55FF">
        <w:rPr>
          <w:rStyle w:val="FootnoteReference"/>
          <w:sz w:val="22"/>
          <w:szCs w:val="22"/>
        </w:rPr>
        <w:footnoteRef/>
      </w:r>
      <w:r w:rsidRPr="00DD55FF">
        <w:rPr>
          <w:sz w:val="22"/>
          <w:szCs w:val="22"/>
        </w:rPr>
        <w:t xml:space="preserve"> </w:t>
      </w:r>
      <w:proofErr w:type="spellStart"/>
      <w:r w:rsidRPr="00DD55FF">
        <w:rPr>
          <w:sz w:val="22"/>
          <w:szCs w:val="22"/>
        </w:rPr>
        <w:t>Khaitan</w:t>
      </w:r>
      <w:proofErr w:type="spellEnd"/>
      <w:r w:rsidRPr="00DD55FF">
        <w:rPr>
          <w:sz w:val="22"/>
          <w:szCs w:val="22"/>
        </w:rPr>
        <w:t xml:space="preserve"> suggests that discrimination law’s focus on combating group disadvantage is not readily compatible with a commitment to strong egalitarian principles, on the basis that any benefits that accrue to disadvantaged groups through the operation of the law in this regard fall far short of the normative demands of strong egalitarianism: </w:t>
      </w:r>
      <w:proofErr w:type="spellStart"/>
      <w:r w:rsidR="002A7EF6">
        <w:rPr>
          <w:sz w:val="22"/>
          <w:szCs w:val="22"/>
        </w:rPr>
        <w:t>Khaitan</w:t>
      </w:r>
      <w:proofErr w:type="spellEnd"/>
      <w:r w:rsidR="002A7EF6">
        <w:rPr>
          <w:sz w:val="22"/>
          <w:szCs w:val="22"/>
        </w:rPr>
        <w:t xml:space="preserve"> (n 1</w:t>
      </w:r>
      <w:r w:rsidR="009F0BD6" w:rsidRPr="00DD55FF">
        <w:rPr>
          <w:sz w:val="22"/>
          <w:szCs w:val="22"/>
        </w:rPr>
        <w:t>)</w:t>
      </w:r>
      <w:r w:rsidRPr="00DD55FF">
        <w:rPr>
          <w:sz w:val="22"/>
          <w:szCs w:val="22"/>
        </w:rPr>
        <w:t xml:space="preserve"> 130-133. However, a similar objection can arguably be made in respect of the normative demands of a strong commitment to a liberal perfectionist understanding of liberty.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51CB"/>
    <w:multiLevelType w:val="multilevel"/>
    <w:tmpl w:val="F392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4706B"/>
    <w:multiLevelType w:val="hybridMultilevel"/>
    <w:tmpl w:val="18B89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3E7C86"/>
    <w:multiLevelType w:val="multilevel"/>
    <w:tmpl w:val="F392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A37B6A"/>
    <w:multiLevelType w:val="hybridMultilevel"/>
    <w:tmpl w:val="E9B69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37"/>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27"/>
    <w:rsid w:val="00002BA6"/>
    <w:rsid w:val="00006CDF"/>
    <w:rsid w:val="00011EC3"/>
    <w:rsid w:val="0001228B"/>
    <w:rsid w:val="00012DFA"/>
    <w:rsid w:val="00014689"/>
    <w:rsid w:val="00014BFA"/>
    <w:rsid w:val="00015B2B"/>
    <w:rsid w:val="00015C16"/>
    <w:rsid w:val="00016381"/>
    <w:rsid w:val="00017953"/>
    <w:rsid w:val="00021221"/>
    <w:rsid w:val="000216DD"/>
    <w:rsid w:val="00021863"/>
    <w:rsid w:val="00022353"/>
    <w:rsid w:val="00022839"/>
    <w:rsid w:val="00023ED2"/>
    <w:rsid w:val="00024614"/>
    <w:rsid w:val="00025947"/>
    <w:rsid w:val="000266A5"/>
    <w:rsid w:val="00027236"/>
    <w:rsid w:val="000301B3"/>
    <w:rsid w:val="000302AE"/>
    <w:rsid w:val="0003218E"/>
    <w:rsid w:val="0003598F"/>
    <w:rsid w:val="00035B9A"/>
    <w:rsid w:val="00035D3C"/>
    <w:rsid w:val="00037056"/>
    <w:rsid w:val="00040EF8"/>
    <w:rsid w:val="0004437C"/>
    <w:rsid w:val="00046701"/>
    <w:rsid w:val="00050CB3"/>
    <w:rsid w:val="00051C1F"/>
    <w:rsid w:val="0005249F"/>
    <w:rsid w:val="00055AEC"/>
    <w:rsid w:val="00055B12"/>
    <w:rsid w:val="00056764"/>
    <w:rsid w:val="000572A5"/>
    <w:rsid w:val="00060100"/>
    <w:rsid w:val="000602D8"/>
    <w:rsid w:val="0006567B"/>
    <w:rsid w:val="00065690"/>
    <w:rsid w:val="00065C7A"/>
    <w:rsid w:val="00066BBD"/>
    <w:rsid w:val="000674DF"/>
    <w:rsid w:val="00070975"/>
    <w:rsid w:val="00071096"/>
    <w:rsid w:val="00072D4A"/>
    <w:rsid w:val="00073001"/>
    <w:rsid w:val="00074FA3"/>
    <w:rsid w:val="000759D1"/>
    <w:rsid w:val="00075B44"/>
    <w:rsid w:val="00077AE8"/>
    <w:rsid w:val="00082351"/>
    <w:rsid w:val="0008345A"/>
    <w:rsid w:val="00084B9C"/>
    <w:rsid w:val="00085215"/>
    <w:rsid w:val="0008599A"/>
    <w:rsid w:val="0008639A"/>
    <w:rsid w:val="00090954"/>
    <w:rsid w:val="00090AA6"/>
    <w:rsid w:val="0009156C"/>
    <w:rsid w:val="00092197"/>
    <w:rsid w:val="00092E65"/>
    <w:rsid w:val="000936F1"/>
    <w:rsid w:val="00093754"/>
    <w:rsid w:val="0009488C"/>
    <w:rsid w:val="00094C1E"/>
    <w:rsid w:val="00097AB2"/>
    <w:rsid w:val="000A05B7"/>
    <w:rsid w:val="000A136D"/>
    <w:rsid w:val="000A2426"/>
    <w:rsid w:val="000A2903"/>
    <w:rsid w:val="000A58E7"/>
    <w:rsid w:val="000A60E0"/>
    <w:rsid w:val="000A6F8E"/>
    <w:rsid w:val="000A7057"/>
    <w:rsid w:val="000A7616"/>
    <w:rsid w:val="000B26C1"/>
    <w:rsid w:val="000B36BC"/>
    <w:rsid w:val="000B39C3"/>
    <w:rsid w:val="000B40D1"/>
    <w:rsid w:val="000B42B6"/>
    <w:rsid w:val="000C0166"/>
    <w:rsid w:val="000C184C"/>
    <w:rsid w:val="000C395A"/>
    <w:rsid w:val="000C4F97"/>
    <w:rsid w:val="000C5090"/>
    <w:rsid w:val="000D0A97"/>
    <w:rsid w:val="000D12B0"/>
    <w:rsid w:val="000D385D"/>
    <w:rsid w:val="000D40A7"/>
    <w:rsid w:val="000D4742"/>
    <w:rsid w:val="000D598C"/>
    <w:rsid w:val="000D7646"/>
    <w:rsid w:val="000E009F"/>
    <w:rsid w:val="000E20DB"/>
    <w:rsid w:val="000E38A5"/>
    <w:rsid w:val="000E587F"/>
    <w:rsid w:val="000E78B8"/>
    <w:rsid w:val="000F0AB6"/>
    <w:rsid w:val="0010080C"/>
    <w:rsid w:val="00100A93"/>
    <w:rsid w:val="001027C5"/>
    <w:rsid w:val="00102C24"/>
    <w:rsid w:val="00102D55"/>
    <w:rsid w:val="001032BD"/>
    <w:rsid w:val="00103CE0"/>
    <w:rsid w:val="00103E31"/>
    <w:rsid w:val="0010456F"/>
    <w:rsid w:val="001049C8"/>
    <w:rsid w:val="00106F47"/>
    <w:rsid w:val="0011016C"/>
    <w:rsid w:val="00110B73"/>
    <w:rsid w:val="00111F19"/>
    <w:rsid w:val="0011253C"/>
    <w:rsid w:val="00113C28"/>
    <w:rsid w:val="00114FDF"/>
    <w:rsid w:val="00115AE1"/>
    <w:rsid w:val="0012089F"/>
    <w:rsid w:val="001215C2"/>
    <w:rsid w:val="001219A4"/>
    <w:rsid w:val="00121B43"/>
    <w:rsid w:val="0012368D"/>
    <w:rsid w:val="00124D42"/>
    <w:rsid w:val="00126ACF"/>
    <w:rsid w:val="0013321E"/>
    <w:rsid w:val="00133C64"/>
    <w:rsid w:val="00135D4F"/>
    <w:rsid w:val="00136218"/>
    <w:rsid w:val="00140B07"/>
    <w:rsid w:val="00141A18"/>
    <w:rsid w:val="00142774"/>
    <w:rsid w:val="00142E28"/>
    <w:rsid w:val="00143ABB"/>
    <w:rsid w:val="00143EEE"/>
    <w:rsid w:val="0014430D"/>
    <w:rsid w:val="00146A79"/>
    <w:rsid w:val="00146CED"/>
    <w:rsid w:val="00146E9A"/>
    <w:rsid w:val="00153A41"/>
    <w:rsid w:val="001566FE"/>
    <w:rsid w:val="00157360"/>
    <w:rsid w:val="00160482"/>
    <w:rsid w:val="00160CDF"/>
    <w:rsid w:val="001636F0"/>
    <w:rsid w:val="00165686"/>
    <w:rsid w:val="001660A4"/>
    <w:rsid w:val="00170DAD"/>
    <w:rsid w:val="001716FE"/>
    <w:rsid w:val="00172D4A"/>
    <w:rsid w:val="00173B1E"/>
    <w:rsid w:val="00174864"/>
    <w:rsid w:val="00183182"/>
    <w:rsid w:val="00192BC2"/>
    <w:rsid w:val="00193394"/>
    <w:rsid w:val="001938F3"/>
    <w:rsid w:val="00194FB2"/>
    <w:rsid w:val="00195B49"/>
    <w:rsid w:val="00195DE8"/>
    <w:rsid w:val="00196C3D"/>
    <w:rsid w:val="00196EE8"/>
    <w:rsid w:val="001A395D"/>
    <w:rsid w:val="001A43A6"/>
    <w:rsid w:val="001A52C5"/>
    <w:rsid w:val="001B097C"/>
    <w:rsid w:val="001B3AF6"/>
    <w:rsid w:val="001B5642"/>
    <w:rsid w:val="001B5872"/>
    <w:rsid w:val="001B5B04"/>
    <w:rsid w:val="001C0995"/>
    <w:rsid w:val="001C14E5"/>
    <w:rsid w:val="001C3BE3"/>
    <w:rsid w:val="001C4113"/>
    <w:rsid w:val="001C45F5"/>
    <w:rsid w:val="001C647B"/>
    <w:rsid w:val="001C731E"/>
    <w:rsid w:val="001C77C1"/>
    <w:rsid w:val="001D0B63"/>
    <w:rsid w:val="001D119A"/>
    <w:rsid w:val="001D22E8"/>
    <w:rsid w:val="001D38F4"/>
    <w:rsid w:val="001D3B4B"/>
    <w:rsid w:val="001D4086"/>
    <w:rsid w:val="001D42D1"/>
    <w:rsid w:val="001D4CA5"/>
    <w:rsid w:val="001E04B9"/>
    <w:rsid w:val="001E08D6"/>
    <w:rsid w:val="001E279E"/>
    <w:rsid w:val="001E2A54"/>
    <w:rsid w:val="001E3CAC"/>
    <w:rsid w:val="001E5027"/>
    <w:rsid w:val="001E7698"/>
    <w:rsid w:val="001F022E"/>
    <w:rsid w:val="001F1500"/>
    <w:rsid w:val="00200EBC"/>
    <w:rsid w:val="00202095"/>
    <w:rsid w:val="002022EB"/>
    <w:rsid w:val="002022F4"/>
    <w:rsid w:val="002023C5"/>
    <w:rsid w:val="00202DC0"/>
    <w:rsid w:val="00203512"/>
    <w:rsid w:val="00204A36"/>
    <w:rsid w:val="00205F68"/>
    <w:rsid w:val="002065B1"/>
    <w:rsid w:val="00207726"/>
    <w:rsid w:val="002121A7"/>
    <w:rsid w:val="0021374A"/>
    <w:rsid w:val="00214FC8"/>
    <w:rsid w:val="00215A15"/>
    <w:rsid w:val="00216C0C"/>
    <w:rsid w:val="00220708"/>
    <w:rsid w:val="00221623"/>
    <w:rsid w:val="00222BAB"/>
    <w:rsid w:val="00222C09"/>
    <w:rsid w:val="00223541"/>
    <w:rsid w:val="0022708F"/>
    <w:rsid w:val="0022766E"/>
    <w:rsid w:val="002279B4"/>
    <w:rsid w:val="00231814"/>
    <w:rsid w:val="00231CFC"/>
    <w:rsid w:val="0023261D"/>
    <w:rsid w:val="00232632"/>
    <w:rsid w:val="002329E3"/>
    <w:rsid w:val="00233AFD"/>
    <w:rsid w:val="00234B12"/>
    <w:rsid w:val="002359CA"/>
    <w:rsid w:val="00241ABA"/>
    <w:rsid w:val="00242CC0"/>
    <w:rsid w:val="00243F67"/>
    <w:rsid w:val="00245E4B"/>
    <w:rsid w:val="0024683D"/>
    <w:rsid w:val="00246ADD"/>
    <w:rsid w:val="00247ACE"/>
    <w:rsid w:val="0025445B"/>
    <w:rsid w:val="00255115"/>
    <w:rsid w:val="00256EF5"/>
    <w:rsid w:val="00256F15"/>
    <w:rsid w:val="00257176"/>
    <w:rsid w:val="0025762A"/>
    <w:rsid w:val="002602F1"/>
    <w:rsid w:val="00262CFE"/>
    <w:rsid w:val="0027139C"/>
    <w:rsid w:val="00273F90"/>
    <w:rsid w:val="00274F7C"/>
    <w:rsid w:val="00275398"/>
    <w:rsid w:val="00280062"/>
    <w:rsid w:val="00280BBD"/>
    <w:rsid w:val="0028351C"/>
    <w:rsid w:val="002835D9"/>
    <w:rsid w:val="0028731F"/>
    <w:rsid w:val="002948C3"/>
    <w:rsid w:val="002955F4"/>
    <w:rsid w:val="00297620"/>
    <w:rsid w:val="002A0F74"/>
    <w:rsid w:val="002A12A0"/>
    <w:rsid w:val="002A3595"/>
    <w:rsid w:val="002A4AC9"/>
    <w:rsid w:val="002A646B"/>
    <w:rsid w:val="002A76A4"/>
    <w:rsid w:val="002A7EF6"/>
    <w:rsid w:val="002B0F76"/>
    <w:rsid w:val="002B1799"/>
    <w:rsid w:val="002B2176"/>
    <w:rsid w:val="002B3F67"/>
    <w:rsid w:val="002B41D7"/>
    <w:rsid w:val="002B4BA5"/>
    <w:rsid w:val="002B4CBB"/>
    <w:rsid w:val="002B4F7C"/>
    <w:rsid w:val="002B580B"/>
    <w:rsid w:val="002B6BEE"/>
    <w:rsid w:val="002B7F3C"/>
    <w:rsid w:val="002C0CA3"/>
    <w:rsid w:val="002C124E"/>
    <w:rsid w:val="002C3B30"/>
    <w:rsid w:val="002C6250"/>
    <w:rsid w:val="002C664F"/>
    <w:rsid w:val="002C6A3F"/>
    <w:rsid w:val="002D0EE1"/>
    <w:rsid w:val="002D184D"/>
    <w:rsid w:val="002D1BFC"/>
    <w:rsid w:val="002D2317"/>
    <w:rsid w:val="002D4DE5"/>
    <w:rsid w:val="002D5EAD"/>
    <w:rsid w:val="002D6ABF"/>
    <w:rsid w:val="002D7A79"/>
    <w:rsid w:val="002E1F8F"/>
    <w:rsid w:val="002E3235"/>
    <w:rsid w:val="002E5018"/>
    <w:rsid w:val="002E5B5B"/>
    <w:rsid w:val="002E724E"/>
    <w:rsid w:val="002E77A1"/>
    <w:rsid w:val="002F2061"/>
    <w:rsid w:val="002F6B4A"/>
    <w:rsid w:val="003011F7"/>
    <w:rsid w:val="00301E99"/>
    <w:rsid w:val="00302C72"/>
    <w:rsid w:val="00303B47"/>
    <w:rsid w:val="00304EEF"/>
    <w:rsid w:val="00306A17"/>
    <w:rsid w:val="0030741D"/>
    <w:rsid w:val="0031032B"/>
    <w:rsid w:val="0031292B"/>
    <w:rsid w:val="003141C0"/>
    <w:rsid w:val="00314669"/>
    <w:rsid w:val="00315525"/>
    <w:rsid w:val="00315914"/>
    <w:rsid w:val="00316B10"/>
    <w:rsid w:val="003213C7"/>
    <w:rsid w:val="0032292E"/>
    <w:rsid w:val="003233C7"/>
    <w:rsid w:val="00324EF2"/>
    <w:rsid w:val="003278AB"/>
    <w:rsid w:val="003312C6"/>
    <w:rsid w:val="00332548"/>
    <w:rsid w:val="00333437"/>
    <w:rsid w:val="00334680"/>
    <w:rsid w:val="003346D4"/>
    <w:rsid w:val="003348EC"/>
    <w:rsid w:val="0034242F"/>
    <w:rsid w:val="003428A5"/>
    <w:rsid w:val="00343717"/>
    <w:rsid w:val="003437C5"/>
    <w:rsid w:val="00344126"/>
    <w:rsid w:val="003447A7"/>
    <w:rsid w:val="00346402"/>
    <w:rsid w:val="00346946"/>
    <w:rsid w:val="00346ECE"/>
    <w:rsid w:val="00347965"/>
    <w:rsid w:val="00351298"/>
    <w:rsid w:val="003512CD"/>
    <w:rsid w:val="00351502"/>
    <w:rsid w:val="003543F4"/>
    <w:rsid w:val="00354F0D"/>
    <w:rsid w:val="0035630E"/>
    <w:rsid w:val="00356552"/>
    <w:rsid w:val="00360BDE"/>
    <w:rsid w:val="00361B06"/>
    <w:rsid w:val="00362E56"/>
    <w:rsid w:val="00366E6C"/>
    <w:rsid w:val="003670A4"/>
    <w:rsid w:val="003719C2"/>
    <w:rsid w:val="0037245B"/>
    <w:rsid w:val="0037288A"/>
    <w:rsid w:val="00373622"/>
    <w:rsid w:val="00373905"/>
    <w:rsid w:val="00374096"/>
    <w:rsid w:val="0037458E"/>
    <w:rsid w:val="00376528"/>
    <w:rsid w:val="003770A2"/>
    <w:rsid w:val="003800F7"/>
    <w:rsid w:val="00380B1D"/>
    <w:rsid w:val="0038145E"/>
    <w:rsid w:val="00381AB7"/>
    <w:rsid w:val="00385D8D"/>
    <w:rsid w:val="00386A02"/>
    <w:rsid w:val="00387C34"/>
    <w:rsid w:val="003931E5"/>
    <w:rsid w:val="0039329E"/>
    <w:rsid w:val="00394254"/>
    <w:rsid w:val="00395209"/>
    <w:rsid w:val="00395F69"/>
    <w:rsid w:val="0039690D"/>
    <w:rsid w:val="00396B90"/>
    <w:rsid w:val="003971A9"/>
    <w:rsid w:val="00397E90"/>
    <w:rsid w:val="003A099A"/>
    <w:rsid w:val="003A37A6"/>
    <w:rsid w:val="003A6FF5"/>
    <w:rsid w:val="003A70F3"/>
    <w:rsid w:val="003A712B"/>
    <w:rsid w:val="003A743D"/>
    <w:rsid w:val="003B2928"/>
    <w:rsid w:val="003B5C7E"/>
    <w:rsid w:val="003B5D68"/>
    <w:rsid w:val="003B62F4"/>
    <w:rsid w:val="003B799A"/>
    <w:rsid w:val="003C2AA6"/>
    <w:rsid w:val="003C3AF8"/>
    <w:rsid w:val="003C3C6E"/>
    <w:rsid w:val="003C6905"/>
    <w:rsid w:val="003C6A2B"/>
    <w:rsid w:val="003D04AD"/>
    <w:rsid w:val="003D1661"/>
    <w:rsid w:val="003D3F99"/>
    <w:rsid w:val="003D7563"/>
    <w:rsid w:val="003E1087"/>
    <w:rsid w:val="003E10F8"/>
    <w:rsid w:val="003E224A"/>
    <w:rsid w:val="003E22DA"/>
    <w:rsid w:val="003E2C72"/>
    <w:rsid w:val="003E4CF6"/>
    <w:rsid w:val="003E6FF5"/>
    <w:rsid w:val="003E7282"/>
    <w:rsid w:val="003F10D5"/>
    <w:rsid w:val="003F17D8"/>
    <w:rsid w:val="003F21F8"/>
    <w:rsid w:val="003F429F"/>
    <w:rsid w:val="003F5E6C"/>
    <w:rsid w:val="003F794E"/>
    <w:rsid w:val="00400851"/>
    <w:rsid w:val="00400D46"/>
    <w:rsid w:val="00403509"/>
    <w:rsid w:val="004035AF"/>
    <w:rsid w:val="00403AE3"/>
    <w:rsid w:val="0040438D"/>
    <w:rsid w:val="0040470F"/>
    <w:rsid w:val="00404F43"/>
    <w:rsid w:val="0040612B"/>
    <w:rsid w:val="00406C4A"/>
    <w:rsid w:val="00407837"/>
    <w:rsid w:val="00407CE9"/>
    <w:rsid w:val="00411445"/>
    <w:rsid w:val="00411A49"/>
    <w:rsid w:val="00415BBE"/>
    <w:rsid w:val="00417002"/>
    <w:rsid w:val="00424ED6"/>
    <w:rsid w:val="00424EF3"/>
    <w:rsid w:val="00426456"/>
    <w:rsid w:val="00427D11"/>
    <w:rsid w:val="00430350"/>
    <w:rsid w:val="00430544"/>
    <w:rsid w:val="00431500"/>
    <w:rsid w:val="00433816"/>
    <w:rsid w:val="004339DC"/>
    <w:rsid w:val="00433A2E"/>
    <w:rsid w:val="00433B13"/>
    <w:rsid w:val="00434786"/>
    <w:rsid w:val="00435439"/>
    <w:rsid w:val="00435FCE"/>
    <w:rsid w:val="00436A12"/>
    <w:rsid w:val="00436FA0"/>
    <w:rsid w:val="00437190"/>
    <w:rsid w:val="00437D48"/>
    <w:rsid w:val="00437FDD"/>
    <w:rsid w:val="00441C68"/>
    <w:rsid w:val="00442C72"/>
    <w:rsid w:val="00443015"/>
    <w:rsid w:val="00443AB6"/>
    <w:rsid w:val="00443F60"/>
    <w:rsid w:val="00447928"/>
    <w:rsid w:val="00447CBE"/>
    <w:rsid w:val="00450D9B"/>
    <w:rsid w:val="00450EEE"/>
    <w:rsid w:val="004523D0"/>
    <w:rsid w:val="004526CD"/>
    <w:rsid w:val="00453279"/>
    <w:rsid w:val="00453636"/>
    <w:rsid w:val="004540EA"/>
    <w:rsid w:val="00454382"/>
    <w:rsid w:val="00454A06"/>
    <w:rsid w:val="00456EA7"/>
    <w:rsid w:val="0045705A"/>
    <w:rsid w:val="00457C27"/>
    <w:rsid w:val="004614C7"/>
    <w:rsid w:val="00461DE9"/>
    <w:rsid w:val="00463430"/>
    <w:rsid w:val="00463448"/>
    <w:rsid w:val="004639B1"/>
    <w:rsid w:val="0046464F"/>
    <w:rsid w:val="004652A9"/>
    <w:rsid w:val="00467EBA"/>
    <w:rsid w:val="004703B3"/>
    <w:rsid w:val="00470F1B"/>
    <w:rsid w:val="004713C6"/>
    <w:rsid w:val="004719BD"/>
    <w:rsid w:val="004722DD"/>
    <w:rsid w:val="00473165"/>
    <w:rsid w:val="00474988"/>
    <w:rsid w:val="00474B7C"/>
    <w:rsid w:val="004768DF"/>
    <w:rsid w:val="00480B0B"/>
    <w:rsid w:val="00481E34"/>
    <w:rsid w:val="00484B55"/>
    <w:rsid w:val="0048500C"/>
    <w:rsid w:val="0048635E"/>
    <w:rsid w:val="004868D6"/>
    <w:rsid w:val="00486E09"/>
    <w:rsid w:val="004954A5"/>
    <w:rsid w:val="00495CE7"/>
    <w:rsid w:val="00497878"/>
    <w:rsid w:val="004A126B"/>
    <w:rsid w:val="004A1BEA"/>
    <w:rsid w:val="004A20B7"/>
    <w:rsid w:val="004A21D3"/>
    <w:rsid w:val="004A5C71"/>
    <w:rsid w:val="004A6F45"/>
    <w:rsid w:val="004A76FD"/>
    <w:rsid w:val="004B0A47"/>
    <w:rsid w:val="004B0D57"/>
    <w:rsid w:val="004B2207"/>
    <w:rsid w:val="004B242D"/>
    <w:rsid w:val="004B6783"/>
    <w:rsid w:val="004B70A8"/>
    <w:rsid w:val="004B72AD"/>
    <w:rsid w:val="004C42F7"/>
    <w:rsid w:val="004C4962"/>
    <w:rsid w:val="004C62C3"/>
    <w:rsid w:val="004C747B"/>
    <w:rsid w:val="004D018D"/>
    <w:rsid w:val="004D1A32"/>
    <w:rsid w:val="004D2C22"/>
    <w:rsid w:val="004D4764"/>
    <w:rsid w:val="004E0C11"/>
    <w:rsid w:val="004E105C"/>
    <w:rsid w:val="004E208C"/>
    <w:rsid w:val="004E4CC1"/>
    <w:rsid w:val="004E4E53"/>
    <w:rsid w:val="004F0F5F"/>
    <w:rsid w:val="004F25EC"/>
    <w:rsid w:val="004F2F1A"/>
    <w:rsid w:val="004F517E"/>
    <w:rsid w:val="004F54EE"/>
    <w:rsid w:val="004F59E4"/>
    <w:rsid w:val="004F625A"/>
    <w:rsid w:val="004F729C"/>
    <w:rsid w:val="005002D4"/>
    <w:rsid w:val="005016D4"/>
    <w:rsid w:val="00501A3D"/>
    <w:rsid w:val="00502A34"/>
    <w:rsid w:val="00503A0F"/>
    <w:rsid w:val="005049C3"/>
    <w:rsid w:val="005062B5"/>
    <w:rsid w:val="00506384"/>
    <w:rsid w:val="005101DF"/>
    <w:rsid w:val="00510809"/>
    <w:rsid w:val="00510B7C"/>
    <w:rsid w:val="00512E39"/>
    <w:rsid w:val="00513980"/>
    <w:rsid w:val="00513E24"/>
    <w:rsid w:val="005145E5"/>
    <w:rsid w:val="00514A8A"/>
    <w:rsid w:val="00517107"/>
    <w:rsid w:val="00517108"/>
    <w:rsid w:val="0052013C"/>
    <w:rsid w:val="00524455"/>
    <w:rsid w:val="00524488"/>
    <w:rsid w:val="005270CE"/>
    <w:rsid w:val="00531552"/>
    <w:rsid w:val="00531ACF"/>
    <w:rsid w:val="00533367"/>
    <w:rsid w:val="00535D0B"/>
    <w:rsid w:val="005367EB"/>
    <w:rsid w:val="00540004"/>
    <w:rsid w:val="00541840"/>
    <w:rsid w:val="00542709"/>
    <w:rsid w:val="005470BC"/>
    <w:rsid w:val="00547D59"/>
    <w:rsid w:val="00551011"/>
    <w:rsid w:val="00551CC7"/>
    <w:rsid w:val="005524BD"/>
    <w:rsid w:val="0055315C"/>
    <w:rsid w:val="0055472D"/>
    <w:rsid w:val="00555247"/>
    <w:rsid w:val="005565C8"/>
    <w:rsid w:val="00561188"/>
    <w:rsid w:val="00562996"/>
    <w:rsid w:val="005641A0"/>
    <w:rsid w:val="00566027"/>
    <w:rsid w:val="00566BC9"/>
    <w:rsid w:val="00567452"/>
    <w:rsid w:val="00567904"/>
    <w:rsid w:val="005712C1"/>
    <w:rsid w:val="00576916"/>
    <w:rsid w:val="0057797E"/>
    <w:rsid w:val="00583731"/>
    <w:rsid w:val="00585407"/>
    <w:rsid w:val="005862CA"/>
    <w:rsid w:val="00587DE3"/>
    <w:rsid w:val="00592347"/>
    <w:rsid w:val="005952F3"/>
    <w:rsid w:val="00595B6E"/>
    <w:rsid w:val="005A02CF"/>
    <w:rsid w:val="005A0554"/>
    <w:rsid w:val="005A05CB"/>
    <w:rsid w:val="005A186B"/>
    <w:rsid w:val="005A26EC"/>
    <w:rsid w:val="005A34C4"/>
    <w:rsid w:val="005A430F"/>
    <w:rsid w:val="005A4E50"/>
    <w:rsid w:val="005A50E0"/>
    <w:rsid w:val="005A5D07"/>
    <w:rsid w:val="005A62DC"/>
    <w:rsid w:val="005A7B81"/>
    <w:rsid w:val="005A7D67"/>
    <w:rsid w:val="005A7FF8"/>
    <w:rsid w:val="005B0370"/>
    <w:rsid w:val="005B1A62"/>
    <w:rsid w:val="005B1C94"/>
    <w:rsid w:val="005B2229"/>
    <w:rsid w:val="005B38E8"/>
    <w:rsid w:val="005B529C"/>
    <w:rsid w:val="005B62CE"/>
    <w:rsid w:val="005B770D"/>
    <w:rsid w:val="005C0349"/>
    <w:rsid w:val="005D0E6D"/>
    <w:rsid w:val="005D2242"/>
    <w:rsid w:val="005D47CA"/>
    <w:rsid w:val="005D7581"/>
    <w:rsid w:val="005D758A"/>
    <w:rsid w:val="005D7D1B"/>
    <w:rsid w:val="005E19DB"/>
    <w:rsid w:val="005E22F6"/>
    <w:rsid w:val="005E48A4"/>
    <w:rsid w:val="005E4CE8"/>
    <w:rsid w:val="005E5EDF"/>
    <w:rsid w:val="005E6852"/>
    <w:rsid w:val="005F0737"/>
    <w:rsid w:val="005F51B7"/>
    <w:rsid w:val="005F5890"/>
    <w:rsid w:val="005F6D27"/>
    <w:rsid w:val="005F7BDC"/>
    <w:rsid w:val="00600174"/>
    <w:rsid w:val="006006A0"/>
    <w:rsid w:val="006009F5"/>
    <w:rsid w:val="0060394E"/>
    <w:rsid w:val="00604162"/>
    <w:rsid w:val="00605552"/>
    <w:rsid w:val="00605AEC"/>
    <w:rsid w:val="00611B72"/>
    <w:rsid w:val="006125CD"/>
    <w:rsid w:val="00612CF7"/>
    <w:rsid w:val="00612E49"/>
    <w:rsid w:val="006149EF"/>
    <w:rsid w:val="006162CB"/>
    <w:rsid w:val="006170C7"/>
    <w:rsid w:val="006176C2"/>
    <w:rsid w:val="0062208A"/>
    <w:rsid w:val="006269AC"/>
    <w:rsid w:val="00627470"/>
    <w:rsid w:val="00630C49"/>
    <w:rsid w:val="00635EBA"/>
    <w:rsid w:val="0063645C"/>
    <w:rsid w:val="00636678"/>
    <w:rsid w:val="00637502"/>
    <w:rsid w:val="00642048"/>
    <w:rsid w:val="00643526"/>
    <w:rsid w:val="006440F2"/>
    <w:rsid w:val="00644892"/>
    <w:rsid w:val="006450A1"/>
    <w:rsid w:val="00645F87"/>
    <w:rsid w:val="006478ED"/>
    <w:rsid w:val="00647F13"/>
    <w:rsid w:val="006516EC"/>
    <w:rsid w:val="00655F6E"/>
    <w:rsid w:val="00657CA0"/>
    <w:rsid w:val="0066131A"/>
    <w:rsid w:val="006627AD"/>
    <w:rsid w:val="006629AE"/>
    <w:rsid w:val="0066348C"/>
    <w:rsid w:val="00664C37"/>
    <w:rsid w:val="00664FC5"/>
    <w:rsid w:val="0066652F"/>
    <w:rsid w:val="0066795C"/>
    <w:rsid w:val="00670BF4"/>
    <w:rsid w:val="006733D3"/>
    <w:rsid w:val="006744D3"/>
    <w:rsid w:val="006752B8"/>
    <w:rsid w:val="00675D00"/>
    <w:rsid w:val="00675F4A"/>
    <w:rsid w:val="00676955"/>
    <w:rsid w:val="006773F4"/>
    <w:rsid w:val="006776CB"/>
    <w:rsid w:val="00681158"/>
    <w:rsid w:val="006813F9"/>
    <w:rsid w:val="00682428"/>
    <w:rsid w:val="00682490"/>
    <w:rsid w:val="00683CBB"/>
    <w:rsid w:val="00684633"/>
    <w:rsid w:val="00684EAC"/>
    <w:rsid w:val="00684FB4"/>
    <w:rsid w:val="0068617A"/>
    <w:rsid w:val="0068758F"/>
    <w:rsid w:val="006875CD"/>
    <w:rsid w:val="00690283"/>
    <w:rsid w:val="00691025"/>
    <w:rsid w:val="00691100"/>
    <w:rsid w:val="00692014"/>
    <w:rsid w:val="00693B23"/>
    <w:rsid w:val="006946FC"/>
    <w:rsid w:val="00694800"/>
    <w:rsid w:val="00694B08"/>
    <w:rsid w:val="00694EED"/>
    <w:rsid w:val="00695A46"/>
    <w:rsid w:val="00696773"/>
    <w:rsid w:val="006A04E8"/>
    <w:rsid w:val="006A1D6C"/>
    <w:rsid w:val="006A239D"/>
    <w:rsid w:val="006A2C4A"/>
    <w:rsid w:val="006A3E04"/>
    <w:rsid w:val="006A70ED"/>
    <w:rsid w:val="006A7243"/>
    <w:rsid w:val="006B1DAC"/>
    <w:rsid w:val="006B1FE2"/>
    <w:rsid w:val="006B20E1"/>
    <w:rsid w:val="006B6547"/>
    <w:rsid w:val="006B7EC8"/>
    <w:rsid w:val="006C491D"/>
    <w:rsid w:val="006C4B22"/>
    <w:rsid w:val="006C580E"/>
    <w:rsid w:val="006C6009"/>
    <w:rsid w:val="006C7AB6"/>
    <w:rsid w:val="006C7F20"/>
    <w:rsid w:val="006D002C"/>
    <w:rsid w:val="006D019B"/>
    <w:rsid w:val="006D06FA"/>
    <w:rsid w:val="006D0F04"/>
    <w:rsid w:val="006D1D6A"/>
    <w:rsid w:val="006D1E1C"/>
    <w:rsid w:val="006D1E4A"/>
    <w:rsid w:val="006D44E3"/>
    <w:rsid w:val="006D4EE4"/>
    <w:rsid w:val="006D50A4"/>
    <w:rsid w:val="006D5127"/>
    <w:rsid w:val="006D532C"/>
    <w:rsid w:val="006D7013"/>
    <w:rsid w:val="006D7B5C"/>
    <w:rsid w:val="006E04F2"/>
    <w:rsid w:val="006E0657"/>
    <w:rsid w:val="006E1341"/>
    <w:rsid w:val="006E2C7B"/>
    <w:rsid w:val="006E5740"/>
    <w:rsid w:val="006E6030"/>
    <w:rsid w:val="006F1E9D"/>
    <w:rsid w:val="006F4CAC"/>
    <w:rsid w:val="006F6850"/>
    <w:rsid w:val="006F6E2E"/>
    <w:rsid w:val="007007D5"/>
    <w:rsid w:val="00701C8D"/>
    <w:rsid w:val="0070206F"/>
    <w:rsid w:val="00702460"/>
    <w:rsid w:val="0070510A"/>
    <w:rsid w:val="00705E64"/>
    <w:rsid w:val="00705EAB"/>
    <w:rsid w:val="00706667"/>
    <w:rsid w:val="00710C36"/>
    <w:rsid w:val="00710DAA"/>
    <w:rsid w:val="00711405"/>
    <w:rsid w:val="00714A7A"/>
    <w:rsid w:val="007160B4"/>
    <w:rsid w:val="00716452"/>
    <w:rsid w:val="0071651F"/>
    <w:rsid w:val="00717FF2"/>
    <w:rsid w:val="00721668"/>
    <w:rsid w:val="007221DA"/>
    <w:rsid w:val="007226EF"/>
    <w:rsid w:val="00722750"/>
    <w:rsid w:val="0072411D"/>
    <w:rsid w:val="00725AA0"/>
    <w:rsid w:val="007322C3"/>
    <w:rsid w:val="0073291C"/>
    <w:rsid w:val="0073396F"/>
    <w:rsid w:val="0073529D"/>
    <w:rsid w:val="00735D6E"/>
    <w:rsid w:val="00741AFC"/>
    <w:rsid w:val="00746434"/>
    <w:rsid w:val="007500F1"/>
    <w:rsid w:val="007503F8"/>
    <w:rsid w:val="00751723"/>
    <w:rsid w:val="00751EC5"/>
    <w:rsid w:val="007535A6"/>
    <w:rsid w:val="00753738"/>
    <w:rsid w:val="007561A9"/>
    <w:rsid w:val="00756487"/>
    <w:rsid w:val="00756716"/>
    <w:rsid w:val="00756C7D"/>
    <w:rsid w:val="00762B7F"/>
    <w:rsid w:val="00762F6A"/>
    <w:rsid w:val="00765EF8"/>
    <w:rsid w:val="00766F74"/>
    <w:rsid w:val="0076778D"/>
    <w:rsid w:val="00767861"/>
    <w:rsid w:val="00767F2B"/>
    <w:rsid w:val="0077339B"/>
    <w:rsid w:val="007765B2"/>
    <w:rsid w:val="00777EC1"/>
    <w:rsid w:val="0078007D"/>
    <w:rsid w:val="00782047"/>
    <w:rsid w:val="0078457B"/>
    <w:rsid w:val="00785388"/>
    <w:rsid w:val="00785735"/>
    <w:rsid w:val="0078598D"/>
    <w:rsid w:val="00787005"/>
    <w:rsid w:val="0078757F"/>
    <w:rsid w:val="00787709"/>
    <w:rsid w:val="0079161E"/>
    <w:rsid w:val="00792AC4"/>
    <w:rsid w:val="00792EFF"/>
    <w:rsid w:val="0079300B"/>
    <w:rsid w:val="00793095"/>
    <w:rsid w:val="00793A35"/>
    <w:rsid w:val="00793AAA"/>
    <w:rsid w:val="007968B7"/>
    <w:rsid w:val="0079798A"/>
    <w:rsid w:val="00797DC2"/>
    <w:rsid w:val="007A0E18"/>
    <w:rsid w:val="007A2405"/>
    <w:rsid w:val="007A2551"/>
    <w:rsid w:val="007A2E26"/>
    <w:rsid w:val="007A2E44"/>
    <w:rsid w:val="007A38CA"/>
    <w:rsid w:val="007A44A0"/>
    <w:rsid w:val="007A5E96"/>
    <w:rsid w:val="007A5F85"/>
    <w:rsid w:val="007A6C01"/>
    <w:rsid w:val="007B0B92"/>
    <w:rsid w:val="007B366D"/>
    <w:rsid w:val="007B442B"/>
    <w:rsid w:val="007B4AD1"/>
    <w:rsid w:val="007B4DC7"/>
    <w:rsid w:val="007B500E"/>
    <w:rsid w:val="007B56DA"/>
    <w:rsid w:val="007B5894"/>
    <w:rsid w:val="007B5B78"/>
    <w:rsid w:val="007B5DB0"/>
    <w:rsid w:val="007B7F99"/>
    <w:rsid w:val="007C184B"/>
    <w:rsid w:val="007C26B8"/>
    <w:rsid w:val="007C4B96"/>
    <w:rsid w:val="007C7031"/>
    <w:rsid w:val="007C71E9"/>
    <w:rsid w:val="007D09B5"/>
    <w:rsid w:val="007D44AE"/>
    <w:rsid w:val="007D606B"/>
    <w:rsid w:val="007E2CD5"/>
    <w:rsid w:val="007E5231"/>
    <w:rsid w:val="007E6384"/>
    <w:rsid w:val="007E6E80"/>
    <w:rsid w:val="007E74FF"/>
    <w:rsid w:val="007F3A25"/>
    <w:rsid w:val="007F43B9"/>
    <w:rsid w:val="007F4424"/>
    <w:rsid w:val="007F4AE4"/>
    <w:rsid w:val="007F6330"/>
    <w:rsid w:val="007F685E"/>
    <w:rsid w:val="007F7DBD"/>
    <w:rsid w:val="008003D6"/>
    <w:rsid w:val="0080170F"/>
    <w:rsid w:val="00802A97"/>
    <w:rsid w:val="0080370E"/>
    <w:rsid w:val="00806346"/>
    <w:rsid w:val="008074B2"/>
    <w:rsid w:val="00807BDD"/>
    <w:rsid w:val="00807E62"/>
    <w:rsid w:val="00810BBA"/>
    <w:rsid w:val="008126E6"/>
    <w:rsid w:val="00812C4B"/>
    <w:rsid w:val="00812D28"/>
    <w:rsid w:val="00816359"/>
    <w:rsid w:val="00817F38"/>
    <w:rsid w:val="00820131"/>
    <w:rsid w:val="008222B1"/>
    <w:rsid w:val="00823053"/>
    <w:rsid w:val="008271CA"/>
    <w:rsid w:val="00830BB5"/>
    <w:rsid w:val="00830EC7"/>
    <w:rsid w:val="00830FFB"/>
    <w:rsid w:val="00831342"/>
    <w:rsid w:val="00832214"/>
    <w:rsid w:val="008322A6"/>
    <w:rsid w:val="008330A2"/>
    <w:rsid w:val="00833F1F"/>
    <w:rsid w:val="00835F4C"/>
    <w:rsid w:val="00837235"/>
    <w:rsid w:val="0083764C"/>
    <w:rsid w:val="00837A3B"/>
    <w:rsid w:val="00840257"/>
    <w:rsid w:val="008407BB"/>
    <w:rsid w:val="00840F4C"/>
    <w:rsid w:val="00842874"/>
    <w:rsid w:val="00842E6B"/>
    <w:rsid w:val="00843C4B"/>
    <w:rsid w:val="0084413F"/>
    <w:rsid w:val="0084428D"/>
    <w:rsid w:val="00846914"/>
    <w:rsid w:val="00846E3B"/>
    <w:rsid w:val="008473FD"/>
    <w:rsid w:val="00850712"/>
    <w:rsid w:val="00851395"/>
    <w:rsid w:val="00852930"/>
    <w:rsid w:val="00852A43"/>
    <w:rsid w:val="00853BB2"/>
    <w:rsid w:val="00853C0A"/>
    <w:rsid w:val="00854695"/>
    <w:rsid w:val="00855045"/>
    <w:rsid w:val="00856640"/>
    <w:rsid w:val="00860328"/>
    <w:rsid w:val="008603DB"/>
    <w:rsid w:val="0086051D"/>
    <w:rsid w:val="008610D7"/>
    <w:rsid w:val="008616D9"/>
    <w:rsid w:val="00863CB5"/>
    <w:rsid w:val="00863E7C"/>
    <w:rsid w:val="008644CF"/>
    <w:rsid w:val="00864E5D"/>
    <w:rsid w:val="00866128"/>
    <w:rsid w:val="008670E4"/>
    <w:rsid w:val="008679A1"/>
    <w:rsid w:val="00867B4C"/>
    <w:rsid w:val="008723F8"/>
    <w:rsid w:val="0087320E"/>
    <w:rsid w:val="00877F64"/>
    <w:rsid w:val="00881C9C"/>
    <w:rsid w:val="008828F0"/>
    <w:rsid w:val="008837D4"/>
    <w:rsid w:val="00890746"/>
    <w:rsid w:val="0089496E"/>
    <w:rsid w:val="00894F18"/>
    <w:rsid w:val="00897393"/>
    <w:rsid w:val="00897448"/>
    <w:rsid w:val="008A1D89"/>
    <w:rsid w:val="008A2778"/>
    <w:rsid w:val="008A4E58"/>
    <w:rsid w:val="008A55CA"/>
    <w:rsid w:val="008A626D"/>
    <w:rsid w:val="008A667E"/>
    <w:rsid w:val="008A6913"/>
    <w:rsid w:val="008B04F3"/>
    <w:rsid w:val="008B24D4"/>
    <w:rsid w:val="008C26A6"/>
    <w:rsid w:val="008C43E9"/>
    <w:rsid w:val="008C7172"/>
    <w:rsid w:val="008D029D"/>
    <w:rsid w:val="008D2260"/>
    <w:rsid w:val="008D3470"/>
    <w:rsid w:val="008D481B"/>
    <w:rsid w:val="008D71C2"/>
    <w:rsid w:val="008D7421"/>
    <w:rsid w:val="008E2DE4"/>
    <w:rsid w:val="008E3883"/>
    <w:rsid w:val="008E3D5C"/>
    <w:rsid w:val="008E470E"/>
    <w:rsid w:val="008E5711"/>
    <w:rsid w:val="008E60DF"/>
    <w:rsid w:val="008E759B"/>
    <w:rsid w:val="008E7FAB"/>
    <w:rsid w:val="008F1509"/>
    <w:rsid w:val="008F253F"/>
    <w:rsid w:val="008F3D22"/>
    <w:rsid w:val="008F6756"/>
    <w:rsid w:val="00900B87"/>
    <w:rsid w:val="009025BB"/>
    <w:rsid w:val="00902CFD"/>
    <w:rsid w:val="009032AC"/>
    <w:rsid w:val="00903331"/>
    <w:rsid w:val="00903560"/>
    <w:rsid w:val="0090497E"/>
    <w:rsid w:val="00905497"/>
    <w:rsid w:val="009054B4"/>
    <w:rsid w:val="009068C4"/>
    <w:rsid w:val="00906912"/>
    <w:rsid w:val="009078FD"/>
    <w:rsid w:val="00910924"/>
    <w:rsid w:val="00911E52"/>
    <w:rsid w:val="009161DE"/>
    <w:rsid w:val="00916857"/>
    <w:rsid w:val="009169B8"/>
    <w:rsid w:val="00916A50"/>
    <w:rsid w:val="00917532"/>
    <w:rsid w:val="00920DAC"/>
    <w:rsid w:val="00921B26"/>
    <w:rsid w:val="0092307F"/>
    <w:rsid w:val="00923229"/>
    <w:rsid w:val="00926C3A"/>
    <w:rsid w:val="00930A3B"/>
    <w:rsid w:val="00930A44"/>
    <w:rsid w:val="00932E21"/>
    <w:rsid w:val="00936A1D"/>
    <w:rsid w:val="009376A2"/>
    <w:rsid w:val="009418DB"/>
    <w:rsid w:val="0094400D"/>
    <w:rsid w:val="0094404C"/>
    <w:rsid w:val="009442A8"/>
    <w:rsid w:val="00944B3C"/>
    <w:rsid w:val="00944C08"/>
    <w:rsid w:val="00945B9D"/>
    <w:rsid w:val="00945F7D"/>
    <w:rsid w:val="009472B7"/>
    <w:rsid w:val="0095103D"/>
    <w:rsid w:val="00952468"/>
    <w:rsid w:val="00953FDA"/>
    <w:rsid w:val="00954592"/>
    <w:rsid w:val="00954CE7"/>
    <w:rsid w:val="00955BD7"/>
    <w:rsid w:val="00957762"/>
    <w:rsid w:val="00957927"/>
    <w:rsid w:val="0096054E"/>
    <w:rsid w:val="0096143F"/>
    <w:rsid w:val="00962F87"/>
    <w:rsid w:val="00963542"/>
    <w:rsid w:val="00964734"/>
    <w:rsid w:val="00964CCE"/>
    <w:rsid w:val="00967FE6"/>
    <w:rsid w:val="00973BDE"/>
    <w:rsid w:val="00975664"/>
    <w:rsid w:val="00981A81"/>
    <w:rsid w:val="00981E80"/>
    <w:rsid w:val="009835DF"/>
    <w:rsid w:val="00983F70"/>
    <w:rsid w:val="00986B1D"/>
    <w:rsid w:val="009907B9"/>
    <w:rsid w:val="009A01A1"/>
    <w:rsid w:val="009A1A30"/>
    <w:rsid w:val="009A2A23"/>
    <w:rsid w:val="009A304D"/>
    <w:rsid w:val="009A43B3"/>
    <w:rsid w:val="009B06F5"/>
    <w:rsid w:val="009B086A"/>
    <w:rsid w:val="009B3926"/>
    <w:rsid w:val="009B476C"/>
    <w:rsid w:val="009B62F2"/>
    <w:rsid w:val="009B6443"/>
    <w:rsid w:val="009B7391"/>
    <w:rsid w:val="009C0282"/>
    <w:rsid w:val="009C0629"/>
    <w:rsid w:val="009C40F0"/>
    <w:rsid w:val="009C50CA"/>
    <w:rsid w:val="009C6566"/>
    <w:rsid w:val="009C77FC"/>
    <w:rsid w:val="009D066D"/>
    <w:rsid w:val="009D09CC"/>
    <w:rsid w:val="009D0EB5"/>
    <w:rsid w:val="009D1B37"/>
    <w:rsid w:val="009D2DDF"/>
    <w:rsid w:val="009D56EF"/>
    <w:rsid w:val="009D5C85"/>
    <w:rsid w:val="009D62F4"/>
    <w:rsid w:val="009D6D25"/>
    <w:rsid w:val="009E0BBA"/>
    <w:rsid w:val="009E18E1"/>
    <w:rsid w:val="009E29A3"/>
    <w:rsid w:val="009E31CD"/>
    <w:rsid w:val="009E32D3"/>
    <w:rsid w:val="009E4083"/>
    <w:rsid w:val="009E5302"/>
    <w:rsid w:val="009E7CCC"/>
    <w:rsid w:val="009F09B8"/>
    <w:rsid w:val="009F0BD6"/>
    <w:rsid w:val="009F2A9C"/>
    <w:rsid w:val="009F3BA2"/>
    <w:rsid w:val="009F5D51"/>
    <w:rsid w:val="009F6F46"/>
    <w:rsid w:val="009F7F28"/>
    <w:rsid w:val="00A009F1"/>
    <w:rsid w:val="00A01CB2"/>
    <w:rsid w:val="00A021C0"/>
    <w:rsid w:val="00A029AA"/>
    <w:rsid w:val="00A02DFB"/>
    <w:rsid w:val="00A03720"/>
    <w:rsid w:val="00A05111"/>
    <w:rsid w:val="00A07124"/>
    <w:rsid w:val="00A07E73"/>
    <w:rsid w:val="00A111B6"/>
    <w:rsid w:val="00A135E1"/>
    <w:rsid w:val="00A13C0E"/>
    <w:rsid w:val="00A14867"/>
    <w:rsid w:val="00A1487E"/>
    <w:rsid w:val="00A14F49"/>
    <w:rsid w:val="00A151D8"/>
    <w:rsid w:val="00A15303"/>
    <w:rsid w:val="00A2170B"/>
    <w:rsid w:val="00A21B42"/>
    <w:rsid w:val="00A2371B"/>
    <w:rsid w:val="00A24F94"/>
    <w:rsid w:val="00A27114"/>
    <w:rsid w:val="00A27C68"/>
    <w:rsid w:val="00A31F07"/>
    <w:rsid w:val="00A32785"/>
    <w:rsid w:val="00A32A82"/>
    <w:rsid w:val="00A33600"/>
    <w:rsid w:val="00A346BC"/>
    <w:rsid w:val="00A35815"/>
    <w:rsid w:val="00A3650F"/>
    <w:rsid w:val="00A40B88"/>
    <w:rsid w:val="00A40CE5"/>
    <w:rsid w:val="00A41D10"/>
    <w:rsid w:val="00A41D81"/>
    <w:rsid w:val="00A429DB"/>
    <w:rsid w:val="00A42C77"/>
    <w:rsid w:val="00A4479D"/>
    <w:rsid w:val="00A44BEA"/>
    <w:rsid w:val="00A45146"/>
    <w:rsid w:val="00A45A40"/>
    <w:rsid w:val="00A4634A"/>
    <w:rsid w:val="00A5017B"/>
    <w:rsid w:val="00A503B6"/>
    <w:rsid w:val="00A5120D"/>
    <w:rsid w:val="00A514DF"/>
    <w:rsid w:val="00A5161C"/>
    <w:rsid w:val="00A516CF"/>
    <w:rsid w:val="00A55EBA"/>
    <w:rsid w:val="00A56A4B"/>
    <w:rsid w:val="00A57EBE"/>
    <w:rsid w:val="00A6065A"/>
    <w:rsid w:val="00A614D1"/>
    <w:rsid w:val="00A64B05"/>
    <w:rsid w:val="00A665D1"/>
    <w:rsid w:val="00A7273E"/>
    <w:rsid w:val="00A727BF"/>
    <w:rsid w:val="00A74345"/>
    <w:rsid w:val="00A757A4"/>
    <w:rsid w:val="00A768C6"/>
    <w:rsid w:val="00A81BFB"/>
    <w:rsid w:val="00A85596"/>
    <w:rsid w:val="00A85741"/>
    <w:rsid w:val="00A85CB5"/>
    <w:rsid w:val="00A87FB1"/>
    <w:rsid w:val="00A90464"/>
    <w:rsid w:val="00A91513"/>
    <w:rsid w:val="00A93974"/>
    <w:rsid w:val="00A94A3A"/>
    <w:rsid w:val="00A962C4"/>
    <w:rsid w:val="00A962D7"/>
    <w:rsid w:val="00A9689D"/>
    <w:rsid w:val="00A969D8"/>
    <w:rsid w:val="00AA0DFA"/>
    <w:rsid w:val="00AA11E2"/>
    <w:rsid w:val="00AA1538"/>
    <w:rsid w:val="00AA1982"/>
    <w:rsid w:val="00AA305E"/>
    <w:rsid w:val="00AA6D75"/>
    <w:rsid w:val="00AA728A"/>
    <w:rsid w:val="00AA77E2"/>
    <w:rsid w:val="00AB0623"/>
    <w:rsid w:val="00AB0A04"/>
    <w:rsid w:val="00AB21DF"/>
    <w:rsid w:val="00AB47BA"/>
    <w:rsid w:val="00AB6830"/>
    <w:rsid w:val="00AB6993"/>
    <w:rsid w:val="00AB75AC"/>
    <w:rsid w:val="00AB76ED"/>
    <w:rsid w:val="00AC215A"/>
    <w:rsid w:val="00AC356C"/>
    <w:rsid w:val="00AC59C9"/>
    <w:rsid w:val="00AD0359"/>
    <w:rsid w:val="00AD07BE"/>
    <w:rsid w:val="00AD26DA"/>
    <w:rsid w:val="00AD3F3A"/>
    <w:rsid w:val="00AD5F70"/>
    <w:rsid w:val="00AD7FD8"/>
    <w:rsid w:val="00AE16EF"/>
    <w:rsid w:val="00AE2971"/>
    <w:rsid w:val="00AE2DEF"/>
    <w:rsid w:val="00AE30F2"/>
    <w:rsid w:val="00AE345A"/>
    <w:rsid w:val="00AE4519"/>
    <w:rsid w:val="00AE4EA6"/>
    <w:rsid w:val="00AE656F"/>
    <w:rsid w:val="00AE6F86"/>
    <w:rsid w:val="00AF032C"/>
    <w:rsid w:val="00AF07DF"/>
    <w:rsid w:val="00AF229F"/>
    <w:rsid w:val="00AF4D68"/>
    <w:rsid w:val="00AF5E11"/>
    <w:rsid w:val="00AF6D8A"/>
    <w:rsid w:val="00B004B7"/>
    <w:rsid w:val="00B00ACF"/>
    <w:rsid w:val="00B01881"/>
    <w:rsid w:val="00B027E0"/>
    <w:rsid w:val="00B04114"/>
    <w:rsid w:val="00B044B2"/>
    <w:rsid w:val="00B0596C"/>
    <w:rsid w:val="00B05AB8"/>
    <w:rsid w:val="00B06576"/>
    <w:rsid w:val="00B118A0"/>
    <w:rsid w:val="00B15079"/>
    <w:rsid w:val="00B15900"/>
    <w:rsid w:val="00B1782C"/>
    <w:rsid w:val="00B20DB8"/>
    <w:rsid w:val="00B221E7"/>
    <w:rsid w:val="00B24E4D"/>
    <w:rsid w:val="00B305CF"/>
    <w:rsid w:val="00B3127B"/>
    <w:rsid w:val="00B32208"/>
    <w:rsid w:val="00B32F7B"/>
    <w:rsid w:val="00B33DE9"/>
    <w:rsid w:val="00B35223"/>
    <w:rsid w:val="00B41B26"/>
    <w:rsid w:val="00B437F9"/>
    <w:rsid w:val="00B44A9B"/>
    <w:rsid w:val="00B4554C"/>
    <w:rsid w:val="00B45BAA"/>
    <w:rsid w:val="00B53A90"/>
    <w:rsid w:val="00B54FF6"/>
    <w:rsid w:val="00B5694F"/>
    <w:rsid w:val="00B57995"/>
    <w:rsid w:val="00B57C91"/>
    <w:rsid w:val="00B61132"/>
    <w:rsid w:val="00B662EC"/>
    <w:rsid w:val="00B72688"/>
    <w:rsid w:val="00B73112"/>
    <w:rsid w:val="00B74992"/>
    <w:rsid w:val="00B76965"/>
    <w:rsid w:val="00B76AE7"/>
    <w:rsid w:val="00B76FA0"/>
    <w:rsid w:val="00B80102"/>
    <w:rsid w:val="00B8051A"/>
    <w:rsid w:val="00B81796"/>
    <w:rsid w:val="00B81AF3"/>
    <w:rsid w:val="00B81E9D"/>
    <w:rsid w:val="00B85ACD"/>
    <w:rsid w:val="00B904CF"/>
    <w:rsid w:val="00B9416A"/>
    <w:rsid w:val="00BA0E66"/>
    <w:rsid w:val="00BA4B0F"/>
    <w:rsid w:val="00BA620C"/>
    <w:rsid w:val="00BB2845"/>
    <w:rsid w:val="00BB44A3"/>
    <w:rsid w:val="00BB5557"/>
    <w:rsid w:val="00BB76D3"/>
    <w:rsid w:val="00BC0049"/>
    <w:rsid w:val="00BC0474"/>
    <w:rsid w:val="00BC0719"/>
    <w:rsid w:val="00BC08DF"/>
    <w:rsid w:val="00BC0BDA"/>
    <w:rsid w:val="00BC0C48"/>
    <w:rsid w:val="00BC1A15"/>
    <w:rsid w:val="00BC2408"/>
    <w:rsid w:val="00BC3319"/>
    <w:rsid w:val="00BC542A"/>
    <w:rsid w:val="00BC58D3"/>
    <w:rsid w:val="00BC7EB3"/>
    <w:rsid w:val="00BD23EE"/>
    <w:rsid w:val="00BD2C46"/>
    <w:rsid w:val="00BD2DDE"/>
    <w:rsid w:val="00BD3D04"/>
    <w:rsid w:val="00BD491C"/>
    <w:rsid w:val="00BD5ADF"/>
    <w:rsid w:val="00BD68E2"/>
    <w:rsid w:val="00BD7A76"/>
    <w:rsid w:val="00BE1B1D"/>
    <w:rsid w:val="00BE2137"/>
    <w:rsid w:val="00BE37FD"/>
    <w:rsid w:val="00BE408D"/>
    <w:rsid w:val="00BE49B7"/>
    <w:rsid w:val="00BE7513"/>
    <w:rsid w:val="00BE7524"/>
    <w:rsid w:val="00BF0C1D"/>
    <w:rsid w:val="00BF3C36"/>
    <w:rsid w:val="00BF6E93"/>
    <w:rsid w:val="00C0326E"/>
    <w:rsid w:val="00C03B1F"/>
    <w:rsid w:val="00C048C7"/>
    <w:rsid w:val="00C059DD"/>
    <w:rsid w:val="00C0603B"/>
    <w:rsid w:val="00C06315"/>
    <w:rsid w:val="00C07BAB"/>
    <w:rsid w:val="00C102C2"/>
    <w:rsid w:val="00C13D3B"/>
    <w:rsid w:val="00C14694"/>
    <w:rsid w:val="00C158D0"/>
    <w:rsid w:val="00C1639A"/>
    <w:rsid w:val="00C16E3D"/>
    <w:rsid w:val="00C17064"/>
    <w:rsid w:val="00C22BB4"/>
    <w:rsid w:val="00C23FA3"/>
    <w:rsid w:val="00C245D7"/>
    <w:rsid w:val="00C24A0A"/>
    <w:rsid w:val="00C2725F"/>
    <w:rsid w:val="00C30A51"/>
    <w:rsid w:val="00C3202D"/>
    <w:rsid w:val="00C325FA"/>
    <w:rsid w:val="00C32762"/>
    <w:rsid w:val="00C3559F"/>
    <w:rsid w:val="00C36319"/>
    <w:rsid w:val="00C36BE7"/>
    <w:rsid w:val="00C411BE"/>
    <w:rsid w:val="00C433A1"/>
    <w:rsid w:val="00C451F7"/>
    <w:rsid w:val="00C470CF"/>
    <w:rsid w:val="00C47E33"/>
    <w:rsid w:val="00C51C5B"/>
    <w:rsid w:val="00C528B4"/>
    <w:rsid w:val="00C52AFF"/>
    <w:rsid w:val="00C5520E"/>
    <w:rsid w:val="00C60642"/>
    <w:rsid w:val="00C6123E"/>
    <w:rsid w:val="00C619E4"/>
    <w:rsid w:val="00C620B0"/>
    <w:rsid w:val="00C63754"/>
    <w:rsid w:val="00C640D0"/>
    <w:rsid w:val="00C66527"/>
    <w:rsid w:val="00C71567"/>
    <w:rsid w:val="00C71E2C"/>
    <w:rsid w:val="00C72BAC"/>
    <w:rsid w:val="00C73C06"/>
    <w:rsid w:val="00C74B7F"/>
    <w:rsid w:val="00C779AB"/>
    <w:rsid w:val="00C8030D"/>
    <w:rsid w:val="00C80E12"/>
    <w:rsid w:val="00C818F4"/>
    <w:rsid w:val="00C81A87"/>
    <w:rsid w:val="00C81AC1"/>
    <w:rsid w:val="00C82AB7"/>
    <w:rsid w:val="00C83B23"/>
    <w:rsid w:val="00C84351"/>
    <w:rsid w:val="00C85257"/>
    <w:rsid w:val="00C85694"/>
    <w:rsid w:val="00C865DE"/>
    <w:rsid w:val="00C90DAC"/>
    <w:rsid w:val="00C935C8"/>
    <w:rsid w:val="00C936E7"/>
    <w:rsid w:val="00C94040"/>
    <w:rsid w:val="00C9493D"/>
    <w:rsid w:val="00C96A4B"/>
    <w:rsid w:val="00C973C9"/>
    <w:rsid w:val="00CA1518"/>
    <w:rsid w:val="00CA2129"/>
    <w:rsid w:val="00CA28E5"/>
    <w:rsid w:val="00CA2C82"/>
    <w:rsid w:val="00CA7714"/>
    <w:rsid w:val="00CB188E"/>
    <w:rsid w:val="00CB1DD4"/>
    <w:rsid w:val="00CB3499"/>
    <w:rsid w:val="00CB3C28"/>
    <w:rsid w:val="00CB55FD"/>
    <w:rsid w:val="00CB6D23"/>
    <w:rsid w:val="00CC0333"/>
    <w:rsid w:val="00CC06FF"/>
    <w:rsid w:val="00CC376F"/>
    <w:rsid w:val="00CC3AB3"/>
    <w:rsid w:val="00CC3BB7"/>
    <w:rsid w:val="00CD02F6"/>
    <w:rsid w:val="00CD2F80"/>
    <w:rsid w:val="00CD342E"/>
    <w:rsid w:val="00CD38B8"/>
    <w:rsid w:val="00CD4588"/>
    <w:rsid w:val="00CD4EF0"/>
    <w:rsid w:val="00CD5424"/>
    <w:rsid w:val="00CD6566"/>
    <w:rsid w:val="00CD71CE"/>
    <w:rsid w:val="00CE063D"/>
    <w:rsid w:val="00CE08F3"/>
    <w:rsid w:val="00CE0941"/>
    <w:rsid w:val="00CE0ADE"/>
    <w:rsid w:val="00CE26C5"/>
    <w:rsid w:val="00CE6032"/>
    <w:rsid w:val="00CE6DCD"/>
    <w:rsid w:val="00CF0D0D"/>
    <w:rsid w:val="00CF1A5E"/>
    <w:rsid w:val="00CF1BCB"/>
    <w:rsid w:val="00CF1F7A"/>
    <w:rsid w:val="00CF2821"/>
    <w:rsid w:val="00CF3462"/>
    <w:rsid w:val="00CF36FA"/>
    <w:rsid w:val="00CF713F"/>
    <w:rsid w:val="00CF76B3"/>
    <w:rsid w:val="00CF7AE5"/>
    <w:rsid w:val="00CF7CA1"/>
    <w:rsid w:val="00D00ABC"/>
    <w:rsid w:val="00D02B1E"/>
    <w:rsid w:val="00D034AA"/>
    <w:rsid w:val="00D04CBD"/>
    <w:rsid w:val="00D0546E"/>
    <w:rsid w:val="00D141D8"/>
    <w:rsid w:val="00D15473"/>
    <w:rsid w:val="00D16D0C"/>
    <w:rsid w:val="00D17095"/>
    <w:rsid w:val="00D20752"/>
    <w:rsid w:val="00D22EA7"/>
    <w:rsid w:val="00D23084"/>
    <w:rsid w:val="00D230AD"/>
    <w:rsid w:val="00D24D13"/>
    <w:rsid w:val="00D24E59"/>
    <w:rsid w:val="00D250B1"/>
    <w:rsid w:val="00D27007"/>
    <w:rsid w:val="00D27712"/>
    <w:rsid w:val="00D27910"/>
    <w:rsid w:val="00D27A42"/>
    <w:rsid w:val="00D34AA1"/>
    <w:rsid w:val="00D34E37"/>
    <w:rsid w:val="00D379F9"/>
    <w:rsid w:val="00D4056C"/>
    <w:rsid w:val="00D4125D"/>
    <w:rsid w:val="00D4172C"/>
    <w:rsid w:val="00D4404B"/>
    <w:rsid w:val="00D4411F"/>
    <w:rsid w:val="00D44871"/>
    <w:rsid w:val="00D44982"/>
    <w:rsid w:val="00D4780D"/>
    <w:rsid w:val="00D509A8"/>
    <w:rsid w:val="00D5161A"/>
    <w:rsid w:val="00D54D06"/>
    <w:rsid w:val="00D61AC9"/>
    <w:rsid w:val="00D61B02"/>
    <w:rsid w:val="00D63579"/>
    <w:rsid w:val="00D63E12"/>
    <w:rsid w:val="00D67E69"/>
    <w:rsid w:val="00D70D18"/>
    <w:rsid w:val="00D71122"/>
    <w:rsid w:val="00D71B72"/>
    <w:rsid w:val="00D760C9"/>
    <w:rsid w:val="00D77B6F"/>
    <w:rsid w:val="00D808B7"/>
    <w:rsid w:val="00D808D7"/>
    <w:rsid w:val="00D8576C"/>
    <w:rsid w:val="00D86E2D"/>
    <w:rsid w:val="00D87FB7"/>
    <w:rsid w:val="00D9013E"/>
    <w:rsid w:val="00D921B8"/>
    <w:rsid w:val="00D932D3"/>
    <w:rsid w:val="00D93757"/>
    <w:rsid w:val="00D94DC8"/>
    <w:rsid w:val="00D94E10"/>
    <w:rsid w:val="00D96FB6"/>
    <w:rsid w:val="00DA012F"/>
    <w:rsid w:val="00DA1A83"/>
    <w:rsid w:val="00DA6702"/>
    <w:rsid w:val="00DA68A5"/>
    <w:rsid w:val="00DA73D4"/>
    <w:rsid w:val="00DB041A"/>
    <w:rsid w:val="00DB04BF"/>
    <w:rsid w:val="00DB1763"/>
    <w:rsid w:val="00DB2921"/>
    <w:rsid w:val="00DB7D02"/>
    <w:rsid w:val="00DC1AA5"/>
    <w:rsid w:val="00DC26E4"/>
    <w:rsid w:val="00DC28EE"/>
    <w:rsid w:val="00DC3950"/>
    <w:rsid w:val="00DC6079"/>
    <w:rsid w:val="00DC6386"/>
    <w:rsid w:val="00DC70DA"/>
    <w:rsid w:val="00DC70E0"/>
    <w:rsid w:val="00DD184F"/>
    <w:rsid w:val="00DD2FF4"/>
    <w:rsid w:val="00DD3715"/>
    <w:rsid w:val="00DD55FF"/>
    <w:rsid w:val="00DD59D4"/>
    <w:rsid w:val="00DD5ECA"/>
    <w:rsid w:val="00DD6632"/>
    <w:rsid w:val="00DD67A3"/>
    <w:rsid w:val="00DE37D6"/>
    <w:rsid w:val="00DE6915"/>
    <w:rsid w:val="00DE6FCB"/>
    <w:rsid w:val="00DF1F7D"/>
    <w:rsid w:val="00DF23B2"/>
    <w:rsid w:val="00DF2CE6"/>
    <w:rsid w:val="00DF48F8"/>
    <w:rsid w:val="00DF4FFF"/>
    <w:rsid w:val="00E03DA1"/>
    <w:rsid w:val="00E07936"/>
    <w:rsid w:val="00E10712"/>
    <w:rsid w:val="00E10F8C"/>
    <w:rsid w:val="00E13C76"/>
    <w:rsid w:val="00E13DD2"/>
    <w:rsid w:val="00E145C0"/>
    <w:rsid w:val="00E14DA5"/>
    <w:rsid w:val="00E14F4B"/>
    <w:rsid w:val="00E1621C"/>
    <w:rsid w:val="00E163B2"/>
    <w:rsid w:val="00E169E1"/>
    <w:rsid w:val="00E16E5D"/>
    <w:rsid w:val="00E2059B"/>
    <w:rsid w:val="00E2239C"/>
    <w:rsid w:val="00E23462"/>
    <w:rsid w:val="00E24452"/>
    <w:rsid w:val="00E26926"/>
    <w:rsid w:val="00E26A3D"/>
    <w:rsid w:val="00E2707F"/>
    <w:rsid w:val="00E30FA3"/>
    <w:rsid w:val="00E34E42"/>
    <w:rsid w:val="00E34F46"/>
    <w:rsid w:val="00E35829"/>
    <w:rsid w:val="00E35CE8"/>
    <w:rsid w:val="00E35D48"/>
    <w:rsid w:val="00E37248"/>
    <w:rsid w:val="00E424FE"/>
    <w:rsid w:val="00E44FF4"/>
    <w:rsid w:val="00E45AE5"/>
    <w:rsid w:val="00E4605D"/>
    <w:rsid w:val="00E475A4"/>
    <w:rsid w:val="00E52797"/>
    <w:rsid w:val="00E538EB"/>
    <w:rsid w:val="00E57D84"/>
    <w:rsid w:val="00E6130C"/>
    <w:rsid w:val="00E6175E"/>
    <w:rsid w:val="00E63276"/>
    <w:rsid w:val="00E63701"/>
    <w:rsid w:val="00E638FE"/>
    <w:rsid w:val="00E642A3"/>
    <w:rsid w:val="00E6574B"/>
    <w:rsid w:val="00E66889"/>
    <w:rsid w:val="00E677B3"/>
    <w:rsid w:val="00E71C40"/>
    <w:rsid w:val="00E71EFE"/>
    <w:rsid w:val="00E72275"/>
    <w:rsid w:val="00E72BAA"/>
    <w:rsid w:val="00E72F70"/>
    <w:rsid w:val="00E73B9F"/>
    <w:rsid w:val="00E74BB9"/>
    <w:rsid w:val="00E75A3F"/>
    <w:rsid w:val="00E76E00"/>
    <w:rsid w:val="00E77922"/>
    <w:rsid w:val="00E81586"/>
    <w:rsid w:val="00E83096"/>
    <w:rsid w:val="00E83A6B"/>
    <w:rsid w:val="00E84940"/>
    <w:rsid w:val="00E8693E"/>
    <w:rsid w:val="00E87AE4"/>
    <w:rsid w:val="00E87E8F"/>
    <w:rsid w:val="00E91546"/>
    <w:rsid w:val="00E91727"/>
    <w:rsid w:val="00E963EA"/>
    <w:rsid w:val="00E96EC3"/>
    <w:rsid w:val="00E97BA0"/>
    <w:rsid w:val="00EA1D0C"/>
    <w:rsid w:val="00EA271F"/>
    <w:rsid w:val="00EA3931"/>
    <w:rsid w:val="00EA39AF"/>
    <w:rsid w:val="00EA556F"/>
    <w:rsid w:val="00EA5902"/>
    <w:rsid w:val="00EA63FF"/>
    <w:rsid w:val="00EA6C25"/>
    <w:rsid w:val="00EB1051"/>
    <w:rsid w:val="00EB1F47"/>
    <w:rsid w:val="00EB57DD"/>
    <w:rsid w:val="00EB5958"/>
    <w:rsid w:val="00EB5B9A"/>
    <w:rsid w:val="00EB5C00"/>
    <w:rsid w:val="00EB5EE5"/>
    <w:rsid w:val="00EB66B5"/>
    <w:rsid w:val="00EB7429"/>
    <w:rsid w:val="00EC0345"/>
    <w:rsid w:val="00EC08CD"/>
    <w:rsid w:val="00EC1A6F"/>
    <w:rsid w:val="00EC5FC3"/>
    <w:rsid w:val="00EC66DF"/>
    <w:rsid w:val="00EC6BB8"/>
    <w:rsid w:val="00EC7CF6"/>
    <w:rsid w:val="00EC7DBD"/>
    <w:rsid w:val="00ED032C"/>
    <w:rsid w:val="00ED0675"/>
    <w:rsid w:val="00ED0ABC"/>
    <w:rsid w:val="00ED231A"/>
    <w:rsid w:val="00ED2398"/>
    <w:rsid w:val="00ED2CB0"/>
    <w:rsid w:val="00ED3E11"/>
    <w:rsid w:val="00ED4AA3"/>
    <w:rsid w:val="00ED59CB"/>
    <w:rsid w:val="00EE2384"/>
    <w:rsid w:val="00EE2B46"/>
    <w:rsid w:val="00EE2D25"/>
    <w:rsid w:val="00EE48FA"/>
    <w:rsid w:val="00EE4BE9"/>
    <w:rsid w:val="00EE5118"/>
    <w:rsid w:val="00EE60CB"/>
    <w:rsid w:val="00EE6FC8"/>
    <w:rsid w:val="00EE70FE"/>
    <w:rsid w:val="00EE735B"/>
    <w:rsid w:val="00EF17B1"/>
    <w:rsid w:val="00EF2D3C"/>
    <w:rsid w:val="00EF3230"/>
    <w:rsid w:val="00EF4B04"/>
    <w:rsid w:val="00EF6F6E"/>
    <w:rsid w:val="00EF7786"/>
    <w:rsid w:val="00F0050C"/>
    <w:rsid w:val="00F029D3"/>
    <w:rsid w:val="00F041BB"/>
    <w:rsid w:val="00F0466D"/>
    <w:rsid w:val="00F05181"/>
    <w:rsid w:val="00F057BC"/>
    <w:rsid w:val="00F05B4A"/>
    <w:rsid w:val="00F05DB3"/>
    <w:rsid w:val="00F07FF4"/>
    <w:rsid w:val="00F10496"/>
    <w:rsid w:val="00F11B00"/>
    <w:rsid w:val="00F127FC"/>
    <w:rsid w:val="00F16276"/>
    <w:rsid w:val="00F17909"/>
    <w:rsid w:val="00F218E8"/>
    <w:rsid w:val="00F21F91"/>
    <w:rsid w:val="00F2231E"/>
    <w:rsid w:val="00F24350"/>
    <w:rsid w:val="00F244CC"/>
    <w:rsid w:val="00F260C2"/>
    <w:rsid w:val="00F272E6"/>
    <w:rsid w:val="00F31035"/>
    <w:rsid w:val="00F32436"/>
    <w:rsid w:val="00F33572"/>
    <w:rsid w:val="00F34882"/>
    <w:rsid w:val="00F34DB6"/>
    <w:rsid w:val="00F36446"/>
    <w:rsid w:val="00F36567"/>
    <w:rsid w:val="00F368FC"/>
    <w:rsid w:val="00F36E9E"/>
    <w:rsid w:val="00F37003"/>
    <w:rsid w:val="00F42272"/>
    <w:rsid w:val="00F43D59"/>
    <w:rsid w:val="00F44725"/>
    <w:rsid w:val="00F4637C"/>
    <w:rsid w:val="00F47978"/>
    <w:rsid w:val="00F47D8D"/>
    <w:rsid w:val="00F50A64"/>
    <w:rsid w:val="00F515EE"/>
    <w:rsid w:val="00F54478"/>
    <w:rsid w:val="00F54B19"/>
    <w:rsid w:val="00F554BF"/>
    <w:rsid w:val="00F56E58"/>
    <w:rsid w:val="00F60E5E"/>
    <w:rsid w:val="00F61A97"/>
    <w:rsid w:val="00F64C67"/>
    <w:rsid w:val="00F65388"/>
    <w:rsid w:val="00F677E3"/>
    <w:rsid w:val="00F705F3"/>
    <w:rsid w:val="00F71A95"/>
    <w:rsid w:val="00F71E5E"/>
    <w:rsid w:val="00F81004"/>
    <w:rsid w:val="00F81369"/>
    <w:rsid w:val="00F81807"/>
    <w:rsid w:val="00F84070"/>
    <w:rsid w:val="00F84979"/>
    <w:rsid w:val="00F854C4"/>
    <w:rsid w:val="00F86402"/>
    <w:rsid w:val="00F87B74"/>
    <w:rsid w:val="00F91879"/>
    <w:rsid w:val="00F91F81"/>
    <w:rsid w:val="00F92832"/>
    <w:rsid w:val="00F95CD4"/>
    <w:rsid w:val="00F96BE1"/>
    <w:rsid w:val="00F97670"/>
    <w:rsid w:val="00FA0816"/>
    <w:rsid w:val="00FA165C"/>
    <w:rsid w:val="00FA1BA1"/>
    <w:rsid w:val="00FA22BC"/>
    <w:rsid w:val="00FA266B"/>
    <w:rsid w:val="00FA5E92"/>
    <w:rsid w:val="00FA6BC2"/>
    <w:rsid w:val="00FA73C4"/>
    <w:rsid w:val="00FB15DE"/>
    <w:rsid w:val="00FB179E"/>
    <w:rsid w:val="00FB1E08"/>
    <w:rsid w:val="00FB26DD"/>
    <w:rsid w:val="00FB2A30"/>
    <w:rsid w:val="00FB2AC8"/>
    <w:rsid w:val="00FB2B08"/>
    <w:rsid w:val="00FB69EB"/>
    <w:rsid w:val="00FB6FFD"/>
    <w:rsid w:val="00FB7D70"/>
    <w:rsid w:val="00FC184E"/>
    <w:rsid w:val="00FC26E8"/>
    <w:rsid w:val="00FC3439"/>
    <w:rsid w:val="00FC3D3A"/>
    <w:rsid w:val="00FC4AFA"/>
    <w:rsid w:val="00FD141C"/>
    <w:rsid w:val="00FD1E34"/>
    <w:rsid w:val="00FD3767"/>
    <w:rsid w:val="00FD37BE"/>
    <w:rsid w:val="00FD776C"/>
    <w:rsid w:val="00FD7E5F"/>
    <w:rsid w:val="00FE1A8A"/>
    <w:rsid w:val="00FE1B7A"/>
    <w:rsid w:val="00FE2AD0"/>
    <w:rsid w:val="00FE311B"/>
    <w:rsid w:val="00FE3B60"/>
    <w:rsid w:val="00FE4355"/>
    <w:rsid w:val="00FE5F70"/>
    <w:rsid w:val="00FE6086"/>
    <w:rsid w:val="00FE724B"/>
    <w:rsid w:val="00FE7D51"/>
    <w:rsid w:val="00FF0B0C"/>
    <w:rsid w:val="00FF50A7"/>
    <w:rsid w:val="00FF535E"/>
    <w:rsid w:val="00FF60E8"/>
    <w:rsid w:val="00FF7632"/>
    <w:rsid w:val="00FF770F"/>
    <w:rsid w:val="00FF77CC"/>
    <w:rsid w:val="00FF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6C48-86C3-4DA5-AD0E-A29A6617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1100"/>
    <w:pPr>
      <w:spacing w:after="0" w:line="240" w:lineRule="auto"/>
    </w:pPr>
    <w:rPr>
      <w:sz w:val="20"/>
      <w:szCs w:val="20"/>
    </w:rPr>
  </w:style>
  <w:style w:type="character" w:customStyle="1" w:styleId="FootnoteTextChar">
    <w:name w:val="Footnote Text Char"/>
    <w:basedOn w:val="DefaultParagraphFont"/>
    <w:link w:val="FootnoteText"/>
    <w:uiPriority w:val="99"/>
    <w:rsid w:val="00691100"/>
    <w:rPr>
      <w:sz w:val="20"/>
      <w:szCs w:val="20"/>
    </w:rPr>
  </w:style>
  <w:style w:type="character" w:styleId="FootnoteReference">
    <w:name w:val="footnote reference"/>
    <w:basedOn w:val="DefaultParagraphFont"/>
    <w:semiHidden/>
    <w:unhideWhenUsed/>
    <w:rsid w:val="00691100"/>
    <w:rPr>
      <w:vertAlign w:val="superscript"/>
    </w:rPr>
  </w:style>
  <w:style w:type="paragraph" w:styleId="ListParagraph">
    <w:name w:val="List Paragraph"/>
    <w:basedOn w:val="Normal"/>
    <w:uiPriority w:val="34"/>
    <w:qFormat/>
    <w:rsid w:val="002B4BA5"/>
    <w:pPr>
      <w:spacing w:after="200" w:line="276" w:lineRule="auto"/>
      <w:ind w:left="720"/>
      <w:contextualSpacing/>
    </w:pPr>
  </w:style>
  <w:style w:type="paragraph" w:styleId="Title">
    <w:name w:val="Title"/>
    <w:basedOn w:val="Normal"/>
    <w:next w:val="Normal"/>
    <w:link w:val="TitleChar"/>
    <w:uiPriority w:val="10"/>
    <w:qFormat/>
    <w:rsid w:val="003325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54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743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481">
      <w:bodyDiv w:val="1"/>
      <w:marLeft w:val="0"/>
      <w:marRight w:val="0"/>
      <w:marTop w:val="0"/>
      <w:marBottom w:val="0"/>
      <w:divBdr>
        <w:top w:val="none" w:sz="0" w:space="0" w:color="auto"/>
        <w:left w:val="none" w:sz="0" w:space="0" w:color="auto"/>
        <w:bottom w:val="none" w:sz="0" w:space="0" w:color="auto"/>
        <w:right w:val="none" w:sz="0" w:space="0" w:color="auto"/>
      </w:divBdr>
    </w:div>
    <w:div w:id="1558322688">
      <w:bodyDiv w:val="1"/>
      <w:marLeft w:val="0"/>
      <w:marRight w:val="0"/>
      <w:marTop w:val="0"/>
      <w:marBottom w:val="0"/>
      <w:divBdr>
        <w:top w:val="none" w:sz="0" w:space="0" w:color="auto"/>
        <w:left w:val="none" w:sz="0" w:space="0" w:color="auto"/>
        <w:bottom w:val="none" w:sz="0" w:space="0" w:color="auto"/>
        <w:right w:val="none" w:sz="0" w:space="0" w:color="auto"/>
      </w:divBdr>
    </w:div>
    <w:div w:id="1582369747">
      <w:bodyDiv w:val="1"/>
      <w:marLeft w:val="0"/>
      <w:marRight w:val="0"/>
      <w:marTop w:val="0"/>
      <w:marBottom w:val="0"/>
      <w:divBdr>
        <w:top w:val="none" w:sz="0" w:space="0" w:color="auto"/>
        <w:left w:val="none" w:sz="0" w:space="0" w:color="auto"/>
        <w:bottom w:val="none" w:sz="0" w:space="0" w:color="auto"/>
        <w:right w:val="none" w:sz="0" w:space="0" w:color="auto"/>
      </w:divBdr>
    </w:div>
    <w:div w:id="1692294078">
      <w:bodyDiv w:val="1"/>
      <w:marLeft w:val="0"/>
      <w:marRight w:val="0"/>
      <w:marTop w:val="0"/>
      <w:marBottom w:val="0"/>
      <w:divBdr>
        <w:top w:val="none" w:sz="0" w:space="0" w:color="auto"/>
        <w:left w:val="none" w:sz="0" w:space="0" w:color="auto"/>
        <w:bottom w:val="none" w:sz="0" w:space="0" w:color="auto"/>
        <w:right w:val="none" w:sz="0" w:space="0" w:color="auto"/>
      </w:divBdr>
    </w:div>
    <w:div w:id="1940601578">
      <w:bodyDiv w:val="1"/>
      <w:marLeft w:val="0"/>
      <w:marRight w:val="0"/>
      <w:marTop w:val="0"/>
      <w:marBottom w:val="0"/>
      <w:divBdr>
        <w:top w:val="none" w:sz="0" w:space="0" w:color="auto"/>
        <w:left w:val="none" w:sz="0" w:space="0" w:color="auto"/>
        <w:bottom w:val="none" w:sz="0" w:space="0" w:color="auto"/>
        <w:right w:val="none" w:sz="0" w:space="0" w:color="auto"/>
      </w:divBdr>
      <w:divsChild>
        <w:div w:id="583993608">
          <w:marLeft w:val="0"/>
          <w:marRight w:val="0"/>
          <w:marTop w:val="0"/>
          <w:marBottom w:val="0"/>
          <w:divBdr>
            <w:top w:val="none" w:sz="0" w:space="0" w:color="auto"/>
            <w:left w:val="none" w:sz="0" w:space="0" w:color="auto"/>
            <w:bottom w:val="none" w:sz="0" w:space="0" w:color="auto"/>
            <w:right w:val="none" w:sz="0" w:space="0" w:color="auto"/>
          </w:divBdr>
        </w:div>
        <w:div w:id="202547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sr.nellco.org/nyu_plltwp/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288A-CF56-469F-BDA2-B1C54545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7572</Words>
  <Characters>42405</Characters>
  <Application>Microsoft Office Word</Application>
  <DocSecurity>0</DocSecurity>
  <Lines>614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O'Cinneide</dc:creator>
  <cp:keywords/>
  <dc:description/>
  <cp:lastModifiedBy>Colm O'Cinneide</cp:lastModifiedBy>
  <cp:revision>2</cp:revision>
  <dcterms:created xsi:type="dcterms:W3CDTF">2016-04-07T11:53:00Z</dcterms:created>
  <dcterms:modified xsi:type="dcterms:W3CDTF">2016-04-07T11:53:00Z</dcterms:modified>
</cp:coreProperties>
</file>