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sz w:val="24"/>
          <w:szCs w:val="24"/>
        </w:rPr>
        <w:id w:val="-725911245"/>
        <w:docPartObj>
          <w:docPartGallery w:val="Cover Pages"/>
          <w:docPartUnique/>
        </w:docPartObj>
      </w:sdtPr>
      <w:sdtEndPr>
        <w:rPr>
          <w:b/>
          <w:sz w:val="22"/>
          <w:szCs w:val="22"/>
        </w:rPr>
      </w:sdtEndPr>
      <w:sdtContent>
        <w:p w:rsidR="00F84596" w:rsidRPr="00731DC0" w:rsidRDefault="00F84596" w:rsidP="00EF233F">
          <w:pPr>
            <w:ind w:right="45"/>
            <w:jc w:val="right"/>
            <w:rPr>
              <w:sz w:val="20"/>
              <w:szCs w:val="20"/>
            </w:rPr>
          </w:pPr>
        </w:p>
        <w:p w:rsidR="00B916E6" w:rsidRDefault="00B916E6" w:rsidP="006F38AC">
          <w:pPr>
            <w:rPr>
              <w:sz w:val="24"/>
              <w:szCs w:val="24"/>
            </w:rPr>
          </w:pPr>
        </w:p>
        <w:p w:rsidR="006F38AC" w:rsidRPr="00FF6886" w:rsidRDefault="008D6977" w:rsidP="00545460">
          <w:r w:rsidRPr="00B916E6">
            <w:rPr>
              <w:b/>
              <w:sz w:val="24"/>
              <w:szCs w:val="24"/>
            </w:rPr>
            <w:t>Black and Minority Ethnic Student Attainment at UCL</w:t>
          </w:r>
          <w:r w:rsidR="006F38AC">
            <w:t xml:space="preserve"> </w:t>
          </w:r>
        </w:p>
        <w:p w:rsidR="006F38AC" w:rsidRDefault="00531FB0" w:rsidP="006F38AC">
          <w:pPr>
            <w:rPr>
              <w:b/>
              <w:bCs/>
              <w:i/>
              <w:iCs/>
            </w:rPr>
          </w:pPr>
          <w:r w:rsidRPr="00531FB0">
            <w:rPr>
              <w:b/>
              <w:bCs/>
              <w:i/>
              <w:iCs/>
            </w:rPr>
            <w:t>Authors: Julie Evans, Shanell Johnson, Matthew Jones, Teresa McConlo</w:t>
          </w:r>
          <w:r w:rsidR="00782010">
            <w:rPr>
              <w:b/>
              <w:bCs/>
              <w:i/>
              <w:iCs/>
            </w:rPr>
            <w:t>gue, Alastair McClelland, Sylvia</w:t>
          </w:r>
          <w:r w:rsidRPr="00531FB0">
            <w:rPr>
              <w:b/>
              <w:bCs/>
              <w:i/>
              <w:iCs/>
            </w:rPr>
            <w:t xml:space="preserve"> Vitello, Francina Clayton</w:t>
          </w:r>
        </w:p>
        <w:p w:rsidR="00BD3539" w:rsidRPr="00BD3539" w:rsidRDefault="00BD3539" w:rsidP="006F38AC">
          <w:pPr>
            <w:rPr>
              <w:b/>
              <w:bCs/>
              <w:iCs/>
            </w:rPr>
          </w:pPr>
          <w:r>
            <w:rPr>
              <w:b/>
              <w:bCs/>
              <w:iCs/>
            </w:rPr>
            <w:t>December 2014</w:t>
          </w:r>
        </w:p>
        <w:p w:rsidR="006F38AC" w:rsidRDefault="006F38AC" w:rsidP="006F38AC">
          <w:pPr>
            <w:rPr>
              <w:b/>
              <w:bCs/>
            </w:rPr>
          </w:pPr>
          <w:r>
            <w:rPr>
              <w:b/>
              <w:bCs/>
            </w:rPr>
            <w:t>Glossary</w:t>
          </w:r>
        </w:p>
        <w:p w:rsidR="006F38AC" w:rsidRPr="0047529F" w:rsidRDefault="006F38AC" w:rsidP="006F38AC">
          <w:pPr>
            <w:rPr>
              <w:bCs/>
              <w:i/>
            </w:rPr>
          </w:pPr>
          <w:r w:rsidRPr="0047529F">
            <w:rPr>
              <w:bCs/>
              <w:i/>
            </w:rPr>
            <w:t>ANOVA - analysis of variance</w:t>
          </w:r>
        </w:p>
        <w:p w:rsidR="006F38AC" w:rsidRDefault="006F38AC" w:rsidP="006F38AC">
          <w:pPr>
            <w:rPr>
              <w:bCs/>
              <w:i/>
            </w:rPr>
          </w:pPr>
          <w:r w:rsidRPr="0047529F">
            <w:rPr>
              <w:bCs/>
              <w:i/>
            </w:rPr>
            <w:t>BME</w:t>
          </w:r>
          <w:r>
            <w:rPr>
              <w:bCs/>
              <w:i/>
            </w:rPr>
            <w:t xml:space="preserve"> – b</w:t>
          </w:r>
          <w:r w:rsidRPr="0047529F">
            <w:rPr>
              <w:bCs/>
              <w:i/>
            </w:rPr>
            <w:t>lack</w:t>
          </w:r>
          <w:r>
            <w:rPr>
              <w:bCs/>
              <w:i/>
            </w:rPr>
            <w:t xml:space="preserve"> and </w:t>
          </w:r>
          <w:r w:rsidR="00193812">
            <w:rPr>
              <w:bCs/>
              <w:i/>
            </w:rPr>
            <w:t>minority ethnic</w:t>
          </w:r>
        </w:p>
        <w:p w:rsidR="00193812" w:rsidRDefault="00193812" w:rsidP="006F38AC">
          <w:pPr>
            <w:rPr>
              <w:bCs/>
              <w:i/>
            </w:rPr>
          </w:pPr>
          <w:r>
            <w:rPr>
              <w:bCs/>
              <w:i/>
            </w:rPr>
            <w:t>CALT – Centre for the Advancement of Learning and Teaching</w:t>
          </w:r>
        </w:p>
        <w:p w:rsidR="00193812" w:rsidRPr="0047529F" w:rsidRDefault="00193812" w:rsidP="006F38AC">
          <w:pPr>
            <w:rPr>
              <w:bCs/>
              <w:i/>
            </w:rPr>
          </w:pPr>
          <w:r>
            <w:rPr>
              <w:bCs/>
              <w:i/>
            </w:rPr>
            <w:t>FTs – Faculty Tutors</w:t>
          </w:r>
        </w:p>
        <w:p w:rsidR="006F38AC" w:rsidRDefault="006F38AC" w:rsidP="006F38AC">
          <w:pPr>
            <w:rPr>
              <w:i/>
            </w:rPr>
          </w:pPr>
          <w:r w:rsidRPr="0047529F">
            <w:rPr>
              <w:i/>
            </w:rPr>
            <w:t>HESA -  Higher Education Statistics Agency</w:t>
          </w:r>
        </w:p>
        <w:p w:rsidR="00193812" w:rsidRDefault="00193812" w:rsidP="006F38AC">
          <w:pPr>
            <w:rPr>
              <w:i/>
            </w:rPr>
          </w:pPr>
          <w:r>
            <w:rPr>
              <w:i/>
            </w:rPr>
            <w:t>HoDs – Heads of Department</w:t>
          </w:r>
        </w:p>
        <w:p w:rsidR="00193812" w:rsidRDefault="00193812" w:rsidP="006F38AC">
          <w:pPr>
            <w:rPr>
              <w:i/>
            </w:rPr>
          </w:pPr>
          <w:r>
            <w:rPr>
              <w:i/>
            </w:rPr>
            <w:t>IQR – Internal Quality Review</w:t>
          </w:r>
        </w:p>
        <w:p w:rsidR="00D51619" w:rsidRPr="0047529F" w:rsidRDefault="00D51619" w:rsidP="006F38AC">
          <w:pPr>
            <w:rPr>
              <w:bCs/>
              <w:i/>
            </w:rPr>
          </w:pPr>
          <w:r>
            <w:rPr>
              <w:i/>
            </w:rPr>
            <w:t>OD – Organisational Development</w:t>
          </w:r>
        </w:p>
        <w:p w:rsidR="006F38AC" w:rsidRPr="00981BF7" w:rsidRDefault="006F38AC" w:rsidP="006F38AC">
          <w:pPr>
            <w:rPr>
              <w:bCs/>
              <w:i/>
            </w:rPr>
          </w:pPr>
          <w:r w:rsidRPr="0047529F">
            <w:rPr>
              <w:bCs/>
              <w:i/>
            </w:rPr>
            <w:t>WP – widening participation</w:t>
          </w:r>
        </w:p>
        <w:p w:rsidR="00BD3539" w:rsidRPr="00BD3539" w:rsidRDefault="00BD3539" w:rsidP="00BD3539">
          <w:pPr>
            <w:rPr>
              <w:b/>
            </w:rPr>
          </w:pPr>
          <w:r w:rsidRPr="00BD3539">
            <w:rPr>
              <w:b/>
            </w:rPr>
            <w:t>Abstract</w:t>
          </w:r>
        </w:p>
        <w:p w:rsidR="00BD3539" w:rsidRDefault="00BD3539" w:rsidP="00BD3539">
          <w:r>
            <w:t xml:space="preserve">This article is the culmination of a project to investigate and quantify BME student attainment at UCL. The format is non-traditional as the text is based on a committee paper. The UCLU BME Student Officer initiated the project by raising concerns about the higher education attainment gap between White and BME students. A team, funded by the UCL Centre for the Advancement of Learning and Teaching (CALT), reviewed literature, and collected data to quantify the gap at UCL. A small gap was identified, leading to recommendations for future monitoring and measures to create a sense of belonging in BME students. </w:t>
          </w:r>
        </w:p>
        <w:p w:rsidR="00BD3539" w:rsidRPr="00BD3539" w:rsidRDefault="00BD3539" w:rsidP="00BD3539">
          <w:pPr>
            <w:rPr>
              <w:b/>
            </w:rPr>
          </w:pPr>
          <w:r w:rsidRPr="00BD3539">
            <w:rPr>
              <w:b/>
            </w:rPr>
            <w:t>Keywords</w:t>
          </w:r>
        </w:p>
        <w:p w:rsidR="00BD3539" w:rsidRDefault="00BD3539" w:rsidP="00BD3539">
          <w:r>
            <w:t>Assessment, BME student attainment, belonging interventions</w:t>
          </w:r>
        </w:p>
        <w:p w:rsidR="006F38AC" w:rsidRDefault="006F38AC" w:rsidP="006F38AC">
          <w:pPr>
            <w:rPr>
              <w:b/>
              <w:bCs/>
            </w:rPr>
          </w:pPr>
        </w:p>
        <w:p w:rsidR="006F38AC" w:rsidRDefault="00F84596" w:rsidP="006F38AC">
          <w:pPr>
            <w:rPr>
              <w:b/>
              <w:bCs/>
            </w:rPr>
          </w:pPr>
          <w:r>
            <w:rPr>
              <w:b/>
              <w:bCs/>
            </w:rPr>
            <w:t>Backg</w:t>
          </w:r>
          <w:r w:rsidR="0021161E">
            <w:rPr>
              <w:b/>
              <w:bCs/>
            </w:rPr>
            <w:t>r</w:t>
          </w:r>
          <w:r>
            <w:rPr>
              <w:b/>
              <w:bCs/>
            </w:rPr>
            <w:t>ound</w:t>
          </w:r>
        </w:p>
        <w:p w:rsidR="006F38AC" w:rsidRPr="003F715A" w:rsidRDefault="006F38AC" w:rsidP="006F38AC">
          <w:pPr>
            <w:pStyle w:val="ListParagraph"/>
            <w:rPr>
              <w:bCs/>
            </w:rPr>
          </w:pPr>
        </w:p>
        <w:p w:rsidR="006F38AC" w:rsidRPr="00C129EA" w:rsidRDefault="006F38AC" w:rsidP="00545460">
          <w:pPr>
            <w:contextualSpacing/>
          </w:pPr>
          <w:r w:rsidRPr="00C129EA">
            <w:rPr>
              <w:bCs/>
            </w:rPr>
            <w:t xml:space="preserve">There is evidence of an attainment gap between BME and White students in HE in the UK. Recent research funded by the </w:t>
          </w:r>
          <w:r w:rsidRPr="00C129EA">
            <w:t xml:space="preserve">Equality Challenge Unit (2013), analysing HESA data, reports that: </w:t>
          </w:r>
        </w:p>
        <w:p w:rsidR="006F38AC" w:rsidRPr="00C129EA" w:rsidRDefault="00A75E51" w:rsidP="006F38AC">
          <w:pPr>
            <w:pStyle w:val="Default"/>
            <w:ind w:left="720"/>
            <w:rPr>
              <w:rFonts w:ascii="Arial" w:hAnsi="Arial" w:cs="Arial"/>
              <w:sz w:val="22"/>
              <w:szCs w:val="22"/>
            </w:rPr>
          </w:pPr>
          <w:r w:rsidRPr="00C129EA">
            <w:rPr>
              <w:rFonts w:ascii="Arial" w:hAnsi="Arial" w:cs="Arial"/>
              <w:sz w:val="22"/>
              <w:szCs w:val="22"/>
            </w:rPr>
            <w:t>“</w:t>
          </w:r>
          <w:r w:rsidR="006F38AC" w:rsidRPr="00C129EA">
            <w:rPr>
              <w:rFonts w:ascii="Arial" w:hAnsi="Arial" w:cs="Arial"/>
              <w:sz w:val="22"/>
              <w:szCs w:val="22"/>
            </w:rPr>
            <w:t xml:space="preserve">Overall, 71.5% of White UK-domiciled students graduating from their first undergraduate degree received ‘good’ degrees, compared with 53.8% of their BME counterparts, an attainment gap of 17.7 percentage points. </w:t>
          </w:r>
          <w:r w:rsidRPr="00C129EA">
            <w:rPr>
              <w:rFonts w:ascii="Arial" w:hAnsi="Arial" w:cs="Arial"/>
              <w:sz w:val="22"/>
              <w:szCs w:val="22"/>
            </w:rPr>
            <w:t>“</w:t>
          </w:r>
          <w:r w:rsidR="006F38AC" w:rsidRPr="00C129EA">
            <w:rPr>
              <w:rStyle w:val="FootnoteReference"/>
              <w:rFonts w:ascii="Arial" w:hAnsi="Arial" w:cs="Arial"/>
              <w:sz w:val="22"/>
              <w:szCs w:val="22"/>
            </w:rPr>
            <w:footnoteReference w:id="1"/>
          </w:r>
        </w:p>
        <w:p w:rsidR="006F38AC" w:rsidRPr="00C129EA" w:rsidRDefault="006F38AC" w:rsidP="006F38AC">
          <w:pPr>
            <w:pStyle w:val="Default"/>
            <w:ind w:left="720"/>
            <w:rPr>
              <w:rFonts w:ascii="Arial" w:hAnsi="Arial" w:cs="Arial"/>
              <w:sz w:val="22"/>
              <w:szCs w:val="22"/>
            </w:rPr>
          </w:pPr>
        </w:p>
        <w:p w:rsidR="00545460" w:rsidRDefault="00545460" w:rsidP="00545460">
          <w:pPr>
            <w:pStyle w:val="Default"/>
            <w:rPr>
              <w:rFonts w:ascii="Arial" w:hAnsi="Arial" w:cs="Arial"/>
              <w:sz w:val="22"/>
              <w:szCs w:val="22"/>
            </w:rPr>
          </w:pPr>
          <w:r w:rsidRPr="00C129EA">
            <w:rPr>
              <w:rFonts w:ascii="Arial" w:hAnsi="Arial" w:cs="Arial"/>
              <w:sz w:val="22"/>
              <w:szCs w:val="22"/>
            </w:rPr>
            <w:t xml:space="preserve">Recently UCLU appointed the first BME Student Officer, who raised concerns about BME student attainment at UCL. </w:t>
          </w:r>
          <w:r w:rsidR="001D4D73" w:rsidRPr="00C129EA">
            <w:rPr>
              <w:rFonts w:ascii="Arial" w:hAnsi="Arial" w:cs="Arial"/>
              <w:sz w:val="22"/>
              <w:szCs w:val="22"/>
            </w:rPr>
            <w:t xml:space="preserve">Recognising that the attainment gap is an issue across the sector, </w:t>
          </w:r>
          <w:r w:rsidRPr="00C129EA">
            <w:rPr>
              <w:rFonts w:ascii="Arial" w:hAnsi="Arial" w:cs="Arial"/>
              <w:sz w:val="22"/>
              <w:szCs w:val="22"/>
            </w:rPr>
            <w:t xml:space="preserve">staff at the Centre for the Advancement of Learning and Teaching (CALT) </w:t>
          </w:r>
          <w:r w:rsidR="001D4D73" w:rsidRPr="00C129EA">
            <w:rPr>
              <w:rFonts w:ascii="Arial" w:hAnsi="Arial" w:cs="Arial"/>
              <w:sz w:val="22"/>
              <w:szCs w:val="22"/>
            </w:rPr>
            <w:t xml:space="preserve">devised </w:t>
          </w:r>
          <w:r w:rsidRPr="00C129EA">
            <w:rPr>
              <w:rFonts w:ascii="Arial" w:hAnsi="Arial" w:cs="Arial"/>
              <w:sz w:val="22"/>
              <w:szCs w:val="22"/>
            </w:rPr>
            <w:t>a project plan to investigate BME student attainment at UCL; the plan involved ca</w:t>
          </w:r>
          <w:r w:rsidR="001D4D73" w:rsidRPr="00C129EA">
            <w:rPr>
              <w:rFonts w:ascii="Arial" w:hAnsi="Arial" w:cs="Arial"/>
              <w:sz w:val="22"/>
              <w:szCs w:val="22"/>
            </w:rPr>
            <w:t>rrying out data collection of</w:t>
          </w:r>
          <w:r w:rsidRPr="00C129EA">
            <w:rPr>
              <w:rFonts w:ascii="Arial" w:hAnsi="Arial" w:cs="Arial"/>
              <w:sz w:val="22"/>
              <w:szCs w:val="22"/>
            </w:rPr>
            <w:t xml:space="preserve"> undergraduate BME student attainment, exploring initiatives at UCL aimed at increasing ethnic diversity in staff and students, and making recommendations</w:t>
          </w:r>
          <w:r w:rsidR="001D4D73" w:rsidRPr="00C129EA">
            <w:rPr>
              <w:rFonts w:ascii="Arial" w:hAnsi="Arial" w:cs="Arial"/>
              <w:sz w:val="22"/>
              <w:szCs w:val="22"/>
            </w:rPr>
            <w:t xml:space="preserve"> for future action</w:t>
          </w:r>
          <w:r w:rsidRPr="00C129EA">
            <w:rPr>
              <w:rFonts w:ascii="Arial" w:hAnsi="Arial" w:cs="Arial"/>
              <w:sz w:val="22"/>
              <w:szCs w:val="22"/>
            </w:rPr>
            <w:t xml:space="preserve"> to Education Committee.</w:t>
          </w:r>
        </w:p>
        <w:p w:rsidR="0021161E" w:rsidRDefault="0021161E" w:rsidP="00545460">
          <w:pPr>
            <w:pStyle w:val="Default"/>
            <w:rPr>
              <w:rFonts w:ascii="Arial" w:hAnsi="Arial" w:cs="Arial"/>
              <w:sz w:val="22"/>
              <w:szCs w:val="22"/>
            </w:rPr>
          </w:pPr>
        </w:p>
        <w:p w:rsidR="0021161E" w:rsidRPr="0021161E" w:rsidRDefault="0021161E" w:rsidP="00545460">
          <w:pPr>
            <w:pStyle w:val="Default"/>
            <w:rPr>
              <w:rFonts w:ascii="Arial" w:hAnsi="Arial" w:cs="Arial"/>
              <w:b/>
              <w:bCs/>
              <w:sz w:val="22"/>
              <w:szCs w:val="22"/>
            </w:rPr>
          </w:pPr>
          <w:r w:rsidRPr="0021161E">
            <w:rPr>
              <w:rFonts w:ascii="Arial" w:hAnsi="Arial" w:cs="Arial"/>
              <w:b/>
              <w:bCs/>
              <w:sz w:val="22"/>
              <w:szCs w:val="22"/>
            </w:rPr>
            <w:t>The Project</w:t>
          </w:r>
        </w:p>
        <w:p w:rsidR="006F38AC" w:rsidRPr="00C129EA" w:rsidRDefault="006F38AC" w:rsidP="006F38AC">
          <w:pPr>
            <w:pStyle w:val="Default"/>
            <w:ind w:left="720"/>
            <w:rPr>
              <w:rFonts w:ascii="Arial" w:hAnsi="Arial" w:cs="Arial"/>
              <w:sz w:val="22"/>
              <w:szCs w:val="22"/>
            </w:rPr>
          </w:pPr>
        </w:p>
        <w:p w:rsidR="006F38AC" w:rsidRPr="00C129EA" w:rsidRDefault="001D4D73" w:rsidP="001D4D73">
          <w:pPr>
            <w:contextualSpacing/>
            <w:rPr>
              <w:bCs/>
            </w:rPr>
          </w:pPr>
          <w:r w:rsidRPr="00C129EA">
            <w:rPr>
              <w:bCs/>
            </w:rPr>
            <w:lastRenderedPageBreak/>
            <w:t>T</w:t>
          </w:r>
          <w:r w:rsidR="006F38AC" w:rsidRPr="00C129EA">
            <w:rPr>
              <w:bCs/>
            </w:rPr>
            <w:t xml:space="preserve">he BME Student Attainment project </w:t>
          </w:r>
          <w:r w:rsidRPr="00C129EA">
            <w:rPr>
              <w:bCs/>
            </w:rPr>
            <w:t>aimed to</w:t>
          </w:r>
          <w:r w:rsidR="006F38AC" w:rsidRPr="00C129EA">
            <w:rPr>
              <w:bCs/>
            </w:rPr>
            <w:t xml:space="preserve"> collect both quantitative and qualitative data to better understand BME student attainment at UCL. Members of the project group are Dr Teresa McConlogue (Senior Teaching Fellow in CALT), Shanell Johnson (Black and Minority Ethnic Students' Officer, UCLU),</w:t>
          </w:r>
          <w:r w:rsidR="006F38AC" w:rsidRPr="00C129EA">
            <w:t xml:space="preserve"> </w:t>
          </w:r>
          <w:r w:rsidR="006F38AC" w:rsidRPr="00C129EA">
            <w:rPr>
              <w:bCs/>
            </w:rPr>
            <w:t xml:space="preserve">Dr Julie Evans (Faculty Tutor for Brain Sciences) </w:t>
          </w:r>
          <w:r w:rsidR="00F84596" w:rsidRPr="00C129EA">
            <w:rPr>
              <w:bCs/>
            </w:rPr>
            <w:t>,</w:t>
          </w:r>
          <w:r w:rsidR="006F38AC" w:rsidRPr="00C129EA">
            <w:rPr>
              <w:bCs/>
            </w:rPr>
            <w:t xml:space="preserve"> Dr Alastair McClelland (Programme Director BSc Psychology), Dr Sylvia Vitello, Matthew Jones and Francina Clayton from the Division of Psychology and Language Sciences. </w:t>
          </w:r>
        </w:p>
        <w:p w:rsidR="001D4D73" w:rsidRPr="00C129EA" w:rsidRDefault="001D4D73" w:rsidP="001D4D73">
          <w:pPr>
            <w:contextualSpacing/>
            <w:rPr>
              <w:rFonts w:eastAsiaTheme="minorHAnsi"/>
              <w:bCs/>
            </w:rPr>
          </w:pPr>
        </w:p>
        <w:p w:rsidR="006F38AC" w:rsidRDefault="006F38AC" w:rsidP="00193812">
          <w:pPr>
            <w:contextualSpacing/>
            <w:rPr>
              <w:bCs/>
            </w:rPr>
          </w:pPr>
          <w:r w:rsidRPr="00C129EA">
            <w:rPr>
              <w:bCs/>
            </w:rPr>
            <w:t>We began with the hypothesis that there was no gap in attainment between BME and White student attainment at UCL. To investigate this, we undertook a literature review of research on the attainment gap in the UK HE sector and actions had</w:t>
          </w:r>
          <w:r w:rsidR="001C64E6">
            <w:rPr>
              <w:bCs/>
            </w:rPr>
            <w:t xml:space="preserve"> been taken to narrow the gap (s</w:t>
          </w:r>
          <w:r w:rsidRPr="00C129EA">
            <w:rPr>
              <w:bCs/>
            </w:rPr>
            <w:t xml:space="preserve">ee </w:t>
          </w:r>
          <w:r w:rsidR="00D51619">
            <w:rPr>
              <w:bCs/>
            </w:rPr>
            <w:t>Appendix</w:t>
          </w:r>
          <w:r w:rsidR="0021161E">
            <w:rPr>
              <w:bCs/>
            </w:rPr>
            <w:t xml:space="preserve"> A</w:t>
          </w:r>
          <w:r w:rsidRPr="00C129EA">
            <w:rPr>
              <w:bCs/>
            </w:rPr>
            <w:t xml:space="preserve"> for a summary). We also undertook quantitative analysis of UCL undergraduate students’ final degree marks</w:t>
          </w:r>
          <w:r w:rsidR="001D4D73" w:rsidRPr="00C129EA">
            <w:rPr>
              <w:bCs/>
            </w:rPr>
            <w:t xml:space="preserve"> and drop out rates</w:t>
          </w:r>
          <w:r w:rsidRPr="00C129EA">
            <w:rPr>
              <w:bCs/>
            </w:rPr>
            <w:t xml:space="preserve"> (see </w:t>
          </w:r>
          <w:r w:rsidR="00D51619">
            <w:rPr>
              <w:bCs/>
            </w:rPr>
            <w:t>Appendix</w:t>
          </w:r>
          <w:r w:rsidR="0021161E">
            <w:rPr>
              <w:bCs/>
            </w:rPr>
            <w:t xml:space="preserve"> B</w:t>
          </w:r>
          <w:r w:rsidRPr="00C129EA">
            <w:rPr>
              <w:bCs/>
            </w:rPr>
            <w:t xml:space="preserve">) and exploratory qualitative research involving focus groups and interviews with UCL BME students . </w:t>
          </w:r>
        </w:p>
        <w:p w:rsidR="00193812" w:rsidRPr="00C129EA" w:rsidRDefault="00193812" w:rsidP="00193812">
          <w:pPr>
            <w:contextualSpacing/>
            <w:rPr>
              <w:bCs/>
            </w:rPr>
          </w:pPr>
        </w:p>
        <w:p w:rsidR="00070568" w:rsidRPr="00C129EA" w:rsidRDefault="006F38AC" w:rsidP="00070568">
          <w:r w:rsidRPr="00C129EA">
            <w:t>Quantitative data analysis was carried out based on historic data (2011-2013) of undergraduate student achi</w:t>
          </w:r>
          <w:r w:rsidR="001D4D73" w:rsidRPr="00C129EA">
            <w:t xml:space="preserve">evement provided by the </w:t>
          </w:r>
          <w:r w:rsidRPr="00C129EA">
            <w:t>Head of Student Data Services. Analysis of variance (ANOVA) was used to investigate the effect of ethnicity, W</w:t>
          </w:r>
          <w:r w:rsidR="001D4D73" w:rsidRPr="00C129EA">
            <w:t xml:space="preserve">idening </w:t>
          </w:r>
          <w:r w:rsidRPr="00C129EA">
            <w:t>P</w:t>
          </w:r>
          <w:r w:rsidR="001D4D73" w:rsidRPr="00C129EA">
            <w:t>articipation (investigated through factors such as students from low participation neighbourhoods)</w:t>
          </w:r>
          <w:r w:rsidRPr="00C129EA">
            <w:t xml:space="preserve">, gender and Faculty on the final </w:t>
          </w:r>
          <w:r w:rsidR="00CE5760">
            <w:t xml:space="preserve">mean </w:t>
          </w:r>
          <w:r w:rsidRPr="00C129EA">
            <w:t xml:space="preserve">percentage score which forms the basis for degree classification. </w:t>
          </w:r>
          <w:r w:rsidR="00070568" w:rsidRPr="00C129EA">
            <w:t xml:space="preserve">Student drop out rates as a function of ethnicity were </w:t>
          </w:r>
          <w:r w:rsidR="0021161E" w:rsidRPr="00C129EA">
            <w:t>also</w:t>
          </w:r>
          <w:r w:rsidR="00070568" w:rsidRPr="00C129EA">
            <w:t xml:space="preserve"> investigated.</w:t>
          </w:r>
        </w:p>
        <w:p w:rsidR="006F38AC" w:rsidRPr="00C129EA" w:rsidRDefault="006F38AC" w:rsidP="001D4D73">
          <w:pPr>
            <w:contextualSpacing/>
            <w:rPr>
              <w:bCs/>
            </w:rPr>
          </w:pPr>
          <w:r w:rsidRPr="00C129EA">
            <w:t>Seven Faculties were included in the analysis. The analysis showed a significant main effect of ethnicity in six of the seven Faculties, with White students on average scoring higher than BME s</w:t>
          </w:r>
          <w:r w:rsidR="00B916E6" w:rsidRPr="00C129EA">
            <w:t>tudents.</w:t>
          </w:r>
          <w:r w:rsidRPr="00C129EA">
            <w:t xml:space="preserve"> The difference in performance varied across Faculties; Arts and Humanities showed no significant effect of ethnicity, and for other Faculties the percentage differences between White and BME students for their final degree grades varied between 1.4 percentage points (Brain Sciences) and 3.6 percentage points (Built Environment). </w:t>
          </w:r>
          <w:r w:rsidRPr="00C129EA">
            <w:rPr>
              <w:bCs/>
            </w:rPr>
            <w:t xml:space="preserve">See </w:t>
          </w:r>
          <w:r w:rsidR="00D51619">
            <w:rPr>
              <w:bCs/>
            </w:rPr>
            <w:t>Appendix</w:t>
          </w:r>
          <w:r w:rsidR="0021161E">
            <w:rPr>
              <w:bCs/>
            </w:rPr>
            <w:t xml:space="preserve"> B</w:t>
          </w:r>
          <w:r w:rsidRPr="00C129EA">
            <w:rPr>
              <w:bCs/>
            </w:rPr>
            <w:t xml:space="preserve"> for a detailed summary.  </w:t>
          </w:r>
        </w:p>
        <w:p w:rsidR="006F38AC" w:rsidRPr="001A307D" w:rsidRDefault="006F38AC" w:rsidP="001A307D">
          <w:pPr>
            <w:rPr>
              <w:bCs/>
            </w:rPr>
          </w:pPr>
        </w:p>
        <w:p w:rsidR="006F38AC" w:rsidRPr="00C129EA" w:rsidRDefault="006F38AC" w:rsidP="001D4D73">
          <w:pPr>
            <w:contextualSpacing/>
            <w:rPr>
              <w:bCs/>
            </w:rPr>
          </w:pPr>
          <w:r w:rsidRPr="00C129EA">
            <w:rPr>
              <w:bCs/>
            </w:rPr>
            <w:t>As a result of this project, we ma</w:t>
          </w:r>
          <w:r w:rsidR="001D4D73" w:rsidRPr="00C129EA">
            <w:rPr>
              <w:bCs/>
            </w:rPr>
            <w:t>d</w:t>
          </w:r>
          <w:r w:rsidRPr="00C129EA">
            <w:rPr>
              <w:bCs/>
            </w:rPr>
            <w:t>e recommendations for immediate action and for further work at UCL.</w:t>
          </w:r>
          <w:r w:rsidR="001D4D73" w:rsidRPr="00C129EA">
            <w:rPr>
              <w:bCs/>
            </w:rPr>
            <w:t xml:space="preserve"> These recommendations were formally approved at UCL’s Education Committee and will be monitored in 2014-15.</w:t>
          </w:r>
        </w:p>
        <w:p w:rsidR="006F38AC" w:rsidRPr="00C129EA" w:rsidRDefault="006F38AC" w:rsidP="006F38AC">
          <w:pPr>
            <w:rPr>
              <w:sz w:val="24"/>
              <w:szCs w:val="24"/>
            </w:rPr>
          </w:pPr>
        </w:p>
        <w:p w:rsidR="006F38AC" w:rsidRPr="0021161E" w:rsidRDefault="006F38AC" w:rsidP="006F38AC">
          <w:pPr>
            <w:rPr>
              <w:rFonts w:asciiTheme="minorBidi" w:hAnsiTheme="minorBidi" w:cstheme="minorBidi"/>
              <w:b/>
              <w:sz w:val="24"/>
              <w:szCs w:val="24"/>
            </w:rPr>
          </w:pPr>
          <w:r w:rsidRPr="0021161E">
            <w:rPr>
              <w:rFonts w:asciiTheme="minorBidi" w:hAnsiTheme="minorBidi" w:cstheme="minorBidi"/>
              <w:b/>
              <w:sz w:val="24"/>
              <w:szCs w:val="24"/>
            </w:rPr>
            <w:t>Recommendations, Actions and Monitoring</w:t>
          </w:r>
        </w:p>
        <w:p w:rsidR="00E92670" w:rsidRDefault="006F38AC" w:rsidP="006F38AC">
          <w:pPr>
            <w:rPr>
              <w:rFonts w:asciiTheme="minorHAnsi" w:hAnsiTheme="minorHAnsi"/>
            </w:rPr>
          </w:pPr>
          <w:r w:rsidRPr="00C129EA">
            <w:t>These recommendations draw on the literature review</w:t>
          </w:r>
          <w:r w:rsidR="000964CD" w:rsidRPr="00C129EA">
            <w:t xml:space="preserve"> </w:t>
          </w:r>
          <w:r w:rsidR="0069647D" w:rsidRPr="00C129EA">
            <w:t>and</w:t>
          </w:r>
          <w:r w:rsidR="000964CD" w:rsidRPr="00C129EA">
            <w:t xml:space="preserve"> </w:t>
          </w:r>
          <w:r w:rsidRPr="00C129EA">
            <w:t>the</w:t>
          </w:r>
          <w:r w:rsidR="00E92670" w:rsidRPr="00C129EA">
            <w:t xml:space="preserve"> </w:t>
          </w:r>
          <w:r w:rsidRPr="00C129EA">
            <w:t>analysis of data collected in UCL on BME student attainment. Table 1 sets out the various actions that</w:t>
          </w:r>
          <w:r w:rsidR="001D4D73" w:rsidRPr="00C129EA">
            <w:t xml:space="preserve"> UCL will undertake</w:t>
          </w:r>
          <w:r w:rsidR="00F5282A">
            <w:t xml:space="preserve"> to enhance BME student attainment</w:t>
          </w:r>
          <w:r w:rsidR="001D4D73" w:rsidRPr="00C129EA">
            <w:t>.</w:t>
          </w:r>
          <w:r w:rsidRPr="00C129EA">
            <w:t xml:space="preserve"> Many of these actions fit with </w:t>
          </w:r>
          <w:r w:rsidR="00070568" w:rsidRPr="00C129EA">
            <w:t xml:space="preserve">ongoing </w:t>
          </w:r>
          <w:r w:rsidRPr="00C129EA">
            <w:t>work at UCL; for example, work on the Connected Curriculum aimed at embedding research-based education, led by the VP Education, will include a review of curricula diversity.</w:t>
          </w:r>
          <w:r w:rsidRPr="00B916E6">
            <w:rPr>
              <w:rFonts w:asciiTheme="minorHAnsi" w:hAnsiTheme="minorHAnsi"/>
            </w:rPr>
            <w:t xml:space="preserve"> </w:t>
          </w:r>
        </w:p>
        <w:p w:rsidR="00FB33BA" w:rsidRDefault="00FB33BA">
          <w:pPr>
            <w:spacing w:after="0" w:line="240" w:lineRule="auto"/>
            <w:rPr>
              <w:b/>
              <w:sz w:val="24"/>
              <w:szCs w:val="24"/>
            </w:rPr>
            <w:sectPr w:rsidR="00FB33BA" w:rsidSect="001A307D">
              <w:headerReference w:type="default" r:id="rId9"/>
              <w:headerReference w:type="first" r:id="rId10"/>
              <w:pgSz w:w="11906" w:h="16838"/>
              <w:pgMar w:top="720" w:right="720" w:bottom="720" w:left="720" w:header="708" w:footer="708" w:gutter="0"/>
              <w:cols w:space="708"/>
              <w:titlePg/>
              <w:docGrid w:linePitch="360"/>
            </w:sectPr>
          </w:pPr>
        </w:p>
        <w:p w:rsidR="001A307D" w:rsidRDefault="001A307D">
          <w:pPr>
            <w:spacing w:after="0" w:line="240" w:lineRule="auto"/>
            <w:rPr>
              <w:b/>
              <w:sz w:val="24"/>
              <w:szCs w:val="24"/>
            </w:rPr>
          </w:pPr>
        </w:p>
        <w:p w:rsidR="006F38AC" w:rsidRPr="002B3B5F" w:rsidRDefault="006F38AC" w:rsidP="006F38AC">
          <w:pPr>
            <w:rPr>
              <w:b/>
              <w:sz w:val="24"/>
              <w:szCs w:val="24"/>
            </w:rPr>
          </w:pPr>
          <w:r>
            <w:rPr>
              <w:b/>
              <w:sz w:val="24"/>
              <w:szCs w:val="24"/>
            </w:rPr>
            <w:t xml:space="preserve">Table 1 – </w:t>
          </w:r>
          <w:r w:rsidR="00F84596">
            <w:rPr>
              <w:b/>
              <w:sz w:val="24"/>
              <w:szCs w:val="24"/>
            </w:rPr>
            <w:t>R</w:t>
          </w:r>
          <w:r>
            <w:rPr>
              <w:b/>
              <w:sz w:val="24"/>
              <w:szCs w:val="24"/>
            </w:rPr>
            <w:t xml:space="preserve">ecommendations and </w:t>
          </w:r>
          <w:r w:rsidR="000964CD">
            <w:rPr>
              <w:b/>
              <w:sz w:val="24"/>
              <w:szCs w:val="24"/>
            </w:rPr>
            <w:t>R</w:t>
          </w:r>
          <w:r>
            <w:rPr>
              <w:b/>
              <w:sz w:val="24"/>
              <w:szCs w:val="24"/>
            </w:rPr>
            <w:t>eporting</w:t>
          </w:r>
        </w:p>
        <w:tbl>
          <w:tblPr>
            <w:tblW w:w="13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3"/>
            <w:gridCol w:w="6060"/>
            <w:gridCol w:w="2268"/>
            <w:gridCol w:w="3402"/>
          </w:tblGrid>
          <w:tr w:rsidR="006F38AC" w:rsidRPr="00C129EA" w:rsidTr="00FB33BA">
            <w:trPr>
              <w:jc w:val="center"/>
            </w:trPr>
            <w:tc>
              <w:tcPr>
                <w:tcW w:w="1703" w:type="dxa"/>
              </w:tcPr>
              <w:p w:rsidR="006F38AC" w:rsidRPr="00C129EA" w:rsidRDefault="006F38AC" w:rsidP="00F84596">
                <w:pPr>
                  <w:spacing w:after="0" w:line="240" w:lineRule="auto"/>
                </w:pPr>
                <w:r w:rsidRPr="00C129EA">
                  <w:t>Themes</w:t>
                </w:r>
              </w:p>
            </w:tc>
            <w:tc>
              <w:tcPr>
                <w:tcW w:w="6060" w:type="dxa"/>
              </w:tcPr>
              <w:p w:rsidR="006F38AC" w:rsidRPr="00C129EA" w:rsidRDefault="006F38AC" w:rsidP="00F84596">
                <w:pPr>
                  <w:spacing w:after="0" w:line="240" w:lineRule="auto"/>
                </w:pPr>
                <w:r w:rsidRPr="00C129EA">
                  <w:t>Activities</w:t>
                </w:r>
              </w:p>
            </w:tc>
            <w:tc>
              <w:tcPr>
                <w:tcW w:w="2268" w:type="dxa"/>
              </w:tcPr>
              <w:p w:rsidR="006F38AC" w:rsidRPr="00C129EA" w:rsidRDefault="006F38AC" w:rsidP="00F84596">
                <w:pPr>
                  <w:spacing w:after="0" w:line="240" w:lineRule="auto"/>
                </w:pPr>
                <w:r w:rsidRPr="00C129EA">
                  <w:t>Owner</w:t>
                </w:r>
              </w:p>
            </w:tc>
            <w:tc>
              <w:tcPr>
                <w:tcW w:w="3402" w:type="dxa"/>
              </w:tcPr>
              <w:p w:rsidR="006F38AC" w:rsidRPr="00C129EA" w:rsidRDefault="006F38AC" w:rsidP="00F84596">
                <w:pPr>
                  <w:spacing w:after="0" w:line="240" w:lineRule="auto"/>
                </w:pPr>
                <w:r w:rsidRPr="00C129EA">
                  <w:t>Reporting/deadline</w:t>
                </w:r>
              </w:p>
            </w:tc>
          </w:tr>
          <w:tr w:rsidR="006F38AC" w:rsidRPr="00C129EA" w:rsidTr="00FB33BA">
            <w:trPr>
              <w:jc w:val="center"/>
            </w:trPr>
            <w:tc>
              <w:tcPr>
                <w:tcW w:w="1703" w:type="dxa"/>
              </w:tcPr>
              <w:p w:rsidR="006F38AC" w:rsidRPr="00C129EA" w:rsidRDefault="006F38AC" w:rsidP="00F84596">
                <w:pPr>
                  <w:spacing w:after="0" w:line="240" w:lineRule="auto"/>
                </w:pPr>
                <w:r w:rsidRPr="00C129EA">
                  <w:t>Data Collection and Research</w:t>
                </w:r>
              </w:p>
            </w:tc>
            <w:tc>
              <w:tcPr>
                <w:tcW w:w="6060" w:type="dxa"/>
              </w:tcPr>
              <w:p w:rsidR="006F38AC" w:rsidRPr="00C129EA" w:rsidRDefault="006F38AC" w:rsidP="00F84596">
                <w:pPr>
                  <w:spacing w:after="0" w:line="240" w:lineRule="auto"/>
                </w:pPr>
                <w:r w:rsidRPr="00C129EA">
                  <w:t>Annual monitoring of BME attainment statistics.</w:t>
                </w:r>
              </w:p>
              <w:p w:rsidR="006F38AC" w:rsidRPr="00C129EA" w:rsidRDefault="006F38AC" w:rsidP="00F84596">
                <w:pPr>
                  <w:spacing w:after="0" w:line="240" w:lineRule="auto"/>
                </w:pPr>
                <w:r w:rsidRPr="00C129EA">
                  <w:t xml:space="preserve">BME </w:t>
                </w:r>
                <w:r w:rsidR="00887F5F" w:rsidRPr="00C129EA">
                  <w:t>student satisfaction</w:t>
                </w:r>
                <w:r w:rsidRPr="00C129EA">
                  <w:t xml:space="preserve"> departmental focus groups.</w:t>
                </w:r>
              </w:p>
              <w:p w:rsidR="006F38AC" w:rsidRPr="00C129EA" w:rsidRDefault="006F38AC" w:rsidP="00F84596">
                <w:pPr>
                  <w:spacing w:after="0" w:line="240" w:lineRule="auto"/>
                </w:pPr>
                <w:r w:rsidRPr="00C129EA">
                  <w:t xml:space="preserve">Develop resulting action points to include in Equality and Diversity Faculty Action Plans (which are now a compulsory aspect of UCL Equalities Accountability Framework) </w:t>
                </w:r>
              </w:p>
            </w:tc>
            <w:tc>
              <w:tcPr>
                <w:tcW w:w="2268" w:type="dxa"/>
              </w:tcPr>
              <w:p w:rsidR="006F38AC" w:rsidRPr="00C129EA" w:rsidRDefault="006F38AC" w:rsidP="00F84596">
                <w:pPr>
                  <w:spacing w:after="0" w:line="240" w:lineRule="auto"/>
                </w:pPr>
                <w:r w:rsidRPr="00C129EA">
                  <w:t xml:space="preserve">Faculty Tutors </w:t>
                </w:r>
                <w:r w:rsidR="00070568" w:rsidRPr="00C129EA">
                  <w:t xml:space="preserve">(FTs) </w:t>
                </w:r>
                <w:r w:rsidRPr="00C129EA">
                  <w:t>supported by the VP Education office</w:t>
                </w:r>
              </w:p>
            </w:tc>
            <w:tc>
              <w:tcPr>
                <w:tcW w:w="3402" w:type="dxa"/>
              </w:tcPr>
              <w:p w:rsidR="006F38AC" w:rsidRPr="00C129EA" w:rsidRDefault="006F38AC" w:rsidP="00F84596">
                <w:pPr>
                  <w:spacing w:after="0" w:line="240" w:lineRule="auto"/>
                </w:pPr>
                <w:r w:rsidRPr="00C129EA">
                  <w:t>Yearly report to Education Committee</w:t>
                </w:r>
              </w:p>
            </w:tc>
          </w:tr>
          <w:tr w:rsidR="006F38AC" w:rsidRPr="00C129EA" w:rsidTr="00FB33BA">
            <w:trPr>
              <w:jc w:val="center"/>
            </w:trPr>
            <w:tc>
              <w:tcPr>
                <w:tcW w:w="1703" w:type="dxa"/>
              </w:tcPr>
              <w:p w:rsidR="006F38AC" w:rsidRPr="00C129EA" w:rsidRDefault="006F38AC" w:rsidP="00F84596">
                <w:pPr>
                  <w:spacing w:after="0" w:line="240" w:lineRule="auto"/>
                </w:pPr>
                <w:r w:rsidRPr="00C129EA">
                  <w:t xml:space="preserve">Assessment and </w:t>
                </w:r>
              </w:p>
              <w:p w:rsidR="006F38AC" w:rsidRPr="00C129EA" w:rsidRDefault="006F38AC" w:rsidP="00F84596">
                <w:pPr>
                  <w:spacing w:after="0" w:line="240" w:lineRule="auto"/>
                </w:pPr>
                <w:r w:rsidRPr="00C129EA">
                  <w:t>feedback</w:t>
                </w:r>
              </w:p>
            </w:tc>
            <w:tc>
              <w:tcPr>
                <w:tcW w:w="6060" w:type="dxa"/>
              </w:tcPr>
              <w:p w:rsidR="006F38AC" w:rsidRPr="00C129EA" w:rsidRDefault="006F38AC" w:rsidP="00F84596">
                <w:pPr>
                  <w:spacing w:after="0" w:line="240" w:lineRule="auto"/>
                </w:pPr>
                <w:r w:rsidRPr="00C129EA">
                  <w:t>Review anonymised marking. Where anonymised marking is not taking place, report to Education Committee.</w:t>
                </w:r>
              </w:p>
              <w:p w:rsidR="006F38AC" w:rsidRPr="00C129EA" w:rsidRDefault="006F38AC" w:rsidP="00F84596">
                <w:pPr>
                  <w:spacing w:after="0" w:line="240" w:lineRule="auto"/>
                </w:pPr>
              </w:p>
              <w:p w:rsidR="006F38AC" w:rsidRPr="00C129EA" w:rsidRDefault="006F38AC" w:rsidP="00F84596">
                <w:pPr>
                  <w:spacing w:after="0" w:line="240" w:lineRule="auto"/>
                </w:pPr>
                <w:r w:rsidRPr="00C129EA">
                  <w:t>Introduce ‘guided marking’</w:t>
                </w:r>
                <w:r w:rsidRPr="00C129EA">
                  <w:rPr>
                    <w:rStyle w:val="FootnoteReference"/>
                  </w:rPr>
                  <w:footnoteReference w:id="2"/>
                </w:r>
                <w:r w:rsidRPr="00C129EA">
                  <w:t xml:space="preserve">  exercises, or similar, at the beginning of every module.</w:t>
                </w:r>
              </w:p>
            </w:tc>
            <w:tc>
              <w:tcPr>
                <w:tcW w:w="2268" w:type="dxa"/>
              </w:tcPr>
              <w:p w:rsidR="006F38AC" w:rsidRPr="00C129EA" w:rsidRDefault="006F38AC" w:rsidP="00F84596">
                <w:pPr>
                  <w:spacing w:after="0" w:line="240" w:lineRule="auto"/>
                </w:pPr>
                <w:r w:rsidRPr="00C129EA">
                  <w:t>H</w:t>
                </w:r>
                <w:r w:rsidR="00070568" w:rsidRPr="00C129EA">
                  <w:t xml:space="preserve">eads </w:t>
                </w:r>
                <w:r w:rsidRPr="00C129EA">
                  <w:t>o</w:t>
                </w:r>
                <w:r w:rsidR="00070568" w:rsidRPr="00C129EA">
                  <w:t xml:space="preserve">f </w:t>
                </w:r>
                <w:r w:rsidRPr="00C129EA">
                  <w:t>D</w:t>
                </w:r>
                <w:r w:rsidR="00070568" w:rsidRPr="00C129EA">
                  <w:t>epartment</w:t>
                </w:r>
                <w:r w:rsidRPr="00C129EA">
                  <w:t>s</w:t>
                </w:r>
                <w:r w:rsidR="00070568" w:rsidRPr="00C129EA">
                  <w:t xml:space="preserve"> (HoDs)</w:t>
                </w:r>
                <w:r w:rsidR="00F84596" w:rsidRPr="00C129EA">
                  <w:t xml:space="preserve"> and FTs</w:t>
                </w:r>
              </w:p>
            </w:tc>
            <w:tc>
              <w:tcPr>
                <w:tcW w:w="3402" w:type="dxa"/>
              </w:tcPr>
              <w:p w:rsidR="006F38AC" w:rsidRPr="00C129EA" w:rsidRDefault="006F38AC" w:rsidP="00F84596">
                <w:pPr>
                  <w:spacing w:after="0" w:line="240" w:lineRule="auto"/>
                </w:pPr>
                <w:r w:rsidRPr="00C129EA">
                  <w:t>Pilot in 2014-15</w:t>
                </w:r>
              </w:p>
              <w:p w:rsidR="006F38AC" w:rsidRPr="00C129EA" w:rsidRDefault="006F38AC" w:rsidP="00F84596">
                <w:pPr>
                  <w:spacing w:after="0" w:line="240" w:lineRule="auto"/>
                </w:pPr>
                <w:r w:rsidRPr="00C129EA">
                  <w:t>Introduce for all courses in 2015-16</w:t>
                </w:r>
              </w:p>
              <w:p w:rsidR="00F84596" w:rsidRPr="00C129EA" w:rsidRDefault="00F84596" w:rsidP="00F84596">
                <w:pPr>
                  <w:spacing w:after="0" w:line="240" w:lineRule="auto"/>
                </w:pPr>
                <w:r w:rsidRPr="00C129EA">
                  <w:t>Report to Education Committee</w:t>
                </w:r>
              </w:p>
            </w:tc>
          </w:tr>
          <w:tr w:rsidR="006F38AC" w:rsidRPr="00C129EA" w:rsidTr="00FB33BA">
            <w:trPr>
              <w:jc w:val="center"/>
            </w:trPr>
            <w:tc>
              <w:tcPr>
                <w:tcW w:w="1703" w:type="dxa"/>
              </w:tcPr>
              <w:p w:rsidR="006F38AC" w:rsidRPr="00C129EA" w:rsidRDefault="006F38AC" w:rsidP="00F84596">
                <w:pPr>
                  <w:spacing w:after="0" w:line="240" w:lineRule="auto"/>
                </w:pPr>
                <w:r w:rsidRPr="00C129EA">
                  <w:t xml:space="preserve">Curriculum development </w:t>
                </w:r>
              </w:p>
            </w:tc>
            <w:tc>
              <w:tcPr>
                <w:tcW w:w="6060" w:type="dxa"/>
              </w:tcPr>
              <w:p w:rsidR="006F38AC" w:rsidRPr="00C129EA" w:rsidRDefault="006F38AC" w:rsidP="00F84596">
                <w:pPr>
                  <w:spacing w:after="0" w:line="240" w:lineRule="auto"/>
                </w:pPr>
                <w:r w:rsidRPr="00C129EA">
                  <w:t>Curriculum review of existing and new courses in 2014-17, and action to ensure diversity is represented in curricula.</w:t>
                </w:r>
              </w:p>
              <w:p w:rsidR="006F38AC" w:rsidRPr="00C129EA" w:rsidRDefault="006F38AC" w:rsidP="00F84596">
                <w:pPr>
                  <w:spacing w:after="0" w:line="240" w:lineRule="auto"/>
                </w:pPr>
              </w:p>
              <w:p w:rsidR="006F38AC" w:rsidRPr="00C129EA" w:rsidRDefault="006F38AC" w:rsidP="00F84596">
                <w:pPr>
                  <w:spacing w:after="0" w:line="240" w:lineRule="auto"/>
                </w:pPr>
              </w:p>
              <w:p w:rsidR="006F38AC" w:rsidRPr="00C129EA" w:rsidRDefault="006F38AC" w:rsidP="00F84596">
                <w:pPr>
                  <w:spacing w:after="0" w:line="240" w:lineRule="auto"/>
                </w:pPr>
              </w:p>
            </w:tc>
            <w:tc>
              <w:tcPr>
                <w:tcW w:w="2268" w:type="dxa"/>
              </w:tcPr>
              <w:p w:rsidR="006F38AC" w:rsidRPr="00C129EA" w:rsidRDefault="006F38AC" w:rsidP="00F84596">
                <w:pPr>
                  <w:spacing w:after="0" w:line="240" w:lineRule="auto"/>
                </w:pPr>
                <w:r w:rsidRPr="00C129EA">
                  <w:t>VP Education (to link with the Connected Curriculum, an institutional-wide strategy for curriculum review)</w:t>
                </w:r>
              </w:p>
            </w:tc>
            <w:tc>
              <w:tcPr>
                <w:tcW w:w="3402" w:type="dxa"/>
              </w:tcPr>
              <w:p w:rsidR="006F38AC" w:rsidRPr="00C129EA" w:rsidRDefault="006F38AC" w:rsidP="00F84596">
                <w:pPr>
                  <w:spacing w:after="0" w:line="240" w:lineRule="auto"/>
                </w:pPr>
                <w:r w:rsidRPr="00C129EA">
                  <w:t>Ongoing throughout 2014-17.</w:t>
                </w:r>
              </w:p>
              <w:p w:rsidR="006F38AC" w:rsidRPr="00C129EA" w:rsidRDefault="006F38AC" w:rsidP="00F84596">
                <w:pPr>
                  <w:spacing w:after="0" w:line="240" w:lineRule="auto"/>
                </w:pPr>
                <w:r w:rsidRPr="00C129EA">
                  <w:t>HoDs report to FTs and FTs to Education Committee</w:t>
                </w:r>
              </w:p>
            </w:tc>
          </w:tr>
          <w:tr w:rsidR="006F38AC" w:rsidRPr="00C129EA" w:rsidTr="00FB33BA">
            <w:trPr>
              <w:jc w:val="center"/>
            </w:trPr>
            <w:tc>
              <w:tcPr>
                <w:tcW w:w="1703" w:type="dxa"/>
              </w:tcPr>
              <w:p w:rsidR="006F38AC" w:rsidRPr="00C129EA" w:rsidRDefault="006F38AC" w:rsidP="00F84596">
                <w:pPr>
                  <w:spacing w:after="0" w:line="240" w:lineRule="auto"/>
                </w:pPr>
                <w:r w:rsidRPr="00C129EA">
                  <w:t>Professional Development</w:t>
                </w:r>
              </w:p>
              <w:p w:rsidR="006F38AC" w:rsidRPr="00C129EA" w:rsidRDefault="006F38AC" w:rsidP="00F84596">
                <w:pPr>
                  <w:spacing w:after="0" w:line="240" w:lineRule="auto"/>
                </w:pPr>
                <w:r w:rsidRPr="00C129EA">
                  <w:t xml:space="preserve">and </w:t>
                </w:r>
              </w:p>
              <w:p w:rsidR="006F38AC" w:rsidRPr="00C129EA" w:rsidRDefault="006F38AC" w:rsidP="00F84596">
                <w:pPr>
                  <w:spacing w:after="0" w:line="240" w:lineRule="auto"/>
                </w:pPr>
                <w:r w:rsidRPr="00C129EA">
                  <w:t xml:space="preserve">Pedagogy </w:t>
                </w:r>
              </w:p>
            </w:tc>
            <w:tc>
              <w:tcPr>
                <w:tcW w:w="6060" w:type="dxa"/>
              </w:tcPr>
              <w:p w:rsidR="006F38AC" w:rsidRPr="00C129EA" w:rsidRDefault="006F38AC" w:rsidP="00F84596">
                <w:pPr>
                  <w:spacing w:after="0" w:line="240" w:lineRule="auto"/>
                </w:pPr>
                <w:r w:rsidRPr="00C129EA">
                  <w:t xml:space="preserve">Equality and diversity awareness embedded in </w:t>
                </w:r>
                <w:r w:rsidR="00887F5F">
                  <w:t xml:space="preserve">the </w:t>
                </w:r>
                <w:r w:rsidR="00887F5F" w:rsidRPr="00887F5F">
                  <w:t>UCL Arena scheme</w:t>
                </w:r>
                <w:r w:rsidR="00887F5F">
                  <w:t xml:space="preserve"> for professional development of teachers</w:t>
                </w:r>
              </w:p>
              <w:p w:rsidR="006F38AC" w:rsidRPr="00C129EA" w:rsidRDefault="006F38AC" w:rsidP="00F84596">
                <w:pPr>
                  <w:spacing w:after="0" w:line="240" w:lineRule="auto"/>
                </w:pPr>
              </w:p>
              <w:p w:rsidR="006F38AC" w:rsidRPr="00C129EA" w:rsidRDefault="006F38AC" w:rsidP="00F84596">
                <w:pPr>
                  <w:spacing w:after="0" w:line="240" w:lineRule="auto"/>
                </w:pPr>
                <w:r w:rsidRPr="00C129EA">
                  <w:t xml:space="preserve">Widespread dissemination to teaching staff of films developed by UCL BME students. </w:t>
                </w:r>
              </w:p>
              <w:p w:rsidR="006F38AC" w:rsidRPr="00C129EA" w:rsidRDefault="006F38AC" w:rsidP="00F84596">
                <w:pPr>
                  <w:spacing w:after="0" w:line="240" w:lineRule="auto"/>
                </w:pPr>
              </w:p>
              <w:p w:rsidR="006F38AC" w:rsidRPr="00C129EA" w:rsidRDefault="006F38AC" w:rsidP="00F84596">
                <w:pPr>
                  <w:spacing w:after="0" w:line="240" w:lineRule="auto"/>
                </w:pPr>
                <w:r w:rsidRPr="00C129EA">
                  <w:t>O</w:t>
                </w:r>
                <w:r w:rsidR="00070568" w:rsidRPr="00C129EA">
                  <w:t xml:space="preserve">rganisational </w:t>
                </w:r>
                <w:r w:rsidRPr="00C129EA">
                  <w:t>D</w:t>
                </w:r>
                <w:r w:rsidR="00070568" w:rsidRPr="00C129EA">
                  <w:t>evelopment’s programme of</w:t>
                </w:r>
                <w:r w:rsidRPr="00C129EA">
                  <w:t xml:space="preserve"> courses/events to embed awareness of equality and diversity.</w:t>
                </w:r>
              </w:p>
              <w:p w:rsidR="006F38AC" w:rsidRPr="00C129EA" w:rsidRDefault="006F38AC" w:rsidP="00F84596">
                <w:pPr>
                  <w:spacing w:after="0" w:line="240" w:lineRule="auto"/>
                </w:pPr>
              </w:p>
            </w:tc>
            <w:tc>
              <w:tcPr>
                <w:tcW w:w="2268" w:type="dxa"/>
              </w:tcPr>
              <w:p w:rsidR="006F38AC" w:rsidRPr="00C129EA" w:rsidRDefault="006F38AC" w:rsidP="00F84596">
                <w:pPr>
                  <w:spacing w:after="0" w:line="240" w:lineRule="auto"/>
                </w:pPr>
                <w:r w:rsidRPr="00C129EA">
                  <w:t xml:space="preserve">CALT Director </w:t>
                </w:r>
              </w:p>
              <w:p w:rsidR="006F38AC" w:rsidRPr="00C129EA" w:rsidRDefault="006F38AC" w:rsidP="00F84596">
                <w:pPr>
                  <w:spacing w:after="0" w:line="240" w:lineRule="auto"/>
                </w:pPr>
              </w:p>
              <w:p w:rsidR="006F38AC" w:rsidRPr="00C129EA" w:rsidRDefault="006F38AC" w:rsidP="00F84596">
                <w:pPr>
                  <w:spacing w:after="0" w:line="240" w:lineRule="auto"/>
                </w:pPr>
              </w:p>
              <w:p w:rsidR="006F38AC" w:rsidRPr="00C129EA" w:rsidRDefault="006F38AC" w:rsidP="00F84596">
                <w:pPr>
                  <w:spacing w:after="0" w:line="240" w:lineRule="auto"/>
                </w:pPr>
              </w:p>
              <w:p w:rsidR="006F38AC" w:rsidRPr="00C129EA" w:rsidRDefault="006F38AC" w:rsidP="00F84596">
                <w:pPr>
                  <w:spacing w:after="0" w:line="240" w:lineRule="auto"/>
                </w:pPr>
              </w:p>
              <w:p w:rsidR="006F38AC" w:rsidRPr="00C129EA" w:rsidRDefault="006F38AC" w:rsidP="00F84596">
                <w:pPr>
                  <w:spacing w:after="0" w:line="240" w:lineRule="auto"/>
                </w:pPr>
              </w:p>
              <w:p w:rsidR="006F38AC" w:rsidRPr="00C129EA" w:rsidRDefault="006F38AC" w:rsidP="00F84596">
                <w:pPr>
                  <w:spacing w:after="0" w:line="240" w:lineRule="auto"/>
                </w:pPr>
                <w:r w:rsidRPr="00C129EA">
                  <w:t>O</w:t>
                </w:r>
                <w:r w:rsidR="00070568" w:rsidRPr="00C129EA">
                  <w:t xml:space="preserve">rganisational </w:t>
                </w:r>
                <w:r w:rsidRPr="00C129EA">
                  <w:t>D</w:t>
                </w:r>
                <w:r w:rsidR="00070568" w:rsidRPr="00C129EA">
                  <w:t>evelopment</w:t>
                </w:r>
                <w:r w:rsidRPr="00C129EA">
                  <w:t xml:space="preserve"> </w:t>
                </w:r>
                <w:r w:rsidR="00D51619">
                  <w:t xml:space="preserve">(OD) </w:t>
                </w:r>
                <w:r w:rsidRPr="00C129EA">
                  <w:t>Director</w:t>
                </w:r>
              </w:p>
              <w:p w:rsidR="006F38AC" w:rsidRPr="00C129EA" w:rsidRDefault="006F38AC" w:rsidP="00F84596">
                <w:pPr>
                  <w:spacing w:after="0" w:line="240" w:lineRule="auto"/>
                </w:pPr>
                <w:r w:rsidRPr="00C129EA">
                  <w:t>Supported by Head of</w:t>
                </w:r>
              </w:p>
              <w:p w:rsidR="006F38AC" w:rsidRPr="00C129EA" w:rsidRDefault="006F38AC" w:rsidP="00F84596">
                <w:pPr>
                  <w:spacing w:after="0" w:line="240" w:lineRule="auto"/>
                </w:pPr>
                <w:r w:rsidRPr="00C129EA">
                  <w:t>Equalities and Diversity</w:t>
                </w:r>
              </w:p>
            </w:tc>
            <w:tc>
              <w:tcPr>
                <w:tcW w:w="3402" w:type="dxa"/>
              </w:tcPr>
              <w:p w:rsidR="006F38AC" w:rsidRPr="00C129EA" w:rsidRDefault="006F38AC" w:rsidP="00F84596">
                <w:pPr>
                  <w:spacing w:after="0" w:line="240" w:lineRule="auto"/>
                </w:pPr>
                <w:r w:rsidRPr="00C129EA">
                  <w:t>As from September and to incorporate in UCL Arena Equality and Diversity</w:t>
                </w:r>
                <w:r w:rsidR="0069647D" w:rsidRPr="00C129EA">
                  <w:t>.</w:t>
                </w:r>
              </w:p>
              <w:p w:rsidR="006F38AC" w:rsidRPr="00C129EA" w:rsidRDefault="006F38AC" w:rsidP="00F84596">
                <w:pPr>
                  <w:spacing w:after="0" w:line="240" w:lineRule="auto"/>
                </w:pPr>
                <w:r w:rsidRPr="00C129EA">
                  <w:t>Report to Education Committee on progress by June 2015</w:t>
                </w:r>
              </w:p>
            </w:tc>
          </w:tr>
          <w:tr w:rsidR="006F38AC" w:rsidRPr="00C129EA" w:rsidTr="00FB33BA">
            <w:trPr>
              <w:trHeight w:val="2457"/>
              <w:jc w:val="center"/>
            </w:trPr>
            <w:tc>
              <w:tcPr>
                <w:tcW w:w="1703" w:type="dxa"/>
              </w:tcPr>
              <w:p w:rsidR="006F38AC" w:rsidRPr="00C129EA" w:rsidRDefault="006F38AC" w:rsidP="00F84596">
                <w:pPr>
                  <w:spacing w:after="0" w:line="240" w:lineRule="auto"/>
                </w:pPr>
                <w:r w:rsidRPr="00C129EA">
                  <w:t xml:space="preserve">Belonging Interventions </w:t>
                </w:r>
              </w:p>
              <w:p w:rsidR="006F38AC" w:rsidRPr="00C129EA" w:rsidRDefault="006F38AC" w:rsidP="00F84596">
                <w:pPr>
                  <w:spacing w:after="0" w:line="240" w:lineRule="auto"/>
                </w:pPr>
              </w:p>
            </w:tc>
            <w:tc>
              <w:tcPr>
                <w:tcW w:w="6060" w:type="dxa"/>
              </w:tcPr>
              <w:p w:rsidR="006F38AC" w:rsidRPr="00C129EA" w:rsidRDefault="006F38AC" w:rsidP="00F84596">
                <w:pPr>
                  <w:spacing w:after="0" w:line="240" w:lineRule="auto"/>
                </w:pPr>
                <w:r w:rsidRPr="00C129EA">
                  <w:t>Create and show videos of BME Alumni and other alumni discussing the challenges they faced at UCL, how they coped and their subsequent careers, to be shown within induction programmes.</w:t>
                </w:r>
              </w:p>
              <w:p w:rsidR="006F38AC" w:rsidRPr="00C129EA" w:rsidRDefault="006F38AC" w:rsidP="00F84596">
                <w:pPr>
                  <w:spacing w:after="0" w:line="240" w:lineRule="auto"/>
                </w:pPr>
              </w:p>
              <w:p w:rsidR="006F38AC" w:rsidRPr="00C129EA" w:rsidRDefault="006F38AC" w:rsidP="00F84596">
                <w:pPr>
                  <w:spacing w:after="0" w:line="240" w:lineRule="auto"/>
                </w:pPr>
                <w:r w:rsidRPr="00C129EA">
                  <w:t>Raise awareness of importance of creating diverse groups for student group work assignments.</w:t>
                </w:r>
              </w:p>
              <w:p w:rsidR="006F38AC" w:rsidRPr="00C129EA" w:rsidRDefault="006F38AC" w:rsidP="00F84596">
                <w:pPr>
                  <w:spacing w:after="0" w:line="240" w:lineRule="auto"/>
                </w:pPr>
              </w:p>
              <w:p w:rsidR="006F38AC" w:rsidRPr="00C129EA" w:rsidRDefault="006F38AC" w:rsidP="00F84596">
                <w:pPr>
                  <w:spacing w:after="0" w:line="240" w:lineRule="auto"/>
                </w:pPr>
              </w:p>
              <w:p w:rsidR="006F38AC" w:rsidRPr="00C129EA" w:rsidRDefault="006F38AC" w:rsidP="00070568">
                <w:pPr>
                  <w:spacing w:after="0" w:line="240" w:lineRule="auto"/>
                </w:pPr>
                <w:r w:rsidRPr="00C129EA">
                  <w:t>Mentoring – ensure  BME students have access to an appropriate mentor</w:t>
                </w:r>
              </w:p>
            </w:tc>
            <w:tc>
              <w:tcPr>
                <w:tcW w:w="2268" w:type="dxa"/>
              </w:tcPr>
              <w:p w:rsidR="006F38AC" w:rsidRPr="00C129EA" w:rsidRDefault="006F38AC" w:rsidP="00F84596">
                <w:pPr>
                  <w:spacing w:after="0" w:line="240" w:lineRule="auto"/>
                </w:pPr>
                <w:r w:rsidRPr="00C129EA">
                  <w:t xml:space="preserve">Head of </w:t>
                </w:r>
                <w:r w:rsidR="00070568" w:rsidRPr="00C129EA">
                  <w:t>Careers and</w:t>
                </w:r>
                <w:r w:rsidRPr="00C129EA">
                  <w:t xml:space="preserve"> HoDs</w:t>
                </w:r>
              </w:p>
              <w:p w:rsidR="006F38AC" w:rsidRPr="00C129EA" w:rsidRDefault="006F38AC" w:rsidP="00F84596">
                <w:pPr>
                  <w:spacing w:after="0" w:line="240" w:lineRule="auto"/>
                </w:pPr>
              </w:p>
              <w:p w:rsidR="006F38AC" w:rsidRPr="00C129EA" w:rsidRDefault="006F38AC" w:rsidP="00F84596">
                <w:pPr>
                  <w:spacing w:after="0" w:line="240" w:lineRule="auto"/>
                </w:pPr>
              </w:p>
              <w:p w:rsidR="0069647D" w:rsidRPr="00C129EA" w:rsidRDefault="0069647D" w:rsidP="00F84596">
                <w:pPr>
                  <w:spacing w:after="0" w:line="240" w:lineRule="auto"/>
                </w:pPr>
              </w:p>
              <w:p w:rsidR="006F38AC" w:rsidRPr="00C129EA" w:rsidRDefault="006F38AC" w:rsidP="00F84596">
                <w:pPr>
                  <w:spacing w:after="0" w:line="240" w:lineRule="auto"/>
                </w:pPr>
                <w:r w:rsidRPr="00C129EA">
                  <w:t>HoDs and Faculty Tutors</w:t>
                </w:r>
              </w:p>
              <w:p w:rsidR="006F38AC" w:rsidRPr="00C129EA" w:rsidRDefault="006F38AC" w:rsidP="00F84596">
                <w:pPr>
                  <w:spacing w:after="0" w:line="240" w:lineRule="auto"/>
                </w:pPr>
              </w:p>
              <w:p w:rsidR="006F38AC" w:rsidRPr="00C129EA" w:rsidRDefault="006F38AC" w:rsidP="00F84596">
                <w:pPr>
                  <w:spacing w:after="0" w:line="240" w:lineRule="auto"/>
                </w:pPr>
              </w:p>
            </w:tc>
            <w:tc>
              <w:tcPr>
                <w:tcW w:w="3402" w:type="dxa"/>
              </w:tcPr>
              <w:p w:rsidR="006F38AC" w:rsidRPr="00C129EA" w:rsidRDefault="00070568" w:rsidP="00070568">
                <w:pPr>
                  <w:spacing w:after="0" w:line="240" w:lineRule="auto"/>
                </w:pPr>
                <w:r w:rsidRPr="00C129EA">
                  <w:t>Piloted in 2014-15 and a</w:t>
                </w:r>
                <w:r w:rsidR="006F38AC" w:rsidRPr="00C129EA">
                  <w:t>c</w:t>
                </w:r>
                <w:r w:rsidRPr="00C129EA">
                  <w:t>tioned by September 2016</w:t>
                </w:r>
              </w:p>
            </w:tc>
          </w:tr>
          <w:tr w:rsidR="006F38AC" w:rsidRPr="00C129EA" w:rsidTr="00FB33BA">
            <w:trPr>
              <w:jc w:val="center"/>
            </w:trPr>
            <w:tc>
              <w:tcPr>
                <w:tcW w:w="1703" w:type="dxa"/>
              </w:tcPr>
              <w:p w:rsidR="006F38AC" w:rsidRPr="00C129EA" w:rsidRDefault="006F38AC" w:rsidP="00F84596">
                <w:pPr>
                  <w:spacing w:after="0" w:line="240" w:lineRule="auto"/>
                </w:pPr>
                <w:r w:rsidRPr="00C129EA">
                  <w:t>I</w:t>
                </w:r>
                <w:r w:rsidR="00070568" w:rsidRPr="00C129EA">
                  <w:t xml:space="preserve">nternal </w:t>
                </w:r>
                <w:r w:rsidRPr="00C129EA">
                  <w:t>Q</w:t>
                </w:r>
                <w:r w:rsidR="00070568" w:rsidRPr="00C129EA">
                  <w:t xml:space="preserve">uality </w:t>
                </w:r>
                <w:r w:rsidRPr="00C129EA">
                  <w:t>R</w:t>
                </w:r>
                <w:r w:rsidR="00070568" w:rsidRPr="00C129EA">
                  <w:t>eview (IQR)</w:t>
                </w:r>
              </w:p>
            </w:tc>
            <w:tc>
              <w:tcPr>
                <w:tcW w:w="6060" w:type="dxa"/>
              </w:tcPr>
              <w:p w:rsidR="006F38AC" w:rsidRPr="00C129EA" w:rsidRDefault="006F38AC" w:rsidP="00F84596">
                <w:pPr>
                  <w:spacing w:after="0" w:line="240" w:lineRule="auto"/>
                </w:pPr>
                <w:r w:rsidRPr="00C129EA">
                  <w:t>Review IQR criteria and ensure that questions relate to examining diversity in curricula where relevant.</w:t>
                </w:r>
              </w:p>
              <w:p w:rsidR="006F38AC" w:rsidRPr="00C129EA" w:rsidRDefault="006F38AC" w:rsidP="00F84596">
                <w:pPr>
                  <w:spacing w:after="0" w:line="240" w:lineRule="auto"/>
                </w:pPr>
              </w:p>
              <w:p w:rsidR="006F38AC" w:rsidRPr="00C129EA" w:rsidRDefault="006F38AC" w:rsidP="00F84596">
                <w:pPr>
                  <w:spacing w:after="0" w:line="240" w:lineRule="auto"/>
                </w:pPr>
                <w:r w:rsidRPr="00C129EA">
                  <w:t>Review questions relating to BME student recruitment, attainment and retention.</w:t>
                </w:r>
              </w:p>
            </w:tc>
            <w:tc>
              <w:tcPr>
                <w:tcW w:w="2268" w:type="dxa"/>
              </w:tcPr>
              <w:p w:rsidR="006F38AC" w:rsidRPr="00C129EA" w:rsidRDefault="006F38AC" w:rsidP="00F84596">
                <w:pPr>
                  <w:spacing w:after="0" w:line="240" w:lineRule="auto"/>
                </w:pPr>
                <w:r w:rsidRPr="00C129EA">
                  <w:t>IQR Panel</w:t>
                </w:r>
              </w:p>
              <w:p w:rsidR="006F38AC" w:rsidRPr="00C129EA" w:rsidRDefault="006F38AC" w:rsidP="00F84596">
                <w:pPr>
                  <w:spacing w:after="0" w:line="240" w:lineRule="auto"/>
                </w:pPr>
              </w:p>
              <w:p w:rsidR="006F38AC" w:rsidRPr="00C129EA" w:rsidRDefault="006F38AC" w:rsidP="00F84596">
                <w:pPr>
                  <w:spacing w:after="0" w:line="240" w:lineRule="auto"/>
                </w:pPr>
              </w:p>
              <w:p w:rsidR="006F38AC" w:rsidRPr="00C129EA" w:rsidRDefault="006F38AC" w:rsidP="00F84596">
                <w:pPr>
                  <w:spacing w:after="0" w:line="240" w:lineRule="auto"/>
                </w:pPr>
                <w:r w:rsidRPr="00C129EA">
                  <w:t>Registrar</w:t>
                </w:r>
              </w:p>
              <w:p w:rsidR="006F38AC" w:rsidRPr="00C129EA" w:rsidRDefault="006F38AC" w:rsidP="00F84596">
                <w:pPr>
                  <w:spacing w:after="0" w:line="240" w:lineRule="auto"/>
                </w:pPr>
                <w:r w:rsidRPr="00C129EA">
                  <w:t>Head of Academic Services</w:t>
                </w:r>
              </w:p>
            </w:tc>
            <w:tc>
              <w:tcPr>
                <w:tcW w:w="3402" w:type="dxa"/>
              </w:tcPr>
              <w:p w:rsidR="006F38AC" w:rsidRPr="00C129EA" w:rsidRDefault="006F38AC" w:rsidP="00F84596">
                <w:pPr>
                  <w:spacing w:after="0" w:line="240" w:lineRule="auto"/>
                </w:pPr>
                <w:r w:rsidRPr="00C129EA">
                  <w:t>By end of 2015</w:t>
                </w:r>
              </w:p>
            </w:tc>
          </w:tr>
        </w:tbl>
        <w:p w:rsidR="001F72E4" w:rsidRDefault="001F72E4" w:rsidP="006F38AC">
          <w:pPr>
            <w:sectPr w:rsidR="001F72E4" w:rsidSect="00FB33BA">
              <w:pgSz w:w="16838" w:h="11906" w:orient="landscape"/>
              <w:pgMar w:top="720" w:right="720" w:bottom="720" w:left="720" w:header="708" w:footer="708" w:gutter="0"/>
              <w:cols w:space="708"/>
              <w:titlePg/>
              <w:docGrid w:linePitch="360"/>
            </w:sectPr>
          </w:pPr>
        </w:p>
        <w:p w:rsidR="006F38AC" w:rsidRPr="00C129EA" w:rsidRDefault="006F38AC" w:rsidP="006F38AC">
          <w:pPr>
            <w:rPr>
              <w:b/>
            </w:rPr>
          </w:pPr>
          <w:r w:rsidRPr="00C129EA">
            <w:rPr>
              <w:b/>
            </w:rPr>
            <w:lastRenderedPageBreak/>
            <w:t>Future Work</w:t>
          </w:r>
        </w:p>
        <w:p w:rsidR="000964CD" w:rsidRPr="00C129EA" w:rsidRDefault="006F38AC" w:rsidP="001C64E6">
          <w:r w:rsidRPr="00C129EA">
            <w:t xml:space="preserve">This project investigated BME undergraduate student attainment; owing to time constraints we could not investigate postgraduate attainment. </w:t>
          </w:r>
          <w:r w:rsidR="0069647D" w:rsidRPr="00C129EA">
            <w:t>T</w:t>
          </w:r>
          <w:r w:rsidRPr="00C129EA">
            <w:t xml:space="preserve">he data shows substantial differences in the numbers of BME students in certain Faculties at UCL. </w:t>
          </w:r>
          <w:r w:rsidR="00C129EA" w:rsidRPr="00C129EA">
            <w:t xml:space="preserve">Some departments had small numbers of BME </w:t>
          </w:r>
          <w:r w:rsidR="0021161E" w:rsidRPr="00C129EA">
            <w:t>students;</w:t>
          </w:r>
          <w:r w:rsidR="00C129EA" w:rsidRPr="00C129EA">
            <w:t xml:space="preserve"> hence r</w:t>
          </w:r>
          <w:r w:rsidR="00F5282A">
            <w:t>ecruitment of BME</w:t>
          </w:r>
          <w:r w:rsidR="001C64E6">
            <w:t xml:space="preserve"> students</w:t>
          </w:r>
          <w:r w:rsidR="00F5282A">
            <w:t xml:space="preserve"> at UCL </w:t>
          </w:r>
          <w:r w:rsidRPr="00C129EA">
            <w:t xml:space="preserve">requires further investigation. </w:t>
          </w:r>
          <w:r w:rsidR="00F5282A">
            <w:t xml:space="preserve">Further work will also be done to see </w:t>
          </w:r>
          <w:r w:rsidR="00F5282A" w:rsidRPr="00F5282A">
            <w:t xml:space="preserve">whether the gap </w:t>
          </w:r>
          <w:r w:rsidR="00887F5F" w:rsidRPr="00F5282A">
            <w:t>was present</w:t>
          </w:r>
          <w:r w:rsidR="00F5282A" w:rsidRPr="00F5282A">
            <w:t xml:space="preserve"> when BME students entered UCL and </w:t>
          </w:r>
          <w:r w:rsidR="00887F5F" w:rsidRPr="00F5282A">
            <w:t>whether UCL</w:t>
          </w:r>
          <w:r w:rsidR="00F5282A" w:rsidRPr="00F5282A">
            <w:t xml:space="preserve"> has added value  i.e. whether</w:t>
          </w:r>
          <w:r w:rsidR="001C64E6">
            <w:t>,</w:t>
          </w:r>
          <w:r w:rsidR="00F5282A" w:rsidRPr="00F5282A">
            <w:t xml:space="preserve"> as a result of studying at UCL, the attainment gap has widened or narrowed. </w:t>
          </w:r>
        </w:p>
        <w:p w:rsidR="00887F5F" w:rsidRDefault="006F38AC" w:rsidP="00887F5F">
          <w:r w:rsidRPr="00C129EA">
            <w:t>Retention rates and progression of BME students to postgraduate qualifications are key to nurturing involvement in academia and increasing the numbers of BME professors. The UCL President and Provost, Michael Arthur, is chairing a working group to prepare UCL’s application for the Race Equality Charter Mark (</w:t>
          </w:r>
          <w:hyperlink r:id="rId11" w:history="1">
            <w:r w:rsidR="00887F5F" w:rsidRPr="00C129EA">
              <w:rPr>
                <w:rStyle w:val="Hyperlink"/>
                <w:rFonts w:cs="Arial"/>
              </w:rPr>
              <w:t>http://www.ecu.ac.uk/our-projects/race-equality-charter-mark</w:t>
            </w:r>
          </w:hyperlink>
          <w:r w:rsidRPr="00C129EA">
            <w:t xml:space="preserve">). Many of the actions in Table 1 compliment work required to achieve this award. </w:t>
          </w:r>
        </w:p>
        <w:p w:rsidR="006F38AC" w:rsidRDefault="006F38AC" w:rsidP="00887F5F">
          <w:r w:rsidRPr="00C129EA">
            <w:t xml:space="preserve">The current study was funded by CALT. </w:t>
          </w:r>
        </w:p>
        <w:p w:rsidR="00F5282A" w:rsidRDefault="00F5282A" w:rsidP="006F38AC"/>
        <w:p w:rsidR="00F5282A" w:rsidRPr="00C129EA" w:rsidRDefault="00F5282A" w:rsidP="006F38AC"/>
        <w:p w:rsidR="00C129EA" w:rsidRPr="000D07B2" w:rsidRDefault="00C129EA" w:rsidP="006F38AC">
          <w:pPr>
            <w:rPr>
              <w:rFonts w:asciiTheme="minorHAnsi" w:hAnsiTheme="minorHAnsi"/>
            </w:rPr>
          </w:pPr>
        </w:p>
        <w:p w:rsidR="00193812" w:rsidRDefault="00193812">
          <w:pPr>
            <w:spacing w:after="0" w:line="240" w:lineRule="auto"/>
          </w:pPr>
          <w:r>
            <w:br w:type="page"/>
          </w:r>
        </w:p>
        <w:p w:rsidR="00193812" w:rsidRPr="00193812" w:rsidRDefault="00193812" w:rsidP="00193812">
          <w:pPr>
            <w:jc w:val="center"/>
            <w:rPr>
              <w:b/>
              <w:sz w:val="36"/>
              <w:szCs w:val="36"/>
            </w:rPr>
          </w:pPr>
          <w:r w:rsidRPr="00193812">
            <w:rPr>
              <w:b/>
              <w:sz w:val="36"/>
              <w:szCs w:val="36"/>
            </w:rPr>
            <w:lastRenderedPageBreak/>
            <w:t>Appendices</w:t>
          </w:r>
        </w:p>
        <w:p w:rsidR="00193812" w:rsidRDefault="00193812" w:rsidP="006F38AC"/>
        <w:p w:rsidR="006F38AC" w:rsidRPr="00C129EA" w:rsidRDefault="006F38AC" w:rsidP="006F38AC">
          <w:r w:rsidRPr="00C129EA">
            <w:t xml:space="preserve"> A</w:t>
          </w:r>
          <w:r w:rsidR="0021161E">
            <w:t>ppendix A</w:t>
          </w:r>
        </w:p>
        <w:p w:rsidR="00C129EA" w:rsidRPr="00C129EA" w:rsidRDefault="00C129EA" w:rsidP="00C129EA">
          <w:r w:rsidRPr="00C129EA">
            <w:t xml:space="preserve">Summary of the literature review </w:t>
          </w:r>
          <w:r w:rsidRPr="00C129EA" w:rsidDel="00F84596">
            <w:t xml:space="preserve"> </w:t>
          </w:r>
        </w:p>
        <w:p w:rsidR="00C129EA" w:rsidRPr="00C129EA" w:rsidRDefault="00C129EA" w:rsidP="006F38AC">
          <w:r w:rsidRPr="00C129EA">
            <w:t xml:space="preserve"> </w:t>
          </w:r>
          <w:r w:rsidR="0021161E">
            <w:t xml:space="preserve">Appendix </w:t>
          </w:r>
          <w:r w:rsidRPr="00C129EA">
            <w:t>B</w:t>
          </w:r>
        </w:p>
        <w:p w:rsidR="006F38AC" w:rsidRPr="00C129EA" w:rsidRDefault="00193812" w:rsidP="006F38AC">
          <w:r>
            <w:t>S</w:t>
          </w:r>
          <w:r w:rsidR="006F38AC" w:rsidRPr="00C129EA">
            <w:t>ummary of quantitative data analysis</w:t>
          </w:r>
        </w:p>
        <w:p w:rsidR="006F38AC" w:rsidRPr="000D07B2" w:rsidRDefault="006F38AC" w:rsidP="006F38AC">
          <w:pPr>
            <w:rPr>
              <w:rFonts w:asciiTheme="minorHAnsi" w:hAnsiTheme="minorHAnsi"/>
            </w:rPr>
          </w:pPr>
        </w:p>
        <w:p w:rsidR="0062606F" w:rsidRPr="00193812" w:rsidRDefault="00681440" w:rsidP="00193812">
          <w:pPr>
            <w:rPr>
              <w:b/>
              <w:sz w:val="32"/>
              <w:szCs w:val="32"/>
            </w:rPr>
            <w:sectPr w:rsidR="0062606F" w:rsidRPr="00193812" w:rsidSect="001F72E4">
              <w:headerReference w:type="default" r:id="rId12"/>
              <w:headerReference w:type="first" r:id="rId13"/>
              <w:pgSz w:w="11906" w:h="16838"/>
              <w:pgMar w:top="720" w:right="720" w:bottom="720" w:left="720" w:header="708" w:footer="708" w:gutter="0"/>
              <w:cols w:space="708"/>
              <w:titlePg/>
              <w:docGrid w:linePitch="360"/>
            </w:sectPr>
          </w:pPr>
        </w:p>
      </w:sdtContent>
    </w:sdt>
    <w:p w:rsidR="004A202D" w:rsidRPr="00844BDC" w:rsidRDefault="00193812" w:rsidP="00193812">
      <w:pPr>
        <w:jc w:val="center"/>
        <w:rPr>
          <w:b/>
          <w:sz w:val="36"/>
          <w:szCs w:val="36"/>
        </w:rPr>
      </w:pPr>
      <w:r>
        <w:rPr>
          <w:b/>
          <w:sz w:val="36"/>
          <w:szCs w:val="36"/>
        </w:rPr>
        <w:lastRenderedPageBreak/>
        <w:t xml:space="preserve"> A</w:t>
      </w:r>
      <w:r w:rsidR="0021161E">
        <w:rPr>
          <w:b/>
          <w:sz w:val="36"/>
          <w:szCs w:val="36"/>
        </w:rPr>
        <w:t>ppendix A</w:t>
      </w:r>
    </w:p>
    <w:p w:rsidR="001C64E6" w:rsidRDefault="001C64E6" w:rsidP="001C64E6">
      <w:pPr>
        <w:rPr>
          <w:b/>
          <w:sz w:val="24"/>
          <w:szCs w:val="24"/>
        </w:rPr>
      </w:pPr>
      <w:r w:rsidRPr="00D57A4E">
        <w:rPr>
          <w:b/>
          <w:sz w:val="24"/>
          <w:szCs w:val="24"/>
        </w:rPr>
        <w:t>The Attainment</w:t>
      </w:r>
      <w:r>
        <w:rPr>
          <w:b/>
          <w:sz w:val="24"/>
          <w:szCs w:val="24"/>
        </w:rPr>
        <w:t xml:space="preserve"> of Black and Minority Ethnic Undergraduates at UK Universities: A Summary of the Evidence</w:t>
      </w:r>
    </w:p>
    <w:p w:rsidR="001C64E6" w:rsidRDefault="001C64E6" w:rsidP="001C64E6">
      <w:r>
        <w:t xml:space="preserve">This short piece summarises the findings of Jones (2014) on the UK’s BME attainment gap: the tendency for Black and Minority Ethnic undergraduates to underperform their White peers. The overall gap is dramatic, but there is significant variation both by particular ethnicity and by educational establishment. The reasons for the gap are complex, but even when controlling for all available variables BME students remain at a disadvantage. This suggests that part of the gap may be mediated by ethnicity </w:t>
      </w:r>
      <w:r w:rsidRPr="002F4361">
        <w:rPr>
          <w:i/>
        </w:rPr>
        <w:t>per se</w:t>
      </w:r>
      <w:r>
        <w:t>. The gap might be narrowed using strategies like BME role models, expectation-raising for BME students, and bridge programmes to ease the transition to university.</w:t>
      </w:r>
    </w:p>
    <w:p w:rsidR="001C64E6" w:rsidRPr="0015546D" w:rsidRDefault="001C64E6" w:rsidP="001C64E6"/>
    <w:p w:rsidR="001C64E6" w:rsidRPr="007C738B" w:rsidRDefault="001C64E6" w:rsidP="001C64E6">
      <w:pPr>
        <w:rPr>
          <w:i/>
        </w:rPr>
      </w:pPr>
      <w:r>
        <w:rPr>
          <w:i/>
        </w:rPr>
        <w:t>What is the Gap?</w:t>
      </w:r>
    </w:p>
    <w:p w:rsidR="001C64E6" w:rsidRPr="002B55B7" w:rsidRDefault="001C64E6" w:rsidP="001C64E6">
      <w:pPr>
        <w:rPr>
          <w:u w:val="single"/>
        </w:rPr>
      </w:pPr>
      <w:r>
        <w:t xml:space="preserve">The gap is usually framed in terms of the proportion of students who receive ‘good’ degrees: first or upper second class. By this metric, BME students are consistently less successful than White students. The Equality Challenge Unit (ECU, 2013), analysing Higher Education Statistics Agency (HESA) data for the 2011-12 academic year, </w:t>
      </w:r>
      <w:r w:rsidRPr="00B31E4C">
        <w:t xml:space="preserve">report that </w:t>
      </w:r>
      <w:r w:rsidRPr="002B55B7">
        <w:rPr>
          <w:u w:val="single"/>
        </w:rPr>
        <w:t>71.5% of UK-domiciled White students graduating 2011-2012 did so with a good degree, compared to only 53.8% of BME students.</w:t>
      </w:r>
    </w:p>
    <w:p w:rsidR="001C64E6" w:rsidRDefault="001C64E6" w:rsidP="001C64E6">
      <w:r>
        <w:t>Every BME ethnic category recognised by the HESA underperformed White students. This has been the case since 2003-2004, the earliest year listed in the ECU report. However, the gap is not equal for all ethnicities: in 2011-12 62.7% of students deemed ‘Chinese’ received good degrees, whereas the figure for ‘Black: African’ students was only 42.5% (ECU, 2013). Thus it is crucial to be wary of overgeneralisations about BME students. The category BME covers hugely diverse communities. Though this diversity is masked by the language and the modes of analysis often used for the attainment gap (which tend to treat BME students as a homogeneous group), it is important to remember that the causes of and solutions to the gap may not be the same for all BME groups.</w:t>
      </w:r>
    </w:p>
    <w:p w:rsidR="001C64E6" w:rsidRDefault="001C64E6" w:rsidP="001C64E6">
      <w:r>
        <w:t>The size of the gap also varies between institutions. Richardson (2013) presents evidence that the gap is smaller at Russell Group institutions than at post-1992 universities, even though the latter take a far higher proportion of BME students.</w:t>
      </w:r>
    </w:p>
    <w:p w:rsidR="001C64E6" w:rsidRDefault="001C64E6" w:rsidP="001C64E6">
      <w:pPr>
        <w:rPr>
          <w:i/>
        </w:rPr>
      </w:pPr>
    </w:p>
    <w:p w:rsidR="001C64E6" w:rsidRDefault="001C64E6" w:rsidP="001C64E6">
      <w:pPr>
        <w:rPr>
          <w:i/>
        </w:rPr>
      </w:pPr>
      <w:r>
        <w:rPr>
          <w:i/>
        </w:rPr>
        <w:t>Why is there a Gap?</w:t>
      </w:r>
    </w:p>
    <w:p w:rsidR="001C64E6" w:rsidRDefault="001C64E6" w:rsidP="00737F06">
      <w:r>
        <w:t>Ethnicity is confounded with other factors that affect university attainment. Broecke and Nicholls (2007) examined information culled from 2004-5 HESA data on 65,000 UK undergraduates to attempt to determine whether the gap merely reflects confounds that correlate with ethnicity. They built a statistical model that first took into account all other available variables (including deprivation, previous academic attainment, age, gender, subject of study, disability, and subject area), and then asked whether ethnicity remains a predictor of degree class even after these other variables are factored in. They found that though the extra variables explain most of the ethnic variability in degree class, there remains a residual gap: i.e. even controlling for SES, school grades etc., BME students underperform White students.</w:t>
      </w:r>
    </w:p>
    <w:p w:rsidR="001C64E6" w:rsidRDefault="001C64E6" w:rsidP="001C64E6">
      <w:r>
        <w:t xml:space="preserve">This finding has been corroborated by the </w:t>
      </w:r>
      <w:r w:rsidRPr="009B385F">
        <w:t>Equality Challenge Unit &amp; Higher Education Academy</w:t>
      </w:r>
      <w:r w:rsidRPr="00D4682A">
        <w:rPr>
          <w:i/>
        </w:rPr>
        <w:t xml:space="preserve"> </w:t>
      </w:r>
      <w:r>
        <w:t xml:space="preserve">(2008); by Woolf, McManus, Potts, and Dacre (2011) in a study focusing on UCL medical students (psychological factors and study habits were also taken into account in this paper); and more recently by the </w:t>
      </w:r>
      <w:r w:rsidRPr="009B385F">
        <w:t>Higher Education Funding Council for England</w:t>
      </w:r>
      <w:r>
        <w:rPr>
          <w:i/>
        </w:rPr>
        <w:t xml:space="preserve"> </w:t>
      </w:r>
      <w:r>
        <w:t>(2014</w:t>
      </w:r>
      <w:r w:rsidRPr="00C87096">
        <w:t>)</w:t>
      </w:r>
      <w:r>
        <w:t xml:space="preserve">. The latter found that among those </w:t>
      </w:r>
      <w:r>
        <w:lastRenderedPageBreak/>
        <w:t>entering higher education in 2007-8, 72% of White students with BBB A-levels gained a good degree compared to 56% of Asian students and 53% of Black students with the same A-level grades.</w:t>
      </w:r>
    </w:p>
    <w:p w:rsidR="001C64E6" w:rsidRDefault="001C64E6" w:rsidP="001C64E6">
      <w:r>
        <w:t>Broecke and Nicholls point out that though their finding is consistent with ethnic bias in UK higher education, it does not prove that bias exists. Unavailable variables (e.g. English as a second language) might explain the remaining attainment gap. However, that the gap persists after a range of factors have been taken into account implies is that it is not tenable for universities to blame the gap on bad schooling, student inadequacy, or any other single factor cleanly outside their control.</w:t>
      </w:r>
    </w:p>
    <w:p w:rsidR="001C64E6" w:rsidRDefault="001C64E6" w:rsidP="001C64E6">
      <w:r>
        <w:t xml:space="preserve">What then explains the residual gap? We don’t know for certain – rigorous research is scarce (Richardson, 2013). However, there is evidence for several possibilities. Appreciable minorities of the BME student body report that they find their learning environment ‘cliquey’, ‘hostile’, or (less commonly) ‘racist’; or that their courses fail to reflect issues of ‘diversity, equality, and discrimination’ (National Union of Students, 2011). For cultural reasons, BME students may be subject to family or community obligations that their White peers don’t have to contend with (Stevenson, 2012). Additionally, </w:t>
      </w:r>
      <w:r>
        <w:rPr>
          <w:i/>
        </w:rPr>
        <w:t>stereotype threat</w:t>
      </w:r>
      <w:r>
        <w:t xml:space="preserve"> - whereby a person’s awareness of an unfair stereotype to which he/she might be subject creates anxiety that can, perversely, impair performance so as to fulfil that stereotype - has been shown to be a factor in African Americans’ disadvantage in academic tests (Steele &amp; Aronson, 1995), and ma</w:t>
      </w:r>
      <w:r w:rsidR="001817A4">
        <w:t xml:space="preserve">y also have an effect in the </w:t>
      </w:r>
      <w:r>
        <w:t>UK.</w:t>
      </w:r>
    </w:p>
    <w:p w:rsidR="001C64E6" w:rsidRDefault="001C64E6" w:rsidP="001C64E6"/>
    <w:p w:rsidR="001C64E6" w:rsidRDefault="001C64E6" w:rsidP="001C64E6">
      <w:pPr>
        <w:rPr>
          <w:i/>
        </w:rPr>
      </w:pPr>
      <w:r>
        <w:rPr>
          <w:i/>
        </w:rPr>
        <w:t>How Can the Attainment Gap be Closed?</w:t>
      </w:r>
    </w:p>
    <w:p w:rsidR="001C64E6" w:rsidRDefault="001C64E6" w:rsidP="001C64E6">
      <w:r>
        <w:t>Interventions tackling both the SES-mediated gap and the ethnicity-mediated gap would be crucial in closing the overall gap. The former has been successfully attacked in the US using strategies that help make up the educational deficit suffered by many low SES students before university (Stevenson &amp; Whelan, 2013). These include partnering with schools, implementing first-year transition programmes, enhancing introductory teaching, establishing early-warning systems to detect struggling students, and providing counselling and tutoring for study skills.</w:t>
      </w:r>
    </w:p>
    <w:p w:rsidR="001C64E6" w:rsidRDefault="001C64E6" w:rsidP="00A001B1">
      <w:r>
        <w:t>A number of changes have been suggested to help close the ethnicity-specific gap. Berry &amp; Loke (2011) attest the importance of visible BME mentors, and Craig, Hall, &amp; Peat (2010) the importance of fostering high expectations of BME students. Singh (2011) emphasises the need to move away from curricula taught by White people from a White point of view towards a more inclusive syllabus. These reforms might also help dismantle the negative assumptions underlying stereotype threat.</w:t>
      </w:r>
      <w:r w:rsidR="00737F06">
        <w:t xml:space="preserve"> Interventions designed to help BME students deal with psychological threat have been shown to be effective in</w:t>
      </w:r>
      <w:r w:rsidR="00E97787">
        <w:t xml:space="preserve"> Cohen’s work; in one </w:t>
      </w:r>
      <w:r w:rsidR="00A001B1">
        <w:t>study negative</w:t>
      </w:r>
      <w:r w:rsidR="00E97787">
        <w:t xml:space="preserve"> stereotypes </w:t>
      </w:r>
      <w:r w:rsidR="00A001B1">
        <w:t xml:space="preserve">were confronted </w:t>
      </w:r>
      <w:r w:rsidR="00E97787">
        <w:t>through a ‘self-affirming’ writing assignment. BME students</w:t>
      </w:r>
      <w:r w:rsidR="00A001B1">
        <w:t xml:space="preserve">’ grades significantly improved after the intervention and the attainment gap was reduced by 40% (Cohen et al, 2006), attesting to the power of ‘belonging’ interventions. </w:t>
      </w:r>
      <w:r w:rsidR="00E97787">
        <w:t xml:space="preserve"> </w:t>
      </w:r>
    </w:p>
    <w:p w:rsidR="001C64E6" w:rsidRDefault="001C64E6" w:rsidP="001C64E6">
      <w:r w:rsidRPr="00981A98">
        <w:rPr>
          <w:b/>
        </w:rPr>
        <w:t>In conclusion</w:t>
      </w:r>
      <w:r>
        <w:t>, the attainment gap represents a serious problem for UK higher education. Addressing it is not only a moral imperative, but a chance to make universities more attractive to BME students from the UK and around the world. UCL has the opportunity to determine the extent to which it suffers from a gap, and to then pioneer interventions to close any gap that is found.</w:t>
      </w:r>
    </w:p>
    <w:p w:rsidR="001C64E6" w:rsidRDefault="001C64E6" w:rsidP="001C64E6">
      <w:pPr>
        <w:rPr>
          <w:b/>
        </w:rPr>
      </w:pPr>
    </w:p>
    <w:p w:rsidR="001C64E6" w:rsidRDefault="001C64E6" w:rsidP="001C64E6">
      <w:pPr>
        <w:rPr>
          <w:b/>
        </w:rPr>
      </w:pPr>
      <w:r>
        <w:rPr>
          <w:b/>
        </w:rPr>
        <w:t>References</w:t>
      </w:r>
    </w:p>
    <w:p w:rsidR="001C64E6" w:rsidRDefault="001C64E6" w:rsidP="001C64E6">
      <w:r w:rsidRPr="00D4682A">
        <w:t xml:space="preserve">Berry, J., &amp; Loke, G. (2011). Improving the degree attainment of Black and minority ethnic students. </w:t>
      </w:r>
      <w:r w:rsidRPr="00D4682A">
        <w:rPr>
          <w:i/>
        </w:rPr>
        <w:t>Higher Education Academy &amp; Equality Challenge Unit Think Piece.</w:t>
      </w:r>
      <w:r w:rsidRPr="00D4682A">
        <w:t xml:space="preserve"> Available at: </w:t>
      </w:r>
      <w:hyperlink r:id="rId14" w:history="1">
        <w:r w:rsidRPr="00D4682A">
          <w:rPr>
            <w:rStyle w:val="Hyperlink"/>
          </w:rPr>
          <w:t>http://www.heacademy.ac.uk/resources/detail/inclusion/Ethnicity/BMEProgramme_FinalReport</w:t>
        </w:r>
      </w:hyperlink>
      <w:r w:rsidRPr="00D4682A">
        <w:t xml:space="preserve"> (06/05/2014).</w:t>
      </w:r>
    </w:p>
    <w:p w:rsidR="001C64E6" w:rsidRDefault="001C64E6" w:rsidP="001C64E6">
      <w:r w:rsidRPr="00D4682A">
        <w:lastRenderedPageBreak/>
        <w:t xml:space="preserve">Broecke, S., &amp; Nicholls, T. (2007). Ethnicity and Degree Attainment. </w:t>
      </w:r>
      <w:r w:rsidRPr="00D4682A">
        <w:rPr>
          <w:i/>
        </w:rPr>
        <w:t>Department for Education and Skills Research Report.</w:t>
      </w:r>
      <w:r w:rsidRPr="00D4682A">
        <w:t xml:space="preserve"> Available at: </w:t>
      </w:r>
      <w:hyperlink r:id="rId15" w:history="1">
        <w:r w:rsidRPr="00D4682A">
          <w:rPr>
            <w:rStyle w:val="Hyperlink"/>
          </w:rPr>
          <w:t>http://webarchive.nationalarchives.gov.uk/20070205131818/http://www.dfes.gov.uk/research/programmeofresearch/projectinformation.cfm?projectId=15132&amp;type=5&amp;resultspage=1</w:t>
        </w:r>
      </w:hyperlink>
      <w:r w:rsidRPr="00D4682A">
        <w:t xml:space="preserve"> (06/05/2014).</w:t>
      </w:r>
    </w:p>
    <w:p w:rsidR="00E97787" w:rsidRDefault="00E97787" w:rsidP="00E97787">
      <w:r>
        <w:rPr>
          <w:lang w:val="en"/>
        </w:rPr>
        <w:t xml:space="preserve">Cohen, G.L., Garcia, J., Apfel, N., and Master, A. (2006) </w:t>
      </w:r>
      <w:r w:rsidRPr="00E97787">
        <w:rPr>
          <w:lang w:val="en"/>
        </w:rPr>
        <w:t>Reducing the Racial Achievement Gap: A Social-Psychological Intervention</w:t>
      </w:r>
      <w:r>
        <w:rPr>
          <w:lang w:val="en"/>
        </w:rPr>
        <w:t xml:space="preserve">. </w:t>
      </w:r>
      <w:r w:rsidRPr="00E97787">
        <w:rPr>
          <w:i/>
          <w:iCs/>
          <w:lang w:val="en"/>
        </w:rPr>
        <w:t>Science</w:t>
      </w:r>
      <w:r w:rsidR="00A001B1">
        <w:rPr>
          <w:lang w:val="en"/>
        </w:rPr>
        <w:t xml:space="preserve">, </w:t>
      </w:r>
      <w:r w:rsidRPr="00E97787">
        <w:rPr>
          <w:lang w:val="en"/>
        </w:rPr>
        <w:t xml:space="preserve"> September 2006: </w:t>
      </w:r>
      <w:r w:rsidRPr="00E97787">
        <w:rPr>
          <w:b/>
          <w:bCs/>
          <w:lang w:val="en"/>
        </w:rPr>
        <w:t xml:space="preserve">313 </w:t>
      </w:r>
      <w:r w:rsidRPr="00E97787">
        <w:rPr>
          <w:lang w:val="en"/>
        </w:rPr>
        <w:t>(5791), 1307-1310.</w:t>
      </w:r>
      <w:r w:rsidRPr="00E97787">
        <w:t xml:space="preserve"> </w:t>
      </w:r>
    </w:p>
    <w:p w:rsidR="001C64E6" w:rsidRDefault="001C64E6" w:rsidP="00E97787">
      <w:r w:rsidRPr="00D4682A">
        <w:t xml:space="preserve">Craig, S., Hall, J., Peat, J. (2010). Journeys to Success – an investigation of the factors which impact positively on the academic attainment of Black and minority ethnic students at Roehampton University. </w:t>
      </w:r>
      <w:r w:rsidRPr="00D4682A">
        <w:rPr>
          <w:i/>
        </w:rPr>
        <w:t>Higher Education Academy Report.</w:t>
      </w:r>
      <w:r w:rsidRPr="00D4682A">
        <w:t xml:space="preserve"> Available at: </w:t>
      </w:r>
      <w:hyperlink r:id="rId16" w:history="1">
        <w:r w:rsidRPr="00D4682A">
          <w:rPr>
            <w:rStyle w:val="Hyperlink"/>
          </w:rPr>
          <w:t>http://www.heacademy.ac.uk/resources/detail/Roehamptonethnicitysummit</w:t>
        </w:r>
      </w:hyperlink>
      <w:r w:rsidRPr="00D4682A">
        <w:t xml:space="preserve"> (06/05/2014).</w:t>
      </w:r>
    </w:p>
    <w:p w:rsidR="001C64E6" w:rsidRDefault="001C64E6" w:rsidP="001C64E6">
      <w:r w:rsidRPr="009B385F">
        <w:t>Equality Challenge Unit</w:t>
      </w:r>
      <w:r w:rsidRPr="00D4682A">
        <w:rPr>
          <w:i/>
        </w:rPr>
        <w:t xml:space="preserve"> </w:t>
      </w:r>
      <w:r>
        <w:t>(2013)</w:t>
      </w:r>
      <w:r w:rsidRPr="00D4682A">
        <w:rPr>
          <w:i/>
        </w:rPr>
        <w:t>.</w:t>
      </w:r>
      <w:r w:rsidRPr="00D4682A">
        <w:t xml:space="preserve"> </w:t>
      </w:r>
      <w:r w:rsidRPr="009B385F">
        <w:rPr>
          <w:i/>
        </w:rPr>
        <w:t>Statistical Report: Equality in Higher Education</w:t>
      </w:r>
      <w:r>
        <w:t>.</w:t>
      </w:r>
      <w:r w:rsidRPr="00D4682A">
        <w:t xml:space="preserve"> Available from: </w:t>
      </w:r>
      <w:hyperlink r:id="rId17" w:history="1">
        <w:r w:rsidRPr="00D4682A">
          <w:rPr>
            <w:rStyle w:val="Hyperlink"/>
          </w:rPr>
          <w:t>http://www.ecu.ac.uk/publications/equality-in-higher-education-statistical-report-2013</w:t>
        </w:r>
      </w:hyperlink>
      <w:r w:rsidRPr="00D4682A">
        <w:t xml:space="preserve"> (06/05/2014).</w:t>
      </w:r>
    </w:p>
    <w:p w:rsidR="001C64E6" w:rsidRDefault="001C64E6" w:rsidP="001C64E6">
      <w:r w:rsidRPr="009B385F">
        <w:t>Equality Challenge Unit &amp; Higher Education Academy</w:t>
      </w:r>
      <w:r w:rsidRPr="00D4682A">
        <w:rPr>
          <w:i/>
        </w:rPr>
        <w:t xml:space="preserve"> </w:t>
      </w:r>
      <w:r>
        <w:t xml:space="preserve">(2008). </w:t>
      </w:r>
      <w:r w:rsidRPr="009B385F">
        <w:rPr>
          <w:i/>
        </w:rPr>
        <w:t>Ethnicity, Gender, and Degree Attainment Project – Final Report.</w:t>
      </w:r>
      <w:r w:rsidRPr="00D4682A">
        <w:t xml:space="preserve"> Available from: </w:t>
      </w:r>
      <w:hyperlink r:id="rId18" w:history="1">
        <w:r w:rsidRPr="00D4682A">
          <w:rPr>
            <w:rStyle w:val="Hyperlink"/>
          </w:rPr>
          <w:t>http://www.heacademy.ac.uk/projects/detail/inclusion/Ethnicity_Degree_Attainment_project</w:t>
        </w:r>
      </w:hyperlink>
      <w:r w:rsidRPr="00D4682A">
        <w:t xml:space="preserve"> (06/05/2014).</w:t>
      </w:r>
    </w:p>
    <w:p w:rsidR="001C64E6" w:rsidRDefault="001C64E6" w:rsidP="001C64E6">
      <w:r w:rsidRPr="009B385F">
        <w:t>Higher Education Funding Council for England</w:t>
      </w:r>
      <w:r>
        <w:rPr>
          <w:i/>
        </w:rPr>
        <w:t xml:space="preserve"> </w:t>
      </w:r>
      <w:r>
        <w:t>(2014</w:t>
      </w:r>
      <w:r w:rsidRPr="00C87096">
        <w:t>).</w:t>
      </w:r>
      <w:r w:rsidRPr="009B385F">
        <w:rPr>
          <w:i/>
        </w:rPr>
        <w:t xml:space="preserve"> Issues paper: Differences in degree outcomes: key findings</w:t>
      </w:r>
      <w:r>
        <w:t>.</w:t>
      </w:r>
      <w:r w:rsidRPr="00D4682A">
        <w:t xml:space="preserve"> Available at: </w:t>
      </w:r>
      <w:hyperlink r:id="rId19" w:history="1">
        <w:r w:rsidRPr="00D4682A">
          <w:rPr>
            <w:rStyle w:val="Hyperlink"/>
          </w:rPr>
          <w:t>http://www.hefce.ac.uk/media/hefce/content/pubs/2014/201403/HEFCE2014_03.pdf</w:t>
        </w:r>
      </w:hyperlink>
      <w:r w:rsidRPr="00D4682A">
        <w:t xml:space="preserve"> (06/05/2014).</w:t>
      </w:r>
    </w:p>
    <w:p w:rsidR="001C64E6" w:rsidRPr="001C49A0" w:rsidRDefault="001C64E6" w:rsidP="001C64E6">
      <w:r>
        <w:t xml:space="preserve">Jones, J. M. (2014). The attainment of Black and Minority Ethnic students in UK higher education: A review of the literature. Annex B of </w:t>
      </w:r>
      <w:r w:rsidRPr="001C49A0">
        <w:rPr>
          <w:i/>
        </w:rPr>
        <w:t xml:space="preserve">Black and </w:t>
      </w:r>
      <w:r>
        <w:rPr>
          <w:i/>
        </w:rPr>
        <w:t>Minority Ethnic Student Attainment at UCL</w:t>
      </w:r>
      <w:r>
        <w:t xml:space="preserve"> (a University College London internal report).</w:t>
      </w:r>
    </w:p>
    <w:p w:rsidR="001C64E6" w:rsidRPr="00D4682A" w:rsidRDefault="001C64E6" w:rsidP="001C64E6">
      <w:r w:rsidRPr="00BE035D">
        <w:t>National Union of Students</w:t>
      </w:r>
      <w:r>
        <w:t xml:space="preserve"> (2011)</w:t>
      </w:r>
      <w:r w:rsidRPr="00BE035D">
        <w:t xml:space="preserve">. </w:t>
      </w:r>
      <w:r w:rsidRPr="00BE035D">
        <w:rPr>
          <w:i/>
        </w:rPr>
        <w:t>Race for Equality – A report on the experiences of Black students in higher and further education.</w:t>
      </w:r>
      <w:r>
        <w:t xml:space="preserve"> </w:t>
      </w:r>
      <w:r w:rsidRPr="00D4682A">
        <w:t xml:space="preserve">Available at: </w:t>
      </w:r>
      <w:hyperlink r:id="rId20" w:history="1">
        <w:r w:rsidRPr="00D4682A">
          <w:rPr>
            <w:rStyle w:val="Hyperlink"/>
          </w:rPr>
          <w:t>http://www.nus.org.uk/en/news/race-for-equality/</w:t>
        </w:r>
      </w:hyperlink>
      <w:r w:rsidRPr="00D4682A">
        <w:t xml:space="preserve"> (06/05/2014).</w:t>
      </w:r>
    </w:p>
    <w:p w:rsidR="001C64E6" w:rsidRDefault="001C64E6" w:rsidP="001C64E6">
      <w:pPr>
        <w:rPr>
          <w:rStyle w:val="Hyperlink"/>
        </w:rPr>
      </w:pPr>
      <w:r w:rsidRPr="00D4682A">
        <w:t xml:space="preserve">Richardson, J. T. E. (2013). The under-attainment of ethnic minority students in UK higher education: what we know and what we don’t know. </w:t>
      </w:r>
      <w:r w:rsidRPr="00D4682A">
        <w:rPr>
          <w:i/>
        </w:rPr>
        <w:t xml:space="preserve">Journal of Further and Higher Education. </w:t>
      </w:r>
      <w:r w:rsidRPr="00D4682A">
        <w:t xml:space="preserve">Doi: </w:t>
      </w:r>
      <w:hyperlink r:id="rId21" w:history="1">
        <w:r w:rsidRPr="00D4682A">
          <w:rPr>
            <w:rStyle w:val="Hyperlink"/>
          </w:rPr>
          <w:t>http://dx.doi.org/10.1080/0309877X.2013.858680</w:t>
        </w:r>
      </w:hyperlink>
    </w:p>
    <w:p w:rsidR="001C64E6" w:rsidRPr="00DA75EE" w:rsidRDefault="001C64E6" w:rsidP="001C64E6">
      <w:pPr>
        <w:rPr>
          <w:rStyle w:val="Hyperlink"/>
        </w:rPr>
      </w:pPr>
      <w:r w:rsidRPr="00D4682A">
        <w:t xml:space="preserve">Singh, G (2011). Black and minority ethnic (BME) students’ participation in higher education: improving retention and success - A Synthesis of Research Evidence. </w:t>
      </w:r>
      <w:r w:rsidRPr="00D4682A">
        <w:rPr>
          <w:i/>
        </w:rPr>
        <w:t>Higher Education Academy</w:t>
      </w:r>
      <w:r w:rsidRPr="00D4682A">
        <w:t xml:space="preserve">, 1-25000. Available from </w:t>
      </w:r>
      <w:hyperlink r:id="rId22" w:history="1">
        <w:r w:rsidRPr="00D4682A">
          <w:rPr>
            <w:rStyle w:val="Hyperlink"/>
          </w:rPr>
          <w:t>http://bit.ly/zj31rI</w:t>
        </w:r>
      </w:hyperlink>
      <w:r w:rsidRPr="00D4682A">
        <w:t xml:space="preserve"> (06/05/2014).</w:t>
      </w:r>
    </w:p>
    <w:p w:rsidR="001C64E6" w:rsidRPr="003A1DA1" w:rsidRDefault="001C64E6" w:rsidP="001C64E6">
      <w:pPr>
        <w:rPr>
          <w:rStyle w:val="Hyperlink"/>
        </w:rPr>
      </w:pPr>
      <w:r>
        <w:t xml:space="preserve">Steele, C. M., &amp; Aronson, J. (1995). Stereotype threat and the intellectual test performance of African Americans. </w:t>
      </w:r>
      <w:r>
        <w:rPr>
          <w:i/>
        </w:rPr>
        <w:t>Journal of Personality and Social Psychology, 69</w:t>
      </w:r>
      <w:r>
        <w:t>(5), 797-811.</w:t>
      </w:r>
    </w:p>
    <w:p w:rsidR="001C64E6" w:rsidRDefault="001C64E6" w:rsidP="001C64E6">
      <w:r w:rsidRPr="00D4682A">
        <w:t xml:space="preserve">Stevenson, J. (2012). Black and minority ethnic student degree retention and attainment. </w:t>
      </w:r>
      <w:r w:rsidRPr="00D4682A">
        <w:rPr>
          <w:i/>
        </w:rPr>
        <w:t>Higher Education Academy Report.</w:t>
      </w:r>
      <w:r w:rsidRPr="00D4682A">
        <w:t xml:space="preserve"> Available from: </w:t>
      </w:r>
      <w:hyperlink r:id="rId23" w:history="1">
        <w:r w:rsidRPr="00D4682A">
          <w:rPr>
            <w:rStyle w:val="Hyperlink"/>
          </w:rPr>
          <w:t>http://www.heacademy.ac.uk/resources/detail/retention/bme_summit_report</w:t>
        </w:r>
      </w:hyperlink>
      <w:r w:rsidRPr="00D4682A">
        <w:t xml:space="preserve"> (06/05/2014).</w:t>
      </w:r>
    </w:p>
    <w:p w:rsidR="001C64E6" w:rsidRPr="00D4682A" w:rsidRDefault="001C64E6" w:rsidP="001C64E6">
      <w:r w:rsidRPr="00D4682A">
        <w:t xml:space="preserve">Stevenson, J., &amp; Whelan, P. (2013). </w:t>
      </w:r>
      <w:r w:rsidRPr="00D4682A">
        <w:rPr>
          <w:bCs/>
        </w:rPr>
        <w:t xml:space="preserve">Synthesis of US literature relating to the retention, progression, completion and attainment of black and minority ethnic (BME) students in HE. </w:t>
      </w:r>
      <w:r w:rsidRPr="00D4682A">
        <w:rPr>
          <w:bCs/>
          <w:i/>
        </w:rPr>
        <w:t>Higher Education Academy Report.</w:t>
      </w:r>
      <w:r w:rsidRPr="00D4682A">
        <w:rPr>
          <w:bCs/>
        </w:rPr>
        <w:t xml:space="preserve"> Available at: </w:t>
      </w:r>
      <w:hyperlink r:id="rId24" w:history="1">
        <w:r w:rsidRPr="00D4682A">
          <w:rPr>
            <w:rStyle w:val="Hyperlink"/>
            <w:bCs/>
          </w:rPr>
          <w:t>http://www.heacademy.ac.uk/resources/detail/retention/JS_BME_Lit_Syn</w:t>
        </w:r>
      </w:hyperlink>
      <w:r w:rsidRPr="00D4682A">
        <w:rPr>
          <w:bCs/>
        </w:rPr>
        <w:t xml:space="preserve"> (06/05/2014).</w:t>
      </w:r>
    </w:p>
    <w:p w:rsidR="001C64E6" w:rsidRPr="00D4682A" w:rsidRDefault="001C64E6" w:rsidP="001C64E6">
      <w:pPr>
        <w:rPr>
          <w:bCs/>
        </w:rPr>
      </w:pPr>
      <w:r w:rsidRPr="00D4682A">
        <w:t xml:space="preserve">Woolf, K., McManus, I. C., Potts, H. W. W., &amp; Dacre, J. (2011). </w:t>
      </w:r>
      <w:r w:rsidRPr="00D4682A">
        <w:rPr>
          <w:bCs/>
        </w:rPr>
        <w:t xml:space="preserve">The mediators of minority ethnic underperformance in final medical school examinations. </w:t>
      </w:r>
      <w:r w:rsidRPr="00D4682A">
        <w:rPr>
          <w:bCs/>
          <w:i/>
        </w:rPr>
        <w:t>British Journal of Educational Psychology, 83</w:t>
      </w:r>
      <w:r w:rsidRPr="00D4682A">
        <w:rPr>
          <w:bCs/>
        </w:rPr>
        <w:t>, 135-159.</w:t>
      </w:r>
    </w:p>
    <w:p w:rsidR="001C64E6" w:rsidRPr="003A1DA1" w:rsidRDefault="001C64E6" w:rsidP="001C64E6"/>
    <w:p w:rsidR="00193812" w:rsidRDefault="00193812">
      <w:pPr>
        <w:spacing w:after="0" w:line="240" w:lineRule="auto"/>
      </w:pPr>
      <w:r>
        <w:br w:type="page"/>
      </w:r>
    </w:p>
    <w:p w:rsidR="00193812" w:rsidRPr="00193812" w:rsidRDefault="00193812" w:rsidP="0021161E">
      <w:pPr>
        <w:tabs>
          <w:tab w:val="left" w:pos="3542"/>
          <w:tab w:val="center" w:pos="5233"/>
        </w:tabs>
        <w:rPr>
          <w:b/>
          <w:sz w:val="36"/>
          <w:szCs w:val="36"/>
        </w:rPr>
      </w:pPr>
      <w:r>
        <w:rPr>
          <w:b/>
          <w:sz w:val="36"/>
          <w:szCs w:val="36"/>
        </w:rPr>
        <w:lastRenderedPageBreak/>
        <w:tab/>
      </w:r>
      <w:r>
        <w:rPr>
          <w:b/>
          <w:sz w:val="36"/>
          <w:szCs w:val="36"/>
        </w:rPr>
        <w:tab/>
      </w:r>
      <w:r w:rsidR="0021161E">
        <w:rPr>
          <w:b/>
          <w:sz w:val="36"/>
          <w:szCs w:val="36"/>
        </w:rPr>
        <w:t xml:space="preserve">Appendix </w:t>
      </w:r>
      <w:r w:rsidRPr="00193812">
        <w:rPr>
          <w:b/>
          <w:sz w:val="36"/>
          <w:szCs w:val="36"/>
        </w:rPr>
        <w:t>B</w:t>
      </w:r>
    </w:p>
    <w:p w:rsidR="00193812" w:rsidRPr="00193812" w:rsidRDefault="00193812" w:rsidP="00193812">
      <w:pPr>
        <w:rPr>
          <w:b/>
          <w:sz w:val="24"/>
          <w:szCs w:val="24"/>
        </w:rPr>
      </w:pPr>
      <w:r w:rsidRPr="00193812">
        <w:rPr>
          <w:b/>
          <w:sz w:val="24"/>
          <w:szCs w:val="24"/>
        </w:rPr>
        <w:t>Summary of quantitative data analysis</w:t>
      </w:r>
    </w:p>
    <w:p w:rsidR="00C12820" w:rsidRPr="00D83642" w:rsidRDefault="00C12820" w:rsidP="00C12820">
      <w:pPr>
        <w:jc w:val="both"/>
      </w:pPr>
      <w:r w:rsidRPr="00D83642">
        <w:t xml:space="preserve">Results </w:t>
      </w:r>
    </w:p>
    <w:p w:rsidR="00C12820" w:rsidRDefault="00C12820" w:rsidP="00C12820">
      <w:pPr>
        <w:tabs>
          <w:tab w:val="left" w:pos="4822"/>
        </w:tabs>
        <w:spacing w:before="240"/>
      </w:pPr>
      <w:r w:rsidRPr="00C67B2C">
        <w:t xml:space="preserve">The results </w:t>
      </w:r>
      <w:r>
        <w:t xml:space="preserve">below </w:t>
      </w:r>
      <w:r w:rsidRPr="00C67B2C">
        <w:t xml:space="preserve">are based on </w:t>
      </w:r>
      <w:r>
        <w:t xml:space="preserve">a data set of 7149 UCL students from 2011-2013 excluding the faculties of Laws and Medicine. Table 1 below reveals that the largest ethnic group is White across all domicile types, with the second largest ethnic group being Chinese ( the majority being non-EU), and that the third largest ethnic group by quite some margin is South Asian ( the majority being from the UK). </w:t>
      </w:r>
    </w:p>
    <w:p w:rsidR="00C12820" w:rsidRPr="00205AD8" w:rsidRDefault="00C12820" w:rsidP="00C12820">
      <w:r w:rsidRPr="007C2A63">
        <w:t>Table 1</w:t>
      </w:r>
      <w:r w:rsidRPr="00205AD8">
        <w:rPr>
          <w:b/>
        </w:rPr>
        <w:t>:</w:t>
      </w:r>
      <w:r w:rsidRPr="00205AD8">
        <w:t xml:space="preserve"> </w:t>
      </w:r>
      <w:r>
        <w:t xml:space="preserve"> Total </w:t>
      </w:r>
      <w:r w:rsidRPr="00205AD8">
        <w:t>Num</w:t>
      </w:r>
      <w:r>
        <w:t xml:space="preserve">ber of UK, EU and non-EU </w:t>
      </w:r>
      <w:r w:rsidRPr="00205AD8">
        <w:t>students from each ethnic group</w:t>
      </w:r>
      <w:r>
        <w:t xml:space="preserve"> across all three years.</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185"/>
        <w:gridCol w:w="1060"/>
        <w:gridCol w:w="1061"/>
        <w:gridCol w:w="1060"/>
      </w:tblGrid>
      <w:tr w:rsidR="00C12820" w:rsidRPr="00205AD8" w:rsidTr="00CE5760">
        <w:trPr>
          <w:trHeight w:val="303"/>
          <w:jc w:val="center"/>
        </w:trPr>
        <w:tc>
          <w:tcPr>
            <w:tcW w:w="3936" w:type="dxa"/>
            <w:vMerge w:val="restart"/>
            <w:vAlign w:val="center"/>
          </w:tcPr>
          <w:p w:rsidR="00C12820" w:rsidRPr="00E15639" w:rsidRDefault="00C12820" w:rsidP="00CE5760">
            <w:pPr>
              <w:autoSpaceDE w:val="0"/>
              <w:autoSpaceDN w:val="0"/>
              <w:adjustRightInd w:val="0"/>
              <w:rPr>
                <w:lang w:eastAsia="en-GB"/>
              </w:rPr>
            </w:pPr>
            <w:r w:rsidRPr="00E15639">
              <w:rPr>
                <w:lang w:eastAsia="en-GB"/>
              </w:rPr>
              <w:t xml:space="preserve">Ethnicity </w:t>
            </w:r>
          </w:p>
        </w:tc>
        <w:tc>
          <w:tcPr>
            <w:tcW w:w="3306" w:type="dxa"/>
            <w:gridSpan w:val="3"/>
            <w:vAlign w:val="center"/>
          </w:tcPr>
          <w:p w:rsidR="00C12820" w:rsidRPr="00E15639" w:rsidRDefault="00C12820" w:rsidP="00CE5760">
            <w:pPr>
              <w:autoSpaceDE w:val="0"/>
              <w:autoSpaceDN w:val="0"/>
              <w:adjustRightInd w:val="0"/>
              <w:spacing w:after="0" w:line="240" w:lineRule="auto"/>
              <w:rPr>
                <w:lang w:eastAsia="en-GB"/>
              </w:rPr>
            </w:pPr>
            <w:r w:rsidRPr="00E15639">
              <w:rPr>
                <w:lang w:eastAsia="en-GB"/>
              </w:rPr>
              <w:t>Domicile Type</w:t>
            </w:r>
          </w:p>
        </w:tc>
        <w:tc>
          <w:tcPr>
            <w:tcW w:w="1060" w:type="dxa"/>
            <w:vMerge w:val="restart"/>
            <w:vAlign w:val="center"/>
          </w:tcPr>
          <w:p w:rsidR="00C12820" w:rsidRPr="00E15639" w:rsidRDefault="00C12820" w:rsidP="00CE5760">
            <w:pPr>
              <w:autoSpaceDE w:val="0"/>
              <w:autoSpaceDN w:val="0"/>
              <w:adjustRightInd w:val="0"/>
              <w:spacing w:after="0" w:line="240" w:lineRule="auto"/>
              <w:ind w:left="720" w:hanging="720"/>
              <w:rPr>
                <w:lang w:eastAsia="en-GB"/>
              </w:rPr>
            </w:pPr>
            <w:r w:rsidRPr="00E15639">
              <w:rPr>
                <w:lang w:eastAsia="en-GB"/>
              </w:rPr>
              <w:t>Total</w:t>
            </w:r>
          </w:p>
        </w:tc>
      </w:tr>
      <w:tr w:rsidR="00C12820" w:rsidRPr="00205AD8" w:rsidTr="00CE5760">
        <w:trPr>
          <w:trHeight w:val="164"/>
          <w:jc w:val="center"/>
        </w:trPr>
        <w:tc>
          <w:tcPr>
            <w:tcW w:w="3936" w:type="dxa"/>
            <w:vMerge/>
            <w:vAlign w:val="center"/>
          </w:tcPr>
          <w:p w:rsidR="00C12820" w:rsidRPr="00E15639" w:rsidRDefault="00C12820" w:rsidP="00CE5760">
            <w:pPr>
              <w:autoSpaceDE w:val="0"/>
              <w:autoSpaceDN w:val="0"/>
              <w:adjustRightInd w:val="0"/>
              <w:spacing w:after="0" w:line="240" w:lineRule="auto"/>
              <w:rPr>
                <w:lang w:eastAsia="en-GB"/>
              </w:rPr>
            </w:pPr>
          </w:p>
        </w:tc>
        <w:tc>
          <w:tcPr>
            <w:tcW w:w="1185" w:type="dxa"/>
            <w:vAlign w:val="center"/>
          </w:tcPr>
          <w:p w:rsidR="00C12820" w:rsidRPr="00E15639" w:rsidRDefault="00C12820" w:rsidP="00CE5760">
            <w:pPr>
              <w:autoSpaceDE w:val="0"/>
              <w:autoSpaceDN w:val="0"/>
              <w:adjustRightInd w:val="0"/>
              <w:spacing w:after="0" w:line="240" w:lineRule="auto"/>
              <w:rPr>
                <w:lang w:eastAsia="en-GB"/>
              </w:rPr>
            </w:pPr>
            <w:r w:rsidRPr="00E15639">
              <w:rPr>
                <w:lang w:eastAsia="en-GB"/>
              </w:rPr>
              <w:t>UK</w:t>
            </w:r>
          </w:p>
        </w:tc>
        <w:tc>
          <w:tcPr>
            <w:tcW w:w="1060" w:type="dxa"/>
            <w:vAlign w:val="center"/>
          </w:tcPr>
          <w:p w:rsidR="00C12820" w:rsidRPr="00E15639" w:rsidRDefault="00C12820" w:rsidP="00CE5760">
            <w:pPr>
              <w:autoSpaceDE w:val="0"/>
              <w:autoSpaceDN w:val="0"/>
              <w:adjustRightInd w:val="0"/>
              <w:spacing w:after="0" w:line="240" w:lineRule="auto"/>
              <w:rPr>
                <w:lang w:eastAsia="en-GB"/>
              </w:rPr>
            </w:pPr>
            <w:r w:rsidRPr="00E15639">
              <w:rPr>
                <w:lang w:eastAsia="en-GB"/>
              </w:rPr>
              <w:t>EU</w:t>
            </w:r>
          </w:p>
        </w:tc>
        <w:tc>
          <w:tcPr>
            <w:tcW w:w="1061" w:type="dxa"/>
            <w:vAlign w:val="center"/>
          </w:tcPr>
          <w:p w:rsidR="00C12820" w:rsidRPr="00E15639" w:rsidRDefault="00C12820" w:rsidP="00CE5760">
            <w:pPr>
              <w:autoSpaceDE w:val="0"/>
              <w:autoSpaceDN w:val="0"/>
              <w:adjustRightInd w:val="0"/>
              <w:spacing w:after="0" w:line="240" w:lineRule="auto"/>
              <w:rPr>
                <w:lang w:eastAsia="en-GB"/>
              </w:rPr>
            </w:pPr>
            <w:r w:rsidRPr="00E15639">
              <w:rPr>
                <w:lang w:eastAsia="en-GB"/>
              </w:rPr>
              <w:t>Non-EU</w:t>
            </w:r>
          </w:p>
        </w:tc>
        <w:tc>
          <w:tcPr>
            <w:tcW w:w="1060" w:type="dxa"/>
            <w:vMerge/>
            <w:vAlign w:val="center"/>
          </w:tcPr>
          <w:p w:rsidR="00C12820" w:rsidRPr="00205AD8" w:rsidRDefault="00C12820" w:rsidP="00CE5760">
            <w:pPr>
              <w:autoSpaceDE w:val="0"/>
              <w:autoSpaceDN w:val="0"/>
              <w:adjustRightInd w:val="0"/>
              <w:spacing w:after="0" w:line="240" w:lineRule="auto"/>
              <w:rPr>
                <w:lang w:eastAsia="en-GB"/>
              </w:rPr>
            </w:pPr>
          </w:p>
        </w:tc>
      </w:tr>
      <w:tr w:rsidR="00C12820" w:rsidRPr="00205AD8" w:rsidTr="00CE5760">
        <w:trPr>
          <w:trHeight w:val="303"/>
          <w:jc w:val="center"/>
        </w:trPr>
        <w:tc>
          <w:tcPr>
            <w:tcW w:w="3936" w:type="dxa"/>
            <w:vAlign w:val="center"/>
          </w:tcPr>
          <w:p w:rsidR="00C12820" w:rsidRPr="00E15639" w:rsidRDefault="00C12820" w:rsidP="00CE5760">
            <w:pPr>
              <w:autoSpaceDE w:val="0"/>
              <w:autoSpaceDN w:val="0"/>
              <w:adjustRightInd w:val="0"/>
              <w:spacing w:after="0" w:line="240" w:lineRule="auto"/>
              <w:rPr>
                <w:lang w:eastAsia="en-GB"/>
              </w:rPr>
            </w:pPr>
            <w:r w:rsidRPr="00E15639">
              <w:rPr>
                <w:lang w:eastAsia="en-GB"/>
              </w:rPr>
              <w:t>1. White</w:t>
            </w:r>
          </w:p>
        </w:tc>
        <w:tc>
          <w:tcPr>
            <w:tcW w:w="1185" w:type="dxa"/>
            <w:vAlign w:val="center"/>
          </w:tcPr>
          <w:p w:rsidR="00C12820" w:rsidRPr="00205AD8" w:rsidRDefault="00C12820" w:rsidP="00CE5760">
            <w:pPr>
              <w:autoSpaceDE w:val="0"/>
              <w:autoSpaceDN w:val="0"/>
              <w:adjustRightInd w:val="0"/>
              <w:spacing w:after="0" w:line="320" w:lineRule="atLeast"/>
              <w:ind w:left="60" w:right="60"/>
              <w:rPr>
                <w:color w:val="000000"/>
                <w:lang w:eastAsia="en-GB"/>
              </w:rPr>
            </w:pPr>
            <w:r>
              <w:rPr>
                <w:color w:val="000000"/>
                <w:lang w:eastAsia="en-GB"/>
              </w:rPr>
              <w:t>2979</w:t>
            </w:r>
          </w:p>
        </w:tc>
        <w:tc>
          <w:tcPr>
            <w:tcW w:w="1060" w:type="dxa"/>
            <w:vAlign w:val="center"/>
          </w:tcPr>
          <w:p w:rsidR="00C12820" w:rsidRPr="00205AD8" w:rsidRDefault="00C12820" w:rsidP="00CE5760">
            <w:pPr>
              <w:autoSpaceDE w:val="0"/>
              <w:autoSpaceDN w:val="0"/>
              <w:adjustRightInd w:val="0"/>
              <w:spacing w:after="0" w:line="320" w:lineRule="atLeast"/>
              <w:ind w:left="60" w:right="60"/>
              <w:rPr>
                <w:color w:val="000000"/>
                <w:lang w:eastAsia="en-GB"/>
              </w:rPr>
            </w:pPr>
            <w:r>
              <w:rPr>
                <w:color w:val="000000"/>
                <w:lang w:eastAsia="en-GB"/>
              </w:rPr>
              <w:t>615</w:t>
            </w:r>
          </w:p>
        </w:tc>
        <w:tc>
          <w:tcPr>
            <w:tcW w:w="1061" w:type="dxa"/>
            <w:vAlign w:val="center"/>
          </w:tcPr>
          <w:p w:rsidR="00C12820" w:rsidRPr="00205AD8" w:rsidRDefault="00C12820" w:rsidP="00CE5760">
            <w:pPr>
              <w:autoSpaceDE w:val="0"/>
              <w:autoSpaceDN w:val="0"/>
              <w:adjustRightInd w:val="0"/>
              <w:spacing w:after="0" w:line="320" w:lineRule="atLeast"/>
              <w:ind w:left="60" w:right="60"/>
              <w:rPr>
                <w:color w:val="000000"/>
                <w:lang w:eastAsia="en-GB"/>
              </w:rPr>
            </w:pPr>
            <w:r>
              <w:rPr>
                <w:color w:val="000000"/>
                <w:lang w:eastAsia="en-GB"/>
              </w:rPr>
              <w:t>168</w:t>
            </w:r>
          </w:p>
        </w:tc>
        <w:tc>
          <w:tcPr>
            <w:tcW w:w="1060" w:type="dxa"/>
            <w:vAlign w:val="center"/>
          </w:tcPr>
          <w:p w:rsidR="00C12820" w:rsidRPr="00E15639" w:rsidRDefault="00C12820" w:rsidP="00CE5760">
            <w:pPr>
              <w:autoSpaceDE w:val="0"/>
              <w:autoSpaceDN w:val="0"/>
              <w:adjustRightInd w:val="0"/>
              <w:spacing w:after="0" w:line="240" w:lineRule="auto"/>
              <w:rPr>
                <w:lang w:eastAsia="en-GB"/>
              </w:rPr>
            </w:pPr>
            <w:r w:rsidRPr="00E15639">
              <w:rPr>
                <w:lang w:eastAsia="en-GB"/>
              </w:rPr>
              <w:t>3762</w:t>
            </w:r>
          </w:p>
        </w:tc>
      </w:tr>
      <w:tr w:rsidR="00C12820" w:rsidRPr="00205AD8" w:rsidTr="00CE5760">
        <w:trPr>
          <w:trHeight w:val="303"/>
          <w:jc w:val="center"/>
        </w:trPr>
        <w:tc>
          <w:tcPr>
            <w:tcW w:w="3936" w:type="dxa"/>
            <w:vAlign w:val="center"/>
          </w:tcPr>
          <w:p w:rsidR="00C12820" w:rsidRPr="00E15639" w:rsidRDefault="00C12820" w:rsidP="00CE5760">
            <w:pPr>
              <w:autoSpaceDE w:val="0"/>
              <w:autoSpaceDN w:val="0"/>
              <w:adjustRightInd w:val="0"/>
              <w:spacing w:after="0" w:line="240" w:lineRule="auto"/>
              <w:rPr>
                <w:lang w:eastAsia="en-GB"/>
              </w:rPr>
            </w:pPr>
            <w:r w:rsidRPr="00E15639">
              <w:rPr>
                <w:lang w:eastAsia="en-GB"/>
              </w:rPr>
              <w:t>2. African-Caribbean (AC)</w:t>
            </w:r>
          </w:p>
        </w:tc>
        <w:tc>
          <w:tcPr>
            <w:tcW w:w="1185" w:type="dxa"/>
            <w:vAlign w:val="center"/>
          </w:tcPr>
          <w:p w:rsidR="00C12820" w:rsidRPr="00205AD8" w:rsidRDefault="00C12820" w:rsidP="00CE5760">
            <w:pPr>
              <w:autoSpaceDE w:val="0"/>
              <w:autoSpaceDN w:val="0"/>
              <w:adjustRightInd w:val="0"/>
              <w:spacing w:after="0" w:line="320" w:lineRule="atLeast"/>
              <w:ind w:left="60" w:right="60"/>
              <w:rPr>
                <w:color w:val="000000"/>
                <w:lang w:eastAsia="en-GB"/>
              </w:rPr>
            </w:pPr>
            <w:r>
              <w:rPr>
                <w:color w:val="000000"/>
                <w:lang w:eastAsia="en-GB"/>
              </w:rPr>
              <w:t>170</w:t>
            </w:r>
          </w:p>
        </w:tc>
        <w:tc>
          <w:tcPr>
            <w:tcW w:w="1060" w:type="dxa"/>
            <w:vAlign w:val="center"/>
          </w:tcPr>
          <w:p w:rsidR="00C12820" w:rsidRPr="00205AD8" w:rsidRDefault="00C12820" w:rsidP="00CE5760">
            <w:pPr>
              <w:autoSpaceDE w:val="0"/>
              <w:autoSpaceDN w:val="0"/>
              <w:adjustRightInd w:val="0"/>
              <w:spacing w:after="0" w:line="320" w:lineRule="atLeast"/>
              <w:ind w:left="60" w:right="60"/>
              <w:rPr>
                <w:color w:val="000000"/>
                <w:lang w:eastAsia="en-GB"/>
              </w:rPr>
            </w:pPr>
            <w:r>
              <w:rPr>
                <w:color w:val="000000"/>
                <w:lang w:eastAsia="en-GB"/>
              </w:rPr>
              <w:t>4</w:t>
            </w:r>
          </w:p>
        </w:tc>
        <w:tc>
          <w:tcPr>
            <w:tcW w:w="1061" w:type="dxa"/>
            <w:vAlign w:val="center"/>
          </w:tcPr>
          <w:p w:rsidR="00C12820" w:rsidRPr="00205AD8" w:rsidRDefault="00C12820" w:rsidP="00CE5760">
            <w:pPr>
              <w:autoSpaceDE w:val="0"/>
              <w:autoSpaceDN w:val="0"/>
              <w:adjustRightInd w:val="0"/>
              <w:spacing w:after="0" w:line="320" w:lineRule="atLeast"/>
              <w:ind w:left="60" w:right="60"/>
              <w:rPr>
                <w:color w:val="000000"/>
                <w:lang w:eastAsia="en-GB"/>
              </w:rPr>
            </w:pPr>
            <w:r>
              <w:rPr>
                <w:color w:val="000000"/>
                <w:lang w:eastAsia="en-GB"/>
              </w:rPr>
              <w:t>35</w:t>
            </w:r>
          </w:p>
        </w:tc>
        <w:tc>
          <w:tcPr>
            <w:tcW w:w="1060" w:type="dxa"/>
            <w:vAlign w:val="center"/>
          </w:tcPr>
          <w:p w:rsidR="00C12820" w:rsidRPr="00E15639" w:rsidRDefault="00C12820" w:rsidP="00CE5760">
            <w:pPr>
              <w:autoSpaceDE w:val="0"/>
              <w:autoSpaceDN w:val="0"/>
              <w:adjustRightInd w:val="0"/>
              <w:spacing w:after="0" w:line="240" w:lineRule="auto"/>
              <w:rPr>
                <w:lang w:eastAsia="en-GB"/>
              </w:rPr>
            </w:pPr>
            <w:r w:rsidRPr="00E15639">
              <w:rPr>
                <w:lang w:eastAsia="en-GB"/>
              </w:rPr>
              <w:t>209</w:t>
            </w:r>
          </w:p>
        </w:tc>
      </w:tr>
      <w:tr w:rsidR="00C12820" w:rsidRPr="00205AD8" w:rsidTr="00CE5760">
        <w:trPr>
          <w:trHeight w:val="303"/>
          <w:jc w:val="center"/>
        </w:trPr>
        <w:tc>
          <w:tcPr>
            <w:tcW w:w="3936" w:type="dxa"/>
            <w:vAlign w:val="center"/>
          </w:tcPr>
          <w:p w:rsidR="00C12820" w:rsidRPr="00E15639" w:rsidRDefault="00C12820" w:rsidP="00CE5760">
            <w:pPr>
              <w:autoSpaceDE w:val="0"/>
              <w:autoSpaceDN w:val="0"/>
              <w:adjustRightInd w:val="0"/>
              <w:spacing w:after="0" w:line="240" w:lineRule="auto"/>
              <w:rPr>
                <w:lang w:eastAsia="en-GB"/>
              </w:rPr>
            </w:pPr>
            <w:r w:rsidRPr="00E15639">
              <w:rPr>
                <w:lang w:eastAsia="en-GB"/>
              </w:rPr>
              <w:t>3. South Asian</w:t>
            </w:r>
          </w:p>
        </w:tc>
        <w:tc>
          <w:tcPr>
            <w:tcW w:w="1185" w:type="dxa"/>
            <w:vAlign w:val="center"/>
          </w:tcPr>
          <w:p w:rsidR="00C12820" w:rsidRPr="00205AD8" w:rsidRDefault="00C12820" w:rsidP="00CE5760">
            <w:pPr>
              <w:autoSpaceDE w:val="0"/>
              <w:autoSpaceDN w:val="0"/>
              <w:adjustRightInd w:val="0"/>
              <w:spacing w:after="0" w:line="320" w:lineRule="atLeast"/>
              <w:ind w:left="60" w:right="60"/>
              <w:rPr>
                <w:color w:val="000000"/>
                <w:lang w:eastAsia="en-GB"/>
              </w:rPr>
            </w:pPr>
            <w:r>
              <w:rPr>
                <w:color w:val="000000"/>
                <w:lang w:eastAsia="en-GB"/>
              </w:rPr>
              <w:t>741</w:t>
            </w:r>
          </w:p>
        </w:tc>
        <w:tc>
          <w:tcPr>
            <w:tcW w:w="1060" w:type="dxa"/>
            <w:vAlign w:val="center"/>
          </w:tcPr>
          <w:p w:rsidR="00C12820" w:rsidRPr="00205AD8" w:rsidRDefault="00C12820" w:rsidP="00CE5760">
            <w:pPr>
              <w:autoSpaceDE w:val="0"/>
              <w:autoSpaceDN w:val="0"/>
              <w:adjustRightInd w:val="0"/>
              <w:spacing w:after="0" w:line="320" w:lineRule="atLeast"/>
              <w:ind w:left="60" w:right="60"/>
              <w:rPr>
                <w:color w:val="000000"/>
                <w:lang w:eastAsia="en-GB"/>
              </w:rPr>
            </w:pPr>
            <w:r>
              <w:rPr>
                <w:color w:val="000000"/>
                <w:lang w:eastAsia="en-GB"/>
              </w:rPr>
              <w:t>11</w:t>
            </w:r>
          </w:p>
        </w:tc>
        <w:tc>
          <w:tcPr>
            <w:tcW w:w="1061" w:type="dxa"/>
            <w:vAlign w:val="center"/>
          </w:tcPr>
          <w:p w:rsidR="00C12820" w:rsidRPr="00205AD8" w:rsidRDefault="00C12820" w:rsidP="00CE5760">
            <w:pPr>
              <w:autoSpaceDE w:val="0"/>
              <w:autoSpaceDN w:val="0"/>
              <w:adjustRightInd w:val="0"/>
              <w:spacing w:after="0" w:line="320" w:lineRule="atLeast"/>
              <w:ind w:left="60" w:right="60"/>
              <w:rPr>
                <w:color w:val="000000"/>
                <w:lang w:eastAsia="en-GB"/>
              </w:rPr>
            </w:pPr>
            <w:r>
              <w:rPr>
                <w:color w:val="000000"/>
                <w:lang w:eastAsia="en-GB"/>
              </w:rPr>
              <w:t>138</w:t>
            </w:r>
          </w:p>
        </w:tc>
        <w:tc>
          <w:tcPr>
            <w:tcW w:w="1060" w:type="dxa"/>
            <w:vAlign w:val="center"/>
          </w:tcPr>
          <w:p w:rsidR="00C12820" w:rsidRPr="00E15639" w:rsidRDefault="00C12820" w:rsidP="00CE5760">
            <w:pPr>
              <w:autoSpaceDE w:val="0"/>
              <w:autoSpaceDN w:val="0"/>
              <w:adjustRightInd w:val="0"/>
              <w:spacing w:after="0" w:line="240" w:lineRule="auto"/>
              <w:rPr>
                <w:lang w:eastAsia="en-GB"/>
              </w:rPr>
            </w:pPr>
            <w:r w:rsidRPr="00E15639">
              <w:rPr>
                <w:lang w:eastAsia="en-GB"/>
              </w:rPr>
              <w:t>890</w:t>
            </w:r>
          </w:p>
        </w:tc>
      </w:tr>
      <w:tr w:rsidR="00C12820" w:rsidRPr="00205AD8" w:rsidTr="00CE5760">
        <w:trPr>
          <w:trHeight w:val="303"/>
          <w:jc w:val="center"/>
        </w:trPr>
        <w:tc>
          <w:tcPr>
            <w:tcW w:w="3936" w:type="dxa"/>
            <w:vAlign w:val="center"/>
          </w:tcPr>
          <w:p w:rsidR="00C12820" w:rsidRPr="00E15639" w:rsidRDefault="00C12820" w:rsidP="00CE5760">
            <w:pPr>
              <w:autoSpaceDE w:val="0"/>
              <w:autoSpaceDN w:val="0"/>
              <w:adjustRightInd w:val="0"/>
              <w:spacing w:after="0" w:line="240" w:lineRule="auto"/>
              <w:rPr>
                <w:lang w:eastAsia="en-GB"/>
              </w:rPr>
            </w:pPr>
            <w:r w:rsidRPr="00E15639">
              <w:rPr>
                <w:lang w:eastAsia="en-GB"/>
              </w:rPr>
              <w:t>4. Chinese (mainly non-EU)</w:t>
            </w:r>
          </w:p>
        </w:tc>
        <w:tc>
          <w:tcPr>
            <w:tcW w:w="1185" w:type="dxa"/>
            <w:vAlign w:val="center"/>
          </w:tcPr>
          <w:p w:rsidR="00C12820" w:rsidRPr="00205AD8" w:rsidRDefault="00C12820" w:rsidP="00CE5760">
            <w:pPr>
              <w:autoSpaceDE w:val="0"/>
              <w:autoSpaceDN w:val="0"/>
              <w:adjustRightInd w:val="0"/>
              <w:spacing w:after="0" w:line="320" w:lineRule="atLeast"/>
              <w:ind w:left="60" w:right="60"/>
              <w:rPr>
                <w:color w:val="000000"/>
                <w:lang w:eastAsia="en-GB"/>
              </w:rPr>
            </w:pPr>
            <w:r>
              <w:rPr>
                <w:color w:val="000000"/>
                <w:lang w:eastAsia="en-GB"/>
              </w:rPr>
              <w:t>201</w:t>
            </w:r>
          </w:p>
        </w:tc>
        <w:tc>
          <w:tcPr>
            <w:tcW w:w="1060" w:type="dxa"/>
            <w:vAlign w:val="center"/>
          </w:tcPr>
          <w:p w:rsidR="00C12820" w:rsidRPr="00205AD8" w:rsidRDefault="00C12820" w:rsidP="00CE5760">
            <w:pPr>
              <w:autoSpaceDE w:val="0"/>
              <w:autoSpaceDN w:val="0"/>
              <w:adjustRightInd w:val="0"/>
              <w:spacing w:after="0" w:line="320" w:lineRule="atLeast"/>
              <w:ind w:left="60" w:right="60"/>
              <w:rPr>
                <w:color w:val="000000"/>
                <w:lang w:eastAsia="en-GB"/>
              </w:rPr>
            </w:pPr>
            <w:r>
              <w:rPr>
                <w:color w:val="000000"/>
                <w:lang w:eastAsia="en-GB"/>
              </w:rPr>
              <w:t>9</w:t>
            </w:r>
          </w:p>
        </w:tc>
        <w:tc>
          <w:tcPr>
            <w:tcW w:w="1061" w:type="dxa"/>
            <w:vAlign w:val="center"/>
          </w:tcPr>
          <w:p w:rsidR="00C12820" w:rsidRPr="00205AD8" w:rsidRDefault="00C12820" w:rsidP="00CE5760">
            <w:pPr>
              <w:autoSpaceDE w:val="0"/>
              <w:autoSpaceDN w:val="0"/>
              <w:adjustRightInd w:val="0"/>
              <w:spacing w:after="0" w:line="320" w:lineRule="atLeast"/>
              <w:ind w:left="60" w:right="60"/>
              <w:rPr>
                <w:lang w:eastAsia="en-GB"/>
              </w:rPr>
            </w:pPr>
            <w:r>
              <w:rPr>
                <w:lang w:eastAsia="en-GB"/>
              </w:rPr>
              <w:t>977</w:t>
            </w:r>
          </w:p>
        </w:tc>
        <w:tc>
          <w:tcPr>
            <w:tcW w:w="1060" w:type="dxa"/>
            <w:vAlign w:val="center"/>
          </w:tcPr>
          <w:p w:rsidR="00C12820" w:rsidRPr="00E15639" w:rsidRDefault="00C12820" w:rsidP="00CE5760">
            <w:pPr>
              <w:autoSpaceDE w:val="0"/>
              <w:autoSpaceDN w:val="0"/>
              <w:adjustRightInd w:val="0"/>
              <w:spacing w:after="0" w:line="240" w:lineRule="auto"/>
              <w:rPr>
                <w:lang w:eastAsia="en-GB"/>
              </w:rPr>
            </w:pPr>
            <w:r w:rsidRPr="00E15639">
              <w:rPr>
                <w:lang w:eastAsia="en-GB"/>
              </w:rPr>
              <w:t>1187</w:t>
            </w:r>
          </w:p>
        </w:tc>
      </w:tr>
      <w:tr w:rsidR="00C12820" w:rsidRPr="00205AD8" w:rsidTr="00CE5760">
        <w:trPr>
          <w:trHeight w:val="303"/>
          <w:jc w:val="center"/>
        </w:trPr>
        <w:tc>
          <w:tcPr>
            <w:tcW w:w="3936" w:type="dxa"/>
            <w:vAlign w:val="center"/>
          </w:tcPr>
          <w:p w:rsidR="00C12820" w:rsidRPr="00E15639" w:rsidRDefault="00C12820" w:rsidP="00CE5760">
            <w:pPr>
              <w:autoSpaceDE w:val="0"/>
              <w:autoSpaceDN w:val="0"/>
              <w:adjustRightInd w:val="0"/>
              <w:spacing w:after="0" w:line="240" w:lineRule="auto"/>
              <w:rPr>
                <w:lang w:eastAsia="en-GB"/>
              </w:rPr>
            </w:pPr>
            <w:r w:rsidRPr="00E15639">
              <w:rPr>
                <w:lang w:eastAsia="en-GB"/>
              </w:rPr>
              <w:t>5. Other Asian</w:t>
            </w:r>
          </w:p>
        </w:tc>
        <w:tc>
          <w:tcPr>
            <w:tcW w:w="1185" w:type="dxa"/>
            <w:vAlign w:val="center"/>
          </w:tcPr>
          <w:p w:rsidR="00C12820" w:rsidRPr="00205AD8" w:rsidRDefault="00C12820" w:rsidP="00CE5760">
            <w:pPr>
              <w:autoSpaceDE w:val="0"/>
              <w:autoSpaceDN w:val="0"/>
              <w:adjustRightInd w:val="0"/>
              <w:spacing w:after="0" w:line="320" w:lineRule="atLeast"/>
              <w:ind w:left="60" w:right="60"/>
              <w:rPr>
                <w:color w:val="000000"/>
                <w:lang w:eastAsia="en-GB"/>
              </w:rPr>
            </w:pPr>
            <w:r>
              <w:rPr>
                <w:color w:val="000000"/>
                <w:lang w:eastAsia="en-GB"/>
              </w:rPr>
              <w:t>222</w:t>
            </w:r>
          </w:p>
        </w:tc>
        <w:tc>
          <w:tcPr>
            <w:tcW w:w="1060" w:type="dxa"/>
            <w:vAlign w:val="center"/>
          </w:tcPr>
          <w:p w:rsidR="00C12820" w:rsidRPr="00205AD8" w:rsidRDefault="00C12820" w:rsidP="00CE5760">
            <w:pPr>
              <w:autoSpaceDE w:val="0"/>
              <w:autoSpaceDN w:val="0"/>
              <w:adjustRightInd w:val="0"/>
              <w:spacing w:after="0" w:line="320" w:lineRule="atLeast"/>
              <w:ind w:left="60" w:right="60"/>
              <w:rPr>
                <w:color w:val="000000"/>
                <w:lang w:eastAsia="en-GB"/>
              </w:rPr>
            </w:pPr>
            <w:r>
              <w:rPr>
                <w:color w:val="000000"/>
                <w:lang w:eastAsia="en-GB"/>
              </w:rPr>
              <w:t>5</w:t>
            </w:r>
          </w:p>
        </w:tc>
        <w:tc>
          <w:tcPr>
            <w:tcW w:w="1061" w:type="dxa"/>
            <w:vAlign w:val="center"/>
          </w:tcPr>
          <w:p w:rsidR="00C12820" w:rsidRPr="00205AD8" w:rsidRDefault="00C12820" w:rsidP="00CE5760">
            <w:pPr>
              <w:autoSpaceDE w:val="0"/>
              <w:autoSpaceDN w:val="0"/>
              <w:adjustRightInd w:val="0"/>
              <w:spacing w:after="0" w:line="320" w:lineRule="atLeast"/>
              <w:ind w:left="60" w:right="60"/>
              <w:rPr>
                <w:color w:val="000000"/>
                <w:lang w:eastAsia="en-GB"/>
              </w:rPr>
            </w:pPr>
            <w:r>
              <w:rPr>
                <w:color w:val="000000"/>
                <w:lang w:eastAsia="en-GB"/>
              </w:rPr>
              <w:t>317</w:t>
            </w:r>
          </w:p>
        </w:tc>
        <w:tc>
          <w:tcPr>
            <w:tcW w:w="1060" w:type="dxa"/>
            <w:vAlign w:val="center"/>
          </w:tcPr>
          <w:p w:rsidR="00C12820" w:rsidRPr="00E15639" w:rsidRDefault="00C12820" w:rsidP="00CE5760">
            <w:pPr>
              <w:autoSpaceDE w:val="0"/>
              <w:autoSpaceDN w:val="0"/>
              <w:adjustRightInd w:val="0"/>
              <w:spacing w:after="0" w:line="240" w:lineRule="auto"/>
              <w:rPr>
                <w:lang w:eastAsia="en-GB"/>
              </w:rPr>
            </w:pPr>
            <w:r w:rsidRPr="00E15639">
              <w:rPr>
                <w:lang w:eastAsia="en-GB"/>
              </w:rPr>
              <w:t>544</w:t>
            </w:r>
          </w:p>
        </w:tc>
      </w:tr>
      <w:tr w:rsidR="00C12820" w:rsidRPr="00205AD8" w:rsidTr="00CE5760">
        <w:trPr>
          <w:trHeight w:val="303"/>
          <w:jc w:val="center"/>
        </w:trPr>
        <w:tc>
          <w:tcPr>
            <w:tcW w:w="3936" w:type="dxa"/>
            <w:vAlign w:val="center"/>
          </w:tcPr>
          <w:p w:rsidR="00C12820" w:rsidRPr="00E15639" w:rsidRDefault="00C12820" w:rsidP="00CE5760">
            <w:pPr>
              <w:autoSpaceDE w:val="0"/>
              <w:autoSpaceDN w:val="0"/>
              <w:adjustRightInd w:val="0"/>
              <w:spacing w:after="0" w:line="240" w:lineRule="auto"/>
              <w:rPr>
                <w:lang w:eastAsia="en-GB"/>
              </w:rPr>
            </w:pPr>
            <w:r w:rsidRPr="00E15639">
              <w:rPr>
                <w:lang w:eastAsia="en-GB"/>
              </w:rPr>
              <w:t>6. Mixed: white and A-C</w:t>
            </w:r>
          </w:p>
        </w:tc>
        <w:tc>
          <w:tcPr>
            <w:tcW w:w="1185" w:type="dxa"/>
            <w:vAlign w:val="center"/>
          </w:tcPr>
          <w:p w:rsidR="00C12820" w:rsidRPr="00205AD8" w:rsidRDefault="00C12820" w:rsidP="00CE5760">
            <w:pPr>
              <w:autoSpaceDE w:val="0"/>
              <w:autoSpaceDN w:val="0"/>
              <w:adjustRightInd w:val="0"/>
              <w:spacing w:after="0" w:line="320" w:lineRule="atLeast"/>
              <w:ind w:left="60" w:right="60"/>
              <w:rPr>
                <w:color w:val="000000"/>
                <w:lang w:eastAsia="en-GB"/>
              </w:rPr>
            </w:pPr>
            <w:r>
              <w:rPr>
                <w:color w:val="000000"/>
                <w:lang w:eastAsia="en-GB"/>
              </w:rPr>
              <w:t>50</w:t>
            </w:r>
          </w:p>
        </w:tc>
        <w:tc>
          <w:tcPr>
            <w:tcW w:w="1060" w:type="dxa"/>
            <w:vAlign w:val="center"/>
          </w:tcPr>
          <w:p w:rsidR="00C12820" w:rsidRPr="00205AD8" w:rsidRDefault="00C12820" w:rsidP="00CE5760">
            <w:pPr>
              <w:autoSpaceDE w:val="0"/>
              <w:autoSpaceDN w:val="0"/>
              <w:adjustRightInd w:val="0"/>
              <w:spacing w:after="0" w:line="320" w:lineRule="atLeast"/>
              <w:ind w:left="60" w:right="60"/>
              <w:rPr>
                <w:color w:val="000000"/>
                <w:lang w:eastAsia="en-GB"/>
              </w:rPr>
            </w:pPr>
            <w:r>
              <w:rPr>
                <w:color w:val="000000"/>
                <w:lang w:eastAsia="en-GB"/>
              </w:rPr>
              <w:t>2</w:t>
            </w:r>
          </w:p>
        </w:tc>
        <w:tc>
          <w:tcPr>
            <w:tcW w:w="1061" w:type="dxa"/>
            <w:vAlign w:val="center"/>
          </w:tcPr>
          <w:p w:rsidR="00C12820" w:rsidRPr="00205AD8" w:rsidRDefault="00C12820" w:rsidP="00CE5760">
            <w:pPr>
              <w:autoSpaceDE w:val="0"/>
              <w:autoSpaceDN w:val="0"/>
              <w:adjustRightInd w:val="0"/>
              <w:spacing w:after="0" w:line="320" w:lineRule="atLeast"/>
              <w:ind w:left="60" w:right="60"/>
              <w:rPr>
                <w:color w:val="000000"/>
                <w:lang w:eastAsia="en-GB"/>
              </w:rPr>
            </w:pPr>
            <w:r>
              <w:rPr>
                <w:color w:val="000000"/>
                <w:lang w:eastAsia="en-GB"/>
              </w:rPr>
              <w:t>1</w:t>
            </w:r>
          </w:p>
        </w:tc>
        <w:tc>
          <w:tcPr>
            <w:tcW w:w="1060" w:type="dxa"/>
            <w:vAlign w:val="center"/>
          </w:tcPr>
          <w:p w:rsidR="00C12820" w:rsidRPr="00E15639" w:rsidRDefault="00C12820" w:rsidP="00CE5760">
            <w:pPr>
              <w:autoSpaceDE w:val="0"/>
              <w:autoSpaceDN w:val="0"/>
              <w:adjustRightInd w:val="0"/>
              <w:spacing w:after="0" w:line="240" w:lineRule="auto"/>
              <w:rPr>
                <w:lang w:eastAsia="en-GB"/>
              </w:rPr>
            </w:pPr>
            <w:r w:rsidRPr="00E15639">
              <w:rPr>
                <w:lang w:eastAsia="en-GB"/>
              </w:rPr>
              <w:t>53</w:t>
            </w:r>
          </w:p>
        </w:tc>
      </w:tr>
      <w:tr w:rsidR="00C12820" w:rsidRPr="00205AD8" w:rsidTr="00CE5760">
        <w:trPr>
          <w:trHeight w:val="303"/>
          <w:jc w:val="center"/>
        </w:trPr>
        <w:tc>
          <w:tcPr>
            <w:tcW w:w="3936" w:type="dxa"/>
            <w:vAlign w:val="center"/>
          </w:tcPr>
          <w:p w:rsidR="00C12820" w:rsidRPr="00E15639" w:rsidRDefault="00C12820" w:rsidP="00CE5760">
            <w:pPr>
              <w:autoSpaceDE w:val="0"/>
              <w:autoSpaceDN w:val="0"/>
              <w:adjustRightInd w:val="0"/>
              <w:spacing w:after="0" w:line="240" w:lineRule="auto"/>
              <w:rPr>
                <w:lang w:eastAsia="en-GB"/>
              </w:rPr>
            </w:pPr>
            <w:r w:rsidRPr="00E15639">
              <w:rPr>
                <w:lang w:eastAsia="en-GB"/>
              </w:rPr>
              <w:t>7. Mixed: white and Asian</w:t>
            </w:r>
          </w:p>
        </w:tc>
        <w:tc>
          <w:tcPr>
            <w:tcW w:w="1185" w:type="dxa"/>
            <w:vAlign w:val="center"/>
          </w:tcPr>
          <w:p w:rsidR="00C12820" w:rsidRPr="00205AD8" w:rsidRDefault="00C12820" w:rsidP="00CE5760">
            <w:pPr>
              <w:autoSpaceDE w:val="0"/>
              <w:autoSpaceDN w:val="0"/>
              <w:adjustRightInd w:val="0"/>
              <w:spacing w:after="0" w:line="320" w:lineRule="atLeast"/>
              <w:ind w:left="60" w:right="60"/>
              <w:rPr>
                <w:color w:val="000000"/>
                <w:lang w:eastAsia="en-GB"/>
              </w:rPr>
            </w:pPr>
            <w:r>
              <w:rPr>
                <w:color w:val="000000"/>
                <w:lang w:eastAsia="en-GB"/>
              </w:rPr>
              <w:t>128</w:t>
            </w:r>
          </w:p>
        </w:tc>
        <w:tc>
          <w:tcPr>
            <w:tcW w:w="1060" w:type="dxa"/>
            <w:vAlign w:val="center"/>
          </w:tcPr>
          <w:p w:rsidR="00C12820" w:rsidRPr="00205AD8" w:rsidRDefault="00C12820" w:rsidP="00CE5760">
            <w:pPr>
              <w:autoSpaceDE w:val="0"/>
              <w:autoSpaceDN w:val="0"/>
              <w:adjustRightInd w:val="0"/>
              <w:spacing w:after="0" w:line="320" w:lineRule="atLeast"/>
              <w:ind w:left="60" w:right="60"/>
              <w:rPr>
                <w:color w:val="000000"/>
                <w:lang w:eastAsia="en-GB"/>
              </w:rPr>
            </w:pPr>
            <w:r>
              <w:rPr>
                <w:color w:val="000000"/>
                <w:lang w:eastAsia="en-GB"/>
              </w:rPr>
              <w:t>16</w:t>
            </w:r>
          </w:p>
        </w:tc>
        <w:tc>
          <w:tcPr>
            <w:tcW w:w="1061" w:type="dxa"/>
            <w:vAlign w:val="center"/>
          </w:tcPr>
          <w:p w:rsidR="00C12820" w:rsidRPr="00205AD8" w:rsidRDefault="00C12820" w:rsidP="00CE5760">
            <w:pPr>
              <w:autoSpaceDE w:val="0"/>
              <w:autoSpaceDN w:val="0"/>
              <w:adjustRightInd w:val="0"/>
              <w:spacing w:after="0" w:line="320" w:lineRule="atLeast"/>
              <w:ind w:left="60" w:right="60"/>
              <w:rPr>
                <w:color w:val="000000"/>
                <w:lang w:eastAsia="en-GB"/>
              </w:rPr>
            </w:pPr>
            <w:r>
              <w:rPr>
                <w:color w:val="000000"/>
                <w:lang w:eastAsia="en-GB"/>
              </w:rPr>
              <w:t>24</w:t>
            </w:r>
          </w:p>
        </w:tc>
        <w:tc>
          <w:tcPr>
            <w:tcW w:w="1060" w:type="dxa"/>
            <w:vAlign w:val="center"/>
          </w:tcPr>
          <w:p w:rsidR="00C12820" w:rsidRPr="00E15639" w:rsidRDefault="00C12820" w:rsidP="00CE5760">
            <w:pPr>
              <w:autoSpaceDE w:val="0"/>
              <w:autoSpaceDN w:val="0"/>
              <w:adjustRightInd w:val="0"/>
              <w:spacing w:after="0" w:line="240" w:lineRule="auto"/>
              <w:rPr>
                <w:lang w:eastAsia="en-GB"/>
              </w:rPr>
            </w:pPr>
            <w:r w:rsidRPr="00E15639">
              <w:rPr>
                <w:lang w:eastAsia="en-GB"/>
              </w:rPr>
              <w:t>168</w:t>
            </w:r>
          </w:p>
        </w:tc>
      </w:tr>
      <w:tr w:rsidR="00C12820" w:rsidRPr="00205AD8" w:rsidTr="00CE5760">
        <w:trPr>
          <w:trHeight w:val="323"/>
          <w:jc w:val="center"/>
        </w:trPr>
        <w:tc>
          <w:tcPr>
            <w:tcW w:w="3936" w:type="dxa"/>
            <w:vAlign w:val="center"/>
          </w:tcPr>
          <w:p w:rsidR="00C12820" w:rsidRPr="00E15639" w:rsidRDefault="00C12820" w:rsidP="00CE5760">
            <w:pPr>
              <w:autoSpaceDE w:val="0"/>
              <w:autoSpaceDN w:val="0"/>
              <w:adjustRightInd w:val="0"/>
              <w:spacing w:after="0" w:line="240" w:lineRule="auto"/>
              <w:rPr>
                <w:lang w:eastAsia="en-GB"/>
              </w:rPr>
            </w:pPr>
            <w:r w:rsidRPr="00E15639">
              <w:rPr>
                <w:lang w:eastAsia="en-GB"/>
              </w:rPr>
              <w:t>8. Other (mixed, other ethnicity including Arab)</w:t>
            </w:r>
          </w:p>
        </w:tc>
        <w:tc>
          <w:tcPr>
            <w:tcW w:w="1185" w:type="dxa"/>
            <w:vAlign w:val="center"/>
          </w:tcPr>
          <w:p w:rsidR="00C12820" w:rsidRPr="00205AD8" w:rsidRDefault="00C12820" w:rsidP="00CE5760">
            <w:pPr>
              <w:autoSpaceDE w:val="0"/>
              <w:autoSpaceDN w:val="0"/>
              <w:adjustRightInd w:val="0"/>
              <w:spacing w:after="0" w:line="320" w:lineRule="atLeast"/>
              <w:ind w:left="60" w:right="60"/>
              <w:rPr>
                <w:color w:val="000000"/>
                <w:lang w:eastAsia="en-GB"/>
              </w:rPr>
            </w:pPr>
            <w:r>
              <w:rPr>
                <w:color w:val="000000"/>
                <w:lang w:eastAsia="en-GB"/>
              </w:rPr>
              <w:t>245</w:t>
            </w:r>
          </w:p>
        </w:tc>
        <w:tc>
          <w:tcPr>
            <w:tcW w:w="1060" w:type="dxa"/>
            <w:vAlign w:val="center"/>
          </w:tcPr>
          <w:p w:rsidR="00C12820" w:rsidRPr="00205AD8" w:rsidRDefault="00C12820" w:rsidP="00CE5760">
            <w:pPr>
              <w:autoSpaceDE w:val="0"/>
              <w:autoSpaceDN w:val="0"/>
              <w:adjustRightInd w:val="0"/>
              <w:spacing w:after="0" w:line="320" w:lineRule="atLeast"/>
              <w:ind w:left="60" w:right="60"/>
              <w:rPr>
                <w:color w:val="000000"/>
                <w:lang w:eastAsia="en-GB"/>
              </w:rPr>
            </w:pPr>
            <w:r>
              <w:rPr>
                <w:color w:val="000000"/>
                <w:lang w:eastAsia="en-GB"/>
              </w:rPr>
              <w:t>16</w:t>
            </w:r>
          </w:p>
        </w:tc>
        <w:tc>
          <w:tcPr>
            <w:tcW w:w="1061" w:type="dxa"/>
            <w:vAlign w:val="center"/>
          </w:tcPr>
          <w:p w:rsidR="00C12820" w:rsidRPr="00205AD8" w:rsidRDefault="00C12820" w:rsidP="00CE5760">
            <w:pPr>
              <w:autoSpaceDE w:val="0"/>
              <w:autoSpaceDN w:val="0"/>
              <w:adjustRightInd w:val="0"/>
              <w:spacing w:after="0" w:line="320" w:lineRule="atLeast"/>
              <w:ind w:left="60" w:right="60"/>
              <w:rPr>
                <w:color w:val="000000"/>
                <w:lang w:eastAsia="en-GB"/>
              </w:rPr>
            </w:pPr>
            <w:r>
              <w:rPr>
                <w:color w:val="000000"/>
                <w:lang w:eastAsia="en-GB"/>
              </w:rPr>
              <w:t>75</w:t>
            </w:r>
          </w:p>
        </w:tc>
        <w:tc>
          <w:tcPr>
            <w:tcW w:w="1060" w:type="dxa"/>
            <w:vAlign w:val="center"/>
          </w:tcPr>
          <w:p w:rsidR="00C12820" w:rsidRPr="00E15639" w:rsidRDefault="00C12820" w:rsidP="00CE5760">
            <w:pPr>
              <w:autoSpaceDE w:val="0"/>
              <w:autoSpaceDN w:val="0"/>
              <w:adjustRightInd w:val="0"/>
              <w:spacing w:after="0" w:line="240" w:lineRule="auto"/>
              <w:rPr>
                <w:lang w:eastAsia="en-GB"/>
              </w:rPr>
            </w:pPr>
            <w:r w:rsidRPr="00E15639">
              <w:rPr>
                <w:lang w:eastAsia="en-GB"/>
              </w:rPr>
              <w:t>336</w:t>
            </w:r>
          </w:p>
        </w:tc>
      </w:tr>
      <w:tr w:rsidR="00C12820" w:rsidRPr="00205AD8" w:rsidTr="00CE5760">
        <w:trPr>
          <w:trHeight w:val="323"/>
          <w:jc w:val="center"/>
        </w:trPr>
        <w:tc>
          <w:tcPr>
            <w:tcW w:w="3936" w:type="dxa"/>
            <w:vAlign w:val="center"/>
          </w:tcPr>
          <w:p w:rsidR="00C12820" w:rsidRPr="00E15639" w:rsidRDefault="00C12820" w:rsidP="00CE5760">
            <w:pPr>
              <w:autoSpaceDE w:val="0"/>
              <w:autoSpaceDN w:val="0"/>
              <w:adjustRightInd w:val="0"/>
              <w:spacing w:after="0" w:line="240" w:lineRule="auto"/>
              <w:rPr>
                <w:lang w:eastAsia="en-GB"/>
              </w:rPr>
            </w:pPr>
            <w:r w:rsidRPr="00E15639">
              <w:rPr>
                <w:lang w:eastAsia="en-GB"/>
              </w:rPr>
              <w:t>Total</w:t>
            </w:r>
          </w:p>
        </w:tc>
        <w:tc>
          <w:tcPr>
            <w:tcW w:w="1185" w:type="dxa"/>
            <w:vAlign w:val="center"/>
          </w:tcPr>
          <w:p w:rsidR="00C12820" w:rsidRPr="00E15639" w:rsidRDefault="00C12820" w:rsidP="00CE5760">
            <w:pPr>
              <w:autoSpaceDE w:val="0"/>
              <w:autoSpaceDN w:val="0"/>
              <w:adjustRightInd w:val="0"/>
              <w:spacing w:after="0" w:line="320" w:lineRule="atLeast"/>
              <w:ind w:left="60" w:right="60"/>
              <w:rPr>
                <w:color w:val="000000"/>
                <w:lang w:eastAsia="en-GB"/>
              </w:rPr>
            </w:pPr>
            <w:r w:rsidRPr="00E15639">
              <w:rPr>
                <w:color w:val="000000"/>
                <w:lang w:eastAsia="en-GB"/>
              </w:rPr>
              <w:t>4736</w:t>
            </w:r>
          </w:p>
        </w:tc>
        <w:tc>
          <w:tcPr>
            <w:tcW w:w="1060" w:type="dxa"/>
            <w:vAlign w:val="center"/>
          </w:tcPr>
          <w:p w:rsidR="00C12820" w:rsidRPr="00E15639" w:rsidRDefault="00C12820" w:rsidP="00CE5760">
            <w:pPr>
              <w:autoSpaceDE w:val="0"/>
              <w:autoSpaceDN w:val="0"/>
              <w:adjustRightInd w:val="0"/>
              <w:spacing w:after="0" w:line="320" w:lineRule="atLeast"/>
              <w:ind w:left="60" w:right="60"/>
              <w:rPr>
                <w:color w:val="000000"/>
                <w:lang w:eastAsia="en-GB"/>
              </w:rPr>
            </w:pPr>
            <w:r w:rsidRPr="00E15639">
              <w:rPr>
                <w:color w:val="000000"/>
                <w:lang w:eastAsia="en-GB"/>
              </w:rPr>
              <w:t>678</w:t>
            </w:r>
          </w:p>
        </w:tc>
        <w:tc>
          <w:tcPr>
            <w:tcW w:w="1061" w:type="dxa"/>
            <w:vAlign w:val="center"/>
          </w:tcPr>
          <w:p w:rsidR="00C12820" w:rsidRPr="00E15639" w:rsidRDefault="00C12820" w:rsidP="00CE5760">
            <w:pPr>
              <w:autoSpaceDE w:val="0"/>
              <w:autoSpaceDN w:val="0"/>
              <w:adjustRightInd w:val="0"/>
              <w:spacing w:after="0" w:line="320" w:lineRule="atLeast"/>
              <w:ind w:left="60" w:right="60"/>
              <w:rPr>
                <w:color w:val="000000"/>
                <w:lang w:eastAsia="en-GB"/>
              </w:rPr>
            </w:pPr>
            <w:r w:rsidRPr="00E15639">
              <w:rPr>
                <w:color w:val="000000"/>
                <w:lang w:eastAsia="en-GB"/>
              </w:rPr>
              <w:t>1735</w:t>
            </w:r>
          </w:p>
        </w:tc>
        <w:tc>
          <w:tcPr>
            <w:tcW w:w="1060" w:type="dxa"/>
            <w:vAlign w:val="center"/>
          </w:tcPr>
          <w:p w:rsidR="00C12820" w:rsidRPr="00E15639" w:rsidRDefault="00C12820" w:rsidP="00CE5760">
            <w:pPr>
              <w:autoSpaceDE w:val="0"/>
              <w:autoSpaceDN w:val="0"/>
              <w:adjustRightInd w:val="0"/>
              <w:spacing w:after="0" w:line="240" w:lineRule="auto"/>
              <w:rPr>
                <w:lang w:eastAsia="en-GB"/>
              </w:rPr>
            </w:pPr>
            <w:r w:rsidRPr="00E15639">
              <w:rPr>
                <w:lang w:eastAsia="en-GB"/>
              </w:rPr>
              <w:t>7149</w:t>
            </w:r>
          </w:p>
        </w:tc>
      </w:tr>
    </w:tbl>
    <w:p w:rsidR="00C12820" w:rsidRDefault="00C12820" w:rsidP="00C12820"/>
    <w:p w:rsidR="00C12820" w:rsidRDefault="00C12820" w:rsidP="001A307D">
      <w:pPr>
        <w:spacing w:after="0" w:line="240" w:lineRule="auto"/>
      </w:pPr>
      <w:r>
        <w:t>T</w:t>
      </w:r>
      <w:r w:rsidR="001A307D">
        <w:t>able 2 shows t</w:t>
      </w:r>
      <w:r>
        <w:t>he ethnic breakdown by Faculty</w:t>
      </w:r>
      <w:r w:rsidR="001A307D">
        <w:t xml:space="preserve">. </w:t>
      </w:r>
    </w:p>
    <w:p w:rsidR="00C12820" w:rsidRDefault="00C12820" w:rsidP="00C12820">
      <w:pPr>
        <w:spacing w:after="0" w:line="240" w:lineRule="auto"/>
      </w:pPr>
    </w:p>
    <w:p w:rsidR="00C12820" w:rsidRDefault="00C12820" w:rsidP="00C12820">
      <w:pPr>
        <w:spacing w:after="0" w:line="240" w:lineRule="auto"/>
      </w:pPr>
      <w:r>
        <w:t xml:space="preserve">Table 2: </w:t>
      </w:r>
      <w:r w:rsidRPr="0062606F">
        <w:t xml:space="preserve">The number of students from each ethnic group as a function of Faculty </w:t>
      </w:r>
    </w:p>
    <w:p w:rsidR="00C12820" w:rsidRDefault="00C12820" w:rsidP="00C12820">
      <w:pPr>
        <w:spacing w:after="0" w:line="240" w:lineRule="auto"/>
      </w:pPr>
    </w:p>
    <w:tbl>
      <w:tblPr>
        <w:tblpPr w:leftFromText="180" w:rightFromText="180" w:vertAnchor="text" w:horzAnchor="margin" w:tblpXSpec="center" w:tblpY="104"/>
        <w:tblW w:w="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5"/>
        <w:gridCol w:w="698"/>
        <w:gridCol w:w="850"/>
        <w:gridCol w:w="851"/>
        <w:gridCol w:w="850"/>
        <w:gridCol w:w="851"/>
        <w:gridCol w:w="942"/>
        <w:gridCol w:w="759"/>
        <w:gridCol w:w="850"/>
      </w:tblGrid>
      <w:tr w:rsidR="00C12820" w:rsidRPr="00C709E3" w:rsidTr="00FB33BA">
        <w:trPr>
          <w:trHeight w:val="456"/>
        </w:trPr>
        <w:tc>
          <w:tcPr>
            <w:tcW w:w="1865" w:type="dxa"/>
            <w:vMerge w:val="restart"/>
            <w:vAlign w:val="center"/>
          </w:tcPr>
          <w:p w:rsidR="00C12820" w:rsidRPr="00C709E3" w:rsidRDefault="00C12820" w:rsidP="00CE5760">
            <w:pPr>
              <w:spacing w:after="0" w:line="240" w:lineRule="auto"/>
              <w:rPr>
                <w:bCs/>
              </w:rPr>
            </w:pPr>
            <w:r w:rsidRPr="00C709E3">
              <w:rPr>
                <w:bCs/>
              </w:rPr>
              <w:t xml:space="preserve">Ethnicity </w:t>
            </w:r>
          </w:p>
        </w:tc>
        <w:tc>
          <w:tcPr>
            <w:tcW w:w="5801" w:type="dxa"/>
            <w:gridSpan w:val="7"/>
          </w:tcPr>
          <w:p w:rsidR="00C12820" w:rsidRPr="00C709E3" w:rsidRDefault="00C12820" w:rsidP="00CE5760">
            <w:pPr>
              <w:spacing w:after="0" w:line="240" w:lineRule="auto"/>
              <w:rPr>
                <w:bCs/>
              </w:rPr>
            </w:pPr>
            <w:r w:rsidRPr="00C709E3">
              <w:rPr>
                <w:bCs/>
              </w:rPr>
              <w:t>Faculty</w:t>
            </w:r>
          </w:p>
        </w:tc>
        <w:tc>
          <w:tcPr>
            <w:tcW w:w="850" w:type="dxa"/>
            <w:vMerge w:val="restart"/>
            <w:vAlign w:val="center"/>
          </w:tcPr>
          <w:p w:rsidR="00C12820" w:rsidRPr="00C709E3" w:rsidRDefault="00C12820" w:rsidP="00CE5760">
            <w:pPr>
              <w:spacing w:after="0" w:line="240" w:lineRule="auto"/>
              <w:rPr>
                <w:bCs/>
              </w:rPr>
            </w:pPr>
            <w:r w:rsidRPr="00C709E3">
              <w:rPr>
                <w:bCs/>
              </w:rPr>
              <w:t>Total</w:t>
            </w:r>
          </w:p>
        </w:tc>
      </w:tr>
      <w:tr w:rsidR="00C12820" w:rsidRPr="00C709E3" w:rsidTr="00FB33BA">
        <w:trPr>
          <w:trHeight w:val="272"/>
        </w:trPr>
        <w:tc>
          <w:tcPr>
            <w:tcW w:w="1865" w:type="dxa"/>
            <w:vMerge/>
            <w:vAlign w:val="center"/>
          </w:tcPr>
          <w:p w:rsidR="00C12820" w:rsidRPr="00C709E3" w:rsidRDefault="00C12820" w:rsidP="00CE5760">
            <w:pPr>
              <w:spacing w:after="0" w:line="240" w:lineRule="auto"/>
              <w:rPr>
                <w:bCs/>
              </w:rPr>
            </w:pPr>
          </w:p>
        </w:tc>
        <w:tc>
          <w:tcPr>
            <w:tcW w:w="698" w:type="dxa"/>
          </w:tcPr>
          <w:p w:rsidR="00C12820" w:rsidRPr="00C709E3" w:rsidRDefault="00C12820" w:rsidP="00CE5760">
            <w:pPr>
              <w:spacing w:after="0" w:line="240" w:lineRule="auto"/>
              <w:rPr>
                <w:bCs/>
              </w:rPr>
            </w:pPr>
            <w:r w:rsidRPr="00C709E3">
              <w:rPr>
                <w:bCs/>
              </w:rPr>
              <w:t>AH</w:t>
            </w:r>
          </w:p>
        </w:tc>
        <w:tc>
          <w:tcPr>
            <w:tcW w:w="850" w:type="dxa"/>
          </w:tcPr>
          <w:p w:rsidR="00C12820" w:rsidRPr="00C709E3" w:rsidRDefault="00C12820" w:rsidP="00CE5760">
            <w:pPr>
              <w:spacing w:after="0" w:line="240" w:lineRule="auto"/>
              <w:rPr>
                <w:bCs/>
              </w:rPr>
            </w:pPr>
            <w:r w:rsidRPr="00C709E3">
              <w:rPr>
                <w:bCs/>
              </w:rPr>
              <w:t xml:space="preserve">BE </w:t>
            </w:r>
          </w:p>
        </w:tc>
        <w:tc>
          <w:tcPr>
            <w:tcW w:w="851" w:type="dxa"/>
          </w:tcPr>
          <w:p w:rsidR="00C12820" w:rsidRPr="00C709E3" w:rsidRDefault="00C12820" w:rsidP="00CE5760">
            <w:pPr>
              <w:spacing w:after="0" w:line="240" w:lineRule="auto"/>
              <w:rPr>
                <w:bCs/>
              </w:rPr>
            </w:pPr>
            <w:r w:rsidRPr="00C709E3">
              <w:rPr>
                <w:bCs/>
              </w:rPr>
              <w:t xml:space="preserve">BS </w:t>
            </w:r>
          </w:p>
        </w:tc>
        <w:tc>
          <w:tcPr>
            <w:tcW w:w="850" w:type="dxa"/>
          </w:tcPr>
          <w:p w:rsidR="00C12820" w:rsidRPr="00C709E3" w:rsidRDefault="00C12820" w:rsidP="00CE5760">
            <w:pPr>
              <w:spacing w:after="0" w:line="240" w:lineRule="auto"/>
              <w:rPr>
                <w:bCs/>
              </w:rPr>
            </w:pPr>
            <w:r w:rsidRPr="00C709E3">
              <w:rPr>
                <w:bCs/>
              </w:rPr>
              <w:t xml:space="preserve">ES </w:t>
            </w:r>
          </w:p>
        </w:tc>
        <w:tc>
          <w:tcPr>
            <w:tcW w:w="851" w:type="dxa"/>
          </w:tcPr>
          <w:p w:rsidR="00C12820" w:rsidRPr="00C709E3" w:rsidRDefault="00C12820" w:rsidP="00CE5760">
            <w:pPr>
              <w:spacing w:after="0" w:line="240" w:lineRule="auto"/>
              <w:rPr>
                <w:bCs/>
              </w:rPr>
            </w:pPr>
            <w:r w:rsidRPr="00C709E3">
              <w:rPr>
                <w:bCs/>
              </w:rPr>
              <w:t xml:space="preserve">LS </w:t>
            </w:r>
          </w:p>
        </w:tc>
        <w:tc>
          <w:tcPr>
            <w:tcW w:w="942" w:type="dxa"/>
          </w:tcPr>
          <w:p w:rsidR="00C12820" w:rsidRPr="00C709E3" w:rsidRDefault="00C12820" w:rsidP="00CE5760">
            <w:pPr>
              <w:spacing w:after="0" w:line="240" w:lineRule="auto"/>
              <w:rPr>
                <w:bCs/>
              </w:rPr>
            </w:pPr>
            <w:r w:rsidRPr="00C709E3">
              <w:rPr>
                <w:bCs/>
              </w:rPr>
              <w:t>MAPS</w:t>
            </w:r>
          </w:p>
        </w:tc>
        <w:tc>
          <w:tcPr>
            <w:tcW w:w="759" w:type="dxa"/>
          </w:tcPr>
          <w:p w:rsidR="00C12820" w:rsidRPr="00C709E3" w:rsidRDefault="00C12820" w:rsidP="00CE5760">
            <w:pPr>
              <w:spacing w:after="0" w:line="240" w:lineRule="auto"/>
              <w:rPr>
                <w:bCs/>
              </w:rPr>
            </w:pPr>
            <w:r w:rsidRPr="00C709E3">
              <w:rPr>
                <w:bCs/>
              </w:rPr>
              <w:t xml:space="preserve">SHS </w:t>
            </w:r>
          </w:p>
        </w:tc>
        <w:tc>
          <w:tcPr>
            <w:tcW w:w="850" w:type="dxa"/>
            <w:vMerge/>
            <w:vAlign w:val="center"/>
          </w:tcPr>
          <w:p w:rsidR="00C12820" w:rsidRPr="00C709E3" w:rsidRDefault="00C12820" w:rsidP="00CE5760">
            <w:pPr>
              <w:spacing w:after="0" w:line="240" w:lineRule="auto"/>
              <w:rPr>
                <w:bCs/>
              </w:rPr>
            </w:pPr>
          </w:p>
        </w:tc>
      </w:tr>
      <w:tr w:rsidR="00C12820" w:rsidRPr="00C709E3" w:rsidTr="00FB33BA">
        <w:trPr>
          <w:trHeight w:val="307"/>
        </w:trPr>
        <w:tc>
          <w:tcPr>
            <w:tcW w:w="1865" w:type="dxa"/>
            <w:vAlign w:val="center"/>
          </w:tcPr>
          <w:p w:rsidR="00C12820" w:rsidRPr="00C709E3" w:rsidRDefault="00C12820" w:rsidP="00CE5760">
            <w:pPr>
              <w:spacing w:after="0" w:line="240" w:lineRule="auto"/>
              <w:rPr>
                <w:bCs/>
              </w:rPr>
            </w:pPr>
            <w:r w:rsidRPr="00C709E3">
              <w:rPr>
                <w:bCs/>
              </w:rPr>
              <w:t>1. White</w:t>
            </w:r>
          </w:p>
        </w:tc>
        <w:tc>
          <w:tcPr>
            <w:tcW w:w="698" w:type="dxa"/>
            <w:vAlign w:val="center"/>
          </w:tcPr>
          <w:p w:rsidR="00C12820" w:rsidRPr="00C709E3" w:rsidRDefault="00C12820" w:rsidP="00CE5760">
            <w:pPr>
              <w:spacing w:after="0" w:line="240" w:lineRule="auto"/>
              <w:rPr>
                <w:bCs/>
              </w:rPr>
            </w:pPr>
            <w:r w:rsidRPr="00C709E3">
              <w:rPr>
                <w:bCs/>
              </w:rPr>
              <w:t>771</w:t>
            </w:r>
          </w:p>
        </w:tc>
        <w:tc>
          <w:tcPr>
            <w:tcW w:w="850" w:type="dxa"/>
            <w:vAlign w:val="center"/>
          </w:tcPr>
          <w:p w:rsidR="00C12820" w:rsidRPr="00C709E3" w:rsidRDefault="00C12820" w:rsidP="00CE5760">
            <w:pPr>
              <w:spacing w:after="0" w:line="240" w:lineRule="auto"/>
              <w:rPr>
                <w:bCs/>
              </w:rPr>
            </w:pPr>
            <w:r w:rsidRPr="00C709E3">
              <w:rPr>
                <w:bCs/>
              </w:rPr>
              <w:t>193</w:t>
            </w:r>
          </w:p>
        </w:tc>
        <w:tc>
          <w:tcPr>
            <w:tcW w:w="851" w:type="dxa"/>
            <w:vAlign w:val="center"/>
          </w:tcPr>
          <w:p w:rsidR="00C12820" w:rsidRPr="00C709E3" w:rsidRDefault="00C12820" w:rsidP="00CE5760">
            <w:pPr>
              <w:spacing w:after="0" w:line="240" w:lineRule="auto"/>
              <w:rPr>
                <w:bCs/>
              </w:rPr>
            </w:pPr>
            <w:r w:rsidRPr="00C709E3">
              <w:rPr>
                <w:bCs/>
              </w:rPr>
              <w:t>305</w:t>
            </w:r>
          </w:p>
        </w:tc>
        <w:tc>
          <w:tcPr>
            <w:tcW w:w="850" w:type="dxa"/>
            <w:vAlign w:val="center"/>
          </w:tcPr>
          <w:p w:rsidR="00C12820" w:rsidRPr="00C709E3" w:rsidRDefault="00C12820" w:rsidP="00CE5760">
            <w:pPr>
              <w:spacing w:after="0" w:line="240" w:lineRule="auto"/>
              <w:rPr>
                <w:bCs/>
              </w:rPr>
            </w:pPr>
            <w:r w:rsidRPr="00C709E3">
              <w:rPr>
                <w:bCs/>
              </w:rPr>
              <w:t>257</w:t>
            </w:r>
          </w:p>
        </w:tc>
        <w:tc>
          <w:tcPr>
            <w:tcW w:w="851" w:type="dxa"/>
            <w:vAlign w:val="center"/>
          </w:tcPr>
          <w:p w:rsidR="00C12820" w:rsidRPr="00C709E3" w:rsidRDefault="00C12820" w:rsidP="00CE5760">
            <w:pPr>
              <w:spacing w:after="0" w:line="240" w:lineRule="auto"/>
              <w:rPr>
                <w:bCs/>
              </w:rPr>
            </w:pPr>
            <w:r w:rsidRPr="00C709E3">
              <w:rPr>
                <w:bCs/>
              </w:rPr>
              <w:t>439</w:t>
            </w:r>
          </w:p>
        </w:tc>
        <w:tc>
          <w:tcPr>
            <w:tcW w:w="942" w:type="dxa"/>
            <w:vAlign w:val="center"/>
          </w:tcPr>
          <w:p w:rsidR="00C12820" w:rsidRPr="00C709E3" w:rsidRDefault="00C12820" w:rsidP="00CE5760">
            <w:pPr>
              <w:spacing w:after="0" w:line="240" w:lineRule="auto"/>
              <w:rPr>
                <w:bCs/>
              </w:rPr>
            </w:pPr>
            <w:r w:rsidRPr="00C709E3">
              <w:rPr>
                <w:bCs/>
              </w:rPr>
              <w:t>591</w:t>
            </w:r>
          </w:p>
        </w:tc>
        <w:tc>
          <w:tcPr>
            <w:tcW w:w="759" w:type="dxa"/>
            <w:vAlign w:val="center"/>
          </w:tcPr>
          <w:p w:rsidR="00C12820" w:rsidRPr="00C709E3" w:rsidRDefault="00C12820" w:rsidP="00CE5760">
            <w:pPr>
              <w:spacing w:after="0" w:line="240" w:lineRule="auto"/>
              <w:rPr>
                <w:bCs/>
              </w:rPr>
            </w:pPr>
            <w:r w:rsidRPr="00C709E3">
              <w:rPr>
                <w:bCs/>
              </w:rPr>
              <w:t>1206</w:t>
            </w:r>
          </w:p>
        </w:tc>
        <w:tc>
          <w:tcPr>
            <w:tcW w:w="850" w:type="dxa"/>
            <w:vAlign w:val="center"/>
          </w:tcPr>
          <w:p w:rsidR="00C12820" w:rsidRPr="00C709E3" w:rsidRDefault="00C12820" w:rsidP="00CE5760">
            <w:pPr>
              <w:spacing w:after="0" w:line="240" w:lineRule="auto"/>
              <w:rPr>
                <w:bCs/>
              </w:rPr>
            </w:pPr>
            <w:r w:rsidRPr="00C709E3">
              <w:rPr>
                <w:bCs/>
              </w:rPr>
              <w:t>3762</w:t>
            </w:r>
          </w:p>
        </w:tc>
      </w:tr>
      <w:tr w:rsidR="00C12820" w:rsidRPr="00C709E3" w:rsidTr="00FB33BA">
        <w:trPr>
          <w:trHeight w:val="307"/>
        </w:trPr>
        <w:tc>
          <w:tcPr>
            <w:tcW w:w="1865" w:type="dxa"/>
            <w:vAlign w:val="center"/>
          </w:tcPr>
          <w:p w:rsidR="00C12820" w:rsidRPr="00C709E3" w:rsidRDefault="00C12820" w:rsidP="00CE5760">
            <w:pPr>
              <w:spacing w:after="0" w:line="240" w:lineRule="auto"/>
              <w:rPr>
                <w:bCs/>
              </w:rPr>
            </w:pPr>
            <w:r w:rsidRPr="00C709E3">
              <w:rPr>
                <w:bCs/>
              </w:rPr>
              <w:t>2. African-Caribbean (AC)</w:t>
            </w:r>
          </w:p>
        </w:tc>
        <w:tc>
          <w:tcPr>
            <w:tcW w:w="698" w:type="dxa"/>
            <w:vAlign w:val="center"/>
          </w:tcPr>
          <w:p w:rsidR="00C12820" w:rsidRPr="00C709E3" w:rsidRDefault="00C12820" w:rsidP="00CE5760">
            <w:pPr>
              <w:spacing w:after="0" w:line="240" w:lineRule="auto"/>
              <w:rPr>
                <w:bCs/>
              </w:rPr>
            </w:pPr>
            <w:r w:rsidRPr="00C709E3">
              <w:rPr>
                <w:bCs/>
              </w:rPr>
              <w:t>13</w:t>
            </w:r>
          </w:p>
        </w:tc>
        <w:tc>
          <w:tcPr>
            <w:tcW w:w="850" w:type="dxa"/>
            <w:vAlign w:val="center"/>
          </w:tcPr>
          <w:p w:rsidR="00C12820" w:rsidRPr="00C709E3" w:rsidRDefault="00C12820" w:rsidP="00CE5760">
            <w:pPr>
              <w:spacing w:after="0" w:line="240" w:lineRule="auto"/>
              <w:rPr>
                <w:bCs/>
              </w:rPr>
            </w:pPr>
            <w:r w:rsidRPr="00C709E3">
              <w:rPr>
                <w:bCs/>
              </w:rPr>
              <w:t>9</w:t>
            </w:r>
          </w:p>
        </w:tc>
        <w:tc>
          <w:tcPr>
            <w:tcW w:w="851" w:type="dxa"/>
            <w:vAlign w:val="center"/>
          </w:tcPr>
          <w:p w:rsidR="00C12820" w:rsidRPr="00C709E3" w:rsidRDefault="00C12820" w:rsidP="00CE5760">
            <w:pPr>
              <w:spacing w:after="0" w:line="240" w:lineRule="auto"/>
              <w:rPr>
                <w:bCs/>
              </w:rPr>
            </w:pPr>
            <w:r w:rsidRPr="00C709E3">
              <w:rPr>
                <w:bCs/>
              </w:rPr>
              <w:t>20</w:t>
            </w:r>
          </w:p>
        </w:tc>
        <w:tc>
          <w:tcPr>
            <w:tcW w:w="850" w:type="dxa"/>
            <w:vAlign w:val="center"/>
          </w:tcPr>
          <w:p w:rsidR="00C12820" w:rsidRPr="00C709E3" w:rsidRDefault="00C12820" w:rsidP="00CE5760">
            <w:pPr>
              <w:spacing w:after="0" w:line="240" w:lineRule="auto"/>
              <w:rPr>
                <w:bCs/>
              </w:rPr>
            </w:pPr>
            <w:r w:rsidRPr="00C709E3">
              <w:rPr>
                <w:bCs/>
              </w:rPr>
              <w:t>68</w:t>
            </w:r>
          </w:p>
        </w:tc>
        <w:tc>
          <w:tcPr>
            <w:tcW w:w="851" w:type="dxa"/>
            <w:vAlign w:val="center"/>
          </w:tcPr>
          <w:p w:rsidR="00C12820" w:rsidRPr="00C709E3" w:rsidRDefault="00C12820" w:rsidP="00CE5760">
            <w:pPr>
              <w:spacing w:after="0" w:line="240" w:lineRule="auto"/>
              <w:rPr>
                <w:bCs/>
              </w:rPr>
            </w:pPr>
            <w:r w:rsidRPr="00C709E3">
              <w:rPr>
                <w:bCs/>
              </w:rPr>
              <w:t>53</w:t>
            </w:r>
          </w:p>
        </w:tc>
        <w:tc>
          <w:tcPr>
            <w:tcW w:w="942" w:type="dxa"/>
            <w:vAlign w:val="center"/>
          </w:tcPr>
          <w:p w:rsidR="00C12820" w:rsidRPr="00C709E3" w:rsidRDefault="00C12820" w:rsidP="00CE5760">
            <w:pPr>
              <w:spacing w:after="0" w:line="240" w:lineRule="auto"/>
              <w:rPr>
                <w:bCs/>
              </w:rPr>
            </w:pPr>
            <w:r w:rsidRPr="00C709E3">
              <w:rPr>
                <w:bCs/>
              </w:rPr>
              <w:t>22</w:t>
            </w:r>
          </w:p>
        </w:tc>
        <w:tc>
          <w:tcPr>
            <w:tcW w:w="759" w:type="dxa"/>
            <w:vAlign w:val="center"/>
          </w:tcPr>
          <w:p w:rsidR="00C12820" w:rsidRPr="00C709E3" w:rsidRDefault="00C12820" w:rsidP="00CE5760">
            <w:pPr>
              <w:spacing w:after="0" w:line="240" w:lineRule="auto"/>
              <w:rPr>
                <w:bCs/>
              </w:rPr>
            </w:pPr>
            <w:r w:rsidRPr="00C709E3">
              <w:rPr>
                <w:bCs/>
              </w:rPr>
              <w:t>24</w:t>
            </w:r>
          </w:p>
        </w:tc>
        <w:tc>
          <w:tcPr>
            <w:tcW w:w="850" w:type="dxa"/>
            <w:vAlign w:val="center"/>
          </w:tcPr>
          <w:p w:rsidR="00C12820" w:rsidRPr="00C709E3" w:rsidRDefault="00C12820" w:rsidP="00CE5760">
            <w:pPr>
              <w:spacing w:after="0" w:line="240" w:lineRule="auto"/>
              <w:rPr>
                <w:bCs/>
              </w:rPr>
            </w:pPr>
            <w:r w:rsidRPr="00C709E3">
              <w:rPr>
                <w:bCs/>
              </w:rPr>
              <w:t>209</w:t>
            </w:r>
          </w:p>
        </w:tc>
      </w:tr>
      <w:tr w:rsidR="00C12820" w:rsidRPr="00C709E3" w:rsidTr="00FB33BA">
        <w:trPr>
          <w:trHeight w:val="307"/>
        </w:trPr>
        <w:tc>
          <w:tcPr>
            <w:tcW w:w="1865" w:type="dxa"/>
            <w:vAlign w:val="center"/>
          </w:tcPr>
          <w:p w:rsidR="00C12820" w:rsidRPr="00C709E3" w:rsidRDefault="00C12820" w:rsidP="00CE5760">
            <w:pPr>
              <w:spacing w:after="0" w:line="240" w:lineRule="auto"/>
              <w:rPr>
                <w:bCs/>
              </w:rPr>
            </w:pPr>
            <w:r w:rsidRPr="00C709E3">
              <w:rPr>
                <w:bCs/>
              </w:rPr>
              <w:t>3. South Asian</w:t>
            </w:r>
          </w:p>
        </w:tc>
        <w:tc>
          <w:tcPr>
            <w:tcW w:w="698" w:type="dxa"/>
            <w:vAlign w:val="center"/>
          </w:tcPr>
          <w:p w:rsidR="00C12820" w:rsidRPr="00C709E3" w:rsidRDefault="00C12820" w:rsidP="00CE5760">
            <w:pPr>
              <w:spacing w:after="0" w:line="240" w:lineRule="auto"/>
              <w:rPr>
                <w:bCs/>
              </w:rPr>
            </w:pPr>
            <w:r w:rsidRPr="00C709E3">
              <w:rPr>
                <w:bCs/>
              </w:rPr>
              <w:t>42</w:t>
            </w:r>
          </w:p>
        </w:tc>
        <w:tc>
          <w:tcPr>
            <w:tcW w:w="850" w:type="dxa"/>
            <w:vAlign w:val="center"/>
          </w:tcPr>
          <w:p w:rsidR="00C12820" w:rsidRPr="00C709E3" w:rsidRDefault="00C12820" w:rsidP="00CE5760">
            <w:pPr>
              <w:spacing w:after="0" w:line="240" w:lineRule="auto"/>
              <w:rPr>
                <w:bCs/>
              </w:rPr>
            </w:pPr>
            <w:r w:rsidRPr="00C709E3">
              <w:rPr>
                <w:bCs/>
              </w:rPr>
              <w:t>18</w:t>
            </w:r>
          </w:p>
        </w:tc>
        <w:tc>
          <w:tcPr>
            <w:tcW w:w="851" w:type="dxa"/>
            <w:vAlign w:val="center"/>
          </w:tcPr>
          <w:p w:rsidR="00C12820" w:rsidRPr="00C709E3" w:rsidRDefault="00C12820" w:rsidP="00CE5760">
            <w:pPr>
              <w:spacing w:after="0" w:line="240" w:lineRule="auto"/>
              <w:rPr>
                <w:bCs/>
              </w:rPr>
            </w:pPr>
            <w:r w:rsidRPr="00C709E3">
              <w:rPr>
                <w:bCs/>
              </w:rPr>
              <w:t>60</w:t>
            </w:r>
          </w:p>
        </w:tc>
        <w:tc>
          <w:tcPr>
            <w:tcW w:w="850" w:type="dxa"/>
            <w:vAlign w:val="center"/>
          </w:tcPr>
          <w:p w:rsidR="00C12820" w:rsidRPr="00C709E3" w:rsidRDefault="00C12820" w:rsidP="00CE5760">
            <w:pPr>
              <w:spacing w:after="0" w:line="240" w:lineRule="auto"/>
              <w:rPr>
                <w:bCs/>
              </w:rPr>
            </w:pPr>
            <w:r w:rsidRPr="00C709E3">
              <w:rPr>
                <w:bCs/>
              </w:rPr>
              <w:t>173</w:t>
            </w:r>
          </w:p>
        </w:tc>
        <w:tc>
          <w:tcPr>
            <w:tcW w:w="851" w:type="dxa"/>
            <w:vAlign w:val="center"/>
          </w:tcPr>
          <w:p w:rsidR="00C12820" w:rsidRPr="00C709E3" w:rsidRDefault="00C12820" w:rsidP="00CE5760">
            <w:pPr>
              <w:spacing w:after="0" w:line="240" w:lineRule="auto"/>
              <w:rPr>
                <w:bCs/>
              </w:rPr>
            </w:pPr>
            <w:r w:rsidRPr="00C709E3">
              <w:rPr>
                <w:bCs/>
              </w:rPr>
              <w:t>198</w:t>
            </w:r>
          </w:p>
        </w:tc>
        <w:tc>
          <w:tcPr>
            <w:tcW w:w="942" w:type="dxa"/>
            <w:vAlign w:val="center"/>
          </w:tcPr>
          <w:p w:rsidR="00C12820" w:rsidRPr="00C709E3" w:rsidRDefault="00C12820" w:rsidP="00CE5760">
            <w:pPr>
              <w:spacing w:after="0" w:line="240" w:lineRule="auto"/>
              <w:rPr>
                <w:bCs/>
              </w:rPr>
            </w:pPr>
            <w:r w:rsidRPr="00C709E3">
              <w:rPr>
                <w:bCs/>
              </w:rPr>
              <w:t>178</w:t>
            </w:r>
          </w:p>
        </w:tc>
        <w:tc>
          <w:tcPr>
            <w:tcW w:w="759" w:type="dxa"/>
            <w:vAlign w:val="center"/>
          </w:tcPr>
          <w:p w:rsidR="00C12820" w:rsidRPr="00C709E3" w:rsidRDefault="00C12820" w:rsidP="00CE5760">
            <w:pPr>
              <w:spacing w:after="0" w:line="240" w:lineRule="auto"/>
              <w:rPr>
                <w:bCs/>
              </w:rPr>
            </w:pPr>
            <w:r w:rsidRPr="00C709E3">
              <w:rPr>
                <w:bCs/>
              </w:rPr>
              <w:t>221</w:t>
            </w:r>
          </w:p>
        </w:tc>
        <w:tc>
          <w:tcPr>
            <w:tcW w:w="850" w:type="dxa"/>
            <w:vAlign w:val="center"/>
          </w:tcPr>
          <w:p w:rsidR="00C12820" w:rsidRPr="00C709E3" w:rsidRDefault="00C12820" w:rsidP="00CE5760">
            <w:pPr>
              <w:spacing w:after="0" w:line="240" w:lineRule="auto"/>
              <w:rPr>
                <w:bCs/>
              </w:rPr>
            </w:pPr>
            <w:r w:rsidRPr="00C709E3">
              <w:rPr>
                <w:bCs/>
              </w:rPr>
              <w:t>890</w:t>
            </w:r>
          </w:p>
        </w:tc>
      </w:tr>
      <w:tr w:rsidR="00C12820" w:rsidRPr="00C709E3" w:rsidTr="00FB33BA">
        <w:trPr>
          <w:trHeight w:val="307"/>
        </w:trPr>
        <w:tc>
          <w:tcPr>
            <w:tcW w:w="1865" w:type="dxa"/>
            <w:vAlign w:val="center"/>
          </w:tcPr>
          <w:p w:rsidR="00C12820" w:rsidRPr="00C709E3" w:rsidRDefault="00C12820" w:rsidP="00CE5760">
            <w:pPr>
              <w:spacing w:after="0" w:line="240" w:lineRule="auto"/>
              <w:rPr>
                <w:bCs/>
              </w:rPr>
            </w:pPr>
            <w:r w:rsidRPr="00C709E3">
              <w:rPr>
                <w:bCs/>
              </w:rPr>
              <w:t xml:space="preserve">4. Chinese </w:t>
            </w:r>
          </w:p>
        </w:tc>
        <w:tc>
          <w:tcPr>
            <w:tcW w:w="698" w:type="dxa"/>
            <w:vAlign w:val="center"/>
          </w:tcPr>
          <w:p w:rsidR="00C12820" w:rsidRPr="00C709E3" w:rsidRDefault="00C12820" w:rsidP="00CE5760">
            <w:pPr>
              <w:spacing w:after="0" w:line="240" w:lineRule="auto"/>
              <w:rPr>
                <w:bCs/>
              </w:rPr>
            </w:pPr>
            <w:r w:rsidRPr="00C709E3">
              <w:rPr>
                <w:bCs/>
              </w:rPr>
              <w:t>27</w:t>
            </w:r>
          </w:p>
        </w:tc>
        <w:tc>
          <w:tcPr>
            <w:tcW w:w="850" w:type="dxa"/>
            <w:vAlign w:val="center"/>
          </w:tcPr>
          <w:p w:rsidR="00C12820" w:rsidRPr="00C709E3" w:rsidRDefault="00C12820" w:rsidP="00CE5760">
            <w:pPr>
              <w:spacing w:after="0" w:line="240" w:lineRule="auto"/>
              <w:rPr>
                <w:bCs/>
              </w:rPr>
            </w:pPr>
            <w:r w:rsidRPr="00C709E3">
              <w:rPr>
                <w:bCs/>
              </w:rPr>
              <w:t>76</w:t>
            </w:r>
          </w:p>
        </w:tc>
        <w:tc>
          <w:tcPr>
            <w:tcW w:w="851" w:type="dxa"/>
            <w:vAlign w:val="center"/>
          </w:tcPr>
          <w:p w:rsidR="00C12820" w:rsidRPr="00C709E3" w:rsidRDefault="00C12820" w:rsidP="00CE5760">
            <w:pPr>
              <w:spacing w:after="0" w:line="240" w:lineRule="auto"/>
              <w:rPr>
                <w:bCs/>
              </w:rPr>
            </w:pPr>
            <w:r w:rsidRPr="00C709E3">
              <w:rPr>
                <w:bCs/>
              </w:rPr>
              <w:t>91</w:t>
            </w:r>
          </w:p>
        </w:tc>
        <w:tc>
          <w:tcPr>
            <w:tcW w:w="850" w:type="dxa"/>
            <w:vAlign w:val="center"/>
          </w:tcPr>
          <w:p w:rsidR="00C12820" w:rsidRPr="00C709E3" w:rsidRDefault="00C12820" w:rsidP="00CE5760">
            <w:pPr>
              <w:spacing w:after="0" w:line="240" w:lineRule="auto"/>
              <w:rPr>
                <w:bCs/>
              </w:rPr>
            </w:pPr>
            <w:r w:rsidRPr="00C709E3">
              <w:rPr>
                <w:bCs/>
              </w:rPr>
              <w:t>182</w:t>
            </w:r>
          </w:p>
        </w:tc>
        <w:tc>
          <w:tcPr>
            <w:tcW w:w="851" w:type="dxa"/>
            <w:vAlign w:val="center"/>
          </w:tcPr>
          <w:p w:rsidR="00C12820" w:rsidRPr="00C709E3" w:rsidRDefault="00C12820" w:rsidP="00CE5760">
            <w:pPr>
              <w:spacing w:after="0" w:line="240" w:lineRule="auto"/>
              <w:rPr>
                <w:bCs/>
              </w:rPr>
            </w:pPr>
            <w:r w:rsidRPr="00C709E3">
              <w:rPr>
                <w:bCs/>
              </w:rPr>
              <w:t>125</w:t>
            </w:r>
          </w:p>
        </w:tc>
        <w:tc>
          <w:tcPr>
            <w:tcW w:w="942" w:type="dxa"/>
            <w:vAlign w:val="center"/>
          </w:tcPr>
          <w:p w:rsidR="00C12820" w:rsidRPr="00C709E3" w:rsidRDefault="00C12820" w:rsidP="00CE5760">
            <w:pPr>
              <w:spacing w:after="0" w:line="240" w:lineRule="auto"/>
              <w:rPr>
                <w:bCs/>
              </w:rPr>
            </w:pPr>
            <w:r w:rsidRPr="00C709E3">
              <w:rPr>
                <w:bCs/>
              </w:rPr>
              <w:t>394</w:t>
            </w:r>
          </w:p>
        </w:tc>
        <w:tc>
          <w:tcPr>
            <w:tcW w:w="759" w:type="dxa"/>
            <w:vAlign w:val="center"/>
          </w:tcPr>
          <w:p w:rsidR="00C12820" w:rsidRPr="00C709E3" w:rsidRDefault="00C12820" w:rsidP="00CE5760">
            <w:pPr>
              <w:spacing w:after="0" w:line="240" w:lineRule="auto"/>
              <w:rPr>
                <w:bCs/>
              </w:rPr>
            </w:pPr>
            <w:r w:rsidRPr="00C709E3">
              <w:rPr>
                <w:bCs/>
              </w:rPr>
              <w:t>292</w:t>
            </w:r>
          </w:p>
        </w:tc>
        <w:tc>
          <w:tcPr>
            <w:tcW w:w="850" w:type="dxa"/>
            <w:vAlign w:val="center"/>
          </w:tcPr>
          <w:p w:rsidR="00C12820" w:rsidRPr="00C709E3" w:rsidRDefault="00C12820" w:rsidP="00CE5760">
            <w:pPr>
              <w:spacing w:after="0" w:line="240" w:lineRule="auto"/>
              <w:rPr>
                <w:bCs/>
              </w:rPr>
            </w:pPr>
            <w:r w:rsidRPr="00C709E3">
              <w:rPr>
                <w:bCs/>
              </w:rPr>
              <w:t>1187</w:t>
            </w:r>
          </w:p>
        </w:tc>
      </w:tr>
      <w:tr w:rsidR="00C12820" w:rsidRPr="00C709E3" w:rsidTr="00FB33BA">
        <w:trPr>
          <w:trHeight w:val="307"/>
        </w:trPr>
        <w:tc>
          <w:tcPr>
            <w:tcW w:w="1865" w:type="dxa"/>
            <w:vAlign w:val="center"/>
          </w:tcPr>
          <w:p w:rsidR="00C12820" w:rsidRPr="00C709E3" w:rsidRDefault="00C12820" w:rsidP="00CE5760">
            <w:pPr>
              <w:spacing w:after="0" w:line="240" w:lineRule="auto"/>
              <w:rPr>
                <w:bCs/>
              </w:rPr>
            </w:pPr>
            <w:r w:rsidRPr="00C709E3">
              <w:rPr>
                <w:bCs/>
              </w:rPr>
              <w:t>5. Other Asian</w:t>
            </w:r>
          </w:p>
        </w:tc>
        <w:tc>
          <w:tcPr>
            <w:tcW w:w="698" w:type="dxa"/>
            <w:vAlign w:val="center"/>
          </w:tcPr>
          <w:p w:rsidR="00C12820" w:rsidRPr="00C709E3" w:rsidRDefault="00C12820" w:rsidP="00CE5760">
            <w:pPr>
              <w:spacing w:after="0" w:line="240" w:lineRule="auto"/>
              <w:rPr>
                <w:bCs/>
              </w:rPr>
            </w:pPr>
            <w:r w:rsidRPr="00C709E3">
              <w:rPr>
                <w:bCs/>
              </w:rPr>
              <w:t>17</w:t>
            </w:r>
          </w:p>
        </w:tc>
        <w:tc>
          <w:tcPr>
            <w:tcW w:w="850" w:type="dxa"/>
            <w:vAlign w:val="center"/>
          </w:tcPr>
          <w:p w:rsidR="00C12820" w:rsidRPr="00C709E3" w:rsidRDefault="00C12820" w:rsidP="00CE5760">
            <w:pPr>
              <w:spacing w:after="0" w:line="240" w:lineRule="auto"/>
              <w:rPr>
                <w:bCs/>
              </w:rPr>
            </w:pPr>
            <w:r w:rsidRPr="00C709E3">
              <w:rPr>
                <w:bCs/>
              </w:rPr>
              <w:t>32</w:t>
            </w:r>
          </w:p>
        </w:tc>
        <w:tc>
          <w:tcPr>
            <w:tcW w:w="851" w:type="dxa"/>
            <w:vAlign w:val="center"/>
          </w:tcPr>
          <w:p w:rsidR="00C12820" w:rsidRPr="00C709E3" w:rsidRDefault="00C12820" w:rsidP="00CE5760">
            <w:pPr>
              <w:spacing w:after="0" w:line="240" w:lineRule="auto"/>
              <w:rPr>
                <w:bCs/>
              </w:rPr>
            </w:pPr>
            <w:r w:rsidRPr="00C709E3">
              <w:rPr>
                <w:bCs/>
              </w:rPr>
              <w:t>23</w:t>
            </w:r>
          </w:p>
        </w:tc>
        <w:tc>
          <w:tcPr>
            <w:tcW w:w="850" w:type="dxa"/>
            <w:vAlign w:val="center"/>
          </w:tcPr>
          <w:p w:rsidR="00C12820" w:rsidRPr="00C709E3" w:rsidRDefault="00C12820" w:rsidP="00CE5760">
            <w:pPr>
              <w:spacing w:after="0" w:line="240" w:lineRule="auto"/>
              <w:rPr>
                <w:bCs/>
              </w:rPr>
            </w:pPr>
            <w:r w:rsidRPr="00C709E3">
              <w:rPr>
                <w:bCs/>
              </w:rPr>
              <w:t>127</w:t>
            </w:r>
          </w:p>
        </w:tc>
        <w:tc>
          <w:tcPr>
            <w:tcW w:w="851" w:type="dxa"/>
            <w:vAlign w:val="center"/>
          </w:tcPr>
          <w:p w:rsidR="00C12820" w:rsidRPr="00C709E3" w:rsidRDefault="00C12820" w:rsidP="00CE5760">
            <w:pPr>
              <w:spacing w:after="0" w:line="240" w:lineRule="auto"/>
              <w:rPr>
                <w:bCs/>
              </w:rPr>
            </w:pPr>
            <w:r w:rsidRPr="00C709E3">
              <w:rPr>
                <w:bCs/>
              </w:rPr>
              <w:t>104</w:t>
            </w:r>
          </w:p>
        </w:tc>
        <w:tc>
          <w:tcPr>
            <w:tcW w:w="942" w:type="dxa"/>
            <w:vAlign w:val="center"/>
          </w:tcPr>
          <w:p w:rsidR="00C12820" w:rsidRPr="00C709E3" w:rsidRDefault="00C12820" w:rsidP="00CE5760">
            <w:pPr>
              <w:spacing w:after="0" w:line="240" w:lineRule="auto"/>
              <w:rPr>
                <w:bCs/>
              </w:rPr>
            </w:pPr>
            <w:r w:rsidRPr="00C709E3">
              <w:rPr>
                <w:bCs/>
              </w:rPr>
              <w:t>118</w:t>
            </w:r>
          </w:p>
        </w:tc>
        <w:tc>
          <w:tcPr>
            <w:tcW w:w="759" w:type="dxa"/>
            <w:vAlign w:val="center"/>
          </w:tcPr>
          <w:p w:rsidR="00C12820" w:rsidRPr="00C709E3" w:rsidRDefault="00C12820" w:rsidP="00CE5760">
            <w:pPr>
              <w:spacing w:after="0" w:line="240" w:lineRule="auto"/>
              <w:rPr>
                <w:bCs/>
              </w:rPr>
            </w:pPr>
            <w:r w:rsidRPr="00C709E3">
              <w:rPr>
                <w:bCs/>
              </w:rPr>
              <w:t>123</w:t>
            </w:r>
          </w:p>
        </w:tc>
        <w:tc>
          <w:tcPr>
            <w:tcW w:w="850" w:type="dxa"/>
            <w:vAlign w:val="center"/>
          </w:tcPr>
          <w:p w:rsidR="00C12820" w:rsidRPr="00C709E3" w:rsidRDefault="00C12820" w:rsidP="00CE5760">
            <w:pPr>
              <w:spacing w:after="0" w:line="240" w:lineRule="auto"/>
              <w:rPr>
                <w:bCs/>
              </w:rPr>
            </w:pPr>
            <w:r w:rsidRPr="00C709E3">
              <w:rPr>
                <w:bCs/>
              </w:rPr>
              <w:t>544</w:t>
            </w:r>
          </w:p>
        </w:tc>
      </w:tr>
      <w:tr w:rsidR="00C12820" w:rsidRPr="00C709E3" w:rsidTr="00FB33BA">
        <w:trPr>
          <w:trHeight w:val="307"/>
        </w:trPr>
        <w:tc>
          <w:tcPr>
            <w:tcW w:w="1865" w:type="dxa"/>
            <w:vAlign w:val="center"/>
          </w:tcPr>
          <w:p w:rsidR="00C12820" w:rsidRPr="00C709E3" w:rsidRDefault="00C12820" w:rsidP="00CE5760">
            <w:pPr>
              <w:spacing w:after="0" w:line="240" w:lineRule="auto"/>
              <w:rPr>
                <w:bCs/>
              </w:rPr>
            </w:pPr>
            <w:r w:rsidRPr="00C709E3">
              <w:rPr>
                <w:bCs/>
              </w:rPr>
              <w:t>6. Mixed: white and AC</w:t>
            </w:r>
          </w:p>
        </w:tc>
        <w:tc>
          <w:tcPr>
            <w:tcW w:w="698" w:type="dxa"/>
            <w:vAlign w:val="center"/>
          </w:tcPr>
          <w:p w:rsidR="00C12820" w:rsidRPr="00C709E3" w:rsidRDefault="00C12820" w:rsidP="00CE5760">
            <w:pPr>
              <w:spacing w:after="0" w:line="240" w:lineRule="auto"/>
              <w:rPr>
                <w:bCs/>
              </w:rPr>
            </w:pPr>
            <w:r w:rsidRPr="00C709E3">
              <w:rPr>
                <w:bCs/>
              </w:rPr>
              <w:t>7</w:t>
            </w:r>
          </w:p>
        </w:tc>
        <w:tc>
          <w:tcPr>
            <w:tcW w:w="850" w:type="dxa"/>
            <w:vAlign w:val="center"/>
          </w:tcPr>
          <w:p w:rsidR="00C12820" w:rsidRPr="00C709E3" w:rsidRDefault="00C12820" w:rsidP="00CE5760">
            <w:pPr>
              <w:spacing w:after="0" w:line="240" w:lineRule="auto"/>
              <w:rPr>
                <w:bCs/>
              </w:rPr>
            </w:pPr>
            <w:r w:rsidRPr="00C709E3">
              <w:rPr>
                <w:bCs/>
              </w:rPr>
              <w:t>3</w:t>
            </w:r>
          </w:p>
        </w:tc>
        <w:tc>
          <w:tcPr>
            <w:tcW w:w="851" w:type="dxa"/>
            <w:vAlign w:val="center"/>
          </w:tcPr>
          <w:p w:rsidR="00C12820" w:rsidRPr="00C709E3" w:rsidRDefault="00C12820" w:rsidP="00CE5760">
            <w:pPr>
              <w:spacing w:after="0" w:line="240" w:lineRule="auto"/>
              <w:rPr>
                <w:bCs/>
              </w:rPr>
            </w:pPr>
            <w:r w:rsidRPr="00C709E3">
              <w:rPr>
                <w:bCs/>
              </w:rPr>
              <w:t>7</w:t>
            </w:r>
          </w:p>
        </w:tc>
        <w:tc>
          <w:tcPr>
            <w:tcW w:w="850" w:type="dxa"/>
            <w:vAlign w:val="center"/>
          </w:tcPr>
          <w:p w:rsidR="00C12820" w:rsidRPr="00C709E3" w:rsidRDefault="00C12820" w:rsidP="00CE5760">
            <w:pPr>
              <w:spacing w:after="0" w:line="240" w:lineRule="auto"/>
              <w:rPr>
                <w:bCs/>
              </w:rPr>
            </w:pPr>
            <w:r w:rsidRPr="00C709E3">
              <w:rPr>
                <w:bCs/>
              </w:rPr>
              <w:t>5</w:t>
            </w:r>
          </w:p>
        </w:tc>
        <w:tc>
          <w:tcPr>
            <w:tcW w:w="851" w:type="dxa"/>
            <w:vAlign w:val="center"/>
          </w:tcPr>
          <w:p w:rsidR="00C12820" w:rsidRPr="00C709E3" w:rsidRDefault="00C12820" w:rsidP="00CE5760">
            <w:pPr>
              <w:spacing w:after="0" w:line="240" w:lineRule="auto"/>
              <w:rPr>
                <w:bCs/>
              </w:rPr>
            </w:pPr>
            <w:r w:rsidRPr="00C709E3">
              <w:rPr>
                <w:bCs/>
              </w:rPr>
              <w:t>8</w:t>
            </w:r>
          </w:p>
        </w:tc>
        <w:tc>
          <w:tcPr>
            <w:tcW w:w="942" w:type="dxa"/>
            <w:vAlign w:val="center"/>
          </w:tcPr>
          <w:p w:rsidR="00C12820" w:rsidRPr="00C709E3" w:rsidRDefault="00C12820" w:rsidP="00CE5760">
            <w:pPr>
              <w:spacing w:after="0" w:line="240" w:lineRule="auto"/>
              <w:rPr>
                <w:bCs/>
              </w:rPr>
            </w:pPr>
            <w:r w:rsidRPr="00C709E3">
              <w:rPr>
                <w:bCs/>
              </w:rPr>
              <w:t>10</w:t>
            </w:r>
          </w:p>
        </w:tc>
        <w:tc>
          <w:tcPr>
            <w:tcW w:w="759" w:type="dxa"/>
            <w:vAlign w:val="center"/>
          </w:tcPr>
          <w:p w:rsidR="00C12820" w:rsidRPr="00C709E3" w:rsidRDefault="00C12820" w:rsidP="00CE5760">
            <w:pPr>
              <w:spacing w:after="0" w:line="240" w:lineRule="auto"/>
              <w:rPr>
                <w:bCs/>
              </w:rPr>
            </w:pPr>
            <w:r w:rsidRPr="00C709E3">
              <w:rPr>
                <w:bCs/>
              </w:rPr>
              <w:t>13</w:t>
            </w:r>
          </w:p>
        </w:tc>
        <w:tc>
          <w:tcPr>
            <w:tcW w:w="850" w:type="dxa"/>
            <w:vAlign w:val="center"/>
          </w:tcPr>
          <w:p w:rsidR="00C12820" w:rsidRPr="00C709E3" w:rsidRDefault="00C12820" w:rsidP="00CE5760">
            <w:pPr>
              <w:spacing w:after="0" w:line="240" w:lineRule="auto"/>
              <w:rPr>
                <w:bCs/>
              </w:rPr>
            </w:pPr>
            <w:r w:rsidRPr="00C709E3">
              <w:rPr>
                <w:bCs/>
              </w:rPr>
              <w:t>53</w:t>
            </w:r>
          </w:p>
        </w:tc>
      </w:tr>
      <w:tr w:rsidR="00C12820" w:rsidRPr="00C709E3" w:rsidTr="00FB33BA">
        <w:trPr>
          <w:trHeight w:val="307"/>
        </w:trPr>
        <w:tc>
          <w:tcPr>
            <w:tcW w:w="1865" w:type="dxa"/>
            <w:vAlign w:val="center"/>
          </w:tcPr>
          <w:p w:rsidR="00C12820" w:rsidRPr="00C709E3" w:rsidRDefault="00C12820" w:rsidP="00CE5760">
            <w:pPr>
              <w:spacing w:after="0" w:line="240" w:lineRule="auto"/>
              <w:rPr>
                <w:bCs/>
              </w:rPr>
            </w:pPr>
            <w:r w:rsidRPr="00C709E3">
              <w:rPr>
                <w:bCs/>
              </w:rPr>
              <w:t>7. Mixed: white and Asian</w:t>
            </w:r>
          </w:p>
        </w:tc>
        <w:tc>
          <w:tcPr>
            <w:tcW w:w="698" w:type="dxa"/>
            <w:vAlign w:val="center"/>
          </w:tcPr>
          <w:p w:rsidR="00C12820" w:rsidRPr="00C709E3" w:rsidRDefault="00C12820" w:rsidP="00CE5760">
            <w:pPr>
              <w:spacing w:after="0" w:line="240" w:lineRule="auto"/>
              <w:rPr>
                <w:bCs/>
              </w:rPr>
            </w:pPr>
            <w:r w:rsidRPr="00C709E3">
              <w:rPr>
                <w:bCs/>
              </w:rPr>
              <w:t>37</w:t>
            </w:r>
          </w:p>
        </w:tc>
        <w:tc>
          <w:tcPr>
            <w:tcW w:w="850" w:type="dxa"/>
            <w:vAlign w:val="center"/>
          </w:tcPr>
          <w:p w:rsidR="00C12820" w:rsidRPr="00C709E3" w:rsidRDefault="00C12820" w:rsidP="00CE5760">
            <w:pPr>
              <w:spacing w:after="0" w:line="240" w:lineRule="auto"/>
              <w:rPr>
                <w:bCs/>
              </w:rPr>
            </w:pPr>
            <w:r w:rsidRPr="00C709E3">
              <w:rPr>
                <w:bCs/>
              </w:rPr>
              <w:t>6</w:t>
            </w:r>
          </w:p>
        </w:tc>
        <w:tc>
          <w:tcPr>
            <w:tcW w:w="851" w:type="dxa"/>
            <w:vAlign w:val="center"/>
          </w:tcPr>
          <w:p w:rsidR="00C12820" w:rsidRPr="00C709E3" w:rsidRDefault="00C12820" w:rsidP="00CE5760">
            <w:pPr>
              <w:spacing w:after="0" w:line="240" w:lineRule="auto"/>
              <w:rPr>
                <w:bCs/>
              </w:rPr>
            </w:pPr>
            <w:r w:rsidRPr="00C709E3">
              <w:rPr>
                <w:bCs/>
              </w:rPr>
              <w:t>10</w:t>
            </w:r>
          </w:p>
        </w:tc>
        <w:tc>
          <w:tcPr>
            <w:tcW w:w="850" w:type="dxa"/>
            <w:vAlign w:val="center"/>
          </w:tcPr>
          <w:p w:rsidR="00C12820" w:rsidRPr="00C709E3" w:rsidRDefault="00C12820" w:rsidP="00CE5760">
            <w:pPr>
              <w:spacing w:after="0" w:line="240" w:lineRule="auto"/>
              <w:rPr>
                <w:bCs/>
              </w:rPr>
            </w:pPr>
            <w:r w:rsidRPr="00C709E3">
              <w:rPr>
                <w:bCs/>
              </w:rPr>
              <w:t>16</w:t>
            </w:r>
          </w:p>
        </w:tc>
        <w:tc>
          <w:tcPr>
            <w:tcW w:w="851" w:type="dxa"/>
            <w:vAlign w:val="center"/>
          </w:tcPr>
          <w:p w:rsidR="00C12820" w:rsidRPr="00C709E3" w:rsidRDefault="00C12820" w:rsidP="00CE5760">
            <w:pPr>
              <w:spacing w:after="0" w:line="240" w:lineRule="auto"/>
              <w:rPr>
                <w:bCs/>
              </w:rPr>
            </w:pPr>
            <w:r w:rsidRPr="00C709E3">
              <w:rPr>
                <w:bCs/>
              </w:rPr>
              <w:t>13</w:t>
            </w:r>
          </w:p>
        </w:tc>
        <w:tc>
          <w:tcPr>
            <w:tcW w:w="942" w:type="dxa"/>
            <w:vAlign w:val="center"/>
          </w:tcPr>
          <w:p w:rsidR="00C12820" w:rsidRPr="00C709E3" w:rsidRDefault="00C12820" w:rsidP="00CE5760">
            <w:pPr>
              <w:spacing w:after="0" w:line="240" w:lineRule="auto"/>
              <w:rPr>
                <w:bCs/>
              </w:rPr>
            </w:pPr>
            <w:r w:rsidRPr="00C709E3">
              <w:rPr>
                <w:bCs/>
              </w:rPr>
              <w:t>30</w:t>
            </w:r>
          </w:p>
        </w:tc>
        <w:tc>
          <w:tcPr>
            <w:tcW w:w="759" w:type="dxa"/>
            <w:vAlign w:val="center"/>
          </w:tcPr>
          <w:p w:rsidR="00C12820" w:rsidRPr="00C709E3" w:rsidRDefault="00C12820" w:rsidP="00CE5760">
            <w:pPr>
              <w:spacing w:after="0" w:line="240" w:lineRule="auto"/>
              <w:rPr>
                <w:bCs/>
              </w:rPr>
            </w:pPr>
            <w:r w:rsidRPr="00C709E3">
              <w:rPr>
                <w:bCs/>
              </w:rPr>
              <w:t>56</w:t>
            </w:r>
          </w:p>
        </w:tc>
        <w:tc>
          <w:tcPr>
            <w:tcW w:w="850" w:type="dxa"/>
            <w:vAlign w:val="center"/>
          </w:tcPr>
          <w:p w:rsidR="00C12820" w:rsidRPr="00C709E3" w:rsidRDefault="00C12820" w:rsidP="00CE5760">
            <w:pPr>
              <w:spacing w:after="0" w:line="240" w:lineRule="auto"/>
              <w:rPr>
                <w:bCs/>
              </w:rPr>
            </w:pPr>
            <w:r w:rsidRPr="00C709E3">
              <w:rPr>
                <w:bCs/>
              </w:rPr>
              <w:t>168</w:t>
            </w:r>
          </w:p>
        </w:tc>
      </w:tr>
      <w:tr w:rsidR="00C12820" w:rsidRPr="00C709E3" w:rsidTr="00FB33BA">
        <w:trPr>
          <w:trHeight w:val="327"/>
        </w:trPr>
        <w:tc>
          <w:tcPr>
            <w:tcW w:w="1865" w:type="dxa"/>
            <w:vAlign w:val="center"/>
          </w:tcPr>
          <w:p w:rsidR="00C12820" w:rsidRPr="00C709E3" w:rsidRDefault="00C12820" w:rsidP="00CE5760">
            <w:pPr>
              <w:spacing w:after="0" w:line="240" w:lineRule="auto"/>
              <w:rPr>
                <w:bCs/>
              </w:rPr>
            </w:pPr>
            <w:r w:rsidRPr="00C709E3">
              <w:rPr>
                <w:bCs/>
              </w:rPr>
              <w:lastRenderedPageBreak/>
              <w:t xml:space="preserve">8. Other </w:t>
            </w:r>
          </w:p>
        </w:tc>
        <w:tc>
          <w:tcPr>
            <w:tcW w:w="698" w:type="dxa"/>
            <w:vAlign w:val="center"/>
          </w:tcPr>
          <w:p w:rsidR="00C12820" w:rsidRPr="00C709E3" w:rsidRDefault="00C12820" w:rsidP="00CE5760">
            <w:pPr>
              <w:spacing w:after="0" w:line="240" w:lineRule="auto"/>
              <w:rPr>
                <w:bCs/>
              </w:rPr>
            </w:pPr>
            <w:r w:rsidRPr="00C709E3">
              <w:rPr>
                <w:bCs/>
              </w:rPr>
              <w:t>48</w:t>
            </w:r>
          </w:p>
        </w:tc>
        <w:tc>
          <w:tcPr>
            <w:tcW w:w="850" w:type="dxa"/>
            <w:vAlign w:val="center"/>
          </w:tcPr>
          <w:p w:rsidR="00C12820" w:rsidRPr="00C709E3" w:rsidRDefault="00C12820" w:rsidP="00CE5760">
            <w:pPr>
              <w:spacing w:after="0" w:line="240" w:lineRule="auto"/>
              <w:rPr>
                <w:bCs/>
              </w:rPr>
            </w:pPr>
            <w:r w:rsidRPr="00C709E3">
              <w:rPr>
                <w:bCs/>
              </w:rPr>
              <w:t>17</w:t>
            </w:r>
          </w:p>
        </w:tc>
        <w:tc>
          <w:tcPr>
            <w:tcW w:w="851" w:type="dxa"/>
            <w:vAlign w:val="center"/>
          </w:tcPr>
          <w:p w:rsidR="00C12820" w:rsidRPr="00C709E3" w:rsidRDefault="00C12820" w:rsidP="00CE5760">
            <w:pPr>
              <w:spacing w:after="0" w:line="240" w:lineRule="auto"/>
              <w:rPr>
                <w:bCs/>
              </w:rPr>
            </w:pPr>
            <w:r w:rsidRPr="00C709E3">
              <w:rPr>
                <w:bCs/>
              </w:rPr>
              <w:t>18</w:t>
            </w:r>
          </w:p>
        </w:tc>
        <w:tc>
          <w:tcPr>
            <w:tcW w:w="850" w:type="dxa"/>
            <w:vAlign w:val="center"/>
          </w:tcPr>
          <w:p w:rsidR="00C12820" w:rsidRPr="00C709E3" w:rsidRDefault="00C12820" w:rsidP="00CE5760">
            <w:pPr>
              <w:spacing w:after="0" w:line="240" w:lineRule="auto"/>
              <w:rPr>
                <w:bCs/>
              </w:rPr>
            </w:pPr>
            <w:r w:rsidRPr="00C709E3">
              <w:rPr>
                <w:bCs/>
              </w:rPr>
              <w:t>76</w:t>
            </w:r>
          </w:p>
        </w:tc>
        <w:tc>
          <w:tcPr>
            <w:tcW w:w="851" w:type="dxa"/>
            <w:vAlign w:val="center"/>
          </w:tcPr>
          <w:p w:rsidR="00C12820" w:rsidRPr="00C709E3" w:rsidRDefault="00C12820" w:rsidP="00CE5760">
            <w:pPr>
              <w:spacing w:after="0" w:line="240" w:lineRule="auto"/>
              <w:rPr>
                <w:bCs/>
              </w:rPr>
            </w:pPr>
            <w:r w:rsidRPr="00C709E3">
              <w:rPr>
                <w:bCs/>
              </w:rPr>
              <w:t>68</w:t>
            </w:r>
          </w:p>
        </w:tc>
        <w:tc>
          <w:tcPr>
            <w:tcW w:w="942" w:type="dxa"/>
            <w:vAlign w:val="center"/>
          </w:tcPr>
          <w:p w:rsidR="00C12820" w:rsidRPr="00C709E3" w:rsidRDefault="00C12820" w:rsidP="00CE5760">
            <w:pPr>
              <w:spacing w:after="0" w:line="240" w:lineRule="auto"/>
              <w:rPr>
                <w:bCs/>
              </w:rPr>
            </w:pPr>
            <w:r w:rsidRPr="00C709E3">
              <w:rPr>
                <w:bCs/>
              </w:rPr>
              <w:t>46</w:t>
            </w:r>
          </w:p>
        </w:tc>
        <w:tc>
          <w:tcPr>
            <w:tcW w:w="759" w:type="dxa"/>
            <w:vAlign w:val="center"/>
          </w:tcPr>
          <w:p w:rsidR="00C12820" w:rsidRPr="00C709E3" w:rsidRDefault="00C12820" w:rsidP="00CE5760">
            <w:pPr>
              <w:spacing w:after="0" w:line="240" w:lineRule="auto"/>
              <w:rPr>
                <w:bCs/>
              </w:rPr>
            </w:pPr>
            <w:r w:rsidRPr="00C709E3">
              <w:rPr>
                <w:bCs/>
              </w:rPr>
              <w:t>63</w:t>
            </w:r>
          </w:p>
        </w:tc>
        <w:tc>
          <w:tcPr>
            <w:tcW w:w="850" w:type="dxa"/>
            <w:vAlign w:val="center"/>
          </w:tcPr>
          <w:p w:rsidR="00C12820" w:rsidRPr="00C709E3" w:rsidRDefault="00C12820" w:rsidP="00CE5760">
            <w:pPr>
              <w:spacing w:after="0" w:line="240" w:lineRule="auto"/>
              <w:rPr>
                <w:bCs/>
              </w:rPr>
            </w:pPr>
            <w:r w:rsidRPr="00C709E3">
              <w:rPr>
                <w:bCs/>
              </w:rPr>
              <w:t>336</w:t>
            </w:r>
          </w:p>
        </w:tc>
      </w:tr>
      <w:tr w:rsidR="00C12820" w:rsidRPr="00C709E3" w:rsidTr="00FB33BA">
        <w:trPr>
          <w:trHeight w:val="327"/>
        </w:trPr>
        <w:tc>
          <w:tcPr>
            <w:tcW w:w="1865" w:type="dxa"/>
            <w:vAlign w:val="center"/>
          </w:tcPr>
          <w:p w:rsidR="00C12820" w:rsidRPr="00C709E3" w:rsidRDefault="00C12820" w:rsidP="00CE5760">
            <w:pPr>
              <w:spacing w:after="0" w:line="240" w:lineRule="auto"/>
              <w:rPr>
                <w:bCs/>
              </w:rPr>
            </w:pPr>
            <w:r w:rsidRPr="00C709E3">
              <w:rPr>
                <w:bCs/>
              </w:rPr>
              <w:t>Total</w:t>
            </w:r>
          </w:p>
        </w:tc>
        <w:tc>
          <w:tcPr>
            <w:tcW w:w="698" w:type="dxa"/>
            <w:vAlign w:val="center"/>
          </w:tcPr>
          <w:p w:rsidR="00C12820" w:rsidRPr="00C709E3" w:rsidRDefault="00C12820" w:rsidP="00CE5760">
            <w:pPr>
              <w:spacing w:after="0" w:line="240" w:lineRule="auto"/>
              <w:rPr>
                <w:bCs/>
              </w:rPr>
            </w:pPr>
            <w:r w:rsidRPr="00C709E3">
              <w:rPr>
                <w:bCs/>
              </w:rPr>
              <w:t>962</w:t>
            </w:r>
          </w:p>
        </w:tc>
        <w:tc>
          <w:tcPr>
            <w:tcW w:w="850" w:type="dxa"/>
            <w:vAlign w:val="center"/>
          </w:tcPr>
          <w:p w:rsidR="00C12820" w:rsidRPr="00C709E3" w:rsidRDefault="00C12820" w:rsidP="00CE5760">
            <w:pPr>
              <w:spacing w:after="0" w:line="240" w:lineRule="auto"/>
              <w:rPr>
                <w:bCs/>
              </w:rPr>
            </w:pPr>
            <w:r w:rsidRPr="00C709E3">
              <w:rPr>
                <w:bCs/>
              </w:rPr>
              <w:t>354</w:t>
            </w:r>
          </w:p>
        </w:tc>
        <w:tc>
          <w:tcPr>
            <w:tcW w:w="851" w:type="dxa"/>
            <w:vAlign w:val="center"/>
          </w:tcPr>
          <w:p w:rsidR="00C12820" w:rsidRPr="00C709E3" w:rsidRDefault="00C12820" w:rsidP="00CE5760">
            <w:pPr>
              <w:spacing w:after="0" w:line="240" w:lineRule="auto"/>
              <w:rPr>
                <w:bCs/>
              </w:rPr>
            </w:pPr>
            <w:r w:rsidRPr="00C709E3">
              <w:rPr>
                <w:bCs/>
              </w:rPr>
              <w:t>534</w:t>
            </w:r>
          </w:p>
        </w:tc>
        <w:tc>
          <w:tcPr>
            <w:tcW w:w="850" w:type="dxa"/>
            <w:vAlign w:val="center"/>
          </w:tcPr>
          <w:p w:rsidR="00C12820" w:rsidRPr="00C709E3" w:rsidRDefault="00C12820" w:rsidP="00CE5760">
            <w:pPr>
              <w:spacing w:after="0" w:line="240" w:lineRule="auto"/>
              <w:rPr>
                <w:bCs/>
              </w:rPr>
            </w:pPr>
            <w:r w:rsidRPr="00C709E3">
              <w:rPr>
                <w:bCs/>
              </w:rPr>
              <w:t>904</w:t>
            </w:r>
          </w:p>
        </w:tc>
        <w:tc>
          <w:tcPr>
            <w:tcW w:w="851" w:type="dxa"/>
            <w:vAlign w:val="center"/>
          </w:tcPr>
          <w:p w:rsidR="00C12820" w:rsidRPr="00C709E3" w:rsidRDefault="00C12820" w:rsidP="00CE5760">
            <w:pPr>
              <w:spacing w:after="0" w:line="240" w:lineRule="auto"/>
              <w:rPr>
                <w:bCs/>
              </w:rPr>
            </w:pPr>
            <w:r w:rsidRPr="00C709E3">
              <w:rPr>
                <w:bCs/>
              </w:rPr>
              <w:t>1008</w:t>
            </w:r>
          </w:p>
        </w:tc>
        <w:tc>
          <w:tcPr>
            <w:tcW w:w="942" w:type="dxa"/>
            <w:vAlign w:val="center"/>
          </w:tcPr>
          <w:p w:rsidR="00C12820" w:rsidRPr="00C709E3" w:rsidRDefault="00C12820" w:rsidP="00CE5760">
            <w:pPr>
              <w:spacing w:after="0" w:line="240" w:lineRule="auto"/>
              <w:rPr>
                <w:bCs/>
              </w:rPr>
            </w:pPr>
            <w:r w:rsidRPr="00C709E3">
              <w:rPr>
                <w:bCs/>
              </w:rPr>
              <w:t>1389</w:t>
            </w:r>
          </w:p>
        </w:tc>
        <w:tc>
          <w:tcPr>
            <w:tcW w:w="759" w:type="dxa"/>
            <w:vAlign w:val="center"/>
          </w:tcPr>
          <w:p w:rsidR="00C12820" w:rsidRPr="00C709E3" w:rsidRDefault="00C12820" w:rsidP="00CE5760">
            <w:pPr>
              <w:spacing w:after="0" w:line="240" w:lineRule="auto"/>
              <w:rPr>
                <w:bCs/>
              </w:rPr>
            </w:pPr>
            <w:r w:rsidRPr="00C709E3">
              <w:rPr>
                <w:bCs/>
              </w:rPr>
              <w:t>1998</w:t>
            </w:r>
          </w:p>
        </w:tc>
        <w:tc>
          <w:tcPr>
            <w:tcW w:w="850" w:type="dxa"/>
            <w:vAlign w:val="center"/>
          </w:tcPr>
          <w:p w:rsidR="00C12820" w:rsidRPr="00C709E3" w:rsidRDefault="00C12820" w:rsidP="00CE5760">
            <w:pPr>
              <w:spacing w:after="0" w:line="240" w:lineRule="auto"/>
              <w:rPr>
                <w:bCs/>
              </w:rPr>
            </w:pPr>
            <w:r w:rsidRPr="00C709E3">
              <w:rPr>
                <w:bCs/>
              </w:rPr>
              <w:t>7149</w:t>
            </w:r>
          </w:p>
        </w:tc>
      </w:tr>
    </w:tbl>
    <w:p w:rsidR="00C12820" w:rsidRPr="0062606F" w:rsidRDefault="00C12820" w:rsidP="00C12820">
      <w:pPr>
        <w:spacing w:after="0" w:line="240" w:lineRule="auto"/>
      </w:pPr>
    </w:p>
    <w:p w:rsidR="00C12820" w:rsidRPr="0062606F" w:rsidRDefault="00C12820" w:rsidP="00C12820">
      <w:pPr>
        <w:spacing w:after="0" w:line="240" w:lineRule="auto"/>
        <w:rPr>
          <w:b/>
        </w:rPr>
      </w:pPr>
    </w:p>
    <w:p w:rsidR="00C12820" w:rsidRDefault="00C12820" w:rsidP="00C12820"/>
    <w:p w:rsidR="00C12820" w:rsidRDefault="00C12820" w:rsidP="00C12820"/>
    <w:p w:rsidR="00C12820" w:rsidRDefault="00C12820" w:rsidP="00C12820"/>
    <w:p w:rsidR="00C12820" w:rsidRDefault="00C12820" w:rsidP="00C12820"/>
    <w:p w:rsidR="00C12820" w:rsidRDefault="00C12820" w:rsidP="00C12820"/>
    <w:p w:rsidR="00C12820" w:rsidRDefault="00C12820" w:rsidP="00C12820"/>
    <w:p w:rsidR="00C12820" w:rsidRDefault="00C12820" w:rsidP="00C12820"/>
    <w:p w:rsidR="00C12820" w:rsidRDefault="00C12820" w:rsidP="00C12820"/>
    <w:p w:rsidR="00C12820" w:rsidRPr="00C709E3" w:rsidRDefault="00C12820" w:rsidP="00C12820">
      <w:r w:rsidRPr="00C709E3">
        <w:t xml:space="preserve">AH - Arts and Humanities </w:t>
      </w:r>
      <w:r w:rsidRPr="00C709E3">
        <w:tab/>
      </w:r>
      <w:r w:rsidRPr="00C709E3">
        <w:tab/>
      </w:r>
      <w:r w:rsidRPr="00C709E3">
        <w:tab/>
        <w:t>LS -Life Sciences</w:t>
      </w:r>
    </w:p>
    <w:p w:rsidR="00C12820" w:rsidRPr="00C709E3" w:rsidRDefault="00C12820" w:rsidP="00C12820">
      <w:r w:rsidRPr="00C709E3">
        <w:t xml:space="preserve">BE- Built Environment </w:t>
      </w:r>
      <w:r w:rsidRPr="00C709E3">
        <w:tab/>
      </w:r>
      <w:r w:rsidRPr="00C709E3">
        <w:tab/>
      </w:r>
      <w:r w:rsidRPr="00C709E3">
        <w:tab/>
        <w:t>SHS- Social and Historical Sciences</w:t>
      </w:r>
    </w:p>
    <w:p w:rsidR="001A307D" w:rsidRPr="00C709E3" w:rsidRDefault="00C12820" w:rsidP="001A307D">
      <w:pPr>
        <w:spacing w:after="0" w:line="240" w:lineRule="auto"/>
      </w:pPr>
      <w:r w:rsidRPr="00C709E3">
        <w:t xml:space="preserve">BS -Brain Sciences </w:t>
      </w:r>
      <w:r w:rsidR="001A307D" w:rsidRPr="00C709E3">
        <w:tab/>
      </w:r>
      <w:r w:rsidR="001A307D" w:rsidRPr="00C709E3">
        <w:tab/>
      </w:r>
      <w:r w:rsidR="001A307D" w:rsidRPr="00C709E3">
        <w:tab/>
      </w:r>
      <w:r w:rsidR="001A307D" w:rsidRPr="00C709E3">
        <w:tab/>
        <w:t>ES Engineering Sciences</w:t>
      </w:r>
    </w:p>
    <w:p w:rsidR="00C12820" w:rsidRDefault="00C12820" w:rsidP="00C12820"/>
    <w:p w:rsidR="00C12820" w:rsidRDefault="00C12820" w:rsidP="00C12820">
      <w:pPr>
        <w:spacing w:after="0" w:line="240" w:lineRule="auto"/>
        <w:rPr>
          <w:b/>
        </w:rPr>
      </w:pPr>
    </w:p>
    <w:p w:rsidR="00C12820" w:rsidRDefault="00C12820" w:rsidP="00C12820">
      <w:pPr>
        <w:spacing w:after="0" w:line="240" w:lineRule="auto"/>
      </w:pPr>
    </w:p>
    <w:p w:rsidR="00C12820" w:rsidRDefault="00EE6808" w:rsidP="00C12820">
      <w:pPr>
        <w:spacing w:line="240" w:lineRule="auto"/>
        <w:rPr>
          <w:noProof/>
          <w:lang w:eastAsia="en-GB"/>
        </w:rPr>
      </w:pPr>
      <w:r>
        <w:t xml:space="preserve">A 7 (Faculty) x 2 (Gender) x 8 (Ethnic Group) </w:t>
      </w:r>
      <w:r w:rsidRPr="003C0863">
        <w:t>Analysis</w:t>
      </w:r>
      <w:r w:rsidR="00C12820">
        <w:t xml:space="preserve"> Of Variance (ANOVA) was used to investigate the effect of ethnicity, gender and Faculty on the final percentage score which forms the basis for degree classification. The analysis shows a s</w:t>
      </w:r>
      <w:r w:rsidR="00C12820" w:rsidRPr="005D1C28">
        <w:t xml:space="preserve">ignificant </w:t>
      </w:r>
      <w:r w:rsidR="00C12820">
        <w:t xml:space="preserve">main </w:t>
      </w:r>
      <w:r w:rsidR="00C12820" w:rsidRPr="005D1C28">
        <w:t xml:space="preserve">effect </w:t>
      </w:r>
      <w:r w:rsidR="00C12820">
        <w:t>of ethnicity, with</w:t>
      </w:r>
      <w:r w:rsidR="00C12820" w:rsidRPr="005D1C28">
        <w:t xml:space="preserve"> white students,</w:t>
      </w:r>
      <w:r w:rsidR="00C12820">
        <w:t xml:space="preserve"> on average, scoring</w:t>
      </w:r>
      <w:r w:rsidR="00C12820" w:rsidRPr="005D1C28">
        <w:t xml:space="preserve"> higher than </w:t>
      </w:r>
      <w:r w:rsidR="00CE5760">
        <w:t>BME</w:t>
      </w:r>
      <w:r w:rsidR="00C12820" w:rsidRPr="005D1C28">
        <w:t xml:space="preserve"> students (6</w:t>
      </w:r>
      <w:r w:rsidR="00C12820">
        <w:t>6</w:t>
      </w:r>
      <w:r w:rsidR="00C12820" w:rsidRPr="005D1C28">
        <w:t>.</w:t>
      </w:r>
      <w:r w:rsidR="00C12820">
        <w:t>2</w:t>
      </w:r>
      <w:r w:rsidR="00C12820" w:rsidRPr="005D1C28">
        <w:t>% vs. 6</w:t>
      </w:r>
      <w:r w:rsidR="00C12820">
        <w:t>4.5</w:t>
      </w:r>
      <w:r w:rsidR="00C12820" w:rsidRPr="005D1C28">
        <w:t>%</w:t>
      </w:r>
      <w:r w:rsidR="00C12820">
        <w:t xml:space="preserve">), </w:t>
      </w:r>
      <w:r w:rsidR="00C12820" w:rsidRPr="005C1B2F">
        <w:rPr>
          <w:i/>
        </w:rPr>
        <w:t>F</w:t>
      </w:r>
      <w:r w:rsidR="00C12820" w:rsidRPr="005D1C28">
        <w:t>(1,</w:t>
      </w:r>
      <w:r w:rsidR="00C12820">
        <w:t xml:space="preserve"> </w:t>
      </w:r>
      <w:r w:rsidR="00C12820" w:rsidRPr="005D1C28">
        <w:t xml:space="preserve">7121) = 113, </w:t>
      </w:r>
      <w:r w:rsidR="00C12820" w:rsidRPr="005C1B2F">
        <w:rPr>
          <w:i/>
        </w:rPr>
        <w:t>p</w:t>
      </w:r>
      <w:r w:rsidR="00C12820" w:rsidRPr="005D1C28">
        <w:t xml:space="preserve"> &lt; .001, η</w:t>
      </w:r>
      <w:r w:rsidR="00C12820" w:rsidRPr="005D1C28">
        <w:rPr>
          <w:vertAlign w:val="superscript"/>
        </w:rPr>
        <w:t>2</w:t>
      </w:r>
      <w:r w:rsidR="00C12820" w:rsidRPr="005D1C28">
        <w:rPr>
          <w:vertAlign w:val="subscript"/>
        </w:rPr>
        <w:t xml:space="preserve">p </w:t>
      </w:r>
      <w:r w:rsidR="00C12820" w:rsidRPr="005D1C28">
        <w:t>= .016.</w:t>
      </w:r>
      <w:r w:rsidR="00C12820" w:rsidRPr="005D1C28">
        <w:rPr>
          <w:noProof/>
          <w:lang w:eastAsia="en-GB"/>
        </w:rPr>
        <w:t xml:space="preserve"> </w:t>
      </w:r>
      <w:r w:rsidR="00C12820">
        <w:rPr>
          <w:noProof/>
          <w:lang w:eastAsia="en-GB"/>
        </w:rPr>
        <w:t xml:space="preserve"> This can be considered a small effect,  and  for both cohorts the average student would have been awarded an Upper Second class degree. </w:t>
      </w:r>
      <w:r w:rsidR="00C12820">
        <w:t xml:space="preserve">There was no </w:t>
      </w:r>
      <w:r w:rsidR="00C12820" w:rsidRPr="00254F6A">
        <w:t>significant</w:t>
      </w:r>
      <w:r w:rsidR="00C12820">
        <w:t xml:space="preserve"> effect of gender</w:t>
      </w:r>
      <w:r w:rsidR="00C12820" w:rsidRPr="00254F6A">
        <w:t xml:space="preserve">, </w:t>
      </w:r>
      <w:r w:rsidR="00C12820">
        <w:t xml:space="preserve">with </w:t>
      </w:r>
      <w:r w:rsidR="00C12820" w:rsidRPr="00254F6A">
        <w:t>both females and males score on average 65.4%</w:t>
      </w:r>
      <w:r w:rsidR="00C12820">
        <w:t>,</w:t>
      </w:r>
      <w:r w:rsidR="00C12820" w:rsidRPr="00254F6A">
        <w:t xml:space="preserve"> </w:t>
      </w:r>
      <w:r w:rsidR="00C12820" w:rsidRPr="005C1B2F">
        <w:rPr>
          <w:i/>
        </w:rPr>
        <w:t>F</w:t>
      </w:r>
      <w:r w:rsidR="00C12820" w:rsidRPr="00254F6A">
        <w:t>(1,</w:t>
      </w:r>
      <w:r w:rsidR="00C12820">
        <w:t xml:space="preserve"> </w:t>
      </w:r>
      <w:r w:rsidR="00C12820" w:rsidRPr="00254F6A">
        <w:t xml:space="preserve">7121) = .007, </w:t>
      </w:r>
      <w:r w:rsidR="00C12820" w:rsidRPr="005C1B2F">
        <w:rPr>
          <w:i/>
        </w:rPr>
        <w:t>p</w:t>
      </w:r>
      <w:r w:rsidR="00C12820" w:rsidRPr="00254F6A">
        <w:t xml:space="preserve"> = .936.</w:t>
      </w:r>
      <w:r w:rsidR="00C12820" w:rsidRPr="00254F6A">
        <w:rPr>
          <w:noProof/>
          <w:lang w:eastAsia="en-GB"/>
        </w:rPr>
        <w:t xml:space="preserve"> </w:t>
      </w:r>
    </w:p>
    <w:p w:rsidR="00C12820" w:rsidRPr="00CC31BA" w:rsidRDefault="00C12820" w:rsidP="00C12820">
      <w:pPr>
        <w:spacing w:after="0" w:line="240" w:lineRule="auto"/>
      </w:pPr>
      <w:r>
        <w:t>To examine the effect of ethnicity on performance in more detail, a further ANOVA was conducted with ethnic group (8 categories), gender and Faculty as independent variables and mean percentage score as the dependent variable</w:t>
      </w:r>
    </w:p>
    <w:p w:rsidR="00C12820" w:rsidRDefault="00C12820" w:rsidP="00C12820">
      <w:r>
        <w:t>There was a s</w:t>
      </w:r>
      <w:r w:rsidRPr="00310A24">
        <w:t>ignificant effect of ethnic</w:t>
      </w:r>
      <w:r>
        <w:t xml:space="preserve"> group, </w:t>
      </w:r>
      <w:r w:rsidRPr="005C1B2F">
        <w:rPr>
          <w:i/>
        </w:rPr>
        <w:t>F</w:t>
      </w:r>
      <w:r w:rsidRPr="00310A24">
        <w:t>(7,</w:t>
      </w:r>
      <w:r>
        <w:t xml:space="preserve"> </w:t>
      </w:r>
      <w:r w:rsidRPr="00310A24">
        <w:t xml:space="preserve">7037) = 16.2, </w:t>
      </w:r>
      <w:r w:rsidRPr="005C1B2F">
        <w:rPr>
          <w:i/>
        </w:rPr>
        <w:t>p</w:t>
      </w:r>
      <w:r w:rsidRPr="00310A24">
        <w:t xml:space="preserve"> &lt; .001, η</w:t>
      </w:r>
      <w:r w:rsidRPr="00310A24">
        <w:rPr>
          <w:vertAlign w:val="superscript"/>
        </w:rPr>
        <w:t>2</w:t>
      </w:r>
      <w:r w:rsidRPr="00310A24">
        <w:rPr>
          <w:vertAlign w:val="subscript"/>
        </w:rPr>
        <w:t xml:space="preserve">p </w:t>
      </w:r>
      <w:r w:rsidRPr="00310A24">
        <w:t>= .016</w:t>
      </w:r>
      <w:r>
        <w:t>,</w:t>
      </w:r>
      <w:r w:rsidR="001A307D">
        <w:t xml:space="preserve"> as illustrated below in Table 3</w:t>
      </w:r>
      <w:r>
        <w:t>.</w:t>
      </w:r>
    </w:p>
    <w:p w:rsidR="00C12820" w:rsidRDefault="00C12820" w:rsidP="00C12820">
      <w:pPr>
        <w:spacing w:after="0" w:line="240" w:lineRule="auto"/>
      </w:pPr>
      <w:r w:rsidRPr="00F01422">
        <w:t xml:space="preserve">Table </w:t>
      </w:r>
      <w:r w:rsidR="001A307D">
        <w:t>3</w:t>
      </w:r>
      <w:r w:rsidRPr="00F01422">
        <w:rPr>
          <w:b/>
        </w:rPr>
        <w:t>:</w:t>
      </w:r>
      <w:r w:rsidRPr="00F01422">
        <w:t xml:space="preserve"> </w:t>
      </w:r>
      <w:r>
        <w:t>Mean percentage score as a function of ethnic group</w:t>
      </w:r>
    </w:p>
    <w:p w:rsidR="00C12820" w:rsidRDefault="00C12820" w:rsidP="00C12820">
      <w:pPr>
        <w:spacing w:after="0" w:line="240" w:lineRule="auto"/>
      </w:pPr>
    </w:p>
    <w:tbl>
      <w:tblPr>
        <w:tblpPr w:leftFromText="180" w:rightFromText="180" w:vertAnchor="text" w:horzAnchor="margin" w:tblpXSpec="center"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5"/>
        <w:gridCol w:w="1232"/>
        <w:gridCol w:w="1126"/>
        <w:gridCol w:w="1145"/>
        <w:gridCol w:w="1124"/>
        <w:gridCol w:w="1232"/>
        <w:gridCol w:w="1133"/>
        <w:gridCol w:w="1125"/>
      </w:tblGrid>
      <w:tr w:rsidR="00C12820" w:rsidRPr="00437F62" w:rsidTr="00FB33BA">
        <w:tc>
          <w:tcPr>
            <w:tcW w:w="1125" w:type="dxa"/>
          </w:tcPr>
          <w:p w:rsidR="00C12820" w:rsidRPr="00437F62" w:rsidRDefault="00C12820" w:rsidP="00CE5760">
            <w:pPr>
              <w:autoSpaceDE w:val="0"/>
              <w:autoSpaceDN w:val="0"/>
              <w:adjustRightInd w:val="0"/>
              <w:spacing w:after="0" w:line="400" w:lineRule="atLeast"/>
              <w:rPr>
                <w:lang w:eastAsia="en-GB"/>
              </w:rPr>
            </w:pPr>
            <w:r w:rsidRPr="00437F62">
              <w:rPr>
                <w:lang w:eastAsia="en-GB"/>
              </w:rPr>
              <w:t>White</w:t>
            </w:r>
          </w:p>
        </w:tc>
        <w:tc>
          <w:tcPr>
            <w:tcW w:w="1232" w:type="dxa"/>
          </w:tcPr>
          <w:p w:rsidR="00C12820" w:rsidRPr="00437F62" w:rsidRDefault="00C12820" w:rsidP="00CE5760">
            <w:pPr>
              <w:autoSpaceDE w:val="0"/>
              <w:autoSpaceDN w:val="0"/>
              <w:adjustRightInd w:val="0"/>
              <w:spacing w:after="0" w:line="400" w:lineRule="atLeast"/>
              <w:rPr>
                <w:lang w:eastAsia="en-GB"/>
              </w:rPr>
            </w:pPr>
            <w:r w:rsidRPr="00437F62">
              <w:rPr>
                <w:lang w:eastAsia="en-GB"/>
              </w:rPr>
              <w:t>African-Caribbean</w:t>
            </w:r>
          </w:p>
        </w:tc>
        <w:tc>
          <w:tcPr>
            <w:tcW w:w="1126" w:type="dxa"/>
          </w:tcPr>
          <w:p w:rsidR="00C12820" w:rsidRPr="00437F62" w:rsidRDefault="00C12820" w:rsidP="00CE5760">
            <w:pPr>
              <w:autoSpaceDE w:val="0"/>
              <w:autoSpaceDN w:val="0"/>
              <w:adjustRightInd w:val="0"/>
              <w:spacing w:after="0" w:line="400" w:lineRule="atLeast"/>
              <w:rPr>
                <w:lang w:eastAsia="en-GB"/>
              </w:rPr>
            </w:pPr>
            <w:r w:rsidRPr="00437F62">
              <w:rPr>
                <w:lang w:eastAsia="en-GB"/>
              </w:rPr>
              <w:t>South Asian</w:t>
            </w:r>
          </w:p>
        </w:tc>
        <w:tc>
          <w:tcPr>
            <w:tcW w:w="1145" w:type="dxa"/>
          </w:tcPr>
          <w:p w:rsidR="00C12820" w:rsidRPr="00437F62" w:rsidRDefault="00C12820" w:rsidP="00CE5760">
            <w:pPr>
              <w:autoSpaceDE w:val="0"/>
              <w:autoSpaceDN w:val="0"/>
              <w:adjustRightInd w:val="0"/>
              <w:spacing w:after="0" w:line="400" w:lineRule="atLeast"/>
              <w:rPr>
                <w:lang w:eastAsia="en-GB"/>
              </w:rPr>
            </w:pPr>
            <w:r w:rsidRPr="00437F62">
              <w:rPr>
                <w:lang w:eastAsia="en-GB"/>
              </w:rPr>
              <w:t>Chinese</w:t>
            </w:r>
          </w:p>
        </w:tc>
        <w:tc>
          <w:tcPr>
            <w:tcW w:w="1124" w:type="dxa"/>
          </w:tcPr>
          <w:p w:rsidR="00C12820" w:rsidRPr="00437F62" w:rsidRDefault="00C12820" w:rsidP="00CE5760">
            <w:pPr>
              <w:autoSpaceDE w:val="0"/>
              <w:autoSpaceDN w:val="0"/>
              <w:adjustRightInd w:val="0"/>
              <w:spacing w:after="0" w:line="400" w:lineRule="atLeast"/>
              <w:rPr>
                <w:lang w:eastAsia="en-GB"/>
              </w:rPr>
            </w:pPr>
            <w:r w:rsidRPr="00437F62">
              <w:rPr>
                <w:lang w:eastAsia="en-GB"/>
              </w:rPr>
              <w:t>Other Asian</w:t>
            </w:r>
          </w:p>
        </w:tc>
        <w:tc>
          <w:tcPr>
            <w:tcW w:w="1232" w:type="dxa"/>
          </w:tcPr>
          <w:p w:rsidR="00C12820" w:rsidRPr="00437F62" w:rsidRDefault="00C12820" w:rsidP="00CE5760">
            <w:pPr>
              <w:autoSpaceDE w:val="0"/>
              <w:autoSpaceDN w:val="0"/>
              <w:adjustRightInd w:val="0"/>
              <w:spacing w:after="0" w:line="400" w:lineRule="atLeast"/>
              <w:rPr>
                <w:lang w:eastAsia="en-GB"/>
              </w:rPr>
            </w:pPr>
            <w:r w:rsidRPr="00437F62">
              <w:rPr>
                <w:lang w:eastAsia="en-GB"/>
              </w:rPr>
              <w:t>Mixed: African-Caribbean</w:t>
            </w:r>
          </w:p>
        </w:tc>
        <w:tc>
          <w:tcPr>
            <w:tcW w:w="1133" w:type="dxa"/>
          </w:tcPr>
          <w:p w:rsidR="00C12820" w:rsidRPr="00437F62" w:rsidRDefault="00C12820" w:rsidP="00CE5760">
            <w:pPr>
              <w:autoSpaceDE w:val="0"/>
              <w:autoSpaceDN w:val="0"/>
              <w:adjustRightInd w:val="0"/>
              <w:spacing w:after="0" w:line="400" w:lineRule="atLeast"/>
              <w:rPr>
                <w:lang w:eastAsia="en-GB"/>
              </w:rPr>
            </w:pPr>
            <w:r w:rsidRPr="00437F62">
              <w:rPr>
                <w:lang w:eastAsia="en-GB"/>
              </w:rPr>
              <w:t>Mixed: Asian</w:t>
            </w:r>
          </w:p>
        </w:tc>
        <w:tc>
          <w:tcPr>
            <w:tcW w:w="1125" w:type="dxa"/>
          </w:tcPr>
          <w:p w:rsidR="00C12820" w:rsidRPr="00437F62" w:rsidRDefault="00C12820" w:rsidP="00CE5760">
            <w:pPr>
              <w:autoSpaceDE w:val="0"/>
              <w:autoSpaceDN w:val="0"/>
              <w:adjustRightInd w:val="0"/>
              <w:spacing w:after="0" w:line="400" w:lineRule="atLeast"/>
              <w:rPr>
                <w:lang w:eastAsia="en-GB"/>
              </w:rPr>
            </w:pPr>
            <w:r w:rsidRPr="00437F62">
              <w:rPr>
                <w:lang w:eastAsia="en-GB"/>
              </w:rPr>
              <w:t>Other</w:t>
            </w:r>
          </w:p>
        </w:tc>
      </w:tr>
      <w:tr w:rsidR="00C12820" w:rsidTr="00FB33BA">
        <w:tc>
          <w:tcPr>
            <w:tcW w:w="1125" w:type="dxa"/>
          </w:tcPr>
          <w:p w:rsidR="00C12820" w:rsidRPr="00437F62" w:rsidRDefault="00C12820" w:rsidP="00CE5760">
            <w:pPr>
              <w:autoSpaceDE w:val="0"/>
              <w:autoSpaceDN w:val="0"/>
              <w:adjustRightInd w:val="0"/>
              <w:spacing w:after="0" w:line="400" w:lineRule="atLeast"/>
              <w:rPr>
                <w:lang w:eastAsia="en-GB"/>
              </w:rPr>
            </w:pPr>
            <w:r>
              <w:rPr>
                <w:lang w:eastAsia="en-GB"/>
              </w:rPr>
              <w:t>66.2</w:t>
            </w:r>
          </w:p>
        </w:tc>
        <w:tc>
          <w:tcPr>
            <w:tcW w:w="1232" w:type="dxa"/>
          </w:tcPr>
          <w:p w:rsidR="00C12820" w:rsidRPr="00437F62" w:rsidRDefault="00C12820" w:rsidP="00CE5760">
            <w:pPr>
              <w:autoSpaceDE w:val="0"/>
              <w:autoSpaceDN w:val="0"/>
              <w:adjustRightInd w:val="0"/>
              <w:spacing w:after="0" w:line="400" w:lineRule="atLeast"/>
              <w:rPr>
                <w:lang w:eastAsia="en-GB"/>
              </w:rPr>
            </w:pPr>
            <w:r>
              <w:rPr>
                <w:lang w:eastAsia="en-GB"/>
              </w:rPr>
              <w:t>63.0</w:t>
            </w:r>
          </w:p>
        </w:tc>
        <w:tc>
          <w:tcPr>
            <w:tcW w:w="1126" w:type="dxa"/>
          </w:tcPr>
          <w:p w:rsidR="00C12820" w:rsidRPr="00437F62" w:rsidRDefault="00C12820" w:rsidP="00CE5760">
            <w:pPr>
              <w:autoSpaceDE w:val="0"/>
              <w:autoSpaceDN w:val="0"/>
              <w:adjustRightInd w:val="0"/>
              <w:spacing w:after="0" w:line="400" w:lineRule="atLeast"/>
              <w:rPr>
                <w:lang w:eastAsia="en-GB"/>
              </w:rPr>
            </w:pPr>
            <w:r>
              <w:rPr>
                <w:lang w:eastAsia="en-GB"/>
              </w:rPr>
              <w:t>65.1</w:t>
            </w:r>
          </w:p>
        </w:tc>
        <w:tc>
          <w:tcPr>
            <w:tcW w:w="1145" w:type="dxa"/>
          </w:tcPr>
          <w:p w:rsidR="00C12820" w:rsidRPr="00437F62" w:rsidRDefault="00C12820" w:rsidP="00CE5760">
            <w:pPr>
              <w:autoSpaceDE w:val="0"/>
              <w:autoSpaceDN w:val="0"/>
              <w:adjustRightInd w:val="0"/>
              <w:spacing w:after="0" w:line="400" w:lineRule="atLeast"/>
              <w:rPr>
                <w:lang w:eastAsia="en-GB"/>
              </w:rPr>
            </w:pPr>
            <w:r>
              <w:rPr>
                <w:lang w:eastAsia="en-GB"/>
              </w:rPr>
              <w:t>64.6</w:t>
            </w:r>
          </w:p>
        </w:tc>
        <w:tc>
          <w:tcPr>
            <w:tcW w:w="1124" w:type="dxa"/>
          </w:tcPr>
          <w:p w:rsidR="00C12820" w:rsidRPr="00437F62" w:rsidRDefault="00C12820" w:rsidP="00CE5760">
            <w:pPr>
              <w:autoSpaceDE w:val="0"/>
              <w:autoSpaceDN w:val="0"/>
              <w:adjustRightInd w:val="0"/>
              <w:spacing w:after="0" w:line="400" w:lineRule="atLeast"/>
              <w:rPr>
                <w:lang w:eastAsia="en-GB"/>
              </w:rPr>
            </w:pPr>
            <w:r>
              <w:rPr>
                <w:lang w:eastAsia="en-GB"/>
              </w:rPr>
              <w:t>63.7</w:t>
            </w:r>
          </w:p>
        </w:tc>
        <w:tc>
          <w:tcPr>
            <w:tcW w:w="1232" w:type="dxa"/>
          </w:tcPr>
          <w:p w:rsidR="00C12820" w:rsidRPr="00437F62" w:rsidRDefault="00C12820" w:rsidP="00CE5760">
            <w:pPr>
              <w:autoSpaceDE w:val="0"/>
              <w:autoSpaceDN w:val="0"/>
              <w:adjustRightInd w:val="0"/>
              <w:spacing w:after="0" w:line="400" w:lineRule="atLeast"/>
              <w:rPr>
                <w:lang w:eastAsia="en-GB"/>
              </w:rPr>
            </w:pPr>
            <w:r>
              <w:rPr>
                <w:lang w:eastAsia="en-GB"/>
              </w:rPr>
              <w:t>64.7</w:t>
            </w:r>
          </w:p>
        </w:tc>
        <w:tc>
          <w:tcPr>
            <w:tcW w:w="1133" w:type="dxa"/>
          </w:tcPr>
          <w:p w:rsidR="00C12820" w:rsidRPr="00437F62" w:rsidRDefault="00C12820" w:rsidP="00CE5760">
            <w:pPr>
              <w:autoSpaceDE w:val="0"/>
              <w:autoSpaceDN w:val="0"/>
              <w:adjustRightInd w:val="0"/>
              <w:spacing w:after="0" w:line="400" w:lineRule="atLeast"/>
              <w:rPr>
                <w:lang w:eastAsia="en-GB"/>
              </w:rPr>
            </w:pPr>
            <w:r>
              <w:rPr>
                <w:lang w:eastAsia="en-GB"/>
              </w:rPr>
              <w:t>65.1</w:t>
            </w:r>
          </w:p>
        </w:tc>
        <w:tc>
          <w:tcPr>
            <w:tcW w:w="1125" w:type="dxa"/>
          </w:tcPr>
          <w:p w:rsidR="00C12820" w:rsidRDefault="00C12820" w:rsidP="00CE5760">
            <w:pPr>
              <w:autoSpaceDE w:val="0"/>
              <w:autoSpaceDN w:val="0"/>
              <w:adjustRightInd w:val="0"/>
              <w:spacing w:after="0" w:line="400" w:lineRule="atLeast"/>
              <w:rPr>
                <w:lang w:eastAsia="en-GB"/>
              </w:rPr>
            </w:pPr>
            <w:r w:rsidRPr="00437F62">
              <w:rPr>
                <w:lang w:eastAsia="en-GB"/>
              </w:rPr>
              <w:t>6</w:t>
            </w:r>
            <w:r>
              <w:rPr>
                <w:lang w:eastAsia="en-GB"/>
              </w:rPr>
              <w:t>4.6</w:t>
            </w:r>
          </w:p>
        </w:tc>
      </w:tr>
    </w:tbl>
    <w:p w:rsidR="00C12820" w:rsidRDefault="00C12820" w:rsidP="00C12820">
      <w:pPr>
        <w:autoSpaceDE w:val="0"/>
        <w:autoSpaceDN w:val="0"/>
        <w:adjustRightInd w:val="0"/>
        <w:spacing w:after="0" w:line="400" w:lineRule="atLeast"/>
        <w:rPr>
          <w:lang w:eastAsia="en-GB"/>
        </w:rPr>
      </w:pPr>
    </w:p>
    <w:p w:rsidR="00C12820" w:rsidRDefault="00C12820" w:rsidP="00C12820">
      <w:pPr>
        <w:autoSpaceDE w:val="0"/>
        <w:autoSpaceDN w:val="0"/>
        <w:adjustRightInd w:val="0"/>
        <w:spacing w:after="0" w:line="400" w:lineRule="atLeast"/>
        <w:rPr>
          <w:lang w:eastAsia="en-GB"/>
        </w:rPr>
      </w:pPr>
    </w:p>
    <w:p w:rsidR="00C12820" w:rsidRDefault="00C12820" w:rsidP="00C12820">
      <w:pPr>
        <w:autoSpaceDE w:val="0"/>
        <w:autoSpaceDN w:val="0"/>
        <w:adjustRightInd w:val="0"/>
        <w:spacing w:after="0" w:line="400" w:lineRule="atLeast"/>
        <w:rPr>
          <w:lang w:eastAsia="en-GB"/>
        </w:rPr>
      </w:pPr>
    </w:p>
    <w:p w:rsidR="00C12820" w:rsidRDefault="00C12820" w:rsidP="00C12820">
      <w:pPr>
        <w:autoSpaceDE w:val="0"/>
        <w:autoSpaceDN w:val="0"/>
        <w:adjustRightInd w:val="0"/>
        <w:spacing w:after="0" w:line="400" w:lineRule="atLeast"/>
        <w:rPr>
          <w:lang w:eastAsia="en-GB"/>
        </w:rPr>
      </w:pPr>
    </w:p>
    <w:p w:rsidR="00C12820" w:rsidRDefault="00C12820" w:rsidP="00C12820">
      <w:pPr>
        <w:autoSpaceDE w:val="0"/>
        <w:autoSpaceDN w:val="0"/>
        <w:adjustRightInd w:val="0"/>
        <w:spacing w:after="0" w:line="400" w:lineRule="atLeast"/>
        <w:rPr>
          <w:lang w:eastAsia="en-GB"/>
        </w:rPr>
      </w:pPr>
    </w:p>
    <w:p w:rsidR="00C12820" w:rsidRDefault="00C12820" w:rsidP="00C12820">
      <w:pPr>
        <w:autoSpaceDE w:val="0"/>
        <w:autoSpaceDN w:val="0"/>
        <w:adjustRightInd w:val="0"/>
        <w:spacing w:after="0" w:line="240" w:lineRule="auto"/>
        <w:rPr>
          <w:lang w:eastAsia="en-GB"/>
        </w:rPr>
      </w:pPr>
      <w:r w:rsidRPr="00CC31BA">
        <w:rPr>
          <w:lang w:eastAsia="en-GB"/>
        </w:rPr>
        <w:t>Pair-wise comparisons between the ethnic groups</w:t>
      </w:r>
      <w:r>
        <w:rPr>
          <w:lang w:eastAsia="en-GB"/>
        </w:rPr>
        <w:t xml:space="preserve"> using B</w:t>
      </w:r>
      <w:r w:rsidRPr="00CC31BA">
        <w:rPr>
          <w:lang w:eastAsia="en-GB"/>
        </w:rPr>
        <w:t xml:space="preserve">onferroni-corrected </w:t>
      </w:r>
      <w:r w:rsidRPr="005C1B2F">
        <w:rPr>
          <w:i/>
          <w:lang w:eastAsia="en-GB"/>
        </w:rPr>
        <w:t>t</w:t>
      </w:r>
      <w:r>
        <w:rPr>
          <w:lang w:eastAsia="en-GB"/>
        </w:rPr>
        <w:t>-tests revealed that:</w:t>
      </w:r>
    </w:p>
    <w:p w:rsidR="00C12820" w:rsidRDefault="00C12820" w:rsidP="00C12820">
      <w:pPr>
        <w:autoSpaceDE w:val="0"/>
        <w:autoSpaceDN w:val="0"/>
        <w:adjustRightInd w:val="0"/>
        <w:spacing w:after="0" w:line="240" w:lineRule="auto"/>
        <w:rPr>
          <w:lang w:eastAsia="en-GB"/>
        </w:rPr>
      </w:pPr>
      <w:r w:rsidRPr="00312B16">
        <w:rPr>
          <w:lang w:eastAsia="en-GB"/>
        </w:rPr>
        <w:lastRenderedPageBreak/>
        <w:t>White students score significantly higher than</w:t>
      </w:r>
      <w:r>
        <w:rPr>
          <w:lang w:eastAsia="en-GB"/>
        </w:rPr>
        <w:t>,</w:t>
      </w:r>
      <w:r w:rsidRPr="00312B16">
        <w:rPr>
          <w:lang w:eastAsia="en-GB"/>
        </w:rPr>
        <w:t xml:space="preserve"> African-Caribbean students (</w:t>
      </w:r>
      <w:r w:rsidRPr="005C1B2F">
        <w:rPr>
          <w:i/>
          <w:lang w:eastAsia="en-GB"/>
        </w:rPr>
        <w:t>p</w:t>
      </w:r>
      <w:r w:rsidRPr="00312B16">
        <w:rPr>
          <w:lang w:eastAsia="en-GB"/>
        </w:rPr>
        <w:t xml:space="preserve"> &lt; .001)</w:t>
      </w:r>
      <w:r>
        <w:rPr>
          <w:lang w:eastAsia="en-GB"/>
        </w:rPr>
        <w:t xml:space="preserve">, </w:t>
      </w:r>
      <w:r w:rsidRPr="00312B16">
        <w:rPr>
          <w:lang w:eastAsia="en-GB"/>
        </w:rPr>
        <w:t>South Asian students (</w:t>
      </w:r>
      <w:r w:rsidRPr="005C1B2F">
        <w:rPr>
          <w:i/>
          <w:lang w:eastAsia="en-GB"/>
        </w:rPr>
        <w:t>p</w:t>
      </w:r>
      <w:r w:rsidRPr="00312B16">
        <w:rPr>
          <w:lang w:eastAsia="en-GB"/>
        </w:rPr>
        <w:t xml:space="preserve"> &lt; .001</w:t>
      </w:r>
      <w:r>
        <w:rPr>
          <w:lang w:eastAsia="en-GB"/>
        </w:rPr>
        <w:t>),</w:t>
      </w:r>
      <w:r w:rsidRPr="00CC31BA">
        <w:rPr>
          <w:lang w:eastAsia="en-GB"/>
        </w:rPr>
        <w:t xml:space="preserve"> </w:t>
      </w:r>
      <w:r w:rsidRPr="00312B16">
        <w:rPr>
          <w:lang w:eastAsia="en-GB"/>
        </w:rPr>
        <w:t>Chinese students (</w:t>
      </w:r>
      <w:r w:rsidRPr="005C1B2F">
        <w:rPr>
          <w:i/>
          <w:lang w:eastAsia="en-GB"/>
        </w:rPr>
        <w:t>p</w:t>
      </w:r>
      <w:r w:rsidRPr="00312B16">
        <w:rPr>
          <w:lang w:eastAsia="en-GB"/>
        </w:rPr>
        <w:t xml:space="preserve"> &lt; .001</w:t>
      </w:r>
      <w:r>
        <w:rPr>
          <w:lang w:eastAsia="en-GB"/>
        </w:rPr>
        <w:t xml:space="preserve">), </w:t>
      </w:r>
      <w:r w:rsidRPr="00312B16">
        <w:rPr>
          <w:lang w:eastAsia="en-GB"/>
        </w:rPr>
        <w:t xml:space="preserve">Other Asian </w:t>
      </w:r>
      <w:r>
        <w:rPr>
          <w:lang w:eastAsia="en-GB"/>
        </w:rPr>
        <w:t xml:space="preserve">students </w:t>
      </w:r>
      <w:r w:rsidRPr="00312B16">
        <w:rPr>
          <w:lang w:eastAsia="en-GB"/>
        </w:rPr>
        <w:t>(</w:t>
      </w:r>
      <w:r w:rsidRPr="005C1B2F">
        <w:rPr>
          <w:i/>
          <w:lang w:eastAsia="en-GB"/>
        </w:rPr>
        <w:t>p</w:t>
      </w:r>
      <w:r w:rsidRPr="00312B16">
        <w:rPr>
          <w:lang w:eastAsia="en-GB"/>
        </w:rPr>
        <w:t xml:space="preserve"> &lt; .001)</w:t>
      </w:r>
      <w:r>
        <w:rPr>
          <w:lang w:eastAsia="en-GB"/>
        </w:rPr>
        <w:t xml:space="preserve"> and </w:t>
      </w:r>
      <w:r w:rsidRPr="00312B16">
        <w:rPr>
          <w:lang w:eastAsia="en-GB"/>
        </w:rPr>
        <w:t>Other Ethnicity</w:t>
      </w:r>
      <w:r>
        <w:rPr>
          <w:lang w:eastAsia="en-GB"/>
        </w:rPr>
        <w:t xml:space="preserve"> students </w:t>
      </w:r>
      <w:r w:rsidRPr="00312B16">
        <w:rPr>
          <w:lang w:eastAsia="en-GB"/>
        </w:rPr>
        <w:t>(</w:t>
      </w:r>
      <w:r w:rsidRPr="005C1B2F">
        <w:rPr>
          <w:i/>
          <w:lang w:eastAsia="en-GB"/>
        </w:rPr>
        <w:t>p</w:t>
      </w:r>
      <w:r w:rsidRPr="00312B16">
        <w:rPr>
          <w:lang w:eastAsia="en-GB"/>
        </w:rPr>
        <w:t xml:space="preserve"> = .001</w:t>
      </w:r>
      <w:r>
        <w:rPr>
          <w:lang w:eastAsia="en-GB"/>
        </w:rPr>
        <w:t>). African-Caribbean students score significantly lower than South Asian students (</w:t>
      </w:r>
      <w:r w:rsidRPr="005C1B2F">
        <w:rPr>
          <w:i/>
          <w:lang w:eastAsia="en-GB"/>
        </w:rPr>
        <w:t>p</w:t>
      </w:r>
      <w:r>
        <w:rPr>
          <w:lang w:eastAsia="en-GB"/>
        </w:rPr>
        <w:t xml:space="preserve"> = .001), and Chinese students (</w:t>
      </w:r>
      <w:r w:rsidRPr="005C1B2F">
        <w:rPr>
          <w:i/>
          <w:lang w:eastAsia="en-GB"/>
        </w:rPr>
        <w:t>p</w:t>
      </w:r>
      <w:r>
        <w:rPr>
          <w:lang w:eastAsia="en-GB"/>
        </w:rPr>
        <w:t xml:space="preserve"> = .040). South Asian students score significantly higher than Other Asian students (</w:t>
      </w:r>
      <w:r w:rsidRPr="005C1B2F">
        <w:rPr>
          <w:i/>
          <w:lang w:eastAsia="en-GB"/>
        </w:rPr>
        <w:t>p</w:t>
      </w:r>
      <w:r>
        <w:rPr>
          <w:lang w:eastAsia="en-GB"/>
        </w:rPr>
        <w:t xml:space="preserve"> = .004)</w:t>
      </w:r>
    </w:p>
    <w:p w:rsidR="00C12820" w:rsidRDefault="00C12820" w:rsidP="00C12820">
      <w:pPr>
        <w:autoSpaceDE w:val="0"/>
        <w:autoSpaceDN w:val="0"/>
        <w:adjustRightInd w:val="0"/>
        <w:spacing w:after="0" w:line="240" w:lineRule="auto"/>
        <w:rPr>
          <w:lang w:eastAsia="en-GB"/>
        </w:rPr>
      </w:pPr>
    </w:p>
    <w:p w:rsidR="00C12820" w:rsidRDefault="00C12820" w:rsidP="00C12820">
      <w:pPr>
        <w:spacing w:line="240" w:lineRule="auto"/>
      </w:pPr>
      <w:r w:rsidRPr="00C66DB8">
        <w:t xml:space="preserve">There were significant differences between faculties in relation to the </w:t>
      </w:r>
      <w:r>
        <w:t>mean</w:t>
      </w:r>
      <w:r w:rsidRPr="00C66DB8">
        <w:t xml:space="preserve"> percentage score, </w:t>
      </w:r>
      <w:r w:rsidRPr="005C1B2F">
        <w:rPr>
          <w:i/>
        </w:rPr>
        <w:t>F</w:t>
      </w:r>
      <w:r w:rsidRPr="005D1C28">
        <w:t>(</w:t>
      </w:r>
      <w:r>
        <w:t>6</w:t>
      </w:r>
      <w:r w:rsidRPr="005D1C28">
        <w:t>,</w:t>
      </w:r>
      <w:r>
        <w:t xml:space="preserve"> </w:t>
      </w:r>
      <w:r w:rsidRPr="005D1C28">
        <w:t xml:space="preserve">7121) = </w:t>
      </w:r>
      <w:r>
        <w:t>44.2</w:t>
      </w:r>
      <w:r w:rsidRPr="005D1C28">
        <w:t xml:space="preserve">, </w:t>
      </w:r>
      <w:r w:rsidRPr="005C1B2F">
        <w:rPr>
          <w:i/>
        </w:rPr>
        <w:t>p</w:t>
      </w:r>
      <w:r w:rsidRPr="005D1C28">
        <w:t xml:space="preserve"> &lt; .001, η</w:t>
      </w:r>
      <w:r w:rsidRPr="005D1C28">
        <w:rPr>
          <w:vertAlign w:val="superscript"/>
        </w:rPr>
        <w:t>2</w:t>
      </w:r>
      <w:r w:rsidRPr="005D1C28">
        <w:rPr>
          <w:vertAlign w:val="subscript"/>
        </w:rPr>
        <w:t xml:space="preserve">p </w:t>
      </w:r>
      <w:r w:rsidRPr="005D1C28">
        <w:t>= .0</w:t>
      </w:r>
      <w:r>
        <w:t>3</w:t>
      </w:r>
      <w:r w:rsidRPr="005D1C28">
        <w:t>6</w:t>
      </w:r>
      <w:r>
        <w:t xml:space="preserve">, </w:t>
      </w:r>
      <w:r w:rsidRPr="00C66DB8">
        <w:t>as shown below</w:t>
      </w:r>
      <w:r>
        <w:t>. As expected, Faculties with the more quantitative subject disciplines have hi</w:t>
      </w:r>
      <w:r w:rsidR="001A307D">
        <w:t>gher average scores (see Table 4</w:t>
      </w:r>
      <w:r>
        <w:t xml:space="preserve"> below).</w:t>
      </w:r>
    </w:p>
    <w:p w:rsidR="00C12820" w:rsidRDefault="00C12820" w:rsidP="00C12820">
      <w:r w:rsidRPr="00DD1B47">
        <w:t xml:space="preserve">Table </w:t>
      </w:r>
      <w:r w:rsidR="001A307D">
        <w:t>4</w:t>
      </w:r>
      <w:r w:rsidRPr="00DD1B47">
        <w:rPr>
          <w:b/>
        </w:rPr>
        <w:t>:</w:t>
      </w:r>
      <w:r w:rsidRPr="00DD1B47">
        <w:t xml:space="preserve">  </w:t>
      </w:r>
      <w:r>
        <w:t>Mean percentage score as a function of Faculty and Ethnicity</w:t>
      </w:r>
    </w:p>
    <w:tbl>
      <w:tblPr>
        <w:tblStyle w:val="TableGrid"/>
        <w:tblW w:w="0" w:type="auto"/>
        <w:jc w:val="center"/>
        <w:tblLook w:val="04A0" w:firstRow="1" w:lastRow="0" w:firstColumn="1" w:lastColumn="0" w:noHBand="0" w:noVBand="1"/>
      </w:tblPr>
      <w:tblGrid>
        <w:gridCol w:w="1135"/>
        <w:gridCol w:w="1326"/>
        <w:gridCol w:w="1452"/>
        <w:gridCol w:w="1227"/>
        <w:gridCol w:w="1391"/>
        <w:gridCol w:w="1227"/>
        <w:gridCol w:w="1464"/>
        <w:gridCol w:w="1234"/>
      </w:tblGrid>
      <w:tr w:rsidR="00C12820" w:rsidTr="00FB33BA">
        <w:trPr>
          <w:jc w:val="center"/>
        </w:trPr>
        <w:tc>
          <w:tcPr>
            <w:tcW w:w="1335" w:type="dxa"/>
          </w:tcPr>
          <w:p w:rsidR="00C12820" w:rsidRDefault="00C12820" w:rsidP="00CE5760"/>
        </w:tc>
        <w:tc>
          <w:tcPr>
            <w:tcW w:w="1335" w:type="dxa"/>
          </w:tcPr>
          <w:p w:rsidR="00C12820" w:rsidRDefault="00C12820" w:rsidP="00CE5760">
            <w:r>
              <w:t>Arts &amp; Humanities</w:t>
            </w:r>
          </w:p>
        </w:tc>
        <w:tc>
          <w:tcPr>
            <w:tcW w:w="1335" w:type="dxa"/>
          </w:tcPr>
          <w:p w:rsidR="00C12820" w:rsidRDefault="00C12820" w:rsidP="00CE5760">
            <w:r>
              <w:t>Built Environment</w:t>
            </w:r>
          </w:p>
        </w:tc>
        <w:tc>
          <w:tcPr>
            <w:tcW w:w="1335" w:type="dxa"/>
          </w:tcPr>
          <w:p w:rsidR="00C12820" w:rsidRDefault="00C12820" w:rsidP="00CE5760">
            <w:r>
              <w:t>Brain Sciences</w:t>
            </w:r>
          </w:p>
        </w:tc>
        <w:tc>
          <w:tcPr>
            <w:tcW w:w="1335" w:type="dxa"/>
          </w:tcPr>
          <w:p w:rsidR="00C12820" w:rsidRDefault="00C12820" w:rsidP="00CE5760">
            <w:r>
              <w:t>Engineering Sciences</w:t>
            </w:r>
          </w:p>
        </w:tc>
        <w:tc>
          <w:tcPr>
            <w:tcW w:w="1335" w:type="dxa"/>
          </w:tcPr>
          <w:p w:rsidR="00C12820" w:rsidRDefault="00C12820" w:rsidP="00CE5760">
            <w:r>
              <w:t>Life Sciences</w:t>
            </w:r>
          </w:p>
        </w:tc>
        <w:tc>
          <w:tcPr>
            <w:tcW w:w="1336" w:type="dxa"/>
          </w:tcPr>
          <w:p w:rsidR="00C12820" w:rsidRDefault="00C12820" w:rsidP="00CE5760">
            <w:r>
              <w:t>Mathematics &amp; Physical Sciences</w:t>
            </w:r>
          </w:p>
        </w:tc>
        <w:tc>
          <w:tcPr>
            <w:tcW w:w="1336" w:type="dxa"/>
          </w:tcPr>
          <w:p w:rsidR="00C12820" w:rsidRDefault="00C12820" w:rsidP="00CE5760">
            <w:r>
              <w:t>Social &amp; Historical Studies</w:t>
            </w:r>
          </w:p>
        </w:tc>
      </w:tr>
      <w:tr w:rsidR="00C12820" w:rsidTr="00FB33BA">
        <w:trPr>
          <w:jc w:val="center"/>
        </w:trPr>
        <w:tc>
          <w:tcPr>
            <w:tcW w:w="1335" w:type="dxa"/>
          </w:tcPr>
          <w:p w:rsidR="00C12820" w:rsidRDefault="00C12820" w:rsidP="00CE5760">
            <w:r>
              <w:t>White</w:t>
            </w:r>
          </w:p>
        </w:tc>
        <w:tc>
          <w:tcPr>
            <w:tcW w:w="1335" w:type="dxa"/>
          </w:tcPr>
          <w:p w:rsidR="00C12820" w:rsidRDefault="00C12820" w:rsidP="00CE5760">
            <w:r>
              <w:t>65.1</w:t>
            </w:r>
          </w:p>
        </w:tc>
        <w:tc>
          <w:tcPr>
            <w:tcW w:w="1335" w:type="dxa"/>
          </w:tcPr>
          <w:p w:rsidR="00C12820" w:rsidRDefault="00C12820" w:rsidP="00CE5760">
            <w:r>
              <w:t>66.0</w:t>
            </w:r>
          </w:p>
        </w:tc>
        <w:tc>
          <w:tcPr>
            <w:tcW w:w="1335" w:type="dxa"/>
          </w:tcPr>
          <w:p w:rsidR="00C12820" w:rsidRDefault="00C12820" w:rsidP="00CE5760">
            <w:r>
              <w:t>67.0</w:t>
            </w:r>
          </w:p>
        </w:tc>
        <w:tc>
          <w:tcPr>
            <w:tcW w:w="1335" w:type="dxa"/>
          </w:tcPr>
          <w:p w:rsidR="00C12820" w:rsidRDefault="00C12820" w:rsidP="00CE5760">
            <w:r>
              <w:t>67.6</w:t>
            </w:r>
          </w:p>
        </w:tc>
        <w:tc>
          <w:tcPr>
            <w:tcW w:w="1335" w:type="dxa"/>
          </w:tcPr>
          <w:p w:rsidR="00C12820" w:rsidRDefault="00C12820" w:rsidP="00CE5760">
            <w:r>
              <w:t>66.2</w:t>
            </w:r>
          </w:p>
        </w:tc>
        <w:tc>
          <w:tcPr>
            <w:tcW w:w="1336" w:type="dxa"/>
          </w:tcPr>
          <w:p w:rsidR="00C12820" w:rsidRDefault="00C12820" w:rsidP="00CE5760">
            <w:r>
              <w:t>68.7</w:t>
            </w:r>
          </w:p>
        </w:tc>
        <w:tc>
          <w:tcPr>
            <w:tcW w:w="1336" w:type="dxa"/>
          </w:tcPr>
          <w:p w:rsidR="00C12820" w:rsidRDefault="00C12820" w:rsidP="00CE5760">
            <w:r>
              <w:t>65.2</w:t>
            </w:r>
          </w:p>
        </w:tc>
      </w:tr>
      <w:tr w:rsidR="00C12820" w:rsidTr="00FB33BA">
        <w:trPr>
          <w:jc w:val="center"/>
        </w:trPr>
        <w:tc>
          <w:tcPr>
            <w:tcW w:w="1335" w:type="dxa"/>
          </w:tcPr>
          <w:p w:rsidR="00C12820" w:rsidRDefault="00CE5760" w:rsidP="00CE5760">
            <w:r>
              <w:t>BME</w:t>
            </w:r>
          </w:p>
        </w:tc>
        <w:tc>
          <w:tcPr>
            <w:tcW w:w="1335" w:type="dxa"/>
          </w:tcPr>
          <w:p w:rsidR="00C12820" w:rsidRDefault="00C12820" w:rsidP="00CE5760">
            <w:r>
              <w:t>64.3</w:t>
            </w:r>
          </w:p>
        </w:tc>
        <w:tc>
          <w:tcPr>
            <w:tcW w:w="1335" w:type="dxa"/>
          </w:tcPr>
          <w:p w:rsidR="00C12820" w:rsidRDefault="00C12820" w:rsidP="00CE5760">
            <w:r>
              <w:t>62.4</w:t>
            </w:r>
          </w:p>
        </w:tc>
        <w:tc>
          <w:tcPr>
            <w:tcW w:w="1335" w:type="dxa"/>
          </w:tcPr>
          <w:p w:rsidR="00C12820" w:rsidRDefault="00C12820" w:rsidP="00CE5760">
            <w:r>
              <w:t>65.6</w:t>
            </w:r>
          </w:p>
        </w:tc>
        <w:tc>
          <w:tcPr>
            <w:tcW w:w="1335" w:type="dxa"/>
          </w:tcPr>
          <w:p w:rsidR="00C12820" w:rsidRDefault="00C12820" w:rsidP="00CE5760">
            <w:r>
              <w:t>64.2</w:t>
            </w:r>
          </w:p>
        </w:tc>
        <w:tc>
          <w:tcPr>
            <w:tcW w:w="1335" w:type="dxa"/>
          </w:tcPr>
          <w:p w:rsidR="00C12820" w:rsidRDefault="00C12820" w:rsidP="00CE5760">
            <w:r>
              <w:t>63.6</w:t>
            </w:r>
          </w:p>
        </w:tc>
        <w:tc>
          <w:tcPr>
            <w:tcW w:w="1336" w:type="dxa"/>
          </w:tcPr>
          <w:p w:rsidR="00C12820" w:rsidRDefault="00C12820" w:rsidP="00CE5760">
            <w:r>
              <w:t>66.7</w:t>
            </w:r>
          </w:p>
        </w:tc>
        <w:tc>
          <w:tcPr>
            <w:tcW w:w="1336" w:type="dxa"/>
          </w:tcPr>
          <w:p w:rsidR="00C12820" w:rsidRDefault="00C12820" w:rsidP="00CE5760">
            <w:r>
              <w:t>62.8</w:t>
            </w:r>
          </w:p>
        </w:tc>
      </w:tr>
      <w:tr w:rsidR="00C12820" w:rsidTr="00FB33BA">
        <w:trPr>
          <w:jc w:val="center"/>
        </w:trPr>
        <w:tc>
          <w:tcPr>
            <w:tcW w:w="1335" w:type="dxa"/>
          </w:tcPr>
          <w:p w:rsidR="00C12820" w:rsidRDefault="00C12820" w:rsidP="00CE5760">
            <w:r>
              <w:t>Overall</w:t>
            </w:r>
          </w:p>
        </w:tc>
        <w:tc>
          <w:tcPr>
            <w:tcW w:w="1335" w:type="dxa"/>
          </w:tcPr>
          <w:p w:rsidR="00C12820" w:rsidRDefault="00C12820" w:rsidP="00CE5760">
            <w:r>
              <w:t>64.9</w:t>
            </w:r>
          </w:p>
        </w:tc>
        <w:tc>
          <w:tcPr>
            <w:tcW w:w="1335" w:type="dxa"/>
          </w:tcPr>
          <w:p w:rsidR="00C12820" w:rsidRDefault="00C12820" w:rsidP="00CE5760">
            <w:r>
              <w:t>64.4</w:t>
            </w:r>
          </w:p>
        </w:tc>
        <w:tc>
          <w:tcPr>
            <w:tcW w:w="1335" w:type="dxa"/>
          </w:tcPr>
          <w:p w:rsidR="00C12820" w:rsidRDefault="00C12820" w:rsidP="00CE5760">
            <w:r>
              <w:t>66.4</w:t>
            </w:r>
          </w:p>
        </w:tc>
        <w:tc>
          <w:tcPr>
            <w:tcW w:w="1335" w:type="dxa"/>
          </w:tcPr>
          <w:p w:rsidR="00C12820" w:rsidRDefault="00C12820" w:rsidP="00CE5760">
            <w:r>
              <w:t>65.1</w:t>
            </w:r>
          </w:p>
        </w:tc>
        <w:tc>
          <w:tcPr>
            <w:tcW w:w="1335" w:type="dxa"/>
          </w:tcPr>
          <w:p w:rsidR="00C12820" w:rsidRDefault="00C12820" w:rsidP="00CE5760">
            <w:r>
              <w:t>65.2</w:t>
            </w:r>
          </w:p>
        </w:tc>
        <w:tc>
          <w:tcPr>
            <w:tcW w:w="1336" w:type="dxa"/>
          </w:tcPr>
          <w:p w:rsidR="00C12820" w:rsidRDefault="00C12820" w:rsidP="00CE5760">
            <w:r>
              <w:t>67.6</w:t>
            </w:r>
          </w:p>
        </w:tc>
        <w:tc>
          <w:tcPr>
            <w:tcW w:w="1336" w:type="dxa"/>
          </w:tcPr>
          <w:p w:rsidR="00C12820" w:rsidRDefault="00C12820" w:rsidP="00CE5760">
            <w:r>
              <w:t>64.3</w:t>
            </w:r>
          </w:p>
        </w:tc>
      </w:tr>
    </w:tbl>
    <w:p w:rsidR="00C12820" w:rsidRDefault="00C12820" w:rsidP="00C12820">
      <w:pPr>
        <w:spacing w:line="240" w:lineRule="auto"/>
      </w:pPr>
    </w:p>
    <w:p w:rsidR="001A307D" w:rsidRDefault="00C12820" w:rsidP="001A307D">
      <w:pPr>
        <w:spacing w:line="240" w:lineRule="auto"/>
      </w:pPr>
      <w:r>
        <w:t>There was no interaction between ethnicity and gender,</w:t>
      </w:r>
      <w:r w:rsidRPr="004166A2">
        <w:rPr>
          <w:b/>
        </w:rPr>
        <w:t xml:space="preserve"> </w:t>
      </w:r>
      <w:r w:rsidRPr="005C1B2F">
        <w:rPr>
          <w:i/>
        </w:rPr>
        <w:t>F</w:t>
      </w:r>
      <w:r w:rsidRPr="004166A2">
        <w:t>(1,</w:t>
      </w:r>
      <w:r>
        <w:t xml:space="preserve"> </w:t>
      </w:r>
      <w:r w:rsidRPr="004166A2">
        <w:t xml:space="preserve">7121) = .141, </w:t>
      </w:r>
      <w:r w:rsidRPr="005C1B2F">
        <w:rPr>
          <w:i/>
        </w:rPr>
        <w:t>p</w:t>
      </w:r>
      <w:r w:rsidRPr="004166A2">
        <w:t xml:space="preserve"> = .707.</w:t>
      </w:r>
      <w:r>
        <w:t xml:space="preserve"> However, there was a significant interaction between ethnicity and Faculty, </w:t>
      </w:r>
      <w:r w:rsidRPr="005C1B2F">
        <w:rPr>
          <w:i/>
        </w:rPr>
        <w:t>F</w:t>
      </w:r>
      <w:r w:rsidRPr="005D1C28">
        <w:t>(</w:t>
      </w:r>
      <w:r>
        <w:t>6</w:t>
      </w:r>
      <w:r w:rsidRPr="005D1C28">
        <w:t>,</w:t>
      </w:r>
      <w:r>
        <w:t xml:space="preserve"> </w:t>
      </w:r>
      <w:r w:rsidRPr="005D1C28">
        <w:t xml:space="preserve">7121) = </w:t>
      </w:r>
      <w:r>
        <w:t xml:space="preserve">3.37, </w:t>
      </w:r>
      <w:r w:rsidRPr="005C1B2F">
        <w:rPr>
          <w:i/>
        </w:rPr>
        <w:t>p</w:t>
      </w:r>
      <w:r>
        <w:t xml:space="preserve"> =</w:t>
      </w:r>
      <w:r w:rsidRPr="005D1C28">
        <w:t xml:space="preserve"> .00</w:t>
      </w:r>
      <w:r>
        <w:t>3</w:t>
      </w:r>
      <w:r w:rsidRPr="005D1C28">
        <w:t>, η</w:t>
      </w:r>
      <w:r w:rsidRPr="005D1C28">
        <w:rPr>
          <w:vertAlign w:val="superscript"/>
        </w:rPr>
        <w:t>2</w:t>
      </w:r>
      <w:r w:rsidRPr="005D1C28">
        <w:rPr>
          <w:vertAlign w:val="subscript"/>
        </w:rPr>
        <w:t xml:space="preserve">p </w:t>
      </w:r>
      <w:r w:rsidRPr="005D1C28">
        <w:t>= .0</w:t>
      </w:r>
      <w:r>
        <w:t xml:space="preserve">03. White students consistently outperform </w:t>
      </w:r>
      <w:r w:rsidR="00CE5760">
        <w:t>BME</w:t>
      </w:r>
      <w:r>
        <w:t xml:space="preserve"> students across all Faculties. However the differences are generally small and not statistically significant for the Faculty of Arts and Humanities. </w:t>
      </w:r>
    </w:p>
    <w:p w:rsidR="00C12820" w:rsidRDefault="001A307D" w:rsidP="001A307D">
      <w:pPr>
        <w:spacing w:line="240" w:lineRule="auto"/>
      </w:pPr>
      <w:r>
        <w:t>U</w:t>
      </w:r>
      <w:r w:rsidR="00C12820" w:rsidRPr="00F1406B">
        <w:t>K students only data</w:t>
      </w:r>
    </w:p>
    <w:p w:rsidR="00C12820" w:rsidRDefault="00EE6808" w:rsidP="00C12820">
      <w:pPr>
        <w:tabs>
          <w:tab w:val="left" w:pos="4822"/>
        </w:tabs>
        <w:spacing w:line="240" w:lineRule="auto"/>
      </w:pPr>
      <w:r>
        <w:t>A 2 (Ethnicity) x 2 (Widening Participation) x 2 (Gender) x7 (Faculty) ANOVA was</w:t>
      </w:r>
      <w:r w:rsidR="00C12820">
        <w:t xml:space="preserve"> conducted on the data for UK students (N=4256) to investigate the effect of ethnicity (white vs </w:t>
      </w:r>
      <w:r w:rsidR="00CE5760">
        <w:t>BME</w:t>
      </w:r>
      <w:r w:rsidR="00C12820">
        <w:t xml:space="preserve">), WP (whether the student came from a below average performing school in terms of A level points or not), gender and Faculty. There was a significant main </w:t>
      </w:r>
      <w:r w:rsidR="00C12820" w:rsidRPr="00DD16A8">
        <w:t>effect</w:t>
      </w:r>
      <w:r w:rsidR="00C12820">
        <w:t xml:space="preserve"> of ethnicity, with </w:t>
      </w:r>
      <w:r w:rsidR="00C12820" w:rsidRPr="00DD16A8">
        <w:t>white students scor</w:t>
      </w:r>
      <w:r w:rsidR="00C12820">
        <w:t>ing</w:t>
      </w:r>
      <w:r w:rsidR="00C12820" w:rsidRPr="00DD16A8">
        <w:t xml:space="preserve"> significantly higher than </w:t>
      </w:r>
      <w:r w:rsidR="00CE5760">
        <w:t>BME</w:t>
      </w:r>
      <w:r w:rsidR="00C12820" w:rsidRPr="00DD16A8">
        <w:t xml:space="preserve"> students (66.0% vs. 64.8%</w:t>
      </w:r>
      <w:r w:rsidR="00C12820">
        <w:t>)</w:t>
      </w:r>
      <w:r w:rsidR="00C12820" w:rsidRPr="00DD16A8">
        <w:t xml:space="preserve"> </w:t>
      </w:r>
      <w:r w:rsidR="00C12820" w:rsidRPr="005C1B2F">
        <w:rPr>
          <w:i/>
        </w:rPr>
        <w:t>F</w:t>
      </w:r>
      <w:r w:rsidR="00C12820" w:rsidRPr="00DD16A8">
        <w:t>(1,</w:t>
      </w:r>
      <w:r w:rsidR="00C12820">
        <w:t xml:space="preserve"> </w:t>
      </w:r>
      <w:r w:rsidR="00C12820" w:rsidRPr="00DD16A8">
        <w:t xml:space="preserve">4200) = 45.0, </w:t>
      </w:r>
      <w:r w:rsidR="00C12820" w:rsidRPr="005C1B2F">
        <w:rPr>
          <w:i/>
        </w:rPr>
        <w:t>p</w:t>
      </w:r>
      <w:r w:rsidR="00C12820" w:rsidRPr="00DD16A8">
        <w:t xml:space="preserve"> &lt; .001, η</w:t>
      </w:r>
      <w:r w:rsidR="00C12820" w:rsidRPr="00DD16A8">
        <w:rPr>
          <w:vertAlign w:val="superscript"/>
        </w:rPr>
        <w:t>2</w:t>
      </w:r>
      <w:r w:rsidR="00C12820" w:rsidRPr="00DD16A8">
        <w:rPr>
          <w:vertAlign w:val="subscript"/>
        </w:rPr>
        <w:t xml:space="preserve">p </w:t>
      </w:r>
      <w:r w:rsidR="00C12820" w:rsidRPr="00DD16A8">
        <w:t xml:space="preserve">= .011. </w:t>
      </w:r>
      <w:r w:rsidR="00C12820" w:rsidRPr="007C2A63">
        <w:rPr>
          <w:lang w:eastAsia="en-GB"/>
        </w:rPr>
        <w:t>There</w:t>
      </w:r>
      <w:r w:rsidR="00C12820">
        <w:rPr>
          <w:b/>
          <w:lang w:eastAsia="en-GB"/>
        </w:rPr>
        <w:t xml:space="preserve"> </w:t>
      </w:r>
      <w:r w:rsidR="00C12820" w:rsidRPr="007C2A63">
        <w:rPr>
          <w:lang w:eastAsia="en-GB"/>
        </w:rPr>
        <w:t>was no</w:t>
      </w:r>
      <w:r w:rsidR="00C12820">
        <w:rPr>
          <w:b/>
          <w:lang w:eastAsia="en-GB"/>
        </w:rPr>
        <w:t xml:space="preserve"> </w:t>
      </w:r>
      <w:r w:rsidR="00C12820" w:rsidRPr="00C43D58">
        <w:rPr>
          <w:lang w:eastAsia="en-GB"/>
        </w:rPr>
        <w:t>significant</w:t>
      </w:r>
      <w:r w:rsidR="00C12820">
        <w:rPr>
          <w:lang w:eastAsia="en-GB"/>
        </w:rPr>
        <w:t xml:space="preserve"> effect of gender or whether the student came from a below average performing school or not</w:t>
      </w:r>
      <w:r w:rsidR="00C12820" w:rsidRPr="00C43D58">
        <w:rPr>
          <w:b/>
          <w:lang w:eastAsia="en-GB"/>
        </w:rPr>
        <w:t xml:space="preserve"> </w:t>
      </w:r>
      <w:r w:rsidR="00C12820" w:rsidRPr="00C43D58">
        <w:t>(</w:t>
      </w:r>
      <w:r w:rsidR="00C12820" w:rsidRPr="005C1B2F">
        <w:rPr>
          <w:i/>
        </w:rPr>
        <w:t>F</w:t>
      </w:r>
      <w:r w:rsidR="00C12820">
        <w:t>s &lt; 1).</w:t>
      </w:r>
      <w:r w:rsidR="00C12820">
        <w:rPr>
          <w:b/>
        </w:rPr>
        <w:t xml:space="preserve"> </w:t>
      </w:r>
      <w:r w:rsidR="00C12820">
        <w:t xml:space="preserve">There was however a significant effect of Faculty, </w:t>
      </w:r>
      <w:r w:rsidR="00C12820" w:rsidRPr="005C1B2F">
        <w:rPr>
          <w:i/>
        </w:rPr>
        <w:t>F</w:t>
      </w:r>
      <w:r w:rsidR="00C12820" w:rsidRPr="00DD16A8">
        <w:t>(</w:t>
      </w:r>
      <w:r w:rsidR="00C12820">
        <w:t>6</w:t>
      </w:r>
      <w:r w:rsidR="00C12820" w:rsidRPr="00DD16A8">
        <w:t xml:space="preserve">, 4200) = </w:t>
      </w:r>
      <w:r w:rsidR="00C12820">
        <w:t>15.6</w:t>
      </w:r>
      <w:r w:rsidR="00C12820" w:rsidRPr="00DD16A8">
        <w:t>, p &lt; .001, η</w:t>
      </w:r>
      <w:r w:rsidR="00C12820" w:rsidRPr="00DD16A8">
        <w:rPr>
          <w:vertAlign w:val="superscript"/>
        </w:rPr>
        <w:t>2</w:t>
      </w:r>
      <w:r w:rsidR="00C12820" w:rsidRPr="00DD16A8">
        <w:rPr>
          <w:vertAlign w:val="subscript"/>
        </w:rPr>
        <w:t xml:space="preserve">p </w:t>
      </w:r>
      <w:r w:rsidR="00C12820" w:rsidRPr="00DD16A8">
        <w:t>= .0</w:t>
      </w:r>
      <w:r w:rsidR="001A307D">
        <w:t>22, as shown in Table 5</w:t>
      </w:r>
      <w:r w:rsidR="00C12820">
        <w:t>.</w:t>
      </w:r>
    </w:p>
    <w:p w:rsidR="00C12820" w:rsidRPr="005C1B2F" w:rsidRDefault="001A307D" w:rsidP="00C12820">
      <w:r>
        <w:t>Table 5</w:t>
      </w:r>
      <w:r w:rsidR="00C12820" w:rsidRPr="00D64323">
        <w:rPr>
          <w:b/>
        </w:rPr>
        <w:t>:</w:t>
      </w:r>
      <w:r w:rsidR="00C12820" w:rsidRPr="00D64323">
        <w:t xml:space="preserve"> Mean percentage score as a function of</w:t>
      </w:r>
      <w:r w:rsidR="00C12820">
        <w:t xml:space="preserve"> Faculty</w:t>
      </w:r>
      <w:r w:rsidR="00CE5760">
        <w:t xml:space="preserve"> and Ethnicity</w:t>
      </w:r>
      <w:r w:rsidR="00C12820">
        <w:t xml:space="preserve"> (UK students only)</w:t>
      </w:r>
      <w:r w:rsidR="00C12820" w:rsidRPr="00D64323">
        <w:t>.</w:t>
      </w:r>
    </w:p>
    <w:tbl>
      <w:tblPr>
        <w:tblpPr w:leftFromText="180" w:rightFromText="180" w:vertAnchor="text" w:horzAnchor="margin" w:tblpXSpec="center"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7"/>
        <w:gridCol w:w="1317"/>
        <w:gridCol w:w="1452"/>
        <w:gridCol w:w="1118"/>
        <w:gridCol w:w="1391"/>
        <w:gridCol w:w="1117"/>
        <w:gridCol w:w="1039"/>
        <w:gridCol w:w="1127"/>
      </w:tblGrid>
      <w:tr w:rsidR="00CE5760" w:rsidRPr="004928E5" w:rsidTr="00CE5760">
        <w:tc>
          <w:tcPr>
            <w:tcW w:w="1317" w:type="dxa"/>
          </w:tcPr>
          <w:p w:rsidR="00CE5760" w:rsidRDefault="00CE5760" w:rsidP="00CE5760">
            <w:pPr>
              <w:autoSpaceDE w:val="0"/>
              <w:autoSpaceDN w:val="0"/>
              <w:adjustRightInd w:val="0"/>
              <w:spacing w:after="0" w:line="400" w:lineRule="atLeast"/>
              <w:rPr>
                <w:lang w:eastAsia="en-GB"/>
              </w:rPr>
            </w:pPr>
          </w:p>
        </w:tc>
        <w:tc>
          <w:tcPr>
            <w:tcW w:w="1317" w:type="dxa"/>
          </w:tcPr>
          <w:p w:rsidR="00CE5760" w:rsidRPr="00F63738" w:rsidRDefault="00CE5760" w:rsidP="00CE5760">
            <w:pPr>
              <w:autoSpaceDE w:val="0"/>
              <w:autoSpaceDN w:val="0"/>
              <w:adjustRightInd w:val="0"/>
              <w:spacing w:after="0" w:line="400" w:lineRule="atLeast"/>
              <w:rPr>
                <w:lang w:eastAsia="en-GB"/>
              </w:rPr>
            </w:pPr>
            <w:r>
              <w:rPr>
                <w:lang w:eastAsia="en-GB"/>
              </w:rPr>
              <w:t>Arts and Humanities</w:t>
            </w:r>
          </w:p>
        </w:tc>
        <w:tc>
          <w:tcPr>
            <w:tcW w:w="1452" w:type="dxa"/>
          </w:tcPr>
          <w:p w:rsidR="00CE5760" w:rsidRPr="00F63738" w:rsidRDefault="00CE5760" w:rsidP="00CE5760">
            <w:pPr>
              <w:autoSpaceDE w:val="0"/>
              <w:autoSpaceDN w:val="0"/>
              <w:adjustRightInd w:val="0"/>
              <w:spacing w:after="0" w:line="400" w:lineRule="atLeast"/>
              <w:rPr>
                <w:lang w:eastAsia="en-GB"/>
              </w:rPr>
            </w:pPr>
            <w:r>
              <w:rPr>
                <w:lang w:eastAsia="en-GB"/>
              </w:rPr>
              <w:t>Built Environment</w:t>
            </w:r>
          </w:p>
        </w:tc>
        <w:tc>
          <w:tcPr>
            <w:tcW w:w="1118" w:type="dxa"/>
          </w:tcPr>
          <w:p w:rsidR="00CE5760" w:rsidRPr="00F63738" w:rsidRDefault="00CE5760" w:rsidP="00CE5760">
            <w:pPr>
              <w:autoSpaceDE w:val="0"/>
              <w:autoSpaceDN w:val="0"/>
              <w:adjustRightInd w:val="0"/>
              <w:spacing w:after="0" w:line="400" w:lineRule="atLeast"/>
              <w:rPr>
                <w:lang w:eastAsia="en-GB"/>
              </w:rPr>
            </w:pPr>
            <w:r>
              <w:rPr>
                <w:lang w:eastAsia="en-GB"/>
              </w:rPr>
              <w:t>Brain Sciences</w:t>
            </w:r>
          </w:p>
        </w:tc>
        <w:tc>
          <w:tcPr>
            <w:tcW w:w="1391" w:type="dxa"/>
          </w:tcPr>
          <w:p w:rsidR="00CE5760" w:rsidRPr="00F63738" w:rsidRDefault="00CE5760" w:rsidP="00CE5760">
            <w:pPr>
              <w:autoSpaceDE w:val="0"/>
              <w:autoSpaceDN w:val="0"/>
              <w:adjustRightInd w:val="0"/>
              <w:spacing w:after="0" w:line="400" w:lineRule="atLeast"/>
              <w:rPr>
                <w:lang w:eastAsia="en-GB"/>
              </w:rPr>
            </w:pPr>
            <w:r>
              <w:rPr>
                <w:lang w:eastAsia="en-GB"/>
              </w:rPr>
              <w:t>Engineering Sciences</w:t>
            </w:r>
          </w:p>
        </w:tc>
        <w:tc>
          <w:tcPr>
            <w:tcW w:w="1117" w:type="dxa"/>
          </w:tcPr>
          <w:p w:rsidR="00CE5760" w:rsidRPr="00F63738" w:rsidRDefault="00CE5760" w:rsidP="00CE5760">
            <w:pPr>
              <w:autoSpaceDE w:val="0"/>
              <w:autoSpaceDN w:val="0"/>
              <w:adjustRightInd w:val="0"/>
              <w:spacing w:after="0" w:line="400" w:lineRule="atLeast"/>
              <w:rPr>
                <w:lang w:eastAsia="en-GB"/>
              </w:rPr>
            </w:pPr>
            <w:r>
              <w:rPr>
                <w:lang w:eastAsia="en-GB"/>
              </w:rPr>
              <w:t>Life Sciences</w:t>
            </w:r>
          </w:p>
        </w:tc>
        <w:tc>
          <w:tcPr>
            <w:tcW w:w="1039" w:type="dxa"/>
          </w:tcPr>
          <w:p w:rsidR="00CE5760" w:rsidRPr="00F63738" w:rsidRDefault="00CE5760" w:rsidP="00CE5760">
            <w:pPr>
              <w:autoSpaceDE w:val="0"/>
              <w:autoSpaceDN w:val="0"/>
              <w:adjustRightInd w:val="0"/>
              <w:spacing w:after="0" w:line="400" w:lineRule="atLeast"/>
              <w:rPr>
                <w:lang w:eastAsia="en-GB"/>
              </w:rPr>
            </w:pPr>
            <w:r>
              <w:rPr>
                <w:lang w:eastAsia="en-GB"/>
              </w:rPr>
              <w:t>MAPS</w:t>
            </w:r>
          </w:p>
        </w:tc>
        <w:tc>
          <w:tcPr>
            <w:tcW w:w="1127" w:type="dxa"/>
          </w:tcPr>
          <w:p w:rsidR="00CE5760" w:rsidRPr="00F63738" w:rsidRDefault="00CE5760" w:rsidP="00CE5760">
            <w:pPr>
              <w:autoSpaceDE w:val="0"/>
              <w:autoSpaceDN w:val="0"/>
              <w:adjustRightInd w:val="0"/>
              <w:spacing w:after="0" w:line="400" w:lineRule="atLeast"/>
              <w:rPr>
                <w:lang w:eastAsia="en-GB"/>
              </w:rPr>
            </w:pPr>
            <w:r>
              <w:rPr>
                <w:lang w:eastAsia="en-GB"/>
              </w:rPr>
              <w:t xml:space="preserve">Social and Historical </w:t>
            </w:r>
          </w:p>
        </w:tc>
      </w:tr>
      <w:tr w:rsidR="00CE5760" w:rsidTr="00CE5760">
        <w:tc>
          <w:tcPr>
            <w:tcW w:w="1317" w:type="dxa"/>
          </w:tcPr>
          <w:p w:rsidR="00CE5760" w:rsidRDefault="00EE6808" w:rsidP="00CE5760">
            <w:pPr>
              <w:autoSpaceDE w:val="0"/>
              <w:autoSpaceDN w:val="0"/>
              <w:adjustRightInd w:val="0"/>
              <w:spacing w:after="0" w:line="400" w:lineRule="atLeast"/>
              <w:rPr>
                <w:lang w:eastAsia="en-GB"/>
              </w:rPr>
            </w:pPr>
            <w:r>
              <w:rPr>
                <w:lang w:eastAsia="en-GB"/>
              </w:rPr>
              <w:t>White</w:t>
            </w:r>
          </w:p>
        </w:tc>
        <w:tc>
          <w:tcPr>
            <w:tcW w:w="1317" w:type="dxa"/>
          </w:tcPr>
          <w:p w:rsidR="00CE5760" w:rsidRPr="00F63738" w:rsidRDefault="00CE5760" w:rsidP="00CE5760">
            <w:pPr>
              <w:autoSpaceDE w:val="0"/>
              <w:autoSpaceDN w:val="0"/>
              <w:adjustRightInd w:val="0"/>
              <w:spacing w:after="0" w:line="400" w:lineRule="atLeast"/>
              <w:rPr>
                <w:lang w:eastAsia="en-GB"/>
              </w:rPr>
            </w:pPr>
            <w:r>
              <w:rPr>
                <w:lang w:eastAsia="en-GB"/>
              </w:rPr>
              <w:t>65.1</w:t>
            </w:r>
          </w:p>
        </w:tc>
        <w:tc>
          <w:tcPr>
            <w:tcW w:w="1452" w:type="dxa"/>
          </w:tcPr>
          <w:p w:rsidR="00CE5760" w:rsidRPr="00F63738" w:rsidRDefault="00CE5760" w:rsidP="00CE5760">
            <w:pPr>
              <w:autoSpaceDE w:val="0"/>
              <w:autoSpaceDN w:val="0"/>
              <w:adjustRightInd w:val="0"/>
              <w:spacing w:after="0" w:line="400" w:lineRule="atLeast"/>
              <w:rPr>
                <w:lang w:eastAsia="en-GB"/>
              </w:rPr>
            </w:pPr>
            <w:r>
              <w:rPr>
                <w:lang w:eastAsia="en-GB"/>
              </w:rPr>
              <w:t>66.0</w:t>
            </w:r>
          </w:p>
        </w:tc>
        <w:tc>
          <w:tcPr>
            <w:tcW w:w="1118" w:type="dxa"/>
          </w:tcPr>
          <w:p w:rsidR="00CE5760" w:rsidRPr="00F63738" w:rsidRDefault="00CE5760" w:rsidP="00CE5760">
            <w:pPr>
              <w:autoSpaceDE w:val="0"/>
              <w:autoSpaceDN w:val="0"/>
              <w:adjustRightInd w:val="0"/>
              <w:spacing w:after="0" w:line="400" w:lineRule="atLeast"/>
              <w:rPr>
                <w:lang w:eastAsia="en-GB"/>
              </w:rPr>
            </w:pPr>
            <w:r>
              <w:rPr>
                <w:lang w:eastAsia="en-GB"/>
              </w:rPr>
              <w:t>67.0</w:t>
            </w:r>
          </w:p>
        </w:tc>
        <w:tc>
          <w:tcPr>
            <w:tcW w:w="1391" w:type="dxa"/>
          </w:tcPr>
          <w:p w:rsidR="00CE5760" w:rsidRPr="00F63738" w:rsidRDefault="00CE5760" w:rsidP="00CE5760">
            <w:pPr>
              <w:autoSpaceDE w:val="0"/>
              <w:autoSpaceDN w:val="0"/>
              <w:adjustRightInd w:val="0"/>
              <w:spacing w:after="0" w:line="400" w:lineRule="atLeast"/>
              <w:rPr>
                <w:lang w:eastAsia="en-GB"/>
              </w:rPr>
            </w:pPr>
            <w:r>
              <w:rPr>
                <w:lang w:eastAsia="en-GB"/>
              </w:rPr>
              <w:t>67.6</w:t>
            </w:r>
          </w:p>
        </w:tc>
        <w:tc>
          <w:tcPr>
            <w:tcW w:w="1117" w:type="dxa"/>
          </w:tcPr>
          <w:p w:rsidR="00CE5760" w:rsidRPr="00F63738" w:rsidRDefault="00CE5760" w:rsidP="00CE5760">
            <w:pPr>
              <w:autoSpaceDE w:val="0"/>
              <w:autoSpaceDN w:val="0"/>
              <w:adjustRightInd w:val="0"/>
              <w:spacing w:after="0" w:line="400" w:lineRule="atLeast"/>
              <w:rPr>
                <w:lang w:eastAsia="en-GB"/>
              </w:rPr>
            </w:pPr>
            <w:r>
              <w:rPr>
                <w:lang w:eastAsia="en-GB"/>
              </w:rPr>
              <w:t>66.2</w:t>
            </w:r>
          </w:p>
        </w:tc>
        <w:tc>
          <w:tcPr>
            <w:tcW w:w="1039" w:type="dxa"/>
          </w:tcPr>
          <w:p w:rsidR="00CE5760" w:rsidRPr="00F63738" w:rsidRDefault="00CE5760" w:rsidP="00CE5760">
            <w:pPr>
              <w:autoSpaceDE w:val="0"/>
              <w:autoSpaceDN w:val="0"/>
              <w:adjustRightInd w:val="0"/>
              <w:spacing w:after="0" w:line="400" w:lineRule="atLeast"/>
              <w:rPr>
                <w:lang w:eastAsia="en-GB"/>
              </w:rPr>
            </w:pPr>
            <w:r>
              <w:rPr>
                <w:lang w:eastAsia="en-GB"/>
              </w:rPr>
              <w:t>68.7</w:t>
            </w:r>
          </w:p>
        </w:tc>
        <w:tc>
          <w:tcPr>
            <w:tcW w:w="1127" w:type="dxa"/>
          </w:tcPr>
          <w:p w:rsidR="00CE5760" w:rsidRPr="00F63738" w:rsidRDefault="00CE5760" w:rsidP="00CE5760">
            <w:pPr>
              <w:autoSpaceDE w:val="0"/>
              <w:autoSpaceDN w:val="0"/>
              <w:adjustRightInd w:val="0"/>
              <w:spacing w:after="0" w:line="400" w:lineRule="atLeast"/>
              <w:rPr>
                <w:lang w:eastAsia="en-GB"/>
              </w:rPr>
            </w:pPr>
            <w:r>
              <w:rPr>
                <w:lang w:eastAsia="en-GB"/>
              </w:rPr>
              <w:t>65.2</w:t>
            </w:r>
          </w:p>
        </w:tc>
      </w:tr>
      <w:tr w:rsidR="00CE5760" w:rsidTr="00CE5760">
        <w:tc>
          <w:tcPr>
            <w:tcW w:w="1317" w:type="dxa"/>
          </w:tcPr>
          <w:p w:rsidR="00CE5760" w:rsidRDefault="00EE6808" w:rsidP="00CE5760">
            <w:pPr>
              <w:autoSpaceDE w:val="0"/>
              <w:autoSpaceDN w:val="0"/>
              <w:adjustRightInd w:val="0"/>
              <w:spacing w:after="0" w:line="400" w:lineRule="atLeast"/>
              <w:rPr>
                <w:lang w:eastAsia="en-GB"/>
              </w:rPr>
            </w:pPr>
            <w:r>
              <w:rPr>
                <w:lang w:eastAsia="en-GB"/>
              </w:rPr>
              <w:t xml:space="preserve">BME </w:t>
            </w:r>
          </w:p>
        </w:tc>
        <w:tc>
          <w:tcPr>
            <w:tcW w:w="1317" w:type="dxa"/>
          </w:tcPr>
          <w:p w:rsidR="00CE5760" w:rsidRDefault="00CE5760" w:rsidP="00CE5760">
            <w:pPr>
              <w:autoSpaceDE w:val="0"/>
              <w:autoSpaceDN w:val="0"/>
              <w:adjustRightInd w:val="0"/>
              <w:spacing w:after="0" w:line="400" w:lineRule="atLeast"/>
              <w:rPr>
                <w:lang w:eastAsia="en-GB"/>
              </w:rPr>
            </w:pPr>
            <w:r>
              <w:rPr>
                <w:lang w:eastAsia="en-GB"/>
              </w:rPr>
              <w:t>64.3</w:t>
            </w:r>
          </w:p>
        </w:tc>
        <w:tc>
          <w:tcPr>
            <w:tcW w:w="1452" w:type="dxa"/>
          </w:tcPr>
          <w:p w:rsidR="00CE5760" w:rsidRDefault="00CE5760" w:rsidP="00CE5760">
            <w:pPr>
              <w:autoSpaceDE w:val="0"/>
              <w:autoSpaceDN w:val="0"/>
              <w:adjustRightInd w:val="0"/>
              <w:spacing w:after="0" w:line="400" w:lineRule="atLeast"/>
              <w:rPr>
                <w:lang w:eastAsia="en-GB"/>
              </w:rPr>
            </w:pPr>
            <w:r>
              <w:rPr>
                <w:lang w:eastAsia="en-GB"/>
              </w:rPr>
              <w:t>62.4</w:t>
            </w:r>
          </w:p>
        </w:tc>
        <w:tc>
          <w:tcPr>
            <w:tcW w:w="1118" w:type="dxa"/>
          </w:tcPr>
          <w:p w:rsidR="00CE5760" w:rsidRDefault="00CE5760" w:rsidP="00CE5760">
            <w:pPr>
              <w:autoSpaceDE w:val="0"/>
              <w:autoSpaceDN w:val="0"/>
              <w:adjustRightInd w:val="0"/>
              <w:spacing w:after="0" w:line="400" w:lineRule="atLeast"/>
              <w:rPr>
                <w:lang w:eastAsia="en-GB"/>
              </w:rPr>
            </w:pPr>
            <w:r>
              <w:rPr>
                <w:lang w:eastAsia="en-GB"/>
              </w:rPr>
              <w:t>65.6</w:t>
            </w:r>
          </w:p>
        </w:tc>
        <w:tc>
          <w:tcPr>
            <w:tcW w:w="1391" w:type="dxa"/>
          </w:tcPr>
          <w:p w:rsidR="00CE5760" w:rsidRDefault="00CE5760" w:rsidP="00CE5760">
            <w:pPr>
              <w:autoSpaceDE w:val="0"/>
              <w:autoSpaceDN w:val="0"/>
              <w:adjustRightInd w:val="0"/>
              <w:spacing w:after="0" w:line="400" w:lineRule="atLeast"/>
              <w:rPr>
                <w:lang w:eastAsia="en-GB"/>
              </w:rPr>
            </w:pPr>
            <w:r>
              <w:rPr>
                <w:lang w:eastAsia="en-GB"/>
              </w:rPr>
              <w:t>64.2</w:t>
            </w:r>
          </w:p>
        </w:tc>
        <w:tc>
          <w:tcPr>
            <w:tcW w:w="1117" w:type="dxa"/>
          </w:tcPr>
          <w:p w:rsidR="00CE5760" w:rsidRDefault="00CE5760" w:rsidP="00CE5760">
            <w:pPr>
              <w:autoSpaceDE w:val="0"/>
              <w:autoSpaceDN w:val="0"/>
              <w:adjustRightInd w:val="0"/>
              <w:spacing w:after="0" w:line="400" w:lineRule="atLeast"/>
              <w:rPr>
                <w:lang w:eastAsia="en-GB"/>
              </w:rPr>
            </w:pPr>
            <w:r>
              <w:rPr>
                <w:lang w:eastAsia="en-GB"/>
              </w:rPr>
              <w:t>63.6</w:t>
            </w:r>
          </w:p>
        </w:tc>
        <w:tc>
          <w:tcPr>
            <w:tcW w:w="1039" w:type="dxa"/>
          </w:tcPr>
          <w:p w:rsidR="00CE5760" w:rsidRDefault="00CE5760" w:rsidP="00CE5760">
            <w:pPr>
              <w:autoSpaceDE w:val="0"/>
              <w:autoSpaceDN w:val="0"/>
              <w:adjustRightInd w:val="0"/>
              <w:spacing w:after="0" w:line="400" w:lineRule="atLeast"/>
              <w:rPr>
                <w:lang w:eastAsia="en-GB"/>
              </w:rPr>
            </w:pPr>
            <w:r>
              <w:rPr>
                <w:lang w:eastAsia="en-GB"/>
              </w:rPr>
              <w:t>66.7</w:t>
            </w:r>
          </w:p>
        </w:tc>
        <w:tc>
          <w:tcPr>
            <w:tcW w:w="1127" w:type="dxa"/>
          </w:tcPr>
          <w:p w:rsidR="00CE5760" w:rsidRDefault="00CE5760" w:rsidP="00CE5760">
            <w:pPr>
              <w:autoSpaceDE w:val="0"/>
              <w:autoSpaceDN w:val="0"/>
              <w:adjustRightInd w:val="0"/>
              <w:spacing w:after="0" w:line="400" w:lineRule="atLeast"/>
              <w:rPr>
                <w:lang w:eastAsia="en-GB"/>
              </w:rPr>
            </w:pPr>
            <w:r>
              <w:rPr>
                <w:lang w:eastAsia="en-GB"/>
              </w:rPr>
              <w:t>62.8</w:t>
            </w:r>
          </w:p>
        </w:tc>
      </w:tr>
    </w:tbl>
    <w:p w:rsidR="00C12820" w:rsidRDefault="00C12820" w:rsidP="00C12820">
      <w:pPr>
        <w:autoSpaceDE w:val="0"/>
        <w:autoSpaceDN w:val="0"/>
        <w:adjustRightInd w:val="0"/>
        <w:spacing w:after="0" w:line="400" w:lineRule="atLeast"/>
      </w:pPr>
    </w:p>
    <w:p w:rsidR="00C12820" w:rsidRDefault="00C12820" w:rsidP="00C12820">
      <w:pPr>
        <w:autoSpaceDE w:val="0"/>
        <w:autoSpaceDN w:val="0"/>
        <w:adjustRightInd w:val="0"/>
        <w:spacing w:after="0" w:line="400" w:lineRule="atLeast"/>
      </w:pPr>
    </w:p>
    <w:p w:rsidR="00C12820" w:rsidRPr="004C6815" w:rsidRDefault="00C12820" w:rsidP="00C12820">
      <w:r w:rsidRPr="004C6815">
        <w:t>Withdrawal from Study rate for all stu</w:t>
      </w:r>
      <w:r>
        <w:t>dents as a function of Ethnicity</w:t>
      </w:r>
    </w:p>
    <w:p w:rsidR="00C12820" w:rsidRPr="00AF4940" w:rsidRDefault="00C12820" w:rsidP="00C12820">
      <w:pPr>
        <w:spacing w:line="240" w:lineRule="auto"/>
        <w:rPr>
          <w:rFonts w:eastAsiaTheme="minorHAnsi"/>
        </w:rPr>
      </w:pPr>
      <w:r w:rsidRPr="00AF4940">
        <w:rPr>
          <w:rFonts w:eastAsiaTheme="minorHAnsi"/>
        </w:rPr>
        <w:t xml:space="preserve">Over the period 2008-2013, 6.8% of students who enrolled on </w:t>
      </w:r>
      <w:r>
        <w:rPr>
          <w:rFonts w:eastAsiaTheme="minorHAnsi"/>
        </w:rPr>
        <w:t>undergraduate programmes at UCL</w:t>
      </w:r>
      <w:r w:rsidRPr="00AF4940">
        <w:rPr>
          <w:rFonts w:eastAsiaTheme="minorHAnsi"/>
        </w:rPr>
        <w:t xml:space="preserve"> failed to complete</w:t>
      </w:r>
      <w:r>
        <w:rPr>
          <w:rFonts w:eastAsiaTheme="minorHAnsi"/>
        </w:rPr>
        <w:t xml:space="preserve"> their studies</w:t>
      </w:r>
      <w:r w:rsidRPr="00AF4940">
        <w:rPr>
          <w:rFonts w:eastAsiaTheme="minorHAnsi"/>
        </w:rPr>
        <w:t xml:space="preserve">. </w:t>
      </w:r>
      <w:r>
        <w:rPr>
          <w:rFonts w:eastAsiaTheme="minorHAnsi"/>
        </w:rPr>
        <w:t xml:space="preserve">Overall, there </w:t>
      </w:r>
      <w:r w:rsidRPr="00AF4940">
        <w:rPr>
          <w:rFonts w:eastAsiaTheme="minorEastAsia"/>
        </w:rPr>
        <w:t xml:space="preserve">was no significant difference in the percentage of White (6.9%) and </w:t>
      </w:r>
      <w:r w:rsidR="00CE5760">
        <w:rPr>
          <w:rFonts w:eastAsiaTheme="minorEastAsia"/>
        </w:rPr>
        <w:t>BME</w:t>
      </w:r>
      <w:r w:rsidRPr="00AF4940">
        <w:rPr>
          <w:rFonts w:eastAsiaTheme="minorEastAsia"/>
        </w:rPr>
        <w:t xml:space="preserve"> (6.7%) students who failed to complete their undergraduate programme, </w:t>
      </w:r>
      <m:oMath>
        <m:sSup>
          <m:sSupPr>
            <m:ctrlPr>
              <w:rPr>
                <w:rFonts w:ascii="Cambria Math" w:eastAsiaTheme="minorEastAsia" w:hAnsi="Cambria Math"/>
                <w:i/>
              </w:rPr>
            </m:ctrlPr>
          </m:sSupPr>
          <m:e>
            <m:r>
              <w:rPr>
                <w:rFonts w:ascii="Cambria Math" w:eastAsiaTheme="minorEastAsia" w:hAnsi="Cambria Math"/>
              </w:rPr>
              <m:t>χ</m:t>
            </m:r>
          </m:e>
          <m:sup>
            <m:r>
              <w:rPr>
                <w:rFonts w:ascii="Cambria Math" w:eastAsiaTheme="minorEastAsia" w:hAnsi="Cambria Math"/>
              </w:rPr>
              <m:t>2</m:t>
            </m:r>
          </m:sup>
        </m:sSup>
      </m:oMath>
      <w:r w:rsidRPr="00AF4940">
        <w:rPr>
          <w:rFonts w:eastAsiaTheme="minorEastAsia"/>
        </w:rPr>
        <w:t xml:space="preserve">(1, </w:t>
      </w:r>
      <w:r w:rsidRPr="00AF4940">
        <w:rPr>
          <w:rFonts w:eastAsiaTheme="minorEastAsia"/>
          <w:i/>
        </w:rPr>
        <w:t>N</w:t>
      </w:r>
      <w:r w:rsidRPr="00AF4940">
        <w:rPr>
          <w:rFonts w:eastAsiaTheme="minorEastAsia"/>
        </w:rPr>
        <w:t xml:space="preserve"> = 12,907) = 0.25, </w:t>
      </w:r>
      <w:r w:rsidRPr="00AF4940">
        <w:rPr>
          <w:rFonts w:eastAsiaTheme="minorEastAsia"/>
          <w:i/>
        </w:rPr>
        <w:t>p</w:t>
      </w:r>
      <w:r w:rsidRPr="00AF4940">
        <w:rPr>
          <w:rFonts w:eastAsiaTheme="minorEastAsia"/>
        </w:rPr>
        <w:t xml:space="preserve"> = .</w:t>
      </w:r>
      <w:r>
        <w:rPr>
          <w:rFonts w:eastAsiaTheme="minorEastAsia"/>
        </w:rPr>
        <w:t xml:space="preserve">619. However, in two faculties there was a significant difference in withdrawal rates. In Life Sciences, 6.7% of </w:t>
      </w:r>
      <w:r w:rsidR="00CE5760">
        <w:rPr>
          <w:rFonts w:eastAsiaTheme="minorEastAsia"/>
        </w:rPr>
        <w:t>BME</w:t>
      </w:r>
      <w:r>
        <w:rPr>
          <w:rFonts w:eastAsiaTheme="minorEastAsia"/>
        </w:rPr>
        <w:t xml:space="preserve"> students compared to 3.8% of white students</w:t>
      </w:r>
      <w:r w:rsidRPr="000A2E69">
        <w:rPr>
          <w:rFonts w:eastAsiaTheme="minorEastAsia"/>
        </w:rPr>
        <w:t xml:space="preserve"> </w:t>
      </w:r>
      <w:r>
        <w:rPr>
          <w:rFonts w:eastAsiaTheme="minorEastAsia"/>
        </w:rPr>
        <w:t>withdrew from their studies,</w:t>
      </w:r>
      <m:oMath>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χ</m:t>
            </m:r>
          </m:e>
          <m:sup>
            <m:r>
              <w:rPr>
                <w:rFonts w:ascii="Cambria Math" w:eastAsiaTheme="minorEastAsia" w:hAnsi="Cambria Math"/>
              </w:rPr>
              <m:t>2</m:t>
            </m:r>
          </m:sup>
        </m:sSup>
      </m:oMath>
      <w:r w:rsidRPr="00AF4940">
        <w:rPr>
          <w:rFonts w:eastAsiaTheme="minorEastAsia"/>
        </w:rPr>
        <w:t xml:space="preserve">(1, </w:t>
      </w:r>
      <w:r w:rsidRPr="00AF4940">
        <w:rPr>
          <w:rFonts w:eastAsiaTheme="minorEastAsia"/>
          <w:i/>
        </w:rPr>
        <w:t>N</w:t>
      </w:r>
      <w:r>
        <w:rPr>
          <w:rFonts w:eastAsiaTheme="minorEastAsia"/>
        </w:rPr>
        <w:t xml:space="preserve"> = 1741) = 7.15</w:t>
      </w:r>
      <w:r w:rsidRPr="00AF4940">
        <w:rPr>
          <w:rFonts w:eastAsiaTheme="minorEastAsia"/>
        </w:rPr>
        <w:t xml:space="preserve">, </w:t>
      </w:r>
      <w:r w:rsidRPr="00AF4940">
        <w:rPr>
          <w:rFonts w:eastAsiaTheme="minorEastAsia"/>
          <w:i/>
        </w:rPr>
        <w:t>p</w:t>
      </w:r>
      <w:r w:rsidRPr="00AF4940">
        <w:rPr>
          <w:rFonts w:eastAsiaTheme="minorEastAsia"/>
        </w:rPr>
        <w:t xml:space="preserve"> = .</w:t>
      </w:r>
      <w:r>
        <w:rPr>
          <w:rFonts w:eastAsiaTheme="minorEastAsia"/>
        </w:rPr>
        <w:t xml:space="preserve">007.  </w:t>
      </w:r>
      <w:r>
        <w:rPr>
          <w:rFonts w:eastAsiaTheme="minorEastAsia"/>
        </w:rPr>
        <w:lastRenderedPageBreak/>
        <w:t xml:space="preserve">Conversely in the Faculty of Social and Historical Studies, 5.9% of white students compared to 3.9% of </w:t>
      </w:r>
      <w:r w:rsidR="00CE5760">
        <w:rPr>
          <w:rFonts w:eastAsiaTheme="minorEastAsia"/>
        </w:rPr>
        <w:t>BME</w:t>
      </w:r>
      <w:r>
        <w:rPr>
          <w:rFonts w:eastAsiaTheme="minorEastAsia"/>
        </w:rPr>
        <w:t xml:space="preserve"> students withdrew from their studies, </w:t>
      </w:r>
      <m:oMath>
        <m:sSup>
          <m:sSupPr>
            <m:ctrlPr>
              <w:rPr>
                <w:rFonts w:ascii="Cambria Math" w:eastAsiaTheme="minorEastAsia" w:hAnsi="Cambria Math"/>
                <w:i/>
              </w:rPr>
            </m:ctrlPr>
          </m:sSupPr>
          <m:e>
            <m:r>
              <w:rPr>
                <w:rFonts w:ascii="Cambria Math" w:eastAsiaTheme="minorEastAsia" w:hAnsi="Cambria Math"/>
              </w:rPr>
              <m:t>χ</m:t>
            </m:r>
          </m:e>
          <m:sup>
            <m:r>
              <w:rPr>
                <w:rFonts w:ascii="Cambria Math" w:eastAsiaTheme="minorEastAsia" w:hAnsi="Cambria Math"/>
              </w:rPr>
              <m:t>2</m:t>
            </m:r>
          </m:sup>
        </m:sSup>
      </m:oMath>
      <w:r w:rsidRPr="00AF4940">
        <w:rPr>
          <w:rFonts w:eastAsiaTheme="minorEastAsia"/>
        </w:rPr>
        <w:t xml:space="preserve">(1, </w:t>
      </w:r>
      <w:r w:rsidRPr="00AF4940">
        <w:rPr>
          <w:rFonts w:eastAsiaTheme="minorEastAsia"/>
          <w:i/>
        </w:rPr>
        <w:t>N</w:t>
      </w:r>
      <w:r>
        <w:rPr>
          <w:rFonts w:eastAsiaTheme="minorEastAsia"/>
        </w:rPr>
        <w:t xml:space="preserve"> = 3,466) = 5.68</w:t>
      </w:r>
      <w:r w:rsidRPr="00AF4940">
        <w:rPr>
          <w:rFonts w:eastAsiaTheme="minorEastAsia"/>
        </w:rPr>
        <w:t xml:space="preserve">, </w:t>
      </w:r>
      <w:r w:rsidRPr="00AF4940">
        <w:rPr>
          <w:rFonts w:eastAsiaTheme="minorEastAsia"/>
          <w:i/>
        </w:rPr>
        <w:t>p</w:t>
      </w:r>
      <w:r w:rsidRPr="00AF4940">
        <w:rPr>
          <w:rFonts w:eastAsiaTheme="minorEastAsia"/>
        </w:rPr>
        <w:t xml:space="preserve"> = .</w:t>
      </w:r>
      <w:r>
        <w:rPr>
          <w:rFonts w:eastAsiaTheme="minorEastAsia"/>
        </w:rPr>
        <w:t>017.</w:t>
      </w:r>
    </w:p>
    <w:p w:rsidR="00C12820" w:rsidRPr="00327D69" w:rsidRDefault="00C12820" w:rsidP="00C12820">
      <w:pPr>
        <w:rPr>
          <w:b/>
        </w:rPr>
      </w:pPr>
      <w:r w:rsidRPr="00327D69">
        <w:rPr>
          <w:b/>
        </w:rPr>
        <w:t>Summary</w:t>
      </w:r>
    </w:p>
    <w:p w:rsidR="00C12820" w:rsidRDefault="00C12820" w:rsidP="00C12820">
      <w:r>
        <w:t>This report provides an overview of BME attainment across UCL, and reveals that there is considerable variation across Faculties. For all Faculties, with the exception of Arts and Humanities, there are significant differences in performance as a function of ethnicity – but these differences are generally small – and on the Honours degree scheme, the average BME student would obtain the same degree classification as the average White student.</w:t>
      </w:r>
    </w:p>
    <w:p w:rsidR="00C12820" w:rsidRDefault="00C12820" w:rsidP="001A307D">
      <w:r>
        <w:t xml:space="preserve">With respect to students who withdraw from their studies, analyses show no difference in drop-out rate between white and </w:t>
      </w:r>
      <w:r w:rsidR="00CE5760">
        <w:t>BME</w:t>
      </w:r>
      <w:r>
        <w:t xml:space="preserve"> students in five of the seven faculties investigated. In Life Sciences </w:t>
      </w:r>
      <w:r w:rsidR="00CE5760">
        <w:t>BME</w:t>
      </w:r>
      <w:r>
        <w:t xml:space="preserve"> students were more likely to drop-out than white students and the reverse was true for Social and Historical Studies.</w:t>
      </w:r>
    </w:p>
    <w:p w:rsidR="001A307D" w:rsidRPr="001A307D" w:rsidRDefault="001A307D" w:rsidP="001A307D"/>
    <w:p w:rsidR="00C12820" w:rsidRPr="00A64122" w:rsidRDefault="00C12820" w:rsidP="00C12820">
      <w:pPr>
        <w:rPr>
          <w:b/>
        </w:rPr>
      </w:pPr>
      <w:r w:rsidRPr="00A64122">
        <w:rPr>
          <w:b/>
        </w:rPr>
        <w:t>Summary of findings with respect to Ethnicity:</w:t>
      </w:r>
    </w:p>
    <w:p w:rsidR="00C12820" w:rsidRPr="00A64122" w:rsidRDefault="00C12820" w:rsidP="00C12820">
      <w:pPr>
        <w:numPr>
          <w:ilvl w:val="0"/>
          <w:numId w:val="13"/>
        </w:numPr>
        <w:contextualSpacing/>
      </w:pPr>
      <w:r w:rsidRPr="00A64122">
        <w:t xml:space="preserve">Faculty of Arts and Humanities – no effect of ethnicity (White: 65.1%, </w:t>
      </w:r>
      <w:r w:rsidR="00CE5760">
        <w:t>BME</w:t>
      </w:r>
      <w:r w:rsidRPr="00A64122">
        <w:t xml:space="preserve">: 64.3%), </w:t>
      </w:r>
      <w:r w:rsidRPr="00A64122">
        <w:rPr>
          <w:i/>
        </w:rPr>
        <w:t>F</w:t>
      </w:r>
      <w:r w:rsidRPr="00A64122">
        <w:t xml:space="preserve">(1,958) = 2.56, </w:t>
      </w:r>
      <w:r w:rsidRPr="00A64122">
        <w:rPr>
          <w:i/>
        </w:rPr>
        <w:t>p</w:t>
      </w:r>
      <w:r w:rsidRPr="00A64122">
        <w:t xml:space="preserve"> = .110.</w:t>
      </w:r>
    </w:p>
    <w:p w:rsidR="00C12820" w:rsidRPr="00A64122" w:rsidRDefault="00C12820" w:rsidP="00C12820">
      <w:pPr>
        <w:ind w:left="720"/>
        <w:contextualSpacing/>
      </w:pPr>
    </w:p>
    <w:p w:rsidR="00C12820" w:rsidRPr="00A64122" w:rsidRDefault="00C12820" w:rsidP="00C12820">
      <w:pPr>
        <w:numPr>
          <w:ilvl w:val="0"/>
          <w:numId w:val="13"/>
        </w:numPr>
        <w:contextualSpacing/>
      </w:pPr>
      <w:r w:rsidRPr="00A64122">
        <w:t xml:space="preserve">Faculty of Brain Sciences – significant effect of ethnicity (White: 67.0%, </w:t>
      </w:r>
      <w:r w:rsidR="00CE5760">
        <w:t>BME</w:t>
      </w:r>
      <w:r w:rsidRPr="00A64122">
        <w:t xml:space="preserve">:  65.6%), </w:t>
      </w:r>
      <w:r w:rsidRPr="00A64122">
        <w:rPr>
          <w:i/>
        </w:rPr>
        <w:t>F</w:t>
      </w:r>
      <w:r w:rsidRPr="00A64122">
        <w:t xml:space="preserve">(1,530) = 9.41, </w:t>
      </w:r>
      <w:r w:rsidRPr="00A64122">
        <w:rPr>
          <w:i/>
        </w:rPr>
        <w:t>p</w:t>
      </w:r>
      <w:r w:rsidRPr="00A64122">
        <w:t xml:space="preserve"> = .002, η</w:t>
      </w:r>
      <w:r w:rsidRPr="00A64122">
        <w:rPr>
          <w:vertAlign w:val="superscript"/>
        </w:rPr>
        <w:t>2</w:t>
      </w:r>
      <w:r w:rsidRPr="00A64122">
        <w:rPr>
          <w:vertAlign w:val="subscript"/>
        </w:rPr>
        <w:t xml:space="preserve">p </w:t>
      </w:r>
      <w:r w:rsidRPr="00A64122">
        <w:t>= .017.</w:t>
      </w:r>
    </w:p>
    <w:p w:rsidR="00C12820" w:rsidRPr="00A64122" w:rsidRDefault="00C12820" w:rsidP="00C12820">
      <w:pPr>
        <w:ind w:left="720"/>
        <w:contextualSpacing/>
      </w:pPr>
    </w:p>
    <w:p w:rsidR="00C12820" w:rsidRPr="00A64122" w:rsidRDefault="00C12820" w:rsidP="00C12820">
      <w:pPr>
        <w:numPr>
          <w:ilvl w:val="0"/>
          <w:numId w:val="13"/>
        </w:numPr>
        <w:contextualSpacing/>
      </w:pPr>
      <w:r w:rsidRPr="00A64122">
        <w:t xml:space="preserve">Faculty of the Built Environment – significant effect of ethnicity (White: 66.0%, </w:t>
      </w:r>
      <w:r w:rsidR="00CE5760">
        <w:t>BME</w:t>
      </w:r>
      <w:r w:rsidRPr="00A64122">
        <w:t xml:space="preserve">: 62.4%), </w:t>
      </w:r>
      <w:r w:rsidRPr="00A64122">
        <w:rPr>
          <w:i/>
        </w:rPr>
        <w:t>F</w:t>
      </w:r>
      <w:r w:rsidRPr="00A64122">
        <w:t xml:space="preserve">(1,350) = 32.2, </w:t>
      </w:r>
      <w:r w:rsidRPr="00A64122">
        <w:rPr>
          <w:i/>
        </w:rPr>
        <w:t>p</w:t>
      </w:r>
      <w:r w:rsidRPr="00A64122">
        <w:t xml:space="preserve"> &lt; .001, η</w:t>
      </w:r>
      <w:r w:rsidRPr="00A64122">
        <w:rPr>
          <w:vertAlign w:val="superscript"/>
        </w:rPr>
        <w:t>2</w:t>
      </w:r>
      <w:r w:rsidRPr="00A64122">
        <w:rPr>
          <w:vertAlign w:val="subscript"/>
        </w:rPr>
        <w:t xml:space="preserve">p </w:t>
      </w:r>
      <w:r w:rsidRPr="00A64122">
        <w:t>= .084.</w:t>
      </w:r>
    </w:p>
    <w:p w:rsidR="00C12820" w:rsidRPr="00A64122" w:rsidRDefault="00C12820" w:rsidP="00C12820">
      <w:pPr>
        <w:ind w:left="720"/>
        <w:contextualSpacing/>
      </w:pPr>
    </w:p>
    <w:p w:rsidR="00C12820" w:rsidRPr="00A64122" w:rsidRDefault="00C12820" w:rsidP="00C12820">
      <w:pPr>
        <w:numPr>
          <w:ilvl w:val="0"/>
          <w:numId w:val="13"/>
        </w:numPr>
        <w:contextualSpacing/>
      </w:pPr>
      <w:r w:rsidRPr="00A64122">
        <w:t xml:space="preserve">Faculty of Engineering – significant effect of ethnicity (White: 67.6%, </w:t>
      </w:r>
      <w:r w:rsidR="00CE5760">
        <w:t>BME</w:t>
      </w:r>
      <w:r w:rsidRPr="00A64122">
        <w:t xml:space="preserve">: 64.2%), </w:t>
      </w:r>
      <w:r w:rsidRPr="00A64122">
        <w:rPr>
          <w:i/>
        </w:rPr>
        <w:t>F</w:t>
      </w:r>
      <w:r w:rsidRPr="00A64122">
        <w:t xml:space="preserve">(1,900) = 34.4, </w:t>
      </w:r>
      <w:r w:rsidRPr="00A64122">
        <w:rPr>
          <w:i/>
        </w:rPr>
        <w:t>p</w:t>
      </w:r>
      <w:r w:rsidRPr="00A64122">
        <w:t xml:space="preserve"> &lt; .001, η</w:t>
      </w:r>
      <w:r w:rsidRPr="00A64122">
        <w:rPr>
          <w:vertAlign w:val="superscript"/>
        </w:rPr>
        <w:t>2</w:t>
      </w:r>
      <w:r w:rsidRPr="00A64122">
        <w:rPr>
          <w:vertAlign w:val="subscript"/>
        </w:rPr>
        <w:t xml:space="preserve">p </w:t>
      </w:r>
      <w:r w:rsidRPr="00A64122">
        <w:t>= .037.</w:t>
      </w:r>
    </w:p>
    <w:p w:rsidR="00C12820" w:rsidRPr="00A64122" w:rsidRDefault="00C12820" w:rsidP="00C12820">
      <w:pPr>
        <w:ind w:left="720"/>
        <w:contextualSpacing/>
      </w:pPr>
    </w:p>
    <w:p w:rsidR="00C12820" w:rsidRPr="00A64122" w:rsidRDefault="00C12820" w:rsidP="00C12820">
      <w:pPr>
        <w:numPr>
          <w:ilvl w:val="0"/>
          <w:numId w:val="13"/>
        </w:numPr>
        <w:contextualSpacing/>
      </w:pPr>
      <w:r w:rsidRPr="00A64122">
        <w:t xml:space="preserve">Faculty of Life Sciences (excluding School of Pharmacy) – significant effect of ethnicity (White: 66.2%, </w:t>
      </w:r>
      <w:r w:rsidR="00CE5760">
        <w:t>BME</w:t>
      </w:r>
      <w:r w:rsidRPr="00A64122">
        <w:t xml:space="preserve">: 63.6%), </w:t>
      </w:r>
      <w:r w:rsidRPr="00A64122">
        <w:rPr>
          <w:i/>
        </w:rPr>
        <w:t>F</w:t>
      </w:r>
      <w:r w:rsidRPr="00A64122">
        <w:t xml:space="preserve">(1,826) = 32.7, </w:t>
      </w:r>
      <w:r w:rsidRPr="00A64122">
        <w:rPr>
          <w:i/>
        </w:rPr>
        <w:t>p</w:t>
      </w:r>
      <w:r w:rsidRPr="00A64122">
        <w:t xml:space="preserve"> &lt; .001, η</w:t>
      </w:r>
      <w:r w:rsidRPr="00A64122">
        <w:rPr>
          <w:vertAlign w:val="superscript"/>
        </w:rPr>
        <w:t>2</w:t>
      </w:r>
      <w:r w:rsidRPr="00A64122">
        <w:rPr>
          <w:vertAlign w:val="subscript"/>
        </w:rPr>
        <w:t xml:space="preserve">p </w:t>
      </w:r>
      <w:r w:rsidRPr="00A64122">
        <w:t>= .038.</w:t>
      </w:r>
    </w:p>
    <w:p w:rsidR="00C12820" w:rsidRPr="00A64122" w:rsidRDefault="00C12820" w:rsidP="00C12820">
      <w:pPr>
        <w:ind w:left="720"/>
        <w:contextualSpacing/>
      </w:pPr>
    </w:p>
    <w:p w:rsidR="00C12820" w:rsidRPr="00A64122" w:rsidRDefault="00C12820" w:rsidP="00C12820">
      <w:pPr>
        <w:numPr>
          <w:ilvl w:val="0"/>
          <w:numId w:val="13"/>
        </w:numPr>
        <w:contextualSpacing/>
      </w:pPr>
      <w:r w:rsidRPr="00A64122">
        <w:t xml:space="preserve">Faculty of Mathematics and Physical Sciences – significant effect of ethnicity (White:  68.7%, </w:t>
      </w:r>
      <w:r w:rsidR="00CE5760">
        <w:t>BME</w:t>
      </w:r>
      <w:r w:rsidRPr="00A64122">
        <w:t xml:space="preserve">: 66.7%), </w:t>
      </w:r>
      <w:r w:rsidRPr="00A64122">
        <w:rPr>
          <w:i/>
        </w:rPr>
        <w:t>F</w:t>
      </w:r>
      <w:r w:rsidRPr="00A64122">
        <w:t xml:space="preserve">(1,1385) = 14.5, </w:t>
      </w:r>
      <w:r w:rsidRPr="00A64122">
        <w:rPr>
          <w:i/>
        </w:rPr>
        <w:t>p</w:t>
      </w:r>
      <w:r w:rsidRPr="00A64122">
        <w:t xml:space="preserve"> &lt; .001, η</w:t>
      </w:r>
      <w:r w:rsidRPr="00A64122">
        <w:rPr>
          <w:vertAlign w:val="superscript"/>
        </w:rPr>
        <w:t>2</w:t>
      </w:r>
      <w:r w:rsidRPr="00A64122">
        <w:rPr>
          <w:vertAlign w:val="subscript"/>
        </w:rPr>
        <w:t xml:space="preserve">p </w:t>
      </w:r>
      <w:r w:rsidRPr="00A64122">
        <w:t>= .010.</w:t>
      </w:r>
    </w:p>
    <w:p w:rsidR="00C12820" w:rsidRPr="00A64122" w:rsidRDefault="00C12820" w:rsidP="00C12820">
      <w:pPr>
        <w:ind w:left="720"/>
        <w:contextualSpacing/>
      </w:pPr>
    </w:p>
    <w:p w:rsidR="00C12820" w:rsidRPr="00A64122" w:rsidRDefault="00C12820" w:rsidP="00C12820">
      <w:pPr>
        <w:numPr>
          <w:ilvl w:val="0"/>
          <w:numId w:val="13"/>
        </w:numPr>
        <w:contextualSpacing/>
      </w:pPr>
      <w:r w:rsidRPr="00A64122">
        <w:t xml:space="preserve">Faculty of Social and Historical Sciences – significant effect of ethnicity (White: 65.2%, </w:t>
      </w:r>
      <w:r w:rsidR="00CE5760">
        <w:t>BME</w:t>
      </w:r>
      <w:r w:rsidRPr="00A64122">
        <w:t xml:space="preserve">: 62.8%), </w:t>
      </w:r>
      <w:r w:rsidRPr="00A64122">
        <w:rPr>
          <w:i/>
        </w:rPr>
        <w:t>F</w:t>
      </w:r>
      <w:r w:rsidRPr="00A64122">
        <w:t xml:space="preserve"> (1, 1994) = 86.7, </w:t>
      </w:r>
      <w:r w:rsidRPr="00A64122">
        <w:rPr>
          <w:i/>
        </w:rPr>
        <w:t>p</w:t>
      </w:r>
      <w:r w:rsidRPr="00A64122">
        <w:t xml:space="preserve"> &lt; .001, η</w:t>
      </w:r>
      <w:r w:rsidRPr="00A64122">
        <w:rPr>
          <w:vertAlign w:val="superscript"/>
        </w:rPr>
        <w:t>2</w:t>
      </w:r>
      <w:r w:rsidRPr="00A64122">
        <w:rPr>
          <w:vertAlign w:val="subscript"/>
        </w:rPr>
        <w:t xml:space="preserve">p </w:t>
      </w:r>
      <w:r w:rsidRPr="00A64122">
        <w:t>= .042.</w:t>
      </w:r>
    </w:p>
    <w:p w:rsidR="00C12820" w:rsidRPr="00A64122" w:rsidRDefault="00C12820" w:rsidP="00C12820">
      <w:pPr>
        <w:ind w:left="720"/>
        <w:contextualSpacing/>
      </w:pPr>
    </w:p>
    <w:p w:rsidR="00A64122" w:rsidRDefault="00A64122" w:rsidP="00327D69"/>
    <w:sectPr w:rsidR="00A64122" w:rsidSect="00896B6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991" w:rsidRDefault="00B12991" w:rsidP="00C373AC">
      <w:pPr>
        <w:spacing w:after="0" w:line="240" w:lineRule="auto"/>
      </w:pPr>
      <w:r>
        <w:separator/>
      </w:r>
    </w:p>
  </w:endnote>
  <w:endnote w:type="continuationSeparator" w:id="0">
    <w:p w:rsidR="00B12991" w:rsidRDefault="00B12991" w:rsidP="00C37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ZShuTi">
    <w:altName w:val="SimSun"/>
    <w:panose1 w:val="00000000000000000000"/>
    <w:charset w:val="86"/>
    <w:family w:val="roman"/>
    <w:notTrueType/>
    <w:pitch w:val="default"/>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991" w:rsidRDefault="00B12991" w:rsidP="00C373AC">
      <w:pPr>
        <w:spacing w:after="0" w:line="240" w:lineRule="auto"/>
      </w:pPr>
      <w:r>
        <w:separator/>
      </w:r>
    </w:p>
  </w:footnote>
  <w:footnote w:type="continuationSeparator" w:id="0">
    <w:p w:rsidR="00B12991" w:rsidRDefault="00B12991" w:rsidP="00C373AC">
      <w:pPr>
        <w:spacing w:after="0" w:line="240" w:lineRule="auto"/>
      </w:pPr>
      <w:r>
        <w:continuationSeparator/>
      </w:r>
    </w:p>
  </w:footnote>
  <w:footnote w:id="1">
    <w:p w:rsidR="00CE5760" w:rsidRDefault="00CE5760" w:rsidP="006F38AC">
      <w:pPr>
        <w:pStyle w:val="Default"/>
      </w:pPr>
      <w:r>
        <w:rPr>
          <w:rStyle w:val="FootnoteReference"/>
        </w:rPr>
        <w:footnoteRef/>
      </w:r>
      <w:r>
        <w:t xml:space="preserve"> </w:t>
      </w:r>
      <w:r w:rsidRPr="008F097C">
        <w:rPr>
          <w:sz w:val="22"/>
          <w:szCs w:val="22"/>
        </w:rPr>
        <w:t xml:space="preserve">Quoted from Jones 2014 </w:t>
      </w:r>
      <w:r w:rsidRPr="008F097C">
        <w:rPr>
          <w:i/>
          <w:sz w:val="22"/>
          <w:szCs w:val="22"/>
        </w:rPr>
        <w:t xml:space="preserve"> </w:t>
      </w:r>
      <w:r w:rsidRPr="008F097C">
        <w:rPr>
          <w:bCs/>
          <w:i/>
          <w:sz w:val="22"/>
          <w:szCs w:val="22"/>
        </w:rPr>
        <w:t xml:space="preserve">The Attainment of Black and Minority Ethnic Students in UK Higher Education – A Review of the Literature. </w:t>
      </w:r>
      <w:r>
        <w:rPr>
          <w:bCs/>
          <w:sz w:val="22"/>
          <w:szCs w:val="22"/>
        </w:rPr>
        <w:t xml:space="preserve">See Annex A for a summary. </w:t>
      </w:r>
    </w:p>
  </w:footnote>
  <w:footnote w:id="2">
    <w:p w:rsidR="00CE5760" w:rsidRDefault="00CE5760" w:rsidP="006F38AC">
      <w:pPr>
        <w:pStyle w:val="FootnoteText"/>
      </w:pPr>
      <w:r>
        <w:rPr>
          <w:rStyle w:val="FootnoteReference"/>
        </w:rPr>
        <w:footnoteRef/>
      </w:r>
      <w:r>
        <w:t xml:space="preserve"> Guided marking – students mark a range of previous years’ assignments and discuss their marking judgements with peers and their teacher. This helps students better understand assessment and enables them to benchmark and self-assess.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760" w:rsidRDefault="00CE5760">
    <w:pPr>
      <w:pStyle w:val="Header"/>
    </w:pPr>
    <w:r>
      <w:fldChar w:fldCharType="begin"/>
    </w:r>
    <w:r>
      <w:instrText xml:space="preserve"> PAGE   \* MERGEFORMAT </w:instrText>
    </w:r>
    <w:r>
      <w:fldChar w:fldCharType="separate"/>
    </w:r>
    <w:r w:rsidR="00681440" w:rsidRPr="00681440">
      <w:rPr>
        <w:b/>
        <w:bCs/>
        <w:noProof/>
      </w:rPr>
      <w:t>2</w:t>
    </w:r>
    <w:r>
      <w:rPr>
        <w:b/>
        <w:bCs/>
        <w:noProof/>
      </w:rPr>
      <w:fldChar w:fldCharType="end"/>
    </w:r>
    <w:r>
      <w:rPr>
        <w:b/>
        <w:bCs/>
      </w:rPr>
      <w:t xml:space="preserve"> </w:t>
    </w:r>
    <w:r>
      <w:t>|</w:t>
    </w:r>
    <w:r>
      <w:rPr>
        <w:b/>
        <w:bCs/>
      </w:rPr>
      <w:t xml:space="preserve"> </w:t>
    </w:r>
    <w:r>
      <w:rPr>
        <w:color w:val="808080" w:themeColor="background1" w:themeShade="80"/>
        <w:spacing w:val="60"/>
      </w:rPr>
      <w:t>Page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760" w:rsidRDefault="00CE5760">
    <w:pPr>
      <w:pStyle w:val="Header"/>
    </w:pPr>
    <w:r>
      <w:fldChar w:fldCharType="begin"/>
    </w:r>
    <w:r>
      <w:instrText xml:space="preserve"> PAGE   \* MERGEFORMAT </w:instrText>
    </w:r>
    <w:r>
      <w:fldChar w:fldCharType="separate"/>
    </w:r>
    <w:r w:rsidR="00681440" w:rsidRPr="00681440">
      <w:rPr>
        <w:b/>
        <w:bCs/>
        <w:noProof/>
      </w:rPr>
      <w:t>1</w:t>
    </w:r>
    <w:r>
      <w:rPr>
        <w:b/>
        <w:bCs/>
        <w:noProof/>
      </w:rPr>
      <w:fldChar w:fldCharType="end"/>
    </w:r>
    <w:r>
      <w:rPr>
        <w:b/>
        <w:bCs/>
      </w:rPr>
      <w:t xml:space="preserve"> </w:t>
    </w:r>
    <w:r>
      <w:t>|</w:t>
    </w:r>
    <w:r>
      <w:rPr>
        <w:b/>
        <w:bCs/>
      </w:rPr>
      <w:t xml:space="preserve"> </w:t>
    </w:r>
    <w:r>
      <w:rPr>
        <w:color w:val="808080" w:themeColor="background1" w:themeShade="80"/>
        <w:spacing w:val="60"/>
      </w:rPr>
      <w:t>Page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760" w:rsidRDefault="00CE5760">
    <w:pPr>
      <w:pStyle w:val="Header"/>
    </w:pPr>
    <w:r>
      <w:fldChar w:fldCharType="begin"/>
    </w:r>
    <w:r>
      <w:instrText xml:space="preserve"> PAGE   \* MERGEFORMAT </w:instrText>
    </w:r>
    <w:r>
      <w:fldChar w:fldCharType="separate"/>
    </w:r>
    <w:r w:rsidR="00681440" w:rsidRPr="00681440">
      <w:rPr>
        <w:b/>
        <w:bCs/>
        <w:noProof/>
      </w:rPr>
      <w:t>14</w:t>
    </w:r>
    <w:r>
      <w:rPr>
        <w:b/>
        <w:bCs/>
        <w:noProof/>
      </w:rPr>
      <w:fldChar w:fldCharType="end"/>
    </w:r>
    <w:r>
      <w:rPr>
        <w:b/>
        <w:bCs/>
      </w:rPr>
      <w:t xml:space="preserve"> </w:t>
    </w:r>
    <w:r>
      <w:t>|</w:t>
    </w:r>
    <w:r>
      <w:rPr>
        <w:b/>
        <w:bCs/>
      </w:rPr>
      <w:t xml:space="preserve"> </w:t>
    </w:r>
    <w:r>
      <w:rPr>
        <w:color w:val="808080" w:themeColor="background1" w:themeShade="80"/>
        <w:spacing w:val="60"/>
      </w:rPr>
      <w:t>Page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760" w:rsidRDefault="00CE5760">
    <w:pPr>
      <w:pStyle w:val="Header"/>
    </w:pPr>
    <w:r>
      <w:fldChar w:fldCharType="begin"/>
    </w:r>
    <w:r>
      <w:instrText xml:space="preserve"> PAGE   \* MERGEFORMAT </w:instrText>
    </w:r>
    <w:r>
      <w:fldChar w:fldCharType="separate"/>
    </w:r>
    <w:r w:rsidR="00681440" w:rsidRPr="00681440">
      <w:rPr>
        <w:b/>
        <w:bCs/>
        <w:noProof/>
      </w:rPr>
      <w:t>5</w:t>
    </w:r>
    <w:r>
      <w:rPr>
        <w:b/>
        <w:bCs/>
        <w:noProof/>
      </w:rPr>
      <w:fldChar w:fldCharType="end"/>
    </w:r>
    <w:r>
      <w:rPr>
        <w:b/>
        <w:bCs/>
      </w:rPr>
      <w:t xml:space="preserve"> </w:t>
    </w:r>
    <w:r>
      <w:t>|</w:t>
    </w:r>
    <w:r>
      <w:rPr>
        <w:b/>
        <w:bCs/>
      </w:rPr>
      <w:t xml:space="preserve"> </w:t>
    </w:r>
    <w:r>
      <w:rPr>
        <w:color w:val="808080" w:themeColor="background1" w:themeShade="80"/>
        <w:spacing w:val="60"/>
      </w:rPr>
      <w:t>Page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99D03D8"/>
    <w:multiLevelType w:val="hybridMultilevel"/>
    <w:tmpl w:val="EF261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10A00"/>
    <w:multiLevelType w:val="hybridMultilevel"/>
    <w:tmpl w:val="F15E2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4D27B3"/>
    <w:multiLevelType w:val="hybridMultilevel"/>
    <w:tmpl w:val="4C8E484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BF30BAF"/>
    <w:multiLevelType w:val="hybridMultilevel"/>
    <w:tmpl w:val="D91E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47D7C"/>
    <w:multiLevelType w:val="hybridMultilevel"/>
    <w:tmpl w:val="A00ED41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C023C8"/>
    <w:multiLevelType w:val="hybridMultilevel"/>
    <w:tmpl w:val="7CCABA8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4D08B8"/>
    <w:multiLevelType w:val="hybridMultilevel"/>
    <w:tmpl w:val="D628376A"/>
    <w:lvl w:ilvl="0" w:tplc="D606590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576D3F"/>
    <w:multiLevelType w:val="hybridMultilevel"/>
    <w:tmpl w:val="8D5A18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0421B61"/>
    <w:multiLevelType w:val="hybridMultilevel"/>
    <w:tmpl w:val="FCFC0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ED491C"/>
    <w:multiLevelType w:val="hybridMultilevel"/>
    <w:tmpl w:val="F80EB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807CC5"/>
    <w:multiLevelType w:val="hybridMultilevel"/>
    <w:tmpl w:val="6E62FF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61E24DA"/>
    <w:multiLevelType w:val="hybridMultilevel"/>
    <w:tmpl w:val="FB42BC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DC42702"/>
    <w:multiLevelType w:val="multilevel"/>
    <w:tmpl w:val="5468A40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8947E5"/>
    <w:multiLevelType w:val="hybridMultilevel"/>
    <w:tmpl w:val="273690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43024D"/>
    <w:multiLevelType w:val="hybridMultilevel"/>
    <w:tmpl w:val="CB8A22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14"/>
  </w:num>
  <w:num w:numId="3">
    <w:abstractNumId w:val="0"/>
  </w:num>
  <w:num w:numId="4">
    <w:abstractNumId w:val="1"/>
  </w:num>
  <w:num w:numId="5">
    <w:abstractNumId w:val="4"/>
  </w:num>
  <w:num w:numId="6">
    <w:abstractNumId w:val="5"/>
  </w:num>
  <w:num w:numId="7">
    <w:abstractNumId w:val="11"/>
  </w:num>
  <w:num w:numId="8">
    <w:abstractNumId w:val="7"/>
  </w:num>
  <w:num w:numId="9">
    <w:abstractNumId w:val="13"/>
  </w:num>
  <w:num w:numId="10">
    <w:abstractNumId w:val="6"/>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FD5"/>
    <w:rsid w:val="00001253"/>
    <w:rsid w:val="00027852"/>
    <w:rsid w:val="0003140A"/>
    <w:rsid w:val="00050E1A"/>
    <w:rsid w:val="00064E7B"/>
    <w:rsid w:val="00070568"/>
    <w:rsid w:val="000749B7"/>
    <w:rsid w:val="000753E5"/>
    <w:rsid w:val="00075516"/>
    <w:rsid w:val="00075C0C"/>
    <w:rsid w:val="00087256"/>
    <w:rsid w:val="00092E78"/>
    <w:rsid w:val="00094189"/>
    <w:rsid w:val="000964CD"/>
    <w:rsid w:val="000A254A"/>
    <w:rsid w:val="000B0E5E"/>
    <w:rsid w:val="000B32B9"/>
    <w:rsid w:val="000C10D5"/>
    <w:rsid w:val="000D07B2"/>
    <w:rsid w:val="000F53B8"/>
    <w:rsid w:val="00100780"/>
    <w:rsid w:val="001071AC"/>
    <w:rsid w:val="0012276A"/>
    <w:rsid w:val="00122A9B"/>
    <w:rsid w:val="001243AC"/>
    <w:rsid w:val="001243B7"/>
    <w:rsid w:val="00152142"/>
    <w:rsid w:val="001529D0"/>
    <w:rsid w:val="00152BCC"/>
    <w:rsid w:val="00163BA8"/>
    <w:rsid w:val="001645BC"/>
    <w:rsid w:val="0017692C"/>
    <w:rsid w:val="001817A4"/>
    <w:rsid w:val="00181F3B"/>
    <w:rsid w:val="001859AA"/>
    <w:rsid w:val="00193812"/>
    <w:rsid w:val="001A307D"/>
    <w:rsid w:val="001A78CB"/>
    <w:rsid w:val="001C1CE6"/>
    <w:rsid w:val="001C47E4"/>
    <w:rsid w:val="001C64E6"/>
    <w:rsid w:val="001D0586"/>
    <w:rsid w:val="001D4D73"/>
    <w:rsid w:val="001D6F13"/>
    <w:rsid w:val="001E316E"/>
    <w:rsid w:val="001F0460"/>
    <w:rsid w:val="001F470D"/>
    <w:rsid w:val="001F72E4"/>
    <w:rsid w:val="0020262D"/>
    <w:rsid w:val="00205AD8"/>
    <w:rsid w:val="0021161E"/>
    <w:rsid w:val="002223D2"/>
    <w:rsid w:val="00223E71"/>
    <w:rsid w:val="00232EF6"/>
    <w:rsid w:val="0024598C"/>
    <w:rsid w:val="00251293"/>
    <w:rsid w:val="00251693"/>
    <w:rsid w:val="00253689"/>
    <w:rsid w:val="00253AA4"/>
    <w:rsid w:val="00254F6A"/>
    <w:rsid w:val="00271FCC"/>
    <w:rsid w:val="00282235"/>
    <w:rsid w:val="002947DF"/>
    <w:rsid w:val="002955A2"/>
    <w:rsid w:val="002A2EB4"/>
    <w:rsid w:val="002A702B"/>
    <w:rsid w:val="002B4367"/>
    <w:rsid w:val="002C096A"/>
    <w:rsid w:val="002C5B02"/>
    <w:rsid w:val="002C750B"/>
    <w:rsid w:val="002F33B5"/>
    <w:rsid w:val="002F4EC0"/>
    <w:rsid w:val="00306618"/>
    <w:rsid w:val="00310A24"/>
    <w:rsid w:val="00312B16"/>
    <w:rsid w:val="00314D4A"/>
    <w:rsid w:val="00320055"/>
    <w:rsid w:val="003214EB"/>
    <w:rsid w:val="00321CBE"/>
    <w:rsid w:val="003223DA"/>
    <w:rsid w:val="00323D64"/>
    <w:rsid w:val="00327D69"/>
    <w:rsid w:val="00332A14"/>
    <w:rsid w:val="00333958"/>
    <w:rsid w:val="003371D7"/>
    <w:rsid w:val="00337B24"/>
    <w:rsid w:val="00342B22"/>
    <w:rsid w:val="0036371A"/>
    <w:rsid w:val="00374B5C"/>
    <w:rsid w:val="003835D8"/>
    <w:rsid w:val="00392E38"/>
    <w:rsid w:val="003C0863"/>
    <w:rsid w:val="003C1CBC"/>
    <w:rsid w:val="003C5C15"/>
    <w:rsid w:val="003D0AEF"/>
    <w:rsid w:val="003D2AAD"/>
    <w:rsid w:val="003D321F"/>
    <w:rsid w:val="003D49BD"/>
    <w:rsid w:val="003D5FCA"/>
    <w:rsid w:val="003F74C5"/>
    <w:rsid w:val="004021BF"/>
    <w:rsid w:val="00405CCD"/>
    <w:rsid w:val="004143CC"/>
    <w:rsid w:val="004166A2"/>
    <w:rsid w:val="00434D6B"/>
    <w:rsid w:val="00437F62"/>
    <w:rsid w:val="00456F2D"/>
    <w:rsid w:val="004828C9"/>
    <w:rsid w:val="004928E5"/>
    <w:rsid w:val="004A202D"/>
    <w:rsid w:val="004A2F42"/>
    <w:rsid w:val="004A4C71"/>
    <w:rsid w:val="004C064B"/>
    <w:rsid w:val="004C3200"/>
    <w:rsid w:val="004C554F"/>
    <w:rsid w:val="004E349E"/>
    <w:rsid w:val="004E43E1"/>
    <w:rsid w:val="004E5F86"/>
    <w:rsid w:val="004F0B71"/>
    <w:rsid w:val="004F585D"/>
    <w:rsid w:val="005000B5"/>
    <w:rsid w:val="00520C12"/>
    <w:rsid w:val="0052742A"/>
    <w:rsid w:val="00530EFD"/>
    <w:rsid w:val="00531FB0"/>
    <w:rsid w:val="0054427D"/>
    <w:rsid w:val="00545460"/>
    <w:rsid w:val="0055306C"/>
    <w:rsid w:val="00556B04"/>
    <w:rsid w:val="00560603"/>
    <w:rsid w:val="00576D8A"/>
    <w:rsid w:val="00585E99"/>
    <w:rsid w:val="005A4817"/>
    <w:rsid w:val="005A5919"/>
    <w:rsid w:val="005C1B2F"/>
    <w:rsid w:val="005C7BEE"/>
    <w:rsid w:val="005D1AC7"/>
    <w:rsid w:val="005D1C28"/>
    <w:rsid w:val="005D4F71"/>
    <w:rsid w:val="005E6C04"/>
    <w:rsid w:val="005F1856"/>
    <w:rsid w:val="006168BD"/>
    <w:rsid w:val="00625B59"/>
    <w:rsid w:val="0062606F"/>
    <w:rsid w:val="0063213E"/>
    <w:rsid w:val="006458CF"/>
    <w:rsid w:val="00647046"/>
    <w:rsid w:val="00654D4C"/>
    <w:rsid w:val="00656370"/>
    <w:rsid w:val="00663F2A"/>
    <w:rsid w:val="00665C00"/>
    <w:rsid w:val="006711B5"/>
    <w:rsid w:val="006713B8"/>
    <w:rsid w:val="00672D42"/>
    <w:rsid w:val="00675272"/>
    <w:rsid w:val="00681440"/>
    <w:rsid w:val="00681C9B"/>
    <w:rsid w:val="00686DAE"/>
    <w:rsid w:val="0069647D"/>
    <w:rsid w:val="006A0AFC"/>
    <w:rsid w:val="006B2A6A"/>
    <w:rsid w:val="006B5CE8"/>
    <w:rsid w:val="006C433E"/>
    <w:rsid w:val="006E2C5B"/>
    <w:rsid w:val="006F38AC"/>
    <w:rsid w:val="00737A3E"/>
    <w:rsid w:val="00737F06"/>
    <w:rsid w:val="00744F9F"/>
    <w:rsid w:val="007618B3"/>
    <w:rsid w:val="007817FE"/>
    <w:rsid w:val="00782010"/>
    <w:rsid w:val="0078295A"/>
    <w:rsid w:val="00791419"/>
    <w:rsid w:val="00795435"/>
    <w:rsid w:val="00797594"/>
    <w:rsid w:val="007A1171"/>
    <w:rsid w:val="007A4CDD"/>
    <w:rsid w:val="007C09D9"/>
    <w:rsid w:val="007C2A63"/>
    <w:rsid w:val="007E3559"/>
    <w:rsid w:val="007E5A2B"/>
    <w:rsid w:val="008010AB"/>
    <w:rsid w:val="00812846"/>
    <w:rsid w:val="00812CD0"/>
    <w:rsid w:val="008232B0"/>
    <w:rsid w:val="00835174"/>
    <w:rsid w:val="008429DA"/>
    <w:rsid w:val="00844BDC"/>
    <w:rsid w:val="00863FAC"/>
    <w:rsid w:val="008650D2"/>
    <w:rsid w:val="0087061C"/>
    <w:rsid w:val="00872BAC"/>
    <w:rsid w:val="008755AC"/>
    <w:rsid w:val="00881E09"/>
    <w:rsid w:val="00885CEC"/>
    <w:rsid w:val="00887F5F"/>
    <w:rsid w:val="00896B68"/>
    <w:rsid w:val="008A5FE8"/>
    <w:rsid w:val="008B3E85"/>
    <w:rsid w:val="008D6977"/>
    <w:rsid w:val="008D7D95"/>
    <w:rsid w:val="008E76C1"/>
    <w:rsid w:val="008F0893"/>
    <w:rsid w:val="008F43FC"/>
    <w:rsid w:val="009064F9"/>
    <w:rsid w:val="00922D21"/>
    <w:rsid w:val="00952F0C"/>
    <w:rsid w:val="009721A5"/>
    <w:rsid w:val="0097277B"/>
    <w:rsid w:val="00980886"/>
    <w:rsid w:val="00981905"/>
    <w:rsid w:val="009912E4"/>
    <w:rsid w:val="009B1392"/>
    <w:rsid w:val="009B2F6F"/>
    <w:rsid w:val="009B5953"/>
    <w:rsid w:val="009B77DD"/>
    <w:rsid w:val="009E4082"/>
    <w:rsid w:val="009F5058"/>
    <w:rsid w:val="00A001B1"/>
    <w:rsid w:val="00A04E09"/>
    <w:rsid w:val="00A05EB5"/>
    <w:rsid w:val="00A155E6"/>
    <w:rsid w:val="00A32879"/>
    <w:rsid w:val="00A5600E"/>
    <w:rsid w:val="00A64122"/>
    <w:rsid w:val="00A75E51"/>
    <w:rsid w:val="00A81FD5"/>
    <w:rsid w:val="00A845EF"/>
    <w:rsid w:val="00A9531C"/>
    <w:rsid w:val="00AA0E98"/>
    <w:rsid w:val="00AB3DA5"/>
    <w:rsid w:val="00AC1DF0"/>
    <w:rsid w:val="00AC500B"/>
    <w:rsid w:val="00AD0999"/>
    <w:rsid w:val="00AD4A5E"/>
    <w:rsid w:val="00B1123F"/>
    <w:rsid w:val="00B12991"/>
    <w:rsid w:val="00B51737"/>
    <w:rsid w:val="00B633E8"/>
    <w:rsid w:val="00B6346F"/>
    <w:rsid w:val="00B75FCD"/>
    <w:rsid w:val="00B82888"/>
    <w:rsid w:val="00B83281"/>
    <w:rsid w:val="00B916E6"/>
    <w:rsid w:val="00B91B15"/>
    <w:rsid w:val="00B940AF"/>
    <w:rsid w:val="00B94683"/>
    <w:rsid w:val="00B95D23"/>
    <w:rsid w:val="00B96B12"/>
    <w:rsid w:val="00BA0E2F"/>
    <w:rsid w:val="00BA132E"/>
    <w:rsid w:val="00BB123C"/>
    <w:rsid w:val="00BB369F"/>
    <w:rsid w:val="00BC7E41"/>
    <w:rsid w:val="00BD3539"/>
    <w:rsid w:val="00BD3C2C"/>
    <w:rsid w:val="00BD6A95"/>
    <w:rsid w:val="00BE2D3D"/>
    <w:rsid w:val="00C009BB"/>
    <w:rsid w:val="00C0197D"/>
    <w:rsid w:val="00C12820"/>
    <w:rsid w:val="00C129EA"/>
    <w:rsid w:val="00C35542"/>
    <w:rsid w:val="00C373AC"/>
    <w:rsid w:val="00C427C2"/>
    <w:rsid w:val="00C43D58"/>
    <w:rsid w:val="00C5203D"/>
    <w:rsid w:val="00C66DB8"/>
    <w:rsid w:val="00C67B2C"/>
    <w:rsid w:val="00C709E3"/>
    <w:rsid w:val="00C85279"/>
    <w:rsid w:val="00C91841"/>
    <w:rsid w:val="00C9676C"/>
    <w:rsid w:val="00CB2EDA"/>
    <w:rsid w:val="00CB6327"/>
    <w:rsid w:val="00CC31BA"/>
    <w:rsid w:val="00CD1556"/>
    <w:rsid w:val="00CD272F"/>
    <w:rsid w:val="00CE4230"/>
    <w:rsid w:val="00CE5760"/>
    <w:rsid w:val="00CE5F97"/>
    <w:rsid w:val="00CF0353"/>
    <w:rsid w:val="00CF4ABF"/>
    <w:rsid w:val="00CF4E9E"/>
    <w:rsid w:val="00CF6D20"/>
    <w:rsid w:val="00D01A74"/>
    <w:rsid w:val="00D033FB"/>
    <w:rsid w:val="00D11B9E"/>
    <w:rsid w:val="00D15C92"/>
    <w:rsid w:val="00D36D32"/>
    <w:rsid w:val="00D51619"/>
    <w:rsid w:val="00D5236C"/>
    <w:rsid w:val="00D612EB"/>
    <w:rsid w:val="00D64323"/>
    <w:rsid w:val="00D72CD8"/>
    <w:rsid w:val="00D850E8"/>
    <w:rsid w:val="00DA2F2A"/>
    <w:rsid w:val="00DA5494"/>
    <w:rsid w:val="00DB3B6E"/>
    <w:rsid w:val="00DC03DA"/>
    <w:rsid w:val="00DC6E25"/>
    <w:rsid w:val="00DD16A8"/>
    <w:rsid w:val="00DD1B47"/>
    <w:rsid w:val="00DD2926"/>
    <w:rsid w:val="00DD5E3D"/>
    <w:rsid w:val="00DD6055"/>
    <w:rsid w:val="00DF06F5"/>
    <w:rsid w:val="00DF314B"/>
    <w:rsid w:val="00E138C1"/>
    <w:rsid w:val="00E13AF1"/>
    <w:rsid w:val="00E20BA4"/>
    <w:rsid w:val="00E239D6"/>
    <w:rsid w:val="00E366C9"/>
    <w:rsid w:val="00E92670"/>
    <w:rsid w:val="00E94565"/>
    <w:rsid w:val="00E97787"/>
    <w:rsid w:val="00EA0AA6"/>
    <w:rsid w:val="00EA10E8"/>
    <w:rsid w:val="00EA7811"/>
    <w:rsid w:val="00EB52DE"/>
    <w:rsid w:val="00EC0A42"/>
    <w:rsid w:val="00ED5AC6"/>
    <w:rsid w:val="00EE633C"/>
    <w:rsid w:val="00EE6808"/>
    <w:rsid w:val="00EF233F"/>
    <w:rsid w:val="00EF356D"/>
    <w:rsid w:val="00F01422"/>
    <w:rsid w:val="00F03B32"/>
    <w:rsid w:val="00F13BDD"/>
    <w:rsid w:val="00F20C80"/>
    <w:rsid w:val="00F22220"/>
    <w:rsid w:val="00F25E24"/>
    <w:rsid w:val="00F27872"/>
    <w:rsid w:val="00F324FD"/>
    <w:rsid w:val="00F32634"/>
    <w:rsid w:val="00F332B2"/>
    <w:rsid w:val="00F50C43"/>
    <w:rsid w:val="00F52345"/>
    <w:rsid w:val="00F5282A"/>
    <w:rsid w:val="00F53E4B"/>
    <w:rsid w:val="00F6224B"/>
    <w:rsid w:val="00F63738"/>
    <w:rsid w:val="00F67FD1"/>
    <w:rsid w:val="00F77FDC"/>
    <w:rsid w:val="00F84596"/>
    <w:rsid w:val="00FB33BA"/>
    <w:rsid w:val="00FC15D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D4DE68-EA6C-484F-98F9-A12FDB510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9B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6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73A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373AC"/>
    <w:rPr>
      <w:rFonts w:ascii="Tahoma" w:hAnsi="Tahoma" w:cs="Tahoma"/>
      <w:sz w:val="16"/>
      <w:szCs w:val="16"/>
      <w:lang w:eastAsia="en-US"/>
    </w:rPr>
  </w:style>
  <w:style w:type="paragraph" w:styleId="Header">
    <w:name w:val="header"/>
    <w:basedOn w:val="Normal"/>
    <w:link w:val="HeaderChar"/>
    <w:uiPriority w:val="99"/>
    <w:unhideWhenUsed/>
    <w:rsid w:val="00C373AC"/>
    <w:pPr>
      <w:tabs>
        <w:tab w:val="center" w:pos="4513"/>
        <w:tab w:val="right" w:pos="9026"/>
      </w:tabs>
    </w:pPr>
  </w:style>
  <w:style w:type="character" w:customStyle="1" w:styleId="HeaderChar">
    <w:name w:val="Header Char"/>
    <w:link w:val="Header"/>
    <w:uiPriority w:val="99"/>
    <w:rsid w:val="00C373AC"/>
    <w:rPr>
      <w:sz w:val="22"/>
      <w:szCs w:val="22"/>
      <w:lang w:eastAsia="en-US"/>
    </w:rPr>
  </w:style>
  <w:style w:type="paragraph" w:styleId="Footer">
    <w:name w:val="footer"/>
    <w:basedOn w:val="Normal"/>
    <w:link w:val="FooterChar"/>
    <w:uiPriority w:val="99"/>
    <w:unhideWhenUsed/>
    <w:rsid w:val="00C373AC"/>
    <w:pPr>
      <w:tabs>
        <w:tab w:val="center" w:pos="4513"/>
        <w:tab w:val="right" w:pos="9026"/>
      </w:tabs>
    </w:pPr>
  </w:style>
  <w:style w:type="character" w:customStyle="1" w:styleId="FooterChar">
    <w:name w:val="Footer Char"/>
    <w:link w:val="Footer"/>
    <w:uiPriority w:val="99"/>
    <w:rsid w:val="00C373AC"/>
    <w:rPr>
      <w:sz w:val="22"/>
      <w:szCs w:val="22"/>
      <w:lang w:eastAsia="en-US"/>
    </w:rPr>
  </w:style>
  <w:style w:type="character" w:styleId="CommentReference">
    <w:name w:val="annotation reference"/>
    <w:uiPriority w:val="99"/>
    <w:semiHidden/>
    <w:unhideWhenUsed/>
    <w:rsid w:val="000749B7"/>
    <w:rPr>
      <w:sz w:val="16"/>
      <w:szCs w:val="16"/>
    </w:rPr>
  </w:style>
  <w:style w:type="paragraph" w:styleId="CommentText">
    <w:name w:val="annotation text"/>
    <w:basedOn w:val="Normal"/>
    <w:link w:val="CommentTextChar"/>
    <w:uiPriority w:val="99"/>
    <w:semiHidden/>
    <w:unhideWhenUsed/>
    <w:rsid w:val="000749B7"/>
    <w:rPr>
      <w:sz w:val="20"/>
      <w:szCs w:val="20"/>
    </w:rPr>
  </w:style>
  <w:style w:type="character" w:customStyle="1" w:styleId="CommentTextChar">
    <w:name w:val="Comment Text Char"/>
    <w:link w:val="CommentText"/>
    <w:uiPriority w:val="99"/>
    <w:semiHidden/>
    <w:rsid w:val="000749B7"/>
    <w:rPr>
      <w:lang w:eastAsia="en-US"/>
    </w:rPr>
  </w:style>
  <w:style w:type="paragraph" w:styleId="CommentSubject">
    <w:name w:val="annotation subject"/>
    <w:basedOn w:val="CommentText"/>
    <w:next w:val="CommentText"/>
    <w:link w:val="CommentSubjectChar"/>
    <w:uiPriority w:val="99"/>
    <w:semiHidden/>
    <w:unhideWhenUsed/>
    <w:rsid w:val="000749B7"/>
    <w:rPr>
      <w:b/>
      <w:bCs/>
    </w:rPr>
  </w:style>
  <w:style w:type="character" w:customStyle="1" w:styleId="CommentSubjectChar">
    <w:name w:val="Comment Subject Char"/>
    <w:link w:val="CommentSubject"/>
    <w:uiPriority w:val="99"/>
    <w:semiHidden/>
    <w:rsid w:val="000749B7"/>
    <w:rPr>
      <w:b/>
      <w:bCs/>
      <w:lang w:eastAsia="en-US"/>
    </w:rPr>
  </w:style>
  <w:style w:type="paragraph" w:styleId="ListParagraph">
    <w:name w:val="List Paragraph"/>
    <w:basedOn w:val="Normal"/>
    <w:uiPriority w:val="99"/>
    <w:qFormat/>
    <w:rsid w:val="00327D69"/>
    <w:pPr>
      <w:spacing w:after="0" w:line="240" w:lineRule="auto"/>
      <w:ind w:left="720"/>
    </w:pPr>
    <w:rPr>
      <w:rFonts w:asciiTheme="minorHAnsi" w:eastAsiaTheme="minorHAnsi" w:hAnsiTheme="minorHAnsi" w:cstheme="minorBidi"/>
    </w:rPr>
  </w:style>
  <w:style w:type="paragraph" w:styleId="NoSpacing">
    <w:name w:val="No Spacing"/>
    <w:link w:val="NoSpacingChar"/>
    <w:uiPriority w:val="1"/>
    <w:qFormat/>
    <w:rsid w:val="009912E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9912E4"/>
    <w:rPr>
      <w:rFonts w:asciiTheme="minorHAnsi" w:eastAsiaTheme="minorEastAsia" w:hAnsiTheme="minorHAnsi" w:cstheme="minorBidi"/>
      <w:sz w:val="22"/>
      <w:szCs w:val="22"/>
      <w:lang w:val="en-US" w:eastAsia="ja-JP"/>
    </w:rPr>
  </w:style>
  <w:style w:type="paragraph" w:styleId="FootnoteText">
    <w:name w:val="footnote text"/>
    <w:basedOn w:val="Normal"/>
    <w:link w:val="FootnoteTextChar"/>
    <w:uiPriority w:val="99"/>
    <w:semiHidden/>
    <w:unhideWhenUsed/>
    <w:rsid w:val="008755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55AC"/>
    <w:rPr>
      <w:lang w:eastAsia="en-US"/>
    </w:rPr>
  </w:style>
  <w:style w:type="character" w:styleId="FootnoteReference">
    <w:name w:val="footnote reference"/>
    <w:basedOn w:val="DefaultParagraphFont"/>
    <w:uiPriority w:val="99"/>
    <w:semiHidden/>
    <w:unhideWhenUsed/>
    <w:rsid w:val="008755AC"/>
    <w:rPr>
      <w:vertAlign w:val="superscript"/>
    </w:rPr>
  </w:style>
  <w:style w:type="character" w:styleId="Hyperlink">
    <w:name w:val="Hyperlink"/>
    <w:basedOn w:val="DefaultParagraphFont"/>
    <w:uiPriority w:val="99"/>
    <w:rsid w:val="006F38AC"/>
    <w:rPr>
      <w:rFonts w:cs="Times New Roman"/>
      <w:color w:val="0000FF"/>
      <w:u w:val="single"/>
    </w:rPr>
  </w:style>
  <w:style w:type="paragraph" w:customStyle="1" w:styleId="Default">
    <w:name w:val="Default"/>
    <w:uiPriority w:val="99"/>
    <w:rsid w:val="006F38AC"/>
    <w:pPr>
      <w:autoSpaceDE w:val="0"/>
      <w:autoSpaceDN w:val="0"/>
      <w:adjustRightInd w:val="0"/>
    </w:pPr>
    <w:rPr>
      <w:rFonts w:ascii="Calibri" w:eastAsia="FZShuTi" w:hAnsi="Calibri" w:cs="Calibri"/>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20141">
      <w:bodyDiv w:val="1"/>
      <w:marLeft w:val="0"/>
      <w:marRight w:val="0"/>
      <w:marTop w:val="0"/>
      <w:marBottom w:val="0"/>
      <w:divBdr>
        <w:top w:val="none" w:sz="0" w:space="0" w:color="auto"/>
        <w:left w:val="none" w:sz="0" w:space="0" w:color="auto"/>
        <w:bottom w:val="none" w:sz="0" w:space="0" w:color="auto"/>
        <w:right w:val="none" w:sz="0" w:space="0" w:color="auto"/>
      </w:divBdr>
    </w:div>
    <w:div w:id="855969402">
      <w:bodyDiv w:val="1"/>
      <w:marLeft w:val="0"/>
      <w:marRight w:val="0"/>
      <w:marTop w:val="0"/>
      <w:marBottom w:val="0"/>
      <w:divBdr>
        <w:top w:val="none" w:sz="0" w:space="0" w:color="auto"/>
        <w:left w:val="none" w:sz="0" w:space="0" w:color="auto"/>
        <w:bottom w:val="none" w:sz="0" w:space="0" w:color="auto"/>
        <w:right w:val="none" w:sz="0" w:space="0" w:color="auto"/>
      </w:divBdr>
    </w:div>
    <w:div w:id="1029913930">
      <w:bodyDiv w:val="1"/>
      <w:marLeft w:val="0"/>
      <w:marRight w:val="0"/>
      <w:marTop w:val="0"/>
      <w:marBottom w:val="0"/>
      <w:divBdr>
        <w:top w:val="none" w:sz="0" w:space="0" w:color="auto"/>
        <w:left w:val="none" w:sz="0" w:space="0" w:color="auto"/>
        <w:bottom w:val="none" w:sz="0" w:space="0" w:color="auto"/>
        <w:right w:val="none" w:sz="0" w:space="0" w:color="auto"/>
      </w:divBdr>
    </w:div>
    <w:div w:id="1166020956">
      <w:bodyDiv w:val="1"/>
      <w:marLeft w:val="0"/>
      <w:marRight w:val="0"/>
      <w:marTop w:val="0"/>
      <w:marBottom w:val="0"/>
      <w:divBdr>
        <w:top w:val="none" w:sz="0" w:space="0" w:color="auto"/>
        <w:left w:val="none" w:sz="0" w:space="0" w:color="auto"/>
        <w:bottom w:val="none" w:sz="0" w:space="0" w:color="auto"/>
        <w:right w:val="none" w:sz="0" w:space="0" w:color="auto"/>
      </w:divBdr>
    </w:div>
    <w:div w:id="1558584787">
      <w:bodyDiv w:val="1"/>
      <w:marLeft w:val="0"/>
      <w:marRight w:val="0"/>
      <w:marTop w:val="0"/>
      <w:marBottom w:val="0"/>
      <w:divBdr>
        <w:top w:val="none" w:sz="0" w:space="0" w:color="auto"/>
        <w:left w:val="none" w:sz="0" w:space="0" w:color="auto"/>
        <w:bottom w:val="none" w:sz="0" w:space="0" w:color="auto"/>
        <w:right w:val="none" w:sz="0" w:space="0" w:color="auto"/>
      </w:divBdr>
      <w:divsChild>
        <w:div w:id="1756515966">
          <w:marLeft w:val="0"/>
          <w:marRight w:val="0"/>
          <w:marTop w:val="0"/>
          <w:marBottom w:val="0"/>
          <w:divBdr>
            <w:top w:val="none" w:sz="0" w:space="0" w:color="auto"/>
            <w:left w:val="none" w:sz="0" w:space="0" w:color="auto"/>
            <w:bottom w:val="none" w:sz="0" w:space="0" w:color="auto"/>
            <w:right w:val="none" w:sz="0" w:space="0" w:color="auto"/>
          </w:divBdr>
          <w:divsChild>
            <w:div w:id="1877696805">
              <w:marLeft w:val="0"/>
              <w:marRight w:val="0"/>
              <w:marTop w:val="0"/>
              <w:marBottom w:val="0"/>
              <w:divBdr>
                <w:top w:val="none" w:sz="0" w:space="0" w:color="auto"/>
                <w:left w:val="none" w:sz="0" w:space="0" w:color="auto"/>
                <w:bottom w:val="none" w:sz="0" w:space="0" w:color="auto"/>
                <w:right w:val="none" w:sz="0" w:space="0" w:color="auto"/>
              </w:divBdr>
              <w:divsChild>
                <w:div w:id="625964737">
                  <w:marLeft w:val="0"/>
                  <w:marRight w:val="0"/>
                  <w:marTop w:val="0"/>
                  <w:marBottom w:val="0"/>
                  <w:divBdr>
                    <w:top w:val="none" w:sz="0" w:space="0" w:color="auto"/>
                    <w:left w:val="none" w:sz="0" w:space="0" w:color="auto"/>
                    <w:bottom w:val="none" w:sz="0" w:space="0" w:color="auto"/>
                    <w:right w:val="none" w:sz="0" w:space="0" w:color="auto"/>
                  </w:divBdr>
                  <w:divsChild>
                    <w:div w:id="131751693">
                      <w:marLeft w:val="0"/>
                      <w:marRight w:val="0"/>
                      <w:marTop w:val="168"/>
                      <w:marBottom w:val="0"/>
                      <w:divBdr>
                        <w:top w:val="single" w:sz="6" w:space="0" w:color="999999"/>
                        <w:left w:val="single" w:sz="6" w:space="0" w:color="999999"/>
                        <w:bottom w:val="single" w:sz="6" w:space="0" w:color="999999"/>
                        <w:right w:val="single" w:sz="6" w:space="0" w:color="999999"/>
                      </w:divBdr>
                      <w:divsChild>
                        <w:div w:id="4903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661166">
      <w:bodyDiv w:val="1"/>
      <w:marLeft w:val="0"/>
      <w:marRight w:val="0"/>
      <w:marTop w:val="0"/>
      <w:marBottom w:val="0"/>
      <w:divBdr>
        <w:top w:val="none" w:sz="0" w:space="0" w:color="auto"/>
        <w:left w:val="none" w:sz="0" w:space="0" w:color="auto"/>
        <w:bottom w:val="none" w:sz="0" w:space="0" w:color="auto"/>
        <w:right w:val="none" w:sz="0" w:space="0" w:color="auto"/>
      </w:divBdr>
      <w:divsChild>
        <w:div w:id="524517111">
          <w:marLeft w:val="0"/>
          <w:marRight w:val="0"/>
          <w:marTop w:val="0"/>
          <w:marBottom w:val="0"/>
          <w:divBdr>
            <w:top w:val="none" w:sz="0" w:space="0" w:color="auto"/>
            <w:left w:val="none" w:sz="0" w:space="0" w:color="auto"/>
            <w:bottom w:val="none" w:sz="0" w:space="0" w:color="auto"/>
            <w:right w:val="none" w:sz="0" w:space="0" w:color="auto"/>
          </w:divBdr>
          <w:divsChild>
            <w:div w:id="1764952606">
              <w:marLeft w:val="0"/>
              <w:marRight w:val="0"/>
              <w:marTop w:val="0"/>
              <w:marBottom w:val="0"/>
              <w:divBdr>
                <w:top w:val="none" w:sz="0" w:space="0" w:color="auto"/>
                <w:left w:val="none" w:sz="0" w:space="0" w:color="auto"/>
                <w:bottom w:val="none" w:sz="0" w:space="0" w:color="auto"/>
                <w:right w:val="none" w:sz="0" w:space="0" w:color="auto"/>
              </w:divBdr>
              <w:divsChild>
                <w:div w:id="1773547226">
                  <w:marLeft w:val="0"/>
                  <w:marRight w:val="0"/>
                  <w:marTop w:val="0"/>
                  <w:marBottom w:val="0"/>
                  <w:divBdr>
                    <w:top w:val="none" w:sz="0" w:space="0" w:color="auto"/>
                    <w:left w:val="none" w:sz="0" w:space="0" w:color="auto"/>
                    <w:bottom w:val="none" w:sz="0" w:space="0" w:color="auto"/>
                    <w:right w:val="none" w:sz="0" w:space="0" w:color="auto"/>
                  </w:divBdr>
                  <w:divsChild>
                    <w:div w:id="996153622">
                      <w:marLeft w:val="0"/>
                      <w:marRight w:val="0"/>
                      <w:marTop w:val="168"/>
                      <w:marBottom w:val="0"/>
                      <w:divBdr>
                        <w:top w:val="single" w:sz="6" w:space="0" w:color="999999"/>
                        <w:left w:val="single" w:sz="6" w:space="0" w:color="999999"/>
                        <w:bottom w:val="single" w:sz="6" w:space="0" w:color="999999"/>
                        <w:right w:val="single" w:sz="6" w:space="0" w:color="999999"/>
                      </w:divBdr>
                      <w:divsChild>
                        <w:div w:id="130122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yperlink" Target="http://www.heacademy.ac.uk/projects/detail/inclusion/Ethnicity_Degree_Attainment_project"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dx.doi.org/10.1080/0309877X.2013.858680"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ecu.ac.uk/publications/equality-in-higher-education-statistical-report-201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heacademy.ac.uk/resources/detail/Roehamptonethnicitysummit" TargetMode="External"/><Relationship Id="rId20" Type="http://schemas.openxmlformats.org/officeDocument/2006/relationships/hyperlink" Target="http://www.nus.org.uk/en/news/race-for-equalit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u.ac.uk/our-projects/race-equality-charter-mark" TargetMode="External"/><Relationship Id="rId24" Type="http://schemas.openxmlformats.org/officeDocument/2006/relationships/hyperlink" Target="http://www.heacademy.ac.uk/resources/detail/retention/JS_BME_Lit_Syn" TargetMode="External"/><Relationship Id="rId5" Type="http://schemas.openxmlformats.org/officeDocument/2006/relationships/settings" Target="settings.xml"/><Relationship Id="rId15" Type="http://schemas.openxmlformats.org/officeDocument/2006/relationships/hyperlink" Target="http://webarchive.nationalarchives.gov.uk/20070205131818/http://www.dfes.gov.uk/research/programmeofresearch/projectinformation.cfm?projectId=15132&amp;type=5&amp;resultspage=1" TargetMode="External"/><Relationship Id="rId23" Type="http://schemas.openxmlformats.org/officeDocument/2006/relationships/hyperlink" Target="http://www.heacademy.ac.uk/resources/detail/retention/bme_summit_report" TargetMode="External"/><Relationship Id="rId10" Type="http://schemas.openxmlformats.org/officeDocument/2006/relationships/header" Target="header2.xml"/><Relationship Id="rId19" Type="http://schemas.openxmlformats.org/officeDocument/2006/relationships/hyperlink" Target="http://www.hefce.ac.uk/media/hefce/content/pubs/2014/201403/HEFCE2014_03.pdf"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heacademy.ac.uk/resources/detail/inclusion/Ethnicity/BMEProgramme_FinalReport" TargetMode="External"/><Relationship Id="rId22" Type="http://schemas.openxmlformats.org/officeDocument/2006/relationships/hyperlink" Target="http://bit.ly/zj31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May 20014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31EDAA-4F66-4018-BB3F-F13A46DEE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4264</Words>
  <Characters>24309</Characters>
  <Application>Microsoft Office Word</Application>
  <DocSecurity>4</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28516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Executive Summary</dc:subject>
  <dc:creator>Dr Julie Evans: Faculty of Brain Sciences, Dr Alastair McClelland and Dr Sylvia Vitello: Psychology and Language Sciences</dc:creator>
  <cp:lastModifiedBy>Daniel Smith</cp:lastModifiedBy>
  <cp:revision>2</cp:revision>
  <cp:lastPrinted>2014-12-04T15:07:00Z</cp:lastPrinted>
  <dcterms:created xsi:type="dcterms:W3CDTF">2017-04-27T14:15:00Z</dcterms:created>
  <dcterms:modified xsi:type="dcterms:W3CDTF">2017-04-27T14:15:00Z</dcterms:modified>
</cp:coreProperties>
</file>