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2F" w:rsidRDefault="00F224CD">
      <w:pPr>
        <w:rPr>
          <w:b/>
          <w:sz w:val="32"/>
        </w:rPr>
      </w:pPr>
      <w:r w:rsidRPr="00F224CD">
        <w:rPr>
          <w:b/>
          <w:sz w:val="32"/>
        </w:rPr>
        <w:t>Supplementary Material</w:t>
      </w:r>
    </w:p>
    <w:p w:rsidR="0003382F" w:rsidRDefault="0003382F">
      <w:pPr>
        <w:rPr>
          <w:b/>
          <w:sz w:val="32"/>
        </w:rPr>
      </w:pPr>
    </w:p>
    <w:p w:rsidR="0003382F" w:rsidRPr="005B3C5F" w:rsidRDefault="00633A5F" w:rsidP="0003382F">
      <w:pPr>
        <w:rPr>
          <w:i/>
          <w:sz w:val="32"/>
        </w:rPr>
      </w:pPr>
      <w:r>
        <w:rPr>
          <w:i/>
          <w:sz w:val="32"/>
        </w:rPr>
        <w:t xml:space="preserve">1. </w:t>
      </w:r>
      <w:r w:rsidR="0003382F" w:rsidRPr="005B3C5F">
        <w:rPr>
          <w:i/>
          <w:sz w:val="32"/>
        </w:rPr>
        <w:t>Lesion analysis of responders vs. non-responders</w:t>
      </w:r>
    </w:p>
    <w:p w:rsidR="00633A5F" w:rsidRDefault="00633A5F" w:rsidP="0003382F">
      <w:pPr>
        <w:rPr>
          <w:sz w:val="22"/>
          <w:lang w:val="en-GB"/>
        </w:rPr>
      </w:pPr>
    </w:p>
    <w:p w:rsidR="0003382F" w:rsidRDefault="0003382F" w:rsidP="0003382F">
      <w:pPr>
        <w:rPr>
          <w:sz w:val="22"/>
          <w:lang w:val="en-GB"/>
        </w:rPr>
      </w:pPr>
      <w:r>
        <w:rPr>
          <w:sz w:val="22"/>
          <w:lang w:val="en-GB"/>
        </w:rPr>
        <w:t xml:space="preserve">A post-hoc analysis of lesions of patients who responded to </w:t>
      </w:r>
      <w:proofErr w:type="spellStart"/>
      <w:r>
        <w:rPr>
          <w:sz w:val="22"/>
          <w:lang w:val="en-GB"/>
        </w:rPr>
        <w:t>rotigotine</w:t>
      </w:r>
      <w:proofErr w:type="spellEnd"/>
      <w:r>
        <w:rPr>
          <w:sz w:val="22"/>
          <w:lang w:val="en-GB"/>
        </w:rPr>
        <w:t xml:space="preserve"> versus those who did not was performed. These data necessarily need to be </w:t>
      </w:r>
      <w:r w:rsidR="005656F0">
        <w:rPr>
          <w:sz w:val="22"/>
          <w:lang w:val="en-GB"/>
        </w:rPr>
        <w:t>assessed with caution. Given the relatively small sample size, they might well not replicate or generalize.</w:t>
      </w:r>
    </w:p>
    <w:p w:rsidR="0003382F" w:rsidRDefault="0003382F" w:rsidP="0003382F">
      <w:pPr>
        <w:rPr>
          <w:sz w:val="22"/>
          <w:lang w:val="en-GB"/>
        </w:rPr>
      </w:pPr>
    </w:p>
    <w:p w:rsidR="005656F0" w:rsidRDefault="005656F0" w:rsidP="0003382F">
      <w:pPr>
        <w:rPr>
          <w:sz w:val="22"/>
          <w:lang w:val="en-GB"/>
        </w:rPr>
      </w:pPr>
      <w:proofErr w:type="spellStart"/>
      <w:r>
        <w:rPr>
          <w:sz w:val="22"/>
          <w:lang w:val="en-GB"/>
        </w:rPr>
        <w:t>Voxel</w:t>
      </w:r>
      <w:proofErr w:type="spellEnd"/>
      <w:r>
        <w:rPr>
          <w:sz w:val="22"/>
          <w:lang w:val="en-GB"/>
        </w:rPr>
        <w:t xml:space="preserve">-based lesion </w:t>
      </w:r>
      <w:r w:rsidR="0003382F" w:rsidRPr="0003382F">
        <w:rPr>
          <w:sz w:val="22"/>
          <w:lang w:val="en-GB"/>
        </w:rPr>
        <w:t>symptom mapping (</w:t>
      </w:r>
      <w:r>
        <w:rPr>
          <w:sz w:val="22"/>
          <w:lang w:val="en-GB"/>
        </w:rPr>
        <w:t>VLSM) analysis was</w:t>
      </w:r>
      <w:r w:rsidR="0003382F" w:rsidRPr="0003382F">
        <w:rPr>
          <w:sz w:val="22"/>
          <w:lang w:val="en-GB"/>
        </w:rPr>
        <w:t xml:space="preserve"> performed using </w:t>
      </w:r>
      <w:proofErr w:type="spellStart"/>
      <w:r w:rsidR="0003382F" w:rsidRPr="0003382F">
        <w:rPr>
          <w:sz w:val="22"/>
          <w:lang w:val="en-GB"/>
        </w:rPr>
        <w:t>MRIcron’s</w:t>
      </w:r>
      <w:proofErr w:type="spellEnd"/>
      <w:r w:rsidR="0003382F" w:rsidRPr="0003382F">
        <w:rPr>
          <w:sz w:val="22"/>
          <w:lang w:val="en-GB"/>
        </w:rPr>
        <w:t xml:space="preserve"> </w:t>
      </w:r>
      <w:r>
        <w:rPr>
          <w:sz w:val="22"/>
          <w:lang w:val="en-GB"/>
        </w:rPr>
        <w:t xml:space="preserve">non-parametric mapping software </w:t>
      </w:r>
      <w:r w:rsidR="0003382F" w:rsidRPr="0003382F">
        <w:rPr>
          <w:sz w:val="22"/>
          <w:lang w:val="en-GB"/>
        </w:rPr>
        <w:t>(</w:t>
      </w:r>
      <w:proofErr w:type="spellStart"/>
      <w:r w:rsidR="0003382F" w:rsidRPr="0003382F">
        <w:rPr>
          <w:sz w:val="22"/>
          <w:lang w:val="en-GB"/>
        </w:rPr>
        <w:t>www.mccauslandcenter.sc.edu/mricro/npm</w:t>
      </w:r>
      <w:proofErr w:type="spellEnd"/>
      <w:r w:rsidR="0003382F" w:rsidRPr="0003382F">
        <w:rPr>
          <w:sz w:val="22"/>
          <w:lang w:val="en-GB"/>
        </w:rPr>
        <w:t xml:space="preserve">/). </w:t>
      </w:r>
    </w:p>
    <w:p w:rsidR="005656F0" w:rsidRDefault="005656F0" w:rsidP="0003382F">
      <w:pPr>
        <w:rPr>
          <w:sz w:val="22"/>
          <w:lang w:val="en-GB"/>
        </w:rPr>
      </w:pPr>
    </w:p>
    <w:p w:rsidR="005656F0" w:rsidRPr="006866AE" w:rsidRDefault="005656F0" w:rsidP="0003382F">
      <w:pPr>
        <w:rPr>
          <w:sz w:val="22"/>
          <w:lang w:val="en-GB"/>
        </w:rPr>
      </w:pPr>
      <w:r>
        <w:rPr>
          <w:sz w:val="22"/>
          <w:lang w:val="en-GB"/>
        </w:rPr>
        <w:t xml:space="preserve">Cases 1, 3, 9, 11, and 13 were considered to show </w:t>
      </w:r>
      <w:r w:rsidR="0003382F" w:rsidRPr="0003382F">
        <w:rPr>
          <w:sz w:val="22"/>
          <w:lang w:val="en-GB"/>
        </w:rPr>
        <w:t>beneficial response to treatment and all other patients</w:t>
      </w:r>
      <w:r>
        <w:rPr>
          <w:sz w:val="22"/>
          <w:lang w:val="en-GB"/>
        </w:rPr>
        <w:t xml:space="preserve"> were considered as non-responders.</w:t>
      </w:r>
      <w:r w:rsidR="006866AE">
        <w:rPr>
          <w:sz w:val="22"/>
          <w:lang w:val="en-GB"/>
        </w:rPr>
        <w:t xml:space="preserve"> </w:t>
      </w:r>
      <w:r w:rsidR="006866AE">
        <w:rPr>
          <w:b/>
          <w:sz w:val="22"/>
          <w:lang w:val="en-GB"/>
        </w:rPr>
        <w:t>Fig S1</w:t>
      </w:r>
      <w:r w:rsidR="006866AE">
        <w:rPr>
          <w:sz w:val="22"/>
          <w:lang w:val="en-GB"/>
        </w:rPr>
        <w:t xml:space="preserve"> illustrates the results.</w:t>
      </w:r>
    </w:p>
    <w:p w:rsidR="005656F0" w:rsidRDefault="005656F0" w:rsidP="0003382F">
      <w:pPr>
        <w:rPr>
          <w:sz w:val="22"/>
          <w:lang w:val="en-GB"/>
        </w:rPr>
      </w:pPr>
    </w:p>
    <w:p w:rsidR="0003382F" w:rsidRPr="0003382F" w:rsidRDefault="0003382F" w:rsidP="0003382F">
      <w:pPr>
        <w:rPr>
          <w:sz w:val="22"/>
          <w:lang w:val="en-GB"/>
        </w:rPr>
      </w:pPr>
      <w:r w:rsidRPr="0003382F">
        <w:rPr>
          <w:sz w:val="22"/>
        </w:rPr>
        <w:drawing>
          <wp:inline distT="0" distB="0" distL="0" distR="0">
            <wp:extent cx="5731510" cy="1100807"/>
            <wp:effectExtent l="0" t="0" r="2540" b="4445"/>
            <wp:docPr id="1" name="Picture 1" descr="C:\Users\ngorgoraptis\Desktop\VLSM_response_to_rotigo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goraptis\Desktop\VLSM_response_to_rotigotine.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731510" cy="1100807"/>
                    </a:xfrm>
                    <a:prstGeom prst="rect">
                      <a:avLst/>
                    </a:prstGeom>
                    <a:noFill/>
                    <a:ln>
                      <a:noFill/>
                    </a:ln>
                  </pic:spPr>
                </pic:pic>
              </a:graphicData>
            </a:graphic>
          </wp:inline>
        </w:drawing>
      </w:r>
    </w:p>
    <w:p w:rsidR="005656F0" w:rsidRDefault="005656F0" w:rsidP="0003382F">
      <w:pPr>
        <w:rPr>
          <w:sz w:val="22"/>
          <w:lang w:val="en-GB"/>
        </w:rPr>
      </w:pPr>
    </w:p>
    <w:p w:rsidR="004124A9" w:rsidRPr="004124A9" w:rsidRDefault="004124A9" w:rsidP="0003382F">
      <w:pPr>
        <w:rPr>
          <w:sz w:val="22"/>
          <w:lang w:val="en-GB"/>
        </w:rPr>
      </w:pPr>
      <w:r>
        <w:rPr>
          <w:b/>
          <w:sz w:val="22"/>
          <w:lang w:val="en-GB"/>
        </w:rPr>
        <w:t xml:space="preserve">Fig. S1 </w:t>
      </w:r>
      <w:r>
        <w:rPr>
          <w:sz w:val="22"/>
          <w:lang w:val="en-GB"/>
        </w:rPr>
        <w:t xml:space="preserve">Lesions of responders to </w:t>
      </w:r>
      <w:proofErr w:type="spellStart"/>
      <w:r>
        <w:rPr>
          <w:sz w:val="22"/>
          <w:lang w:val="en-GB"/>
        </w:rPr>
        <w:t>rotigotine</w:t>
      </w:r>
      <w:proofErr w:type="spellEnd"/>
      <w:r>
        <w:rPr>
          <w:sz w:val="22"/>
          <w:lang w:val="en-GB"/>
        </w:rPr>
        <w:t xml:space="preserve"> compared to non-responders.</w:t>
      </w:r>
    </w:p>
    <w:p w:rsidR="004124A9" w:rsidRDefault="004124A9" w:rsidP="0003382F">
      <w:pPr>
        <w:rPr>
          <w:b/>
          <w:sz w:val="22"/>
          <w:lang w:val="en-GB"/>
        </w:rPr>
      </w:pPr>
    </w:p>
    <w:p w:rsidR="006866AE" w:rsidRDefault="006866AE" w:rsidP="0003382F">
      <w:pPr>
        <w:rPr>
          <w:sz w:val="22"/>
          <w:lang w:val="en-GB"/>
        </w:rPr>
      </w:pPr>
      <w:r>
        <w:rPr>
          <w:sz w:val="22"/>
          <w:lang w:val="en-GB"/>
        </w:rPr>
        <w:t>The analysis</w:t>
      </w:r>
      <w:r w:rsidR="0003382F" w:rsidRPr="0003382F">
        <w:rPr>
          <w:sz w:val="22"/>
          <w:lang w:val="en-GB"/>
        </w:rPr>
        <w:t xml:space="preserve"> results suggest that </w:t>
      </w:r>
      <w:r w:rsidR="0003382F" w:rsidRPr="0003382F">
        <w:rPr>
          <w:sz w:val="22"/>
          <w:u w:val="single"/>
          <w:lang w:val="en-GB"/>
        </w:rPr>
        <w:t>damage to</w:t>
      </w:r>
      <w:r w:rsidR="0003382F" w:rsidRPr="0003382F">
        <w:rPr>
          <w:sz w:val="22"/>
          <w:lang w:val="en-GB"/>
        </w:rPr>
        <w:t xml:space="preserve"> areas in </w:t>
      </w:r>
      <w:r>
        <w:rPr>
          <w:sz w:val="22"/>
          <w:lang w:val="en-GB"/>
        </w:rPr>
        <w:t xml:space="preserve">right </w:t>
      </w:r>
      <w:r w:rsidR="0003382F" w:rsidRPr="0003382F">
        <w:rPr>
          <w:sz w:val="22"/>
          <w:lang w:val="en-GB"/>
        </w:rPr>
        <w:t xml:space="preserve">superior frontal </w:t>
      </w:r>
      <w:proofErr w:type="gramStart"/>
      <w:r w:rsidR="0003382F" w:rsidRPr="0003382F">
        <w:rPr>
          <w:sz w:val="22"/>
          <w:lang w:val="en-GB"/>
        </w:rPr>
        <w:t>cortex,</w:t>
      </w:r>
      <w:proofErr w:type="gramEnd"/>
      <w:r w:rsidR="0003382F" w:rsidRPr="0003382F">
        <w:rPr>
          <w:sz w:val="22"/>
          <w:lang w:val="en-GB"/>
        </w:rPr>
        <w:t xml:space="preserve"> temporal pole and smaller posterior temporal and</w:t>
      </w:r>
      <w:bookmarkStart w:id="0" w:name="_GoBack"/>
      <w:bookmarkEnd w:id="0"/>
      <w:r w:rsidR="0003382F" w:rsidRPr="0003382F">
        <w:rPr>
          <w:sz w:val="22"/>
          <w:lang w:val="en-GB"/>
        </w:rPr>
        <w:t xml:space="preserve"> frontal white matter areas might predict positive response to </w:t>
      </w:r>
      <w:proofErr w:type="spellStart"/>
      <w:r w:rsidR="0003382F" w:rsidRPr="0003382F">
        <w:rPr>
          <w:sz w:val="22"/>
          <w:lang w:val="en-GB"/>
        </w:rPr>
        <w:t>rotigotine</w:t>
      </w:r>
      <w:proofErr w:type="spellEnd"/>
      <w:r w:rsidR="0003382F" w:rsidRPr="0003382F">
        <w:rPr>
          <w:sz w:val="22"/>
          <w:lang w:val="en-GB"/>
        </w:rPr>
        <w:t xml:space="preserve"> in visual search.  </w:t>
      </w:r>
    </w:p>
    <w:p w:rsidR="006866AE" w:rsidRDefault="006866AE" w:rsidP="0003382F">
      <w:pPr>
        <w:rPr>
          <w:sz w:val="22"/>
          <w:lang w:val="en-GB"/>
        </w:rPr>
      </w:pPr>
    </w:p>
    <w:p w:rsidR="00633A5F" w:rsidRDefault="0003382F" w:rsidP="0003382F">
      <w:pPr>
        <w:rPr>
          <w:sz w:val="22"/>
          <w:lang w:val="en-GB"/>
        </w:rPr>
      </w:pPr>
      <w:r w:rsidRPr="0003382F">
        <w:rPr>
          <w:sz w:val="22"/>
          <w:lang w:val="en-GB"/>
        </w:rPr>
        <w:t xml:space="preserve">While these findings are interesting, particularly in view of the fact that the superior frontal region would involve the frontal eye field, we </w:t>
      </w:r>
      <w:r w:rsidR="006866AE">
        <w:rPr>
          <w:sz w:val="22"/>
          <w:lang w:val="en-GB"/>
        </w:rPr>
        <w:t>would urge caution in</w:t>
      </w:r>
      <w:r w:rsidR="005B3C5F">
        <w:rPr>
          <w:sz w:val="22"/>
          <w:lang w:val="en-GB"/>
        </w:rPr>
        <w:t xml:space="preserve"> </w:t>
      </w:r>
      <w:r w:rsidRPr="0003382F">
        <w:rPr>
          <w:sz w:val="22"/>
          <w:lang w:val="en-GB"/>
        </w:rPr>
        <w:t>interpretation given the relatively small sample size.</w:t>
      </w:r>
    </w:p>
    <w:p w:rsidR="00633A5F" w:rsidRDefault="00633A5F" w:rsidP="0003382F">
      <w:pPr>
        <w:rPr>
          <w:sz w:val="22"/>
          <w:lang w:val="en-GB"/>
        </w:rPr>
      </w:pPr>
    </w:p>
    <w:p w:rsidR="00633A5F" w:rsidRDefault="00633A5F" w:rsidP="0003382F">
      <w:pPr>
        <w:rPr>
          <w:sz w:val="22"/>
          <w:lang w:val="en-GB"/>
        </w:rPr>
      </w:pPr>
    </w:p>
    <w:p w:rsidR="00633A5F" w:rsidRDefault="00633A5F" w:rsidP="0003382F">
      <w:pPr>
        <w:rPr>
          <w:sz w:val="22"/>
          <w:lang w:val="en-GB"/>
        </w:rPr>
      </w:pPr>
    </w:p>
    <w:p w:rsidR="00633A5F" w:rsidRPr="005B3C5F" w:rsidRDefault="00633A5F" w:rsidP="00633A5F">
      <w:pPr>
        <w:rPr>
          <w:i/>
          <w:sz w:val="32"/>
        </w:rPr>
      </w:pPr>
      <w:r>
        <w:rPr>
          <w:i/>
          <w:sz w:val="32"/>
        </w:rPr>
        <w:t xml:space="preserve">2. </w:t>
      </w:r>
      <w:r w:rsidRPr="005B3C5F">
        <w:rPr>
          <w:i/>
          <w:sz w:val="32"/>
        </w:rPr>
        <w:t xml:space="preserve">Lesion analysis </w:t>
      </w:r>
      <w:r>
        <w:rPr>
          <w:i/>
          <w:sz w:val="32"/>
        </w:rPr>
        <w:t>according to involvement of superior parietal lobe.</w:t>
      </w:r>
    </w:p>
    <w:p w:rsidR="00633A5F" w:rsidRDefault="00633A5F" w:rsidP="0003382F">
      <w:pPr>
        <w:rPr>
          <w:sz w:val="22"/>
          <w:lang w:val="en-GB"/>
        </w:rPr>
      </w:pPr>
    </w:p>
    <w:p w:rsidR="00633A5F" w:rsidRDefault="00633A5F" w:rsidP="00633A5F">
      <w:pPr>
        <w:rPr>
          <w:sz w:val="22"/>
          <w:lang w:val="en-GB"/>
        </w:rPr>
      </w:pPr>
      <w:r>
        <w:rPr>
          <w:sz w:val="22"/>
          <w:lang w:val="en-GB"/>
        </w:rPr>
        <w:t>Although our original hypothesis was based on prefrontal cortex (PFC) involvement, it is also potentially</w:t>
      </w:r>
      <w:r w:rsidRPr="00633A5F">
        <w:rPr>
          <w:sz w:val="22"/>
          <w:lang w:val="en-GB"/>
        </w:rPr>
        <w:t xml:space="preserve"> interesting</w:t>
      </w:r>
      <w:r>
        <w:rPr>
          <w:sz w:val="22"/>
          <w:lang w:val="en-GB"/>
        </w:rPr>
        <w:t xml:space="preserve"> to determine whether degree of right superior parietal lobe (</w:t>
      </w:r>
      <w:proofErr w:type="spellStart"/>
      <w:r>
        <w:rPr>
          <w:sz w:val="22"/>
          <w:lang w:val="en-GB"/>
        </w:rPr>
        <w:t>rSPL</w:t>
      </w:r>
      <w:proofErr w:type="spellEnd"/>
      <w:r>
        <w:rPr>
          <w:sz w:val="22"/>
          <w:lang w:val="en-GB"/>
        </w:rPr>
        <w:t xml:space="preserve">) integrity had any effect on response to </w:t>
      </w:r>
      <w:proofErr w:type="spellStart"/>
      <w:r>
        <w:rPr>
          <w:sz w:val="22"/>
          <w:lang w:val="en-GB"/>
        </w:rPr>
        <w:t>rotigotine</w:t>
      </w:r>
      <w:proofErr w:type="spellEnd"/>
      <w:r>
        <w:rPr>
          <w:sz w:val="22"/>
          <w:lang w:val="en-GB"/>
        </w:rPr>
        <w:t>. W</w:t>
      </w:r>
      <w:r w:rsidRPr="00633A5F">
        <w:rPr>
          <w:sz w:val="22"/>
          <w:lang w:val="en-GB"/>
        </w:rPr>
        <w:t>e divided the patients into tw</w:t>
      </w:r>
      <w:r>
        <w:rPr>
          <w:sz w:val="22"/>
          <w:lang w:val="en-GB"/>
        </w:rPr>
        <w:t xml:space="preserve">o subgroups, according to </w:t>
      </w:r>
      <w:r w:rsidR="006F2D06">
        <w:rPr>
          <w:sz w:val="22"/>
          <w:lang w:val="en-GB"/>
        </w:rPr>
        <w:t xml:space="preserve">high or low degree of </w:t>
      </w:r>
      <w:proofErr w:type="spellStart"/>
      <w:r>
        <w:rPr>
          <w:sz w:val="22"/>
          <w:lang w:val="en-GB"/>
        </w:rPr>
        <w:t>rSPL</w:t>
      </w:r>
      <w:proofErr w:type="spellEnd"/>
      <w:r>
        <w:rPr>
          <w:sz w:val="22"/>
          <w:lang w:val="en-GB"/>
        </w:rPr>
        <w:t xml:space="preserve"> involvement,</w:t>
      </w:r>
      <w:r w:rsidRPr="00633A5F">
        <w:rPr>
          <w:sz w:val="22"/>
          <w:lang w:val="en-GB"/>
        </w:rPr>
        <w:t xml:space="preserve"> as shown in the table </w:t>
      </w:r>
      <w:r>
        <w:rPr>
          <w:b/>
          <w:sz w:val="22"/>
          <w:lang w:val="en-GB"/>
        </w:rPr>
        <w:t xml:space="preserve">S1 </w:t>
      </w:r>
      <w:r w:rsidRPr="00633A5F">
        <w:rPr>
          <w:sz w:val="22"/>
          <w:lang w:val="en-GB"/>
        </w:rPr>
        <w:t>below (order of subjects is the same as</w:t>
      </w:r>
      <w:r>
        <w:rPr>
          <w:sz w:val="22"/>
          <w:lang w:val="en-GB"/>
        </w:rPr>
        <w:t xml:space="preserve"> in Table 1 in the manuscript).</w:t>
      </w:r>
    </w:p>
    <w:p w:rsidR="00633A5F" w:rsidRDefault="00633A5F" w:rsidP="00633A5F">
      <w:pPr>
        <w:rPr>
          <w:sz w:val="22"/>
          <w:lang w:val="en-GB"/>
        </w:rPr>
      </w:pPr>
    </w:p>
    <w:p w:rsidR="00633A5F" w:rsidRDefault="00633A5F" w:rsidP="00633A5F">
      <w:pPr>
        <w:rPr>
          <w:sz w:val="22"/>
          <w:lang w:val="en-GB"/>
        </w:rPr>
      </w:pPr>
      <w:proofErr w:type="spellStart"/>
      <w:proofErr w:type="gramStart"/>
      <w:r w:rsidRPr="00633A5F">
        <w:rPr>
          <w:sz w:val="22"/>
          <w:lang w:val="en-GB"/>
        </w:rPr>
        <w:t>rSPL</w:t>
      </w:r>
      <w:proofErr w:type="spellEnd"/>
      <w:proofErr w:type="gramEnd"/>
      <w:r w:rsidRPr="00633A5F">
        <w:rPr>
          <w:sz w:val="22"/>
          <w:lang w:val="en-GB"/>
        </w:rPr>
        <w:t xml:space="preserve"> here is defined as </w:t>
      </w:r>
      <w:proofErr w:type="spellStart"/>
      <w:r w:rsidRPr="00633A5F">
        <w:rPr>
          <w:sz w:val="22"/>
          <w:lang w:val="en-GB"/>
        </w:rPr>
        <w:t>Bro</w:t>
      </w:r>
      <w:r>
        <w:rPr>
          <w:sz w:val="22"/>
          <w:lang w:val="en-GB"/>
        </w:rPr>
        <w:t>dmann</w:t>
      </w:r>
      <w:proofErr w:type="spellEnd"/>
      <w:r>
        <w:rPr>
          <w:sz w:val="22"/>
          <w:lang w:val="en-GB"/>
        </w:rPr>
        <w:t xml:space="preserve"> areas 5 and 7</w:t>
      </w:r>
      <w:r w:rsidRPr="00633A5F">
        <w:rPr>
          <w:sz w:val="22"/>
          <w:lang w:val="en-GB"/>
        </w:rPr>
        <w:t xml:space="preserve">, and the procedure followed to characterise the extent of its involvement in the lesion was the same as described for the </w:t>
      </w:r>
      <w:proofErr w:type="spellStart"/>
      <w:r w:rsidRPr="00633A5F">
        <w:rPr>
          <w:sz w:val="22"/>
          <w:lang w:val="en-GB"/>
        </w:rPr>
        <w:t>rPFC</w:t>
      </w:r>
      <w:proofErr w:type="spellEnd"/>
      <w:r w:rsidRPr="00633A5F">
        <w:rPr>
          <w:sz w:val="22"/>
          <w:lang w:val="en-GB"/>
        </w:rPr>
        <w:t xml:space="preserve"> in our Methods. Overlap of le</w:t>
      </w:r>
      <w:r>
        <w:rPr>
          <w:sz w:val="22"/>
          <w:lang w:val="en-GB"/>
        </w:rPr>
        <w:t xml:space="preserve">sions with </w:t>
      </w:r>
      <w:proofErr w:type="spellStart"/>
      <w:r>
        <w:rPr>
          <w:sz w:val="22"/>
          <w:lang w:val="en-GB"/>
        </w:rPr>
        <w:t>rSPL</w:t>
      </w:r>
      <w:proofErr w:type="spellEnd"/>
      <w:r>
        <w:rPr>
          <w:sz w:val="22"/>
          <w:lang w:val="en-GB"/>
        </w:rPr>
        <w:t xml:space="preserve"> is shown in </w:t>
      </w:r>
      <w:r>
        <w:rPr>
          <w:b/>
          <w:sz w:val="22"/>
          <w:lang w:val="en-GB"/>
        </w:rPr>
        <w:t>Fig S2</w:t>
      </w:r>
      <w:r>
        <w:rPr>
          <w:sz w:val="22"/>
          <w:lang w:val="en-GB"/>
        </w:rPr>
        <w:t xml:space="preserve">. </w:t>
      </w:r>
      <w:r w:rsidRPr="00633A5F">
        <w:rPr>
          <w:sz w:val="22"/>
          <w:lang w:val="en-GB"/>
        </w:rPr>
        <w:t xml:space="preserve">Subjects were divided in two equal subgroups according to % of </w:t>
      </w:r>
      <w:proofErr w:type="spellStart"/>
      <w:r w:rsidRPr="00633A5F">
        <w:rPr>
          <w:sz w:val="22"/>
          <w:lang w:val="en-GB"/>
        </w:rPr>
        <w:t>rSPL</w:t>
      </w:r>
      <w:proofErr w:type="spellEnd"/>
      <w:r w:rsidRPr="00633A5F">
        <w:rPr>
          <w:sz w:val="22"/>
          <w:lang w:val="en-GB"/>
        </w:rPr>
        <w:t xml:space="preserve"> involvement. Analysis of performance in the behavioural measures in each </w:t>
      </w:r>
      <w:proofErr w:type="spellStart"/>
      <w:r w:rsidRPr="00633A5F">
        <w:rPr>
          <w:sz w:val="22"/>
          <w:lang w:val="en-GB"/>
        </w:rPr>
        <w:t>rSPL</w:t>
      </w:r>
      <w:proofErr w:type="spellEnd"/>
      <w:r w:rsidRPr="00633A5F">
        <w:rPr>
          <w:sz w:val="22"/>
          <w:lang w:val="en-GB"/>
        </w:rPr>
        <w:t xml:space="preserve"> subgroup was carried out as for the </w:t>
      </w:r>
      <w:proofErr w:type="spellStart"/>
      <w:r w:rsidRPr="00633A5F">
        <w:rPr>
          <w:sz w:val="22"/>
          <w:lang w:val="en-GB"/>
        </w:rPr>
        <w:t>rPFC</w:t>
      </w:r>
      <w:proofErr w:type="spellEnd"/>
      <w:r w:rsidRPr="00633A5F">
        <w:rPr>
          <w:sz w:val="22"/>
          <w:lang w:val="en-GB"/>
        </w:rPr>
        <w:t xml:space="preserve"> subgroups. </w:t>
      </w:r>
    </w:p>
    <w:p w:rsidR="00633A5F" w:rsidRDefault="00633A5F" w:rsidP="00633A5F">
      <w:pPr>
        <w:rPr>
          <w:sz w:val="22"/>
          <w:lang w:val="en-GB"/>
        </w:rPr>
      </w:pPr>
    </w:p>
    <w:p w:rsidR="00633A5F" w:rsidRDefault="00633A5F" w:rsidP="00633A5F">
      <w:pPr>
        <w:rPr>
          <w:sz w:val="22"/>
          <w:lang w:val="en-GB"/>
        </w:rPr>
      </w:pPr>
    </w:p>
    <w:p w:rsidR="00633A5F" w:rsidRDefault="00633A5F" w:rsidP="00633A5F">
      <w:pPr>
        <w:rPr>
          <w:sz w:val="22"/>
          <w:lang w:val="en-GB"/>
        </w:rPr>
      </w:pPr>
    </w:p>
    <w:p w:rsidR="00633A5F" w:rsidRDefault="00633A5F" w:rsidP="00633A5F">
      <w:pPr>
        <w:rPr>
          <w:sz w:val="22"/>
          <w:lang w:val="en-GB"/>
        </w:rPr>
      </w:pPr>
      <w:r w:rsidRPr="00633A5F">
        <w:rPr>
          <w:sz w:val="22"/>
          <w:lang w:val="en-GB"/>
        </w:rPr>
        <w:drawing>
          <wp:inline distT="0" distB="0" distL="0" distR="0">
            <wp:extent cx="5270500" cy="1369362"/>
            <wp:effectExtent l="25400" t="0" r="0" b="0"/>
            <wp:docPr id="10" name="Picture 2" descr="C:\Users\ngorgoraptis\Desktop\rS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orgoraptis\Desktop\rSPL.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270500" cy="1369362"/>
                    </a:xfrm>
                    <a:prstGeom prst="rect">
                      <a:avLst/>
                    </a:prstGeom>
                    <a:noFill/>
                    <a:ln>
                      <a:noFill/>
                    </a:ln>
                  </pic:spPr>
                </pic:pic>
              </a:graphicData>
            </a:graphic>
          </wp:inline>
        </w:drawing>
      </w:r>
    </w:p>
    <w:p w:rsidR="00633A5F" w:rsidRDefault="00633A5F" w:rsidP="00633A5F">
      <w:pPr>
        <w:rPr>
          <w:sz w:val="22"/>
          <w:lang w:val="en-GB"/>
        </w:rPr>
      </w:pPr>
    </w:p>
    <w:p w:rsidR="00633A5F" w:rsidRPr="004124A9" w:rsidRDefault="006705EE" w:rsidP="00633A5F">
      <w:pPr>
        <w:rPr>
          <w:sz w:val="22"/>
          <w:lang w:val="en-GB"/>
        </w:rPr>
      </w:pPr>
      <w:r>
        <w:rPr>
          <w:b/>
          <w:sz w:val="22"/>
          <w:lang w:val="en-GB"/>
        </w:rPr>
        <w:t>Fig. S2</w:t>
      </w:r>
      <w:r w:rsidR="00633A5F">
        <w:rPr>
          <w:b/>
          <w:sz w:val="22"/>
          <w:lang w:val="en-GB"/>
        </w:rPr>
        <w:t xml:space="preserve"> </w:t>
      </w:r>
      <w:r>
        <w:rPr>
          <w:sz w:val="22"/>
          <w:lang w:val="en-GB"/>
        </w:rPr>
        <w:t>SPL lesion involvement.</w:t>
      </w:r>
    </w:p>
    <w:p w:rsidR="00633A5F" w:rsidRDefault="00633A5F" w:rsidP="00633A5F">
      <w:pPr>
        <w:rPr>
          <w:sz w:val="22"/>
          <w:lang w:val="en-GB"/>
        </w:rPr>
      </w:pPr>
    </w:p>
    <w:p w:rsidR="00633A5F" w:rsidRDefault="00633A5F" w:rsidP="00633A5F">
      <w:pPr>
        <w:rPr>
          <w:sz w:val="22"/>
          <w:lang w:val="en-GB"/>
        </w:rPr>
      </w:pPr>
    </w:p>
    <w:p w:rsidR="00633A5F" w:rsidRPr="00633A5F" w:rsidRDefault="00633A5F" w:rsidP="00633A5F">
      <w:pPr>
        <w:rPr>
          <w:sz w:val="22"/>
          <w:lang w:val="en-GB"/>
        </w:rPr>
      </w:pPr>
    </w:p>
    <w:tbl>
      <w:tblPr>
        <w:tblW w:w="7340" w:type="dxa"/>
        <w:tblInd w:w="93" w:type="dxa"/>
        <w:tblLook w:val="04A0"/>
      </w:tblPr>
      <w:tblGrid>
        <w:gridCol w:w="949"/>
        <w:gridCol w:w="1292"/>
        <w:gridCol w:w="1036"/>
        <w:gridCol w:w="1133"/>
        <w:gridCol w:w="1133"/>
        <w:gridCol w:w="1133"/>
        <w:gridCol w:w="1133"/>
      </w:tblGrid>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b/>
                <w:sz w:val="22"/>
                <w:lang w:val="en-GB"/>
              </w:rPr>
            </w:pPr>
            <w:r w:rsidRPr="00633A5F">
              <w:rPr>
                <w:b/>
                <w:sz w:val="22"/>
                <w:lang w:val="en-GB"/>
              </w:rPr>
              <w:t>Patient</w:t>
            </w:r>
          </w:p>
        </w:tc>
        <w:tc>
          <w:tcPr>
            <w:tcW w:w="1580" w:type="dxa"/>
            <w:tcBorders>
              <w:top w:val="nil"/>
              <w:left w:val="nil"/>
              <w:bottom w:val="nil"/>
              <w:right w:val="nil"/>
            </w:tcBorders>
            <w:shd w:val="clear" w:color="auto" w:fill="auto"/>
            <w:noWrap/>
          </w:tcPr>
          <w:p w:rsidR="00633A5F" w:rsidRPr="00633A5F" w:rsidRDefault="00633A5F" w:rsidP="00633A5F">
            <w:pPr>
              <w:rPr>
                <w:b/>
                <w:sz w:val="22"/>
                <w:lang w:val="en-GB"/>
              </w:rPr>
            </w:pPr>
            <w:proofErr w:type="spellStart"/>
            <w:proofErr w:type="gramStart"/>
            <w:r w:rsidRPr="00633A5F">
              <w:rPr>
                <w:b/>
                <w:sz w:val="22"/>
                <w:lang w:val="en-GB"/>
              </w:rPr>
              <w:t>rSPL</w:t>
            </w:r>
            <w:proofErr w:type="spellEnd"/>
            <w:proofErr w:type="gramEnd"/>
            <w:r w:rsidRPr="00633A5F">
              <w:rPr>
                <w:b/>
                <w:sz w:val="22"/>
                <w:lang w:val="en-GB"/>
              </w:rPr>
              <w:t xml:space="preserve"> %</w:t>
            </w:r>
            <w:proofErr w:type="spellStart"/>
            <w:r w:rsidRPr="00633A5F">
              <w:rPr>
                <w:b/>
                <w:sz w:val="22"/>
                <w:lang w:val="en-GB"/>
              </w:rPr>
              <w:t>lesioned</w:t>
            </w:r>
            <w:proofErr w:type="spellEnd"/>
          </w:p>
        </w:tc>
        <w:tc>
          <w:tcPr>
            <w:tcW w:w="960" w:type="dxa"/>
            <w:tcBorders>
              <w:top w:val="nil"/>
              <w:left w:val="nil"/>
              <w:bottom w:val="nil"/>
              <w:right w:val="nil"/>
            </w:tcBorders>
            <w:shd w:val="clear" w:color="auto" w:fill="auto"/>
            <w:noWrap/>
          </w:tcPr>
          <w:p w:rsidR="00633A5F" w:rsidRPr="00633A5F" w:rsidRDefault="00633A5F" w:rsidP="00633A5F">
            <w:pPr>
              <w:rPr>
                <w:b/>
                <w:sz w:val="22"/>
                <w:lang w:val="en-GB"/>
              </w:rPr>
            </w:pPr>
            <w:r w:rsidRPr="00633A5F">
              <w:rPr>
                <w:b/>
                <w:sz w:val="22"/>
                <w:lang w:val="en-GB"/>
              </w:rPr>
              <w:t>Stratum</w:t>
            </w:r>
          </w:p>
        </w:tc>
        <w:tc>
          <w:tcPr>
            <w:tcW w:w="960" w:type="dxa"/>
            <w:tcBorders>
              <w:top w:val="nil"/>
              <w:left w:val="nil"/>
              <w:bottom w:val="nil"/>
              <w:right w:val="nil"/>
            </w:tcBorders>
            <w:vAlign w:val="center"/>
          </w:tcPr>
          <w:p w:rsidR="00633A5F" w:rsidRPr="00633A5F" w:rsidRDefault="00633A5F" w:rsidP="00633A5F">
            <w:pPr>
              <w:rPr>
                <w:b/>
                <w:sz w:val="22"/>
                <w:lang w:val="en-GB"/>
              </w:rPr>
            </w:pPr>
            <w:proofErr w:type="spellStart"/>
            <w:r w:rsidRPr="00633A5F">
              <w:rPr>
                <w:b/>
                <w:sz w:val="22"/>
                <w:lang w:val="en-GB"/>
              </w:rPr>
              <w:t>Mesulam</w:t>
            </w:r>
            <w:proofErr w:type="spellEnd"/>
            <w:r w:rsidRPr="00633A5F">
              <w:rPr>
                <w:b/>
                <w:sz w:val="22"/>
                <w:lang w:val="en-GB"/>
              </w:rPr>
              <w:t xml:space="preserve"> L targets OFF drug</w:t>
            </w:r>
          </w:p>
        </w:tc>
        <w:tc>
          <w:tcPr>
            <w:tcW w:w="960" w:type="dxa"/>
            <w:tcBorders>
              <w:top w:val="nil"/>
              <w:left w:val="nil"/>
              <w:bottom w:val="nil"/>
              <w:right w:val="nil"/>
            </w:tcBorders>
            <w:vAlign w:val="center"/>
          </w:tcPr>
          <w:p w:rsidR="00633A5F" w:rsidRPr="00633A5F" w:rsidRDefault="00633A5F" w:rsidP="00633A5F">
            <w:pPr>
              <w:rPr>
                <w:b/>
                <w:sz w:val="22"/>
                <w:lang w:val="en-GB"/>
              </w:rPr>
            </w:pPr>
            <w:proofErr w:type="spellStart"/>
            <w:r w:rsidRPr="00633A5F">
              <w:rPr>
                <w:b/>
                <w:sz w:val="22"/>
                <w:lang w:val="en-GB"/>
              </w:rPr>
              <w:t>Mesulam</w:t>
            </w:r>
            <w:proofErr w:type="spellEnd"/>
            <w:r w:rsidRPr="00633A5F">
              <w:rPr>
                <w:b/>
                <w:sz w:val="22"/>
                <w:lang w:val="en-GB"/>
              </w:rPr>
              <w:t xml:space="preserve"> L targets ON drug</w:t>
            </w:r>
          </w:p>
        </w:tc>
        <w:tc>
          <w:tcPr>
            <w:tcW w:w="960" w:type="dxa"/>
            <w:tcBorders>
              <w:top w:val="nil"/>
              <w:left w:val="nil"/>
              <w:bottom w:val="nil"/>
              <w:right w:val="nil"/>
            </w:tcBorders>
            <w:vAlign w:val="center"/>
          </w:tcPr>
          <w:p w:rsidR="00633A5F" w:rsidRPr="00633A5F" w:rsidRDefault="00633A5F" w:rsidP="00633A5F">
            <w:pPr>
              <w:rPr>
                <w:b/>
                <w:sz w:val="22"/>
                <w:lang w:val="en-GB"/>
              </w:rPr>
            </w:pPr>
            <w:proofErr w:type="spellStart"/>
            <w:r w:rsidRPr="00633A5F">
              <w:rPr>
                <w:b/>
                <w:sz w:val="22"/>
                <w:lang w:val="en-GB"/>
              </w:rPr>
              <w:t>Mesulam</w:t>
            </w:r>
            <w:proofErr w:type="spellEnd"/>
            <w:r w:rsidRPr="00633A5F">
              <w:rPr>
                <w:b/>
                <w:sz w:val="22"/>
                <w:lang w:val="en-GB"/>
              </w:rPr>
              <w:t xml:space="preserve"> R targets OFF drug</w:t>
            </w:r>
          </w:p>
        </w:tc>
        <w:tc>
          <w:tcPr>
            <w:tcW w:w="960" w:type="dxa"/>
            <w:tcBorders>
              <w:top w:val="nil"/>
              <w:left w:val="nil"/>
              <w:bottom w:val="nil"/>
              <w:right w:val="nil"/>
            </w:tcBorders>
            <w:vAlign w:val="center"/>
          </w:tcPr>
          <w:p w:rsidR="00633A5F" w:rsidRPr="00633A5F" w:rsidRDefault="00633A5F" w:rsidP="00633A5F">
            <w:pPr>
              <w:rPr>
                <w:b/>
                <w:sz w:val="22"/>
                <w:lang w:val="en-GB"/>
              </w:rPr>
            </w:pPr>
            <w:proofErr w:type="spellStart"/>
            <w:r w:rsidRPr="00633A5F">
              <w:rPr>
                <w:b/>
                <w:sz w:val="22"/>
                <w:lang w:val="en-GB"/>
              </w:rPr>
              <w:t>Mesulam</w:t>
            </w:r>
            <w:proofErr w:type="spellEnd"/>
            <w:r w:rsidRPr="00633A5F">
              <w:rPr>
                <w:b/>
                <w:sz w:val="22"/>
                <w:lang w:val="en-GB"/>
              </w:rPr>
              <w:t xml:space="preserve"> R targets ON drug</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1</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14.59%</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High</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13.25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22</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26.5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26</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2</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0.27%</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Low</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24.75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22.5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25.5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27.5</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3</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46.29%</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High</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24.5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27</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4</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25.61%</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High</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0.25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0</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20.75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23</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5</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0.00%</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Low</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0</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0</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13.5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13</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6</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100.00%</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High</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0</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18</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19</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7</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0.03%</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Low</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1.75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16.75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16</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8</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6.65%</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High</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9.75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10.5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22</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19.5</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9</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0.00%</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Low</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22</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28</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27</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29</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10</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4.65%</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Low</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0</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0</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16.25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8</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11</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16.32%</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High</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10.75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20.5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23.25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25.5</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12</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0.40%</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Low</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0.5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26</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28</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13</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5.83%</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High</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8</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25.5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22</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14</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6.32%</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High</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22.75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23</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24.25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26</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15</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1.35%</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Low</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6.5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7</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23.25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23</w:t>
            </w:r>
          </w:p>
        </w:tc>
      </w:tr>
      <w:tr w:rsidR="00633A5F" w:rsidRPr="00633A5F">
        <w:trPr>
          <w:trHeight w:val="300"/>
        </w:trPr>
        <w:tc>
          <w:tcPr>
            <w:tcW w:w="960" w:type="dxa"/>
            <w:tcBorders>
              <w:top w:val="nil"/>
              <w:left w:val="nil"/>
              <w:bottom w:val="nil"/>
              <w:right w:val="nil"/>
            </w:tcBorders>
            <w:shd w:val="clear" w:color="auto" w:fill="auto"/>
            <w:noWrap/>
          </w:tcPr>
          <w:p w:rsidR="00633A5F" w:rsidRPr="00633A5F" w:rsidRDefault="00633A5F" w:rsidP="00633A5F">
            <w:pPr>
              <w:rPr>
                <w:sz w:val="22"/>
                <w:lang w:val="en-GB"/>
              </w:rPr>
            </w:pPr>
            <w:r w:rsidRPr="00633A5F">
              <w:rPr>
                <w:sz w:val="22"/>
                <w:lang w:val="en-GB"/>
              </w:rPr>
              <w:t>16</w:t>
            </w:r>
          </w:p>
        </w:tc>
        <w:tc>
          <w:tcPr>
            <w:tcW w:w="158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5.15%</w:t>
            </w:r>
          </w:p>
        </w:tc>
        <w:tc>
          <w:tcPr>
            <w:tcW w:w="960" w:type="dxa"/>
            <w:tcBorders>
              <w:top w:val="nil"/>
              <w:left w:val="nil"/>
              <w:bottom w:val="nil"/>
              <w:right w:val="nil"/>
            </w:tcBorders>
            <w:shd w:val="clear" w:color="auto" w:fill="auto"/>
            <w:noWrap/>
            <w:vAlign w:val="center"/>
          </w:tcPr>
          <w:p w:rsidR="00633A5F" w:rsidRPr="00633A5F" w:rsidRDefault="00633A5F" w:rsidP="00633A5F">
            <w:pPr>
              <w:rPr>
                <w:sz w:val="22"/>
                <w:lang w:val="en-GB"/>
              </w:rPr>
            </w:pPr>
            <w:r w:rsidRPr="00633A5F">
              <w:rPr>
                <w:sz w:val="22"/>
                <w:lang w:val="en-GB"/>
              </w:rPr>
              <w:t>Low</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11.75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13</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20.25</w:t>
            </w:r>
          </w:p>
        </w:tc>
        <w:tc>
          <w:tcPr>
            <w:tcW w:w="960" w:type="dxa"/>
            <w:tcBorders>
              <w:top w:val="nil"/>
              <w:left w:val="nil"/>
              <w:bottom w:val="nil"/>
              <w:right w:val="nil"/>
            </w:tcBorders>
            <w:vAlign w:val="center"/>
          </w:tcPr>
          <w:p w:rsidR="00633A5F" w:rsidRPr="00633A5F" w:rsidRDefault="00633A5F" w:rsidP="00633A5F">
            <w:pPr>
              <w:rPr>
                <w:sz w:val="22"/>
                <w:lang w:val="en-GB"/>
              </w:rPr>
            </w:pPr>
            <w:r w:rsidRPr="00633A5F">
              <w:rPr>
                <w:sz w:val="22"/>
                <w:lang w:val="en-GB"/>
              </w:rPr>
              <w:t>18</w:t>
            </w:r>
          </w:p>
        </w:tc>
      </w:tr>
    </w:tbl>
    <w:p w:rsidR="00633A5F" w:rsidRPr="00633A5F" w:rsidRDefault="00633A5F" w:rsidP="00633A5F">
      <w:pPr>
        <w:rPr>
          <w:sz w:val="22"/>
          <w:lang w:val="en-GB"/>
        </w:rPr>
      </w:pPr>
    </w:p>
    <w:p w:rsidR="006705EE" w:rsidRPr="004124A9" w:rsidRDefault="006705EE" w:rsidP="006705EE">
      <w:pPr>
        <w:rPr>
          <w:sz w:val="22"/>
          <w:lang w:val="en-GB"/>
        </w:rPr>
      </w:pPr>
      <w:r>
        <w:rPr>
          <w:b/>
          <w:sz w:val="22"/>
          <w:lang w:val="en-GB"/>
        </w:rPr>
        <w:t xml:space="preserve">Table S1 </w:t>
      </w:r>
      <w:r>
        <w:rPr>
          <w:sz w:val="22"/>
          <w:lang w:val="en-GB"/>
        </w:rPr>
        <w:t xml:space="preserve">SPL lesion involvement for each patient and </w:t>
      </w:r>
      <w:proofErr w:type="spellStart"/>
      <w:r>
        <w:rPr>
          <w:sz w:val="22"/>
          <w:lang w:val="en-GB"/>
        </w:rPr>
        <w:t>Mesulam</w:t>
      </w:r>
      <w:proofErr w:type="spellEnd"/>
      <w:r>
        <w:rPr>
          <w:sz w:val="22"/>
          <w:lang w:val="en-GB"/>
        </w:rPr>
        <w:t xml:space="preserve"> search task performance to left and right, on and off </w:t>
      </w:r>
      <w:proofErr w:type="spellStart"/>
      <w:r>
        <w:rPr>
          <w:sz w:val="22"/>
          <w:lang w:val="en-GB"/>
        </w:rPr>
        <w:t>rotigotine</w:t>
      </w:r>
      <w:proofErr w:type="spellEnd"/>
      <w:r>
        <w:rPr>
          <w:sz w:val="22"/>
          <w:lang w:val="en-GB"/>
        </w:rPr>
        <w:t>.</w:t>
      </w:r>
    </w:p>
    <w:p w:rsidR="00633A5F" w:rsidRPr="00633A5F" w:rsidRDefault="00633A5F" w:rsidP="00633A5F">
      <w:pPr>
        <w:rPr>
          <w:sz w:val="22"/>
          <w:lang w:val="en-GB"/>
        </w:rPr>
      </w:pPr>
    </w:p>
    <w:p w:rsidR="0044406E" w:rsidRDefault="00633A5F" w:rsidP="00633A5F">
      <w:pPr>
        <w:rPr>
          <w:sz w:val="22"/>
          <w:lang w:val="en-GB"/>
        </w:rPr>
      </w:pPr>
      <w:r w:rsidRPr="00633A5F">
        <w:rPr>
          <w:sz w:val="22"/>
          <w:lang w:val="en-GB"/>
        </w:rPr>
        <w:t xml:space="preserve">In the subgroup </w:t>
      </w:r>
      <w:r w:rsidRPr="00633A5F">
        <w:rPr>
          <w:sz w:val="22"/>
          <w:u w:val="single"/>
          <w:lang w:val="en-GB"/>
        </w:rPr>
        <w:t>with minimal superior parietal involvement</w:t>
      </w:r>
      <w:r w:rsidRPr="00633A5F">
        <w:rPr>
          <w:sz w:val="22"/>
          <w:lang w:val="en-GB"/>
        </w:rPr>
        <w:t xml:space="preserve">, </w:t>
      </w:r>
      <w:proofErr w:type="spellStart"/>
      <w:r w:rsidRPr="00633A5F">
        <w:rPr>
          <w:sz w:val="22"/>
          <w:lang w:val="en-GB"/>
        </w:rPr>
        <w:t>rotigotine</w:t>
      </w:r>
      <w:proofErr w:type="spellEnd"/>
      <w:r w:rsidRPr="00633A5F">
        <w:rPr>
          <w:sz w:val="22"/>
          <w:lang w:val="en-GB"/>
        </w:rPr>
        <w:t xml:space="preserve"> was associated with significant improvement in the number of targets found </w:t>
      </w:r>
      <w:r w:rsidRPr="00633A5F">
        <w:rPr>
          <w:sz w:val="22"/>
          <w:u w:val="single"/>
          <w:lang w:val="en-GB"/>
        </w:rPr>
        <w:t>on the left</w:t>
      </w:r>
      <w:r w:rsidRPr="00633A5F">
        <w:rPr>
          <w:sz w:val="22"/>
          <w:lang w:val="en-GB"/>
        </w:rPr>
        <w:t xml:space="preserve"> in the </w:t>
      </w:r>
      <w:proofErr w:type="spellStart"/>
      <w:r w:rsidRPr="00633A5F">
        <w:rPr>
          <w:sz w:val="22"/>
          <w:lang w:val="en-GB"/>
        </w:rPr>
        <w:t>Mesulam</w:t>
      </w:r>
      <w:proofErr w:type="spellEnd"/>
      <w:r w:rsidRPr="00633A5F">
        <w:rPr>
          <w:sz w:val="22"/>
          <w:lang w:val="en-GB"/>
        </w:rPr>
        <w:t xml:space="preserve"> search task when compared to both phases off the drug combined (P=0.04). There was less </w:t>
      </w:r>
      <w:r w:rsidRPr="00633A5F">
        <w:rPr>
          <w:sz w:val="22"/>
          <w:u w:val="single"/>
          <w:lang w:val="en-GB"/>
        </w:rPr>
        <w:t>rightward bias</w:t>
      </w:r>
      <w:r w:rsidRPr="00633A5F">
        <w:rPr>
          <w:sz w:val="22"/>
          <w:lang w:val="en-GB"/>
        </w:rPr>
        <w:t xml:space="preserve"> as measured by the lateralisation ratio, but this result was of borderline significance (P=0.056). No other measures were significantly different on and off </w:t>
      </w:r>
      <w:proofErr w:type="spellStart"/>
      <w:r w:rsidRPr="00633A5F">
        <w:rPr>
          <w:sz w:val="22"/>
          <w:lang w:val="en-GB"/>
        </w:rPr>
        <w:t>rotigotine</w:t>
      </w:r>
      <w:proofErr w:type="spellEnd"/>
      <w:r w:rsidRPr="00633A5F">
        <w:rPr>
          <w:sz w:val="22"/>
          <w:lang w:val="en-GB"/>
        </w:rPr>
        <w:t xml:space="preserve"> in this subgroup.</w:t>
      </w:r>
    </w:p>
    <w:p w:rsidR="00633A5F" w:rsidRPr="00633A5F" w:rsidRDefault="00633A5F" w:rsidP="00633A5F">
      <w:pPr>
        <w:rPr>
          <w:sz w:val="22"/>
          <w:lang w:val="en-GB"/>
        </w:rPr>
      </w:pPr>
    </w:p>
    <w:p w:rsidR="00633A5F" w:rsidRPr="00633A5F" w:rsidRDefault="00633A5F" w:rsidP="00633A5F">
      <w:pPr>
        <w:rPr>
          <w:sz w:val="22"/>
          <w:lang w:val="en-GB"/>
        </w:rPr>
      </w:pPr>
      <w:r w:rsidRPr="00633A5F">
        <w:rPr>
          <w:sz w:val="22"/>
          <w:lang w:val="en-GB"/>
        </w:rPr>
        <w:t xml:space="preserve">In the subgroup with </w:t>
      </w:r>
      <w:r w:rsidRPr="00633A5F">
        <w:rPr>
          <w:sz w:val="22"/>
          <w:u w:val="single"/>
          <w:lang w:val="en-GB"/>
        </w:rPr>
        <w:t>extensive superior parietal involvement</w:t>
      </w:r>
      <w:r w:rsidRPr="00633A5F">
        <w:rPr>
          <w:sz w:val="22"/>
          <w:lang w:val="en-GB"/>
        </w:rPr>
        <w:t>, improvement</w:t>
      </w:r>
      <w:r w:rsidR="006F2D06">
        <w:rPr>
          <w:sz w:val="22"/>
          <w:lang w:val="en-GB"/>
        </w:rPr>
        <w:t xml:space="preserve"> with </w:t>
      </w:r>
      <w:proofErr w:type="spellStart"/>
      <w:r w:rsidR="006F2D06">
        <w:rPr>
          <w:sz w:val="22"/>
          <w:lang w:val="en-GB"/>
        </w:rPr>
        <w:t>rotigotine</w:t>
      </w:r>
      <w:proofErr w:type="spellEnd"/>
      <w:r w:rsidR="006F2D06">
        <w:rPr>
          <w:sz w:val="22"/>
          <w:lang w:val="en-GB"/>
        </w:rPr>
        <w:t xml:space="preserve"> in</w:t>
      </w:r>
      <w:r w:rsidRPr="00633A5F">
        <w:rPr>
          <w:sz w:val="22"/>
          <w:lang w:val="en-GB"/>
        </w:rPr>
        <w:t xml:space="preserve"> number targets found </w:t>
      </w:r>
      <w:r w:rsidRPr="00633A5F">
        <w:rPr>
          <w:sz w:val="22"/>
          <w:u w:val="single"/>
          <w:lang w:val="en-GB"/>
        </w:rPr>
        <w:t>on the left</w:t>
      </w:r>
      <w:r w:rsidRPr="00633A5F">
        <w:rPr>
          <w:sz w:val="22"/>
          <w:lang w:val="en-GB"/>
        </w:rPr>
        <w:t xml:space="preserve"> in the </w:t>
      </w:r>
      <w:proofErr w:type="spellStart"/>
      <w:r w:rsidRPr="00633A5F">
        <w:rPr>
          <w:sz w:val="22"/>
          <w:lang w:val="en-GB"/>
        </w:rPr>
        <w:t>Mesulam</w:t>
      </w:r>
      <w:proofErr w:type="spellEnd"/>
      <w:r w:rsidRPr="00633A5F">
        <w:rPr>
          <w:sz w:val="22"/>
          <w:lang w:val="en-GB"/>
        </w:rPr>
        <w:t xml:space="preserve"> search task when compared to both phases off the drug combined was of borderline significance (P=0.078), as was a reduction in the rightward bias as measured by the lateralisation ratio (P=0.078). Again, no other measures were significantly different on and off </w:t>
      </w:r>
      <w:proofErr w:type="spellStart"/>
      <w:r w:rsidRPr="00633A5F">
        <w:rPr>
          <w:sz w:val="22"/>
          <w:lang w:val="en-GB"/>
        </w:rPr>
        <w:t>rotigotine</w:t>
      </w:r>
      <w:proofErr w:type="spellEnd"/>
      <w:r w:rsidRPr="00633A5F">
        <w:rPr>
          <w:sz w:val="22"/>
          <w:lang w:val="en-GB"/>
        </w:rPr>
        <w:t xml:space="preserve"> in this subgroup.</w:t>
      </w:r>
    </w:p>
    <w:p w:rsidR="00633A5F" w:rsidRPr="00633A5F" w:rsidRDefault="00633A5F" w:rsidP="00633A5F">
      <w:pPr>
        <w:rPr>
          <w:sz w:val="22"/>
          <w:lang w:val="en-GB"/>
        </w:rPr>
      </w:pPr>
      <w:r w:rsidRPr="00633A5F">
        <w:rPr>
          <w:sz w:val="22"/>
          <w:lang w:val="en-GB"/>
        </w:rPr>
        <w:t xml:space="preserve">Additionally, inspection of the data in </w:t>
      </w:r>
      <w:r w:rsidR="00D3709C">
        <w:rPr>
          <w:sz w:val="22"/>
          <w:lang w:val="en-GB"/>
        </w:rPr>
        <w:t xml:space="preserve">Table </w:t>
      </w:r>
      <w:r w:rsidR="00D3709C">
        <w:rPr>
          <w:b/>
          <w:sz w:val="22"/>
          <w:lang w:val="en-GB"/>
        </w:rPr>
        <w:t xml:space="preserve">S1 </w:t>
      </w:r>
      <w:r w:rsidRPr="00633A5F">
        <w:rPr>
          <w:sz w:val="22"/>
          <w:lang w:val="en-GB"/>
        </w:rPr>
        <w:t xml:space="preserve">reveals that patients who demonstrate clear benefit from the drug in visual search can be found both in the minimal SPL (e.g. patient 9) and in the extensive SPL subgroups (e.g. patient 3). In conclusion, stratification according to </w:t>
      </w:r>
      <w:proofErr w:type="spellStart"/>
      <w:r w:rsidRPr="00633A5F">
        <w:rPr>
          <w:sz w:val="22"/>
          <w:lang w:val="en-GB"/>
        </w:rPr>
        <w:t>rSPL</w:t>
      </w:r>
      <w:proofErr w:type="spellEnd"/>
      <w:r w:rsidRPr="00633A5F">
        <w:rPr>
          <w:sz w:val="22"/>
          <w:lang w:val="en-GB"/>
        </w:rPr>
        <w:t xml:space="preserve"> involvement does not provide a </w:t>
      </w:r>
      <w:r w:rsidR="00D3709C">
        <w:rPr>
          <w:sz w:val="22"/>
          <w:lang w:val="en-GB"/>
        </w:rPr>
        <w:t xml:space="preserve">clear prediction </w:t>
      </w:r>
      <w:r w:rsidRPr="00633A5F">
        <w:rPr>
          <w:sz w:val="22"/>
          <w:lang w:val="en-GB"/>
        </w:rPr>
        <w:t xml:space="preserve">as to which patients improved on treatment with </w:t>
      </w:r>
      <w:proofErr w:type="spellStart"/>
      <w:r w:rsidRPr="00633A5F">
        <w:rPr>
          <w:sz w:val="22"/>
          <w:lang w:val="en-GB"/>
        </w:rPr>
        <w:t>rotigotine</w:t>
      </w:r>
      <w:proofErr w:type="spellEnd"/>
      <w:r w:rsidRPr="00633A5F">
        <w:rPr>
          <w:sz w:val="22"/>
          <w:lang w:val="en-GB"/>
        </w:rPr>
        <w:t xml:space="preserve">. </w:t>
      </w:r>
    </w:p>
    <w:p w:rsidR="004124A9" w:rsidRPr="006866AE" w:rsidRDefault="004124A9" w:rsidP="0003382F">
      <w:pPr>
        <w:rPr>
          <w:sz w:val="22"/>
          <w:lang w:val="en-GB"/>
        </w:rPr>
      </w:pPr>
    </w:p>
    <w:sectPr w:rsidR="004124A9" w:rsidRPr="006866AE" w:rsidSect="004124A9">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51" w:rsidRDefault="00380151" w:rsidP="00D65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151" w:rsidRDefault="0038015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51" w:rsidRPr="00380151" w:rsidRDefault="00380151" w:rsidP="00D65BA5">
    <w:pPr>
      <w:pStyle w:val="Footer"/>
      <w:framePr w:wrap="around" w:vAnchor="text" w:hAnchor="margin" w:xAlign="center" w:y="1"/>
      <w:rPr>
        <w:rStyle w:val="PageNumber"/>
        <w:sz w:val="20"/>
      </w:rPr>
    </w:pPr>
    <w:r w:rsidRPr="00380151">
      <w:rPr>
        <w:rStyle w:val="PageNumber"/>
        <w:sz w:val="20"/>
      </w:rPr>
      <w:fldChar w:fldCharType="begin"/>
    </w:r>
    <w:r w:rsidRPr="00380151">
      <w:rPr>
        <w:rStyle w:val="PageNumber"/>
        <w:sz w:val="20"/>
      </w:rPr>
      <w:instrText xml:space="preserve">PAGE  </w:instrText>
    </w:r>
    <w:r w:rsidRPr="00380151">
      <w:rPr>
        <w:rStyle w:val="PageNumber"/>
        <w:sz w:val="20"/>
      </w:rPr>
      <w:fldChar w:fldCharType="separate"/>
    </w:r>
    <w:r>
      <w:rPr>
        <w:rStyle w:val="PageNumber"/>
        <w:noProof/>
        <w:sz w:val="20"/>
      </w:rPr>
      <w:t>3</w:t>
    </w:r>
    <w:r w:rsidRPr="00380151">
      <w:rPr>
        <w:rStyle w:val="PageNumber"/>
        <w:sz w:val="20"/>
      </w:rPr>
      <w:fldChar w:fldCharType="end"/>
    </w:r>
  </w:p>
  <w:p w:rsidR="00380151" w:rsidRDefault="0038015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251E"/>
    <w:rsid w:val="0003382F"/>
    <w:rsid w:val="002F251E"/>
    <w:rsid w:val="00380151"/>
    <w:rsid w:val="004124A9"/>
    <w:rsid w:val="0044406E"/>
    <w:rsid w:val="005656F0"/>
    <w:rsid w:val="005B3C5F"/>
    <w:rsid w:val="00633A5F"/>
    <w:rsid w:val="006705EE"/>
    <w:rsid w:val="006866AE"/>
    <w:rsid w:val="006F2D06"/>
    <w:rsid w:val="00D3709C"/>
    <w:rsid w:val="00F224CD"/>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HTML Cite" w:uiPriority="99"/>
    <w:lsdException w:name="Balloon Text" w:uiPriority="99"/>
  </w:latentStyles>
  <w:style w:type="paragraph" w:default="1" w:styleId="Normal">
    <w:name w:val="Normal"/>
    <w:qFormat/>
    <w:rsid w:val="00ED6B7F"/>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basedOn w:val="DefaultParagraphFont"/>
    <w:link w:val="BalloonText"/>
    <w:uiPriority w:val="99"/>
    <w:rsid w:val="00633A5F"/>
    <w:rPr>
      <w:rFonts w:ascii="Tahoma" w:hAnsi="Tahoma" w:cs="Tahoma"/>
      <w:sz w:val="16"/>
      <w:szCs w:val="16"/>
      <w:lang w:val="en-GB"/>
    </w:rPr>
  </w:style>
  <w:style w:type="paragraph" w:styleId="BalloonText">
    <w:name w:val="Balloon Text"/>
    <w:basedOn w:val="Normal"/>
    <w:link w:val="BalloonTextChar"/>
    <w:uiPriority w:val="99"/>
    <w:unhideWhenUsed/>
    <w:rsid w:val="00633A5F"/>
    <w:rPr>
      <w:rFonts w:ascii="Tahoma" w:hAnsi="Tahoma" w:cs="Tahoma"/>
      <w:sz w:val="16"/>
      <w:szCs w:val="16"/>
      <w:lang w:val="en-GB"/>
    </w:rPr>
  </w:style>
  <w:style w:type="paragraph" w:styleId="Header">
    <w:name w:val="header"/>
    <w:basedOn w:val="Normal"/>
    <w:link w:val="HeaderChar"/>
    <w:rsid w:val="00380151"/>
    <w:pPr>
      <w:tabs>
        <w:tab w:val="center" w:pos="4320"/>
        <w:tab w:val="right" w:pos="8640"/>
      </w:tabs>
    </w:pPr>
  </w:style>
  <w:style w:type="character" w:customStyle="1" w:styleId="HeaderChar">
    <w:name w:val="Header Char"/>
    <w:basedOn w:val="DefaultParagraphFont"/>
    <w:link w:val="Header"/>
    <w:rsid w:val="00380151"/>
  </w:style>
  <w:style w:type="paragraph" w:styleId="Footer">
    <w:name w:val="footer"/>
    <w:basedOn w:val="Normal"/>
    <w:link w:val="FooterChar"/>
    <w:rsid w:val="00380151"/>
    <w:pPr>
      <w:tabs>
        <w:tab w:val="center" w:pos="4320"/>
        <w:tab w:val="right" w:pos="8640"/>
      </w:tabs>
    </w:pPr>
  </w:style>
  <w:style w:type="character" w:customStyle="1" w:styleId="FooterChar">
    <w:name w:val="Footer Char"/>
    <w:basedOn w:val="DefaultParagraphFont"/>
    <w:link w:val="Footer"/>
    <w:rsid w:val="00380151"/>
  </w:style>
  <w:style w:type="character" w:styleId="PageNumber">
    <w:name w:val="page number"/>
    <w:basedOn w:val="DefaultParagraphFont"/>
    <w:rsid w:val="0038015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602</Words>
  <Characters>3436</Characters>
  <Application>Microsoft Macintosh Word</Application>
  <DocSecurity>0</DocSecurity>
  <Lines>28</Lines>
  <Paragraphs>6</Paragraphs>
  <ScaleCrop>false</ScaleCrop>
  <Company>UCL</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 Husain</dc:creator>
  <cp:keywords/>
  <cp:lastModifiedBy>Masud Husain</cp:lastModifiedBy>
  <cp:revision>10</cp:revision>
  <dcterms:created xsi:type="dcterms:W3CDTF">2012-04-22T12:02:00Z</dcterms:created>
  <dcterms:modified xsi:type="dcterms:W3CDTF">2012-04-22T13:59:00Z</dcterms:modified>
</cp:coreProperties>
</file>